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6EAB" w:rsidP="007D6358" w14:paraId="126FDD63" w14:textId="56A1B153">
      <w:pPr>
        <w:jc w:val="center"/>
        <w:rPr>
          <w:b/>
          <w:bCs/>
          <w:sz w:val="28"/>
          <w:szCs w:val="28"/>
        </w:rPr>
      </w:pPr>
      <w:r>
        <w:rPr>
          <w:b/>
          <w:bCs/>
          <w:sz w:val="28"/>
          <w:szCs w:val="28"/>
        </w:rPr>
        <w:t>DEPARTMENT OF TRANSPORTATION (DOT)</w:t>
      </w:r>
    </w:p>
    <w:p w:rsidR="00ED6EAB" w:rsidP="007D6358" w14:paraId="6430AC1A" w14:textId="69ADE2BB">
      <w:pPr>
        <w:jc w:val="center"/>
        <w:rPr>
          <w:b/>
          <w:bCs/>
          <w:sz w:val="28"/>
          <w:szCs w:val="28"/>
        </w:rPr>
      </w:pPr>
      <w:r>
        <w:rPr>
          <w:b/>
          <w:bCs/>
          <w:sz w:val="28"/>
          <w:szCs w:val="28"/>
        </w:rPr>
        <w:t>FEDERAL HIGHWAY ADMINISTRATION (FHWA)</w:t>
      </w:r>
    </w:p>
    <w:p w:rsidR="007D6358" w:rsidRPr="007D6358" w:rsidP="007D6358" w14:paraId="37BEBF1B" w14:textId="45E760BB">
      <w:pPr>
        <w:jc w:val="center"/>
        <w:rPr>
          <w:b/>
          <w:bCs/>
          <w:sz w:val="28"/>
          <w:szCs w:val="28"/>
        </w:rPr>
      </w:pPr>
      <w:r w:rsidRPr="007D6358">
        <w:rPr>
          <w:b/>
          <w:bCs/>
          <w:sz w:val="28"/>
          <w:szCs w:val="28"/>
        </w:rPr>
        <w:t xml:space="preserve">SUPPORTING STATEMENT </w:t>
      </w:r>
      <w:r w:rsidR="00ED6EAB">
        <w:rPr>
          <w:b/>
          <w:bCs/>
          <w:sz w:val="28"/>
          <w:szCs w:val="28"/>
        </w:rPr>
        <w:t>A</w:t>
      </w:r>
    </w:p>
    <w:p w:rsidR="007D6358" w:rsidP="007D6358" w14:paraId="2BB63159" w14:textId="77777777">
      <w:pPr>
        <w:jc w:val="center"/>
        <w:rPr>
          <w:b/>
          <w:bCs/>
          <w:sz w:val="28"/>
          <w:szCs w:val="28"/>
        </w:rPr>
      </w:pPr>
      <w:r w:rsidRPr="007D6358">
        <w:rPr>
          <w:b/>
          <w:bCs/>
          <w:sz w:val="28"/>
          <w:szCs w:val="28"/>
        </w:rPr>
        <w:t xml:space="preserve">Strengthening Mobility </w:t>
      </w:r>
      <w:r w:rsidRPr="007D6358">
        <w:rPr>
          <w:b/>
          <w:bCs/>
          <w:sz w:val="28"/>
          <w:szCs w:val="28"/>
        </w:rPr>
        <w:t>And</w:t>
      </w:r>
      <w:r w:rsidRPr="007D6358">
        <w:rPr>
          <w:b/>
          <w:bCs/>
          <w:sz w:val="28"/>
          <w:szCs w:val="28"/>
        </w:rPr>
        <w:t xml:space="preserve"> Revolutionizing Transportation (SMART) Grant Program</w:t>
      </w:r>
    </w:p>
    <w:p w:rsidR="00ED6EAB" w:rsidRPr="007D6358" w:rsidP="007D6358" w14:paraId="6BA3B0EF" w14:textId="74765696">
      <w:pPr>
        <w:jc w:val="center"/>
        <w:rPr>
          <w:b/>
          <w:bCs/>
          <w:sz w:val="28"/>
          <w:szCs w:val="28"/>
        </w:rPr>
      </w:pPr>
      <w:r>
        <w:rPr>
          <w:b/>
          <w:bCs/>
          <w:sz w:val="28"/>
          <w:szCs w:val="28"/>
        </w:rPr>
        <w:t>OMB CONTROL NO. 2125-0667</w:t>
      </w:r>
    </w:p>
    <w:p w:rsidR="007D6358" w:rsidP="007D6358" w14:paraId="184FB355" w14:textId="4B906B7E">
      <w:r w:rsidRPr="007D6358">
        <w:rPr>
          <w:b/>
          <w:bCs/>
        </w:rPr>
        <w:t>INTRODUCTION:</w:t>
      </w:r>
      <w:r>
        <w:t xml:space="preserve"> This is to request OMB clearance for the</w:t>
      </w:r>
      <w:r w:rsidR="00ED6EAB">
        <w:t xml:space="preserve"> renewal of the</w:t>
      </w:r>
      <w:r>
        <w:t xml:space="preserve"> information collection entitled Strengthening Mobility </w:t>
      </w:r>
      <w:r>
        <w:t>And</w:t>
      </w:r>
      <w:r>
        <w:t xml:space="preserve"> Revolutionizing Transportation (SMART) Grant program, FY22-27. The program is being implemented pursuant to the Bipartisan Infrastructure Law (BIL) § 25005; 23 U.S.C. 502(b). This program provides grants to eligible entities to conduct projects that will advance smart community technologies and systems in various communities to improve transportation efficiency and safety in at least one of the following areas:</w:t>
      </w:r>
    </w:p>
    <w:p w:rsidR="007D6358" w:rsidP="007D6358" w14:paraId="2EACA3D2" w14:textId="77777777">
      <w:pPr>
        <w:pStyle w:val="ListParagraph"/>
        <w:numPr>
          <w:ilvl w:val="0"/>
          <w:numId w:val="1"/>
        </w:numPr>
      </w:pPr>
      <w:r>
        <w:t>Coordinated Automation</w:t>
      </w:r>
    </w:p>
    <w:p w:rsidR="007D6358" w:rsidP="007D6358" w14:paraId="4C01E096" w14:textId="77777777">
      <w:pPr>
        <w:pStyle w:val="ListParagraph"/>
        <w:numPr>
          <w:ilvl w:val="0"/>
          <w:numId w:val="1"/>
        </w:numPr>
      </w:pPr>
      <w:r>
        <w:t>Connected Vehicles</w:t>
      </w:r>
    </w:p>
    <w:p w:rsidR="00EC6C0D" w:rsidP="00EC6C0D" w14:paraId="5A844B89" w14:textId="3E6BB527">
      <w:pPr>
        <w:pStyle w:val="ListParagraph"/>
        <w:numPr>
          <w:ilvl w:val="0"/>
          <w:numId w:val="1"/>
        </w:numPr>
      </w:pPr>
      <w:r w:rsidRPr="00EC6C0D">
        <w:t>Intelligent Sensor-Based Infrastructure</w:t>
      </w:r>
    </w:p>
    <w:p w:rsidR="007D6358" w:rsidP="007D6358" w14:paraId="030E3648" w14:textId="77777777">
      <w:pPr>
        <w:pStyle w:val="ListParagraph"/>
        <w:numPr>
          <w:ilvl w:val="0"/>
          <w:numId w:val="1"/>
        </w:numPr>
      </w:pPr>
      <w:r>
        <w:t>Systems Integration</w:t>
      </w:r>
    </w:p>
    <w:p w:rsidR="007D6358" w:rsidP="007D6358" w14:paraId="2FE828D8" w14:textId="77777777">
      <w:pPr>
        <w:pStyle w:val="ListParagraph"/>
        <w:numPr>
          <w:ilvl w:val="0"/>
          <w:numId w:val="1"/>
        </w:numPr>
      </w:pPr>
      <w:r>
        <w:t>Commerce Delivery and Logistics</w:t>
      </w:r>
    </w:p>
    <w:p w:rsidR="007D6358" w:rsidP="00EC6C0D" w14:paraId="46995448" w14:textId="0F666CF4">
      <w:pPr>
        <w:pStyle w:val="ListParagraph"/>
        <w:numPr>
          <w:ilvl w:val="0"/>
          <w:numId w:val="1"/>
        </w:numPr>
      </w:pPr>
      <w:r>
        <w:t>Leveraging Use of Innovative Aviation</w:t>
      </w:r>
    </w:p>
    <w:p w:rsidR="007D6358" w:rsidP="007D6358" w14:paraId="1915356E" w14:textId="77777777">
      <w:pPr>
        <w:pStyle w:val="ListParagraph"/>
        <w:numPr>
          <w:ilvl w:val="0"/>
          <w:numId w:val="1"/>
        </w:numPr>
      </w:pPr>
      <w:r>
        <w:t>Smart Grid</w:t>
      </w:r>
    </w:p>
    <w:p w:rsidR="007D6358" w:rsidP="007D6358" w14:paraId="42DEF5E1" w14:textId="3C22AB5F">
      <w:pPr>
        <w:pStyle w:val="ListParagraph"/>
        <w:numPr>
          <w:ilvl w:val="0"/>
          <w:numId w:val="1"/>
        </w:numPr>
      </w:pPr>
      <w:r>
        <w:t>Smart Technology Traffic Signals</w:t>
      </w:r>
    </w:p>
    <w:p w:rsidR="007D6358" w:rsidP="007D6358" w14:paraId="0EBEB43C" w14:textId="77777777">
      <w:r>
        <w:t>Eligible entities may respond to the SMART Grant Notice of Funding Opportunity (NOFO) by completing an application, and the awarded projects must include the specific goals and how they will be achieved. Examples of such goals are:</w:t>
      </w:r>
    </w:p>
    <w:p w:rsidR="007D6358" w:rsidP="007D6358" w14:paraId="21A35DE2" w14:textId="77777777">
      <w:pPr>
        <w:pStyle w:val="ListParagraph"/>
        <w:numPr>
          <w:ilvl w:val="0"/>
          <w:numId w:val="2"/>
        </w:numPr>
      </w:pPr>
      <w:r>
        <w:t>reducing traffic-related fatalities and injuries,</w:t>
      </w:r>
    </w:p>
    <w:p w:rsidR="007D6358" w:rsidP="007D6358" w14:paraId="33DB00A8" w14:textId="77777777">
      <w:pPr>
        <w:pStyle w:val="ListParagraph"/>
        <w:numPr>
          <w:ilvl w:val="0"/>
          <w:numId w:val="2"/>
        </w:numPr>
      </w:pPr>
      <w:r>
        <w:t>reducing traffic congestion or improving travel-time reliability,</w:t>
      </w:r>
    </w:p>
    <w:p w:rsidR="007D6358" w:rsidP="007D6358" w14:paraId="5BE15246" w14:textId="6E1E3965">
      <w:pPr>
        <w:pStyle w:val="ListParagraph"/>
        <w:numPr>
          <w:ilvl w:val="0"/>
          <w:numId w:val="2"/>
        </w:numPr>
      </w:pPr>
      <w:r>
        <w:t xml:space="preserve">providing the public with access to real-time integrated traffic, transit, and multimodal transportation information to make informed travel decisions; or </w:t>
      </w:r>
    </w:p>
    <w:p w:rsidR="007D6358" w:rsidP="007D6358" w14:paraId="09DB7DA7" w14:textId="77777777">
      <w:pPr>
        <w:pStyle w:val="ListParagraph"/>
        <w:numPr>
          <w:ilvl w:val="0"/>
          <w:numId w:val="2"/>
        </w:numPr>
      </w:pPr>
      <w:r>
        <w:t>reducing barriers or improving access to jobs, education, or various essential services,</w:t>
      </w:r>
    </w:p>
    <w:p w:rsidR="007D6358" w:rsidP="007D6358" w14:paraId="15E8B56F" w14:textId="77777777">
      <w:pPr>
        <w:pStyle w:val="ListParagraph"/>
        <w:numPr>
          <w:ilvl w:val="0"/>
          <w:numId w:val="2"/>
        </w:numPr>
      </w:pPr>
      <w:r>
        <w:t xml:space="preserve">the effectiveness of providing to the public real-time integrated traffic, transit, and </w:t>
      </w:r>
    </w:p>
    <w:p w:rsidR="007D6358" w:rsidP="007D6358" w14:paraId="22B72E5E" w14:textId="77777777">
      <w:pPr>
        <w:pStyle w:val="ListParagraph"/>
      </w:pPr>
      <w:r>
        <w:t xml:space="preserve">multimodal transportation information to make informed travel decisions; and </w:t>
      </w:r>
    </w:p>
    <w:p w:rsidR="007D6358" w:rsidP="007D6358" w14:paraId="4FD8D420" w14:textId="687A83E5">
      <w:pPr>
        <w:pStyle w:val="ListParagraph"/>
        <w:numPr>
          <w:ilvl w:val="0"/>
          <w:numId w:val="2"/>
        </w:numPr>
      </w:pPr>
      <w:r>
        <w:t xml:space="preserve">lessons learned and recommendations for future deployment strategies to optimize transportation efficiency and multimodal system performance. </w:t>
      </w:r>
    </w:p>
    <w:p w:rsidR="007D6358" w:rsidP="007D6358" w14:paraId="0A0281CD" w14:textId="77777777">
      <w:r>
        <w:t xml:space="preserve">The US Department of Transportation (USDOT), the Office of the Assistance Secretary for Research and Technology is the awarding office that will administer and manage the SMART program and will award grants to eligible entities on an annual basis. This information collection request (ICR) covers the next two years of the program, the previous submission covered the preceding 3 years of the program. Key aspects of this ICR are described below. </w:t>
      </w:r>
    </w:p>
    <w:p w:rsidR="007D6358" w:rsidP="007D6358" w14:paraId="1D5E0BA9" w14:textId="77777777">
      <w:pPr>
        <w:pStyle w:val="ListParagraph"/>
        <w:numPr>
          <w:ilvl w:val="0"/>
          <w:numId w:val="2"/>
        </w:numPr>
      </w:pPr>
      <w:r>
        <w:t>Responding to the collection is voluntary</w:t>
      </w:r>
    </w:p>
    <w:p w:rsidR="007D6358" w:rsidP="007D6358" w14:paraId="28985294" w14:textId="77777777">
      <w:pPr>
        <w:pStyle w:val="ListParagraph"/>
        <w:numPr>
          <w:ilvl w:val="0"/>
          <w:numId w:val="2"/>
        </w:numPr>
      </w:pPr>
      <w:r>
        <w:t xml:space="preserve">Eligible responders are States, political subdivisions of a State, tribal governments, public transit agencies or authorities, public toll authorities, metropolitan planning organizations, and groups of 2 or more the eligible entities (applying through a single lead applicant). </w:t>
      </w:r>
    </w:p>
    <w:p w:rsidR="007D6358" w:rsidP="007D6358" w14:paraId="0BDD85C8" w14:textId="77777777">
      <w:pPr>
        <w:pStyle w:val="ListParagraph"/>
        <w:numPr>
          <w:ilvl w:val="0"/>
          <w:numId w:val="2"/>
        </w:numPr>
      </w:pPr>
      <w:r>
        <w:t xml:space="preserve">The Program is comprised of two stages. In Stage 1, recipients will be funded to develop a plan and/or prototype. The recipients of Stage 1 grant will be eligible to apply for Stage 2 grant to implement their projects more broadly. </w:t>
      </w:r>
    </w:p>
    <w:p w:rsidR="007D6358" w:rsidP="007D6358" w14:paraId="48F53E01" w14:textId="77777777">
      <w:pPr>
        <w:pStyle w:val="ListParagraph"/>
        <w:numPr>
          <w:ilvl w:val="0"/>
          <w:numId w:val="3"/>
        </w:numPr>
      </w:pPr>
      <w:r>
        <w:t>Requirements unique to Stage 1 include the Stage 1 Grant application, a Grant agreement, a Draft Evaluation Plan, and a Data Management Plan</w:t>
      </w:r>
    </w:p>
    <w:p w:rsidR="007D6358" w:rsidP="007D6358" w14:paraId="632517FA" w14:textId="77777777">
      <w:pPr>
        <w:pStyle w:val="ListParagraph"/>
        <w:numPr>
          <w:ilvl w:val="0"/>
          <w:numId w:val="3"/>
        </w:numPr>
      </w:pPr>
      <w:r>
        <w:t>Requirements unique to Stage 2 include a Stage 2 Grant application, a Grant agreement, a Final (Updated) Evaluation Plan, a Data Management Plan, and a Final Implementation Report.</w:t>
      </w:r>
    </w:p>
    <w:p w:rsidR="007D6358" w:rsidP="007D6358" w14:paraId="28A50B5C" w14:textId="72F604DA">
      <w:pPr>
        <w:pStyle w:val="ListParagraph"/>
        <w:numPr>
          <w:ilvl w:val="0"/>
          <w:numId w:val="3"/>
        </w:numPr>
      </w:pPr>
      <w:r>
        <w:t xml:space="preserve">Ongoing requirements, regardless of stage, include Quarterly Progress reports, Quarterly Financial reports, and Annual Implementation Reports. </w:t>
      </w:r>
    </w:p>
    <w:p w:rsidR="007D6358" w:rsidP="007D6358" w14:paraId="258EF77F" w14:textId="77777777">
      <w:pPr>
        <w:pStyle w:val="ListParagraph"/>
        <w:numPr>
          <w:ilvl w:val="0"/>
          <w:numId w:val="4"/>
        </w:numPr>
      </w:pPr>
      <w:r>
        <w:t>The information is collected as needed</w:t>
      </w:r>
    </w:p>
    <w:p w:rsidR="007D6358" w:rsidP="007D6358" w14:paraId="553CE354" w14:textId="77777777">
      <w:pPr>
        <w:pStyle w:val="ListParagraph"/>
        <w:numPr>
          <w:ilvl w:val="0"/>
          <w:numId w:val="4"/>
        </w:numPr>
      </w:pPr>
      <w:r>
        <w:t>Information relevant to the application is spelled out in the NOFO, as are any reporting requirements agreed to by Grants recipients</w:t>
      </w:r>
    </w:p>
    <w:p w:rsidR="007D6358" w:rsidP="007D6358" w14:paraId="452C57E9" w14:textId="1268B037">
      <w:pPr>
        <w:pStyle w:val="ListParagraph"/>
        <w:numPr>
          <w:ilvl w:val="0"/>
          <w:numId w:val="4"/>
        </w:numPr>
      </w:pPr>
      <w:r>
        <w:t xml:space="preserve">The information will be received by USDOT. </w:t>
      </w:r>
    </w:p>
    <w:p w:rsidR="007D6358" w:rsidP="007D6358" w14:paraId="5135572A" w14:textId="77777777">
      <w:r>
        <w:t xml:space="preserve">The purpose of the collection is to receive information relevant to evaluating applications to the SMART Grant program, per the NOFO, and reporting requirements agreed to by recipients of the Grants. </w:t>
      </w:r>
    </w:p>
    <w:p w:rsidR="007D6358" w:rsidRPr="007D6358" w:rsidP="007D6358" w14:paraId="065DD814" w14:textId="77777777">
      <w:pPr>
        <w:rPr>
          <w:b/>
          <w:bCs/>
        </w:rPr>
      </w:pPr>
      <w:r w:rsidRPr="007D6358">
        <w:rPr>
          <w:b/>
          <w:bCs/>
        </w:rPr>
        <w:t>Part A. Justification</w:t>
      </w:r>
    </w:p>
    <w:p w:rsidR="007D6358" w:rsidRPr="009726B0" w:rsidP="007D6358" w14:paraId="5937275E" w14:textId="77777777">
      <w:pPr>
        <w:rPr>
          <w:b/>
          <w:bCs/>
        </w:rPr>
      </w:pPr>
      <w:r w:rsidRPr="009726B0">
        <w:rPr>
          <w:b/>
          <w:bCs/>
        </w:rPr>
        <w:t>1. Circumstances that make collection of information necessary:</w:t>
      </w:r>
    </w:p>
    <w:p w:rsidR="007D6358" w:rsidP="007D6358" w14:paraId="33EE3284" w14:textId="77777777">
      <w:r>
        <w:t xml:space="preserve">The collection of information is necessary </w:t>
      </w:r>
      <w:r>
        <w:t>in order to</w:t>
      </w:r>
      <w:r>
        <w:t xml:space="preserve"> receive applications for grant funds, monitor project financial conditions and project progress pursuant to the Department’s SMART Grant Program, and to evaluate the effectiveness of projects that have been awarded grant funds. As noted above, this program was established under BIL, and as such carrying out this program is required by law. The relevant section of the Bipartisan Infrastructure Law (BIL), Section 25005 is attached hereto as Exhibit A. </w:t>
      </w:r>
    </w:p>
    <w:p w:rsidR="007D6358" w:rsidP="007D6358" w14:paraId="5414C4F9" w14:textId="77777777">
      <w:r>
        <w:t xml:space="preserve">The additional requirements of recipients, including Quarterly Progress reports, Quarterly Financial reports, Annual Implementation reports, and Final Implementation reports will be used to monitor grant program recipients’ project progress and project performance and evaluation. </w:t>
      </w:r>
    </w:p>
    <w:p w:rsidR="007D6358" w:rsidP="007D6358" w14:paraId="3BD56830" w14:textId="77777777">
      <w:r>
        <w:t>The reporting requirements are submitted by recipients and can be classified into four key categories: application process, grant agreement, project management, and project evaluation. Each of these categories are described in more detail below.</w:t>
      </w:r>
    </w:p>
    <w:p w:rsidR="007D6358" w:rsidRPr="009726B0" w:rsidP="007D6358" w14:paraId="050ACA37" w14:textId="77777777">
      <w:pPr>
        <w:rPr>
          <w:b/>
          <w:bCs/>
        </w:rPr>
      </w:pPr>
      <w:r w:rsidRPr="009726B0">
        <w:rPr>
          <w:b/>
          <w:bCs/>
        </w:rPr>
        <w:t>Application Process</w:t>
      </w:r>
      <w:r w:rsidRPr="009726B0">
        <w:rPr>
          <w:b/>
          <w:bCs/>
        </w:rPr>
        <w:tab/>
      </w:r>
    </w:p>
    <w:p w:rsidR="007D6358" w:rsidP="007D6358" w14:paraId="09FC4C1E" w14:textId="77777777">
      <w:r>
        <w:t>Applicants submit their applications containing the appropriate information as specified in the NOFO (see Exhibit B for the Application). The Department will review the applications to determine the applicant eligibility, and make the selection based on thorough assessment of the technical and programmatic quality of the projects in accordance with the overall mission of the Program.</w:t>
      </w:r>
    </w:p>
    <w:p w:rsidR="0023766C" w:rsidP="007D6358" w14:paraId="04E06EEE" w14:textId="77777777">
      <w:pPr>
        <w:rPr>
          <w:b/>
          <w:bCs/>
        </w:rPr>
      </w:pPr>
    </w:p>
    <w:p w:rsidR="007D6358" w:rsidRPr="009726B0" w:rsidP="007D6358" w14:paraId="2F00CDDA" w14:textId="50666FEB">
      <w:pPr>
        <w:rPr>
          <w:b/>
          <w:bCs/>
        </w:rPr>
      </w:pPr>
      <w:r w:rsidRPr="009726B0">
        <w:rPr>
          <w:b/>
          <w:bCs/>
        </w:rPr>
        <w:t>Grant Agreement</w:t>
      </w:r>
      <w:r w:rsidRPr="009726B0">
        <w:rPr>
          <w:b/>
          <w:bCs/>
        </w:rPr>
        <w:tab/>
      </w:r>
    </w:p>
    <w:p w:rsidR="007D6358" w:rsidP="007D6358" w14:paraId="6476120E" w14:textId="306977E1">
      <w:r>
        <w:t xml:space="preserve">The Grant agreement is an agreement between USDOT and the recipient. Separate agreements will be established in Stage 1 and Stage 2; however, these are one-time requirements for each of the cohorts (unless modifications to the agreement are needed). In the grant agreement, the recipient must describe the project that DOT agreed to fund, which is the project that was described in the SMART Grant application. For Stage 1, the agreement must include the initial plan or prototype of the selected Stage 1 project. For Stage 2 recipients, a new agreement will be executed that describes the more broadly scaled project that will be implemented. In both stages, the Grant agreement also must include a detailed breakdown of the project schedule and a budget listing all major activities and deliverables that will be completed as part of the project. </w:t>
      </w:r>
    </w:p>
    <w:p w:rsidR="007D6358" w:rsidRPr="009726B0" w:rsidP="007D6358" w14:paraId="209F877E" w14:textId="77777777">
      <w:pPr>
        <w:rPr>
          <w:b/>
          <w:bCs/>
        </w:rPr>
      </w:pPr>
      <w:r w:rsidRPr="009726B0">
        <w:rPr>
          <w:b/>
          <w:bCs/>
        </w:rPr>
        <w:t xml:space="preserve">Project Management </w:t>
      </w:r>
    </w:p>
    <w:p w:rsidR="007D6358" w:rsidP="007D6358" w14:paraId="231DAF89" w14:textId="77777777">
      <w:r>
        <w:t xml:space="preserve">The project management reporting requirement includes Quarterly Progress reports and Quarterly Financial reports. These reports are necessary to ensure the proper and timely expenditure of federal funds within the scope of the approved project. The requirements comply with the Common Grant Rule and are also included in sections of the grant agreement. Following award, and as part of project management, the recipient will complete Quarterly Progress Reports for the duration of the project to ensure that the project budget and schedule will be maintained to the maximum extent possible, that the project will be completed with the highest degree of quality, and that compliance with Federal regulations will be met. The substantive requirements of the Quarterly Progress Report include: the project’s overall status; project significant activities and milestones; action items/outstanding issues; project scope overview; project schedule; financial reporting (i.e., an SF-425 Federal Financial Report); and applicable certifications. This reporting requirement will greatly reduce the need for on-site visits by staff.  </w:t>
      </w:r>
    </w:p>
    <w:p w:rsidR="007D6358" w:rsidRPr="009726B0" w:rsidP="007D6358" w14:paraId="44E3EE8A" w14:textId="77777777">
      <w:pPr>
        <w:rPr>
          <w:b/>
          <w:bCs/>
        </w:rPr>
      </w:pPr>
      <w:r w:rsidRPr="009726B0">
        <w:rPr>
          <w:b/>
          <w:bCs/>
        </w:rPr>
        <w:t xml:space="preserve">Project Evaluation </w:t>
      </w:r>
    </w:p>
    <w:p w:rsidR="007D6358" w:rsidP="007D6358" w14:paraId="774300D1" w14:textId="77777777">
      <w:r>
        <w:t xml:space="preserve">The reporting requirements under this phase are necessary to assess program effectiveness for the Federal Government in both the Executive and Congressional branches. The requirements include an Evaluation Plan, Data Management Plan, Annual Implementation Reports, and the Final Implementation Report.  </w:t>
      </w:r>
    </w:p>
    <w:p w:rsidR="007D6358" w:rsidP="007D6358" w14:paraId="48087912" w14:textId="77777777">
      <w:pPr>
        <w:pStyle w:val="ListParagraph"/>
        <w:numPr>
          <w:ilvl w:val="0"/>
          <w:numId w:val="5"/>
        </w:numPr>
      </w:pPr>
      <w:r>
        <w:t>The Evaluation Plan describes the performance measures, evaluation design and methods, and data sources that the recipient will use to measure the impacts and outcomes of their project. The recipients’ Evaluation plan enables DOT to ensure that recipients are preparing for their evaluation and that their evaluation plans are robust. Recipients are required to submit an Evaluation Plan for their project</w:t>
      </w:r>
    </w:p>
    <w:p w:rsidR="007D6358" w:rsidP="007D6358" w14:paraId="47CFCBA9" w14:textId="77777777">
      <w:pPr>
        <w:pStyle w:val="ListParagraph"/>
        <w:numPr>
          <w:ilvl w:val="0"/>
          <w:numId w:val="5"/>
        </w:numPr>
      </w:pPr>
      <w:r>
        <w:t xml:space="preserve">Data Management Plan describes in more detail how the data will be collected, stored, and maintained. </w:t>
      </w:r>
    </w:p>
    <w:p w:rsidR="007D6358" w:rsidP="007D6358" w14:paraId="7E75A12A" w14:textId="7A632001">
      <w:pPr>
        <w:pStyle w:val="ListParagraph"/>
      </w:pPr>
      <w:r>
        <w:t>The recipients are required to submit a Data Management Plan.</w:t>
      </w:r>
    </w:p>
    <w:p w:rsidR="007D6358" w:rsidP="007D6358" w14:paraId="01B4CE02" w14:textId="63768228">
      <w:pPr>
        <w:pStyle w:val="ListParagraph"/>
        <w:numPr>
          <w:ilvl w:val="0"/>
          <w:numId w:val="5"/>
        </w:numPr>
      </w:pPr>
      <w:r>
        <w:t xml:space="preserve">Annual Implementation </w:t>
      </w:r>
      <w:r>
        <w:t>Reports  provide</w:t>
      </w:r>
      <w:r>
        <w:t xml:space="preserve"> a brief summary of the project and its status, describe the performance measures that are being used to measure project impacts, and provide updates on evaluation-related milestones, challenges, issues, etc. Recipients must submit these reports annually for the duration of the project.</w:t>
      </w:r>
    </w:p>
    <w:p w:rsidR="007D6358" w:rsidP="007D6358" w14:paraId="104FDF0C" w14:textId="77777777">
      <w:r>
        <w:t>By statute (BIL, Section 25005 (f)(1)), each grant recipient is required to submit a report that describes the costs of each eligible project carried out using the grant funds; the outcomes and benefits generated; and the lessons learned and any recommendations relating to future projects or strategies. At the end of the project, recipients will submit a Final Implementation Report that details their findings and the extent to which the projects achieved their targeted outcomes.</w:t>
      </w:r>
    </w:p>
    <w:p w:rsidR="007D6358" w:rsidP="007D6358" w14:paraId="632C8B4D" w14:textId="77777777">
      <w:r>
        <w:t xml:space="preserve">Information provided in the Annual Implementation Reports will allow the Government to analyze project performance. This information permits federal Executive and Congressional evaluation of the program. </w:t>
      </w:r>
    </w:p>
    <w:p w:rsidR="007D6358" w:rsidRPr="009726B0" w:rsidP="007D6358" w14:paraId="3EE905CE" w14:textId="77777777">
      <w:pPr>
        <w:rPr>
          <w:b/>
          <w:bCs/>
        </w:rPr>
      </w:pPr>
      <w:r w:rsidRPr="009726B0">
        <w:rPr>
          <w:b/>
          <w:bCs/>
        </w:rPr>
        <w:t>2. How, by whom, and for what purpose is the information used:</w:t>
      </w:r>
    </w:p>
    <w:p w:rsidR="007D6358" w:rsidP="007D6358" w14:paraId="045D946B" w14:textId="77777777">
      <w:pPr>
        <w:pStyle w:val="ListParagraph"/>
        <w:numPr>
          <w:ilvl w:val="0"/>
          <w:numId w:val="5"/>
        </w:numPr>
      </w:pPr>
      <w:r>
        <w:t xml:space="preserve">The applications are a one-time collection conducted in response to the SMART Grant NOFO. There will be a new cohort of applicants each NOFO/year. For Stage 1, USDOT will use the applications to determine the eligibility and feasibility of proposed projects. At Stage 2, the USDOT will use the applications to assess if the Stage 1 applicant is ready to move onto Stage 2 and to implement their project more broadly. </w:t>
      </w:r>
    </w:p>
    <w:p w:rsidR="007D6358" w:rsidP="007D6358" w14:paraId="2446F869" w14:textId="77777777">
      <w:pPr>
        <w:pStyle w:val="ListParagraph"/>
        <w:numPr>
          <w:ilvl w:val="0"/>
          <w:numId w:val="5"/>
        </w:numPr>
      </w:pPr>
      <w:r>
        <w:t xml:space="preserve">Grant agreements will be executed separately for each stage of the grant program. The USDOT uses these agreements to establish the terms by which the disbursed funds will be used (e.g., timeline, deliverables, etc.). For each recipient, the Stage 1 and Stage 2 grant agreements are a one-time collection; however, there will be separate cohorts of recipients (approximately one per year) covered by this ICR. </w:t>
      </w:r>
    </w:p>
    <w:p w:rsidR="007D6358" w:rsidP="007D6358" w14:paraId="2D72BCE0" w14:textId="4BC01DE0">
      <w:pPr>
        <w:pStyle w:val="ListParagraph"/>
        <w:numPr>
          <w:ilvl w:val="0"/>
          <w:numId w:val="5"/>
        </w:numPr>
      </w:pPr>
      <w:r>
        <w:t xml:space="preserve">USDOT Quarterly Progress Reports and Annual Implementation Reporting are necessary to ensure that the projects are progressing as anticipated and that federal dollars are being spent appropriately. Such regular reporting keeps USDOT informed on whether projects are on schedule and within budget and enables USDOT to identify problems as they arise, so that they can work with recipients to resolve any issues in a timely fashion. Likewise, the Evaluation Plan and Data Management Plan provide a mechanism for ensuring that recipients are planning for how they will execute their project evaluations. The Final Implementation Report is a one- time collection that summarizes the overall benefits of the project as compared to the costs, and the extent to which the project met original expectations. The USDOT will use the Final Reports to assess the impacts of individual projects as well as the overall effectiveness of the Program.  More specifically, USDOT will use the Annual Implementation Reports and Final Implementation Reports to meet the SMART Grant reporting requirements outlined in BIL, including a Report to Congress and a Best Practices document.  </w:t>
      </w:r>
    </w:p>
    <w:p w:rsidR="007D6358" w:rsidRPr="009726B0" w:rsidP="007D6358" w14:paraId="25C4B6B1" w14:textId="77777777">
      <w:pPr>
        <w:rPr>
          <w:b/>
          <w:bCs/>
        </w:rPr>
      </w:pPr>
      <w:r w:rsidRPr="009726B0">
        <w:rPr>
          <w:b/>
          <w:bCs/>
        </w:rPr>
        <w:t>3. Extent of automated information collection:</w:t>
      </w:r>
    </w:p>
    <w:p w:rsidR="007D6358" w:rsidP="007D6358" w14:paraId="06A16B90" w14:textId="77777777">
      <w:r>
        <w:t>Applications, Quarterly Progress Reports, Financial reports, the Evaluation Plan, the Data Management Plan, Annual Implementation Reports, and the Final Implementation Report will be submitted electronically.</w:t>
      </w:r>
    </w:p>
    <w:p w:rsidR="007D6358" w:rsidRPr="009726B0" w:rsidP="007D6358" w14:paraId="79A81CD2" w14:textId="77777777">
      <w:pPr>
        <w:rPr>
          <w:b/>
          <w:bCs/>
        </w:rPr>
      </w:pPr>
      <w:r w:rsidRPr="009726B0">
        <w:rPr>
          <w:b/>
          <w:bCs/>
        </w:rPr>
        <w:t>4. Efforts to identify duplication:</w:t>
      </w:r>
    </w:p>
    <w:p w:rsidR="007D6358" w:rsidP="007D6358" w14:paraId="41669641" w14:textId="77777777">
      <w:r>
        <w:t>This information collection requirement does not duplicate any other requirements. It is a grant program stipulated in BIL.</w:t>
      </w:r>
    </w:p>
    <w:p w:rsidR="0023766C" w:rsidP="007D6358" w14:paraId="78DADC28" w14:textId="77777777"/>
    <w:p w:rsidR="007D6358" w:rsidRPr="009726B0" w:rsidP="007D6358" w14:paraId="179F2018" w14:textId="77777777">
      <w:pPr>
        <w:rPr>
          <w:b/>
          <w:bCs/>
        </w:rPr>
      </w:pPr>
      <w:r w:rsidRPr="009726B0">
        <w:rPr>
          <w:b/>
          <w:bCs/>
        </w:rPr>
        <w:t>5. Efforts to minimize the burden on small businesses:</w:t>
      </w:r>
    </w:p>
    <w:p w:rsidR="007D6358" w:rsidP="007D6358" w14:paraId="2A6F9D21" w14:textId="60376EA0">
      <w:r>
        <w:t xml:space="preserve">N/A. Small businesses are not eligible applicants </w:t>
      </w:r>
    </w:p>
    <w:p w:rsidR="007D6358" w:rsidRPr="009726B0" w:rsidP="007D6358" w14:paraId="1B4E9989" w14:textId="77777777">
      <w:pPr>
        <w:rPr>
          <w:b/>
          <w:bCs/>
        </w:rPr>
      </w:pPr>
      <w:r w:rsidRPr="009726B0">
        <w:rPr>
          <w:b/>
          <w:bCs/>
        </w:rPr>
        <w:t>6. Impact of less frequent collection of information:</w:t>
      </w:r>
    </w:p>
    <w:p w:rsidR="007D6358" w:rsidP="007D6358" w14:paraId="66424AE0" w14:textId="77777777">
      <w:pPr>
        <w:pStyle w:val="ListParagraph"/>
        <w:numPr>
          <w:ilvl w:val="0"/>
          <w:numId w:val="6"/>
        </w:numPr>
      </w:pPr>
      <w:r>
        <w:t>Without the Applications, the USDOT would have no way to determine the eligibility of proposed projects as well as their feasibility. Moreover, the USDOT would not be able to assess whether the Stage 1 projects are ready to move onto Stage 2.</w:t>
      </w:r>
    </w:p>
    <w:p w:rsidR="007D6358" w:rsidP="007D6358" w14:paraId="2C49505F" w14:textId="77777777">
      <w:pPr>
        <w:pStyle w:val="ListParagraph"/>
        <w:numPr>
          <w:ilvl w:val="0"/>
          <w:numId w:val="6"/>
        </w:numPr>
      </w:pPr>
      <w:r>
        <w:t xml:space="preserve">Without the Grant agreements, the USDOT would not be able to execute the transfer of funds and hold the recipients accountable to a timeline and to specified project deliverables. </w:t>
      </w:r>
    </w:p>
    <w:p w:rsidR="007D6358" w:rsidP="007D6358" w14:paraId="2E666D68" w14:textId="77777777">
      <w:pPr>
        <w:pStyle w:val="ListParagraph"/>
        <w:numPr>
          <w:ilvl w:val="0"/>
          <w:numId w:val="6"/>
        </w:numPr>
      </w:pPr>
      <w:r>
        <w:t xml:space="preserve">With less frequent collection of Quarterly Progress reports, Quarterly Financial reports, and Annual Implementation Reports, the USDOT would be less likely to identify problems as they arise, thus delaying possible mitigation strategies and increasing the risks of the project. The Quarterly Progress reports will provide USDOT with information on whether recipients need technical assistance or if there are programmatic issues that need to be addressed. </w:t>
      </w:r>
    </w:p>
    <w:p w:rsidR="007D6358" w:rsidP="007D6358" w14:paraId="144CCF9D" w14:textId="77777777">
      <w:pPr>
        <w:pStyle w:val="ListParagraph"/>
        <w:numPr>
          <w:ilvl w:val="0"/>
          <w:numId w:val="6"/>
        </w:numPr>
      </w:pPr>
      <w:r>
        <w:t>Without the Evaluation Plan and Data Management Plan the USDOT would not have a method for determining if recipients are on track to measure the impacts and outcomes of their projects.</w:t>
      </w:r>
    </w:p>
    <w:p w:rsidR="007D6358" w:rsidP="007D6358" w14:paraId="759B9249" w14:textId="1B047017">
      <w:pPr>
        <w:pStyle w:val="ListParagraph"/>
        <w:numPr>
          <w:ilvl w:val="0"/>
          <w:numId w:val="6"/>
        </w:numPr>
      </w:pPr>
      <w:r>
        <w:t>Without the Final Implementation Report, the USDOT does not have a method for assessing the benefits and impacts of individual projects, nor can it determine the overall effectiveness of the Program. Moreover, USDOT cannot closeout the project successfully.</w:t>
      </w:r>
    </w:p>
    <w:p w:rsidR="007D6358" w:rsidRPr="009726B0" w:rsidP="007D6358" w14:paraId="6C47E42B" w14:textId="77777777">
      <w:pPr>
        <w:rPr>
          <w:b/>
          <w:bCs/>
        </w:rPr>
      </w:pPr>
      <w:r w:rsidRPr="009726B0">
        <w:rPr>
          <w:b/>
          <w:bCs/>
        </w:rPr>
        <w:t>7. Special circumstances:</w:t>
      </w:r>
    </w:p>
    <w:p w:rsidR="007D6358" w:rsidP="007D6358" w14:paraId="1D0923F5" w14:textId="77777777">
      <w:r>
        <w:t>There are no special circumstances related to this information collection.</w:t>
      </w:r>
    </w:p>
    <w:p w:rsidR="007D6358" w:rsidRPr="009726B0" w:rsidP="007D6358" w14:paraId="02B53BDC" w14:textId="77777777">
      <w:pPr>
        <w:rPr>
          <w:b/>
          <w:bCs/>
        </w:rPr>
      </w:pPr>
      <w:r w:rsidRPr="009726B0">
        <w:rPr>
          <w:b/>
          <w:bCs/>
        </w:rPr>
        <w:t>8. Compliance with 5 CFR 1320.8:</w:t>
      </w:r>
    </w:p>
    <w:p w:rsidR="007D6358" w:rsidP="007D6358" w14:paraId="7DC60FD4" w14:textId="258479A3">
      <w:r>
        <w:t>The</w:t>
      </w:r>
      <w:r>
        <w:t xml:space="preserve"> 60-day Federal Register notice was published on May 13, 2025, </w:t>
      </w:r>
      <w:r>
        <w:t>[</w:t>
      </w:r>
      <w:r>
        <w:t>90 FR 20338</w:t>
      </w:r>
      <w:r>
        <w:t>]</w:t>
      </w:r>
      <w:r>
        <w:t>, which solicited public comments on the intention of the USDOT to seek approval for this new information collection. No comments were received.</w:t>
      </w:r>
    </w:p>
    <w:p w:rsidR="00ED6EAB" w:rsidP="007D6358" w14:paraId="2C2F9673" w14:textId="212C9495">
      <w:r>
        <w:t xml:space="preserve">The 30-day Federal Register notice was </w:t>
      </w:r>
      <w:r w:rsidRPr="00A91BBF">
        <w:t xml:space="preserve">published on </w:t>
      </w:r>
      <w:r w:rsidR="00A91BBF">
        <w:t>September 23, 2025</w:t>
      </w:r>
      <w:r w:rsidRPr="00A91BBF">
        <w:t xml:space="preserve">, [90 FR </w:t>
      </w:r>
      <w:r w:rsidRPr="00A91BBF" w:rsidR="00A91BBF">
        <w:t>45891</w:t>
      </w:r>
      <w:r w:rsidRPr="00A91BBF">
        <w:t>], to notify</w:t>
      </w:r>
      <w:r>
        <w:t xml:space="preserve"> the public of FHWA’s submission of this information collection to OMB for review and approval.</w:t>
      </w:r>
    </w:p>
    <w:p w:rsidR="007D6358" w:rsidRPr="009726B0" w:rsidP="007D6358" w14:paraId="325A3EF7" w14:textId="77777777">
      <w:pPr>
        <w:rPr>
          <w:b/>
          <w:bCs/>
        </w:rPr>
      </w:pPr>
      <w:r w:rsidRPr="009726B0">
        <w:rPr>
          <w:b/>
          <w:bCs/>
        </w:rPr>
        <w:t>9. Payments or gifts to respondents:</w:t>
      </w:r>
    </w:p>
    <w:p w:rsidR="007D6358" w:rsidP="007D6358" w14:paraId="4B2E5961" w14:textId="77777777">
      <w:r>
        <w:t>None</w:t>
      </w:r>
    </w:p>
    <w:p w:rsidR="007D6358" w:rsidRPr="009726B0" w:rsidP="007D6358" w14:paraId="4C27BB4C" w14:textId="77777777">
      <w:pPr>
        <w:rPr>
          <w:b/>
          <w:bCs/>
        </w:rPr>
      </w:pPr>
      <w:r w:rsidRPr="009726B0">
        <w:rPr>
          <w:b/>
          <w:bCs/>
        </w:rPr>
        <w:t>10. Assurance of confidentiality:</w:t>
      </w:r>
    </w:p>
    <w:p w:rsidR="007D6358" w:rsidP="007D6358" w14:paraId="2B494361" w14:textId="77777777">
      <w:r>
        <w:t xml:space="preserve">None of the information is considered confidential as it is all available to the public. </w:t>
      </w:r>
    </w:p>
    <w:p w:rsidR="007D6358" w:rsidRPr="009726B0" w:rsidP="007D6358" w14:paraId="34AAA1E0" w14:textId="77777777">
      <w:pPr>
        <w:rPr>
          <w:b/>
          <w:bCs/>
        </w:rPr>
      </w:pPr>
      <w:r w:rsidRPr="009726B0">
        <w:rPr>
          <w:b/>
          <w:bCs/>
        </w:rPr>
        <w:t>11. Justification for collection of sensitive information:</w:t>
      </w:r>
    </w:p>
    <w:p w:rsidR="007D6358" w:rsidP="007D6358" w14:paraId="1110ECB7" w14:textId="77777777">
      <w:r>
        <w:t xml:space="preserve">There are no questions of a sensitive nature. </w:t>
      </w:r>
    </w:p>
    <w:p w:rsidR="007D6358" w:rsidRPr="009726B0" w:rsidP="007D6358" w14:paraId="5155CFE4" w14:textId="77777777">
      <w:pPr>
        <w:rPr>
          <w:b/>
          <w:bCs/>
        </w:rPr>
      </w:pPr>
      <w:r w:rsidRPr="009726B0">
        <w:rPr>
          <w:b/>
          <w:bCs/>
        </w:rPr>
        <w:t>12. Estimate of burden hours for information requested:</w:t>
      </w:r>
    </w:p>
    <w:p w:rsidR="007D6358" w:rsidP="007D6358" w14:paraId="34A27EBE" w14:textId="61C588C8">
      <w:r>
        <w:t xml:space="preserve">The annual burden is calculated separately for the different phases of the grant program. Based on the experience of the Advanced Transportation and Congestion Management Technologies Deployment </w:t>
      </w:r>
      <w:r>
        <w:t>(ATCMTD) Grant Program, approximately 60 -120 entities are expected to apply each year (i.e., each year being a cohort), and it is anticipated that USDOT will award 30 to 60 Stage 1 grants each year. For the purposes of estimating the burden, approximately, 25% of Stage 1 recipients will be awarded a Stage 2 grant to implement their projects more broadly. There could be quite a bit of variability in the hours required to prepare the following requirements, depending on the complexity of the project. As a result, the burden hours included in the table below represent an estimate for the number of average hours that will be needed to complete the requirement. The rows highlighted in yellow include ongoing requirements that are collected for the duration of the IC for each cohort.  All other information is a one-time collection for each cohort.</w:t>
      </w:r>
    </w:p>
    <w:tbl>
      <w:tblPr>
        <w:tblStyle w:val="TableGrid"/>
        <w:tblW w:w="9810" w:type="dxa"/>
        <w:tblInd w:w="-342" w:type="dxa"/>
        <w:tblLook w:val="04A0"/>
      </w:tblPr>
      <w:tblGrid>
        <w:gridCol w:w="2651"/>
        <w:gridCol w:w="1466"/>
        <w:gridCol w:w="1350"/>
        <w:gridCol w:w="1260"/>
        <w:gridCol w:w="3083"/>
      </w:tblGrid>
      <w:tr w14:paraId="2F52FBAF" w14:textId="77777777" w:rsidTr="0019513B">
        <w:tblPrEx>
          <w:tblW w:w="9810" w:type="dxa"/>
          <w:tblInd w:w="-342" w:type="dxa"/>
          <w:tblLook w:val="04A0"/>
        </w:tblPrEx>
        <w:tc>
          <w:tcPr>
            <w:tcW w:w="2651" w:type="dxa"/>
          </w:tcPr>
          <w:p w:rsidR="007D6358" w:rsidRPr="007D6358" w:rsidP="0019513B" w14:paraId="093D3B9A" w14:textId="77777777">
            <w:pPr>
              <w:pStyle w:val="BodyText"/>
              <w:rPr>
                <w:b/>
                <w:bCs/>
                <w:color w:val="auto"/>
              </w:rPr>
            </w:pPr>
            <w:r w:rsidRPr="007D6358">
              <w:rPr>
                <w:b/>
                <w:bCs/>
                <w:color w:val="auto"/>
              </w:rPr>
              <w:t>Requirements</w:t>
            </w:r>
          </w:p>
        </w:tc>
        <w:tc>
          <w:tcPr>
            <w:tcW w:w="1466" w:type="dxa"/>
          </w:tcPr>
          <w:p w:rsidR="007D6358" w:rsidRPr="007D6358" w:rsidP="0019513B" w14:paraId="0D242D0F" w14:textId="77777777">
            <w:pPr>
              <w:pStyle w:val="BodyText"/>
              <w:rPr>
                <w:b/>
                <w:bCs/>
                <w:color w:val="auto"/>
              </w:rPr>
            </w:pPr>
            <w:r w:rsidRPr="007D6358">
              <w:rPr>
                <w:b/>
                <w:bCs/>
                <w:color w:val="auto"/>
              </w:rPr>
              <w:t>Number of Annual Submissions</w:t>
            </w:r>
          </w:p>
        </w:tc>
        <w:tc>
          <w:tcPr>
            <w:tcW w:w="1350" w:type="dxa"/>
          </w:tcPr>
          <w:p w:rsidR="007D6358" w:rsidRPr="007D6358" w:rsidP="0019513B" w14:paraId="3FE14F13" w14:textId="77777777">
            <w:pPr>
              <w:pStyle w:val="BodyText"/>
              <w:rPr>
                <w:b/>
                <w:bCs/>
                <w:color w:val="auto"/>
              </w:rPr>
            </w:pPr>
            <w:r w:rsidRPr="007D6358">
              <w:rPr>
                <w:b/>
                <w:bCs/>
                <w:color w:val="auto"/>
              </w:rPr>
              <w:t>Burden Hours per submission</w:t>
            </w:r>
          </w:p>
        </w:tc>
        <w:tc>
          <w:tcPr>
            <w:tcW w:w="1260" w:type="dxa"/>
          </w:tcPr>
          <w:p w:rsidR="007D6358" w:rsidRPr="007D6358" w:rsidP="0019513B" w14:paraId="41A34F57" w14:textId="77777777">
            <w:pPr>
              <w:pStyle w:val="BodyText"/>
              <w:rPr>
                <w:b/>
                <w:bCs/>
                <w:color w:val="auto"/>
              </w:rPr>
            </w:pPr>
            <w:r w:rsidRPr="007D6358">
              <w:rPr>
                <w:b/>
                <w:bCs/>
                <w:color w:val="auto"/>
              </w:rPr>
              <w:t>Total Annual</w:t>
            </w:r>
          </w:p>
          <w:p w:rsidR="007D6358" w:rsidRPr="007D6358" w:rsidP="0019513B" w14:paraId="3127825D" w14:textId="77777777">
            <w:pPr>
              <w:pStyle w:val="BodyText"/>
              <w:rPr>
                <w:b/>
                <w:bCs/>
                <w:color w:val="auto"/>
              </w:rPr>
            </w:pPr>
            <w:r w:rsidRPr="007D6358">
              <w:rPr>
                <w:b/>
                <w:bCs/>
                <w:color w:val="auto"/>
              </w:rPr>
              <w:t xml:space="preserve">Burden </w:t>
            </w:r>
          </w:p>
        </w:tc>
        <w:tc>
          <w:tcPr>
            <w:tcW w:w="3083" w:type="dxa"/>
          </w:tcPr>
          <w:p w:rsidR="007D6358" w:rsidRPr="007D6358" w:rsidP="0019513B" w14:paraId="53C107BF" w14:textId="77777777">
            <w:pPr>
              <w:pStyle w:val="BodyText"/>
              <w:rPr>
                <w:b/>
                <w:bCs/>
                <w:color w:val="auto"/>
              </w:rPr>
            </w:pPr>
            <w:r w:rsidRPr="007D6358">
              <w:rPr>
                <w:b/>
                <w:bCs/>
                <w:color w:val="auto"/>
              </w:rPr>
              <w:t xml:space="preserve">Notes </w:t>
            </w:r>
          </w:p>
        </w:tc>
      </w:tr>
      <w:tr w14:paraId="35CED415" w14:textId="77777777" w:rsidTr="0019513B">
        <w:tblPrEx>
          <w:tblW w:w="9810" w:type="dxa"/>
          <w:tblInd w:w="-342" w:type="dxa"/>
          <w:tblLook w:val="04A0"/>
        </w:tblPrEx>
        <w:tc>
          <w:tcPr>
            <w:tcW w:w="2651" w:type="dxa"/>
          </w:tcPr>
          <w:p w:rsidR="007D6358" w:rsidRPr="007D6358" w:rsidP="0019513B" w14:paraId="1D8E457D" w14:textId="77777777">
            <w:pPr>
              <w:pStyle w:val="BodyText"/>
              <w:rPr>
                <w:b/>
                <w:bCs/>
                <w:color w:val="auto"/>
              </w:rPr>
            </w:pPr>
            <w:r w:rsidRPr="007D6358">
              <w:rPr>
                <w:b/>
                <w:bCs/>
                <w:color w:val="auto"/>
              </w:rPr>
              <w:t>Application Process</w:t>
            </w:r>
          </w:p>
        </w:tc>
        <w:tc>
          <w:tcPr>
            <w:tcW w:w="1466" w:type="dxa"/>
          </w:tcPr>
          <w:p w:rsidR="007D6358" w:rsidRPr="007D6358" w:rsidP="0019513B" w14:paraId="760C88E0" w14:textId="77777777">
            <w:pPr>
              <w:pStyle w:val="BodyText"/>
              <w:rPr>
                <w:color w:val="auto"/>
              </w:rPr>
            </w:pPr>
          </w:p>
        </w:tc>
        <w:tc>
          <w:tcPr>
            <w:tcW w:w="1350" w:type="dxa"/>
          </w:tcPr>
          <w:p w:rsidR="007D6358" w:rsidRPr="007D6358" w:rsidP="0019513B" w14:paraId="59EBE99E" w14:textId="77777777">
            <w:pPr>
              <w:pStyle w:val="BodyText"/>
              <w:rPr>
                <w:color w:val="auto"/>
              </w:rPr>
            </w:pPr>
          </w:p>
        </w:tc>
        <w:tc>
          <w:tcPr>
            <w:tcW w:w="1260" w:type="dxa"/>
          </w:tcPr>
          <w:p w:rsidR="007D6358" w:rsidRPr="007D6358" w:rsidP="0019513B" w14:paraId="4A6E3022" w14:textId="77777777">
            <w:pPr>
              <w:pStyle w:val="BodyText"/>
              <w:rPr>
                <w:color w:val="auto"/>
              </w:rPr>
            </w:pPr>
          </w:p>
        </w:tc>
        <w:tc>
          <w:tcPr>
            <w:tcW w:w="3083" w:type="dxa"/>
            <w:vMerge w:val="restart"/>
          </w:tcPr>
          <w:p w:rsidR="007D6358" w:rsidRPr="007D6358" w:rsidP="0019513B" w14:paraId="00396B1C" w14:textId="77777777">
            <w:pPr>
              <w:pStyle w:val="BodyText"/>
              <w:rPr>
                <w:color w:val="auto"/>
                <w:sz w:val="18"/>
                <w:szCs w:val="18"/>
              </w:rPr>
            </w:pPr>
            <w:r w:rsidRPr="007D6358">
              <w:rPr>
                <w:color w:val="auto"/>
                <w:sz w:val="18"/>
                <w:szCs w:val="18"/>
              </w:rPr>
              <w:t xml:space="preserve">While each applicant only needs to complete one Stage 1 and Stage 2 application, and execute one Stage 1 and Stage 2 agreement, the Program will repeat this process annually, resulting in DIFFERENT cohorts (assume 3 cohorts for burden calculation). </w:t>
            </w:r>
          </w:p>
        </w:tc>
      </w:tr>
      <w:tr w14:paraId="3EECF6C6" w14:textId="77777777" w:rsidTr="0019513B">
        <w:tblPrEx>
          <w:tblW w:w="9810" w:type="dxa"/>
          <w:tblInd w:w="-342" w:type="dxa"/>
          <w:tblLook w:val="04A0"/>
        </w:tblPrEx>
        <w:tc>
          <w:tcPr>
            <w:tcW w:w="2651" w:type="dxa"/>
          </w:tcPr>
          <w:p w:rsidR="007D6358" w:rsidRPr="007D6358" w:rsidP="007D6358" w14:paraId="5AAB0B56" w14:textId="77777777">
            <w:pPr>
              <w:pStyle w:val="BodyText"/>
              <w:numPr>
                <w:ilvl w:val="0"/>
                <w:numId w:val="7"/>
              </w:numPr>
              <w:ind w:left="180" w:hanging="180"/>
              <w:rPr>
                <w:color w:val="auto"/>
              </w:rPr>
            </w:pPr>
            <w:r w:rsidRPr="007D6358">
              <w:rPr>
                <w:color w:val="auto"/>
              </w:rPr>
              <w:t>Stage 1</w:t>
            </w:r>
          </w:p>
        </w:tc>
        <w:tc>
          <w:tcPr>
            <w:tcW w:w="1466" w:type="dxa"/>
          </w:tcPr>
          <w:p w:rsidR="007D6358" w:rsidRPr="007D6358" w:rsidP="0019513B" w14:paraId="6EDEC512" w14:textId="77777777">
            <w:pPr>
              <w:pStyle w:val="BodyText"/>
              <w:rPr>
                <w:color w:val="auto"/>
              </w:rPr>
            </w:pPr>
            <w:r w:rsidRPr="007D6358">
              <w:rPr>
                <w:color w:val="auto"/>
              </w:rPr>
              <w:t>300</w:t>
            </w:r>
          </w:p>
        </w:tc>
        <w:tc>
          <w:tcPr>
            <w:tcW w:w="1350" w:type="dxa"/>
          </w:tcPr>
          <w:p w:rsidR="007D6358" w:rsidRPr="007D6358" w:rsidP="0019513B" w14:paraId="733B33C7" w14:textId="77777777">
            <w:pPr>
              <w:pStyle w:val="BodyText"/>
              <w:rPr>
                <w:color w:val="auto"/>
              </w:rPr>
            </w:pPr>
            <w:r w:rsidRPr="007D6358">
              <w:rPr>
                <w:color w:val="auto"/>
              </w:rPr>
              <w:t>15</w:t>
            </w:r>
          </w:p>
        </w:tc>
        <w:tc>
          <w:tcPr>
            <w:tcW w:w="1260" w:type="dxa"/>
          </w:tcPr>
          <w:p w:rsidR="007D6358" w:rsidRPr="007D6358" w:rsidP="0019513B" w14:paraId="413E5D64" w14:textId="77777777">
            <w:pPr>
              <w:pStyle w:val="BodyText"/>
              <w:rPr>
                <w:color w:val="auto"/>
              </w:rPr>
            </w:pPr>
            <w:r w:rsidRPr="007D6358">
              <w:rPr>
                <w:color w:val="auto"/>
              </w:rPr>
              <w:t>4500</w:t>
            </w:r>
          </w:p>
        </w:tc>
        <w:tc>
          <w:tcPr>
            <w:tcW w:w="3083" w:type="dxa"/>
            <w:vMerge/>
          </w:tcPr>
          <w:p w:rsidR="007D6358" w:rsidRPr="007D6358" w:rsidP="0019513B" w14:paraId="1091A829" w14:textId="77777777">
            <w:pPr>
              <w:pStyle w:val="BodyText"/>
              <w:rPr>
                <w:color w:val="auto"/>
                <w:sz w:val="18"/>
                <w:szCs w:val="18"/>
              </w:rPr>
            </w:pPr>
          </w:p>
        </w:tc>
      </w:tr>
      <w:tr w14:paraId="4DD98FB4" w14:textId="77777777" w:rsidTr="0019513B">
        <w:tblPrEx>
          <w:tblW w:w="9810" w:type="dxa"/>
          <w:tblInd w:w="-342" w:type="dxa"/>
          <w:tblLook w:val="04A0"/>
        </w:tblPrEx>
        <w:tc>
          <w:tcPr>
            <w:tcW w:w="2651" w:type="dxa"/>
          </w:tcPr>
          <w:p w:rsidR="007D6358" w:rsidRPr="009726B0" w:rsidP="007D6358" w14:paraId="23C3E784" w14:textId="76AE576F">
            <w:pPr>
              <w:pStyle w:val="BodyText"/>
              <w:numPr>
                <w:ilvl w:val="0"/>
                <w:numId w:val="7"/>
              </w:numPr>
              <w:ind w:left="180" w:hanging="180"/>
              <w:rPr>
                <w:color w:val="000000" w:themeColor="text1"/>
              </w:rPr>
            </w:pPr>
            <w:r w:rsidRPr="009726B0">
              <w:rPr>
                <w:color w:val="000000" w:themeColor="text1"/>
              </w:rPr>
              <w:t>Stage 2</w:t>
            </w:r>
            <w:r w:rsidR="004542AE">
              <w:rPr>
                <w:color w:val="000000" w:themeColor="text1"/>
              </w:rPr>
              <w:t>/Implementation</w:t>
            </w:r>
          </w:p>
        </w:tc>
        <w:tc>
          <w:tcPr>
            <w:tcW w:w="1466" w:type="dxa"/>
          </w:tcPr>
          <w:p w:rsidR="007D6358" w:rsidRPr="009726B0" w:rsidP="0019513B" w14:paraId="2D9587C6" w14:textId="77777777">
            <w:pPr>
              <w:pStyle w:val="BodyText"/>
              <w:spacing w:line="259" w:lineRule="auto"/>
              <w:rPr>
                <w:color w:val="000000" w:themeColor="text1"/>
              </w:rPr>
            </w:pPr>
            <w:r w:rsidRPr="009726B0">
              <w:rPr>
                <w:color w:val="000000" w:themeColor="text1"/>
              </w:rPr>
              <w:t>60</w:t>
            </w:r>
          </w:p>
        </w:tc>
        <w:tc>
          <w:tcPr>
            <w:tcW w:w="1350" w:type="dxa"/>
          </w:tcPr>
          <w:p w:rsidR="007D6358" w:rsidRPr="009726B0" w:rsidP="0019513B" w14:paraId="5C868215" w14:textId="77777777">
            <w:pPr>
              <w:pStyle w:val="BodyText"/>
              <w:rPr>
                <w:color w:val="000000" w:themeColor="text1"/>
              </w:rPr>
            </w:pPr>
            <w:r w:rsidRPr="009726B0">
              <w:rPr>
                <w:color w:val="000000" w:themeColor="text1"/>
              </w:rPr>
              <w:t>20</w:t>
            </w:r>
          </w:p>
        </w:tc>
        <w:tc>
          <w:tcPr>
            <w:tcW w:w="1260" w:type="dxa"/>
          </w:tcPr>
          <w:p w:rsidR="007D6358" w:rsidRPr="009726B0" w:rsidP="0019513B" w14:paraId="2F394096" w14:textId="77777777">
            <w:pPr>
              <w:pStyle w:val="BodyText"/>
              <w:rPr>
                <w:color w:val="000000" w:themeColor="text1"/>
              </w:rPr>
            </w:pPr>
            <w:r w:rsidRPr="009726B0">
              <w:rPr>
                <w:color w:val="000000" w:themeColor="text1"/>
              </w:rPr>
              <w:t xml:space="preserve">1200 </w:t>
            </w:r>
          </w:p>
        </w:tc>
        <w:tc>
          <w:tcPr>
            <w:tcW w:w="3083" w:type="dxa"/>
            <w:vMerge/>
          </w:tcPr>
          <w:p w:rsidR="007D6358" w:rsidRPr="007D6358" w:rsidP="0019513B" w14:paraId="426F95FB" w14:textId="77777777">
            <w:pPr>
              <w:pStyle w:val="BodyText"/>
              <w:rPr>
                <w:color w:val="auto"/>
                <w:sz w:val="18"/>
                <w:szCs w:val="18"/>
              </w:rPr>
            </w:pPr>
          </w:p>
        </w:tc>
      </w:tr>
      <w:tr w14:paraId="76B67B4C" w14:textId="77777777" w:rsidTr="0019513B">
        <w:tblPrEx>
          <w:tblW w:w="9810" w:type="dxa"/>
          <w:tblInd w:w="-342" w:type="dxa"/>
          <w:tblLook w:val="04A0"/>
        </w:tblPrEx>
        <w:tc>
          <w:tcPr>
            <w:tcW w:w="2651" w:type="dxa"/>
          </w:tcPr>
          <w:p w:rsidR="007D6358" w:rsidRPr="009726B0" w:rsidP="0019513B" w14:paraId="2E6ADE35" w14:textId="77777777">
            <w:pPr>
              <w:pStyle w:val="BodyText"/>
              <w:rPr>
                <w:b/>
                <w:bCs/>
                <w:color w:val="000000" w:themeColor="text1"/>
              </w:rPr>
            </w:pPr>
            <w:r w:rsidRPr="009726B0">
              <w:rPr>
                <w:b/>
                <w:bCs/>
                <w:color w:val="000000" w:themeColor="text1"/>
              </w:rPr>
              <w:t xml:space="preserve">Grant Agreement </w:t>
            </w:r>
          </w:p>
        </w:tc>
        <w:tc>
          <w:tcPr>
            <w:tcW w:w="1466" w:type="dxa"/>
          </w:tcPr>
          <w:p w:rsidR="007D6358" w:rsidRPr="009726B0" w:rsidP="0019513B" w14:paraId="54DB6DB8" w14:textId="77777777">
            <w:pPr>
              <w:pStyle w:val="BodyText"/>
              <w:rPr>
                <w:color w:val="000000" w:themeColor="text1"/>
              </w:rPr>
            </w:pPr>
          </w:p>
        </w:tc>
        <w:tc>
          <w:tcPr>
            <w:tcW w:w="1350" w:type="dxa"/>
          </w:tcPr>
          <w:p w:rsidR="007D6358" w:rsidRPr="009726B0" w:rsidP="0019513B" w14:paraId="010D1D37" w14:textId="77777777">
            <w:pPr>
              <w:pStyle w:val="BodyText"/>
              <w:rPr>
                <w:color w:val="000000" w:themeColor="text1"/>
              </w:rPr>
            </w:pPr>
          </w:p>
        </w:tc>
        <w:tc>
          <w:tcPr>
            <w:tcW w:w="1260" w:type="dxa"/>
          </w:tcPr>
          <w:p w:rsidR="007D6358" w:rsidRPr="009726B0" w:rsidP="0019513B" w14:paraId="6F2673A3" w14:textId="77777777">
            <w:pPr>
              <w:pStyle w:val="BodyText"/>
              <w:rPr>
                <w:color w:val="000000" w:themeColor="text1"/>
              </w:rPr>
            </w:pPr>
          </w:p>
        </w:tc>
        <w:tc>
          <w:tcPr>
            <w:tcW w:w="3083" w:type="dxa"/>
            <w:vMerge/>
          </w:tcPr>
          <w:p w:rsidR="007D6358" w:rsidRPr="007D6358" w:rsidP="0019513B" w14:paraId="312F17F2" w14:textId="77777777">
            <w:pPr>
              <w:pStyle w:val="BodyText"/>
              <w:rPr>
                <w:color w:val="auto"/>
                <w:sz w:val="18"/>
                <w:szCs w:val="18"/>
              </w:rPr>
            </w:pPr>
          </w:p>
        </w:tc>
      </w:tr>
      <w:tr w14:paraId="66C82858" w14:textId="77777777" w:rsidTr="0019513B">
        <w:tblPrEx>
          <w:tblW w:w="9810" w:type="dxa"/>
          <w:tblInd w:w="-342" w:type="dxa"/>
          <w:tblLook w:val="04A0"/>
        </w:tblPrEx>
        <w:tc>
          <w:tcPr>
            <w:tcW w:w="2651" w:type="dxa"/>
          </w:tcPr>
          <w:p w:rsidR="007D6358" w:rsidRPr="009726B0" w:rsidP="007D6358" w14:paraId="51A51163" w14:textId="77777777">
            <w:pPr>
              <w:pStyle w:val="BodyText"/>
              <w:numPr>
                <w:ilvl w:val="0"/>
                <w:numId w:val="7"/>
              </w:numPr>
              <w:ind w:left="180" w:hanging="180"/>
              <w:rPr>
                <w:color w:val="000000" w:themeColor="text1"/>
              </w:rPr>
            </w:pPr>
            <w:r w:rsidRPr="009726B0">
              <w:rPr>
                <w:color w:val="000000" w:themeColor="text1"/>
              </w:rPr>
              <w:t>Stage 1 Set-up/Execution</w:t>
            </w:r>
          </w:p>
        </w:tc>
        <w:tc>
          <w:tcPr>
            <w:tcW w:w="1466" w:type="dxa"/>
          </w:tcPr>
          <w:p w:rsidR="007D6358" w:rsidRPr="009726B0" w:rsidP="0019513B" w14:paraId="4498E9B1" w14:textId="77777777">
            <w:pPr>
              <w:pStyle w:val="BodyText"/>
              <w:spacing w:line="259" w:lineRule="auto"/>
              <w:rPr>
                <w:color w:val="000000" w:themeColor="text1"/>
              </w:rPr>
            </w:pPr>
            <w:r w:rsidRPr="009726B0">
              <w:rPr>
                <w:color w:val="000000" w:themeColor="text1"/>
              </w:rPr>
              <w:t>60</w:t>
            </w:r>
          </w:p>
        </w:tc>
        <w:tc>
          <w:tcPr>
            <w:tcW w:w="1350" w:type="dxa"/>
          </w:tcPr>
          <w:p w:rsidR="007D6358" w:rsidRPr="009726B0" w:rsidP="0019513B" w14:paraId="394A0644" w14:textId="77777777">
            <w:pPr>
              <w:pStyle w:val="BodyText"/>
              <w:rPr>
                <w:color w:val="000000" w:themeColor="text1"/>
              </w:rPr>
            </w:pPr>
            <w:r w:rsidRPr="009726B0">
              <w:rPr>
                <w:color w:val="000000" w:themeColor="text1"/>
              </w:rPr>
              <w:t>15</w:t>
            </w:r>
          </w:p>
        </w:tc>
        <w:tc>
          <w:tcPr>
            <w:tcW w:w="1260" w:type="dxa"/>
          </w:tcPr>
          <w:p w:rsidR="007D6358" w:rsidRPr="009726B0" w:rsidP="0019513B" w14:paraId="67DF25CF" w14:textId="77777777">
            <w:pPr>
              <w:pStyle w:val="BodyText"/>
              <w:spacing w:line="259" w:lineRule="auto"/>
              <w:rPr>
                <w:color w:val="000000" w:themeColor="text1"/>
              </w:rPr>
            </w:pPr>
            <w:r w:rsidRPr="009726B0">
              <w:rPr>
                <w:color w:val="000000" w:themeColor="text1"/>
              </w:rPr>
              <w:t>900</w:t>
            </w:r>
          </w:p>
        </w:tc>
        <w:tc>
          <w:tcPr>
            <w:tcW w:w="3083" w:type="dxa"/>
            <w:vMerge/>
          </w:tcPr>
          <w:p w:rsidR="007D6358" w:rsidRPr="007D6358" w:rsidP="0019513B" w14:paraId="76BA5E7F" w14:textId="77777777">
            <w:pPr>
              <w:pStyle w:val="BodyText"/>
              <w:rPr>
                <w:color w:val="auto"/>
                <w:sz w:val="18"/>
                <w:szCs w:val="18"/>
              </w:rPr>
            </w:pPr>
          </w:p>
        </w:tc>
      </w:tr>
      <w:tr w14:paraId="1423754B" w14:textId="77777777" w:rsidTr="0019513B">
        <w:tblPrEx>
          <w:tblW w:w="9810" w:type="dxa"/>
          <w:tblInd w:w="-342" w:type="dxa"/>
          <w:tblLook w:val="04A0"/>
        </w:tblPrEx>
        <w:tc>
          <w:tcPr>
            <w:tcW w:w="2651" w:type="dxa"/>
          </w:tcPr>
          <w:p w:rsidR="007D6358" w:rsidRPr="009726B0" w:rsidP="007D6358" w14:paraId="27C09BB3" w14:textId="59E1F551">
            <w:pPr>
              <w:pStyle w:val="BodyText"/>
              <w:numPr>
                <w:ilvl w:val="0"/>
                <w:numId w:val="7"/>
              </w:numPr>
              <w:ind w:left="180" w:hanging="180"/>
              <w:rPr>
                <w:color w:val="000000" w:themeColor="text1"/>
              </w:rPr>
            </w:pPr>
            <w:r w:rsidRPr="009726B0">
              <w:rPr>
                <w:color w:val="000000" w:themeColor="text1"/>
              </w:rPr>
              <w:t>Stage 2</w:t>
            </w:r>
            <w:r w:rsidR="00EC6C0D">
              <w:rPr>
                <w:color w:val="000000" w:themeColor="text1"/>
              </w:rPr>
              <w:t>/Implementation</w:t>
            </w:r>
            <w:r w:rsidRPr="009726B0">
              <w:rPr>
                <w:color w:val="000000" w:themeColor="text1"/>
              </w:rPr>
              <w:t xml:space="preserve"> Set-up/Execution</w:t>
            </w:r>
          </w:p>
        </w:tc>
        <w:tc>
          <w:tcPr>
            <w:tcW w:w="1466" w:type="dxa"/>
          </w:tcPr>
          <w:p w:rsidR="007D6358" w:rsidRPr="009726B0" w:rsidP="0019513B" w14:paraId="2321F2CD" w14:textId="77777777">
            <w:pPr>
              <w:pStyle w:val="BodyText"/>
              <w:rPr>
                <w:color w:val="000000" w:themeColor="text1"/>
              </w:rPr>
            </w:pPr>
            <w:r w:rsidRPr="009726B0">
              <w:rPr>
                <w:color w:val="000000" w:themeColor="text1"/>
              </w:rPr>
              <w:t>10</w:t>
            </w:r>
          </w:p>
        </w:tc>
        <w:tc>
          <w:tcPr>
            <w:tcW w:w="1350" w:type="dxa"/>
          </w:tcPr>
          <w:p w:rsidR="007D6358" w:rsidRPr="009726B0" w:rsidP="0019513B" w14:paraId="686C74F7" w14:textId="77777777">
            <w:pPr>
              <w:pStyle w:val="BodyText"/>
              <w:spacing w:line="259" w:lineRule="auto"/>
              <w:rPr>
                <w:color w:val="000000" w:themeColor="text1"/>
              </w:rPr>
            </w:pPr>
            <w:r w:rsidRPr="009726B0">
              <w:rPr>
                <w:color w:val="000000" w:themeColor="text1"/>
              </w:rPr>
              <w:t>30</w:t>
            </w:r>
          </w:p>
        </w:tc>
        <w:tc>
          <w:tcPr>
            <w:tcW w:w="1260" w:type="dxa"/>
          </w:tcPr>
          <w:p w:rsidR="007D6358" w:rsidRPr="009726B0" w:rsidP="0019513B" w14:paraId="23D02769" w14:textId="77777777">
            <w:pPr>
              <w:pStyle w:val="BodyText"/>
              <w:rPr>
                <w:color w:val="000000" w:themeColor="text1"/>
              </w:rPr>
            </w:pPr>
            <w:r w:rsidRPr="009726B0">
              <w:rPr>
                <w:color w:val="000000" w:themeColor="text1"/>
              </w:rPr>
              <w:t>300</w:t>
            </w:r>
          </w:p>
        </w:tc>
        <w:tc>
          <w:tcPr>
            <w:tcW w:w="3083" w:type="dxa"/>
            <w:vMerge/>
          </w:tcPr>
          <w:p w:rsidR="007D6358" w:rsidRPr="007D6358" w:rsidP="0019513B" w14:paraId="0384AE68" w14:textId="77777777">
            <w:pPr>
              <w:pStyle w:val="BodyText"/>
              <w:rPr>
                <w:color w:val="auto"/>
                <w:sz w:val="18"/>
                <w:szCs w:val="18"/>
              </w:rPr>
            </w:pPr>
          </w:p>
        </w:tc>
      </w:tr>
      <w:tr w14:paraId="3E324126" w14:textId="77777777" w:rsidTr="0019513B">
        <w:tblPrEx>
          <w:tblW w:w="9810" w:type="dxa"/>
          <w:tblInd w:w="-342" w:type="dxa"/>
          <w:tblLook w:val="04A0"/>
        </w:tblPrEx>
        <w:tc>
          <w:tcPr>
            <w:tcW w:w="2651" w:type="dxa"/>
          </w:tcPr>
          <w:p w:rsidR="007D6358" w:rsidRPr="009726B0" w:rsidP="0019513B" w14:paraId="2F5789DA" w14:textId="77777777">
            <w:pPr>
              <w:pStyle w:val="BodyText"/>
              <w:rPr>
                <w:b/>
                <w:bCs/>
                <w:color w:val="000000" w:themeColor="text1"/>
              </w:rPr>
            </w:pPr>
            <w:r w:rsidRPr="009726B0">
              <w:rPr>
                <w:b/>
                <w:bCs/>
                <w:color w:val="000000" w:themeColor="text1"/>
              </w:rPr>
              <w:t xml:space="preserve">Project Management </w:t>
            </w:r>
          </w:p>
        </w:tc>
        <w:tc>
          <w:tcPr>
            <w:tcW w:w="1466" w:type="dxa"/>
          </w:tcPr>
          <w:p w:rsidR="007D6358" w:rsidRPr="009726B0" w:rsidP="0019513B" w14:paraId="4C502E3C" w14:textId="77777777">
            <w:pPr>
              <w:pStyle w:val="BodyText"/>
              <w:rPr>
                <w:color w:val="000000" w:themeColor="text1"/>
              </w:rPr>
            </w:pPr>
          </w:p>
        </w:tc>
        <w:tc>
          <w:tcPr>
            <w:tcW w:w="1350" w:type="dxa"/>
          </w:tcPr>
          <w:p w:rsidR="007D6358" w:rsidRPr="009726B0" w:rsidP="0019513B" w14:paraId="3B0A9CEC" w14:textId="77777777">
            <w:pPr>
              <w:pStyle w:val="BodyText"/>
              <w:rPr>
                <w:color w:val="000000" w:themeColor="text1"/>
              </w:rPr>
            </w:pPr>
          </w:p>
        </w:tc>
        <w:tc>
          <w:tcPr>
            <w:tcW w:w="1260" w:type="dxa"/>
          </w:tcPr>
          <w:p w:rsidR="007D6358" w:rsidRPr="009726B0" w:rsidP="0019513B" w14:paraId="2132DD82" w14:textId="77777777">
            <w:pPr>
              <w:pStyle w:val="BodyText"/>
              <w:rPr>
                <w:color w:val="000000" w:themeColor="text1"/>
              </w:rPr>
            </w:pPr>
          </w:p>
        </w:tc>
        <w:tc>
          <w:tcPr>
            <w:tcW w:w="3083" w:type="dxa"/>
          </w:tcPr>
          <w:p w:rsidR="007D6358" w:rsidRPr="007D6358" w:rsidP="0019513B" w14:paraId="37687A8D" w14:textId="77777777">
            <w:pPr>
              <w:pStyle w:val="BodyText"/>
              <w:rPr>
                <w:color w:val="auto"/>
                <w:sz w:val="18"/>
                <w:szCs w:val="18"/>
              </w:rPr>
            </w:pPr>
          </w:p>
        </w:tc>
      </w:tr>
      <w:tr w14:paraId="159001B6" w14:textId="77777777" w:rsidTr="007D6358">
        <w:tblPrEx>
          <w:tblW w:w="9810" w:type="dxa"/>
          <w:tblInd w:w="-342" w:type="dxa"/>
          <w:tblLook w:val="04A0"/>
        </w:tblPrEx>
        <w:tc>
          <w:tcPr>
            <w:tcW w:w="2651" w:type="dxa"/>
            <w:shd w:val="clear" w:color="auto" w:fill="auto"/>
          </w:tcPr>
          <w:p w:rsidR="007D6358" w:rsidRPr="009726B0" w:rsidP="007D6358" w14:paraId="28FA250D" w14:textId="75DE8BF1">
            <w:pPr>
              <w:pStyle w:val="BodyText"/>
              <w:numPr>
                <w:ilvl w:val="0"/>
                <w:numId w:val="7"/>
              </w:numPr>
              <w:ind w:left="180" w:hanging="180"/>
              <w:rPr>
                <w:color w:val="000000" w:themeColor="text1"/>
              </w:rPr>
            </w:pPr>
            <w:r w:rsidRPr="009726B0">
              <w:rPr>
                <w:color w:val="000000" w:themeColor="text1"/>
              </w:rPr>
              <w:t>Quarterly Progress Reports</w:t>
            </w:r>
          </w:p>
        </w:tc>
        <w:tc>
          <w:tcPr>
            <w:tcW w:w="1466" w:type="dxa"/>
            <w:shd w:val="clear" w:color="auto" w:fill="auto"/>
          </w:tcPr>
          <w:p w:rsidR="007D6358" w:rsidRPr="009726B0" w:rsidP="0019513B" w14:paraId="1F6C19D3" w14:textId="663B3B74">
            <w:pPr>
              <w:pStyle w:val="BodyText"/>
              <w:spacing w:line="259" w:lineRule="auto"/>
              <w:rPr>
                <w:color w:val="000000" w:themeColor="text1"/>
              </w:rPr>
            </w:pPr>
            <w:r>
              <w:rPr>
                <w:color w:val="000000" w:themeColor="text1"/>
              </w:rPr>
              <w:t>280</w:t>
            </w:r>
          </w:p>
        </w:tc>
        <w:tc>
          <w:tcPr>
            <w:tcW w:w="1350" w:type="dxa"/>
            <w:shd w:val="clear" w:color="auto" w:fill="auto"/>
          </w:tcPr>
          <w:p w:rsidR="007D6358" w:rsidRPr="009726B0" w:rsidP="0019513B" w14:paraId="11276CAD" w14:textId="77777777">
            <w:pPr>
              <w:pStyle w:val="BodyText"/>
              <w:rPr>
                <w:color w:val="000000" w:themeColor="text1"/>
              </w:rPr>
            </w:pPr>
            <w:r w:rsidRPr="009726B0">
              <w:rPr>
                <w:color w:val="000000" w:themeColor="text1"/>
              </w:rPr>
              <w:t xml:space="preserve">10 </w:t>
            </w:r>
          </w:p>
        </w:tc>
        <w:tc>
          <w:tcPr>
            <w:tcW w:w="1260" w:type="dxa"/>
            <w:shd w:val="clear" w:color="auto" w:fill="auto"/>
          </w:tcPr>
          <w:p w:rsidR="007D6358" w:rsidRPr="009726B0" w:rsidP="0019513B" w14:paraId="3080E517" w14:textId="0964B7CC">
            <w:pPr>
              <w:pStyle w:val="BodyText"/>
              <w:rPr>
                <w:color w:val="000000" w:themeColor="text1"/>
              </w:rPr>
            </w:pPr>
            <w:r>
              <w:rPr>
                <w:color w:val="000000" w:themeColor="text1"/>
              </w:rPr>
              <w:t>2800</w:t>
            </w:r>
          </w:p>
        </w:tc>
        <w:tc>
          <w:tcPr>
            <w:tcW w:w="3083" w:type="dxa"/>
            <w:shd w:val="clear" w:color="auto" w:fill="auto"/>
          </w:tcPr>
          <w:p w:rsidR="007D6358" w:rsidRPr="007D6358" w:rsidP="0019513B" w14:paraId="5BE17EB1" w14:textId="77777777">
            <w:pPr>
              <w:pStyle w:val="BodyText"/>
              <w:rPr>
                <w:color w:val="auto"/>
                <w:sz w:val="18"/>
                <w:szCs w:val="18"/>
              </w:rPr>
            </w:pPr>
            <w:r w:rsidRPr="007D6358">
              <w:rPr>
                <w:color w:val="auto"/>
                <w:sz w:val="18"/>
                <w:szCs w:val="18"/>
              </w:rPr>
              <w:t xml:space="preserve">These reports are ongoing and delivered quarterly by each grantee for the project duration. </w:t>
            </w:r>
          </w:p>
          <w:p w:rsidR="007D6358" w:rsidRPr="007D6358" w:rsidP="0019513B" w14:paraId="74C6363F" w14:textId="77777777">
            <w:pPr>
              <w:pStyle w:val="BodyText"/>
              <w:rPr>
                <w:b/>
                <w:bCs/>
                <w:color w:val="auto"/>
                <w:sz w:val="18"/>
                <w:szCs w:val="18"/>
              </w:rPr>
            </w:pPr>
            <w:r w:rsidRPr="007D6358">
              <w:rPr>
                <w:b/>
                <w:bCs/>
                <w:color w:val="auto"/>
                <w:sz w:val="18"/>
                <w:szCs w:val="18"/>
              </w:rPr>
              <w:t>Assume 4 reports/year</w:t>
            </w:r>
          </w:p>
          <w:p w:rsidR="007D6358" w:rsidRPr="007D6358" w:rsidP="0019513B" w14:paraId="731C08F1" w14:textId="77777777">
            <w:pPr>
              <w:pStyle w:val="BodyText"/>
              <w:rPr>
                <w:b/>
                <w:bCs/>
                <w:color w:val="auto"/>
                <w:sz w:val="18"/>
                <w:szCs w:val="18"/>
              </w:rPr>
            </w:pPr>
            <w:r w:rsidRPr="007D6358">
              <w:rPr>
                <w:b/>
                <w:bCs/>
                <w:color w:val="auto"/>
                <w:sz w:val="18"/>
                <w:szCs w:val="18"/>
              </w:rPr>
              <w:t>Assume 10 hours/Report</w:t>
            </w:r>
          </w:p>
        </w:tc>
      </w:tr>
      <w:tr w14:paraId="66DB22BB" w14:textId="77777777" w:rsidTr="007D6358">
        <w:tblPrEx>
          <w:tblW w:w="9810" w:type="dxa"/>
          <w:tblInd w:w="-342" w:type="dxa"/>
          <w:tblLook w:val="04A0"/>
        </w:tblPrEx>
        <w:tc>
          <w:tcPr>
            <w:tcW w:w="2651" w:type="dxa"/>
            <w:shd w:val="clear" w:color="auto" w:fill="auto"/>
          </w:tcPr>
          <w:p w:rsidR="007D6358" w:rsidRPr="009726B0" w:rsidP="0019513B" w14:paraId="509E55D8" w14:textId="77777777">
            <w:pPr>
              <w:pStyle w:val="BodyText"/>
              <w:rPr>
                <w:b/>
                <w:bCs/>
                <w:color w:val="000000" w:themeColor="text1"/>
              </w:rPr>
            </w:pPr>
            <w:r w:rsidRPr="009726B0">
              <w:rPr>
                <w:b/>
                <w:bCs/>
                <w:color w:val="000000" w:themeColor="text1"/>
              </w:rPr>
              <w:t xml:space="preserve">Project Evaluation </w:t>
            </w:r>
          </w:p>
        </w:tc>
        <w:tc>
          <w:tcPr>
            <w:tcW w:w="1466" w:type="dxa"/>
            <w:shd w:val="clear" w:color="auto" w:fill="auto"/>
          </w:tcPr>
          <w:p w:rsidR="007D6358" w:rsidRPr="009726B0" w:rsidP="0019513B" w14:paraId="6550182F" w14:textId="77777777">
            <w:pPr>
              <w:pStyle w:val="BodyText"/>
              <w:rPr>
                <w:color w:val="000000" w:themeColor="text1"/>
              </w:rPr>
            </w:pPr>
          </w:p>
        </w:tc>
        <w:tc>
          <w:tcPr>
            <w:tcW w:w="1350" w:type="dxa"/>
            <w:shd w:val="clear" w:color="auto" w:fill="auto"/>
          </w:tcPr>
          <w:p w:rsidR="007D6358" w:rsidRPr="009726B0" w:rsidP="0019513B" w14:paraId="4CBC9F4F" w14:textId="77777777">
            <w:pPr>
              <w:pStyle w:val="BodyText"/>
              <w:rPr>
                <w:color w:val="000000" w:themeColor="text1"/>
              </w:rPr>
            </w:pPr>
          </w:p>
        </w:tc>
        <w:tc>
          <w:tcPr>
            <w:tcW w:w="1260" w:type="dxa"/>
            <w:shd w:val="clear" w:color="auto" w:fill="auto"/>
          </w:tcPr>
          <w:p w:rsidR="007D6358" w:rsidRPr="009726B0" w:rsidP="0019513B" w14:paraId="7B388A8A" w14:textId="77777777">
            <w:pPr>
              <w:pStyle w:val="BodyText"/>
              <w:rPr>
                <w:color w:val="000000" w:themeColor="text1"/>
              </w:rPr>
            </w:pPr>
          </w:p>
        </w:tc>
        <w:tc>
          <w:tcPr>
            <w:tcW w:w="3083" w:type="dxa"/>
            <w:shd w:val="clear" w:color="auto" w:fill="auto"/>
          </w:tcPr>
          <w:p w:rsidR="007D6358" w:rsidRPr="007D6358" w:rsidP="0019513B" w14:paraId="4327BF1A" w14:textId="77777777">
            <w:pPr>
              <w:pStyle w:val="BodyText"/>
              <w:rPr>
                <w:color w:val="auto"/>
                <w:sz w:val="18"/>
                <w:szCs w:val="18"/>
              </w:rPr>
            </w:pPr>
          </w:p>
        </w:tc>
      </w:tr>
      <w:tr w14:paraId="1310EC66" w14:textId="77777777" w:rsidTr="007D6358">
        <w:tblPrEx>
          <w:tblW w:w="9810" w:type="dxa"/>
          <w:tblInd w:w="-342" w:type="dxa"/>
          <w:tblLook w:val="04A0"/>
        </w:tblPrEx>
        <w:tc>
          <w:tcPr>
            <w:tcW w:w="2651" w:type="dxa"/>
            <w:shd w:val="clear" w:color="auto" w:fill="auto"/>
          </w:tcPr>
          <w:p w:rsidR="007D6358" w:rsidRPr="009726B0" w:rsidP="0019513B" w14:paraId="7FD05B69" w14:textId="77777777">
            <w:pPr>
              <w:pStyle w:val="BodyText"/>
              <w:rPr>
                <w:color w:val="000000" w:themeColor="text1"/>
              </w:rPr>
            </w:pPr>
            <w:bookmarkStart w:id="0" w:name="_Hlk206427434"/>
            <w:r w:rsidRPr="009726B0">
              <w:rPr>
                <w:color w:val="000000" w:themeColor="text1"/>
              </w:rPr>
              <w:t>Evaluation Plan</w:t>
            </w:r>
          </w:p>
        </w:tc>
        <w:tc>
          <w:tcPr>
            <w:tcW w:w="1466" w:type="dxa"/>
            <w:shd w:val="clear" w:color="auto" w:fill="auto"/>
          </w:tcPr>
          <w:p w:rsidR="007D6358" w:rsidRPr="009726B0" w:rsidP="0019513B" w14:paraId="774FD888" w14:textId="77AFF354">
            <w:pPr>
              <w:pStyle w:val="BodyText"/>
              <w:spacing w:line="259" w:lineRule="auto"/>
              <w:rPr>
                <w:color w:val="000000" w:themeColor="text1"/>
              </w:rPr>
            </w:pPr>
            <w:r>
              <w:rPr>
                <w:color w:val="000000" w:themeColor="text1"/>
              </w:rPr>
              <w:t>70</w:t>
            </w:r>
          </w:p>
        </w:tc>
        <w:tc>
          <w:tcPr>
            <w:tcW w:w="1350" w:type="dxa"/>
            <w:shd w:val="clear" w:color="auto" w:fill="auto"/>
          </w:tcPr>
          <w:p w:rsidR="007D6358" w:rsidRPr="009726B0" w:rsidP="0019513B" w14:paraId="4D32D051" w14:textId="77777777">
            <w:pPr>
              <w:pStyle w:val="BodyText"/>
              <w:rPr>
                <w:color w:val="000000" w:themeColor="text1"/>
              </w:rPr>
            </w:pPr>
            <w:r w:rsidRPr="009726B0">
              <w:rPr>
                <w:color w:val="000000" w:themeColor="text1"/>
              </w:rPr>
              <w:t>20</w:t>
            </w:r>
          </w:p>
        </w:tc>
        <w:tc>
          <w:tcPr>
            <w:tcW w:w="1260" w:type="dxa"/>
            <w:shd w:val="clear" w:color="auto" w:fill="auto"/>
          </w:tcPr>
          <w:p w:rsidR="007D6358" w:rsidRPr="009726B0" w:rsidP="0019513B" w14:paraId="316E9775" w14:textId="3416C2F8">
            <w:pPr>
              <w:pStyle w:val="BodyText"/>
              <w:rPr>
                <w:color w:val="000000" w:themeColor="text1"/>
              </w:rPr>
            </w:pPr>
            <w:r>
              <w:rPr>
                <w:color w:val="000000" w:themeColor="text1"/>
              </w:rPr>
              <w:t>14</w:t>
            </w:r>
            <w:r w:rsidRPr="009726B0">
              <w:rPr>
                <w:color w:val="000000" w:themeColor="text1"/>
              </w:rPr>
              <w:t>00</w:t>
            </w:r>
          </w:p>
        </w:tc>
        <w:tc>
          <w:tcPr>
            <w:tcW w:w="3083" w:type="dxa"/>
            <w:vMerge w:val="restart"/>
            <w:shd w:val="clear" w:color="auto" w:fill="auto"/>
          </w:tcPr>
          <w:p w:rsidR="007D6358" w:rsidRPr="007D6358" w:rsidP="0019513B" w14:paraId="7AB529C9" w14:textId="77777777">
            <w:pPr>
              <w:pStyle w:val="BodyText"/>
              <w:rPr>
                <w:color w:val="auto"/>
                <w:sz w:val="18"/>
                <w:szCs w:val="18"/>
              </w:rPr>
            </w:pPr>
          </w:p>
        </w:tc>
      </w:tr>
      <w:tr w14:paraId="5E2D1357" w14:textId="77777777" w:rsidTr="007D6358">
        <w:tblPrEx>
          <w:tblW w:w="9810" w:type="dxa"/>
          <w:tblInd w:w="-342" w:type="dxa"/>
          <w:tblLook w:val="04A0"/>
        </w:tblPrEx>
        <w:tc>
          <w:tcPr>
            <w:tcW w:w="2651" w:type="dxa"/>
            <w:shd w:val="clear" w:color="auto" w:fill="auto"/>
          </w:tcPr>
          <w:p w:rsidR="007D6358" w:rsidRPr="009726B0" w:rsidP="0019513B" w14:paraId="0B49B995" w14:textId="77777777">
            <w:pPr>
              <w:pStyle w:val="BodyText"/>
              <w:rPr>
                <w:color w:val="000000" w:themeColor="text1"/>
              </w:rPr>
            </w:pPr>
            <w:r w:rsidRPr="009726B0">
              <w:rPr>
                <w:color w:val="000000" w:themeColor="text1"/>
              </w:rPr>
              <w:t>Data Management Plan</w:t>
            </w:r>
          </w:p>
        </w:tc>
        <w:tc>
          <w:tcPr>
            <w:tcW w:w="1466" w:type="dxa"/>
            <w:shd w:val="clear" w:color="auto" w:fill="auto"/>
          </w:tcPr>
          <w:p w:rsidR="007D6358" w:rsidRPr="009726B0" w:rsidP="0019513B" w14:paraId="26614945" w14:textId="68427BD5">
            <w:pPr>
              <w:pStyle w:val="BodyText"/>
              <w:spacing w:line="259" w:lineRule="auto"/>
              <w:rPr>
                <w:color w:val="000000" w:themeColor="text1"/>
              </w:rPr>
            </w:pPr>
            <w:r>
              <w:rPr>
                <w:color w:val="000000" w:themeColor="text1"/>
              </w:rPr>
              <w:t>70</w:t>
            </w:r>
          </w:p>
        </w:tc>
        <w:tc>
          <w:tcPr>
            <w:tcW w:w="1350" w:type="dxa"/>
            <w:shd w:val="clear" w:color="auto" w:fill="auto"/>
          </w:tcPr>
          <w:p w:rsidR="007D6358" w:rsidRPr="009726B0" w:rsidP="0019513B" w14:paraId="7D44A21F" w14:textId="77777777">
            <w:pPr>
              <w:pStyle w:val="BodyText"/>
              <w:rPr>
                <w:color w:val="000000" w:themeColor="text1"/>
              </w:rPr>
            </w:pPr>
            <w:r w:rsidRPr="009726B0">
              <w:rPr>
                <w:color w:val="000000" w:themeColor="text1"/>
              </w:rPr>
              <w:t>20</w:t>
            </w:r>
          </w:p>
        </w:tc>
        <w:tc>
          <w:tcPr>
            <w:tcW w:w="1260" w:type="dxa"/>
            <w:shd w:val="clear" w:color="auto" w:fill="auto"/>
          </w:tcPr>
          <w:p w:rsidR="007D6358" w:rsidRPr="009726B0" w:rsidP="0019513B" w14:paraId="4D0C7918" w14:textId="59958F1E">
            <w:pPr>
              <w:pStyle w:val="BodyText"/>
              <w:rPr>
                <w:color w:val="000000" w:themeColor="text1"/>
              </w:rPr>
            </w:pPr>
            <w:r>
              <w:rPr>
                <w:color w:val="000000" w:themeColor="text1"/>
              </w:rPr>
              <w:t>14</w:t>
            </w:r>
            <w:r w:rsidRPr="009726B0">
              <w:rPr>
                <w:color w:val="000000" w:themeColor="text1"/>
              </w:rPr>
              <w:t>00</w:t>
            </w:r>
          </w:p>
        </w:tc>
        <w:tc>
          <w:tcPr>
            <w:tcW w:w="3083" w:type="dxa"/>
            <w:vMerge/>
            <w:shd w:val="clear" w:color="auto" w:fill="auto"/>
          </w:tcPr>
          <w:p w:rsidR="007D6358" w:rsidRPr="007D6358" w:rsidP="0019513B" w14:paraId="728E750B" w14:textId="77777777">
            <w:pPr>
              <w:pStyle w:val="BodyText"/>
              <w:rPr>
                <w:color w:val="auto"/>
                <w:sz w:val="18"/>
                <w:szCs w:val="18"/>
              </w:rPr>
            </w:pPr>
          </w:p>
        </w:tc>
      </w:tr>
      <w:tr w14:paraId="7656E58A" w14:textId="77777777" w:rsidTr="007D6358">
        <w:tblPrEx>
          <w:tblW w:w="9810" w:type="dxa"/>
          <w:tblInd w:w="-342" w:type="dxa"/>
          <w:tblLook w:val="04A0"/>
        </w:tblPrEx>
        <w:tc>
          <w:tcPr>
            <w:tcW w:w="2651" w:type="dxa"/>
            <w:shd w:val="clear" w:color="auto" w:fill="auto"/>
          </w:tcPr>
          <w:p w:rsidR="007D6358" w:rsidRPr="009726B0" w:rsidP="0019513B" w14:paraId="024BE3A0" w14:textId="77777777">
            <w:pPr>
              <w:pStyle w:val="BodyText"/>
              <w:rPr>
                <w:color w:val="000000" w:themeColor="text1"/>
              </w:rPr>
            </w:pPr>
            <w:r w:rsidRPr="009726B0">
              <w:rPr>
                <w:color w:val="000000" w:themeColor="text1"/>
              </w:rPr>
              <w:t>Annual/Final Implementation Reports</w:t>
            </w:r>
          </w:p>
        </w:tc>
        <w:tc>
          <w:tcPr>
            <w:tcW w:w="1466" w:type="dxa"/>
            <w:shd w:val="clear" w:color="auto" w:fill="auto"/>
          </w:tcPr>
          <w:p w:rsidR="007D6358" w:rsidRPr="009726B0" w:rsidP="0019513B" w14:paraId="34681DA2" w14:textId="77777777">
            <w:pPr>
              <w:pStyle w:val="BodyText"/>
              <w:spacing w:line="259" w:lineRule="auto"/>
              <w:rPr>
                <w:color w:val="000000" w:themeColor="text1"/>
              </w:rPr>
            </w:pPr>
            <w:r w:rsidRPr="009726B0">
              <w:rPr>
                <w:color w:val="000000" w:themeColor="text1"/>
              </w:rPr>
              <w:t>70</w:t>
            </w:r>
          </w:p>
        </w:tc>
        <w:tc>
          <w:tcPr>
            <w:tcW w:w="1350" w:type="dxa"/>
            <w:shd w:val="clear" w:color="auto" w:fill="auto"/>
          </w:tcPr>
          <w:p w:rsidR="007D6358" w:rsidRPr="009726B0" w:rsidP="0019513B" w14:paraId="1945A5A6" w14:textId="77777777">
            <w:pPr>
              <w:pStyle w:val="BodyText"/>
              <w:spacing w:line="259" w:lineRule="auto"/>
              <w:rPr>
                <w:color w:val="000000" w:themeColor="text1"/>
              </w:rPr>
            </w:pPr>
            <w:r w:rsidRPr="009726B0">
              <w:rPr>
                <w:color w:val="000000" w:themeColor="text1"/>
              </w:rPr>
              <w:t>20</w:t>
            </w:r>
          </w:p>
        </w:tc>
        <w:tc>
          <w:tcPr>
            <w:tcW w:w="1260" w:type="dxa"/>
            <w:shd w:val="clear" w:color="auto" w:fill="auto"/>
          </w:tcPr>
          <w:p w:rsidR="007D6358" w:rsidRPr="009726B0" w:rsidP="0019513B" w14:paraId="1FF09AF6" w14:textId="77777777">
            <w:pPr>
              <w:pStyle w:val="BodyText"/>
              <w:rPr>
                <w:color w:val="000000" w:themeColor="text1"/>
              </w:rPr>
            </w:pPr>
            <w:r w:rsidRPr="009726B0">
              <w:rPr>
                <w:color w:val="000000" w:themeColor="text1"/>
              </w:rPr>
              <w:t>1400</w:t>
            </w:r>
          </w:p>
        </w:tc>
        <w:tc>
          <w:tcPr>
            <w:tcW w:w="3083" w:type="dxa"/>
            <w:shd w:val="clear" w:color="auto" w:fill="auto"/>
          </w:tcPr>
          <w:p w:rsidR="007D6358" w:rsidRPr="007D6358" w:rsidP="0019513B" w14:paraId="6C75980C" w14:textId="77777777">
            <w:pPr>
              <w:pStyle w:val="BodyText"/>
              <w:rPr>
                <w:color w:val="auto"/>
                <w:sz w:val="18"/>
                <w:szCs w:val="18"/>
              </w:rPr>
            </w:pPr>
            <w:r w:rsidRPr="007D6358">
              <w:rPr>
                <w:color w:val="auto"/>
                <w:sz w:val="18"/>
                <w:szCs w:val="18"/>
              </w:rPr>
              <w:t>These reports are ongoing and delivered annually by each grantee for the project duration.</w:t>
            </w:r>
          </w:p>
        </w:tc>
      </w:tr>
      <w:bookmarkEnd w:id="0"/>
      <w:tr w14:paraId="539C24D7" w14:textId="77777777" w:rsidTr="0019513B">
        <w:tblPrEx>
          <w:tblW w:w="9810" w:type="dxa"/>
          <w:tblInd w:w="-342" w:type="dxa"/>
          <w:tblLook w:val="04A0"/>
        </w:tblPrEx>
        <w:tc>
          <w:tcPr>
            <w:tcW w:w="2651" w:type="dxa"/>
          </w:tcPr>
          <w:p w:rsidR="007D6358" w:rsidRPr="009726B0" w:rsidP="0019513B" w14:paraId="7EB0CF99" w14:textId="77777777">
            <w:pPr>
              <w:pStyle w:val="BodyText"/>
              <w:rPr>
                <w:color w:val="000000" w:themeColor="text1"/>
              </w:rPr>
            </w:pPr>
          </w:p>
        </w:tc>
        <w:tc>
          <w:tcPr>
            <w:tcW w:w="1466" w:type="dxa"/>
          </w:tcPr>
          <w:p w:rsidR="007D6358" w:rsidRPr="009726B0" w:rsidP="0019513B" w14:paraId="60191325" w14:textId="77777777">
            <w:pPr>
              <w:pStyle w:val="BodyText"/>
              <w:rPr>
                <w:color w:val="000000" w:themeColor="text1"/>
              </w:rPr>
            </w:pPr>
          </w:p>
        </w:tc>
        <w:tc>
          <w:tcPr>
            <w:tcW w:w="1350" w:type="dxa"/>
          </w:tcPr>
          <w:p w:rsidR="007D6358" w:rsidRPr="009726B0" w:rsidP="0019513B" w14:paraId="3D00684E" w14:textId="77777777">
            <w:pPr>
              <w:pStyle w:val="BodyText"/>
              <w:rPr>
                <w:color w:val="000000" w:themeColor="text1"/>
              </w:rPr>
            </w:pPr>
          </w:p>
        </w:tc>
        <w:tc>
          <w:tcPr>
            <w:tcW w:w="1260" w:type="dxa"/>
          </w:tcPr>
          <w:p w:rsidR="007D6358" w:rsidRPr="009726B0" w:rsidP="0019513B" w14:paraId="53AE4776" w14:textId="77777777">
            <w:pPr>
              <w:pStyle w:val="BodyText"/>
              <w:rPr>
                <w:color w:val="000000" w:themeColor="text1"/>
              </w:rPr>
            </w:pPr>
          </w:p>
        </w:tc>
        <w:tc>
          <w:tcPr>
            <w:tcW w:w="3083" w:type="dxa"/>
          </w:tcPr>
          <w:p w:rsidR="007D6358" w:rsidRPr="007D6358" w:rsidP="0019513B" w14:paraId="5FF84C83" w14:textId="77777777">
            <w:pPr>
              <w:pStyle w:val="BodyText"/>
              <w:rPr>
                <w:color w:val="auto"/>
                <w:sz w:val="18"/>
                <w:szCs w:val="18"/>
              </w:rPr>
            </w:pPr>
          </w:p>
        </w:tc>
      </w:tr>
      <w:tr w14:paraId="353B44DE" w14:textId="77777777" w:rsidTr="0019513B">
        <w:tblPrEx>
          <w:tblW w:w="9810" w:type="dxa"/>
          <w:tblInd w:w="-342" w:type="dxa"/>
          <w:tblLook w:val="04A0"/>
        </w:tblPrEx>
        <w:tc>
          <w:tcPr>
            <w:tcW w:w="2651" w:type="dxa"/>
          </w:tcPr>
          <w:p w:rsidR="007D6358" w:rsidRPr="009726B0" w:rsidP="0019513B" w14:paraId="283E317C" w14:textId="442A8111">
            <w:pPr>
              <w:pStyle w:val="BodyText"/>
              <w:rPr>
                <w:b/>
                <w:bCs/>
                <w:color w:val="000000" w:themeColor="text1"/>
              </w:rPr>
            </w:pPr>
            <w:r w:rsidRPr="009726B0">
              <w:rPr>
                <w:b/>
                <w:bCs/>
                <w:color w:val="000000" w:themeColor="text1"/>
              </w:rPr>
              <w:t>ANNUAL TOTALS</w:t>
            </w:r>
          </w:p>
        </w:tc>
        <w:tc>
          <w:tcPr>
            <w:tcW w:w="1466" w:type="dxa"/>
          </w:tcPr>
          <w:p w:rsidR="007D6358" w:rsidRPr="009726B0" w:rsidP="0019513B" w14:paraId="74FD32AB" w14:textId="77777777">
            <w:pPr>
              <w:pStyle w:val="BodyText"/>
              <w:rPr>
                <w:color w:val="000000" w:themeColor="text1"/>
              </w:rPr>
            </w:pPr>
          </w:p>
          <w:p w:rsidR="007D6358" w:rsidRPr="009726B0" w:rsidP="0019513B" w14:paraId="308DB50C" w14:textId="77777777">
            <w:pPr>
              <w:pStyle w:val="BodyText"/>
              <w:rPr>
                <w:color w:val="000000" w:themeColor="text1"/>
              </w:rPr>
            </w:pPr>
          </w:p>
        </w:tc>
        <w:tc>
          <w:tcPr>
            <w:tcW w:w="1350" w:type="dxa"/>
          </w:tcPr>
          <w:p w:rsidR="007D6358" w:rsidRPr="009726B0" w:rsidP="0019513B" w14:paraId="476748A1" w14:textId="77777777">
            <w:pPr>
              <w:pStyle w:val="BodyText"/>
              <w:rPr>
                <w:color w:val="000000" w:themeColor="text1"/>
              </w:rPr>
            </w:pPr>
          </w:p>
        </w:tc>
        <w:tc>
          <w:tcPr>
            <w:tcW w:w="1260" w:type="dxa"/>
          </w:tcPr>
          <w:p w:rsidR="007D6358" w:rsidRPr="009726B0" w:rsidP="0019513B" w14:paraId="605A15F6" w14:textId="77777777">
            <w:pPr>
              <w:pStyle w:val="BodyText"/>
              <w:rPr>
                <w:color w:val="000000" w:themeColor="text1"/>
              </w:rPr>
            </w:pPr>
          </w:p>
        </w:tc>
        <w:tc>
          <w:tcPr>
            <w:tcW w:w="3083" w:type="dxa"/>
          </w:tcPr>
          <w:p w:rsidR="007D6358" w:rsidRPr="007D6358" w:rsidP="0019513B" w14:paraId="7B097786" w14:textId="77777777">
            <w:pPr>
              <w:pStyle w:val="BodyText"/>
              <w:rPr>
                <w:color w:val="auto"/>
                <w:sz w:val="18"/>
                <w:szCs w:val="18"/>
              </w:rPr>
            </w:pPr>
          </w:p>
        </w:tc>
      </w:tr>
      <w:tr w14:paraId="7B051E9B" w14:textId="77777777" w:rsidTr="0019513B">
        <w:tblPrEx>
          <w:tblW w:w="9810" w:type="dxa"/>
          <w:tblInd w:w="-342" w:type="dxa"/>
          <w:tblLook w:val="04A0"/>
        </w:tblPrEx>
        <w:tc>
          <w:tcPr>
            <w:tcW w:w="2651" w:type="dxa"/>
          </w:tcPr>
          <w:p w:rsidR="007D6358" w:rsidRPr="009726B0" w:rsidP="007D6358" w14:paraId="3DCDD5C9" w14:textId="77777777">
            <w:pPr>
              <w:pStyle w:val="BodyText"/>
              <w:numPr>
                <w:ilvl w:val="0"/>
                <w:numId w:val="7"/>
              </w:numPr>
              <w:ind w:left="320" w:hanging="270"/>
              <w:rPr>
                <w:b/>
                <w:bCs/>
                <w:color w:val="000000" w:themeColor="text1"/>
              </w:rPr>
            </w:pPr>
            <w:r w:rsidRPr="009726B0">
              <w:rPr>
                <w:b/>
                <w:bCs/>
                <w:color w:val="000000" w:themeColor="text1"/>
              </w:rPr>
              <w:t xml:space="preserve">Application Process Total </w:t>
            </w:r>
          </w:p>
        </w:tc>
        <w:tc>
          <w:tcPr>
            <w:tcW w:w="1466" w:type="dxa"/>
          </w:tcPr>
          <w:p w:rsidR="007D6358" w:rsidRPr="009726B0" w:rsidP="0019513B" w14:paraId="1C8F5165" w14:textId="77777777">
            <w:pPr>
              <w:pStyle w:val="BodyText"/>
              <w:rPr>
                <w:color w:val="000000" w:themeColor="text1"/>
              </w:rPr>
            </w:pPr>
            <w:r w:rsidRPr="009726B0">
              <w:rPr>
                <w:color w:val="000000" w:themeColor="text1"/>
              </w:rPr>
              <w:t>360</w:t>
            </w:r>
          </w:p>
        </w:tc>
        <w:tc>
          <w:tcPr>
            <w:tcW w:w="1350" w:type="dxa"/>
          </w:tcPr>
          <w:p w:rsidR="007D6358" w:rsidRPr="009726B0" w:rsidP="0019513B" w14:paraId="41324D35" w14:textId="77EBBABD">
            <w:pPr>
              <w:pStyle w:val="BodyText"/>
              <w:rPr>
                <w:color w:val="000000" w:themeColor="text1"/>
              </w:rPr>
            </w:pPr>
            <w:r>
              <w:rPr>
                <w:color w:val="000000" w:themeColor="text1"/>
              </w:rPr>
              <w:t>15-20</w:t>
            </w:r>
          </w:p>
        </w:tc>
        <w:tc>
          <w:tcPr>
            <w:tcW w:w="1260" w:type="dxa"/>
          </w:tcPr>
          <w:p w:rsidR="007D6358" w:rsidRPr="009726B0" w:rsidP="0019513B" w14:paraId="41C8C8F7" w14:textId="2967D641">
            <w:pPr>
              <w:pStyle w:val="BodyText"/>
              <w:rPr>
                <w:color w:val="000000" w:themeColor="text1"/>
              </w:rPr>
            </w:pPr>
            <w:r>
              <w:rPr>
                <w:color w:val="000000" w:themeColor="text1"/>
              </w:rPr>
              <w:t>5700</w:t>
            </w:r>
          </w:p>
        </w:tc>
        <w:tc>
          <w:tcPr>
            <w:tcW w:w="3083" w:type="dxa"/>
          </w:tcPr>
          <w:p w:rsidR="007D6358" w:rsidRPr="007D6358" w:rsidP="0019513B" w14:paraId="4ED275FC" w14:textId="77777777">
            <w:pPr>
              <w:pStyle w:val="BodyText"/>
              <w:rPr>
                <w:color w:val="auto"/>
                <w:sz w:val="18"/>
                <w:szCs w:val="18"/>
              </w:rPr>
            </w:pPr>
            <w:r w:rsidRPr="007D6358">
              <w:rPr>
                <w:color w:val="auto"/>
                <w:sz w:val="18"/>
                <w:szCs w:val="18"/>
              </w:rPr>
              <w:t>The number of submissions and the burden hours vary by stage, so the total burden must be summed across the two stages (see above).</w:t>
            </w:r>
          </w:p>
        </w:tc>
      </w:tr>
      <w:tr w14:paraId="7D54679D" w14:textId="77777777" w:rsidTr="0019513B">
        <w:tblPrEx>
          <w:tblW w:w="9810" w:type="dxa"/>
          <w:tblInd w:w="-342" w:type="dxa"/>
          <w:tblLook w:val="04A0"/>
        </w:tblPrEx>
        <w:tc>
          <w:tcPr>
            <w:tcW w:w="2651" w:type="dxa"/>
          </w:tcPr>
          <w:p w:rsidR="007D6358" w:rsidRPr="009726B0" w:rsidP="007D6358" w14:paraId="0E742D41" w14:textId="77777777">
            <w:pPr>
              <w:pStyle w:val="BodyText"/>
              <w:numPr>
                <w:ilvl w:val="0"/>
                <w:numId w:val="7"/>
              </w:numPr>
              <w:ind w:left="320" w:hanging="270"/>
              <w:rPr>
                <w:b/>
                <w:bCs/>
                <w:color w:val="000000" w:themeColor="text1"/>
              </w:rPr>
            </w:pPr>
            <w:r w:rsidRPr="009726B0">
              <w:rPr>
                <w:b/>
                <w:bCs/>
                <w:color w:val="000000" w:themeColor="text1"/>
              </w:rPr>
              <w:t>Grant Agreement Total</w:t>
            </w:r>
          </w:p>
        </w:tc>
        <w:tc>
          <w:tcPr>
            <w:tcW w:w="1466" w:type="dxa"/>
          </w:tcPr>
          <w:p w:rsidR="007D6358" w:rsidRPr="009726B0" w:rsidP="0019513B" w14:paraId="19F8BD5B" w14:textId="77777777">
            <w:pPr>
              <w:pStyle w:val="BodyText"/>
              <w:spacing w:line="259" w:lineRule="auto"/>
              <w:rPr>
                <w:color w:val="000000" w:themeColor="text1"/>
              </w:rPr>
            </w:pPr>
            <w:r w:rsidRPr="009726B0">
              <w:rPr>
                <w:color w:val="000000" w:themeColor="text1"/>
              </w:rPr>
              <w:t>70</w:t>
            </w:r>
          </w:p>
        </w:tc>
        <w:tc>
          <w:tcPr>
            <w:tcW w:w="1350" w:type="dxa"/>
          </w:tcPr>
          <w:p w:rsidR="007D6358" w:rsidRPr="009726B0" w:rsidP="0019513B" w14:paraId="7684FC02" w14:textId="0F933D2E">
            <w:pPr>
              <w:pStyle w:val="BodyText"/>
              <w:rPr>
                <w:color w:val="000000" w:themeColor="text1"/>
              </w:rPr>
            </w:pPr>
            <w:r>
              <w:rPr>
                <w:color w:val="000000" w:themeColor="text1"/>
              </w:rPr>
              <w:t>15-30</w:t>
            </w:r>
          </w:p>
        </w:tc>
        <w:tc>
          <w:tcPr>
            <w:tcW w:w="1260" w:type="dxa"/>
          </w:tcPr>
          <w:p w:rsidR="007D6358" w:rsidRPr="009726B0" w:rsidP="0019513B" w14:paraId="66C4E285" w14:textId="1E9EBEB7">
            <w:pPr>
              <w:pStyle w:val="BodyText"/>
              <w:rPr>
                <w:color w:val="000000" w:themeColor="text1"/>
              </w:rPr>
            </w:pPr>
            <w:r w:rsidRPr="009726B0">
              <w:rPr>
                <w:color w:val="000000" w:themeColor="text1"/>
              </w:rPr>
              <w:t xml:space="preserve"> </w:t>
            </w:r>
            <w:r w:rsidR="00ED6EAB">
              <w:rPr>
                <w:color w:val="000000" w:themeColor="text1"/>
              </w:rPr>
              <w:t>1200</w:t>
            </w:r>
          </w:p>
        </w:tc>
        <w:tc>
          <w:tcPr>
            <w:tcW w:w="3083" w:type="dxa"/>
          </w:tcPr>
          <w:p w:rsidR="007D6358" w:rsidRPr="007D6358" w:rsidP="0019513B" w14:paraId="2A32E3A8" w14:textId="77777777">
            <w:pPr>
              <w:pStyle w:val="BodyText"/>
              <w:rPr>
                <w:color w:val="auto"/>
              </w:rPr>
            </w:pPr>
          </w:p>
        </w:tc>
      </w:tr>
      <w:tr w14:paraId="63C16C84" w14:textId="77777777" w:rsidTr="0019513B">
        <w:tblPrEx>
          <w:tblW w:w="9810" w:type="dxa"/>
          <w:tblInd w:w="-342" w:type="dxa"/>
          <w:tblLook w:val="04A0"/>
        </w:tblPrEx>
        <w:tc>
          <w:tcPr>
            <w:tcW w:w="2651" w:type="dxa"/>
          </w:tcPr>
          <w:p w:rsidR="007D6358" w:rsidRPr="007D6358" w:rsidP="007D6358" w14:paraId="2A17EC18" w14:textId="77777777">
            <w:pPr>
              <w:pStyle w:val="BodyText"/>
              <w:numPr>
                <w:ilvl w:val="0"/>
                <w:numId w:val="7"/>
              </w:numPr>
              <w:ind w:left="320" w:hanging="270"/>
              <w:rPr>
                <w:b/>
                <w:bCs/>
                <w:color w:val="auto"/>
              </w:rPr>
            </w:pPr>
            <w:r w:rsidRPr="007D6358">
              <w:rPr>
                <w:b/>
                <w:bCs/>
                <w:color w:val="auto"/>
              </w:rPr>
              <w:t>Project Management Total</w:t>
            </w:r>
          </w:p>
        </w:tc>
        <w:tc>
          <w:tcPr>
            <w:tcW w:w="1466" w:type="dxa"/>
          </w:tcPr>
          <w:p w:rsidR="007D6358" w:rsidRPr="007D6358" w:rsidP="0019513B" w14:paraId="72C92A82" w14:textId="4B074460">
            <w:pPr>
              <w:pStyle w:val="BodyText"/>
              <w:spacing w:line="259" w:lineRule="auto"/>
              <w:rPr>
                <w:color w:val="auto"/>
              </w:rPr>
            </w:pPr>
            <w:r>
              <w:rPr>
                <w:color w:val="auto"/>
              </w:rPr>
              <w:t>280</w:t>
            </w:r>
          </w:p>
        </w:tc>
        <w:tc>
          <w:tcPr>
            <w:tcW w:w="1350" w:type="dxa"/>
          </w:tcPr>
          <w:p w:rsidR="007D6358" w:rsidRPr="007D6358" w:rsidP="0019513B" w14:paraId="2A70BC9B" w14:textId="70D7052B">
            <w:pPr>
              <w:pStyle w:val="BodyText"/>
              <w:rPr>
                <w:color w:val="auto"/>
              </w:rPr>
            </w:pPr>
            <w:r>
              <w:rPr>
                <w:color w:val="auto"/>
              </w:rPr>
              <w:t>10</w:t>
            </w:r>
          </w:p>
        </w:tc>
        <w:tc>
          <w:tcPr>
            <w:tcW w:w="1260" w:type="dxa"/>
          </w:tcPr>
          <w:p w:rsidR="007D6358" w:rsidRPr="007D6358" w:rsidP="0019513B" w14:paraId="4200580E" w14:textId="03EE2ADA">
            <w:pPr>
              <w:pStyle w:val="BodyText"/>
              <w:rPr>
                <w:color w:val="auto"/>
              </w:rPr>
            </w:pPr>
            <w:r>
              <w:rPr>
                <w:color w:val="auto"/>
              </w:rPr>
              <w:t>2800</w:t>
            </w:r>
          </w:p>
        </w:tc>
        <w:tc>
          <w:tcPr>
            <w:tcW w:w="3083" w:type="dxa"/>
          </w:tcPr>
          <w:p w:rsidR="007D6358" w:rsidRPr="007D6358" w:rsidP="0019513B" w14:paraId="223EF172" w14:textId="77777777">
            <w:pPr>
              <w:pStyle w:val="BodyText"/>
              <w:rPr>
                <w:color w:val="auto"/>
              </w:rPr>
            </w:pPr>
          </w:p>
        </w:tc>
      </w:tr>
      <w:tr w14:paraId="016C5A29" w14:textId="77777777" w:rsidTr="0019513B">
        <w:tblPrEx>
          <w:tblW w:w="9810" w:type="dxa"/>
          <w:tblInd w:w="-342" w:type="dxa"/>
          <w:tblLook w:val="04A0"/>
        </w:tblPrEx>
        <w:tc>
          <w:tcPr>
            <w:tcW w:w="2651" w:type="dxa"/>
          </w:tcPr>
          <w:p w:rsidR="007D6358" w:rsidRPr="007D6358" w:rsidP="007D6358" w14:paraId="0E6CF672" w14:textId="77777777">
            <w:pPr>
              <w:pStyle w:val="BodyText"/>
              <w:numPr>
                <w:ilvl w:val="0"/>
                <w:numId w:val="7"/>
              </w:numPr>
              <w:ind w:left="320" w:hanging="270"/>
              <w:rPr>
                <w:b/>
                <w:bCs/>
                <w:color w:val="auto"/>
              </w:rPr>
            </w:pPr>
            <w:r w:rsidRPr="007D6358">
              <w:rPr>
                <w:b/>
                <w:bCs/>
                <w:color w:val="auto"/>
              </w:rPr>
              <w:t>Project Evaluation Total</w:t>
            </w:r>
          </w:p>
        </w:tc>
        <w:tc>
          <w:tcPr>
            <w:tcW w:w="1466" w:type="dxa"/>
          </w:tcPr>
          <w:p w:rsidR="007D6358" w:rsidRPr="007D6358" w:rsidP="0019513B" w14:paraId="05373BE0" w14:textId="519E51BB">
            <w:pPr>
              <w:pStyle w:val="BodyText"/>
              <w:spacing w:line="259" w:lineRule="auto"/>
              <w:rPr>
                <w:color w:val="auto"/>
              </w:rPr>
            </w:pPr>
            <w:r>
              <w:rPr>
                <w:color w:val="auto"/>
              </w:rPr>
              <w:t>210</w:t>
            </w:r>
          </w:p>
        </w:tc>
        <w:tc>
          <w:tcPr>
            <w:tcW w:w="1350" w:type="dxa"/>
          </w:tcPr>
          <w:p w:rsidR="007D6358" w:rsidRPr="007D6358" w:rsidP="0019513B" w14:paraId="3300A64A" w14:textId="62EE93C8">
            <w:pPr>
              <w:pStyle w:val="BodyText"/>
              <w:rPr>
                <w:color w:val="auto"/>
              </w:rPr>
            </w:pPr>
            <w:r>
              <w:rPr>
                <w:color w:val="auto"/>
              </w:rPr>
              <w:t>20</w:t>
            </w:r>
          </w:p>
        </w:tc>
        <w:tc>
          <w:tcPr>
            <w:tcW w:w="1260" w:type="dxa"/>
          </w:tcPr>
          <w:p w:rsidR="007D6358" w:rsidP="0019513B" w14:paraId="3AF83B47" w14:textId="718B4A57">
            <w:pPr>
              <w:pStyle w:val="BodyText"/>
              <w:rPr>
                <w:color w:val="auto"/>
              </w:rPr>
            </w:pPr>
            <w:r>
              <w:rPr>
                <w:color w:val="auto"/>
              </w:rPr>
              <w:t>4200</w:t>
            </w:r>
          </w:p>
        </w:tc>
        <w:tc>
          <w:tcPr>
            <w:tcW w:w="3083" w:type="dxa"/>
          </w:tcPr>
          <w:p w:rsidR="007D6358" w:rsidP="0019513B" w14:paraId="6006D6D4" w14:textId="77777777">
            <w:pPr>
              <w:pStyle w:val="BodyText"/>
              <w:rPr>
                <w:color w:val="auto"/>
              </w:rPr>
            </w:pPr>
          </w:p>
        </w:tc>
      </w:tr>
      <w:tr w14:paraId="133472D8" w14:textId="77777777" w:rsidTr="0019513B">
        <w:tblPrEx>
          <w:tblW w:w="9810" w:type="dxa"/>
          <w:tblInd w:w="-342" w:type="dxa"/>
          <w:tblLook w:val="04A0"/>
        </w:tblPrEx>
        <w:tc>
          <w:tcPr>
            <w:tcW w:w="2651" w:type="dxa"/>
          </w:tcPr>
          <w:p w:rsidR="00ED6EAB" w:rsidRPr="00ED6EAB" w:rsidP="0023766C" w14:paraId="179CC0AA" w14:textId="54F19B0F">
            <w:pPr>
              <w:pStyle w:val="BodyText"/>
              <w:ind w:left="320"/>
              <w:rPr>
                <w:b/>
                <w:bCs/>
                <w:color w:val="auto"/>
              </w:rPr>
            </w:pPr>
            <w:r>
              <w:rPr>
                <w:b/>
                <w:bCs/>
                <w:color w:val="auto"/>
              </w:rPr>
              <w:t>TOTAL</w:t>
            </w:r>
          </w:p>
        </w:tc>
        <w:tc>
          <w:tcPr>
            <w:tcW w:w="1466" w:type="dxa"/>
          </w:tcPr>
          <w:p w:rsidR="00302AA7" w:rsidRPr="007D6358" w:rsidP="0019513B" w14:paraId="7397F506" w14:textId="7F026377">
            <w:pPr>
              <w:pStyle w:val="BodyText"/>
              <w:spacing w:line="259" w:lineRule="auto"/>
              <w:rPr>
                <w:color w:val="auto"/>
              </w:rPr>
            </w:pPr>
            <w:r>
              <w:rPr>
                <w:color w:val="auto"/>
              </w:rPr>
              <w:t>920</w:t>
            </w:r>
          </w:p>
        </w:tc>
        <w:tc>
          <w:tcPr>
            <w:tcW w:w="1350" w:type="dxa"/>
          </w:tcPr>
          <w:p w:rsidR="00ED6EAB" w:rsidRPr="007D6358" w:rsidP="0019513B" w14:paraId="279FDB05" w14:textId="23A3EE58">
            <w:pPr>
              <w:pStyle w:val="BodyText"/>
              <w:rPr>
                <w:color w:val="auto"/>
              </w:rPr>
            </w:pPr>
            <w:r>
              <w:rPr>
                <w:color w:val="auto"/>
              </w:rPr>
              <w:t>15-30</w:t>
            </w:r>
          </w:p>
        </w:tc>
        <w:tc>
          <w:tcPr>
            <w:tcW w:w="1260" w:type="dxa"/>
          </w:tcPr>
          <w:p w:rsidR="00AC71E0" w:rsidRPr="007D6358" w:rsidP="0019513B" w14:paraId="3AA221C3" w14:textId="45BBF19F">
            <w:pPr>
              <w:pStyle w:val="BodyText"/>
              <w:rPr>
                <w:color w:val="auto"/>
              </w:rPr>
            </w:pPr>
            <w:r w:rsidRPr="00B51DAE">
              <w:rPr>
                <w:color w:val="auto"/>
              </w:rPr>
              <w:t>13,900</w:t>
            </w:r>
          </w:p>
        </w:tc>
        <w:tc>
          <w:tcPr>
            <w:tcW w:w="3083" w:type="dxa"/>
          </w:tcPr>
          <w:p w:rsidR="00ED6EAB" w:rsidP="0019513B" w14:paraId="78F61299" w14:textId="77777777">
            <w:pPr>
              <w:pStyle w:val="BodyText"/>
              <w:rPr>
                <w:color w:val="auto"/>
              </w:rPr>
            </w:pPr>
          </w:p>
        </w:tc>
      </w:tr>
    </w:tbl>
    <w:p w:rsidR="007D6358" w:rsidP="007D6358" w14:paraId="4913BB5F" w14:textId="77777777">
      <w:r>
        <w:tab/>
      </w:r>
      <w:r>
        <w:tab/>
      </w:r>
      <w:r>
        <w:tab/>
      </w:r>
      <w:r>
        <w:tab/>
      </w:r>
    </w:p>
    <w:p w:rsidR="000277F6" w:rsidP="007D6358" w14:paraId="4D849090" w14:textId="77777777">
      <w:pPr>
        <w:rPr>
          <w:b/>
          <w:bCs/>
        </w:rPr>
      </w:pPr>
    </w:p>
    <w:p w:rsidR="000277F6" w:rsidP="007D6358" w14:paraId="415B8CAA" w14:textId="77777777">
      <w:pPr>
        <w:rPr>
          <w:b/>
          <w:bCs/>
        </w:rPr>
      </w:pPr>
    </w:p>
    <w:p w:rsidR="007D6358" w:rsidRPr="009726B0" w:rsidP="007D6358" w14:paraId="74930872" w14:textId="71AAD288">
      <w:pPr>
        <w:rPr>
          <w:b/>
          <w:bCs/>
        </w:rPr>
      </w:pPr>
      <w:r w:rsidRPr="009726B0">
        <w:rPr>
          <w:b/>
          <w:bCs/>
        </w:rPr>
        <w:t>13. Estimate of total annual costs to respondents:</w:t>
      </w:r>
    </w:p>
    <w:p w:rsidR="007D6358" w:rsidP="007D6358" w14:paraId="74F19187" w14:textId="68D42C00">
      <w:r>
        <w:t xml:space="preserve">The costs are calculated for each </w:t>
      </w:r>
      <w:r w:rsidR="003305BD">
        <w:t>respondent/applicant</w:t>
      </w:r>
      <w:r w:rsidR="00EF641B">
        <w:t xml:space="preserve"> on an annual basis. </w:t>
      </w:r>
      <w:r w:rsidRPr="003305BD" w:rsidR="003305BD">
        <w:t xml:space="preserve">Although various personnel are involved in the </w:t>
      </w:r>
      <w:r w:rsidR="000277F6">
        <w:t xml:space="preserve">SMART grants </w:t>
      </w:r>
      <w:r w:rsidR="00A9552D">
        <w:t xml:space="preserve">application and </w:t>
      </w:r>
      <w:r w:rsidR="00B9660A">
        <w:t>awarding</w:t>
      </w:r>
      <w:r w:rsidRPr="003305BD" w:rsidR="003305BD">
        <w:t xml:space="preserve"> process, </w:t>
      </w:r>
      <w:r w:rsidR="003B1C60">
        <w:t xml:space="preserve">we believe </w:t>
      </w:r>
      <w:r w:rsidR="00C456B5">
        <w:t xml:space="preserve">the </w:t>
      </w:r>
      <w:r w:rsidRPr="00C456B5" w:rsidR="00C456B5">
        <w:t>Project Management Specialist</w:t>
      </w:r>
      <w:r w:rsidR="00C456B5">
        <w:t xml:space="preserve"> </w:t>
      </w:r>
      <w:r w:rsidR="009E03B8">
        <w:t xml:space="preserve">(PMS) </w:t>
      </w:r>
      <w:r w:rsidR="008229DB">
        <w:t>are th</w:t>
      </w:r>
      <w:r w:rsidR="00EC456C">
        <w:t>e most fitting</w:t>
      </w:r>
      <w:r w:rsidR="00E45E8A">
        <w:t xml:space="preserve"> position</w:t>
      </w:r>
      <w:r w:rsidR="003B1C60">
        <w:t xml:space="preserve">, </w:t>
      </w:r>
      <w:r w:rsidR="00354277">
        <w:t>given</w:t>
      </w:r>
      <w:r w:rsidR="003B1C60">
        <w:t xml:space="preserve"> the described duties</w:t>
      </w:r>
      <w:r w:rsidR="003F5201">
        <w:t xml:space="preserve"> of the job</w:t>
      </w:r>
      <w:r w:rsidR="003B1C60">
        <w:t xml:space="preserve">. </w:t>
      </w:r>
      <w:r w:rsidR="009E03B8">
        <w:t xml:space="preserve">The current average salary for </w:t>
      </w:r>
      <w:r w:rsidR="003F5201">
        <w:t>PMS is</w:t>
      </w:r>
      <w:r w:rsidRPr="003305BD" w:rsidR="003305BD">
        <w:t xml:space="preserve"> $48.44 </w:t>
      </w:r>
      <w:r>
        <w:rPr>
          <w:rStyle w:val="FootnoteReference"/>
        </w:rPr>
        <w:footnoteReference w:id="2"/>
      </w:r>
      <w:r w:rsidRPr="003305BD" w:rsidR="003305BD">
        <w:t>per hour</w:t>
      </w:r>
      <w:r w:rsidR="00FF02C2">
        <w:t>.</w:t>
      </w:r>
    </w:p>
    <w:p w:rsidR="007D6358" w:rsidRPr="009726B0" w:rsidP="007D6358" w14:paraId="3B04C8D8" w14:textId="3A2922E9">
      <w:pPr>
        <w:rPr>
          <w:b/>
          <w:bCs/>
        </w:rPr>
      </w:pPr>
      <w:r w:rsidRPr="009726B0">
        <w:rPr>
          <w:b/>
          <w:bCs/>
        </w:rPr>
        <w:t xml:space="preserve">Application </w:t>
      </w:r>
    </w:p>
    <w:p w:rsidR="007D6358" w:rsidP="007D6358" w14:paraId="4199C8A1" w14:textId="77777777">
      <w:r>
        <w:t xml:space="preserve">We estimate that it takes approximately 100 person-hours to read the Notice of Funding Opportunity and compile an application package for a Smart Grant. </w:t>
      </w:r>
    </w:p>
    <w:p w:rsidR="007D6358" w:rsidP="007D6358" w14:paraId="39464874" w14:textId="1B32168A">
      <w:r>
        <w:t>T</w:t>
      </w:r>
      <w:r>
        <w:t>he total annual cost to each of the respondents/applicants is $4844.00</w:t>
      </w:r>
      <w:r w:rsidR="008038CF">
        <w:t xml:space="preserve"> ($48.44/hour x 100 hours)</w:t>
      </w:r>
      <w:r>
        <w:t xml:space="preserve"> per application.</w:t>
      </w:r>
    </w:p>
    <w:p w:rsidR="007D6358" w:rsidRPr="009726B0" w:rsidP="007D6358" w14:paraId="030A5F98" w14:textId="7A4D5D53">
      <w:pPr>
        <w:rPr>
          <w:b/>
          <w:bCs/>
        </w:rPr>
      </w:pPr>
      <w:r w:rsidRPr="009726B0">
        <w:rPr>
          <w:b/>
          <w:bCs/>
        </w:rPr>
        <w:t>Grant Agreement:</w:t>
      </w:r>
    </w:p>
    <w:p w:rsidR="007D6358" w:rsidP="007D6358" w14:paraId="2987EF28" w14:textId="626BDAA9">
      <w:r>
        <w:t>We anticipate 60 Stage 1 Agreements, and 10 Stage 2 Agreement per fiscal year. We also anticipate that the applicants will spend an average of 50</w:t>
      </w:r>
      <w:r w:rsidR="002D0A2E">
        <w:t xml:space="preserve"> hours t</w:t>
      </w:r>
      <w:r>
        <w:t>o review and execute their Stage 1</w:t>
      </w:r>
      <w:r w:rsidR="00E3322D">
        <w:t xml:space="preserve"> agreement,</w:t>
      </w:r>
      <w:r>
        <w:t xml:space="preserve"> and </w:t>
      </w:r>
      <w:r w:rsidR="00E3322D">
        <w:t xml:space="preserve">an average of 75 hours to review and execute their </w:t>
      </w:r>
      <w:r>
        <w:t xml:space="preserve">Stage 2 agreement. </w:t>
      </w:r>
      <w:r w:rsidR="00E3322D">
        <w:t xml:space="preserve">Using the average hourly </w:t>
      </w:r>
      <w:r w:rsidR="005A14E5">
        <w:t xml:space="preserve">PMS </w:t>
      </w:r>
      <w:r w:rsidR="005A14E5">
        <w:t xml:space="preserve">wage, </w:t>
      </w:r>
      <w:r>
        <w:t xml:space="preserve"> the</w:t>
      </w:r>
      <w:r>
        <w:t xml:space="preserve"> total annual cost </w:t>
      </w:r>
      <w:r w:rsidR="00C23ADD">
        <w:t>for</w:t>
      </w:r>
      <w:r>
        <w:t xml:space="preserve"> each</w:t>
      </w:r>
      <w:r w:rsidR="00D74315">
        <w:t xml:space="preserve"> Stage 1</w:t>
      </w:r>
      <w:r>
        <w:t xml:space="preserve"> of the respondent is $2,422.00</w:t>
      </w:r>
      <w:r w:rsidR="008038CF">
        <w:t xml:space="preserve"> ($48.44 x 50</w:t>
      </w:r>
      <w:r w:rsidR="001103D2">
        <w:t xml:space="preserve"> hours</w:t>
      </w:r>
      <w:r w:rsidR="008038CF">
        <w:t>)</w:t>
      </w:r>
      <w:r w:rsidR="00D74315">
        <w:t xml:space="preserve">, and </w:t>
      </w:r>
      <w:r>
        <w:t>$3,633.00</w:t>
      </w:r>
      <w:r w:rsidR="00C23ADD">
        <w:t xml:space="preserve"> </w:t>
      </w:r>
      <w:r w:rsidR="008038CF">
        <w:t>($48.44 x 75)</w:t>
      </w:r>
      <w:r w:rsidR="001A6C38">
        <w:t xml:space="preserve"> </w:t>
      </w:r>
      <w:r w:rsidR="00C23ADD">
        <w:t>for each Stage 2 respondent.</w:t>
      </w:r>
    </w:p>
    <w:p w:rsidR="007D6358" w:rsidRPr="009726B0" w:rsidP="007D6358" w14:paraId="02514E4C" w14:textId="428CFC27">
      <w:pPr>
        <w:rPr>
          <w:b/>
          <w:bCs/>
        </w:rPr>
      </w:pPr>
      <w:r w:rsidRPr="009726B0">
        <w:rPr>
          <w:b/>
          <w:bCs/>
        </w:rPr>
        <w:t>Project Management:</w:t>
      </w:r>
    </w:p>
    <w:p w:rsidR="007D6358" w:rsidP="007D6358" w14:paraId="0DB5988E" w14:textId="1AE06B1C">
      <w:r>
        <w:t>We estimate that it takes approximately 10 person-hours to develop and submit a quarterly project progress report to USDOT for review, and therefore it will take 40 hours of staff time per year. Therefore, the total annual cost to each of the respondents/applicants is $1,937.60</w:t>
      </w:r>
      <w:r w:rsidR="008038CF">
        <w:t xml:space="preserve"> ($48.44 x 40</w:t>
      </w:r>
      <w:r w:rsidR="001103D2">
        <w:t xml:space="preserve"> hours</w:t>
      </w:r>
      <w:r w:rsidR="008038CF">
        <w:t>)</w:t>
      </w:r>
      <w:r>
        <w:t>.</w:t>
      </w:r>
      <w:r>
        <w:tab/>
      </w:r>
    </w:p>
    <w:p w:rsidR="007D6358" w:rsidRPr="009726B0" w:rsidP="007D6358" w14:paraId="3CEB943A" w14:textId="105557AC">
      <w:pPr>
        <w:rPr>
          <w:b/>
          <w:bCs/>
        </w:rPr>
      </w:pPr>
      <w:r w:rsidRPr="009726B0">
        <w:rPr>
          <w:b/>
          <w:bCs/>
        </w:rPr>
        <w:t>Project Evaluation:</w:t>
      </w:r>
    </w:p>
    <w:p w:rsidR="007D6358" w:rsidP="007D6358" w14:paraId="34A2582A" w14:textId="04D98399">
      <w:r>
        <w:t>We estimate an approximate a total 60 person-hour to develop and submit all 3 of the required documents (Evaluation Plan, Data Management Plan, and Annual/Final Implementation Report). Therefore, the total annual cost to each of the respondents/applicants is $2,906.40</w:t>
      </w:r>
      <w:r w:rsidR="00B8747C">
        <w:t xml:space="preserve"> </w:t>
      </w:r>
      <w:r w:rsidR="008038CF">
        <w:t>($48.44 x 60</w:t>
      </w:r>
      <w:r w:rsidR="001103D2">
        <w:t xml:space="preserve"> hours</w:t>
      </w:r>
      <w:r w:rsidR="008038CF">
        <w:t xml:space="preserve">) </w:t>
      </w:r>
      <w:r>
        <w:t>.</w:t>
      </w:r>
    </w:p>
    <w:p w:rsidR="007D6358" w:rsidRPr="009726B0" w:rsidP="007D6358" w14:paraId="531D1262" w14:textId="77777777">
      <w:pPr>
        <w:rPr>
          <w:b/>
          <w:bCs/>
          <w:color w:val="000000" w:themeColor="text1"/>
        </w:rPr>
      </w:pPr>
      <w:r w:rsidRPr="009726B0">
        <w:rPr>
          <w:b/>
          <w:bCs/>
          <w:color w:val="000000" w:themeColor="text1"/>
        </w:rPr>
        <w:t>14. Estimate of annual cost to the Federal government:</w:t>
      </w:r>
    </w:p>
    <w:p w:rsidR="00212C89" w:rsidP="008038CF" w14:paraId="66DD0A6B" w14:textId="7FEB58B9">
      <w:r>
        <w:t>The table below summarizes the costs to the Federal government</w:t>
      </w:r>
      <w:r>
        <w:t>.</w:t>
      </w:r>
      <w:r w:rsidRPr="00212C89">
        <w:t xml:space="preserve"> </w:t>
      </w:r>
      <w:r>
        <w:t xml:space="preserve">Although various personnel are involved in the SMART grants application and awarding process, we believe the Project Management Specialist (PMS) are the most fitting position, given the described duties of the job. The current average salary for PMS is $48.44 </w:t>
      </w:r>
      <w:r>
        <w:rPr>
          <w:rStyle w:val="FootnoteReference"/>
        </w:rPr>
        <w:footnoteReference w:id="3"/>
      </w:r>
      <w:r>
        <w:t>per hour</w:t>
      </w:r>
      <w:r w:rsidR="008038CF">
        <w:t>.</w:t>
      </w:r>
    </w:p>
    <w:p w:rsidR="00DE523A" w:rsidP="00212C89" w14:paraId="674B3091" w14:textId="77777777"/>
    <w:p w:rsidR="00B8747C" w:rsidP="00212C89" w14:paraId="464AC811" w14:textId="77777777"/>
    <w:p w:rsidR="00DE523A" w:rsidP="00212C89" w14:paraId="0554CB4D" w14:textId="77777777"/>
    <w:tbl>
      <w:tblPr>
        <w:tblStyle w:val="TableGrid"/>
        <w:tblW w:w="9360" w:type="dxa"/>
        <w:tblInd w:w="-95" w:type="dxa"/>
        <w:tblLook w:val="04A0"/>
      </w:tblPr>
      <w:tblGrid>
        <w:gridCol w:w="2784"/>
        <w:gridCol w:w="1525"/>
        <w:gridCol w:w="1618"/>
        <w:gridCol w:w="828"/>
        <w:gridCol w:w="1347"/>
        <w:gridCol w:w="1258"/>
      </w:tblGrid>
      <w:tr w14:paraId="39CF74A1" w14:textId="77777777" w:rsidTr="0019513B">
        <w:tblPrEx>
          <w:tblW w:w="9360" w:type="dxa"/>
          <w:tblInd w:w="-95" w:type="dxa"/>
          <w:tblLook w:val="04A0"/>
        </w:tblPrEx>
        <w:tc>
          <w:tcPr>
            <w:tcW w:w="2790" w:type="dxa"/>
          </w:tcPr>
          <w:p w:rsidR="009726B0" w:rsidRPr="009726B0" w:rsidP="009726B0" w14:paraId="6FE680D8" w14:textId="77777777">
            <w:pPr>
              <w:rPr>
                <w:rFonts w:ascii="Arial" w:hAnsi="Arial" w:cs="Arial"/>
                <w:b/>
                <w:bCs/>
              </w:rPr>
            </w:pPr>
            <w:r w:rsidRPr="009726B0">
              <w:rPr>
                <w:rFonts w:ascii="Arial" w:hAnsi="Arial" w:cs="Arial"/>
                <w:b/>
                <w:bCs/>
              </w:rPr>
              <w:t xml:space="preserve">Phase/Task </w:t>
            </w:r>
          </w:p>
        </w:tc>
        <w:tc>
          <w:tcPr>
            <w:tcW w:w="1530" w:type="dxa"/>
          </w:tcPr>
          <w:p w:rsidR="009726B0" w:rsidRPr="009726B0" w:rsidP="009726B0" w14:paraId="78E9E137" w14:textId="77777777">
            <w:pPr>
              <w:rPr>
                <w:rFonts w:ascii="Arial" w:hAnsi="Arial" w:cs="Arial"/>
                <w:b/>
                <w:bCs/>
              </w:rPr>
            </w:pPr>
            <w:r w:rsidRPr="009726B0">
              <w:rPr>
                <w:rFonts w:ascii="Arial" w:hAnsi="Arial" w:cs="Arial"/>
                <w:b/>
                <w:bCs/>
              </w:rPr>
              <w:t>Annual Staff time (person-hours)</w:t>
            </w:r>
          </w:p>
        </w:tc>
        <w:tc>
          <w:tcPr>
            <w:tcW w:w="1620" w:type="dxa"/>
          </w:tcPr>
          <w:p w:rsidR="009726B0" w:rsidRPr="009726B0" w:rsidP="009726B0" w14:paraId="3F71F9D6" w14:textId="77777777">
            <w:pPr>
              <w:rPr>
                <w:rFonts w:ascii="Arial" w:hAnsi="Arial" w:cs="Arial"/>
                <w:b/>
                <w:bCs/>
              </w:rPr>
            </w:pPr>
            <w:r w:rsidRPr="009726B0">
              <w:rPr>
                <w:rFonts w:ascii="Arial" w:hAnsi="Arial" w:cs="Arial"/>
                <w:b/>
                <w:bCs/>
              </w:rPr>
              <w:t>Number of annual submissions</w:t>
            </w:r>
          </w:p>
        </w:tc>
        <w:tc>
          <w:tcPr>
            <w:tcW w:w="810" w:type="dxa"/>
          </w:tcPr>
          <w:p w:rsidR="009726B0" w:rsidRPr="009726B0" w:rsidP="009726B0" w14:paraId="128A4E27" w14:textId="77777777">
            <w:pPr>
              <w:rPr>
                <w:rFonts w:ascii="Arial" w:hAnsi="Arial" w:cs="Arial"/>
                <w:b/>
                <w:bCs/>
              </w:rPr>
            </w:pPr>
            <w:r w:rsidRPr="009726B0">
              <w:rPr>
                <w:rFonts w:ascii="Arial" w:hAnsi="Arial" w:cs="Arial"/>
                <w:b/>
                <w:bCs/>
              </w:rPr>
              <w:t>Cost per Hour</w:t>
            </w:r>
          </w:p>
        </w:tc>
        <w:tc>
          <w:tcPr>
            <w:tcW w:w="1350" w:type="dxa"/>
          </w:tcPr>
          <w:p w:rsidR="009726B0" w:rsidRPr="009726B0" w:rsidP="009726B0" w14:paraId="5EE4E59D" w14:textId="77777777">
            <w:pPr>
              <w:rPr>
                <w:rFonts w:ascii="Arial" w:hAnsi="Arial" w:cs="Arial"/>
                <w:b/>
                <w:bCs/>
              </w:rPr>
            </w:pPr>
            <w:r w:rsidRPr="009726B0">
              <w:rPr>
                <w:rFonts w:ascii="Arial" w:hAnsi="Arial" w:cs="Arial"/>
                <w:b/>
                <w:bCs/>
              </w:rPr>
              <w:t xml:space="preserve">Annual Cost </w:t>
            </w:r>
          </w:p>
        </w:tc>
        <w:tc>
          <w:tcPr>
            <w:tcW w:w="1260" w:type="dxa"/>
          </w:tcPr>
          <w:p w:rsidR="009726B0" w:rsidRPr="009726B0" w:rsidP="009726B0" w14:paraId="0E49A1C3" w14:textId="77777777">
            <w:pPr>
              <w:rPr>
                <w:rFonts w:ascii="Arial" w:hAnsi="Arial" w:cs="Arial"/>
                <w:b/>
                <w:bCs/>
              </w:rPr>
            </w:pPr>
            <w:r w:rsidRPr="009726B0">
              <w:rPr>
                <w:rFonts w:ascii="Arial" w:hAnsi="Arial" w:cs="Arial"/>
                <w:b/>
                <w:bCs/>
              </w:rPr>
              <w:t xml:space="preserve">Total Cost </w:t>
            </w:r>
          </w:p>
        </w:tc>
      </w:tr>
      <w:tr w14:paraId="0132CF71" w14:textId="77777777" w:rsidTr="0019513B">
        <w:tblPrEx>
          <w:tblW w:w="9360" w:type="dxa"/>
          <w:tblInd w:w="-95" w:type="dxa"/>
          <w:tblLook w:val="04A0"/>
        </w:tblPrEx>
        <w:tc>
          <w:tcPr>
            <w:tcW w:w="2790" w:type="dxa"/>
          </w:tcPr>
          <w:p w:rsidR="009726B0" w:rsidRPr="009726B0" w:rsidP="009726B0" w14:paraId="66BA2691" w14:textId="77777777">
            <w:pPr>
              <w:rPr>
                <w:rFonts w:ascii="Arial" w:hAnsi="Arial" w:cs="Arial"/>
              </w:rPr>
            </w:pPr>
            <w:r w:rsidRPr="009726B0">
              <w:rPr>
                <w:rFonts w:ascii="Arial" w:hAnsi="Arial" w:cs="Arial"/>
                <w:b/>
                <w:bCs/>
              </w:rPr>
              <w:t xml:space="preserve">Application Process </w:t>
            </w:r>
            <w:r w:rsidRPr="009726B0">
              <w:rPr>
                <w:rFonts w:ascii="Arial" w:hAnsi="Arial" w:cs="Arial"/>
              </w:rPr>
              <w:t>(e.g., review applications)</w:t>
            </w:r>
          </w:p>
        </w:tc>
        <w:tc>
          <w:tcPr>
            <w:tcW w:w="1530" w:type="dxa"/>
          </w:tcPr>
          <w:p w:rsidR="009726B0" w:rsidRPr="009726B0" w:rsidP="009726B0" w14:paraId="0E667FF7" w14:textId="77777777">
            <w:pPr>
              <w:rPr>
                <w:rFonts w:ascii="Arial" w:hAnsi="Arial" w:cs="Arial"/>
              </w:rPr>
            </w:pPr>
          </w:p>
        </w:tc>
        <w:tc>
          <w:tcPr>
            <w:tcW w:w="1620" w:type="dxa"/>
          </w:tcPr>
          <w:p w:rsidR="009726B0" w:rsidRPr="009726B0" w:rsidP="009726B0" w14:paraId="0D47E0CE" w14:textId="77777777">
            <w:pPr>
              <w:rPr>
                <w:rFonts w:ascii="Arial" w:hAnsi="Arial" w:cs="Arial"/>
              </w:rPr>
            </w:pPr>
          </w:p>
        </w:tc>
        <w:tc>
          <w:tcPr>
            <w:tcW w:w="810" w:type="dxa"/>
          </w:tcPr>
          <w:p w:rsidR="009726B0" w:rsidRPr="009726B0" w:rsidP="009726B0" w14:paraId="1987E98C" w14:textId="77777777">
            <w:pPr>
              <w:rPr>
                <w:rFonts w:ascii="Arial" w:hAnsi="Arial" w:cs="Arial"/>
              </w:rPr>
            </w:pPr>
          </w:p>
        </w:tc>
        <w:tc>
          <w:tcPr>
            <w:tcW w:w="1350" w:type="dxa"/>
          </w:tcPr>
          <w:p w:rsidR="009726B0" w:rsidRPr="009726B0" w:rsidP="009726B0" w14:paraId="0E1767DE" w14:textId="77777777">
            <w:pPr>
              <w:rPr>
                <w:rFonts w:ascii="Arial" w:hAnsi="Arial" w:cs="Arial"/>
              </w:rPr>
            </w:pPr>
          </w:p>
        </w:tc>
        <w:tc>
          <w:tcPr>
            <w:tcW w:w="1260" w:type="dxa"/>
          </w:tcPr>
          <w:p w:rsidR="009726B0" w:rsidRPr="009726B0" w:rsidP="009726B0" w14:paraId="32F8787B" w14:textId="77777777">
            <w:pPr>
              <w:rPr>
                <w:rFonts w:ascii="Arial" w:hAnsi="Arial" w:cs="Arial"/>
              </w:rPr>
            </w:pPr>
          </w:p>
        </w:tc>
      </w:tr>
      <w:tr w14:paraId="40AD6344" w14:textId="77777777" w:rsidTr="0019513B">
        <w:tblPrEx>
          <w:tblW w:w="9360" w:type="dxa"/>
          <w:tblInd w:w="-95" w:type="dxa"/>
          <w:tblLook w:val="04A0"/>
        </w:tblPrEx>
        <w:tc>
          <w:tcPr>
            <w:tcW w:w="2790" w:type="dxa"/>
          </w:tcPr>
          <w:p w:rsidR="009726B0" w:rsidRPr="009726B0" w:rsidP="009726B0" w14:paraId="154CE3D7" w14:textId="77777777">
            <w:pPr>
              <w:numPr>
                <w:ilvl w:val="0"/>
                <w:numId w:val="7"/>
              </w:numPr>
              <w:ind w:left="360" w:hanging="270"/>
              <w:rPr>
                <w:rFonts w:ascii="Arial" w:hAnsi="Arial" w:cs="Arial"/>
              </w:rPr>
            </w:pPr>
            <w:bookmarkStart w:id="1" w:name="_Hlk206430650"/>
            <w:r w:rsidRPr="009726B0">
              <w:rPr>
                <w:rFonts w:ascii="Arial" w:hAnsi="Arial" w:cs="Arial"/>
              </w:rPr>
              <w:t>Stage 1</w:t>
            </w:r>
          </w:p>
        </w:tc>
        <w:tc>
          <w:tcPr>
            <w:tcW w:w="1530" w:type="dxa"/>
          </w:tcPr>
          <w:p w:rsidR="009726B0" w:rsidRPr="009726B0" w:rsidP="009726B0" w14:paraId="41CD7504" w14:textId="77777777">
            <w:pPr>
              <w:rPr>
                <w:rFonts w:ascii="Arial" w:hAnsi="Arial" w:cs="Arial"/>
              </w:rPr>
            </w:pPr>
            <w:r w:rsidRPr="009726B0">
              <w:rPr>
                <w:rFonts w:ascii="Arial" w:hAnsi="Arial" w:cs="Arial"/>
              </w:rPr>
              <w:t>15</w:t>
            </w:r>
          </w:p>
        </w:tc>
        <w:tc>
          <w:tcPr>
            <w:tcW w:w="1620" w:type="dxa"/>
          </w:tcPr>
          <w:p w:rsidR="009726B0" w:rsidRPr="009726B0" w:rsidP="009726B0" w14:paraId="020EEB7E" w14:textId="77777777">
            <w:pPr>
              <w:rPr>
                <w:rFonts w:ascii="Arial" w:hAnsi="Arial" w:cs="Arial"/>
              </w:rPr>
            </w:pPr>
            <w:r w:rsidRPr="009726B0">
              <w:rPr>
                <w:rFonts w:ascii="Arial" w:hAnsi="Arial" w:cs="Arial"/>
              </w:rPr>
              <w:t>300</w:t>
            </w:r>
          </w:p>
        </w:tc>
        <w:tc>
          <w:tcPr>
            <w:tcW w:w="810" w:type="dxa"/>
          </w:tcPr>
          <w:p w:rsidR="009726B0" w:rsidRPr="009726B0" w:rsidP="009726B0" w14:paraId="116CF214" w14:textId="5AF8A815">
            <w:pPr>
              <w:rPr>
                <w:rFonts w:ascii="Arial" w:hAnsi="Arial" w:cs="Arial"/>
              </w:rPr>
            </w:pPr>
            <w:r w:rsidRPr="009726B0">
              <w:rPr>
                <w:rFonts w:ascii="Arial" w:hAnsi="Arial" w:cs="Arial"/>
              </w:rPr>
              <w:t>$</w:t>
            </w:r>
            <w:r w:rsidR="008038CF">
              <w:rPr>
                <w:rFonts w:ascii="Arial" w:hAnsi="Arial" w:cs="Arial"/>
              </w:rPr>
              <w:t>48.44</w:t>
            </w:r>
          </w:p>
        </w:tc>
        <w:tc>
          <w:tcPr>
            <w:tcW w:w="1350" w:type="dxa"/>
          </w:tcPr>
          <w:p w:rsidR="009726B0" w:rsidRPr="009726B0" w:rsidP="009726B0" w14:paraId="1B8FB0AD" w14:textId="1000934C">
            <w:pPr>
              <w:rPr>
                <w:rFonts w:ascii="Arial" w:hAnsi="Arial" w:cs="Arial"/>
              </w:rPr>
            </w:pPr>
            <w:r>
              <w:rPr>
                <w:rFonts w:ascii="Arial" w:hAnsi="Arial" w:cs="Arial"/>
              </w:rPr>
              <w:t>$</w:t>
            </w:r>
            <w:r w:rsidRPr="00B42D88">
              <w:rPr>
                <w:rFonts w:ascii="Arial" w:hAnsi="Arial" w:cs="Arial"/>
              </w:rPr>
              <w:t>217,980</w:t>
            </w:r>
          </w:p>
        </w:tc>
        <w:tc>
          <w:tcPr>
            <w:tcW w:w="1260" w:type="dxa"/>
          </w:tcPr>
          <w:p w:rsidR="009726B0" w:rsidRPr="009726B0" w:rsidP="009726B0" w14:paraId="7279AB4B" w14:textId="011F81FC">
            <w:pPr>
              <w:rPr>
                <w:rFonts w:ascii="Arial" w:hAnsi="Arial" w:cs="Arial"/>
              </w:rPr>
            </w:pPr>
            <w:r>
              <w:rPr>
                <w:rFonts w:ascii="Arial" w:hAnsi="Arial" w:cs="Arial"/>
              </w:rPr>
              <w:t>$</w:t>
            </w:r>
            <w:r w:rsidRPr="00B42D88">
              <w:rPr>
                <w:rFonts w:ascii="Arial" w:hAnsi="Arial" w:cs="Arial"/>
              </w:rPr>
              <w:t>217,980</w:t>
            </w:r>
          </w:p>
        </w:tc>
      </w:tr>
      <w:bookmarkEnd w:id="1"/>
      <w:tr w14:paraId="70EC3826" w14:textId="77777777" w:rsidTr="0019513B">
        <w:tblPrEx>
          <w:tblW w:w="9360" w:type="dxa"/>
          <w:tblInd w:w="-95" w:type="dxa"/>
          <w:tblLook w:val="04A0"/>
        </w:tblPrEx>
        <w:tc>
          <w:tcPr>
            <w:tcW w:w="2790" w:type="dxa"/>
          </w:tcPr>
          <w:p w:rsidR="009726B0" w:rsidRPr="009726B0" w:rsidP="009726B0" w14:paraId="56C60DD4" w14:textId="77777777">
            <w:pPr>
              <w:numPr>
                <w:ilvl w:val="0"/>
                <w:numId w:val="7"/>
              </w:numPr>
              <w:ind w:left="360" w:hanging="270"/>
              <w:rPr>
                <w:rFonts w:ascii="Arial" w:hAnsi="Arial" w:cs="Arial"/>
              </w:rPr>
            </w:pPr>
            <w:r w:rsidRPr="009726B0">
              <w:rPr>
                <w:rFonts w:ascii="Arial" w:hAnsi="Arial" w:cs="Arial"/>
              </w:rPr>
              <w:t>Stage 2</w:t>
            </w:r>
          </w:p>
        </w:tc>
        <w:tc>
          <w:tcPr>
            <w:tcW w:w="1530" w:type="dxa"/>
          </w:tcPr>
          <w:p w:rsidR="009726B0" w:rsidRPr="009726B0" w:rsidP="009726B0" w14:paraId="070D6DF6" w14:textId="77777777">
            <w:pPr>
              <w:rPr>
                <w:rFonts w:ascii="Arial" w:hAnsi="Arial" w:cs="Arial"/>
              </w:rPr>
            </w:pPr>
            <w:r w:rsidRPr="009726B0">
              <w:rPr>
                <w:rFonts w:ascii="Arial" w:hAnsi="Arial" w:cs="Arial"/>
              </w:rPr>
              <w:t>20</w:t>
            </w:r>
          </w:p>
        </w:tc>
        <w:tc>
          <w:tcPr>
            <w:tcW w:w="1620" w:type="dxa"/>
          </w:tcPr>
          <w:p w:rsidR="009726B0" w:rsidRPr="009726B0" w:rsidP="009726B0" w14:paraId="29403815" w14:textId="77777777">
            <w:pPr>
              <w:rPr>
                <w:rFonts w:ascii="Arial" w:hAnsi="Arial" w:cs="Arial"/>
              </w:rPr>
            </w:pPr>
            <w:r w:rsidRPr="009726B0">
              <w:rPr>
                <w:rFonts w:ascii="Arial" w:hAnsi="Arial" w:cs="Arial"/>
              </w:rPr>
              <w:t>60</w:t>
            </w:r>
          </w:p>
        </w:tc>
        <w:tc>
          <w:tcPr>
            <w:tcW w:w="810" w:type="dxa"/>
          </w:tcPr>
          <w:p w:rsidR="009726B0" w:rsidRPr="009726B0" w:rsidP="009726B0" w14:paraId="1FB43C92" w14:textId="2E966B34">
            <w:pPr>
              <w:rPr>
                <w:rFonts w:ascii="Arial" w:hAnsi="Arial" w:cs="Arial"/>
              </w:rPr>
            </w:pPr>
            <w:r w:rsidRPr="00B8747C">
              <w:rPr>
                <w:rFonts w:ascii="Arial" w:hAnsi="Arial" w:cs="Arial"/>
              </w:rPr>
              <w:t>$48.44</w:t>
            </w:r>
          </w:p>
        </w:tc>
        <w:tc>
          <w:tcPr>
            <w:tcW w:w="1350" w:type="dxa"/>
          </w:tcPr>
          <w:p w:rsidR="009726B0" w:rsidRPr="009726B0" w:rsidP="009726B0" w14:paraId="608476B1" w14:textId="437DE499">
            <w:pPr>
              <w:rPr>
                <w:rFonts w:ascii="Arial" w:hAnsi="Arial" w:cs="Arial"/>
              </w:rPr>
            </w:pPr>
            <w:r w:rsidRPr="009726B0">
              <w:rPr>
                <w:rFonts w:ascii="Arial" w:hAnsi="Arial" w:cs="Arial"/>
              </w:rPr>
              <w:t>$</w:t>
            </w:r>
            <w:r w:rsidRPr="00B42D88" w:rsidR="00B42D88">
              <w:rPr>
                <w:rFonts w:ascii="Arial" w:hAnsi="Arial" w:cs="Arial"/>
              </w:rPr>
              <w:t>58,128</w:t>
            </w:r>
          </w:p>
        </w:tc>
        <w:tc>
          <w:tcPr>
            <w:tcW w:w="1260" w:type="dxa"/>
          </w:tcPr>
          <w:p w:rsidR="009726B0" w:rsidRPr="009726B0" w:rsidP="009726B0" w14:paraId="54CA5358" w14:textId="0B1150D6">
            <w:pPr>
              <w:rPr>
                <w:rFonts w:ascii="Arial" w:hAnsi="Arial" w:cs="Arial"/>
              </w:rPr>
            </w:pPr>
            <w:r w:rsidRPr="009726B0">
              <w:rPr>
                <w:rFonts w:ascii="Arial" w:hAnsi="Arial" w:cs="Arial"/>
              </w:rPr>
              <w:t>$</w:t>
            </w:r>
            <w:r w:rsidRPr="00B42D88" w:rsidR="00B42D88">
              <w:rPr>
                <w:rFonts w:ascii="Arial" w:hAnsi="Arial" w:cs="Arial"/>
              </w:rPr>
              <w:t>58,128</w:t>
            </w:r>
          </w:p>
        </w:tc>
      </w:tr>
      <w:tr w14:paraId="4AE041DA" w14:textId="77777777" w:rsidTr="0019513B">
        <w:tblPrEx>
          <w:tblW w:w="9360" w:type="dxa"/>
          <w:tblInd w:w="-95" w:type="dxa"/>
          <w:tblLook w:val="04A0"/>
        </w:tblPrEx>
        <w:tc>
          <w:tcPr>
            <w:tcW w:w="2790" w:type="dxa"/>
          </w:tcPr>
          <w:p w:rsidR="009726B0" w:rsidRPr="009726B0" w:rsidP="009726B0" w14:paraId="3132FA33" w14:textId="77777777">
            <w:pPr>
              <w:rPr>
                <w:rFonts w:ascii="Arial" w:hAnsi="Arial" w:cs="Arial"/>
              </w:rPr>
            </w:pPr>
            <w:r w:rsidRPr="009726B0">
              <w:rPr>
                <w:rFonts w:ascii="Arial" w:hAnsi="Arial" w:cs="Arial"/>
                <w:b/>
                <w:bCs/>
              </w:rPr>
              <w:t>Grant Agreement</w:t>
            </w:r>
          </w:p>
        </w:tc>
        <w:tc>
          <w:tcPr>
            <w:tcW w:w="1530" w:type="dxa"/>
          </w:tcPr>
          <w:p w:rsidR="009726B0" w:rsidRPr="009726B0" w:rsidP="009726B0" w14:paraId="0BB53BB1" w14:textId="77777777">
            <w:pPr>
              <w:rPr>
                <w:rFonts w:ascii="Arial" w:hAnsi="Arial" w:cs="Arial"/>
              </w:rPr>
            </w:pPr>
          </w:p>
        </w:tc>
        <w:tc>
          <w:tcPr>
            <w:tcW w:w="1620" w:type="dxa"/>
          </w:tcPr>
          <w:p w:rsidR="009726B0" w:rsidRPr="009726B0" w:rsidP="009726B0" w14:paraId="42BF9B84" w14:textId="77777777">
            <w:pPr>
              <w:rPr>
                <w:rFonts w:ascii="Arial" w:hAnsi="Arial" w:cs="Arial"/>
              </w:rPr>
            </w:pPr>
          </w:p>
        </w:tc>
        <w:tc>
          <w:tcPr>
            <w:tcW w:w="810" w:type="dxa"/>
          </w:tcPr>
          <w:p w:rsidR="009726B0" w:rsidRPr="009726B0" w:rsidP="009726B0" w14:paraId="4BBDE2DB" w14:textId="77777777">
            <w:pPr>
              <w:rPr>
                <w:rFonts w:ascii="Arial" w:hAnsi="Arial" w:cs="Arial"/>
              </w:rPr>
            </w:pPr>
          </w:p>
        </w:tc>
        <w:tc>
          <w:tcPr>
            <w:tcW w:w="1350" w:type="dxa"/>
          </w:tcPr>
          <w:p w:rsidR="009726B0" w:rsidRPr="009726B0" w:rsidP="009726B0" w14:paraId="4EB4C579" w14:textId="77777777">
            <w:pPr>
              <w:rPr>
                <w:rFonts w:ascii="Arial" w:hAnsi="Arial" w:cs="Arial"/>
              </w:rPr>
            </w:pPr>
          </w:p>
        </w:tc>
        <w:tc>
          <w:tcPr>
            <w:tcW w:w="1260" w:type="dxa"/>
          </w:tcPr>
          <w:p w:rsidR="009726B0" w:rsidRPr="009726B0" w:rsidP="009726B0" w14:paraId="08088B9A" w14:textId="77777777">
            <w:pPr>
              <w:rPr>
                <w:rFonts w:ascii="Arial" w:hAnsi="Arial" w:cs="Arial"/>
              </w:rPr>
            </w:pPr>
          </w:p>
        </w:tc>
      </w:tr>
      <w:tr w14:paraId="535513F4" w14:textId="77777777" w:rsidTr="0019513B">
        <w:tblPrEx>
          <w:tblW w:w="9360" w:type="dxa"/>
          <w:tblInd w:w="-95" w:type="dxa"/>
          <w:tblLook w:val="04A0"/>
        </w:tblPrEx>
        <w:tc>
          <w:tcPr>
            <w:tcW w:w="2790" w:type="dxa"/>
          </w:tcPr>
          <w:p w:rsidR="009726B0" w:rsidRPr="009726B0" w:rsidP="009726B0" w14:paraId="184B16CC" w14:textId="77777777">
            <w:pPr>
              <w:numPr>
                <w:ilvl w:val="0"/>
                <w:numId w:val="8"/>
              </w:numPr>
              <w:ind w:left="360" w:hanging="270"/>
              <w:rPr>
                <w:rFonts w:ascii="Arial" w:hAnsi="Arial" w:cs="Arial"/>
              </w:rPr>
            </w:pPr>
            <w:r w:rsidRPr="009726B0">
              <w:rPr>
                <w:rFonts w:ascii="Arial" w:hAnsi="Arial" w:cs="Arial"/>
              </w:rPr>
              <w:t xml:space="preserve">Stage 1 Set-up/Execute </w:t>
            </w:r>
          </w:p>
        </w:tc>
        <w:tc>
          <w:tcPr>
            <w:tcW w:w="1530" w:type="dxa"/>
          </w:tcPr>
          <w:p w:rsidR="009726B0" w:rsidRPr="009726B0" w:rsidP="009726B0" w14:paraId="13B65858" w14:textId="77777777">
            <w:pPr>
              <w:rPr>
                <w:rFonts w:ascii="Arial" w:hAnsi="Arial" w:cs="Arial"/>
              </w:rPr>
            </w:pPr>
            <w:r w:rsidRPr="009726B0">
              <w:rPr>
                <w:rFonts w:ascii="Arial" w:hAnsi="Arial" w:cs="Arial"/>
              </w:rPr>
              <w:t xml:space="preserve">15 </w:t>
            </w:r>
          </w:p>
        </w:tc>
        <w:tc>
          <w:tcPr>
            <w:tcW w:w="1620" w:type="dxa"/>
          </w:tcPr>
          <w:p w:rsidR="009726B0" w:rsidRPr="009726B0" w:rsidP="009726B0" w14:paraId="5567DF57" w14:textId="77777777">
            <w:pPr>
              <w:rPr>
                <w:rFonts w:ascii="Arial" w:hAnsi="Arial" w:cs="Arial"/>
              </w:rPr>
            </w:pPr>
            <w:r w:rsidRPr="009726B0">
              <w:rPr>
                <w:rFonts w:ascii="Arial" w:hAnsi="Arial" w:cs="Arial"/>
              </w:rPr>
              <w:t>60</w:t>
            </w:r>
          </w:p>
        </w:tc>
        <w:tc>
          <w:tcPr>
            <w:tcW w:w="810" w:type="dxa"/>
          </w:tcPr>
          <w:p w:rsidR="009726B0" w:rsidRPr="009726B0" w:rsidP="009726B0" w14:paraId="0CEFEF5D" w14:textId="636BE862">
            <w:pPr>
              <w:rPr>
                <w:rFonts w:ascii="Arial" w:hAnsi="Arial" w:cs="Arial"/>
              </w:rPr>
            </w:pPr>
            <w:r w:rsidRPr="00B8747C">
              <w:rPr>
                <w:rFonts w:ascii="Arial" w:hAnsi="Arial" w:cs="Arial"/>
              </w:rPr>
              <w:t>$48.44</w:t>
            </w:r>
          </w:p>
        </w:tc>
        <w:tc>
          <w:tcPr>
            <w:tcW w:w="1350" w:type="dxa"/>
          </w:tcPr>
          <w:p w:rsidR="009726B0" w:rsidRPr="009726B0" w:rsidP="009726B0" w14:paraId="6BBE85B2" w14:textId="64B8D692">
            <w:pPr>
              <w:rPr>
                <w:rFonts w:ascii="Arial" w:hAnsi="Arial" w:cs="Arial"/>
              </w:rPr>
            </w:pPr>
            <w:r w:rsidRPr="009726B0">
              <w:rPr>
                <w:rFonts w:ascii="Arial" w:hAnsi="Arial" w:cs="Arial"/>
              </w:rPr>
              <w:t>$</w:t>
            </w:r>
            <w:r w:rsidRPr="00B42D88" w:rsidR="00B42D88">
              <w:rPr>
                <w:rFonts w:ascii="Arial" w:hAnsi="Arial" w:cs="Arial"/>
              </w:rPr>
              <w:t>43,596</w:t>
            </w:r>
          </w:p>
        </w:tc>
        <w:tc>
          <w:tcPr>
            <w:tcW w:w="1260" w:type="dxa"/>
          </w:tcPr>
          <w:p w:rsidR="009726B0" w:rsidRPr="009726B0" w:rsidP="009726B0" w14:paraId="071BDF60" w14:textId="39119A3F">
            <w:pPr>
              <w:rPr>
                <w:rFonts w:ascii="Arial" w:hAnsi="Arial" w:cs="Arial"/>
              </w:rPr>
            </w:pPr>
            <w:r w:rsidRPr="009726B0">
              <w:rPr>
                <w:rFonts w:ascii="Arial" w:hAnsi="Arial" w:cs="Arial"/>
              </w:rPr>
              <w:t>$</w:t>
            </w:r>
            <w:r w:rsidRPr="00B42D88" w:rsidR="00B42D88">
              <w:rPr>
                <w:rFonts w:ascii="Arial" w:hAnsi="Arial" w:cs="Arial"/>
              </w:rPr>
              <w:t>43,596</w:t>
            </w:r>
          </w:p>
        </w:tc>
      </w:tr>
      <w:tr w14:paraId="61D99393" w14:textId="77777777" w:rsidTr="0019513B">
        <w:tblPrEx>
          <w:tblW w:w="9360" w:type="dxa"/>
          <w:tblInd w:w="-95" w:type="dxa"/>
          <w:tblLook w:val="04A0"/>
        </w:tblPrEx>
        <w:tc>
          <w:tcPr>
            <w:tcW w:w="2790" w:type="dxa"/>
          </w:tcPr>
          <w:p w:rsidR="009726B0" w:rsidRPr="009726B0" w:rsidP="009726B0" w14:paraId="01EB6CAF" w14:textId="77777777">
            <w:pPr>
              <w:numPr>
                <w:ilvl w:val="0"/>
                <w:numId w:val="8"/>
              </w:numPr>
              <w:ind w:left="360" w:hanging="270"/>
              <w:rPr>
                <w:rFonts w:ascii="Arial" w:hAnsi="Arial" w:cs="Arial"/>
              </w:rPr>
            </w:pPr>
            <w:r w:rsidRPr="009726B0">
              <w:rPr>
                <w:rFonts w:ascii="Arial" w:hAnsi="Arial" w:cs="Arial"/>
              </w:rPr>
              <w:t xml:space="preserve">Stage 2 Set-up/Execute </w:t>
            </w:r>
          </w:p>
        </w:tc>
        <w:tc>
          <w:tcPr>
            <w:tcW w:w="1530" w:type="dxa"/>
          </w:tcPr>
          <w:p w:rsidR="009726B0" w:rsidRPr="009726B0" w:rsidP="009726B0" w14:paraId="3FB51E69" w14:textId="77777777">
            <w:pPr>
              <w:rPr>
                <w:rFonts w:ascii="Arial" w:hAnsi="Arial" w:cs="Arial"/>
              </w:rPr>
            </w:pPr>
            <w:r w:rsidRPr="009726B0">
              <w:rPr>
                <w:rFonts w:ascii="Arial" w:hAnsi="Arial" w:cs="Arial"/>
              </w:rPr>
              <w:t>30</w:t>
            </w:r>
          </w:p>
        </w:tc>
        <w:tc>
          <w:tcPr>
            <w:tcW w:w="1620" w:type="dxa"/>
          </w:tcPr>
          <w:p w:rsidR="009726B0" w:rsidRPr="009726B0" w:rsidP="009726B0" w14:paraId="225C7BC3" w14:textId="77777777">
            <w:pPr>
              <w:rPr>
                <w:rFonts w:ascii="Arial" w:hAnsi="Arial" w:cs="Arial"/>
              </w:rPr>
            </w:pPr>
            <w:r w:rsidRPr="009726B0">
              <w:rPr>
                <w:rFonts w:ascii="Arial" w:hAnsi="Arial" w:cs="Arial"/>
              </w:rPr>
              <w:t>10</w:t>
            </w:r>
          </w:p>
        </w:tc>
        <w:tc>
          <w:tcPr>
            <w:tcW w:w="810" w:type="dxa"/>
          </w:tcPr>
          <w:p w:rsidR="009726B0" w:rsidRPr="009726B0" w:rsidP="009726B0" w14:paraId="5104BB9C" w14:textId="0CC7CA5F">
            <w:pPr>
              <w:rPr>
                <w:rFonts w:ascii="Arial" w:hAnsi="Arial" w:cs="Arial"/>
              </w:rPr>
            </w:pPr>
            <w:r w:rsidRPr="00B8747C">
              <w:rPr>
                <w:rFonts w:ascii="Arial" w:hAnsi="Arial" w:cs="Arial"/>
              </w:rPr>
              <w:t>$48.44</w:t>
            </w:r>
          </w:p>
        </w:tc>
        <w:tc>
          <w:tcPr>
            <w:tcW w:w="1350" w:type="dxa"/>
          </w:tcPr>
          <w:p w:rsidR="009726B0" w:rsidRPr="009726B0" w:rsidP="009726B0" w14:paraId="3D9E2C5C" w14:textId="7767DA94">
            <w:pPr>
              <w:rPr>
                <w:rFonts w:ascii="Arial" w:hAnsi="Arial" w:cs="Arial"/>
              </w:rPr>
            </w:pPr>
            <w:r w:rsidRPr="009726B0">
              <w:rPr>
                <w:rFonts w:ascii="Arial" w:hAnsi="Arial" w:cs="Arial"/>
              </w:rPr>
              <w:t>$</w:t>
            </w:r>
            <w:r w:rsidRPr="00B42D88" w:rsidR="00B42D88">
              <w:rPr>
                <w:rFonts w:ascii="Arial" w:hAnsi="Arial" w:cs="Arial"/>
              </w:rPr>
              <w:t>14,532</w:t>
            </w:r>
          </w:p>
        </w:tc>
        <w:tc>
          <w:tcPr>
            <w:tcW w:w="1260" w:type="dxa"/>
          </w:tcPr>
          <w:p w:rsidR="009726B0" w:rsidRPr="009726B0" w:rsidP="009726B0" w14:paraId="78189358" w14:textId="35EE0396">
            <w:pPr>
              <w:rPr>
                <w:rFonts w:ascii="Arial" w:hAnsi="Arial" w:cs="Arial"/>
              </w:rPr>
            </w:pPr>
            <w:r w:rsidRPr="009726B0">
              <w:rPr>
                <w:rFonts w:ascii="Arial" w:hAnsi="Arial" w:cs="Arial"/>
              </w:rPr>
              <w:t>$</w:t>
            </w:r>
            <w:r w:rsidRPr="00B42D88" w:rsidR="00B42D88">
              <w:rPr>
                <w:rFonts w:ascii="Arial" w:hAnsi="Arial" w:cs="Arial"/>
              </w:rPr>
              <w:t>14,532</w:t>
            </w:r>
          </w:p>
        </w:tc>
      </w:tr>
      <w:tr w14:paraId="1DD90A8C" w14:textId="77777777" w:rsidTr="0019513B">
        <w:tblPrEx>
          <w:tblW w:w="9360" w:type="dxa"/>
          <w:tblInd w:w="-95" w:type="dxa"/>
          <w:tblLook w:val="04A0"/>
        </w:tblPrEx>
        <w:tc>
          <w:tcPr>
            <w:tcW w:w="2790" w:type="dxa"/>
          </w:tcPr>
          <w:p w:rsidR="009726B0" w:rsidRPr="009726B0" w:rsidP="009726B0" w14:paraId="72FF4AF0" w14:textId="77777777">
            <w:pPr>
              <w:rPr>
                <w:rFonts w:ascii="Arial" w:hAnsi="Arial" w:cs="Arial"/>
              </w:rPr>
            </w:pPr>
            <w:r w:rsidRPr="009726B0">
              <w:rPr>
                <w:rFonts w:ascii="Arial" w:hAnsi="Arial" w:cs="Arial"/>
                <w:b/>
                <w:bCs/>
              </w:rPr>
              <w:t>Project Management</w:t>
            </w:r>
          </w:p>
        </w:tc>
        <w:tc>
          <w:tcPr>
            <w:tcW w:w="1530" w:type="dxa"/>
          </w:tcPr>
          <w:p w:rsidR="009726B0" w:rsidRPr="009726B0" w:rsidP="009726B0" w14:paraId="46EABF8A" w14:textId="77777777">
            <w:pPr>
              <w:rPr>
                <w:rFonts w:ascii="Arial" w:hAnsi="Arial" w:cs="Arial"/>
              </w:rPr>
            </w:pPr>
          </w:p>
        </w:tc>
        <w:tc>
          <w:tcPr>
            <w:tcW w:w="1620" w:type="dxa"/>
          </w:tcPr>
          <w:p w:rsidR="009726B0" w:rsidRPr="009726B0" w:rsidP="009726B0" w14:paraId="36C2EFC5" w14:textId="77777777">
            <w:pPr>
              <w:rPr>
                <w:rFonts w:ascii="Arial" w:hAnsi="Arial" w:cs="Arial"/>
              </w:rPr>
            </w:pPr>
          </w:p>
        </w:tc>
        <w:tc>
          <w:tcPr>
            <w:tcW w:w="810" w:type="dxa"/>
          </w:tcPr>
          <w:p w:rsidR="009726B0" w:rsidRPr="009726B0" w:rsidP="009726B0" w14:paraId="6F751BD9" w14:textId="77777777">
            <w:pPr>
              <w:rPr>
                <w:rFonts w:ascii="Arial" w:hAnsi="Arial" w:cs="Arial"/>
              </w:rPr>
            </w:pPr>
          </w:p>
        </w:tc>
        <w:tc>
          <w:tcPr>
            <w:tcW w:w="1350" w:type="dxa"/>
          </w:tcPr>
          <w:p w:rsidR="009726B0" w:rsidRPr="009726B0" w:rsidP="009726B0" w14:paraId="7ABA5860" w14:textId="77777777">
            <w:pPr>
              <w:rPr>
                <w:rFonts w:ascii="Arial" w:hAnsi="Arial" w:cs="Arial"/>
              </w:rPr>
            </w:pPr>
          </w:p>
        </w:tc>
        <w:tc>
          <w:tcPr>
            <w:tcW w:w="1260" w:type="dxa"/>
          </w:tcPr>
          <w:p w:rsidR="009726B0" w:rsidRPr="009726B0" w:rsidP="009726B0" w14:paraId="59DD6784" w14:textId="77777777">
            <w:pPr>
              <w:rPr>
                <w:rFonts w:ascii="Arial" w:hAnsi="Arial" w:cs="Arial"/>
              </w:rPr>
            </w:pPr>
          </w:p>
        </w:tc>
      </w:tr>
      <w:tr w14:paraId="0020CFF0" w14:textId="77777777" w:rsidTr="0019513B">
        <w:tblPrEx>
          <w:tblW w:w="9360" w:type="dxa"/>
          <w:tblInd w:w="-95" w:type="dxa"/>
          <w:tblLook w:val="04A0"/>
        </w:tblPrEx>
        <w:tc>
          <w:tcPr>
            <w:tcW w:w="2790" w:type="dxa"/>
          </w:tcPr>
          <w:p w:rsidR="009726B0" w:rsidRPr="009726B0" w:rsidP="009726B0" w14:paraId="2A765D4D" w14:textId="77777777">
            <w:pPr>
              <w:numPr>
                <w:ilvl w:val="0"/>
                <w:numId w:val="9"/>
              </w:numPr>
              <w:ind w:left="360" w:hanging="270"/>
              <w:rPr>
                <w:rFonts w:ascii="Arial" w:hAnsi="Arial" w:cs="Arial"/>
              </w:rPr>
            </w:pPr>
            <w:r w:rsidRPr="009726B0">
              <w:rPr>
                <w:rFonts w:ascii="Arial" w:hAnsi="Arial" w:cs="Arial"/>
              </w:rPr>
              <w:t>Quarterly Progress Reports</w:t>
            </w:r>
          </w:p>
          <w:p w:rsidR="009726B0" w:rsidRPr="009726B0" w:rsidP="009726B0" w14:paraId="03913905" w14:textId="754515A2">
            <w:pPr>
              <w:ind w:left="360"/>
              <w:rPr>
                <w:rFonts w:ascii="Arial" w:hAnsi="Arial" w:cs="Arial"/>
              </w:rPr>
            </w:pPr>
            <w:r w:rsidRPr="009726B0">
              <w:rPr>
                <w:rFonts w:ascii="Arial" w:hAnsi="Arial" w:cs="Arial"/>
              </w:rPr>
              <w:t>Stage 1</w:t>
            </w:r>
          </w:p>
          <w:p w:rsidR="009726B0" w:rsidP="009726B0" w14:paraId="2C9B7A86" w14:textId="77777777">
            <w:pPr>
              <w:ind w:left="360"/>
              <w:rPr>
                <w:rFonts w:ascii="Arial" w:hAnsi="Arial" w:cs="Arial"/>
              </w:rPr>
            </w:pPr>
            <w:r w:rsidRPr="009726B0">
              <w:rPr>
                <w:rFonts w:ascii="Arial" w:hAnsi="Arial" w:cs="Arial"/>
              </w:rPr>
              <w:t>Stage 2</w:t>
            </w:r>
          </w:p>
          <w:p w:rsidR="009726B0" w:rsidRPr="009726B0" w:rsidP="009726B0" w14:paraId="29C8AD7C" w14:textId="77777777">
            <w:pPr>
              <w:ind w:left="360"/>
              <w:rPr>
                <w:rFonts w:ascii="Arial" w:hAnsi="Arial" w:cs="Arial"/>
              </w:rPr>
            </w:pPr>
          </w:p>
        </w:tc>
        <w:tc>
          <w:tcPr>
            <w:tcW w:w="1530" w:type="dxa"/>
          </w:tcPr>
          <w:p w:rsidR="009726B0" w:rsidRPr="009726B0" w:rsidP="009726B0" w14:paraId="12B4305D" w14:textId="77777777">
            <w:pPr>
              <w:rPr>
                <w:rFonts w:ascii="Arial" w:hAnsi="Arial" w:cs="Arial"/>
              </w:rPr>
            </w:pPr>
            <w:r w:rsidRPr="009726B0">
              <w:rPr>
                <w:rFonts w:ascii="Arial" w:hAnsi="Arial" w:cs="Arial"/>
              </w:rPr>
              <w:t>5</w:t>
            </w:r>
          </w:p>
          <w:p w:rsidR="009726B0" w:rsidRPr="009726B0" w:rsidP="009726B0" w14:paraId="25B009BF" w14:textId="77777777">
            <w:pPr>
              <w:rPr>
                <w:rFonts w:ascii="Arial" w:hAnsi="Arial" w:cs="Arial"/>
              </w:rPr>
            </w:pPr>
          </w:p>
          <w:p w:rsidR="009726B0" w:rsidRPr="009726B0" w:rsidP="009726B0" w14:paraId="6D72B36F" w14:textId="77777777">
            <w:pPr>
              <w:rPr>
                <w:rFonts w:ascii="Arial" w:hAnsi="Arial" w:cs="Arial"/>
              </w:rPr>
            </w:pPr>
          </w:p>
        </w:tc>
        <w:tc>
          <w:tcPr>
            <w:tcW w:w="1620" w:type="dxa"/>
          </w:tcPr>
          <w:p w:rsidR="009726B0" w:rsidRPr="009726B0" w:rsidP="009726B0" w14:paraId="645A9B5D" w14:textId="77777777">
            <w:pPr>
              <w:rPr>
                <w:rFonts w:ascii="Arial" w:hAnsi="Arial" w:cs="Arial"/>
              </w:rPr>
            </w:pPr>
          </w:p>
          <w:p w:rsidR="009726B0" w:rsidRPr="009726B0" w:rsidP="009726B0" w14:paraId="03072A50" w14:textId="77777777">
            <w:pPr>
              <w:rPr>
                <w:rFonts w:ascii="Arial" w:hAnsi="Arial" w:cs="Arial"/>
              </w:rPr>
            </w:pPr>
          </w:p>
          <w:p w:rsidR="009726B0" w:rsidRPr="009726B0" w:rsidP="009726B0" w14:paraId="44EEE547" w14:textId="77777777">
            <w:pPr>
              <w:rPr>
                <w:rFonts w:ascii="Arial" w:hAnsi="Arial" w:cs="Arial"/>
              </w:rPr>
            </w:pPr>
            <w:r w:rsidRPr="009726B0">
              <w:rPr>
                <w:rFonts w:ascii="Arial" w:hAnsi="Arial" w:cs="Arial"/>
              </w:rPr>
              <w:t>240</w:t>
            </w:r>
          </w:p>
          <w:p w:rsidR="009726B0" w:rsidRPr="009726B0" w:rsidP="009726B0" w14:paraId="1BDEA0B3" w14:textId="77777777">
            <w:pPr>
              <w:rPr>
                <w:rFonts w:ascii="Arial" w:hAnsi="Arial" w:cs="Arial"/>
              </w:rPr>
            </w:pPr>
            <w:r w:rsidRPr="009726B0">
              <w:rPr>
                <w:rFonts w:ascii="Arial" w:hAnsi="Arial" w:cs="Arial"/>
              </w:rPr>
              <w:t>40</w:t>
            </w:r>
          </w:p>
        </w:tc>
        <w:tc>
          <w:tcPr>
            <w:tcW w:w="810" w:type="dxa"/>
          </w:tcPr>
          <w:p w:rsidR="009726B0" w:rsidRPr="009726B0" w:rsidP="009726B0" w14:paraId="77C0CCB3" w14:textId="6F52F678">
            <w:pPr>
              <w:rPr>
                <w:rFonts w:ascii="Arial" w:hAnsi="Arial" w:cs="Arial"/>
              </w:rPr>
            </w:pPr>
            <w:r w:rsidRPr="00B8747C">
              <w:rPr>
                <w:rFonts w:ascii="Arial" w:hAnsi="Arial" w:cs="Arial"/>
              </w:rPr>
              <w:t xml:space="preserve">$48.44 </w:t>
            </w:r>
          </w:p>
          <w:p w:rsidR="009726B0" w:rsidRPr="009726B0" w:rsidP="009726B0" w14:paraId="3A79EB7C" w14:textId="77777777">
            <w:pPr>
              <w:rPr>
                <w:rFonts w:ascii="Arial" w:hAnsi="Arial" w:cs="Arial"/>
              </w:rPr>
            </w:pPr>
          </w:p>
        </w:tc>
        <w:tc>
          <w:tcPr>
            <w:tcW w:w="1350" w:type="dxa"/>
          </w:tcPr>
          <w:p w:rsidR="009726B0" w:rsidRPr="009726B0" w:rsidP="009726B0" w14:paraId="724BC2A5" w14:textId="77777777">
            <w:pPr>
              <w:rPr>
                <w:rFonts w:ascii="Arial" w:hAnsi="Arial" w:cs="Arial"/>
              </w:rPr>
            </w:pPr>
          </w:p>
          <w:p w:rsidR="009726B0" w:rsidRPr="009726B0" w:rsidP="009726B0" w14:paraId="5F772289" w14:textId="77777777">
            <w:pPr>
              <w:rPr>
                <w:rFonts w:ascii="Arial" w:hAnsi="Arial" w:cs="Arial"/>
              </w:rPr>
            </w:pPr>
          </w:p>
          <w:p w:rsidR="009726B0" w:rsidRPr="009726B0" w:rsidP="009726B0" w14:paraId="7874BF80" w14:textId="361F310D">
            <w:pPr>
              <w:rPr>
                <w:rFonts w:ascii="Arial" w:hAnsi="Arial" w:cs="Arial"/>
              </w:rPr>
            </w:pPr>
            <w:r w:rsidRPr="009726B0">
              <w:rPr>
                <w:rFonts w:ascii="Arial" w:hAnsi="Arial" w:cs="Arial"/>
              </w:rPr>
              <w:t>$</w:t>
            </w:r>
            <w:r w:rsidRPr="00B42D88" w:rsidR="00B42D88">
              <w:rPr>
                <w:rFonts w:ascii="Arial" w:hAnsi="Arial" w:cs="Arial"/>
              </w:rPr>
              <w:t>58,128</w:t>
            </w:r>
          </w:p>
          <w:p w:rsidR="009726B0" w:rsidRPr="009726B0" w:rsidP="009726B0" w14:paraId="31E39A9F" w14:textId="55972B03">
            <w:pPr>
              <w:rPr>
                <w:rFonts w:ascii="Arial" w:hAnsi="Arial" w:cs="Arial"/>
              </w:rPr>
            </w:pPr>
            <w:r w:rsidRPr="009726B0">
              <w:rPr>
                <w:rFonts w:ascii="Arial" w:hAnsi="Arial" w:cs="Arial"/>
              </w:rPr>
              <w:t>$</w:t>
            </w:r>
            <w:r w:rsidRPr="00B42D88" w:rsidR="00B42D88">
              <w:rPr>
                <w:rFonts w:ascii="Arial" w:hAnsi="Arial" w:cs="Arial"/>
              </w:rPr>
              <w:t>9,688</w:t>
            </w:r>
          </w:p>
        </w:tc>
        <w:tc>
          <w:tcPr>
            <w:tcW w:w="1260" w:type="dxa"/>
          </w:tcPr>
          <w:p w:rsidR="009726B0" w:rsidRPr="009726B0" w:rsidP="009726B0" w14:paraId="03AF88D4" w14:textId="13AE7887">
            <w:pPr>
              <w:rPr>
                <w:rFonts w:ascii="Arial" w:hAnsi="Arial" w:cs="Arial"/>
              </w:rPr>
            </w:pPr>
            <w:r w:rsidRPr="009726B0">
              <w:rPr>
                <w:rFonts w:ascii="Arial" w:hAnsi="Arial" w:cs="Arial"/>
              </w:rPr>
              <w:t>$</w:t>
            </w:r>
            <w:r w:rsidRPr="00B42D88" w:rsidR="00B42D88">
              <w:rPr>
                <w:rFonts w:ascii="Arial" w:hAnsi="Arial" w:cs="Arial"/>
              </w:rPr>
              <w:t>67,816</w:t>
            </w:r>
          </w:p>
        </w:tc>
      </w:tr>
      <w:tr w14:paraId="6335F34A" w14:textId="77777777" w:rsidTr="0019513B">
        <w:tblPrEx>
          <w:tblW w:w="9360" w:type="dxa"/>
          <w:tblInd w:w="-95" w:type="dxa"/>
          <w:tblLook w:val="04A0"/>
        </w:tblPrEx>
        <w:tc>
          <w:tcPr>
            <w:tcW w:w="2790" w:type="dxa"/>
          </w:tcPr>
          <w:p w:rsidR="009726B0" w:rsidRPr="009726B0" w:rsidP="009726B0" w14:paraId="05D5D008" w14:textId="77777777">
            <w:pPr>
              <w:rPr>
                <w:rFonts w:ascii="Arial" w:hAnsi="Arial" w:cs="Arial"/>
              </w:rPr>
            </w:pPr>
            <w:r w:rsidRPr="009726B0">
              <w:rPr>
                <w:rFonts w:ascii="Arial" w:hAnsi="Arial" w:cs="Arial"/>
                <w:b/>
                <w:bCs/>
              </w:rPr>
              <w:t xml:space="preserve">Project Evaluation </w:t>
            </w:r>
          </w:p>
        </w:tc>
        <w:tc>
          <w:tcPr>
            <w:tcW w:w="1530" w:type="dxa"/>
          </w:tcPr>
          <w:p w:rsidR="009726B0" w:rsidRPr="009726B0" w:rsidP="009726B0" w14:paraId="769A6BF7" w14:textId="77777777">
            <w:pPr>
              <w:rPr>
                <w:rFonts w:ascii="Arial" w:hAnsi="Arial" w:cs="Arial"/>
              </w:rPr>
            </w:pPr>
          </w:p>
        </w:tc>
        <w:tc>
          <w:tcPr>
            <w:tcW w:w="1620" w:type="dxa"/>
          </w:tcPr>
          <w:p w:rsidR="009726B0" w:rsidRPr="009726B0" w:rsidP="009726B0" w14:paraId="1D2CDFA0" w14:textId="77777777">
            <w:pPr>
              <w:rPr>
                <w:rFonts w:ascii="Arial" w:hAnsi="Arial" w:cs="Arial"/>
              </w:rPr>
            </w:pPr>
          </w:p>
        </w:tc>
        <w:tc>
          <w:tcPr>
            <w:tcW w:w="810" w:type="dxa"/>
          </w:tcPr>
          <w:p w:rsidR="009726B0" w:rsidRPr="009726B0" w:rsidP="009726B0" w14:paraId="5D8BB83E" w14:textId="77777777">
            <w:pPr>
              <w:rPr>
                <w:rFonts w:ascii="Arial" w:hAnsi="Arial" w:cs="Arial"/>
              </w:rPr>
            </w:pPr>
          </w:p>
        </w:tc>
        <w:tc>
          <w:tcPr>
            <w:tcW w:w="1350" w:type="dxa"/>
          </w:tcPr>
          <w:p w:rsidR="009726B0" w:rsidRPr="009726B0" w:rsidP="009726B0" w14:paraId="5428086D" w14:textId="77777777">
            <w:pPr>
              <w:rPr>
                <w:rFonts w:ascii="Arial" w:hAnsi="Arial" w:cs="Arial"/>
              </w:rPr>
            </w:pPr>
          </w:p>
        </w:tc>
        <w:tc>
          <w:tcPr>
            <w:tcW w:w="1260" w:type="dxa"/>
          </w:tcPr>
          <w:p w:rsidR="009726B0" w:rsidRPr="009726B0" w:rsidP="009726B0" w14:paraId="1ED818A3" w14:textId="77777777">
            <w:pPr>
              <w:rPr>
                <w:rFonts w:ascii="Arial" w:hAnsi="Arial" w:cs="Arial"/>
              </w:rPr>
            </w:pPr>
          </w:p>
        </w:tc>
      </w:tr>
      <w:tr w14:paraId="0C43CC38" w14:textId="77777777" w:rsidTr="0019513B">
        <w:tblPrEx>
          <w:tblW w:w="9360" w:type="dxa"/>
          <w:tblInd w:w="-95" w:type="dxa"/>
          <w:tblLook w:val="04A0"/>
        </w:tblPrEx>
        <w:tc>
          <w:tcPr>
            <w:tcW w:w="2790" w:type="dxa"/>
          </w:tcPr>
          <w:p w:rsidR="009726B0" w:rsidRPr="009726B0" w:rsidP="009726B0" w14:paraId="27C34210" w14:textId="77777777">
            <w:pPr>
              <w:numPr>
                <w:ilvl w:val="0"/>
                <w:numId w:val="9"/>
              </w:numPr>
              <w:ind w:left="360" w:hanging="270"/>
              <w:rPr>
                <w:rFonts w:ascii="Arial" w:hAnsi="Arial" w:cs="Arial"/>
              </w:rPr>
            </w:pPr>
            <w:r w:rsidRPr="009726B0">
              <w:rPr>
                <w:rFonts w:ascii="Arial" w:hAnsi="Arial" w:cs="Arial"/>
              </w:rPr>
              <w:t xml:space="preserve">Review Evaluation Plan </w:t>
            </w:r>
          </w:p>
          <w:p w:rsidR="009726B0" w:rsidRPr="009726B0" w:rsidP="009726B0" w14:paraId="08CA3409" w14:textId="77777777">
            <w:pPr>
              <w:ind w:left="360"/>
              <w:rPr>
                <w:rFonts w:ascii="Arial" w:hAnsi="Arial" w:cs="Arial"/>
              </w:rPr>
            </w:pPr>
            <w:r w:rsidRPr="009726B0">
              <w:rPr>
                <w:rFonts w:ascii="Arial" w:hAnsi="Arial" w:cs="Arial"/>
              </w:rPr>
              <w:t>Stage 1</w:t>
            </w:r>
          </w:p>
          <w:p w:rsidR="009726B0" w:rsidRPr="009726B0" w:rsidP="009726B0" w14:paraId="503AF70A" w14:textId="77777777">
            <w:pPr>
              <w:ind w:left="360"/>
              <w:rPr>
                <w:rFonts w:ascii="Arial" w:hAnsi="Arial" w:cs="Arial"/>
              </w:rPr>
            </w:pPr>
            <w:r w:rsidRPr="009726B0">
              <w:rPr>
                <w:rFonts w:ascii="Arial" w:hAnsi="Arial" w:cs="Arial"/>
              </w:rPr>
              <w:t>Stage 2</w:t>
            </w:r>
          </w:p>
        </w:tc>
        <w:tc>
          <w:tcPr>
            <w:tcW w:w="1530" w:type="dxa"/>
          </w:tcPr>
          <w:p w:rsidR="009726B0" w:rsidRPr="009726B0" w:rsidP="009726B0" w14:paraId="01241633" w14:textId="77777777">
            <w:pPr>
              <w:rPr>
                <w:rFonts w:ascii="Arial" w:hAnsi="Arial" w:cs="Arial"/>
              </w:rPr>
            </w:pPr>
            <w:r w:rsidRPr="009726B0">
              <w:rPr>
                <w:rFonts w:ascii="Arial" w:hAnsi="Arial" w:cs="Arial"/>
              </w:rPr>
              <w:t>20</w:t>
            </w:r>
          </w:p>
        </w:tc>
        <w:tc>
          <w:tcPr>
            <w:tcW w:w="1620" w:type="dxa"/>
          </w:tcPr>
          <w:p w:rsidR="009726B0" w:rsidRPr="009726B0" w:rsidP="009726B0" w14:paraId="607454A7" w14:textId="77777777">
            <w:pPr>
              <w:rPr>
                <w:rFonts w:ascii="Arial" w:hAnsi="Arial" w:cs="Arial"/>
              </w:rPr>
            </w:pPr>
          </w:p>
          <w:p w:rsidR="009726B0" w:rsidRPr="009726B0" w:rsidP="009726B0" w14:paraId="69E0785D" w14:textId="77777777">
            <w:pPr>
              <w:rPr>
                <w:rFonts w:ascii="Arial" w:hAnsi="Arial" w:cs="Arial"/>
              </w:rPr>
            </w:pPr>
            <w:r w:rsidRPr="009726B0">
              <w:rPr>
                <w:rFonts w:ascii="Arial" w:hAnsi="Arial" w:cs="Arial"/>
              </w:rPr>
              <w:t>60</w:t>
            </w:r>
          </w:p>
          <w:p w:rsidR="009726B0" w:rsidRPr="009726B0" w:rsidP="009726B0" w14:paraId="63766A17" w14:textId="77777777">
            <w:pPr>
              <w:rPr>
                <w:rFonts w:ascii="Arial" w:hAnsi="Arial" w:cs="Arial"/>
              </w:rPr>
            </w:pPr>
            <w:r w:rsidRPr="009726B0">
              <w:rPr>
                <w:rFonts w:ascii="Arial" w:hAnsi="Arial" w:cs="Arial"/>
              </w:rPr>
              <w:t>10</w:t>
            </w:r>
          </w:p>
        </w:tc>
        <w:tc>
          <w:tcPr>
            <w:tcW w:w="810" w:type="dxa"/>
          </w:tcPr>
          <w:p w:rsidR="009726B0" w:rsidRPr="009726B0" w:rsidP="009726B0" w14:paraId="50D0DA2F" w14:textId="6D7F0D93">
            <w:pPr>
              <w:rPr>
                <w:rFonts w:ascii="Arial" w:hAnsi="Arial" w:cs="Arial"/>
              </w:rPr>
            </w:pPr>
            <w:r w:rsidRPr="00B8747C">
              <w:rPr>
                <w:rFonts w:ascii="Arial" w:hAnsi="Arial" w:cs="Arial"/>
              </w:rPr>
              <w:t>$48.44</w:t>
            </w:r>
          </w:p>
        </w:tc>
        <w:tc>
          <w:tcPr>
            <w:tcW w:w="1350" w:type="dxa"/>
          </w:tcPr>
          <w:p w:rsidR="009726B0" w:rsidRPr="009726B0" w:rsidP="009726B0" w14:paraId="774F1124" w14:textId="77777777">
            <w:pPr>
              <w:rPr>
                <w:rFonts w:ascii="Arial" w:hAnsi="Arial" w:cs="Arial"/>
              </w:rPr>
            </w:pPr>
          </w:p>
          <w:p w:rsidR="009726B0" w:rsidRPr="009726B0" w:rsidP="009726B0" w14:paraId="2F518AA4" w14:textId="69B05C95">
            <w:pPr>
              <w:rPr>
                <w:rFonts w:ascii="Arial" w:hAnsi="Arial" w:cs="Arial"/>
              </w:rPr>
            </w:pPr>
            <w:r w:rsidRPr="009726B0">
              <w:rPr>
                <w:rFonts w:ascii="Arial" w:hAnsi="Arial" w:cs="Arial"/>
              </w:rPr>
              <w:t>$</w:t>
            </w:r>
            <w:r w:rsidRPr="00B42D88" w:rsidR="00B42D88">
              <w:rPr>
                <w:rFonts w:ascii="Arial" w:hAnsi="Arial" w:cs="Arial"/>
              </w:rPr>
              <w:t>58,128</w:t>
            </w:r>
          </w:p>
          <w:p w:rsidR="009726B0" w:rsidRPr="009726B0" w:rsidP="009726B0" w14:paraId="66407318" w14:textId="5CE48067">
            <w:pPr>
              <w:rPr>
                <w:rFonts w:ascii="Arial" w:hAnsi="Arial" w:cs="Arial"/>
              </w:rPr>
            </w:pPr>
            <w:r w:rsidRPr="009726B0">
              <w:rPr>
                <w:rFonts w:ascii="Arial" w:hAnsi="Arial" w:cs="Arial"/>
              </w:rPr>
              <w:t>$</w:t>
            </w:r>
            <w:r w:rsidRPr="00B42D88" w:rsidR="00B42D88">
              <w:rPr>
                <w:rFonts w:ascii="Arial" w:hAnsi="Arial" w:cs="Arial"/>
              </w:rPr>
              <w:t>9,688</w:t>
            </w:r>
          </w:p>
        </w:tc>
        <w:tc>
          <w:tcPr>
            <w:tcW w:w="1260" w:type="dxa"/>
          </w:tcPr>
          <w:p w:rsidR="009726B0" w:rsidRPr="009726B0" w:rsidP="009726B0" w14:paraId="518C3E6D" w14:textId="10A21433">
            <w:pPr>
              <w:rPr>
                <w:rFonts w:ascii="Arial" w:hAnsi="Arial" w:cs="Arial"/>
              </w:rPr>
            </w:pPr>
            <w:r w:rsidRPr="009726B0">
              <w:rPr>
                <w:rFonts w:ascii="Arial" w:hAnsi="Arial" w:cs="Arial"/>
              </w:rPr>
              <w:t>$</w:t>
            </w:r>
            <w:r w:rsidRPr="00B42D88" w:rsidR="00B42D88">
              <w:rPr>
                <w:rFonts w:ascii="Arial" w:hAnsi="Arial" w:cs="Arial"/>
              </w:rPr>
              <w:t>67,816</w:t>
            </w:r>
          </w:p>
        </w:tc>
      </w:tr>
      <w:tr w14:paraId="08746F29" w14:textId="77777777" w:rsidTr="0019513B">
        <w:tblPrEx>
          <w:tblW w:w="9360" w:type="dxa"/>
          <w:tblInd w:w="-95" w:type="dxa"/>
          <w:tblLook w:val="04A0"/>
        </w:tblPrEx>
        <w:tc>
          <w:tcPr>
            <w:tcW w:w="2790" w:type="dxa"/>
          </w:tcPr>
          <w:p w:rsidR="009726B0" w:rsidRPr="009726B0" w:rsidP="009726B0" w14:paraId="1FFE340C" w14:textId="77777777">
            <w:pPr>
              <w:numPr>
                <w:ilvl w:val="0"/>
                <w:numId w:val="9"/>
              </w:numPr>
              <w:ind w:left="360" w:hanging="270"/>
              <w:rPr>
                <w:rFonts w:ascii="Arial" w:hAnsi="Arial" w:cs="Arial"/>
              </w:rPr>
            </w:pPr>
            <w:r w:rsidRPr="009726B0">
              <w:rPr>
                <w:rFonts w:ascii="Arial" w:hAnsi="Arial" w:cs="Arial"/>
              </w:rPr>
              <w:t>Review Data Management Plan</w:t>
            </w:r>
          </w:p>
          <w:p w:rsidR="009726B0" w:rsidRPr="009726B0" w:rsidP="009726B0" w14:paraId="761F7092" w14:textId="77777777">
            <w:pPr>
              <w:ind w:left="360"/>
              <w:rPr>
                <w:rFonts w:ascii="Arial" w:hAnsi="Arial" w:cs="Arial"/>
              </w:rPr>
            </w:pPr>
            <w:r w:rsidRPr="009726B0">
              <w:rPr>
                <w:rFonts w:ascii="Arial" w:hAnsi="Arial" w:cs="Arial"/>
              </w:rPr>
              <w:t>Stage 1</w:t>
            </w:r>
          </w:p>
          <w:p w:rsidR="009726B0" w:rsidRPr="009726B0" w:rsidP="009726B0" w14:paraId="2F2E846E" w14:textId="77777777">
            <w:pPr>
              <w:ind w:left="360"/>
              <w:rPr>
                <w:rFonts w:ascii="Arial" w:hAnsi="Arial" w:cs="Arial"/>
              </w:rPr>
            </w:pPr>
            <w:r w:rsidRPr="009726B0">
              <w:rPr>
                <w:rFonts w:ascii="Arial" w:hAnsi="Arial" w:cs="Arial"/>
              </w:rPr>
              <w:t>Stage 2</w:t>
            </w:r>
          </w:p>
        </w:tc>
        <w:tc>
          <w:tcPr>
            <w:tcW w:w="1530" w:type="dxa"/>
          </w:tcPr>
          <w:p w:rsidR="009726B0" w:rsidRPr="009726B0" w:rsidP="009726B0" w14:paraId="269B3F50" w14:textId="77777777">
            <w:pPr>
              <w:rPr>
                <w:rFonts w:ascii="Arial" w:hAnsi="Arial" w:cs="Arial"/>
              </w:rPr>
            </w:pPr>
            <w:r w:rsidRPr="009726B0">
              <w:rPr>
                <w:rFonts w:ascii="Arial" w:hAnsi="Arial" w:cs="Arial"/>
              </w:rPr>
              <w:t>20</w:t>
            </w:r>
          </w:p>
          <w:p w:rsidR="009726B0" w:rsidRPr="009726B0" w:rsidP="009726B0" w14:paraId="2CD8A140" w14:textId="77777777">
            <w:pPr>
              <w:rPr>
                <w:rFonts w:ascii="Arial" w:hAnsi="Arial" w:cs="Arial"/>
              </w:rPr>
            </w:pPr>
          </w:p>
          <w:p w:rsidR="009726B0" w:rsidRPr="009726B0" w:rsidP="009726B0" w14:paraId="0DAEEF24" w14:textId="77777777">
            <w:pPr>
              <w:rPr>
                <w:rFonts w:ascii="Arial" w:hAnsi="Arial" w:cs="Arial"/>
              </w:rPr>
            </w:pPr>
          </w:p>
        </w:tc>
        <w:tc>
          <w:tcPr>
            <w:tcW w:w="1620" w:type="dxa"/>
          </w:tcPr>
          <w:p w:rsidR="009726B0" w:rsidRPr="009726B0" w:rsidP="009726B0" w14:paraId="0B18F838" w14:textId="77777777">
            <w:pPr>
              <w:rPr>
                <w:rFonts w:ascii="Arial" w:hAnsi="Arial" w:cs="Arial"/>
              </w:rPr>
            </w:pPr>
          </w:p>
          <w:p w:rsidR="009726B0" w:rsidRPr="009726B0" w:rsidP="009726B0" w14:paraId="57F74267" w14:textId="77777777">
            <w:pPr>
              <w:rPr>
                <w:rFonts w:ascii="Arial" w:hAnsi="Arial" w:cs="Arial"/>
              </w:rPr>
            </w:pPr>
          </w:p>
          <w:p w:rsidR="009726B0" w:rsidRPr="009726B0" w:rsidP="009726B0" w14:paraId="43BB3CE3" w14:textId="77777777">
            <w:pPr>
              <w:rPr>
                <w:rFonts w:ascii="Arial" w:hAnsi="Arial" w:cs="Arial"/>
              </w:rPr>
            </w:pPr>
            <w:r w:rsidRPr="009726B0">
              <w:rPr>
                <w:rFonts w:ascii="Arial" w:hAnsi="Arial" w:cs="Arial"/>
              </w:rPr>
              <w:t>60</w:t>
            </w:r>
          </w:p>
          <w:p w:rsidR="009726B0" w:rsidRPr="009726B0" w:rsidP="009726B0" w14:paraId="011BB7A5" w14:textId="77777777">
            <w:pPr>
              <w:rPr>
                <w:rFonts w:ascii="Arial" w:hAnsi="Arial" w:cs="Arial"/>
              </w:rPr>
            </w:pPr>
            <w:r w:rsidRPr="009726B0">
              <w:rPr>
                <w:rFonts w:ascii="Arial" w:hAnsi="Arial" w:cs="Arial"/>
              </w:rPr>
              <w:t>10</w:t>
            </w:r>
          </w:p>
        </w:tc>
        <w:tc>
          <w:tcPr>
            <w:tcW w:w="810" w:type="dxa"/>
          </w:tcPr>
          <w:p w:rsidR="009726B0" w:rsidRPr="009726B0" w:rsidP="009726B0" w14:paraId="1F60ECFD" w14:textId="0062E6A5">
            <w:pPr>
              <w:rPr>
                <w:rFonts w:ascii="Arial" w:hAnsi="Arial" w:cs="Arial"/>
              </w:rPr>
            </w:pPr>
            <w:r w:rsidRPr="00B8747C">
              <w:rPr>
                <w:rFonts w:ascii="Arial" w:hAnsi="Arial" w:cs="Arial"/>
              </w:rPr>
              <w:t>$48.44</w:t>
            </w:r>
          </w:p>
        </w:tc>
        <w:tc>
          <w:tcPr>
            <w:tcW w:w="1350" w:type="dxa"/>
          </w:tcPr>
          <w:p w:rsidR="009726B0" w:rsidRPr="009726B0" w:rsidP="009726B0" w14:paraId="64707AA7" w14:textId="77777777">
            <w:pPr>
              <w:rPr>
                <w:rFonts w:ascii="Arial" w:hAnsi="Arial" w:cs="Arial"/>
              </w:rPr>
            </w:pPr>
          </w:p>
          <w:p w:rsidR="009726B0" w:rsidRPr="009726B0" w:rsidP="009726B0" w14:paraId="4A1E4EB8" w14:textId="77777777">
            <w:pPr>
              <w:rPr>
                <w:rFonts w:ascii="Arial" w:hAnsi="Arial" w:cs="Arial"/>
              </w:rPr>
            </w:pPr>
          </w:p>
          <w:p w:rsidR="009726B0" w:rsidRPr="009726B0" w:rsidP="009726B0" w14:paraId="07BEB62C" w14:textId="10971E62">
            <w:pPr>
              <w:rPr>
                <w:rFonts w:ascii="Arial" w:hAnsi="Arial" w:cs="Arial"/>
              </w:rPr>
            </w:pPr>
            <w:r w:rsidRPr="009726B0">
              <w:rPr>
                <w:rFonts w:ascii="Arial" w:hAnsi="Arial" w:cs="Arial"/>
              </w:rPr>
              <w:t>$</w:t>
            </w:r>
            <w:r w:rsidRPr="00B42D88" w:rsidR="00B42D88">
              <w:rPr>
                <w:rFonts w:ascii="Arial" w:hAnsi="Arial" w:cs="Arial"/>
              </w:rPr>
              <w:t>58,128</w:t>
            </w:r>
          </w:p>
          <w:p w:rsidR="009726B0" w:rsidRPr="009726B0" w:rsidP="009726B0" w14:paraId="3A5F7AD8" w14:textId="059E33C9">
            <w:pPr>
              <w:rPr>
                <w:rFonts w:ascii="Arial" w:hAnsi="Arial" w:cs="Arial"/>
              </w:rPr>
            </w:pPr>
            <w:r w:rsidRPr="009726B0">
              <w:rPr>
                <w:rFonts w:ascii="Arial" w:hAnsi="Arial" w:cs="Arial"/>
              </w:rPr>
              <w:t>$</w:t>
            </w:r>
            <w:r w:rsidRPr="00B42D88" w:rsidR="00B42D88">
              <w:rPr>
                <w:rFonts w:ascii="Arial" w:hAnsi="Arial" w:cs="Arial"/>
              </w:rPr>
              <w:t>9,688</w:t>
            </w:r>
          </w:p>
        </w:tc>
        <w:tc>
          <w:tcPr>
            <w:tcW w:w="1260" w:type="dxa"/>
          </w:tcPr>
          <w:p w:rsidR="009726B0" w:rsidRPr="009726B0" w:rsidP="009726B0" w14:paraId="7BF88788" w14:textId="7A609709">
            <w:pPr>
              <w:rPr>
                <w:rFonts w:ascii="Arial" w:hAnsi="Arial" w:cs="Arial"/>
              </w:rPr>
            </w:pPr>
            <w:r w:rsidRPr="009726B0">
              <w:rPr>
                <w:rFonts w:ascii="Arial" w:hAnsi="Arial" w:cs="Arial"/>
              </w:rPr>
              <w:t>$</w:t>
            </w:r>
            <w:r w:rsidRPr="00B42D88" w:rsidR="00B42D88">
              <w:rPr>
                <w:rFonts w:ascii="Arial" w:hAnsi="Arial" w:cs="Arial"/>
              </w:rPr>
              <w:t>67,816</w:t>
            </w:r>
          </w:p>
        </w:tc>
      </w:tr>
      <w:tr w14:paraId="362AF1BE" w14:textId="77777777" w:rsidTr="0019513B">
        <w:tblPrEx>
          <w:tblW w:w="9360" w:type="dxa"/>
          <w:tblInd w:w="-95" w:type="dxa"/>
          <w:tblLook w:val="04A0"/>
        </w:tblPrEx>
        <w:tc>
          <w:tcPr>
            <w:tcW w:w="2790" w:type="dxa"/>
          </w:tcPr>
          <w:p w:rsidR="009726B0" w:rsidRPr="009726B0" w:rsidP="009726B0" w14:paraId="75D92A05" w14:textId="77777777">
            <w:pPr>
              <w:numPr>
                <w:ilvl w:val="0"/>
                <w:numId w:val="9"/>
              </w:numPr>
              <w:ind w:left="360" w:hanging="270"/>
              <w:rPr>
                <w:rFonts w:ascii="Arial" w:hAnsi="Arial" w:cs="Arial"/>
              </w:rPr>
            </w:pPr>
            <w:r w:rsidRPr="009726B0">
              <w:rPr>
                <w:rFonts w:ascii="Arial" w:hAnsi="Arial" w:cs="Arial"/>
              </w:rPr>
              <w:t>Review Annual Implementation Reports</w:t>
            </w:r>
          </w:p>
        </w:tc>
        <w:tc>
          <w:tcPr>
            <w:tcW w:w="1530" w:type="dxa"/>
          </w:tcPr>
          <w:p w:rsidR="009726B0" w:rsidRPr="009726B0" w:rsidP="009726B0" w14:paraId="272DEF83" w14:textId="77777777">
            <w:pPr>
              <w:rPr>
                <w:rFonts w:ascii="Arial" w:hAnsi="Arial" w:cs="Arial"/>
              </w:rPr>
            </w:pPr>
            <w:r w:rsidRPr="009726B0">
              <w:rPr>
                <w:rFonts w:ascii="Arial" w:hAnsi="Arial" w:cs="Arial"/>
              </w:rPr>
              <w:t>20</w:t>
            </w:r>
          </w:p>
        </w:tc>
        <w:tc>
          <w:tcPr>
            <w:tcW w:w="1620" w:type="dxa"/>
          </w:tcPr>
          <w:p w:rsidR="009726B0" w:rsidRPr="009726B0" w:rsidP="009726B0" w14:paraId="284A4B6F" w14:textId="77777777">
            <w:pPr>
              <w:rPr>
                <w:rFonts w:ascii="Arial" w:hAnsi="Arial" w:cs="Arial"/>
              </w:rPr>
            </w:pPr>
            <w:r w:rsidRPr="009726B0">
              <w:rPr>
                <w:rFonts w:ascii="Arial" w:hAnsi="Arial" w:cs="Arial"/>
              </w:rPr>
              <w:t>70</w:t>
            </w:r>
          </w:p>
        </w:tc>
        <w:tc>
          <w:tcPr>
            <w:tcW w:w="810" w:type="dxa"/>
          </w:tcPr>
          <w:p w:rsidR="009726B0" w:rsidRPr="009726B0" w:rsidP="009726B0" w14:paraId="453CA8CE" w14:textId="296F50A9">
            <w:pPr>
              <w:rPr>
                <w:rFonts w:ascii="Arial" w:hAnsi="Arial" w:cs="Arial"/>
              </w:rPr>
            </w:pPr>
            <w:r w:rsidRPr="00B8747C">
              <w:rPr>
                <w:rFonts w:ascii="Arial" w:hAnsi="Arial" w:cs="Arial"/>
              </w:rPr>
              <w:t>$48.44</w:t>
            </w:r>
          </w:p>
        </w:tc>
        <w:tc>
          <w:tcPr>
            <w:tcW w:w="1350" w:type="dxa"/>
          </w:tcPr>
          <w:p w:rsidR="009726B0" w:rsidRPr="009726B0" w:rsidP="009726B0" w14:paraId="4324CB9D" w14:textId="5C7D29B2">
            <w:pPr>
              <w:rPr>
                <w:rFonts w:ascii="Arial" w:hAnsi="Arial" w:cs="Arial"/>
              </w:rPr>
            </w:pPr>
            <w:r w:rsidRPr="009726B0">
              <w:rPr>
                <w:rFonts w:ascii="Arial" w:hAnsi="Arial" w:cs="Arial"/>
              </w:rPr>
              <w:t>$</w:t>
            </w:r>
            <w:r w:rsidRPr="00B42D88" w:rsidR="00B42D88">
              <w:rPr>
                <w:rFonts w:ascii="Arial" w:hAnsi="Arial" w:cs="Arial"/>
              </w:rPr>
              <w:t>67,816</w:t>
            </w:r>
          </w:p>
        </w:tc>
        <w:tc>
          <w:tcPr>
            <w:tcW w:w="1260" w:type="dxa"/>
          </w:tcPr>
          <w:p w:rsidR="009726B0" w:rsidRPr="009726B0" w:rsidP="009726B0" w14:paraId="75A42BA3" w14:textId="7A96CBAE">
            <w:pPr>
              <w:rPr>
                <w:rFonts w:ascii="Arial" w:hAnsi="Arial" w:cs="Arial"/>
              </w:rPr>
            </w:pPr>
            <w:r w:rsidRPr="009726B0">
              <w:rPr>
                <w:rFonts w:ascii="Arial" w:hAnsi="Arial" w:cs="Arial"/>
              </w:rPr>
              <w:t>$</w:t>
            </w:r>
            <w:r w:rsidRPr="00B42D88" w:rsidR="00B42D88">
              <w:rPr>
                <w:rFonts w:ascii="Arial" w:hAnsi="Arial" w:cs="Arial"/>
              </w:rPr>
              <w:t>67,816</w:t>
            </w:r>
          </w:p>
        </w:tc>
      </w:tr>
      <w:tr w14:paraId="06157EB7" w14:textId="77777777" w:rsidTr="0019513B">
        <w:tblPrEx>
          <w:tblW w:w="9360" w:type="dxa"/>
          <w:tblInd w:w="-95" w:type="dxa"/>
          <w:tblLook w:val="04A0"/>
        </w:tblPrEx>
        <w:tc>
          <w:tcPr>
            <w:tcW w:w="2790" w:type="dxa"/>
          </w:tcPr>
          <w:p w:rsidR="009726B0" w:rsidRPr="009726B0" w:rsidP="009726B0" w14:paraId="2888E4A9" w14:textId="77777777">
            <w:pPr>
              <w:rPr>
                <w:rFonts w:ascii="Arial" w:hAnsi="Arial" w:cs="Arial"/>
                <w:b/>
                <w:bCs/>
              </w:rPr>
            </w:pPr>
            <w:r w:rsidRPr="009726B0">
              <w:rPr>
                <w:rFonts w:ascii="Arial" w:hAnsi="Arial" w:cs="Arial"/>
                <w:b/>
                <w:bCs/>
              </w:rPr>
              <w:t>TOTAL</w:t>
            </w:r>
          </w:p>
        </w:tc>
        <w:tc>
          <w:tcPr>
            <w:tcW w:w="1530" w:type="dxa"/>
          </w:tcPr>
          <w:p w:rsidR="009726B0" w:rsidRPr="009726B0" w:rsidP="009726B0" w14:paraId="26B8EAAF" w14:textId="77777777">
            <w:pPr>
              <w:rPr>
                <w:rFonts w:ascii="Arial" w:hAnsi="Arial" w:cs="Arial"/>
                <w:b/>
                <w:bCs/>
              </w:rPr>
            </w:pPr>
          </w:p>
        </w:tc>
        <w:tc>
          <w:tcPr>
            <w:tcW w:w="1620" w:type="dxa"/>
          </w:tcPr>
          <w:p w:rsidR="009726B0" w:rsidRPr="009726B0" w:rsidP="009726B0" w14:paraId="1F0FF366" w14:textId="77777777">
            <w:pPr>
              <w:rPr>
                <w:rFonts w:ascii="Arial" w:hAnsi="Arial" w:cs="Arial"/>
                <w:b/>
                <w:bCs/>
              </w:rPr>
            </w:pPr>
          </w:p>
        </w:tc>
        <w:tc>
          <w:tcPr>
            <w:tcW w:w="810" w:type="dxa"/>
          </w:tcPr>
          <w:p w:rsidR="009726B0" w:rsidRPr="009726B0" w:rsidP="009726B0" w14:paraId="41F94FE5" w14:textId="77777777">
            <w:pPr>
              <w:rPr>
                <w:rFonts w:ascii="Arial" w:hAnsi="Arial" w:cs="Arial"/>
                <w:b/>
                <w:bCs/>
              </w:rPr>
            </w:pPr>
          </w:p>
        </w:tc>
        <w:tc>
          <w:tcPr>
            <w:tcW w:w="1350" w:type="dxa"/>
          </w:tcPr>
          <w:p w:rsidR="009726B0" w:rsidRPr="009726B0" w:rsidP="009726B0" w14:paraId="147AD4BE" w14:textId="77777777">
            <w:pPr>
              <w:rPr>
                <w:rFonts w:ascii="Arial" w:hAnsi="Arial" w:cs="Arial"/>
                <w:b/>
                <w:bCs/>
              </w:rPr>
            </w:pPr>
          </w:p>
        </w:tc>
        <w:tc>
          <w:tcPr>
            <w:tcW w:w="1260" w:type="dxa"/>
          </w:tcPr>
          <w:p w:rsidR="009726B0" w:rsidRPr="009726B0" w:rsidP="009726B0" w14:paraId="47403A9D" w14:textId="12151C5D">
            <w:pPr>
              <w:rPr>
                <w:rFonts w:ascii="Arial" w:hAnsi="Arial" w:cs="Arial"/>
                <w:b/>
                <w:bCs/>
              </w:rPr>
            </w:pPr>
            <w:r w:rsidRPr="009726B0">
              <w:rPr>
                <w:rFonts w:ascii="Arial" w:hAnsi="Arial" w:cs="Arial"/>
                <w:b/>
                <w:bCs/>
              </w:rPr>
              <w:t>$</w:t>
            </w:r>
            <w:r w:rsidRPr="00B42D88" w:rsidR="00B42D88">
              <w:rPr>
                <w:rFonts w:ascii="Arial" w:hAnsi="Arial" w:cs="Arial"/>
                <w:b/>
                <w:bCs/>
              </w:rPr>
              <w:t>605,500</w:t>
            </w:r>
          </w:p>
        </w:tc>
      </w:tr>
    </w:tbl>
    <w:p w:rsidR="007D6358" w:rsidP="007D6358" w14:paraId="28E03360" w14:textId="77777777"/>
    <w:p w:rsidR="007D6358" w:rsidRPr="009726B0" w:rsidP="007D6358" w14:paraId="2670DA03" w14:textId="560628AE">
      <w:pPr>
        <w:rPr>
          <w:b/>
          <w:bCs/>
        </w:rPr>
      </w:pPr>
      <w:r w:rsidRPr="009726B0">
        <w:rPr>
          <w:b/>
          <w:bCs/>
        </w:rPr>
        <w:t>Application Process:</w:t>
      </w:r>
    </w:p>
    <w:p w:rsidR="007D6358" w:rsidP="007D6358" w14:paraId="52686FB8" w14:textId="77777777">
      <w:r>
        <w:t xml:space="preserve">We will review the application packages to assess eligibility and technical merit prior to the awarding the SMART grants. </w:t>
      </w:r>
    </w:p>
    <w:p w:rsidR="007D6358" w:rsidP="007D6358" w14:paraId="1751F3F0" w14:textId="66FEDE5C">
      <w:r>
        <w:t xml:space="preserve">The anticipated 300 Stage 1 applications and 60 Stage 2 applications will be reviewed and processed by the </w:t>
      </w:r>
      <w:r w:rsidR="00DE523A">
        <w:t>P</w:t>
      </w:r>
      <w:r w:rsidR="00B8747C">
        <w:t>MS</w:t>
      </w:r>
      <w:r>
        <w:t xml:space="preserve"> at the combined average hourly rate of </w:t>
      </w:r>
      <w:r w:rsidRPr="00B8747C" w:rsidR="00B8747C">
        <w:t>$48.44</w:t>
      </w:r>
      <w:r w:rsidR="00B8747C">
        <w:t xml:space="preserve">, </w:t>
      </w:r>
      <w:r>
        <w:t>resulting in the total annual cost of $</w:t>
      </w:r>
      <w:r w:rsidR="001103D2">
        <w:t>276,108</w:t>
      </w:r>
      <w:r>
        <w:t>.</w:t>
      </w:r>
    </w:p>
    <w:p w:rsidR="007D6358" w:rsidRPr="009726B0" w:rsidP="007D6358" w14:paraId="55EAE918" w14:textId="30BAE2FF">
      <w:pPr>
        <w:rPr>
          <w:b/>
          <w:bCs/>
        </w:rPr>
      </w:pPr>
      <w:r w:rsidRPr="009726B0">
        <w:rPr>
          <w:b/>
          <w:bCs/>
        </w:rPr>
        <w:t>Grant Agreement:</w:t>
      </w:r>
    </w:p>
    <w:p w:rsidR="00B8747C" w:rsidP="007D6358" w14:paraId="48A37CB4" w14:textId="5AA55553">
      <w:r>
        <w:t xml:space="preserve">After the selection, we prepare the grant agreements and all relevant award documents to send to the grantees for review and countersign. Out of the 300 Stage 1 applications, and 60 Stage 2 applications, we anticipate to award 60 Stage 1 agreements and 10 Stage 2 agreements. The estimated hours to prepare the Stage 1 agreements is 15 hours each and 30 hours each for Stage 2, with the average hourly rate of </w:t>
      </w:r>
      <w:r w:rsidRPr="00B8747C">
        <w:t>$48.44</w:t>
      </w:r>
      <w:r>
        <w:t>, the total annual cost is $</w:t>
      </w:r>
      <w:r w:rsidR="008236D3">
        <w:t>58,128</w:t>
      </w:r>
      <w:r>
        <w:t xml:space="preserve">.  </w:t>
      </w:r>
    </w:p>
    <w:p w:rsidR="007D6358" w:rsidRPr="009726B0" w:rsidP="007D6358" w14:paraId="0DEF2F26" w14:textId="674302CA">
      <w:pPr>
        <w:rPr>
          <w:b/>
          <w:bCs/>
        </w:rPr>
      </w:pPr>
      <w:r w:rsidRPr="009726B0">
        <w:rPr>
          <w:b/>
          <w:bCs/>
        </w:rPr>
        <w:t>Project Management:</w:t>
      </w:r>
    </w:p>
    <w:p w:rsidR="00782B0C" w:rsidP="007D6358" w14:paraId="41916ADE" w14:textId="13C72C31">
      <w:r>
        <w:t xml:space="preserve">Each year, 4 quarterly reports will be submitted per grantee per year. Given the estimated number for both Stage 1 and Stage 2 grants is 70 grants per year, the total number of Quarterly Progress Reports delivered annually is 280, the number of hours it takes to review each report is 5, and the hourly cost is </w:t>
      </w:r>
      <w:r w:rsidRPr="00B8747C" w:rsidR="00B8747C">
        <w:t>$48.44</w:t>
      </w:r>
      <w:r>
        <w:t>, the annual cost is $</w:t>
      </w:r>
      <w:r w:rsidR="008236D3">
        <w:t>67,816</w:t>
      </w:r>
      <w:r>
        <w:t xml:space="preserve">.  </w:t>
      </w:r>
    </w:p>
    <w:p w:rsidR="00B42D88" w:rsidP="007D6358" w14:paraId="500B49E1" w14:textId="77777777">
      <w:pPr>
        <w:rPr>
          <w:b/>
          <w:bCs/>
        </w:rPr>
      </w:pPr>
    </w:p>
    <w:p w:rsidR="007D6358" w:rsidRPr="009726B0" w:rsidP="007D6358" w14:paraId="6F889AAE" w14:textId="1773C9A4">
      <w:pPr>
        <w:rPr>
          <w:b/>
          <w:bCs/>
        </w:rPr>
      </w:pPr>
      <w:r w:rsidRPr="009726B0">
        <w:rPr>
          <w:b/>
          <w:bCs/>
        </w:rPr>
        <w:t xml:space="preserve">Project Evaluation: </w:t>
      </w:r>
    </w:p>
    <w:p w:rsidR="007D6358" w:rsidP="007D6358" w14:paraId="66A307CF" w14:textId="5AF721E0">
      <w:r>
        <w:t xml:space="preserve">Given the estimated number of 70 Stage 1 and Stage 2 grants, 70 is the estimated number of the Annual/Final Implementation Report are submitted annually for review. It is estimated that 20 hours will be spent to review each of the 70 reports, at the hourly rate of </w:t>
      </w:r>
      <w:r w:rsidRPr="00B8747C" w:rsidR="00B8747C">
        <w:t>$48.44</w:t>
      </w:r>
      <w:r>
        <w:t>, the total annual cost will be $</w:t>
      </w:r>
      <w:r w:rsidR="008236D3">
        <w:t xml:space="preserve">203,448 </w:t>
      </w:r>
      <w:r>
        <w:t>.</w:t>
      </w:r>
      <w:r>
        <w:t xml:space="preserve">   </w:t>
      </w:r>
    </w:p>
    <w:p w:rsidR="00CA62CD" w:rsidP="007D6358" w14:paraId="6FB79737" w14:textId="77777777">
      <w:pPr>
        <w:rPr>
          <w:b/>
          <w:bCs/>
        </w:rPr>
      </w:pPr>
      <w:r w:rsidRPr="009726B0">
        <w:rPr>
          <w:b/>
          <w:bCs/>
        </w:rPr>
        <w:t>15. Explanation of program changes or adjustments:</w:t>
      </w:r>
    </w:p>
    <w:p w:rsidR="00696BD7" w:rsidRPr="00CA62CD" w:rsidP="007D6358" w14:paraId="511182F5" w14:textId="485B9D35">
      <w:r w:rsidRPr="00CA62CD">
        <w:t xml:space="preserve">Please note that the total </w:t>
      </w:r>
      <w:r w:rsidR="00F27AB9">
        <w:t>“B</w:t>
      </w:r>
      <w:r w:rsidRPr="00CA62CD">
        <w:t xml:space="preserve">urden hours </w:t>
      </w:r>
      <w:r w:rsidR="00F27AB9">
        <w:t xml:space="preserve">per submission” </w:t>
      </w:r>
      <w:r w:rsidRPr="00CA62CD">
        <w:t>have decreased</w:t>
      </w:r>
      <w:r w:rsidRPr="00AD5F30" w:rsidR="00AD5F30">
        <w:t xml:space="preserve"> from 19,900 hours in 2022 to 13,900 hours in 2025</w:t>
      </w:r>
      <w:r w:rsidR="00AD5F30">
        <w:t xml:space="preserve"> </w:t>
      </w:r>
      <w:r w:rsidRPr="00CA62CD">
        <w:t xml:space="preserve">due to </w:t>
      </w:r>
      <w:r w:rsidR="00F27AB9">
        <w:t xml:space="preserve">the </w:t>
      </w:r>
      <w:r w:rsidR="001E39A4">
        <w:t>adjustment to such hours</w:t>
      </w:r>
      <w:r w:rsidRPr="00CA62CD">
        <w:t xml:space="preserve"> based on actual time spent</w:t>
      </w:r>
      <w:r w:rsidR="001E39A4">
        <w:t xml:space="preserve"> for each </w:t>
      </w:r>
      <w:r w:rsidRPr="001E39A4" w:rsidR="001E39A4">
        <w:t>step/process throughout the entire Program</w:t>
      </w:r>
      <w:r w:rsidRPr="00CA62CD">
        <w:t xml:space="preserve"> </w:t>
      </w:r>
      <w:r w:rsidR="001E39A4">
        <w:t xml:space="preserve">in previous years. </w:t>
      </w:r>
      <w:r w:rsidRPr="00CA62CD">
        <w:t>The original “Burden Hours per submission” were slightly overestimated.</w:t>
      </w:r>
    </w:p>
    <w:p w:rsidR="007D6358" w:rsidRPr="009726B0" w:rsidP="007D6358" w14:paraId="79C5970C" w14:textId="714DCF2A">
      <w:pPr>
        <w:rPr>
          <w:b/>
          <w:bCs/>
        </w:rPr>
      </w:pPr>
      <w:r w:rsidRPr="009726B0">
        <w:rPr>
          <w:b/>
          <w:bCs/>
        </w:rPr>
        <w:t>16. Publication of results of data collection:</w:t>
      </w:r>
    </w:p>
    <w:p w:rsidR="00436E64" w:rsidP="007D6358" w14:paraId="482798DC" w14:textId="298683E8">
      <w:r>
        <w:t>All</w:t>
      </w:r>
      <w:r w:rsidR="00FE7837">
        <w:t xml:space="preserve"> information regarding the SMART program, </w:t>
      </w:r>
      <w:r>
        <w:t>including the awarded projects</w:t>
      </w:r>
      <w:r w:rsidR="00312B30">
        <w:t xml:space="preserve"> and </w:t>
      </w:r>
      <w:r w:rsidR="00F85826">
        <w:t>relevant program policies</w:t>
      </w:r>
      <w:r w:rsidR="0036643D">
        <w:t xml:space="preserve">, </w:t>
      </w:r>
      <w:r w:rsidR="007C29DA">
        <w:t>can be found at the link below:</w:t>
      </w:r>
    </w:p>
    <w:p w:rsidR="007C29DA" w:rsidP="007D6358" w14:paraId="463AE029" w14:textId="551BABDE">
      <w:hyperlink r:id="rId6" w:history="1">
        <w:r w:rsidRPr="008B3699">
          <w:rPr>
            <w:rStyle w:val="Hyperlink"/>
          </w:rPr>
          <w:t>https://www.transportation.gov/grants/SMART</w:t>
        </w:r>
      </w:hyperlink>
    </w:p>
    <w:p w:rsidR="005E62A0" w:rsidP="007D6358" w14:paraId="4596A0C7" w14:textId="5B55A042">
      <w:r>
        <w:t xml:space="preserve">The information provided by grantees in their Quarterly Progress Reports, Evaluation Plans, </w:t>
      </w:r>
      <w:r w:rsidR="00566FE3">
        <w:t xml:space="preserve">and Draft Implementation reports </w:t>
      </w:r>
      <w:r w:rsidR="00972851">
        <w:t>will</w:t>
      </w:r>
      <w:r>
        <w:t xml:space="preserve"> used </w:t>
      </w:r>
      <w:r w:rsidR="001673BA">
        <w:t xml:space="preserve">for </w:t>
      </w:r>
      <w:r w:rsidR="006135F2">
        <w:t xml:space="preserve">internal </w:t>
      </w:r>
      <w:r>
        <w:t xml:space="preserve">programmatic reviews </w:t>
      </w:r>
      <w:r w:rsidR="00B3781F">
        <w:t xml:space="preserve">and oversight activities </w:t>
      </w:r>
      <w:r>
        <w:t>only.</w:t>
      </w:r>
    </w:p>
    <w:p w:rsidR="00435D13" w:rsidP="007D6358" w14:paraId="1BF19504" w14:textId="645005C8">
      <w:r>
        <w:t xml:space="preserve">The </w:t>
      </w:r>
      <w:r w:rsidRPr="00B06AC9" w:rsidR="00B06AC9">
        <w:t>Data Management Plans</w:t>
      </w:r>
      <w:r w:rsidR="00700BFC">
        <w:t xml:space="preserve"> are accessible via </w:t>
      </w:r>
      <w:hyperlink r:id="rId7" w:history="1">
        <w:r w:rsidRPr="008B3699">
          <w:rPr>
            <w:rStyle w:val="Hyperlink"/>
          </w:rPr>
          <w:t>https://dmptool.org/public_plans</w:t>
        </w:r>
      </w:hyperlink>
      <w:r w:rsidR="00F16479">
        <w:t xml:space="preserve">, and the </w:t>
      </w:r>
      <w:r w:rsidRPr="00F16479" w:rsidR="00F16479">
        <w:t>data and information outputs acquired or generated during the grant</w:t>
      </w:r>
      <w:r w:rsidR="00F16479">
        <w:t xml:space="preserve"> are located and accessible via </w:t>
      </w:r>
      <w:hyperlink r:id="rId8" w:history="1">
        <w:r w:rsidRPr="008B3699" w:rsidR="00143A64">
          <w:rPr>
            <w:rStyle w:val="Hyperlink"/>
          </w:rPr>
          <w:t>https://rosap.ntl.bts.gov/cbrowse?pid=dot%3A82036&amp;parentId=dot%3A82036</w:t>
        </w:r>
      </w:hyperlink>
    </w:p>
    <w:p w:rsidR="00DF4153" w:rsidP="007D6358" w14:paraId="1F3F2BC9" w14:textId="77777777">
      <w:r>
        <w:t xml:space="preserve">The information provided in the </w:t>
      </w:r>
      <w:r w:rsidRPr="00B06AC9" w:rsidR="00B06AC9">
        <w:t>Implementation Reports</w:t>
      </w:r>
      <w:r>
        <w:t xml:space="preserve"> will be </w:t>
      </w:r>
      <w:r w:rsidR="000B3815">
        <w:t xml:space="preserve">published on a </w:t>
      </w:r>
      <w:r w:rsidR="00B56C89">
        <w:t>publicly available website</w:t>
      </w:r>
      <w:r w:rsidR="00B6533F">
        <w:t>,</w:t>
      </w:r>
      <w:r w:rsidR="000F16F6">
        <w:t xml:space="preserve"> including the lesson learned, </w:t>
      </w:r>
      <w:r w:rsidR="00CD7A22">
        <w:t>best</w:t>
      </w:r>
      <w:r w:rsidR="00016C28">
        <w:t xml:space="preserve"> practices, and recommendations for future deployment strategies to optimize transportation efficiency and multi-m</w:t>
      </w:r>
      <w:r w:rsidR="00A2210A">
        <w:t xml:space="preserve">odal system performance. The website is currently </w:t>
      </w:r>
      <w:r>
        <w:t>not available as it is being developed.</w:t>
      </w:r>
    </w:p>
    <w:p w:rsidR="007D6358" w:rsidRPr="009726B0" w:rsidP="007D6358" w14:paraId="45B70483" w14:textId="77777777">
      <w:pPr>
        <w:rPr>
          <w:b/>
          <w:bCs/>
        </w:rPr>
      </w:pPr>
      <w:r w:rsidRPr="009726B0">
        <w:rPr>
          <w:b/>
          <w:bCs/>
        </w:rPr>
        <w:t>17. Approval for not displaying the expiration date of OMB approval:</w:t>
      </w:r>
    </w:p>
    <w:p w:rsidR="007D6358" w:rsidP="007D6358" w14:paraId="1934F773" w14:textId="77777777">
      <w:r>
        <w:t xml:space="preserve">No such approval is being requested. </w:t>
      </w:r>
    </w:p>
    <w:p w:rsidR="007D6358" w:rsidRPr="009726B0" w:rsidP="007D6358" w14:paraId="2005B2CC" w14:textId="77777777">
      <w:pPr>
        <w:rPr>
          <w:b/>
          <w:bCs/>
        </w:rPr>
      </w:pPr>
      <w:r w:rsidRPr="009726B0">
        <w:rPr>
          <w:b/>
          <w:bCs/>
        </w:rPr>
        <w:t>18. Exceptions to certification statement:</w:t>
      </w:r>
    </w:p>
    <w:p w:rsidR="00980D32" w:rsidP="007D6358" w14:paraId="59F2F753" w14:textId="15A9028B">
      <w:r>
        <w:t xml:space="preserve">There are no exceptions to the certification statement.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1150A" w:rsidP="00FF02C2" w14:paraId="44BE1192" w14:textId="77777777">
      <w:pPr>
        <w:spacing w:after="0" w:line="240" w:lineRule="auto"/>
      </w:pPr>
      <w:r>
        <w:separator/>
      </w:r>
    </w:p>
  </w:footnote>
  <w:footnote w:type="continuationSeparator" w:id="1">
    <w:p w:rsidR="0071150A" w:rsidP="00FF02C2" w14:paraId="196711F5" w14:textId="77777777">
      <w:pPr>
        <w:spacing w:after="0" w:line="240" w:lineRule="auto"/>
      </w:pPr>
      <w:r>
        <w:continuationSeparator/>
      </w:r>
    </w:p>
  </w:footnote>
  <w:footnote w:id="2">
    <w:p w:rsidR="00FF02C2" w14:paraId="391AB454" w14:textId="0BDD36F4">
      <w:pPr>
        <w:pStyle w:val="FootnoteText"/>
      </w:pPr>
      <w:r>
        <w:rPr>
          <w:rStyle w:val="FootnoteReference"/>
        </w:rPr>
        <w:footnoteRef/>
      </w:r>
      <w:r>
        <w:t xml:space="preserve"> </w:t>
      </w:r>
      <w:hyperlink r:id="rId1" w:history="1">
        <w:r>
          <w:rPr>
            <w:rStyle w:val="Hyperlink"/>
          </w:rPr>
          <w:t xml:space="preserve">Project Management </w:t>
        </w:r>
        <w:r>
          <w:rPr>
            <w:rStyle w:val="Hyperlink"/>
          </w:rPr>
          <w:t>Specialists :</w:t>
        </w:r>
        <w:r>
          <w:rPr>
            <w:rStyle w:val="Hyperlink"/>
          </w:rPr>
          <w:t xml:space="preserve"> Occupational Outlook Handbook: : U.S. Bureau of Labor Statistics</w:t>
        </w:r>
      </w:hyperlink>
    </w:p>
  </w:footnote>
  <w:footnote w:id="3">
    <w:p w:rsidR="008038CF" w14:paraId="57A0DC1C" w14:textId="28196608">
      <w:pPr>
        <w:pStyle w:val="FootnoteText"/>
      </w:pPr>
      <w:r>
        <w:rPr>
          <w:rStyle w:val="FootnoteReference"/>
        </w:rPr>
        <w:footnoteRef/>
      </w:r>
      <w:r>
        <w:t xml:space="preserve"> </w:t>
      </w:r>
      <w:hyperlink r:id="rId1" w:history="1">
        <w:r>
          <w:rPr>
            <w:rStyle w:val="Hyperlink"/>
          </w:rPr>
          <w:t xml:space="preserve">Project Management </w:t>
        </w:r>
        <w:r>
          <w:rPr>
            <w:rStyle w:val="Hyperlink"/>
          </w:rPr>
          <w:t>Specialists :</w:t>
        </w:r>
        <w:r>
          <w:rPr>
            <w:rStyle w:val="Hyperlink"/>
          </w:rPr>
          <w:t xml:space="preserve"> Occupational Outlook Handbook: : U.S. Bureau of Labor Statistics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F7448C"/>
    <w:multiLevelType w:val="hybridMultilevel"/>
    <w:tmpl w:val="DC1464B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37D23CD"/>
    <w:multiLevelType w:val="hybridMultilevel"/>
    <w:tmpl w:val="EB9E8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F4B04EC"/>
    <w:multiLevelType w:val="hybridMultilevel"/>
    <w:tmpl w:val="8D2A1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AE55D7"/>
    <w:multiLevelType w:val="hybridMultilevel"/>
    <w:tmpl w:val="BDB088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0D311D9"/>
    <w:multiLevelType w:val="hybridMultilevel"/>
    <w:tmpl w:val="E6A6F1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134EE4"/>
    <w:multiLevelType w:val="hybridMultilevel"/>
    <w:tmpl w:val="6A801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9811720"/>
    <w:multiLevelType w:val="hybridMultilevel"/>
    <w:tmpl w:val="43883B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E97B29"/>
    <w:multiLevelType w:val="hybridMultilevel"/>
    <w:tmpl w:val="9538EC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D07585C"/>
    <w:multiLevelType w:val="hybridMultilevel"/>
    <w:tmpl w:val="F2789E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13402669">
    <w:abstractNumId w:val="8"/>
  </w:num>
  <w:num w:numId="2" w16cid:durableId="1263954745">
    <w:abstractNumId w:val="6"/>
  </w:num>
  <w:num w:numId="3" w16cid:durableId="2048946410">
    <w:abstractNumId w:val="0"/>
  </w:num>
  <w:num w:numId="4" w16cid:durableId="748891620">
    <w:abstractNumId w:val="4"/>
  </w:num>
  <w:num w:numId="5" w16cid:durableId="590965992">
    <w:abstractNumId w:val="5"/>
  </w:num>
  <w:num w:numId="6" w16cid:durableId="1651638322">
    <w:abstractNumId w:val="3"/>
  </w:num>
  <w:num w:numId="7" w16cid:durableId="414013787">
    <w:abstractNumId w:val="7"/>
  </w:num>
  <w:num w:numId="8" w16cid:durableId="2020038431">
    <w:abstractNumId w:val="2"/>
  </w:num>
  <w:num w:numId="9" w16cid:durableId="1805465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58"/>
    <w:rsid w:val="00016C28"/>
    <w:rsid w:val="0002693E"/>
    <w:rsid w:val="000277F6"/>
    <w:rsid w:val="000B2847"/>
    <w:rsid w:val="000B3815"/>
    <w:rsid w:val="000C600B"/>
    <w:rsid w:val="000F16F6"/>
    <w:rsid w:val="001103D2"/>
    <w:rsid w:val="00126E2F"/>
    <w:rsid w:val="00143A64"/>
    <w:rsid w:val="001673BA"/>
    <w:rsid w:val="0019513B"/>
    <w:rsid w:val="00195632"/>
    <w:rsid w:val="00195692"/>
    <w:rsid w:val="001A6C38"/>
    <w:rsid w:val="001D5C2E"/>
    <w:rsid w:val="001E39A4"/>
    <w:rsid w:val="00212C89"/>
    <w:rsid w:val="0023766C"/>
    <w:rsid w:val="002D084B"/>
    <w:rsid w:val="002D0A2E"/>
    <w:rsid w:val="002D2B3F"/>
    <w:rsid w:val="002E2C6B"/>
    <w:rsid w:val="00302AA7"/>
    <w:rsid w:val="00312B30"/>
    <w:rsid w:val="003305BD"/>
    <w:rsid w:val="00354277"/>
    <w:rsid w:val="0036643D"/>
    <w:rsid w:val="003B1C60"/>
    <w:rsid w:val="003C3CF1"/>
    <w:rsid w:val="003E4A86"/>
    <w:rsid w:val="003F5201"/>
    <w:rsid w:val="00435D13"/>
    <w:rsid w:val="00436E64"/>
    <w:rsid w:val="004542AE"/>
    <w:rsid w:val="004D61DD"/>
    <w:rsid w:val="004E7195"/>
    <w:rsid w:val="004F4A09"/>
    <w:rsid w:val="00501FC6"/>
    <w:rsid w:val="005354B6"/>
    <w:rsid w:val="00566FE3"/>
    <w:rsid w:val="005A14E5"/>
    <w:rsid w:val="005B114C"/>
    <w:rsid w:val="005E62A0"/>
    <w:rsid w:val="005E713F"/>
    <w:rsid w:val="006135F2"/>
    <w:rsid w:val="00667CCC"/>
    <w:rsid w:val="00696BD7"/>
    <w:rsid w:val="006F4AB0"/>
    <w:rsid w:val="00700BFC"/>
    <w:rsid w:val="00703D64"/>
    <w:rsid w:val="0071150A"/>
    <w:rsid w:val="00761F80"/>
    <w:rsid w:val="00782B0C"/>
    <w:rsid w:val="00782F45"/>
    <w:rsid w:val="007A078D"/>
    <w:rsid w:val="007C29DA"/>
    <w:rsid w:val="007D6358"/>
    <w:rsid w:val="008038CF"/>
    <w:rsid w:val="008229DB"/>
    <w:rsid w:val="008236D3"/>
    <w:rsid w:val="00866CA4"/>
    <w:rsid w:val="008777FA"/>
    <w:rsid w:val="00883303"/>
    <w:rsid w:val="0089293B"/>
    <w:rsid w:val="008B3699"/>
    <w:rsid w:val="009726B0"/>
    <w:rsid w:val="00972851"/>
    <w:rsid w:val="00972AEC"/>
    <w:rsid w:val="00980D32"/>
    <w:rsid w:val="009912B5"/>
    <w:rsid w:val="009E03B8"/>
    <w:rsid w:val="00A2210A"/>
    <w:rsid w:val="00A91BBF"/>
    <w:rsid w:val="00A9552D"/>
    <w:rsid w:val="00AB59EC"/>
    <w:rsid w:val="00AC71E0"/>
    <w:rsid w:val="00AD1EB5"/>
    <w:rsid w:val="00AD5F30"/>
    <w:rsid w:val="00AE29E4"/>
    <w:rsid w:val="00B06AC9"/>
    <w:rsid w:val="00B23BFE"/>
    <w:rsid w:val="00B3781F"/>
    <w:rsid w:val="00B42D88"/>
    <w:rsid w:val="00B51DAE"/>
    <w:rsid w:val="00B56C89"/>
    <w:rsid w:val="00B60CAB"/>
    <w:rsid w:val="00B6533F"/>
    <w:rsid w:val="00B8747C"/>
    <w:rsid w:val="00B9660A"/>
    <w:rsid w:val="00C23ADD"/>
    <w:rsid w:val="00C456B5"/>
    <w:rsid w:val="00CA62CD"/>
    <w:rsid w:val="00CD7A22"/>
    <w:rsid w:val="00CE53E6"/>
    <w:rsid w:val="00D74315"/>
    <w:rsid w:val="00D75A00"/>
    <w:rsid w:val="00D75E59"/>
    <w:rsid w:val="00DE523A"/>
    <w:rsid w:val="00DF4153"/>
    <w:rsid w:val="00E3322D"/>
    <w:rsid w:val="00E45E8A"/>
    <w:rsid w:val="00E8723E"/>
    <w:rsid w:val="00EA5430"/>
    <w:rsid w:val="00EC456C"/>
    <w:rsid w:val="00EC6C0D"/>
    <w:rsid w:val="00ED6EAB"/>
    <w:rsid w:val="00EE7487"/>
    <w:rsid w:val="00EE7E21"/>
    <w:rsid w:val="00EF641B"/>
    <w:rsid w:val="00F16479"/>
    <w:rsid w:val="00F27AB9"/>
    <w:rsid w:val="00F44FE8"/>
    <w:rsid w:val="00F85826"/>
    <w:rsid w:val="00FE7837"/>
    <w:rsid w:val="00FF02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00EE50"/>
  <w15:chartTrackingRefBased/>
  <w15:docId w15:val="{D44DB801-6BC6-44E8-8A89-1BAB5A32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358"/>
    <w:pPr>
      <w:ind w:left="720"/>
      <w:contextualSpacing/>
    </w:pPr>
  </w:style>
  <w:style w:type="paragraph" w:styleId="BodyText">
    <w:name w:val="Body Text"/>
    <w:basedOn w:val="Normal"/>
    <w:link w:val="BodyTextChar"/>
    <w:rsid w:val="007D6358"/>
    <w:pPr>
      <w:spacing w:after="0" w:line="240" w:lineRule="auto"/>
    </w:pPr>
    <w:rPr>
      <w:rFonts w:ascii="Arial" w:eastAsia="Times New Roman" w:hAnsi="Arial" w:cs="Arial"/>
      <w:color w:val="FF0000"/>
      <w:kern w:val="0"/>
      <w:sz w:val="20"/>
      <w:szCs w:val="20"/>
      <w14:ligatures w14:val="none"/>
    </w:rPr>
  </w:style>
  <w:style w:type="character" w:customStyle="1" w:styleId="BodyTextChar">
    <w:name w:val="Body Text Char"/>
    <w:basedOn w:val="DefaultParagraphFont"/>
    <w:link w:val="BodyText"/>
    <w:rsid w:val="007D6358"/>
    <w:rPr>
      <w:rFonts w:ascii="Arial" w:eastAsia="Times New Roman" w:hAnsi="Arial" w:cs="Arial"/>
      <w:color w:val="FF0000"/>
      <w:kern w:val="0"/>
      <w:sz w:val="20"/>
      <w:szCs w:val="20"/>
      <w14:ligatures w14:val="none"/>
    </w:rPr>
  </w:style>
  <w:style w:type="table" w:styleId="TableGrid">
    <w:name w:val="Table Grid"/>
    <w:basedOn w:val="TableNormal"/>
    <w:uiPriority w:val="39"/>
    <w:rsid w:val="007D635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6EAB"/>
    <w:pPr>
      <w:spacing w:after="0" w:line="240" w:lineRule="auto"/>
    </w:pPr>
  </w:style>
  <w:style w:type="character" w:styleId="CommentReference">
    <w:name w:val="annotation reference"/>
    <w:basedOn w:val="DefaultParagraphFont"/>
    <w:uiPriority w:val="99"/>
    <w:semiHidden/>
    <w:unhideWhenUsed/>
    <w:rsid w:val="00302AA7"/>
    <w:rPr>
      <w:sz w:val="16"/>
      <w:szCs w:val="16"/>
    </w:rPr>
  </w:style>
  <w:style w:type="paragraph" w:styleId="CommentText">
    <w:name w:val="annotation text"/>
    <w:basedOn w:val="Normal"/>
    <w:link w:val="CommentTextChar"/>
    <w:uiPriority w:val="99"/>
    <w:unhideWhenUsed/>
    <w:rsid w:val="00302AA7"/>
    <w:pPr>
      <w:spacing w:line="240" w:lineRule="auto"/>
    </w:pPr>
    <w:rPr>
      <w:sz w:val="20"/>
      <w:szCs w:val="20"/>
    </w:rPr>
  </w:style>
  <w:style w:type="character" w:customStyle="1" w:styleId="CommentTextChar">
    <w:name w:val="Comment Text Char"/>
    <w:basedOn w:val="DefaultParagraphFont"/>
    <w:link w:val="CommentText"/>
    <w:uiPriority w:val="99"/>
    <w:rsid w:val="00302AA7"/>
    <w:rPr>
      <w:sz w:val="20"/>
      <w:szCs w:val="20"/>
    </w:rPr>
  </w:style>
  <w:style w:type="paragraph" w:styleId="CommentSubject">
    <w:name w:val="annotation subject"/>
    <w:basedOn w:val="CommentText"/>
    <w:next w:val="CommentText"/>
    <w:link w:val="CommentSubjectChar"/>
    <w:uiPriority w:val="99"/>
    <w:semiHidden/>
    <w:unhideWhenUsed/>
    <w:rsid w:val="00302AA7"/>
    <w:rPr>
      <w:b/>
      <w:bCs/>
    </w:rPr>
  </w:style>
  <w:style w:type="character" w:customStyle="1" w:styleId="CommentSubjectChar">
    <w:name w:val="Comment Subject Char"/>
    <w:basedOn w:val="CommentTextChar"/>
    <w:link w:val="CommentSubject"/>
    <w:uiPriority w:val="99"/>
    <w:semiHidden/>
    <w:rsid w:val="00302AA7"/>
    <w:rPr>
      <w:b/>
      <w:bCs/>
      <w:sz w:val="20"/>
      <w:szCs w:val="20"/>
    </w:rPr>
  </w:style>
  <w:style w:type="character" w:styleId="Hyperlink">
    <w:name w:val="Hyperlink"/>
    <w:basedOn w:val="DefaultParagraphFont"/>
    <w:uiPriority w:val="99"/>
    <w:unhideWhenUsed/>
    <w:rsid w:val="00EE7E21"/>
    <w:rPr>
      <w:color w:val="0563C1" w:themeColor="hyperlink"/>
      <w:u w:val="single"/>
    </w:rPr>
  </w:style>
  <w:style w:type="character" w:styleId="UnresolvedMention">
    <w:name w:val="Unresolved Mention"/>
    <w:basedOn w:val="DefaultParagraphFont"/>
    <w:uiPriority w:val="99"/>
    <w:semiHidden/>
    <w:unhideWhenUsed/>
    <w:rsid w:val="00EE7E21"/>
    <w:rPr>
      <w:color w:val="605E5C"/>
      <w:shd w:val="clear" w:color="auto" w:fill="E1DFDD"/>
    </w:rPr>
  </w:style>
  <w:style w:type="character" w:styleId="FollowedHyperlink">
    <w:name w:val="FollowedHyperlink"/>
    <w:basedOn w:val="DefaultParagraphFont"/>
    <w:uiPriority w:val="99"/>
    <w:semiHidden/>
    <w:unhideWhenUsed/>
    <w:rsid w:val="009912B5"/>
    <w:rPr>
      <w:color w:val="954F72" w:themeColor="followedHyperlink"/>
      <w:u w:val="single"/>
    </w:rPr>
  </w:style>
  <w:style w:type="paragraph" w:styleId="FootnoteText">
    <w:name w:val="footnote text"/>
    <w:basedOn w:val="Normal"/>
    <w:link w:val="FootnoteTextChar"/>
    <w:uiPriority w:val="99"/>
    <w:semiHidden/>
    <w:unhideWhenUsed/>
    <w:rsid w:val="00FF02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2C2"/>
    <w:rPr>
      <w:sz w:val="20"/>
      <w:szCs w:val="20"/>
    </w:rPr>
  </w:style>
  <w:style w:type="character" w:styleId="FootnoteReference">
    <w:name w:val="footnote reference"/>
    <w:basedOn w:val="DefaultParagraphFont"/>
    <w:uiPriority w:val="99"/>
    <w:semiHidden/>
    <w:unhideWhenUsed/>
    <w:rsid w:val="00FF0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transportation.gov/grants/SMART" TargetMode="External" /><Relationship Id="rId7" Type="http://schemas.openxmlformats.org/officeDocument/2006/relationships/hyperlink" Target="https://dmptool.org/public_plans" TargetMode="External" /><Relationship Id="rId8" Type="http://schemas.openxmlformats.org/officeDocument/2006/relationships/hyperlink" Target="https://rosap.ntl.bts.gov/cbrowse?pid=dot%3A82036&amp;parentId=dot%3A82036" TargetMode="Externa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oh/business-and-financial/project-management-specialist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800EA-4CC0-4B62-AD4A-7DAC5CA8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3390</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Thy (OST)</dc:creator>
  <cp:lastModifiedBy>Lewis, Jazmyne (FHWA)</cp:lastModifiedBy>
  <cp:revision>5</cp:revision>
  <dcterms:created xsi:type="dcterms:W3CDTF">2025-09-19T12:04:00Z</dcterms:created>
  <dcterms:modified xsi:type="dcterms:W3CDTF">2025-09-23T11:27:00Z</dcterms:modified>
</cp:coreProperties>
</file>