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BA5" w:rsidRPr="00B02032" w:rsidP="00501140" w14:paraId="79094618" w14:textId="4DBC143D">
      <w:pPr>
        <w:jc w:val="center"/>
        <w:rPr>
          <w:b/>
          <w:bCs/>
          <w:sz w:val="28"/>
          <w:szCs w:val="28"/>
        </w:rPr>
      </w:pPr>
      <w:r w:rsidRPr="00B02032">
        <w:rPr>
          <w:b/>
          <w:bCs/>
          <w:sz w:val="28"/>
          <w:szCs w:val="28"/>
        </w:rPr>
        <w:t>Department of Transportation</w:t>
      </w:r>
    </w:p>
    <w:p w:rsidR="00ED5BA5" w:rsidP="00501140" w14:paraId="73D30425" w14:textId="07E6A643">
      <w:pPr>
        <w:jc w:val="center"/>
        <w:rPr>
          <w:b/>
          <w:bCs/>
          <w:sz w:val="28"/>
          <w:szCs w:val="28"/>
        </w:rPr>
      </w:pPr>
      <w:r w:rsidRPr="00B02032">
        <w:rPr>
          <w:b/>
          <w:bCs/>
          <w:sz w:val="28"/>
          <w:szCs w:val="28"/>
        </w:rPr>
        <w:t>Federal Motor Carrier Safety Administration</w:t>
      </w:r>
    </w:p>
    <w:p w:rsidR="0064612D" w:rsidRPr="00B02032" w:rsidP="00501140" w14:paraId="3684FB8F" w14:textId="77777777">
      <w:pPr>
        <w:jc w:val="center"/>
        <w:rPr>
          <w:b/>
          <w:bCs/>
          <w:sz w:val="28"/>
          <w:szCs w:val="28"/>
        </w:rPr>
      </w:pPr>
    </w:p>
    <w:p w:rsidR="00ED5BA5" w:rsidRPr="0064612D" w:rsidP="00501140" w14:paraId="01530258" w14:textId="77777777">
      <w:pPr>
        <w:jc w:val="center"/>
        <w:rPr>
          <w:b/>
          <w:bCs/>
          <w:sz w:val="24"/>
          <w:u w:val="single"/>
        </w:rPr>
      </w:pPr>
      <w:r w:rsidRPr="0064612D">
        <w:rPr>
          <w:b/>
          <w:bCs/>
          <w:sz w:val="24"/>
          <w:u w:val="single"/>
        </w:rPr>
        <w:t>SUPPORTING STATEMENT</w:t>
      </w:r>
    </w:p>
    <w:p w:rsidR="00A967B2" w:rsidP="00501140" w14:paraId="02C1A1BE" w14:textId="48A32B97">
      <w:pPr>
        <w:jc w:val="center"/>
        <w:rPr>
          <w:b/>
          <w:bCs/>
          <w:sz w:val="24"/>
        </w:rPr>
      </w:pPr>
      <w:r w:rsidRPr="00B4583A">
        <w:rPr>
          <w:b/>
          <w:bCs/>
          <w:sz w:val="24"/>
        </w:rPr>
        <w:t>Ap</w:t>
      </w:r>
      <w:r>
        <w:rPr>
          <w:b/>
          <w:bCs/>
          <w:sz w:val="24"/>
        </w:rPr>
        <w:t>plicat</w:t>
      </w:r>
      <w:r w:rsidR="00F873A1">
        <w:rPr>
          <w:b/>
          <w:bCs/>
          <w:sz w:val="24"/>
        </w:rPr>
        <w:t>ion</w:t>
      </w:r>
      <w:r w:rsidRPr="00B4583A" w:rsidR="00ED5BA5">
        <w:rPr>
          <w:b/>
          <w:bCs/>
          <w:sz w:val="24"/>
        </w:rPr>
        <w:t xml:space="preserve"> for Certificate of Registration for</w:t>
      </w:r>
      <w:r w:rsidR="000C2651">
        <w:rPr>
          <w:b/>
          <w:bCs/>
          <w:sz w:val="24"/>
        </w:rPr>
        <w:t xml:space="preserve"> </w:t>
      </w:r>
      <w:r w:rsidRPr="00B4583A" w:rsidR="00ED5BA5">
        <w:rPr>
          <w:b/>
          <w:bCs/>
          <w:sz w:val="24"/>
        </w:rPr>
        <w:t>Foreign Motor Carriers</w:t>
      </w:r>
    </w:p>
    <w:p w:rsidR="00ED5BA5" w:rsidP="00501140" w14:paraId="688DAA08" w14:textId="683B96C1">
      <w:pPr>
        <w:jc w:val="center"/>
        <w:rPr>
          <w:b/>
          <w:bCs/>
          <w:sz w:val="24"/>
        </w:rPr>
      </w:pPr>
      <w:r>
        <w:rPr>
          <w:b/>
          <w:bCs/>
          <w:sz w:val="24"/>
        </w:rPr>
        <w:t xml:space="preserve">and </w:t>
      </w:r>
      <w:r w:rsidRPr="00B4583A">
        <w:rPr>
          <w:b/>
          <w:bCs/>
          <w:sz w:val="24"/>
        </w:rPr>
        <w:t>Foreign Motor Private Carriers</w:t>
      </w:r>
    </w:p>
    <w:p w:rsidR="0064612D" w:rsidP="00501140" w14:paraId="5F2DC8FA" w14:textId="092B0C51">
      <w:pPr>
        <w:jc w:val="center"/>
        <w:rPr>
          <w:b/>
          <w:bCs/>
          <w:sz w:val="24"/>
        </w:rPr>
      </w:pPr>
      <w:r>
        <w:rPr>
          <w:b/>
          <w:bCs/>
          <w:sz w:val="24"/>
        </w:rPr>
        <w:t xml:space="preserve">OMB </w:t>
      </w:r>
      <w:r w:rsidR="00A967B2">
        <w:rPr>
          <w:b/>
          <w:bCs/>
          <w:sz w:val="24"/>
        </w:rPr>
        <w:t xml:space="preserve">Control </w:t>
      </w:r>
      <w:r>
        <w:rPr>
          <w:b/>
          <w:bCs/>
          <w:sz w:val="24"/>
        </w:rPr>
        <w:t>N</w:t>
      </w:r>
      <w:r w:rsidR="00A967B2">
        <w:rPr>
          <w:b/>
          <w:bCs/>
          <w:sz w:val="24"/>
        </w:rPr>
        <w:t>o.</w:t>
      </w:r>
      <w:r>
        <w:rPr>
          <w:b/>
          <w:bCs/>
          <w:sz w:val="24"/>
        </w:rPr>
        <w:t xml:space="preserve"> 2126-0019</w:t>
      </w:r>
    </w:p>
    <w:p w:rsidR="0064612D" w:rsidP="0064612D" w14:paraId="2D1DB47E" w14:textId="5F9BD9B3">
      <w:pPr>
        <w:rPr>
          <w:b/>
          <w:bCs/>
          <w:sz w:val="24"/>
        </w:rPr>
      </w:pPr>
    </w:p>
    <w:p w:rsidR="002B1616" w:rsidP="0064612D" w14:paraId="78FB7FA7" w14:textId="77777777">
      <w:pPr>
        <w:rPr>
          <w:b/>
          <w:bCs/>
          <w:sz w:val="24"/>
        </w:rPr>
      </w:pPr>
    </w:p>
    <w:p w:rsidR="001B3936" w:rsidP="00501140" w14:paraId="02A0D4EE" w14:textId="67A22036">
      <w:pPr>
        <w:pStyle w:val="Heading1"/>
        <w:spacing w:before="0" w:after="0"/>
        <w:rPr>
          <w:u w:val="single"/>
        </w:rPr>
      </w:pPr>
      <w:r w:rsidRPr="0064612D">
        <w:rPr>
          <w:u w:val="single"/>
        </w:rPr>
        <w:t>SUMMARY</w:t>
      </w:r>
    </w:p>
    <w:p w:rsidR="0064612D" w:rsidRPr="0064612D" w:rsidP="0064612D" w14:paraId="51BA9AAC" w14:textId="77777777"/>
    <w:p w:rsidR="00420A0F" w:rsidP="722AE087" w14:paraId="01EAC75B" w14:textId="7B085EB4">
      <w:pPr>
        <w:pStyle w:val="ListParagraph"/>
        <w:numPr>
          <w:ilvl w:val="0"/>
          <w:numId w:val="21"/>
        </w:numPr>
        <w:rPr>
          <w:sz w:val="24"/>
        </w:rPr>
      </w:pPr>
      <w:r w:rsidRPr="722AE087">
        <w:rPr>
          <w:sz w:val="24"/>
        </w:rPr>
        <w:t>This ICR is a re</w:t>
      </w:r>
      <w:r w:rsidRPr="722AE087" w:rsidR="0064612D">
        <w:rPr>
          <w:sz w:val="24"/>
        </w:rPr>
        <w:t>newal</w:t>
      </w:r>
      <w:r w:rsidRPr="722AE087">
        <w:rPr>
          <w:sz w:val="24"/>
        </w:rPr>
        <w:t>.</w:t>
      </w:r>
      <w:r w:rsidRPr="722AE087" w:rsidR="00C8598C">
        <w:rPr>
          <w:sz w:val="24"/>
        </w:rPr>
        <w:t xml:space="preserve"> </w:t>
      </w:r>
      <w:r w:rsidRPr="722AE087">
        <w:rPr>
          <w:sz w:val="24"/>
        </w:rPr>
        <w:t>There is a</w:t>
      </w:r>
      <w:r w:rsidRPr="722AE087" w:rsidR="00F401CA">
        <w:rPr>
          <w:sz w:val="24"/>
        </w:rPr>
        <w:t>n increase</w:t>
      </w:r>
      <w:r w:rsidRPr="722AE087" w:rsidR="00E06062">
        <w:rPr>
          <w:sz w:val="24"/>
        </w:rPr>
        <w:t xml:space="preserve"> in the number of</w:t>
      </w:r>
      <w:r w:rsidRPr="722AE087">
        <w:rPr>
          <w:sz w:val="24"/>
        </w:rPr>
        <w:t xml:space="preserve"> respondent</w:t>
      </w:r>
      <w:r w:rsidRPr="722AE087" w:rsidR="00E06062">
        <w:rPr>
          <w:sz w:val="24"/>
        </w:rPr>
        <w:t>s</w:t>
      </w:r>
      <w:r w:rsidRPr="722AE087">
        <w:rPr>
          <w:sz w:val="24"/>
        </w:rPr>
        <w:t xml:space="preserve"> and </w:t>
      </w:r>
      <w:r w:rsidRPr="722AE087" w:rsidR="00E06062">
        <w:rPr>
          <w:sz w:val="24"/>
        </w:rPr>
        <w:t>in the burden hours calculated</w:t>
      </w:r>
      <w:r w:rsidRPr="722AE087">
        <w:rPr>
          <w:sz w:val="24"/>
        </w:rPr>
        <w:t xml:space="preserve">. </w:t>
      </w:r>
      <w:r w:rsidRPr="722AE087" w:rsidR="00AF08E1">
        <w:rPr>
          <w:sz w:val="24"/>
        </w:rPr>
        <w:t>The currently approved version of this ICR estimated the average annual burden to be 47 annual burden hours, with 31 total annual respondents. For this renewal</w:t>
      </w:r>
      <w:r w:rsidRPr="722AE087" w:rsidR="00C8598C">
        <w:rPr>
          <w:sz w:val="24"/>
        </w:rPr>
        <w:t>,</w:t>
      </w:r>
      <w:r w:rsidRPr="722AE087" w:rsidR="00AF08E1">
        <w:rPr>
          <w:sz w:val="24"/>
        </w:rPr>
        <w:t xml:space="preserve"> the estimated average annual burden is 878</w:t>
      </w:r>
      <w:r w:rsidRPr="722AE087" w:rsidR="4A99717A">
        <w:rPr>
          <w:sz w:val="24"/>
        </w:rPr>
        <w:t xml:space="preserve"> hours</w:t>
      </w:r>
      <w:r w:rsidRPr="722AE087" w:rsidR="00AF08E1">
        <w:rPr>
          <w:sz w:val="24"/>
        </w:rPr>
        <w:t>, with 585 average annual respondents</w:t>
      </w:r>
      <w:r w:rsidRPr="722AE087" w:rsidR="398F8ABD">
        <w:rPr>
          <w:sz w:val="24"/>
        </w:rPr>
        <w:t xml:space="preserve">, </w:t>
      </w:r>
      <w:r w:rsidRPr="722AE087" w:rsidR="1286880E">
        <w:rPr>
          <w:sz w:val="24"/>
        </w:rPr>
        <w:t>based on</w:t>
      </w:r>
      <w:r w:rsidRPr="722AE087" w:rsidR="398F8ABD">
        <w:rPr>
          <w:sz w:val="24"/>
        </w:rPr>
        <w:t xml:space="preserve"> an estimat</w:t>
      </w:r>
      <w:r w:rsidRPr="722AE087" w:rsidR="4DEA904A">
        <w:rPr>
          <w:sz w:val="24"/>
        </w:rPr>
        <w:t>ed</w:t>
      </w:r>
      <w:r w:rsidRPr="722AE087" w:rsidR="398F8ABD">
        <w:rPr>
          <w:sz w:val="24"/>
        </w:rPr>
        <w:t xml:space="preserve"> burden of 1.5 hours per respondent</w:t>
      </w:r>
      <w:r w:rsidRPr="722AE087" w:rsidR="00AF08E1">
        <w:rPr>
          <w:sz w:val="24"/>
        </w:rPr>
        <w:t xml:space="preserve">. The annual burden hour increase of 831 is due primarily to the increase in the number of updated OP-2 forms filed from 2020 through 2022. The average number of entities which filed </w:t>
      </w:r>
      <w:r w:rsidRPr="722AE087" w:rsidR="00E81688">
        <w:rPr>
          <w:sz w:val="24"/>
        </w:rPr>
        <w:t xml:space="preserve">updated </w:t>
      </w:r>
      <w:r w:rsidRPr="722AE087" w:rsidR="00AF08E1">
        <w:rPr>
          <w:sz w:val="24"/>
        </w:rPr>
        <w:t xml:space="preserve">OP-2 forms in the three-year period 2020 </w:t>
      </w:r>
      <w:r w:rsidRPr="722AE087" w:rsidR="74EE949A">
        <w:rPr>
          <w:sz w:val="24"/>
        </w:rPr>
        <w:t xml:space="preserve">through </w:t>
      </w:r>
      <w:r w:rsidRPr="722AE087" w:rsidR="00AF08E1">
        <w:rPr>
          <w:sz w:val="24"/>
        </w:rPr>
        <w:t>2022 increased by 95 percent</w:t>
      </w:r>
      <w:r w:rsidRPr="722AE087" w:rsidR="54636B7E">
        <w:rPr>
          <w:sz w:val="24"/>
        </w:rPr>
        <w:t>,</w:t>
      </w:r>
      <w:r w:rsidRPr="722AE087" w:rsidR="00AF08E1">
        <w:rPr>
          <w:sz w:val="24"/>
        </w:rPr>
        <w:t xml:space="preserve"> compared to the number that registered from 2017 through 2019.</w:t>
      </w:r>
    </w:p>
    <w:p w:rsidR="00C8598C" w:rsidRPr="00C8598C" w:rsidP="00C8598C" w14:paraId="2398D889" w14:textId="77777777">
      <w:pPr>
        <w:ind w:left="360"/>
        <w:rPr>
          <w:sz w:val="24"/>
        </w:rPr>
      </w:pPr>
    </w:p>
    <w:p w:rsidR="001B3936" w:rsidP="00501140" w14:paraId="15F3C9CC" w14:textId="186D6DD5">
      <w:pPr>
        <w:pStyle w:val="ListParagraph"/>
        <w:numPr>
          <w:ilvl w:val="0"/>
          <w:numId w:val="21"/>
        </w:numPr>
        <w:contextualSpacing w:val="0"/>
        <w:rPr>
          <w:sz w:val="24"/>
        </w:rPr>
      </w:pPr>
      <w:r>
        <w:rPr>
          <w:sz w:val="24"/>
        </w:rPr>
        <w:t>The OP-2 form is the only collection instrument being used.</w:t>
      </w:r>
    </w:p>
    <w:p w:rsidR="003C5925" w:rsidP="0064612D" w14:paraId="09281A2D" w14:textId="77777777">
      <w:pPr>
        <w:rPr>
          <w:sz w:val="24"/>
        </w:rPr>
      </w:pPr>
    </w:p>
    <w:p w:rsidR="0064612D" w:rsidRPr="0064612D" w:rsidP="0064612D" w14:paraId="317A5266" w14:textId="77777777">
      <w:pPr>
        <w:rPr>
          <w:sz w:val="24"/>
        </w:rPr>
      </w:pPr>
    </w:p>
    <w:p w:rsidR="00B02032" w:rsidRPr="0064612D" w:rsidP="00501140" w14:paraId="1DC0DA5D" w14:textId="030946F5">
      <w:pPr>
        <w:pStyle w:val="Heading1"/>
        <w:spacing w:before="0" w:after="0"/>
        <w:rPr>
          <w:u w:val="single"/>
        </w:rPr>
      </w:pPr>
      <w:r w:rsidRPr="0064612D">
        <w:rPr>
          <w:u w:val="single"/>
        </w:rPr>
        <w:t>INTRODUCTION</w:t>
      </w:r>
    </w:p>
    <w:p w:rsidR="0064612D" w:rsidP="00501140" w14:paraId="6F634D26" w14:textId="77777777">
      <w:pPr>
        <w:rPr>
          <w:sz w:val="24"/>
        </w:rPr>
      </w:pPr>
    </w:p>
    <w:p w:rsidR="00F15A27" w:rsidP="722AE087" w14:paraId="0A85DE7B" w14:textId="18A3D7B3">
      <w:pPr>
        <w:rPr>
          <w:sz w:val="24"/>
        </w:rPr>
      </w:pPr>
      <w:r w:rsidRPr="722AE087">
        <w:rPr>
          <w:sz w:val="24"/>
        </w:rPr>
        <w:t>Th</w:t>
      </w:r>
      <w:r w:rsidRPr="722AE087" w:rsidR="002D110B">
        <w:rPr>
          <w:sz w:val="24"/>
        </w:rPr>
        <w:t>e purpose of this information collection request (ICR)</w:t>
      </w:r>
      <w:r w:rsidRPr="722AE087">
        <w:rPr>
          <w:sz w:val="24"/>
        </w:rPr>
        <w:t xml:space="preserve"> is to request the Office of Management and Budget’s (OMB) </w:t>
      </w:r>
      <w:r w:rsidRPr="722AE087" w:rsidR="007A1C18">
        <w:rPr>
          <w:sz w:val="24"/>
        </w:rPr>
        <w:t>3</w:t>
      </w:r>
      <w:r w:rsidRPr="722AE087">
        <w:rPr>
          <w:sz w:val="24"/>
        </w:rPr>
        <w:t>-year approved clearance for</w:t>
      </w:r>
      <w:r w:rsidRPr="722AE087" w:rsidR="7690A98D">
        <w:rPr>
          <w:sz w:val="24"/>
        </w:rPr>
        <w:t xml:space="preserve"> a re</w:t>
      </w:r>
      <w:r w:rsidR="00D00023">
        <w:rPr>
          <w:sz w:val="24"/>
        </w:rPr>
        <w:t>newal</w:t>
      </w:r>
      <w:r w:rsidRPr="722AE087" w:rsidR="7690A98D">
        <w:rPr>
          <w:sz w:val="24"/>
        </w:rPr>
        <w:t xml:space="preserve"> to</w:t>
      </w:r>
      <w:r w:rsidRPr="722AE087">
        <w:rPr>
          <w:sz w:val="24"/>
        </w:rPr>
        <w:t xml:space="preserve"> the information collection titled </w:t>
      </w:r>
      <w:r w:rsidRPr="722AE087" w:rsidR="006329B7">
        <w:rPr>
          <w:sz w:val="24"/>
        </w:rPr>
        <w:t>“</w:t>
      </w:r>
      <w:bookmarkStart w:id="0" w:name="_Hlk74205185"/>
      <w:r w:rsidRPr="722AE087">
        <w:rPr>
          <w:sz w:val="24"/>
        </w:rPr>
        <w:t>Application for Certificate of Registration for Foreign Motor Carriers and Foreign Motor Private Carriers</w:t>
      </w:r>
      <w:bookmarkEnd w:id="0"/>
      <w:r w:rsidRPr="722AE087" w:rsidR="006329B7">
        <w:rPr>
          <w:sz w:val="24"/>
        </w:rPr>
        <w:t>”</w:t>
      </w:r>
      <w:r w:rsidRPr="722AE087">
        <w:rPr>
          <w:color w:val="FF0000"/>
          <w:sz w:val="24"/>
        </w:rPr>
        <w:t xml:space="preserve"> </w:t>
      </w:r>
      <w:r w:rsidRPr="722AE087">
        <w:rPr>
          <w:sz w:val="24"/>
        </w:rPr>
        <w:t>(OMB Control No. 2126-0019), which is currently due to expire on October 31, 202</w:t>
      </w:r>
      <w:r w:rsidRPr="722AE087" w:rsidR="00C417C3">
        <w:rPr>
          <w:sz w:val="24"/>
        </w:rPr>
        <w:t>4</w:t>
      </w:r>
      <w:r w:rsidRPr="722AE087">
        <w:rPr>
          <w:sz w:val="24"/>
        </w:rPr>
        <w:t>.</w:t>
      </w:r>
    </w:p>
    <w:p w:rsidR="0064612D" w:rsidP="00501140" w14:paraId="6C3FDE10" w14:textId="77777777">
      <w:pPr>
        <w:rPr>
          <w:iCs/>
          <w:sz w:val="24"/>
        </w:rPr>
      </w:pPr>
    </w:p>
    <w:p w:rsidR="008743B8" w:rsidP="00C8598C" w14:paraId="4CB4CD1B" w14:textId="6936EEDE">
      <w:pPr>
        <w:rPr>
          <w:iCs/>
          <w:sz w:val="24"/>
        </w:rPr>
      </w:pPr>
      <w:r w:rsidRPr="001A7A97">
        <w:rPr>
          <w:iCs/>
          <w:sz w:val="24"/>
        </w:rPr>
        <w:t>Thi</w:t>
      </w:r>
      <w:r w:rsidR="00B90479">
        <w:rPr>
          <w:iCs/>
          <w:sz w:val="24"/>
        </w:rPr>
        <w:t>s</w:t>
      </w:r>
      <w:r w:rsidRPr="009E5E6C">
        <w:rPr>
          <w:iCs/>
          <w:sz w:val="24"/>
        </w:rPr>
        <w:t xml:space="preserve"> ICR applies to the following respondents:</w:t>
      </w:r>
    </w:p>
    <w:p w:rsidR="0064612D" w:rsidRPr="009E5E6C" w:rsidP="00C8598C" w14:paraId="7B769994" w14:textId="77777777">
      <w:pPr>
        <w:rPr>
          <w:iCs/>
          <w:sz w:val="24"/>
        </w:rPr>
      </w:pPr>
    </w:p>
    <w:p w:rsidR="00747ED3" w:rsidRPr="00CF10B1" w:rsidP="00C8598C" w14:paraId="4F2D5608" w14:textId="5ECF31B0">
      <w:pPr>
        <w:pStyle w:val="ListParagraph"/>
        <w:numPr>
          <w:ilvl w:val="0"/>
          <w:numId w:val="14"/>
        </w:numPr>
        <w:ind w:left="720"/>
        <w:contextualSpacing w:val="0"/>
      </w:pPr>
      <w:r w:rsidRPr="102CE53A">
        <w:rPr>
          <w:sz w:val="24"/>
        </w:rPr>
        <w:t xml:space="preserve">Existing </w:t>
      </w:r>
      <w:r w:rsidRPr="102CE53A" w:rsidR="0095411A">
        <w:rPr>
          <w:sz w:val="24"/>
        </w:rPr>
        <w:t xml:space="preserve">Domiciled </w:t>
      </w:r>
      <w:r w:rsidRPr="102CE53A">
        <w:rPr>
          <w:sz w:val="24"/>
        </w:rPr>
        <w:t xml:space="preserve">Foreign </w:t>
      </w:r>
      <w:r w:rsidRPr="102CE53A" w:rsidR="00FE584A">
        <w:rPr>
          <w:sz w:val="24"/>
        </w:rPr>
        <w:t>(</w:t>
      </w:r>
      <w:r w:rsidRPr="102CE53A" w:rsidR="009E5E6C">
        <w:rPr>
          <w:sz w:val="24"/>
        </w:rPr>
        <w:t xml:space="preserve">Mexico) </w:t>
      </w:r>
      <w:r w:rsidRPr="102CE53A">
        <w:rPr>
          <w:sz w:val="24"/>
        </w:rPr>
        <w:t xml:space="preserve">Motor Carriers </w:t>
      </w:r>
      <w:r w:rsidRPr="102CE53A" w:rsidR="001E5ECC">
        <w:rPr>
          <w:sz w:val="24"/>
        </w:rPr>
        <w:t>and Foreign</w:t>
      </w:r>
      <w:r w:rsidRPr="102CE53A" w:rsidR="009E5E6C">
        <w:rPr>
          <w:sz w:val="24"/>
        </w:rPr>
        <w:t xml:space="preserve"> (Mexico</w:t>
      </w:r>
      <w:r w:rsidRPr="102CE53A" w:rsidR="002D110B">
        <w:rPr>
          <w:sz w:val="24"/>
        </w:rPr>
        <w:t>)</w:t>
      </w:r>
      <w:r w:rsidRPr="102CE53A" w:rsidR="001E5ECC">
        <w:rPr>
          <w:sz w:val="24"/>
        </w:rPr>
        <w:t xml:space="preserve"> Private Carriers </w:t>
      </w:r>
      <w:r w:rsidRPr="102CE53A">
        <w:rPr>
          <w:sz w:val="24"/>
        </w:rPr>
        <w:t>that wish to operate</w:t>
      </w:r>
      <w:r w:rsidRPr="102CE53A" w:rsidR="00815EFD">
        <w:rPr>
          <w:sz w:val="24"/>
        </w:rPr>
        <w:t xml:space="preserve"> across the Mexico</w:t>
      </w:r>
      <w:r w:rsidRPr="102CE53A" w:rsidR="00B2010D">
        <w:rPr>
          <w:sz w:val="24"/>
        </w:rPr>
        <w:t>-United States</w:t>
      </w:r>
      <w:r w:rsidRPr="102CE53A" w:rsidR="00815EFD">
        <w:rPr>
          <w:sz w:val="24"/>
        </w:rPr>
        <w:t xml:space="preserve"> border into the United States </w:t>
      </w:r>
      <w:r w:rsidRPr="102CE53A" w:rsidR="001860AB">
        <w:rPr>
          <w:sz w:val="24"/>
        </w:rPr>
        <w:t>(</w:t>
      </w:r>
      <w:r w:rsidRPr="102CE53A" w:rsidR="00815EFD">
        <w:rPr>
          <w:sz w:val="24"/>
        </w:rPr>
        <w:t>49 USC 13902(c)</w:t>
      </w:r>
      <w:r w:rsidRPr="102CE53A" w:rsidR="001860AB">
        <w:rPr>
          <w:sz w:val="24"/>
        </w:rPr>
        <w:t>)</w:t>
      </w:r>
      <w:r w:rsidRPr="102CE53A" w:rsidR="73EF5E43">
        <w:rPr>
          <w:sz w:val="24"/>
        </w:rPr>
        <w:t xml:space="preserve">, </w:t>
      </w:r>
      <w:r w:rsidRPr="102CE53A" w:rsidR="73EF5E43">
        <w:rPr>
          <w:color w:val="000000" w:themeColor="text1"/>
          <w:sz w:val="24"/>
        </w:rPr>
        <w:t>within municipalities in the United States on the U.S.-Mexico international border or within the commercial zones of such municipalities</w:t>
      </w:r>
      <w:r w:rsidRPr="102CE53A" w:rsidR="4A42D5C9">
        <w:rPr>
          <w:color w:val="000000" w:themeColor="text1"/>
          <w:sz w:val="24"/>
        </w:rPr>
        <w:t>.</w:t>
      </w:r>
    </w:p>
    <w:p w:rsidR="0064612D" w:rsidP="00C8598C" w14:paraId="56868CBB" w14:textId="77777777">
      <w:pPr>
        <w:rPr>
          <w:iCs/>
          <w:sz w:val="24"/>
        </w:rPr>
      </w:pPr>
    </w:p>
    <w:p w:rsidR="00B9473D" w:rsidP="00C8598C" w14:paraId="194A46DA" w14:textId="37B042A6">
      <w:pPr>
        <w:rPr>
          <w:sz w:val="24"/>
        </w:rPr>
      </w:pPr>
      <w:r w:rsidRPr="102CE53A">
        <w:rPr>
          <w:sz w:val="24"/>
        </w:rPr>
        <w:t>N</w:t>
      </w:r>
      <w:r w:rsidRPr="102CE53A" w:rsidR="0078425E">
        <w:rPr>
          <w:sz w:val="24"/>
        </w:rPr>
        <w:t xml:space="preserve">ew </w:t>
      </w:r>
      <w:r w:rsidRPr="102CE53A" w:rsidR="00756A01">
        <w:rPr>
          <w:sz w:val="24"/>
        </w:rPr>
        <w:t>a</w:t>
      </w:r>
      <w:r w:rsidRPr="102CE53A" w:rsidR="00D53812">
        <w:rPr>
          <w:sz w:val="24"/>
        </w:rPr>
        <w:t xml:space="preserve">pplicants </w:t>
      </w:r>
      <w:r w:rsidRPr="102CE53A" w:rsidR="00BC1D6A">
        <w:rPr>
          <w:sz w:val="24"/>
        </w:rPr>
        <w:t xml:space="preserve">for the </w:t>
      </w:r>
      <w:r w:rsidRPr="102CE53A" w:rsidR="007C4D43">
        <w:rPr>
          <w:sz w:val="24"/>
        </w:rPr>
        <w:t>“</w:t>
      </w:r>
      <w:r w:rsidRPr="102CE53A" w:rsidR="00D53812">
        <w:rPr>
          <w:sz w:val="24"/>
        </w:rPr>
        <w:t>Certificate of Registration for Foreign Motor Carriers and Foreign Private Carriers</w:t>
      </w:r>
      <w:r w:rsidRPr="102CE53A" w:rsidR="007C4D43">
        <w:rPr>
          <w:sz w:val="24"/>
        </w:rPr>
        <w:t>”</w:t>
      </w:r>
      <w:r w:rsidRPr="102CE53A" w:rsidR="0078425E">
        <w:rPr>
          <w:sz w:val="24"/>
        </w:rPr>
        <w:t xml:space="preserve"> </w:t>
      </w:r>
      <w:r w:rsidRPr="102CE53A" w:rsidR="003B122B">
        <w:rPr>
          <w:sz w:val="24"/>
        </w:rPr>
        <w:t>must use</w:t>
      </w:r>
      <w:r w:rsidRPr="102CE53A" w:rsidR="00DD1676">
        <w:rPr>
          <w:sz w:val="24"/>
        </w:rPr>
        <w:t xml:space="preserve"> </w:t>
      </w:r>
      <w:r w:rsidRPr="102CE53A" w:rsidR="378137FA">
        <w:rPr>
          <w:sz w:val="24"/>
        </w:rPr>
        <w:t>F</w:t>
      </w:r>
      <w:r w:rsidRPr="102CE53A" w:rsidR="00DD1676">
        <w:rPr>
          <w:sz w:val="24"/>
        </w:rPr>
        <w:t>orm MCSA-1</w:t>
      </w:r>
      <w:r w:rsidRPr="102CE53A" w:rsidR="007A1C18">
        <w:rPr>
          <w:sz w:val="24"/>
        </w:rPr>
        <w:t>,</w:t>
      </w:r>
      <w:r w:rsidRPr="102CE53A" w:rsidR="00DD1676">
        <w:rPr>
          <w:sz w:val="24"/>
        </w:rPr>
        <w:t xml:space="preserve"> which is access</w:t>
      </w:r>
      <w:r w:rsidRPr="102CE53A" w:rsidR="007A1C18">
        <w:rPr>
          <w:sz w:val="24"/>
        </w:rPr>
        <w:t>ible</w:t>
      </w:r>
      <w:r w:rsidRPr="102CE53A" w:rsidR="00DD1676">
        <w:rPr>
          <w:sz w:val="24"/>
        </w:rPr>
        <w:t xml:space="preserve"> through the U</w:t>
      </w:r>
      <w:r w:rsidRPr="102CE53A" w:rsidR="00DC1D79">
        <w:rPr>
          <w:sz w:val="24"/>
        </w:rPr>
        <w:t>nified Registration System (U</w:t>
      </w:r>
      <w:r w:rsidRPr="102CE53A" w:rsidR="00DD1676">
        <w:rPr>
          <w:sz w:val="24"/>
        </w:rPr>
        <w:t>RS</w:t>
      </w:r>
      <w:r w:rsidRPr="102CE53A" w:rsidR="00DC1D79">
        <w:rPr>
          <w:sz w:val="24"/>
        </w:rPr>
        <w:t>)</w:t>
      </w:r>
      <w:r w:rsidRPr="102CE53A" w:rsidR="00DD1676">
        <w:rPr>
          <w:sz w:val="24"/>
        </w:rPr>
        <w:t xml:space="preserve">. </w:t>
      </w:r>
      <w:r w:rsidR="002F4731">
        <w:rPr>
          <w:sz w:val="24"/>
        </w:rPr>
        <w:t xml:space="preserve">The </w:t>
      </w:r>
      <w:r w:rsidRPr="102CE53A" w:rsidR="00E916D4">
        <w:rPr>
          <w:sz w:val="24"/>
        </w:rPr>
        <w:t xml:space="preserve">Form MCSA-1 is covered by </w:t>
      </w:r>
      <w:r w:rsidRPr="102CE53A" w:rsidR="007C4D43">
        <w:rPr>
          <w:sz w:val="24"/>
        </w:rPr>
        <w:t xml:space="preserve">the </w:t>
      </w:r>
      <w:r w:rsidRPr="102CE53A" w:rsidR="0064612D">
        <w:rPr>
          <w:sz w:val="24"/>
        </w:rPr>
        <w:t>currently approved</w:t>
      </w:r>
      <w:r w:rsidRPr="102CE53A">
        <w:rPr>
          <w:sz w:val="24"/>
        </w:rPr>
        <w:t xml:space="preserve"> </w:t>
      </w:r>
      <w:r w:rsidRPr="102CE53A" w:rsidR="002D110B">
        <w:rPr>
          <w:sz w:val="24"/>
        </w:rPr>
        <w:t xml:space="preserve">ICR </w:t>
      </w:r>
      <w:r w:rsidRPr="102CE53A">
        <w:rPr>
          <w:sz w:val="24"/>
        </w:rPr>
        <w:t>titled “</w:t>
      </w:r>
      <w:bookmarkStart w:id="1" w:name="_Hlk6415939"/>
      <w:r w:rsidRPr="102CE53A">
        <w:rPr>
          <w:sz w:val="24"/>
        </w:rPr>
        <w:t>Unified Registration System, FMCSA Registration/Updates” (OMB Control No. 2126-0051)</w:t>
      </w:r>
      <w:bookmarkEnd w:id="1"/>
      <w:r w:rsidRPr="102CE53A" w:rsidR="007C4D43">
        <w:rPr>
          <w:sz w:val="24"/>
        </w:rPr>
        <w:t>.</w:t>
      </w:r>
    </w:p>
    <w:p w:rsidR="0064612D" w:rsidP="00501140" w14:paraId="4747DC9F" w14:textId="2AE79EC6">
      <w:pPr>
        <w:rPr>
          <w:sz w:val="24"/>
        </w:rPr>
      </w:pPr>
    </w:p>
    <w:p w:rsidR="0064612D" w:rsidP="00501140" w14:paraId="12C2E8B3" w14:textId="77777777">
      <w:pPr>
        <w:rPr>
          <w:sz w:val="24"/>
        </w:rPr>
      </w:pPr>
    </w:p>
    <w:p w:rsidR="00ED5BA5" w:rsidRPr="0064612D" w:rsidP="00501140" w14:paraId="518CD9C8" w14:textId="74AC9DB7">
      <w:pPr>
        <w:pStyle w:val="Heading1"/>
        <w:spacing w:before="0" w:after="0"/>
        <w:ind w:left="0" w:firstLine="0"/>
        <w:rPr>
          <w:u w:val="single"/>
        </w:rPr>
      </w:pPr>
      <w:r w:rsidRPr="0064612D">
        <w:rPr>
          <w:u w:val="single"/>
        </w:rPr>
        <w:t>Part A.  Justification</w:t>
      </w:r>
    </w:p>
    <w:p w:rsidR="0064612D" w:rsidRPr="002F4731" w:rsidP="0064612D" w14:paraId="23725827" w14:textId="62A370D4">
      <w:pPr>
        <w:rPr>
          <w:sz w:val="24"/>
        </w:rPr>
      </w:pPr>
    </w:p>
    <w:p w:rsidR="00ED5BA5" w:rsidP="00501140" w14:paraId="238BBD87" w14:textId="26CDBDEE">
      <w:pPr>
        <w:pStyle w:val="Heading2"/>
        <w:spacing w:before="0" w:after="0"/>
      </w:pPr>
      <w:r w:rsidRPr="001A7A97">
        <w:t>CIRCUMSTANCES THAT MAKE COLLECTION OF INFORMATION NECESSARY</w:t>
      </w:r>
    </w:p>
    <w:p w:rsidR="0064612D" w:rsidRPr="00C8598C" w:rsidP="00C8598C" w14:paraId="3DFC1673" w14:textId="77777777">
      <w:pPr>
        <w:ind w:left="360"/>
        <w:rPr>
          <w:sz w:val="24"/>
        </w:rPr>
      </w:pPr>
    </w:p>
    <w:p w:rsidR="00ED5BA5" w:rsidP="00C8598C" w14:paraId="42F29EC9" w14:textId="3F4D9EA3">
      <w:pPr>
        <w:ind w:left="360"/>
        <w:rPr>
          <w:color w:val="000000"/>
          <w:sz w:val="24"/>
        </w:rPr>
      </w:pPr>
      <w:bookmarkStart w:id="2" w:name="_Hlk151915011"/>
      <w:r w:rsidRPr="102CE53A">
        <w:rPr>
          <w:sz w:val="24"/>
        </w:rPr>
        <w:t>The Motor Carrier Safety Act of 1984 (1984 Act), Public Law No. 98-554, 98 Stat. 2832, require</w:t>
      </w:r>
      <w:r w:rsidRPr="102CE53A" w:rsidR="00706858">
        <w:rPr>
          <w:sz w:val="24"/>
        </w:rPr>
        <w:t>s</w:t>
      </w:r>
      <w:r w:rsidRPr="102CE53A">
        <w:rPr>
          <w:sz w:val="24"/>
        </w:rPr>
        <w:t xml:space="preserve"> certain Mexican-domiciled motor carriers performing operations in the United States to obtain </w:t>
      </w:r>
      <w:r w:rsidR="002B1616">
        <w:rPr>
          <w:sz w:val="24"/>
        </w:rPr>
        <w:t>C</w:t>
      </w:r>
      <w:r w:rsidRPr="102CE53A">
        <w:rPr>
          <w:sz w:val="24"/>
        </w:rPr>
        <w:t xml:space="preserve">ertificates of </w:t>
      </w:r>
      <w:r w:rsidR="002B1616">
        <w:rPr>
          <w:sz w:val="24"/>
        </w:rPr>
        <w:t>R</w:t>
      </w:r>
      <w:r w:rsidRPr="102CE53A">
        <w:rPr>
          <w:sz w:val="24"/>
        </w:rPr>
        <w:t xml:space="preserve">egistration </w:t>
      </w:r>
      <w:r w:rsidRPr="102CE53A" w:rsidR="007A1C18">
        <w:rPr>
          <w:sz w:val="24"/>
        </w:rPr>
        <w:t xml:space="preserve">annually </w:t>
      </w:r>
      <w:r w:rsidRPr="102CE53A">
        <w:rPr>
          <w:sz w:val="24"/>
        </w:rPr>
        <w:t>to continue those operations.</w:t>
      </w:r>
      <w:r w:rsidRPr="102CE53A" w:rsidR="002D110B">
        <w:rPr>
          <w:sz w:val="24"/>
        </w:rPr>
        <w:t xml:space="preserve"> </w:t>
      </w:r>
      <w:bookmarkEnd w:id="2"/>
      <w:r w:rsidRPr="102CE53A" w:rsidR="007A1C18">
        <w:rPr>
          <w:sz w:val="24"/>
        </w:rPr>
        <w:t>Before that law</w:t>
      </w:r>
      <w:r w:rsidRPr="102CE53A">
        <w:rPr>
          <w:sz w:val="24"/>
        </w:rPr>
        <w:t xml:space="preserve">, these carriers had been </w:t>
      </w:r>
      <w:r w:rsidRPr="102CE53A" w:rsidR="00C8598C">
        <w:rPr>
          <w:sz w:val="24"/>
        </w:rPr>
        <w:t>exempted</w:t>
      </w:r>
      <w:r w:rsidRPr="102CE53A">
        <w:rPr>
          <w:sz w:val="24"/>
        </w:rPr>
        <w:t xml:space="preserve"> from regulation by the former Interstate Commerce Commission (ICC). </w:t>
      </w:r>
      <w:r w:rsidRPr="102CE53A" w:rsidR="007A1C18">
        <w:rPr>
          <w:sz w:val="24"/>
        </w:rPr>
        <w:t>T</w:t>
      </w:r>
      <w:r w:rsidRPr="102CE53A">
        <w:rPr>
          <w:sz w:val="24"/>
        </w:rPr>
        <w:t xml:space="preserve">o obtain these </w:t>
      </w:r>
      <w:r w:rsidR="002B1616">
        <w:rPr>
          <w:sz w:val="24"/>
        </w:rPr>
        <w:t>C</w:t>
      </w:r>
      <w:r w:rsidRPr="102CE53A">
        <w:rPr>
          <w:sz w:val="24"/>
        </w:rPr>
        <w:t xml:space="preserve">ertificates of </w:t>
      </w:r>
      <w:r w:rsidR="002B1616">
        <w:rPr>
          <w:sz w:val="24"/>
        </w:rPr>
        <w:t>R</w:t>
      </w:r>
      <w:r w:rsidRPr="102CE53A">
        <w:rPr>
          <w:sz w:val="24"/>
        </w:rPr>
        <w:t xml:space="preserve">egistration, motor carriers subject to these requirements were required to demonstrate that they maintained specified levels of insurance coverage; that they were performing safe operations in accordance with the Department of Transportation’s (DOT) safety regulations; and that they had paid any applicable Federal heavy vehicle taxes under 26 U.S.C. § 4481 (Attachment A). To </w:t>
      </w:r>
      <w:r w:rsidRPr="102CE53A">
        <w:rPr>
          <w:color w:val="000000" w:themeColor="text1"/>
          <w:sz w:val="24"/>
        </w:rPr>
        <w:t>implement the statute, the ICC adopted regulations at 49 CFR p</w:t>
      </w:r>
      <w:r w:rsidRPr="102CE53A" w:rsidR="002D110B">
        <w:rPr>
          <w:color w:val="000000" w:themeColor="text1"/>
          <w:sz w:val="24"/>
        </w:rPr>
        <w:t>art</w:t>
      </w:r>
      <w:r w:rsidRPr="102CE53A">
        <w:rPr>
          <w:color w:val="000000" w:themeColor="text1"/>
          <w:sz w:val="24"/>
        </w:rPr>
        <w:t xml:space="preserve"> 1171, now found at 49 CFR p</w:t>
      </w:r>
      <w:r w:rsidRPr="102CE53A" w:rsidR="002D110B">
        <w:rPr>
          <w:color w:val="000000" w:themeColor="text1"/>
          <w:sz w:val="24"/>
        </w:rPr>
        <w:t>art</w:t>
      </w:r>
      <w:r w:rsidRPr="102CE53A">
        <w:rPr>
          <w:color w:val="000000" w:themeColor="text1"/>
          <w:sz w:val="24"/>
        </w:rPr>
        <w:t xml:space="preserve"> 368 (Attachment B), and prescribed Form OP-2 as the application form to be used by these foreign motor carriers </w:t>
      </w:r>
      <w:r w:rsidRPr="102CE53A" w:rsidR="007A1C18">
        <w:rPr>
          <w:color w:val="000000" w:themeColor="text1"/>
          <w:sz w:val="24"/>
        </w:rPr>
        <w:t>operating</w:t>
      </w:r>
      <w:r w:rsidRPr="102CE53A">
        <w:rPr>
          <w:color w:val="000000" w:themeColor="text1"/>
          <w:sz w:val="24"/>
        </w:rPr>
        <w:t xml:space="preserve"> in the United States.</w:t>
      </w:r>
    </w:p>
    <w:p w:rsidR="0064612D" w:rsidRPr="00B4583A" w:rsidP="00C8598C" w14:paraId="0696BAD4" w14:textId="77777777">
      <w:pPr>
        <w:ind w:left="360"/>
        <w:rPr>
          <w:color w:val="000000"/>
          <w:sz w:val="24"/>
        </w:rPr>
      </w:pPr>
    </w:p>
    <w:p w:rsidR="00BC3370" w:rsidP="00C8598C" w14:paraId="70C26E71" w14:textId="5A6AE1DE">
      <w:pPr>
        <w:ind w:left="360"/>
        <w:rPr>
          <w:sz w:val="24"/>
        </w:rPr>
      </w:pPr>
      <w:r w:rsidRPr="102CE53A">
        <w:rPr>
          <w:sz w:val="24"/>
        </w:rPr>
        <w:t>In 1988, as part of the Anti-Drug Abuse Act of 1988 (1988 Act), Public Law No. 100-690, 102 Stat. 4181,</w:t>
      </w:r>
      <w:r w:rsidRPr="102CE53A" w:rsidR="002D110B">
        <w:rPr>
          <w:sz w:val="24"/>
          <w:vertAlign w:val="superscript"/>
        </w:rPr>
        <w:t>(</w:t>
      </w:r>
      <w:r>
        <w:rPr>
          <w:rStyle w:val="FootnoteReference"/>
          <w:sz w:val="24"/>
          <w:vertAlign w:val="superscript"/>
        </w:rPr>
        <w:footnoteReference w:id="2"/>
      </w:r>
      <w:r w:rsidRPr="102CE53A" w:rsidR="002D110B">
        <w:rPr>
          <w:sz w:val="24"/>
          <w:vertAlign w:val="superscript"/>
        </w:rPr>
        <w:t>)</w:t>
      </w:r>
      <w:r w:rsidRPr="102CE53A">
        <w:rPr>
          <w:sz w:val="24"/>
        </w:rPr>
        <w:t xml:space="preserve"> Congress revised the 1984 Act. The 1988 Act expanded the statute to require all Mexic</w:t>
      </w:r>
      <w:r w:rsidRPr="102CE53A" w:rsidR="000F24CD">
        <w:rPr>
          <w:sz w:val="24"/>
        </w:rPr>
        <w:t>o</w:t>
      </w:r>
      <w:r w:rsidRPr="102CE53A">
        <w:rPr>
          <w:sz w:val="24"/>
        </w:rPr>
        <w:t xml:space="preserve">-domiciled for-hire and private motor carriers of exempt and regulated commodities to obtain </w:t>
      </w:r>
      <w:r w:rsidR="002B1616">
        <w:rPr>
          <w:sz w:val="24"/>
        </w:rPr>
        <w:t>C</w:t>
      </w:r>
      <w:r w:rsidRPr="102CE53A">
        <w:rPr>
          <w:sz w:val="24"/>
        </w:rPr>
        <w:t xml:space="preserve">ertificates of </w:t>
      </w:r>
      <w:r w:rsidR="002B1616">
        <w:rPr>
          <w:sz w:val="24"/>
        </w:rPr>
        <w:t>R</w:t>
      </w:r>
      <w:r w:rsidRPr="102CE53A">
        <w:rPr>
          <w:sz w:val="24"/>
        </w:rPr>
        <w:t>egistration</w:t>
      </w:r>
      <w:r w:rsidRPr="102CE53A" w:rsidR="019BB059">
        <w:rPr>
          <w:sz w:val="24"/>
        </w:rPr>
        <w:t xml:space="preserve"> to perform operations in the United States</w:t>
      </w:r>
      <w:r w:rsidRPr="102CE53A">
        <w:rPr>
          <w:sz w:val="24"/>
        </w:rPr>
        <w:t xml:space="preserve">. Also, the 1988 Act repealed the requirement for annual renewals of certificates of </w:t>
      </w:r>
      <w:r w:rsidRPr="102CE53A" w:rsidR="0064612D">
        <w:rPr>
          <w:sz w:val="24"/>
        </w:rPr>
        <w:t>registration and</w:t>
      </w:r>
      <w:r w:rsidRPr="102CE53A">
        <w:rPr>
          <w:sz w:val="24"/>
        </w:rPr>
        <w:t xml:space="preserve"> allowed the initial </w:t>
      </w:r>
      <w:r w:rsidR="002B1616">
        <w:rPr>
          <w:sz w:val="24"/>
        </w:rPr>
        <w:t>C</w:t>
      </w:r>
      <w:r w:rsidRPr="102CE53A">
        <w:rPr>
          <w:sz w:val="24"/>
        </w:rPr>
        <w:t xml:space="preserve">ertificates of </w:t>
      </w:r>
      <w:r w:rsidR="002B1616">
        <w:rPr>
          <w:sz w:val="24"/>
        </w:rPr>
        <w:t>R</w:t>
      </w:r>
      <w:r w:rsidRPr="102CE53A">
        <w:rPr>
          <w:sz w:val="24"/>
        </w:rPr>
        <w:t>egistration to remain in effect indefinitely, provided the carrier complie</w:t>
      </w:r>
      <w:r w:rsidRPr="102CE53A" w:rsidR="007A1C18">
        <w:rPr>
          <w:sz w:val="24"/>
        </w:rPr>
        <w:t>d</w:t>
      </w:r>
      <w:r w:rsidRPr="102CE53A">
        <w:rPr>
          <w:sz w:val="24"/>
        </w:rPr>
        <w:t xml:space="preserve"> with other regulatory provisions of the statute.</w:t>
      </w:r>
      <w:r w:rsidRPr="102CE53A" w:rsidR="002D110B">
        <w:rPr>
          <w:sz w:val="24"/>
        </w:rPr>
        <w:t xml:space="preserve"> </w:t>
      </w:r>
      <w:r w:rsidRPr="102CE53A">
        <w:rPr>
          <w:sz w:val="24"/>
        </w:rPr>
        <w:t xml:space="preserve">It also permitted these carriers to have insurance policies of limited duration and to show evidence of insurance at the international boundary line (on a per trip basis, or the so-called </w:t>
      </w:r>
      <w:r w:rsidRPr="102CE53A">
        <w:rPr>
          <w:color w:val="000000"/>
          <w:sz w:val="24"/>
        </w:rPr>
        <w:t xml:space="preserve">“trip insurance” concept) </w:t>
      </w:r>
      <w:r w:rsidRPr="102CE53A">
        <w:rPr>
          <w:sz w:val="24"/>
        </w:rPr>
        <w:t xml:space="preserve">rather than filing certificates of insurance with the </w:t>
      </w:r>
      <w:r w:rsidRPr="102CE53A">
        <w:rPr>
          <w:color w:val="000000"/>
          <w:sz w:val="24"/>
        </w:rPr>
        <w:t xml:space="preserve">former </w:t>
      </w:r>
      <w:r w:rsidRPr="102CE53A">
        <w:rPr>
          <w:sz w:val="24"/>
        </w:rPr>
        <w:t>ICC.</w:t>
      </w:r>
    </w:p>
    <w:p w:rsidR="0064612D" w:rsidRPr="00B4583A" w:rsidP="00C8598C" w14:paraId="275E4591" w14:textId="77777777">
      <w:pPr>
        <w:ind w:left="360"/>
        <w:rPr>
          <w:color w:val="000000"/>
          <w:sz w:val="24"/>
        </w:rPr>
      </w:pPr>
    </w:p>
    <w:p w:rsidR="00BC3370" w:rsidP="00C8598C" w14:paraId="6E13D4B1" w14:textId="669F916F">
      <w:pPr>
        <w:ind w:left="360"/>
        <w:rPr>
          <w:sz w:val="24"/>
        </w:rPr>
      </w:pPr>
      <w:r w:rsidRPr="00B4583A">
        <w:rPr>
          <w:sz w:val="24"/>
        </w:rPr>
        <w:t xml:space="preserve">The ICC Termination Act of 1995 </w:t>
      </w:r>
      <w:r w:rsidRPr="00B4583A">
        <w:rPr>
          <w:color w:val="000000"/>
          <w:sz w:val="24"/>
        </w:rPr>
        <w:t>(ICCTA)</w:t>
      </w:r>
      <w:r>
        <w:rPr>
          <w:color w:val="000000"/>
          <w:sz w:val="24"/>
        </w:rPr>
        <w:t>, Public Law No. 104-88, 109 Stat. 803 (</w:t>
      </w:r>
      <w:r w:rsidR="002B2EFD">
        <w:rPr>
          <w:color w:val="000000"/>
          <w:sz w:val="24"/>
        </w:rPr>
        <w:t>Attachment C</w:t>
      </w:r>
      <w:r>
        <w:rPr>
          <w:color w:val="000000"/>
          <w:sz w:val="24"/>
        </w:rPr>
        <w:t>)</w:t>
      </w:r>
      <w:r w:rsidRPr="00B4583A">
        <w:rPr>
          <w:color w:val="000000"/>
          <w:sz w:val="24"/>
        </w:rPr>
        <w:t>,</w:t>
      </w:r>
      <w:r w:rsidRPr="00B4583A">
        <w:rPr>
          <w:sz w:val="24"/>
        </w:rPr>
        <w:t xml:space="preserve"> transferred responsibility for registration of foreign carriers from the former ICC to the </w:t>
      </w:r>
      <w:r w:rsidR="00D44509">
        <w:rPr>
          <w:sz w:val="24"/>
        </w:rPr>
        <w:t>Department of Transportation</w:t>
      </w:r>
      <w:r w:rsidR="00B80FCB">
        <w:rPr>
          <w:sz w:val="24"/>
        </w:rPr>
        <w:t xml:space="preserve"> (Surface Transportation Board) and Federal Motor Carrier Safety Administration (FMCSA</w:t>
      </w:r>
      <w:r w:rsidR="00AB4907">
        <w:rPr>
          <w:sz w:val="24"/>
        </w:rPr>
        <w:t xml:space="preserve"> or the </w:t>
      </w:r>
      <w:r w:rsidR="002242F1">
        <w:rPr>
          <w:sz w:val="24"/>
        </w:rPr>
        <w:t>a</w:t>
      </w:r>
      <w:r w:rsidR="00AB4907">
        <w:rPr>
          <w:sz w:val="24"/>
        </w:rPr>
        <w:t>gency</w:t>
      </w:r>
      <w:r w:rsidR="00B80FCB">
        <w:rPr>
          <w:sz w:val="24"/>
        </w:rPr>
        <w:t>).</w:t>
      </w:r>
    </w:p>
    <w:p w:rsidR="0064612D" w:rsidRPr="00B4583A" w:rsidP="00C8598C" w14:paraId="129B2D4A" w14:textId="77777777">
      <w:pPr>
        <w:ind w:left="360"/>
        <w:rPr>
          <w:color w:val="000000"/>
          <w:sz w:val="24"/>
        </w:rPr>
      </w:pPr>
    </w:p>
    <w:p w:rsidR="00BC3370" w:rsidP="00C8598C" w14:paraId="09D37D05" w14:textId="16526070">
      <w:pPr>
        <w:ind w:left="360"/>
        <w:rPr>
          <w:sz w:val="24"/>
        </w:rPr>
      </w:pPr>
      <w:r>
        <w:rPr>
          <w:sz w:val="24"/>
        </w:rPr>
        <w:t xml:space="preserve">At the same time, </w:t>
      </w:r>
      <w:r w:rsidRPr="102CE53A" w:rsidR="00ED5BA5">
        <w:rPr>
          <w:sz w:val="24"/>
        </w:rPr>
        <w:t>Congress adopted a</w:t>
      </w:r>
      <w:r w:rsidRPr="102CE53A" w:rsidR="002F7F7D">
        <w:rPr>
          <w:sz w:val="24"/>
        </w:rPr>
        <w:t xml:space="preserve"> comprehensive</w:t>
      </w:r>
      <w:r w:rsidRPr="102CE53A" w:rsidR="00ED5BA5">
        <w:rPr>
          <w:sz w:val="24"/>
        </w:rPr>
        <w:t xml:space="preserve"> licensing scheme for registering foreign (Mexico-based) motor carriers to operate across the Mexico-U</w:t>
      </w:r>
      <w:r w:rsidRPr="102CE53A" w:rsidR="007A1C18">
        <w:rPr>
          <w:sz w:val="24"/>
        </w:rPr>
        <w:t xml:space="preserve">nited </w:t>
      </w:r>
      <w:r w:rsidRPr="102CE53A" w:rsidR="00ED5BA5">
        <w:rPr>
          <w:sz w:val="24"/>
        </w:rPr>
        <w:t>S</w:t>
      </w:r>
      <w:r w:rsidRPr="102CE53A" w:rsidR="007A1C18">
        <w:rPr>
          <w:sz w:val="24"/>
        </w:rPr>
        <w:t>tates</w:t>
      </w:r>
      <w:r w:rsidRPr="102CE53A" w:rsidR="00ED5BA5">
        <w:rPr>
          <w:sz w:val="24"/>
        </w:rPr>
        <w:t xml:space="preserve"> border into the United States</w:t>
      </w:r>
      <w:r w:rsidRPr="102CE53A" w:rsidR="002F7F7D">
        <w:rPr>
          <w:sz w:val="24"/>
        </w:rPr>
        <w:t xml:space="preserve"> and for issuance of operating authority for these carriers</w:t>
      </w:r>
      <w:r w:rsidRPr="102CE53A" w:rsidR="00ED5BA5">
        <w:rPr>
          <w:sz w:val="24"/>
        </w:rPr>
        <w:t>, now carried out under the authority of 49 U.S.C. § 13902(c) by the FMCSA. This collection of information</w:t>
      </w:r>
      <w:r w:rsidRPr="102CE53A" w:rsidR="005C1A3F">
        <w:rPr>
          <w:sz w:val="24"/>
        </w:rPr>
        <w:t>,</w:t>
      </w:r>
      <w:r w:rsidRPr="102CE53A" w:rsidR="00ED5BA5">
        <w:rPr>
          <w:sz w:val="24"/>
        </w:rPr>
        <w:t xml:space="preserve"> required by § 13902(c) (Attachment </w:t>
      </w:r>
      <w:r w:rsidRPr="102CE53A" w:rsidR="002B2EFD">
        <w:rPr>
          <w:sz w:val="24"/>
        </w:rPr>
        <w:t>D</w:t>
      </w:r>
      <w:r w:rsidRPr="102CE53A" w:rsidR="00ED5BA5">
        <w:rPr>
          <w:sz w:val="24"/>
        </w:rPr>
        <w:t>) and 49 CFR p</w:t>
      </w:r>
      <w:r w:rsidRPr="102CE53A" w:rsidR="002D110B">
        <w:rPr>
          <w:sz w:val="24"/>
        </w:rPr>
        <w:t>art</w:t>
      </w:r>
      <w:r w:rsidRPr="102CE53A" w:rsidR="00ED5BA5">
        <w:rPr>
          <w:sz w:val="24"/>
        </w:rPr>
        <w:t xml:space="preserve"> 368</w:t>
      </w:r>
      <w:r w:rsidRPr="102CE53A" w:rsidR="005C1A3F">
        <w:rPr>
          <w:sz w:val="24"/>
        </w:rPr>
        <w:t>,</w:t>
      </w:r>
      <w:r w:rsidRPr="102CE53A" w:rsidR="00ED5BA5">
        <w:rPr>
          <w:sz w:val="24"/>
        </w:rPr>
        <w:t xml:space="preserve"> has ensured that applications filed by foreign (Mexico-based) motor carriers receive the same thorough review given to registration applications filed by U</w:t>
      </w:r>
      <w:r w:rsidRPr="102CE53A" w:rsidR="007A1C18">
        <w:rPr>
          <w:sz w:val="24"/>
        </w:rPr>
        <w:t>nited States</w:t>
      </w:r>
      <w:r w:rsidRPr="102CE53A" w:rsidR="00ED5BA5">
        <w:rPr>
          <w:sz w:val="24"/>
        </w:rPr>
        <w:t xml:space="preserve"> </w:t>
      </w:r>
      <w:r w:rsidRPr="102CE53A" w:rsidR="006350E1">
        <w:rPr>
          <w:sz w:val="24"/>
        </w:rPr>
        <w:t xml:space="preserve">and Canadian </w:t>
      </w:r>
      <w:r w:rsidRPr="102CE53A" w:rsidR="00ED5BA5">
        <w:rPr>
          <w:sz w:val="24"/>
        </w:rPr>
        <w:t xml:space="preserve">motor </w:t>
      </w:r>
      <w:r w:rsidRPr="102CE53A" w:rsidR="00A967B2">
        <w:rPr>
          <w:sz w:val="24"/>
        </w:rPr>
        <w:t>carriers.</w:t>
      </w:r>
      <w:r w:rsidRPr="102CE53A" w:rsidR="00A967B2">
        <w:rPr>
          <w:sz w:val="24"/>
          <w:vertAlign w:val="superscript"/>
        </w:rPr>
        <w:t>(</w:t>
      </w:r>
      <w:r>
        <w:rPr>
          <w:rStyle w:val="FootnoteReference"/>
          <w:sz w:val="24"/>
          <w:vertAlign w:val="superscript"/>
        </w:rPr>
        <w:footnoteReference w:id="3"/>
      </w:r>
      <w:r w:rsidRPr="102CE53A" w:rsidR="002D110B">
        <w:rPr>
          <w:sz w:val="24"/>
          <w:vertAlign w:val="superscript"/>
        </w:rPr>
        <w:t>)</w:t>
      </w:r>
      <w:r w:rsidRPr="102CE53A" w:rsidR="00ED5BA5">
        <w:rPr>
          <w:sz w:val="24"/>
        </w:rPr>
        <w:t xml:space="preserve"> </w:t>
      </w:r>
      <w:r w:rsidR="002F4731">
        <w:rPr>
          <w:sz w:val="24"/>
        </w:rPr>
        <w:t xml:space="preserve">The </w:t>
      </w:r>
      <w:r w:rsidRPr="102CE53A" w:rsidR="00ED5BA5">
        <w:rPr>
          <w:sz w:val="24"/>
        </w:rPr>
        <w:t>Form OP-</w:t>
      </w:r>
      <w:r w:rsidRPr="102CE53A" w:rsidR="00ED5BA5">
        <w:rPr>
          <w:sz w:val="24"/>
        </w:rPr>
        <w:t xml:space="preserve">2, the application form used by foreign (Mexico-based) </w:t>
      </w:r>
      <w:r w:rsidRPr="102CE53A" w:rsidR="00ED5BA5">
        <w:rPr>
          <w:color w:val="000000"/>
          <w:sz w:val="24"/>
        </w:rPr>
        <w:t>motor</w:t>
      </w:r>
      <w:r w:rsidRPr="102CE53A" w:rsidR="00ED5BA5">
        <w:rPr>
          <w:color w:val="FF0000"/>
          <w:sz w:val="24"/>
        </w:rPr>
        <w:t xml:space="preserve"> </w:t>
      </w:r>
      <w:r w:rsidRPr="102CE53A" w:rsidR="00ED5BA5">
        <w:rPr>
          <w:sz w:val="24"/>
        </w:rPr>
        <w:t>carriers, thus establishes continuing compliance with this statutory requirement.</w:t>
      </w:r>
    </w:p>
    <w:p w:rsidR="0064612D" w:rsidP="00C8598C" w14:paraId="555F1548" w14:textId="77777777">
      <w:pPr>
        <w:ind w:left="360"/>
        <w:rPr>
          <w:sz w:val="24"/>
        </w:rPr>
      </w:pPr>
    </w:p>
    <w:p w:rsidR="00403994" w:rsidP="00C8598C" w14:paraId="116FDFE4" w14:textId="6929EB47">
      <w:pPr>
        <w:ind w:left="360"/>
        <w:rPr>
          <w:sz w:val="24"/>
        </w:rPr>
      </w:pPr>
      <w:r>
        <w:rPr>
          <w:sz w:val="24"/>
        </w:rPr>
        <w:t xml:space="preserve">Currently, FMCSA is in the process of developing the </w:t>
      </w:r>
      <w:r w:rsidRPr="00EA21EC">
        <w:rPr>
          <w:sz w:val="24"/>
        </w:rPr>
        <w:t>“Unified Registration System</w:t>
      </w:r>
      <w:r>
        <w:rPr>
          <w:sz w:val="24"/>
        </w:rPr>
        <w:t xml:space="preserve"> (URS)</w:t>
      </w:r>
      <w:r w:rsidRPr="00EA21EC">
        <w:rPr>
          <w:sz w:val="24"/>
        </w:rPr>
        <w:t>,”</w:t>
      </w:r>
      <w:r>
        <w:rPr>
          <w:sz w:val="24"/>
        </w:rPr>
        <w:t xml:space="preserve"> which is a system developed to streamline FMCSA’s registration process. Th</w:t>
      </w:r>
      <w:r w:rsidR="005C25D3">
        <w:rPr>
          <w:sz w:val="24"/>
        </w:rPr>
        <w:t xml:space="preserve">is is </w:t>
      </w:r>
      <w:r>
        <w:rPr>
          <w:sz w:val="24"/>
        </w:rPr>
        <w:t xml:space="preserve">a result of the </w:t>
      </w:r>
      <w:r w:rsidRPr="00EA21EC">
        <w:rPr>
          <w:sz w:val="24"/>
        </w:rPr>
        <w:t xml:space="preserve">Final Rule titled “Unified Registration System,” (78 FR 52608) dated August 23, 2013, </w:t>
      </w:r>
      <w:r>
        <w:rPr>
          <w:sz w:val="24"/>
        </w:rPr>
        <w:t xml:space="preserve">which </w:t>
      </w:r>
      <w:r w:rsidRPr="00EA21EC">
        <w:rPr>
          <w:sz w:val="24"/>
        </w:rPr>
        <w:t xml:space="preserve">implemented statutory provisions for an online registration system for entities that are subject to FMCSA’s licensing, registration, and certification regulations (Attachment </w:t>
      </w:r>
      <w:r w:rsidR="0038793D">
        <w:rPr>
          <w:sz w:val="24"/>
        </w:rPr>
        <w:t>E</w:t>
      </w:r>
      <w:r w:rsidRPr="00EA21EC">
        <w:rPr>
          <w:sz w:val="24"/>
        </w:rPr>
        <w:t xml:space="preserve">). The </w:t>
      </w:r>
      <w:r>
        <w:rPr>
          <w:sz w:val="24"/>
        </w:rPr>
        <w:t xml:space="preserve">purpose of the </w:t>
      </w:r>
      <w:r w:rsidRPr="00EA21EC">
        <w:rPr>
          <w:sz w:val="24"/>
        </w:rPr>
        <w:t xml:space="preserve">URS </w:t>
      </w:r>
      <w:r>
        <w:rPr>
          <w:sz w:val="24"/>
        </w:rPr>
        <w:t>is to streamline</w:t>
      </w:r>
      <w:r w:rsidRPr="00EA21EC">
        <w:rPr>
          <w:sz w:val="24"/>
        </w:rPr>
        <w:t xml:space="preserve"> the</w:t>
      </w:r>
      <w:r w:rsidR="005C25D3">
        <w:rPr>
          <w:sz w:val="24"/>
        </w:rPr>
        <w:t xml:space="preserve"> registration process</w:t>
      </w:r>
      <w:r w:rsidR="009F6191">
        <w:rPr>
          <w:sz w:val="24"/>
        </w:rPr>
        <w:t xml:space="preserve"> </w:t>
      </w:r>
      <w:r>
        <w:rPr>
          <w:sz w:val="24"/>
        </w:rPr>
        <w:t xml:space="preserve">into one dynamic </w:t>
      </w:r>
      <w:r w:rsidR="005C25D3">
        <w:rPr>
          <w:sz w:val="24"/>
        </w:rPr>
        <w:t xml:space="preserve">online application </w:t>
      </w:r>
      <w:r>
        <w:rPr>
          <w:sz w:val="24"/>
        </w:rPr>
        <w:t>(</w:t>
      </w:r>
      <w:r w:rsidR="005C25D3">
        <w:rPr>
          <w:sz w:val="24"/>
        </w:rPr>
        <w:t xml:space="preserve">Form </w:t>
      </w:r>
      <w:r w:rsidRPr="00EA21EC">
        <w:rPr>
          <w:sz w:val="24"/>
        </w:rPr>
        <w:t>MCSA-1</w:t>
      </w:r>
      <w:r w:rsidR="005C25D3">
        <w:rPr>
          <w:sz w:val="24"/>
        </w:rPr>
        <w:t>,</w:t>
      </w:r>
      <w:r w:rsidRPr="33AA9883" w:rsidR="005C25D3">
        <w:rPr>
          <w:sz w:val="24"/>
        </w:rPr>
        <w:t xml:space="preserve"> “Unified Registration System, FMCSA Registration/Updates”</w:t>
      </w:r>
      <w:r>
        <w:rPr>
          <w:sz w:val="24"/>
        </w:rPr>
        <w:t xml:space="preserve">) </w:t>
      </w:r>
      <w:r w:rsidRPr="00EA21EC">
        <w:rPr>
          <w:sz w:val="24"/>
        </w:rPr>
        <w:t>and serve as a clearinghouse and repository of information</w:t>
      </w:r>
      <w:r>
        <w:rPr>
          <w:sz w:val="24"/>
        </w:rPr>
        <w:t xml:space="preserve"> for entities required to register with FMCSA.</w:t>
      </w:r>
    </w:p>
    <w:p w:rsidR="00A967B2" w:rsidRPr="00EA21EC" w:rsidP="00C8598C" w14:paraId="0833FA9B" w14:textId="77777777">
      <w:pPr>
        <w:ind w:left="360"/>
        <w:rPr>
          <w:sz w:val="24"/>
        </w:rPr>
      </w:pPr>
    </w:p>
    <w:p w:rsidR="00403994" w:rsidP="00C8598C" w14:paraId="0BECF4B7" w14:textId="70231CC0">
      <w:pPr>
        <w:ind w:left="360"/>
        <w:rPr>
          <w:sz w:val="24"/>
        </w:rPr>
      </w:pPr>
      <w:r w:rsidRPr="102CE53A">
        <w:rPr>
          <w:sz w:val="24"/>
        </w:rPr>
        <w:t xml:space="preserve">Previous to the development of the URS, </w:t>
      </w:r>
      <w:bookmarkStart w:id="3" w:name="_Hlk15475708"/>
      <w:r w:rsidRPr="102CE53A">
        <w:rPr>
          <w:sz w:val="24"/>
        </w:rPr>
        <w:t xml:space="preserve">in order to register with FMCSA or apply for additional authorities, applicants </w:t>
      </w:r>
      <w:r w:rsidRPr="102CE53A" w:rsidR="00183A42">
        <w:rPr>
          <w:sz w:val="24"/>
        </w:rPr>
        <w:t>submitted</w:t>
      </w:r>
      <w:r w:rsidRPr="102CE53A">
        <w:rPr>
          <w:sz w:val="24"/>
        </w:rPr>
        <w:t xml:space="preserve"> </w:t>
      </w:r>
      <w:r w:rsidR="002F4731">
        <w:rPr>
          <w:sz w:val="24"/>
        </w:rPr>
        <w:t xml:space="preserve">Form </w:t>
      </w:r>
      <w:r w:rsidRPr="102CE53A">
        <w:rPr>
          <w:sz w:val="24"/>
        </w:rPr>
        <w:t>OP-</w:t>
      </w:r>
      <w:r w:rsidRPr="102CE53A" w:rsidR="009F6191">
        <w:rPr>
          <w:sz w:val="24"/>
        </w:rPr>
        <w:t>2</w:t>
      </w:r>
      <w:r w:rsidRPr="102CE53A">
        <w:rPr>
          <w:sz w:val="24"/>
        </w:rPr>
        <w:t>.</w:t>
      </w:r>
      <w:r w:rsidRPr="102CE53A" w:rsidR="002D110B">
        <w:rPr>
          <w:sz w:val="24"/>
        </w:rPr>
        <w:t xml:space="preserve"> </w:t>
      </w:r>
      <w:r w:rsidRPr="102CE53A">
        <w:rPr>
          <w:sz w:val="24"/>
        </w:rPr>
        <w:t>Th</w:t>
      </w:r>
      <w:r w:rsidR="002F4731">
        <w:rPr>
          <w:sz w:val="24"/>
        </w:rPr>
        <w:t>is</w:t>
      </w:r>
      <w:r w:rsidRPr="102CE53A">
        <w:rPr>
          <w:sz w:val="24"/>
        </w:rPr>
        <w:t xml:space="preserve"> form </w:t>
      </w:r>
      <w:r w:rsidRPr="102CE53A" w:rsidR="004935C6">
        <w:rPr>
          <w:sz w:val="24"/>
        </w:rPr>
        <w:t>is</w:t>
      </w:r>
      <w:r w:rsidRPr="102CE53A">
        <w:rPr>
          <w:sz w:val="24"/>
        </w:rPr>
        <w:t xml:space="preserve"> available o</w:t>
      </w:r>
      <w:r w:rsidRPr="102CE53A" w:rsidR="002D110B">
        <w:rPr>
          <w:sz w:val="24"/>
        </w:rPr>
        <w:t>n</w:t>
      </w:r>
      <w:r w:rsidRPr="102CE53A">
        <w:rPr>
          <w:sz w:val="24"/>
        </w:rPr>
        <w:t xml:space="preserve"> FMCSA’s website.</w:t>
      </w:r>
      <w:r w:rsidRPr="102CE53A" w:rsidR="002D110B">
        <w:rPr>
          <w:sz w:val="24"/>
        </w:rPr>
        <w:t xml:space="preserve"> </w:t>
      </w:r>
      <w:r w:rsidRPr="102CE53A">
        <w:rPr>
          <w:sz w:val="24"/>
        </w:rPr>
        <w:t xml:space="preserve">Respondents </w:t>
      </w:r>
      <w:r w:rsidRPr="102CE53A" w:rsidR="00845D74">
        <w:rPr>
          <w:sz w:val="24"/>
        </w:rPr>
        <w:t>can</w:t>
      </w:r>
      <w:r w:rsidRPr="102CE53A">
        <w:rPr>
          <w:sz w:val="24"/>
        </w:rPr>
        <w:t xml:space="preserve"> print</w:t>
      </w:r>
      <w:r w:rsidRPr="102CE53A" w:rsidR="00845D74">
        <w:rPr>
          <w:sz w:val="24"/>
        </w:rPr>
        <w:t xml:space="preserve"> the form</w:t>
      </w:r>
      <w:r w:rsidRPr="102CE53A">
        <w:rPr>
          <w:sz w:val="24"/>
        </w:rPr>
        <w:t xml:space="preserve"> and mail </w:t>
      </w:r>
      <w:r w:rsidRPr="102CE53A" w:rsidR="18B65115">
        <w:rPr>
          <w:sz w:val="24"/>
        </w:rPr>
        <w:t>it</w:t>
      </w:r>
      <w:r w:rsidRPr="102CE53A" w:rsidR="0004289D">
        <w:rPr>
          <w:sz w:val="24"/>
        </w:rPr>
        <w:t xml:space="preserve"> back to </w:t>
      </w:r>
      <w:r w:rsidRPr="102CE53A" w:rsidR="002B1616">
        <w:rPr>
          <w:sz w:val="24"/>
        </w:rPr>
        <w:t>FMCSA or</w:t>
      </w:r>
      <w:r w:rsidRPr="102CE53A">
        <w:rPr>
          <w:sz w:val="24"/>
        </w:rPr>
        <w:t xml:space="preserve"> print</w:t>
      </w:r>
      <w:r w:rsidRPr="102CE53A" w:rsidR="0004289D">
        <w:rPr>
          <w:sz w:val="24"/>
        </w:rPr>
        <w:t xml:space="preserve"> the form an</w:t>
      </w:r>
      <w:r w:rsidRPr="102CE53A" w:rsidR="002D110B">
        <w:rPr>
          <w:sz w:val="24"/>
        </w:rPr>
        <w:t>d</w:t>
      </w:r>
      <w:r w:rsidRPr="102CE53A" w:rsidR="0004289D">
        <w:rPr>
          <w:sz w:val="24"/>
        </w:rPr>
        <w:t xml:space="preserve"> upload the </w:t>
      </w:r>
      <w:r w:rsidRPr="102CE53A">
        <w:rPr>
          <w:sz w:val="24"/>
        </w:rPr>
        <w:t>document</w:t>
      </w:r>
      <w:r w:rsidRPr="102CE53A" w:rsidR="0004289D">
        <w:rPr>
          <w:sz w:val="24"/>
        </w:rPr>
        <w:t>(</w:t>
      </w:r>
      <w:r w:rsidRPr="102CE53A">
        <w:rPr>
          <w:sz w:val="24"/>
        </w:rPr>
        <w:t>s</w:t>
      </w:r>
      <w:r w:rsidRPr="102CE53A" w:rsidR="0004289D">
        <w:rPr>
          <w:sz w:val="24"/>
        </w:rPr>
        <w:t>)</w:t>
      </w:r>
      <w:r w:rsidRPr="102CE53A">
        <w:rPr>
          <w:sz w:val="24"/>
        </w:rPr>
        <w:t xml:space="preserve"> via </w:t>
      </w:r>
      <w:r w:rsidRPr="102CE53A" w:rsidR="0004289D">
        <w:rPr>
          <w:sz w:val="24"/>
        </w:rPr>
        <w:t>email</w:t>
      </w:r>
      <w:r w:rsidRPr="102CE53A">
        <w:rPr>
          <w:sz w:val="24"/>
        </w:rPr>
        <w:t xml:space="preserve">. With the development of the URS, the goal </w:t>
      </w:r>
      <w:r w:rsidRPr="102CE53A" w:rsidR="1D972FE5">
        <w:rPr>
          <w:sz w:val="24"/>
        </w:rPr>
        <w:t xml:space="preserve">was </w:t>
      </w:r>
      <w:r w:rsidRPr="102CE53A">
        <w:rPr>
          <w:sz w:val="24"/>
        </w:rPr>
        <w:t xml:space="preserve">for </w:t>
      </w:r>
      <w:r w:rsidR="002F4731">
        <w:rPr>
          <w:sz w:val="24"/>
        </w:rPr>
        <w:t xml:space="preserve">Form </w:t>
      </w:r>
      <w:r w:rsidRPr="102CE53A">
        <w:rPr>
          <w:sz w:val="24"/>
        </w:rPr>
        <w:t>OP-</w:t>
      </w:r>
      <w:r w:rsidRPr="102CE53A" w:rsidR="00C12EAA">
        <w:rPr>
          <w:sz w:val="24"/>
        </w:rPr>
        <w:t>2</w:t>
      </w:r>
      <w:r w:rsidR="002F4731">
        <w:rPr>
          <w:sz w:val="24"/>
        </w:rPr>
        <w:t xml:space="preserve"> </w:t>
      </w:r>
      <w:r w:rsidRPr="102CE53A">
        <w:rPr>
          <w:sz w:val="24"/>
        </w:rPr>
        <w:t>to fold into one overarching form</w:t>
      </w:r>
      <w:r w:rsidR="002F4731">
        <w:rPr>
          <w:sz w:val="24"/>
        </w:rPr>
        <w:t>, Form</w:t>
      </w:r>
      <w:r w:rsidRPr="102CE53A">
        <w:rPr>
          <w:sz w:val="24"/>
        </w:rPr>
        <w:t xml:space="preserve"> MCSA-1. </w:t>
      </w:r>
      <w:r w:rsidRPr="102CE53A" w:rsidR="064158D1">
        <w:rPr>
          <w:sz w:val="24"/>
        </w:rPr>
        <w:t xml:space="preserve">With URS </w:t>
      </w:r>
      <w:r w:rsidRPr="102CE53A" w:rsidR="3534EECB">
        <w:rPr>
          <w:sz w:val="24"/>
        </w:rPr>
        <w:t>t</w:t>
      </w:r>
      <w:r w:rsidRPr="102CE53A">
        <w:rPr>
          <w:sz w:val="24"/>
        </w:rPr>
        <w:t xml:space="preserve">his form is accessed through </w:t>
      </w:r>
      <w:r w:rsidRPr="102CE53A" w:rsidR="0064612D">
        <w:rPr>
          <w:sz w:val="24"/>
        </w:rPr>
        <w:t>URS and</w:t>
      </w:r>
      <w:r w:rsidRPr="102CE53A">
        <w:rPr>
          <w:sz w:val="24"/>
        </w:rPr>
        <w:t xml:space="preserve"> is a dynamic form that is meant to be used by all motor carriers seeking authority or seeking to add to their existing authority, with the exception of form </w:t>
      </w:r>
      <w:bookmarkEnd w:id="3"/>
      <w:r w:rsidRPr="102CE53A">
        <w:rPr>
          <w:sz w:val="24"/>
        </w:rPr>
        <w:t>OP-1(MX).</w:t>
      </w:r>
    </w:p>
    <w:p w:rsidR="005C25D3" w:rsidRPr="00EA21EC" w:rsidP="00C8598C" w14:paraId="66AC4F92" w14:textId="77777777">
      <w:pPr>
        <w:ind w:left="360"/>
        <w:rPr>
          <w:sz w:val="24"/>
        </w:rPr>
      </w:pPr>
    </w:p>
    <w:p w:rsidR="005C25D3" w:rsidP="00C8598C" w14:paraId="69B080FD" w14:textId="7B35C06E">
      <w:pPr>
        <w:ind w:left="360"/>
        <w:rPr>
          <w:sz w:val="24"/>
        </w:rPr>
      </w:pPr>
      <w:r w:rsidRPr="33AA9883">
        <w:rPr>
          <w:sz w:val="24"/>
        </w:rPr>
        <w:t>In the implementation of the URS, FMCSA began a phased rollout in 2015. The first phase became effective on December 12, 2015. The first phase impacted only first-time applicants seeking an FMCSA-issued registration.</w:t>
      </w:r>
      <w:r w:rsidR="00081E14">
        <w:rPr>
          <w:sz w:val="24"/>
        </w:rPr>
        <w:t xml:space="preserve"> </w:t>
      </w:r>
      <w:r w:rsidRPr="102CE53A">
        <w:rPr>
          <w:sz w:val="24"/>
        </w:rPr>
        <w:t>FMCSA had planned subsequent URS rollout phases for existing registrants wishing to add additional authorities</w:t>
      </w:r>
      <w:r w:rsidRPr="102CE53A" w:rsidR="58362B07">
        <w:rPr>
          <w:sz w:val="24"/>
        </w:rPr>
        <w:t>.</w:t>
      </w:r>
      <w:r w:rsidRPr="102CE53A">
        <w:rPr>
          <w:sz w:val="24"/>
        </w:rPr>
        <w:t xml:space="preserve"> </w:t>
      </w:r>
      <w:r w:rsidRPr="102CE53A" w:rsidR="405041FD">
        <w:rPr>
          <w:sz w:val="24"/>
        </w:rPr>
        <w:t>H</w:t>
      </w:r>
      <w:r w:rsidRPr="102CE53A">
        <w:rPr>
          <w:sz w:val="24"/>
        </w:rPr>
        <w:t xml:space="preserve">owever, there were substantial delays, and subsequent phases have not been rolled out to date. As a result, on January 17, 2017, FMCSA issued a Final Rule titled “Unified Registration System; Suspension of Effectiveness,” which indefinitely suspended URS effectiveness dates for existing registrants (82 FR 5292) (Attachment </w:t>
      </w:r>
      <w:r w:rsidRPr="102CE53A" w:rsidR="0038793D">
        <w:rPr>
          <w:sz w:val="24"/>
        </w:rPr>
        <w:t>F</w:t>
      </w:r>
      <w:r w:rsidRPr="102CE53A">
        <w:rPr>
          <w:sz w:val="24"/>
        </w:rPr>
        <w:t>).</w:t>
      </w:r>
    </w:p>
    <w:p w:rsidR="005C25D3" w:rsidP="00C8598C" w14:paraId="14D9C98D" w14:textId="77777777">
      <w:pPr>
        <w:ind w:left="360"/>
        <w:rPr>
          <w:sz w:val="24"/>
        </w:rPr>
      </w:pPr>
    </w:p>
    <w:p w:rsidR="00403994" w:rsidP="00C8598C" w14:paraId="5351B6A4" w14:textId="5449215F">
      <w:pPr>
        <w:ind w:left="360"/>
        <w:rPr>
          <w:sz w:val="24"/>
        </w:rPr>
      </w:pPr>
      <w:r w:rsidRPr="102CE53A">
        <w:rPr>
          <w:sz w:val="24"/>
        </w:rPr>
        <w:t xml:space="preserve">Given the delay in the URS system subsequent phases and resulting rule, FMCSA continues to accept </w:t>
      </w:r>
      <w:r w:rsidR="002F4731">
        <w:rPr>
          <w:sz w:val="24"/>
        </w:rPr>
        <w:t>F</w:t>
      </w:r>
      <w:r w:rsidRPr="102CE53A">
        <w:rPr>
          <w:sz w:val="24"/>
        </w:rPr>
        <w:t>orm</w:t>
      </w:r>
      <w:r w:rsidRPr="102CE53A" w:rsidR="009A32C9">
        <w:rPr>
          <w:sz w:val="24"/>
        </w:rPr>
        <w:t xml:space="preserve"> </w:t>
      </w:r>
      <w:r w:rsidRPr="102CE53A">
        <w:rPr>
          <w:sz w:val="24"/>
        </w:rPr>
        <w:t>OP-</w:t>
      </w:r>
      <w:r w:rsidRPr="102CE53A" w:rsidR="009A32C9">
        <w:rPr>
          <w:sz w:val="24"/>
        </w:rPr>
        <w:t>2</w:t>
      </w:r>
      <w:r w:rsidRPr="102CE53A" w:rsidR="00767D08">
        <w:rPr>
          <w:sz w:val="24"/>
        </w:rPr>
        <w:t xml:space="preserve"> for existing </w:t>
      </w:r>
      <w:r w:rsidRPr="102CE53A" w:rsidR="00AF247E">
        <w:rPr>
          <w:sz w:val="24"/>
        </w:rPr>
        <w:t>applicants</w:t>
      </w:r>
      <w:r w:rsidR="002B1616">
        <w:rPr>
          <w:sz w:val="24"/>
        </w:rPr>
        <w:t xml:space="preserve"> with updates to information</w:t>
      </w:r>
      <w:r w:rsidRPr="102CE53A" w:rsidR="00AF247E">
        <w:rPr>
          <w:sz w:val="24"/>
        </w:rPr>
        <w:t xml:space="preserve">. </w:t>
      </w:r>
    </w:p>
    <w:p w:rsidR="005C25D3" w:rsidP="00C8598C" w14:paraId="08A89814" w14:textId="77777777">
      <w:pPr>
        <w:ind w:left="360"/>
        <w:rPr>
          <w:sz w:val="24"/>
        </w:rPr>
      </w:pPr>
    </w:p>
    <w:p w:rsidR="00BC3370" w:rsidP="00C8598C" w14:paraId="00D885F4" w14:textId="719E0428">
      <w:pPr>
        <w:ind w:left="360"/>
        <w:rPr>
          <w:sz w:val="24"/>
        </w:rPr>
      </w:pPr>
      <w:r w:rsidRPr="00B4583A">
        <w:rPr>
          <w:sz w:val="24"/>
        </w:rPr>
        <w:t>This information collection supports the DOT</w:t>
      </w:r>
      <w:r>
        <w:rPr>
          <w:sz w:val="24"/>
        </w:rPr>
        <w:t>’s</w:t>
      </w:r>
      <w:r w:rsidRPr="00B4583A">
        <w:rPr>
          <w:sz w:val="24"/>
        </w:rPr>
        <w:t xml:space="preserve"> Strategic Goal of Safety by </w:t>
      </w:r>
      <w:r w:rsidR="00405B70">
        <w:rPr>
          <w:sz w:val="24"/>
        </w:rPr>
        <w:t>monitoring</w:t>
      </w:r>
      <w:r w:rsidRPr="00B4583A">
        <w:rPr>
          <w:sz w:val="24"/>
        </w:rPr>
        <w:t xml:space="preserve"> foreign </w:t>
      </w:r>
      <w:r w:rsidR="002D110B">
        <w:rPr>
          <w:sz w:val="24"/>
        </w:rPr>
        <w:t>(</w:t>
      </w:r>
      <w:r>
        <w:rPr>
          <w:sz w:val="24"/>
        </w:rPr>
        <w:t>Mexico-based</w:t>
      </w:r>
      <w:r w:rsidR="002D110B">
        <w:rPr>
          <w:sz w:val="24"/>
        </w:rPr>
        <w:t>)</w:t>
      </w:r>
      <w:r>
        <w:rPr>
          <w:sz w:val="24"/>
        </w:rPr>
        <w:t xml:space="preserve"> </w:t>
      </w:r>
      <w:r w:rsidRPr="00B4583A">
        <w:rPr>
          <w:sz w:val="24"/>
        </w:rPr>
        <w:t>motor carriers to conduct</w:t>
      </w:r>
      <w:r w:rsidR="00405B70">
        <w:rPr>
          <w:sz w:val="24"/>
        </w:rPr>
        <w:t>ing</w:t>
      </w:r>
      <w:r w:rsidRPr="00B4583A">
        <w:rPr>
          <w:sz w:val="24"/>
        </w:rPr>
        <w:t xml:space="preserve"> operations in the United States</w:t>
      </w:r>
      <w:r w:rsidR="002452D4">
        <w:rPr>
          <w:sz w:val="24"/>
        </w:rPr>
        <w:t>.</w:t>
      </w:r>
    </w:p>
    <w:p w:rsidR="005C25D3" w:rsidP="00501140" w14:paraId="56126ED6" w14:textId="385E8F2E">
      <w:pPr>
        <w:rPr>
          <w:sz w:val="24"/>
        </w:rPr>
      </w:pPr>
    </w:p>
    <w:p w:rsidR="00ED5BA5" w:rsidRPr="00B4583A" w:rsidP="00501140" w14:paraId="0D9782FD" w14:textId="335152D0">
      <w:pPr>
        <w:pStyle w:val="Heading2"/>
        <w:spacing w:before="0" w:after="0"/>
      </w:pPr>
      <w:r>
        <w:t xml:space="preserve">HOW, BY WHOM, AND FOR WHAT PURPOSE IS THE INFORMATION </w:t>
      </w:r>
      <w:r w:rsidR="00F401CA">
        <w:t>USED</w:t>
      </w:r>
    </w:p>
    <w:p w:rsidR="005C25D3" w:rsidP="00C8598C" w14:paraId="0130A2A7" w14:textId="77777777">
      <w:pPr>
        <w:ind w:left="360"/>
        <w:rPr>
          <w:sz w:val="24"/>
        </w:rPr>
      </w:pPr>
    </w:p>
    <w:p w:rsidR="00BC3370" w:rsidP="722AE087" w14:paraId="0888D0DF" w14:textId="3DD01615">
      <w:pPr>
        <w:ind w:left="360"/>
        <w:rPr>
          <w:sz w:val="24"/>
        </w:rPr>
      </w:pPr>
      <w:r w:rsidRPr="722AE087">
        <w:rPr>
          <w:sz w:val="24"/>
        </w:rPr>
        <w:t xml:space="preserve">Data </w:t>
      </w:r>
      <w:r w:rsidRPr="722AE087" w:rsidR="698FB66F">
        <w:rPr>
          <w:sz w:val="24"/>
        </w:rPr>
        <w:t>received from</w:t>
      </w:r>
      <w:r w:rsidRPr="722AE087" w:rsidR="00CD21A1">
        <w:rPr>
          <w:sz w:val="24"/>
        </w:rPr>
        <w:t xml:space="preserve"> existing applica</w:t>
      </w:r>
      <w:r w:rsidRPr="722AE087" w:rsidR="437402A2">
        <w:rPr>
          <w:sz w:val="24"/>
        </w:rPr>
        <w:t>n</w:t>
      </w:r>
      <w:r w:rsidRPr="722AE087" w:rsidR="000F24CD">
        <w:rPr>
          <w:sz w:val="24"/>
        </w:rPr>
        <w:t>ts</w:t>
      </w:r>
      <w:r w:rsidRPr="722AE087">
        <w:rPr>
          <w:sz w:val="24"/>
        </w:rPr>
        <w:t xml:space="preserve"> provide the FMCSA with </w:t>
      </w:r>
      <w:r w:rsidRPr="722AE087" w:rsidR="35C32326">
        <w:rPr>
          <w:sz w:val="24"/>
        </w:rPr>
        <w:t>information</w:t>
      </w:r>
      <w:r w:rsidRPr="722AE087">
        <w:rPr>
          <w:sz w:val="24"/>
        </w:rPr>
        <w:t xml:space="preserve"> to assess the foreign (Mexico-based) motor carrier’s safety program and its ability to comply with</w:t>
      </w:r>
      <w:r w:rsidRPr="722AE087" w:rsidR="007A1C18">
        <w:rPr>
          <w:sz w:val="24"/>
        </w:rPr>
        <w:t xml:space="preserve"> the</w:t>
      </w:r>
      <w:r w:rsidRPr="722AE087">
        <w:rPr>
          <w:sz w:val="24"/>
        </w:rPr>
        <w:t xml:space="preserve"> safety </w:t>
      </w:r>
      <w:r w:rsidRPr="722AE087" w:rsidR="37CB9EBB">
        <w:rPr>
          <w:sz w:val="24"/>
        </w:rPr>
        <w:t>regulation</w:t>
      </w:r>
      <w:r w:rsidRPr="722AE087" w:rsidR="3A3388AB">
        <w:rPr>
          <w:sz w:val="24"/>
        </w:rPr>
        <w:t>s</w:t>
      </w:r>
      <w:r w:rsidRPr="722AE087" w:rsidR="007A1C18">
        <w:rPr>
          <w:sz w:val="24"/>
        </w:rPr>
        <w:t xml:space="preserve"> of the </w:t>
      </w:r>
      <w:r w:rsidRPr="722AE087" w:rsidR="2B7168F5">
        <w:rPr>
          <w:sz w:val="24"/>
        </w:rPr>
        <w:t>FMCSA</w:t>
      </w:r>
      <w:r w:rsidRPr="722AE087">
        <w:rPr>
          <w:sz w:val="24"/>
        </w:rPr>
        <w:t xml:space="preserve">. It also provides information concerning changes in </w:t>
      </w:r>
      <w:r w:rsidRPr="722AE087" w:rsidR="5CFDA090">
        <w:rPr>
          <w:sz w:val="24"/>
        </w:rPr>
        <w:t>the</w:t>
      </w:r>
      <w:r w:rsidRPr="722AE087">
        <w:rPr>
          <w:sz w:val="24"/>
        </w:rPr>
        <w:t xml:space="preserve"> carrie</w:t>
      </w:r>
      <w:r w:rsidRPr="722AE087">
        <w:rPr>
          <w:color w:val="000000" w:themeColor="text1"/>
          <w:sz w:val="24"/>
        </w:rPr>
        <w:t>r’s</w:t>
      </w:r>
      <w:r w:rsidRPr="722AE087">
        <w:rPr>
          <w:sz w:val="24"/>
        </w:rPr>
        <w:t xml:space="preserve"> operating status</w:t>
      </w:r>
      <w:r w:rsidRPr="722AE087" w:rsidR="7137745C">
        <w:rPr>
          <w:sz w:val="24"/>
        </w:rPr>
        <w:t>,</w:t>
      </w:r>
      <w:r w:rsidRPr="722AE087">
        <w:rPr>
          <w:sz w:val="24"/>
        </w:rPr>
        <w:t xml:space="preserve"> </w:t>
      </w:r>
      <w:r w:rsidRPr="722AE087" w:rsidR="059C071E">
        <w:rPr>
          <w:sz w:val="24"/>
        </w:rPr>
        <w:t>which</w:t>
      </w:r>
      <w:r w:rsidRPr="722AE087" w:rsidR="002B1616">
        <w:rPr>
          <w:sz w:val="24"/>
        </w:rPr>
        <w:t xml:space="preserve"> </w:t>
      </w:r>
      <w:r w:rsidRPr="722AE087">
        <w:rPr>
          <w:sz w:val="24"/>
        </w:rPr>
        <w:t xml:space="preserve">enables the </w:t>
      </w:r>
      <w:r w:rsidRPr="722AE087" w:rsidR="002242F1">
        <w:rPr>
          <w:sz w:val="24"/>
        </w:rPr>
        <w:t>a</w:t>
      </w:r>
      <w:r w:rsidRPr="722AE087">
        <w:rPr>
          <w:sz w:val="24"/>
        </w:rPr>
        <w:t>gency to maintain an accurate census of registered carriers.</w:t>
      </w:r>
    </w:p>
    <w:p w:rsidR="00ED5BA5" w:rsidP="00501140" w14:paraId="03C1B965" w14:textId="12B63382">
      <w:pPr>
        <w:pStyle w:val="Heading2"/>
        <w:spacing w:before="0" w:after="0"/>
      </w:pPr>
      <w:r w:rsidRPr="0008607E">
        <w:t>EXTENT OF AUTOMATED INFORMATION COLLECTION</w:t>
      </w:r>
    </w:p>
    <w:p w:rsidR="005C25D3" w:rsidRPr="005C25D3" w:rsidP="00C8598C" w14:paraId="72E2CE80" w14:textId="77777777">
      <w:pPr>
        <w:ind w:left="360"/>
      </w:pPr>
    </w:p>
    <w:p w:rsidR="000970C0" w:rsidP="722AE087" w14:paraId="39F20044" w14:textId="5E73D2A4">
      <w:pPr>
        <w:ind w:left="360"/>
        <w:rPr>
          <w:sz w:val="24"/>
        </w:rPr>
      </w:pPr>
      <w:r w:rsidRPr="722AE087">
        <w:rPr>
          <w:color w:val="000000" w:themeColor="text1"/>
          <w:sz w:val="24"/>
        </w:rPr>
        <w:t xml:space="preserve">The </w:t>
      </w:r>
      <w:bookmarkStart w:id="4" w:name="OLE_LINK2"/>
      <w:r w:rsidRPr="722AE087">
        <w:rPr>
          <w:color w:val="000000" w:themeColor="text1"/>
          <w:sz w:val="24"/>
        </w:rPr>
        <w:t>Government Paperwork Elimination Act</w:t>
      </w:r>
      <w:bookmarkEnd w:id="4"/>
      <w:r w:rsidRPr="722AE087">
        <w:rPr>
          <w:color w:val="000000" w:themeColor="text1"/>
          <w:sz w:val="24"/>
        </w:rPr>
        <w:t xml:space="preserve"> (GPEA), Public Law 105-277 (October 21, </w:t>
      </w:r>
      <w:r w:rsidRPr="722AE087">
        <w:rPr>
          <w:color w:val="000000" w:themeColor="text1"/>
          <w:sz w:val="24"/>
        </w:rPr>
        <w:t>1998), requires agencies to provide for the option of electronic submission of information and the use of electronic signatures, when practicable.</w:t>
      </w:r>
      <w:r w:rsidR="00081E14">
        <w:rPr>
          <w:sz w:val="24"/>
        </w:rPr>
        <w:t xml:space="preserve"> Form OP-2 can be submitted electronically to FMCSA from </w:t>
      </w:r>
      <w:r w:rsidRPr="00081E14" w:rsidR="00081E14">
        <w:rPr>
          <w:sz w:val="24"/>
        </w:rPr>
        <w:t>https://www.fmcsa.dot.gov/registration/ask-fmcsa</w:t>
      </w:r>
      <w:r w:rsidR="00081E14">
        <w:rPr>
          <w:sz w:val="24"/>
        </w:rPr>
        <w:t xml:space="preserve"> via email.</w:t>
      </w:r>
    </w:p>
    <w:p w:rsidR="005C25D3" w:rsidP="722AE087" w14:paraId="57034DC0" w14:textId="34CAA7E0">
      <w:pPr>
        <w:rPr>
          <w:sz w:val="24"/>
        </w:rPr>
      </w:pPr>
    </w:p>
    <w:p w:rsidR="00ED5BA5" w:rsidRPr="00B4583A" w:rsidP="00501140" w14:paraId="1401051D" w14:textId="4908C38C">
      <w:pPr>
        <w:pStyle w:val="Heading2"/>
        <w:spacing w:before="0" w:after="0"/>
      </w:pPr>
      <w:r w:rsidRPr="0008607E">
        <w:t>EFFORTS TO IDENTIFY DUPLICATION</w:t>
      </w:r>
    </w:p>
    <w:p w:rsidR="005C25D3" w:rsidP="00C8598C" w14:paraId="46661EDC" w14:textId="77777777">
      <w:pPr>
        <w:ind w:left="360"/>
        <w:rPr>
          <w:sz w:val="24"/>
        </w:rPr>
      </w:pPr>
    </w:p>
    <w:p w:rsidR="00BC3370" w:rsidP="00C8598C" w14:paraId="062DE196" w14:textId="4B984CAC">
      <w:pPr>
        <w:ind w:left="360"/>
        <w:rPr>
          <w:sz w:val="24"/>
        </w:rPr>
      </w:pPr>
      <w:r w:rsidRPr="00B4583A">
        <w:rPr>
          <w:sz w:val="24"/>
        </w:rPr>
        <w:t>There are no similar filings made with any other Federal agency or within the D</w:t>
      </w:r>
      <w:r w:rsidR="00E357F4">
        <w:rPr>
          <w:sz w:val="24"/>
        </w:rPr>
        <w:t>OT</w:t>
      </w:r>
      <w:r w:rsidRPr="00B4583A">
        <w:rPr>
          <w:sz w:val="24"/>
        </w:rPr>
        <w:t xml:space="preserve"> </w:t>
      </w:r>
      <w:r w:rsidRPr="00B4583A">
        <w:rPr>
          <w:color w:val="000000"/>
          <w:sz w:val="24"/>
        </w:rPr>
        <w:t>that</w:t>
      </w:r>
      <w:r w:rsidRPr="00B4583A">
        <w:rPr>
          <w:color w:val="FF0000"/>
          <w:sz w:val="24"/>
        </w:rPr>
        <w:t xml:space="preserve"> </w:t>
      </w:r>
      <w:r w:rsidRPr="00B4583A">
        <w:rPr>
          <w:sz w:val="24"/>
        </w:rPr>
        <w:t>would result in duplication of this information.</w:t>
      </w:r>
    </w:p>
    <w:p w:rsidR="005C25D3" w:rsidP="00501140" w14:paraId="41C6D558" w14:textId="03F37B5F">
      <w:pPr>
        <w:rPr>
          <w:sz w:val="24"/>
        </w:rPr>
      </w:pPr>
    </w:p>
    <w:p w:rsidR="00ED5BA5" w:rsidRPr="00ED0ABD" w:rsidP="00501140" w14:paraId="2933E5E0" w14:textId="77777777">
      <w:pPr>
        <w:pStyle w:val="Heading2"/>
        <w:spacing w:before="0" w:after="0"/>
      </w:pPr>
      <w:r>
        <w:t>EFFORTS TO MINIMIZE THE BURDEN ON SMALL BUSINESSES</w:t>
      </w:r>
    </w:p>
    <w:p w:rsidR="005C25D3" w:rsidP="00A967B2" w14:paraId="2ADE4675" w14:textId="77777777">
      <w:pPr>
        <w:ind w:left="360"/>
        <w:rPr>
          <w:sz w:val="24"/>
        </w:rPr>
      </w:pPr>
    </w:p>
    <w:p w:rsidR="00BC3370" w:rsidP="00A967B2" w14:paraId="4706868F" w14:textId="0BF87EFA">
      <w:pPr>
        <w:ind w:left="360"/>
        <w:rPr>
          <w:sz w:val="24"/>
        </w:rPr>
      </w:pPr>
      <w:r>
        <w:rPr>
          <w:sz w:val="24"/>
        </w:rPr>
        <w:t>The p</w:t>
      </w:r>
      <w:r w:rsidRPr="102CE53A" w:rsidR="00ED5BA5">
        <w:rPr>
          <w:sz w:val="24"/>
        </w:rPr>
        <w:t xml:space="preserve">aperwork burdens associated with </w:t>
      </w:r>
      <w:r w:rsidRPr="102CE53A" w:rsidR="00ED5BA5">
        <w:rPr>
          <w:color w:val="000000" w:themeColor="text1"/>
          <w:sz w:val="24"/>
        </w:rPr>
        <w:t xml:space="preserve">completing </w:t>
      </w:r>
      <w:r w:rsidRPr="102CE53A" w:rsidR="00ED5BA5">
        <w:rPr>
          <w:sz w:val="24"/>
        </w:rPr>
        <w:t xml:space="preserve">Form OP-2 </w:t>
      </w:r>
      <w:r w:rsidRPr="102CE53A" w:rsidR="004F1949">
        <w:rPr>
          <w:sz w:val="24"/>
        </w:rPr>
        <w:t xml:space="preserve">for existing applicants </w:t>
      </w:r>
      <w:r>
        <w:rPr>
          <w:sz w:val="24"/>
        </w:rPr>
        <w:t xml:space="preserve">are minimal </w:t>
      </w:r>
      <w:r w:rsidR="00E05C78">
        <w:rPr>
          <w:sz w:val="24"/>
        </w:rPr>
        <w:t>for small businesses</w:t>
      </w:r>
      <w:r w:rsidRPr="102CE53A" w:rsidR="00ED5BA5">
        <w:rPr>
          <w:sz w:val="24"/>
        </w:rPr>
        <w:t>.</w:t>
      </w:r>
      <w:r w:rsidRPr="102CE53A" w:rsidR="002D110B">
        <w:rPr>
          <w:sz w:val="24"/>
        </w:rPr>
        <w:t xml:space="preserve"> </w:t>
      </w:r>
      <w:r w:rsidRPr="102CE53A" w:rsidR="00ED5BA5">
        <w:rPr>
          <w:sz w:val="24"/>
        </w:rPr>
        <w:t xml:space="preserve">Each </w:t>
      </w:r>
      <w:r w:rsidRPr="102CE53A" w:rsidR="008C13B8">
        <w:rPr>
          <w:sz w:val="24"/>
        </w:rPr>
        <w:t xml:space="preserve">existing </w:t>
      </w:r>
      <w:r w:rsidRPr="102CE53A" w:rsidR="00ED5BA5">
        <w:rPr>
          <w:sz w:val="24"/>
        </w:rPr>
        <w:t>applicant is required to demonstrate its willingness and ability to comply with applicable safety regulations.</w:t>
      </w:r>
      <w:r w:rsidRPr="102CE53A" w:rsidR="002D110B">
        <w:rPr>
          <w:sz w:val="24"/>
        </w:rPr>
        <w:t xml:space="preserve"> </w:t>
      </w:r>
      <w:r w:rsidRPr="102CE53A" w:rsidR="00ED5BA5">
        <w:rPr>
          <w:sz w:val="24"/>
        </w:rPr>
        <w:t xml:space="preserve">It is essential to capture the population of carriers and to make certain the information is current. The requested information cannot be obtained from any other source, and FMCSA is requesting no more information than is absolutely necessary to </w:t>
      </w:r>
      <w:r w:rsidRPr="102CE53A" w:rsidR="009B0B97">
        <w:rPr>
          <w:sz w:val="24"/>
        </w:rPr>
        <w:t>e</w:t>
      </w:r>
      <w:r w:rsidRPr="102CE53A" w:rsidR="00ED5BA5">
        <w:rPr>
          <w:sz w:val="24"/>
        </w:rPr>
        <w:t xml:space="preserve">nsure compliance with applicable safety regulations. </w:t>
      </w:r>
      <w:r w:rsidRPr="102CE53A" w:rsidR="00C06F58">
        <w:rPr>
          <w:sz w:val="24"/>
        </w:rPr>
        <w:t>Existing registrant</w:t>
      </w:r>
      <w:r w:rsidRPr="102CE53A" w:rsidR="002D110B">
        <w:rPr>
          <w:sz w:val="24"/>
        </w:rPr>
        <w:t>s</w:t>
      </w:r>
      <w:r w:rsidRPr="102CE53A" w:rsidR="00C06F58">
        <w:rPr>
          <w:sz w:val="24"/>
        </w:rPr>
        <w:t xml:space="preserve"> may use </w:t>
      </w:r>
      <w:r w:rsidRPr="102CE53A" w:rsidR="005B1FDF">
        <w:rPr>
          <w:sz w:val="24"/>
        </w:rPr>
        <w:t>F</w:t>
      </w:r>
      <w:r w:rsidRPr="102CE53A" w:rsidR="00C06F58">
        <w:rPr>
          <w:sz w:val="24"/>
        </w:rPr>
        <w:t xml:space="preserve">orm </w:t>
      </w:r>
      <w:r w:rsidRPr="102CE53A" w:rsidR="005B1FDF">
        <w:rPr>
          <w:sz w:val="24"/>
        </w:rPr>
        <w:t xml:space="preserve">OP-2 when </w:t>
      </w:r>
      <w:r w:rsidRPr="102CE53A" w:rsidR="00ED5BA5">
        <w:rPr>
          <w:sz w:val="24"/>
        </w:rPr>
        <w:t>name or address changes</w:t>
      </w:r>
      <w:r w:rsidRPr="102CE53A" w:rsidR="005B1FDF">
        <w:rPr>
          <w:sz w:val="24"/>
        </w:rPr>
        <w:t xml:space="preserve"> have been made</w:t>
      </w:r>
      <w:r w:rsidRPr="102CE53A" w:rsidR="00ED5BA5">
        <w:rPr>
          <w:sz w:val="24"/>
        </w:rPr>
        <w:t>.</w:t>
      </w:r>
      <w:r w:rsidRPr="102CE53A" w:rsidR="002D110B">
        <w:rPr>
          <w:sz w:val="24"/>
        </w:rPr>
        <w:t xml:space="preserve"> </w:t>
      </w:r>
      <w:r w:rsidRPr="102CE53A" w:rsidR="00ED5BA5">
        <w:rPr>
          <w:sz w:val="24"/>
        </w:rPr>
        <w:t xml:space="preserve">Updates </w:t>
      </w:r>
      <w:r w:rsidRPr="102CE53A" w:rsidR="005B1FDF">
        <w:rPr>
          <w:sz w:val="24"/>
        </w:rPr>
        <w:t xml:space="preserve">may also be made </w:t>
      </w:r>
      <w:r w:rsidRPr="102CE53A" w:rsidR="00ED5BA5">
        <w:rPr>
          <w:sz w:val="24"/>
        </w:rPr>
        <w:t xml:space="preserve">to their location and operating status </w:t>
      </w:r>
      <w:r w:rsidRPr="102CE53A" w:rsidR="7A1474DA">
        <w:rPr>
          <w:sz w:val="24"/>
        </w:rPr>
        <w:t>as</w:t>
      </w:r>
      <w:r w:rsidRPr="102CE53A" w:rsidR="00ED5BA5">
        <w:rPr>
          <w:sz w:val="24"/>
        </w:rPr>
        <w:t xml:space="preserve"> circumstances</w:t>
      </w:r>
      <w:r w:rsidRPr="102CE53A" w:rsidR="00864036">
        <w:rPr>
          <w:sz w:val="24"/>
        </w:rPr>
        <w:t xml:space="preserve"> </w:t>
      </w:r>
      <w:r w:rsidRPr="102CE53A" w:rsidR="00ED5BA5">
        <w:rPr>
          <w:sz w:val="24"/>
        </w:rPr>
        <w:t>warrant</w:t>
      </w:r>
      <w:r w:rsidRPr="102CE53A" w:rsidR="00864036">
        <w:rPr>
          <w:sz w:val="24"/>
        </w:rPr>
        <w:t>ed</w:t>
      </w:r>
      <w:r w:rsidRPr="102CE53A" w:rsidR="00ED5BA5">
        <w:rPr>
          <w:sz w:val="24"/>
        </w:rPr>
        <w:t>.</w:t>
      </w:r>
    </w:p>
    <w:p w:rsidR="005C25D3" w:rsidP="00501140" w14:paraId="4BB10D80" w14:textId="625FD21F">
      <w:pPr>
        <w:rPr>
          <w:sz w:val="24"/>
        </w:rPr>
      </w:pPr>
    </w:p>
    <w:p w:rsidR="00ED5BA5" w:rsidRPr="00B4583A" w:rsidP="00501140" w14:paraId="60650107" w14:textId="77777777">
      <w:pPr>
        <w:pStyle w:val="Heading2"/>
        <w:spacing w:before="0" w:after="0"/>
      </w:pPr>
      <w:r w:rsidRPr="0008607E">
        <w:t>IMPACT OF LESS FREQUENT COLLECTION OF INFORMATION</w:t>
      </w:r>
      <w:r>
        <w:t xml:space="preserve"> </w:t>
      </w:r>
    </w:p>
    <w:p w:rsidR="005C25D3" w:rsidP="00A967B2" w14:paraId="629327B8" w14:textId="77777777">
      <w:pPr>
        <w:ind w:left="360"/>
        <w:rPr>
          <w:sz w:val="24"/>
        </w:rPr>
      </w:pPr>
    </w:p>
    <w:p w:rsidR="00BC3370" w:rsidP="00A967B2" w14:paraId="1DE544A8" w14:textId="5AD5F5F9">
      <w:pPr>
        <w:ind w:left="360"/>
        <w:rPr>
          <w:sz w:val="24"/>
        </w:rPr>
      </w:pPr>
      <w:r>
        <w:rPr>
          <w:sz w:val="24"/>
        </w:rPr>
        <w:t xml:space="preserve">The form is filed on an “as needed” basis. </w:t>
      </w:r>
      <w:r w:rsidRPr="102CE53A" w:rsidR="00ED5BA5">
        <w:rPr>
          <w:sz w:val="24"/>
        </w:rPr>
        <w:t xml:space="preserve">Foreign (Mexico-based) motor carriers desiring to </w:t>
      </w:r>
      <w:r w:rsidRPr="102CE53A" w:rsidR="00887DE5">
        <w:rPr>
          <w:sz w:val="24"/>
        </w:rPr>
        <w:t xml:space="preserve">update their </w:t>
      </w:r>
      <w:r w:rsidRPr="102CE53A" w:rsidR="00852D7D">
        <w:rPr>
          <w:sz w:val="24"/>
        </w:rPr>
        <w:t>c</w:t>
      </w:r>
      <w:r w:rsidRPr="102CE53A" w:rsidR="00ED5BA5">
        <w:rPr>
          <w:sz w:val="24"/>
        </w:rPr>
        <w:t xml:space="preserve">ertificate of </w:t>
      </w:r>
      <w:r w:rsidRPr="102CE53A" w:rsidR="00852D7D">
        <w:rPr>
          <w:sz w:val="24"/>
        </w:rPr>
        <w:t>r</w:t>
      </w:r>
      <w:r w:rsidRPr="102CE53A" w:rsidR="00ED5BA5">
        <w:rPr>
          <w:sz w:val="24"/>
        </w:rPr>
        <w:t>egistration to operate across the Mexico/United States international boundary line must file an application, Form OP-2, and comply with certain other prescribed requirements before being granted authority to conduct operations in the United States.</w:t>
      </w:r>
      <w:r w:rsidRPr="102CE53A" w:rsidR="002D110B">
        <w:rPr>
          <w:sz w:val="24"/>
        </w:rPr>
        <w:t xml:space="preserve"> </w:t>
      </w:r>
      <w:r w:rsidRPr="102CE53A" w:rsidR="00ED5BA5">
        <w:rPr>
          <w:sz w:val="24"/>
        </w:rPr>
        <w:t>Once the certificate of registration is issued, it remains in effect until the authority to operate is revoked voluntarily, at the request of the motor carrier, or unless the FMCSA revokes the authority involuntarily, for cause.</w:t>
      </w:r>
    </w:p>
    <w:p w:rsidR="005C25D3" w:rsidP="00501140" w14:paraId="0C9EBC58" w14:textId="40AC3151">
      <w:pPr>
        <w:rPr>
          <w:sz w:val="24"/>
        </w:rPr>
      </w:pPr>
    </w:p>
    <w:p w:rsidR="00ED5BA5" w:rsidRPr="001A7A97" w:rsidP="00501140" w14:paraId="1460D6F7" w14:textId="77777777">
      <w:pPr>
        <w:pStyle w:val="Heading2"/>
        <w:spacing w:before="0" w:after="0"/>
      </w:pPr>
      <w:r w:rsidRPr="001A7A97">
        <w:t>SPECIAL CIRCUMSTANCES</w:t>
      </w:r>
    </w:p>
    <w:p w:rsidR="005C25D3" w:rsidP="006529CD" w14:paraId="64050DE5" w14:textId="77777777">
      <w:pPr>
        <w:ind w:left="360"/>
        <w:rPr>
          <w:sz w:val="24"/>
        </w:rPr>
      </w:pPr>
    </w:p>
    <w:p w:rsidR="00BC3370" w:rsidP="006529CD" w14:paraId="6223701C" w14:textId="181CFD0B">
      <w:pPr>
        <w:ind w:left="360"/>
        <w:rPr>
          <w:sz w:val="24"/>
        </w:rPr>
      </w:pPr>
      <w:r w:rsidRPr="67C8652D">
        <w:rPr>
          <w:sz w:val="24"/>
        </w:rPr>
        <w:t xml:space="preserve">There are no special circumstances </w:t>
      </w:r>
      <w:r w:rsidRPr="67C8652D" w:rsidR="005C25D3">
        <w:rPr>
          <w:sz w:val="24"/>
        </w:rPr>
        <w:t>with this information collection</w:t>
      </w:r>
      <w:r w:rsidRPr="67C8652D">
        <w:rPr>
          <w:sz w:val="24"/>
        </w:rPr>
        <w:t>.</w:t>
      </w:r>
    </w:p>
    <w:p w:rsidR="00081E14" w:rsidP="67C8652D" w14:paraId="1BA444A5" w14:textId="77777777">
      <w:pPr>
        <w:rPr>
          <w:sz w:val="24"/>
        </w:rPr>
      </w:pPr>
    </w:p>
    <w:p w:rsidR="00ED5BA5" w:rsidRPr="00B4583A" w:rsidP="00501140" w14:paraId="0490CCB9" w14:textId="2D5E1C5B">
      <w:pPr>
        <w:pStyle w:val="Heading2"/>
        <w:spacing w:before="0" w:after="0"/>
      </w:pPr>
      <w:r>
        <w:t>COMPLIANCE WITH 5 C.F.R. § 1320.8</w:t>
      </w:r>
    </w:p>
    <w:p w:rsidR="005C25D3" w:rsidP="006529CD" w14:paraId="601F6D37" w14:textId="77777777">
      <w:pPr>
        <w:ind w:left="360"/>
        <w:rPr>
          <w:sz w:val="24"/>
        </w:rPr>
      </w:pPr>
    </w:p>
    <w:p w:rsidR="0058620E" w:rsidP="722AE087" w14:paraId="34AD410B" w14:textId="07EA3E1E">
      <w:pPr>
        <w:ind w:left="360"/>
        <w:rPr>
          <w:sz w:val="24"/>
        </w:rPr>
      </w:pPr>
      <w:r w:rsidRPr="722AE087">
        <w:rPr>
          <w:sz w:val="24"/>
        </w:rPr>
        <w:t xml:space="preserve">On February 16, 2024, FMCSA published a notice in the Federal Register (89 FR 12416) with a 60-day public comment period to announce its intention to submit this ICR to OMB for renewal (see Attachment </w:t>
      </w:r>
      <w:r w:rsidRPr="722AE087" w:rsidR="00FA7FF0">
        <w:rPr>
          <w:sz w:val="24"/>
        </w:rPr>
        <w:t>G</w:t>
      </w:r>
      <w:r w:rsidRPr="722AE087">
        <w:rPr>
          <w:sz w:val="24"/>
        </w:rPr>
        <w:t>). FMCSA received one comment which was not relevant to the ICR.</w:t>
      </w:r>
    </w:p>
    <w:p w:rsidR="00AF08E1" w:rsidP="00501140" w14:paraId="3182FE56" w14:textId="0963EBEF">
      <w:pPr>
        <w:rPr>
          <w:sz w:val="24"/>
        </w:rPr>
      </w:pPr>
    </w:p>
    <w:p w:rsidR="00ED5BA5" w:rsidRPr="00B4583A" w:rsidP="00501140" w14:paraId="2AD99FD9" w14:textId="48CECE71">
      <w:pPr>
        <w:pStyle w:val="Heading2"/>
        <w:spacing w:before="0" w:after="0"/>
      </w:pPr>
      <w:r w:rsidRPr="0008607E">
        <w:t>PAYMENTS OR GIFTS TO RESPONDENTS</w:t>
      </w:r>
    </w:p>
    <w:p w:rsidR="005C25D3" w:rsidP="006529CD" w14:paraId="501BD36D" w14:textId="77777777">
      <w:pPr>
        <w:ind w:left="360"/>
        <w:rPr>
          <w:sz w:val="24"/>
        </w:rPr>
      </w:pPr>
    </w:p>
    <w:p w:rsidR="00BC3370" w:rsidP="006529CD" w14:paraId="79D61CDF" w14:textId="568ADA7B">
      <w:pPr>
        <w:ind w:left="360"/>
        <w:rPr>
          <w:sz w:val="24"/>
        </w:rPr>
      </w:pPr>
      <w:r w:rsidRPr="00B4583A">
        <w:rPr>
          <w:sz w:val="24"/>
        </w:rPr>
        <w:t>Respondents are not provided with any payment or gift for this information collection.</w:t>
      </w:r>
    </w:p>
    <w:p w:rsidR="005C25D3" w:rsidP="00501140" w14:paraId="27EC9161" w14:textId="3991F0E8">
      <w:pPr>
        <w:rPr>
          <w:sz w:val="24"/>
        </w:rPr>
      </w:pPr>
    </w:p>
    <w:p w:rsidR="00ED5BA5" w:rsidRPr="00B4583A" w:rsidP="00501140" w14:paraId="261E9D6F" w14:textId="6710D7A3">
      <w:pPr>
        <w:pStyle w:val="Heading2"/>
        <w:spacing w:before="0" w:after="0"/>
      </w:pPr>
      <w:r w:rsidRPr="0008607E">
        <w:t>ASSURANCE OF CONFIDENTIALITY</w:t>
      </w:r>
    </w:p>
    <w:p w:rsidR="007572AA" w:rsidP="006529CD" w14:paraId="45A33E55" w14:textId="77777777">
      <w:pPr>
        <w:ind w:left="360"/>
        <w:rPr>
          <w:sz w:val="24"/>
        </w:rPr>
      </w:pPr>
    </w:p>
    <w:p w:rsidR="00BC3370" w:rsidP="006529CD" w14:paraId="7F8A8011" w14:textId="4E7AEAF7">
      <w:pPr>
        <w:ind w:left="360"/>
        <w:rPr>
          <w:sz w:val="24"/>
        </w:rPr>
      </w:pPr>
      <w:r w:rsidRPr="33AA9883">
        <w:rPr>
          <w:sz w:val="24"/>
        </w:rPr>
        <w:t>These records are not confidential and there is no assurance of confidentiality.</w:t>
      </w:r>
      <w:r w:rsidR="002D110B">
        <w:rPr>
          <w:sz w:val="24"/>
        </w:rPr>
        <w:t xml:space="preserve"> </w:t>
      </w:r>
      <w:r w:rsidR="00985B8F">
        <w:rPr>
          <w:sz w:val="24"/>
        </w:rPr>
        <w:t>Existing applicant</w:t>
      </w:r>
      <w:r w:rsidR="0098354E">
        <w:rPr>
          <w:sz w:val="24"/>
        </w:rPr>
        <w:t>s</w:t>
      </w:r>
      <w:r w:rsidR="00985B8F">
        <w:rPr>
          <w:sz w:val="24"/>
        </w:rPr>
        <w:t xml:space="preserve"> wishing to make changes </w:t>
      </w:r>
      <w:r w:rsidR="00F53E5A">
        <w:rPr>
          <w:sz w:val="24"/>
        </w:rPr>
        <w:t>to their registration information use</w:t>
      </w:r>
      <w:r w:rsidRPr="00B4583A" w:rsidR="00F53E5A">
        <w:rPr>
          <w:sz w:val="24"/>
        </w:rPr>
        <w:t xml:space="preserve"> </w:t>
      </w:r>
      <w:r w:rsidR="00ED5BA5">
        <w:rPr>
          <w:sz w:val="24"/>
        </w:rPr>
        <w:t>F</w:t>
      </w:r>
      <w:r w:rsidRPr="00B4583A" w:rsidR="00ED5BA5">
        <w:rPr>
          <w:sz w:val="24"/>
        </w:rPr>
        <w:t xml:space="preserve">orm </w:t>
      </w:r>
      <w:r w:rsidR="00ED5BA5">
        <w:rPr>
          <w:sz w:val="24"/>
        </w:rPr>
        <w:t>OP-2</w:t>
      </w:r>
      <w:r w:rsidR="00F53E5A">
        <w:rPr>
          <w:sz w:val="24"/>
        </w:rPr>
        <w:t>, which</w:t>
      </w:r>
      <w:r w:rsidR="00ED5BA5">
        <w:rPr>
          <w:sz w:val="24"/>
        </w:rPr>
        <w:t xml:space="preserve"> </w:t>
      </w:r>
      <w:r w:rsidRPr="00B4583A" w:rsidR="00ED5BA5">
        <w:rPr>
          <w:sz w:val="24"/>
        </w:rPr>
        <w:t>calls for information identifying the applicant and the scope of its proposed operations in the United States.</w:t>
      </w:r>
      <w:r w:rsidR="002D110B">
        <w:rPr>
          <w:sz w:val="24"/>
        </w:rPr>
        <w:t xml:space="preserve"> </w:t>
      </w:r>
      <w:r w:rsidRPr="00B4583A" w:rsidR="00ED5BA5">
        <w:rPr>
          <w:sz w:val="24"/>
        </w:rPr>
        <w:t xml:space="preserve">Further, Form OP-2, like all registration applications filed with the FMCSA, becomes part of a public docket and is open to the public for </w:t>
      </w:r>
      <w:r w:rsidR="00ED5BA5">
        <w:rPr>
          <w:sz w:val="24"/>
        </w:rPr>
        <w:t>inspection</w:t>
      </w:r>
      <w:r w:rsidRPr="00B4583A" w:rsidR="00ED5BA5">
        <w:rPr>
          <w:sz w:val="24"/>
        </w:rPr>
        <w:t>.</w:t>
      </w:r>
    </w:p>
    <w:p w:rsidR="007572AA" w:rsidP="00501140" w14:paraId="60D7B656" w14:textId="5C94EAE2">
      <w:pPr>
        <w:rPr>
          <w:color w:val="000000"/>
          <w:sz w:val="24"/>
        </w:rPr>
      </w:pPr>
    </w:p>
    <w:p w:rsidR="00ED5BA5" w:rsidRPr="00B4583A" w:rsidP="00501140" w14:paraId="7F5FF6B8" w14:textId="0318F813">
      <w:pPr>
        <w:pStyle w:val="Heading2"/>
        <w:spacing w:before="0" w:after="0"/>
      </w:pPr>
      <w:r w:rsidRPr="0008607E">
        <w:t>JUSTIFICATION FOR COLLECTION OF SENSITIVE INFORMATION</w:t>
      </w:r>
    </w:p>
    <w:p w:rsidR="007572AA" w:rsidP="006529CD" w14:paraId="22EB9E0C" w14:textId="77777777">
      <w:pPr>
        <w:ind w:left="360"/>
        <w:rPr>
          <w:sz w:val="24"/>
        </w:rPr>
      </w:pPr>
    </w:p>
    <w:p w:rsidR="002B2785" w:rsidP="006529CD" w14:paraId="003C143B" w14:textId="77777777">
      <w:pPr>
        <w:ind w:left="360"/>
        <w:rPr>
          <w:sz w:val="24"/>
        </w:rPr>
      </w:pPr>
      <w:r>
        <w:rPr>
          <w:sz w:val="24"/>
        </w:rPr>
        <w:t>There are no questions of a sensitive nature.</w:t>
      </w:r>
    </w:p>
    <w:p w:rsidR="00BC3370" w:rsidP="00501140" w14:paraId="1F88FC70" w14:textId="05CA0F1B">
      <w:pPr>
        <w:rPr>
          <w:sz w:val="24"/>
        </w:rPr>
      </w:pPr>
    </w:p>
    <w:p w:rsidR="00ED5BA5" w:rsidRPr="00B4583A" w:rsidP="00501140" w14:paraId="65491772" w14:textId="77777777">
      <w:pPr>
        <w:pStyle w:val="Heading2"/>
        <w:spacing w:before="0" w:after="0"/>
      </w:pPr>
      <w:r w:rsidRPr="0008607E">
        <w:t>ESTIMATE OF BURDEN HOURS FOR INFORMATION REQUESTED</w:t>
      </w:r>
    </w:p>
    <w:p w:rsidR="002B2785" w:rsidP="006529CD" w14:paraId="57C11ADC" w14:textId="77777777">
      <w:pPr>
        <w:ind w:left="360"/>
        <w:rPr>
          <w:sz w:val="24"/>
        </w:rPr>
      </w:pPr>
    </w:p>
    <w:p w:rsidR="002B1616" w:rsidP="006529CD" w14:paraId="16BC3D80" w14:textId="1BBCC08A">
      <w:pPr>
        <w:ind w:left="360"/>
        <w:rPr>
          <w:sz w:val="24"/>
        </w:rPr>
      </w:pPr>
      <w:r w:rsidRPr="102CE53A">
        <w:rPr>
          <w:sz w:val="24"/>
        </w:rPr>
        <w:t>The agency estimates the burden labor hour cost per respondent to be approximately $</w:t>
      </w:r>
      <w:r w:rsidR="00B4593F">
        <w:rPr>
          <w:sz w:val="24"/>
        </w:rPr>
        <w:t>64.15</w:t>
      </w:r>
      <w:r w:rsidRPr="102CE53A">
        <w:rPr>
          <w:sz w:val="24"/>
        </w:rPr>
        <w:t xml:space="preserve"> ($</w:t>
      </w:r>
      <w:r w:rsidR="00B4593F">
        <w:rPr>
          <w:sz w:val="24"/>
        </w:rPr>
        <w:t>37,549</w:t>
      </w:r>
      <w:r w:rsidRPr="102CE53A">
        <w:rPr>
          <w:sz w:val="24"/>
        </w:rPr>
        <w:t xml:space="preserve"> ÷ 585 respondents = $</w:t>
      </w:r>
      <w:r w:rsidR="00B4593F">
        <w:rPr>
          <w:sz w:val="24"/>
        </w:rPr>
        <w:t>64.15</w:t>
      </w:r>
      <w:r w:rsidRPr="102CE53A">
        <w:rPr>
          <w:sz w:val="24"/>
        </w:rPr>
        <w:t xml:space="preserve">). As shown in </w:t>
      </w:r>
      <w:r w:rsidRPr="102CE53A">
        <w:rPr>
          <w:sz w:val="24"/>
        </w:rPr>
        <w:fldChar w:fldCharType="begin"/>
      </w:r>
      <w:r w:rsidRPr="102CE53A">
        <w:rPr>
          <w:sz w:val="24"/>
        </w:rPr>
        <w:instrText xml:space="preserve"> REF _Ref521318419 \h  \* MERGEFORMAT </w:instrText>
      </w:r>
      <w:r w:rsidRPr="102CE53A">
        <w:rPr>
          <w:sz w:val="24"/>
        </w:rPr>
        <w:fldChar w:fldCharType="separate"/>
      </w:r>
      <w:r w:rsidRPr="102CE53A">
        <w:rPr>
          <w:sz w:val="24"/>
        </w:rPr>
        <w:t xml:space="preserve">Table </w:t>
      </w:r>
      <w:r w:rsidRPr="102CE53A">
        <w:rPr>
          <w:noProof/>
          <w:sz w:val="24"/>
        </w:rPr>
        <w:t>1</w:t>
      </w:r>
      <w:r w:rsidRPr="102CE53A">
        <w:rPr>
          <w:sz w:val="24"/>
        </w:rPr>
        <w:fldChar w:fldCharType="end"/>
      </w:r>
      <w:r w:rsidRPr="102CE53A">
        <w:rPr>
          <w:sz w:val="24"/>
        </w:rPr>
        <w:t>, the total annual burden labor cost to the industry is $</w:t>
      </w:r>
      <w:r w:rsidR="00B4593F">
        <w:rPr>
          <w:sz w:val="24"/>
        </w:rPr>
        <w:t>37,549</w:t>
      </w:r>
      <w:r w:rsidRPr="102CE53A">
        <w:rPr>
          <w:sz w:val="24"/>
        </w:rPr>
        <w:t>.</w:t>
      </w:r>
    </w:p>
    <w:p w:rsidR="002B1616" w:rsidP="006529CD" w14:paraId="7B635059" w14:textId="77777777">
      <w:pPr>
        <w:ind w:left="360"/>
        <w:rPr>
          <w:sz w:val="24"/>
        </w:rPr>
      </w:pPr>
    </w:p>
    <w:p w:rsidR="00BC3370" w:rsidP="722AE087" w14:paraId="40156A8C" w14:textId="5400EFBE">
      <w:pPr>
        <w:ind w:left="360"/>
        <w:rPr>
          <w:sz w:val="24"/>
        </w:rPr>
      </w:pPr>
      <w:r w:rsidRPr="722AE087">
        <w:rPr>
          <w:sz w:val="24"/>
        </w:rPr>
        <w:t xml:space="preserve">The burden for this ICR includes the time required </w:t>
      </w:r>
      <w:r w:rsidRPr="722AE087" w:rsidR="00EE27DD">
        <w:rPr>
          <w:sz w:val="24"/>
        </w:rPr>
        <w:t>for existing applicant</w:t>
      </w:r>
      <w:r w:rsidRPr="722AE087" w:rsidR="002D110B">
        <w:rPr>
          <w:sz w:val="24"/>
        </w:rPr>
        <w:t>s</w:t>
      </w:r>
      <w:r w:rsidRPr="722AE087" w:rsidR="00EE27DD">
        <w:rPr>
          <w:sz w:val="24"/>
        </w:rPr>
        <w:t xml:space="preserve"> to submit </w:t>
      </w:r>
      <w:r w:rsidRPr="722AE087" w:rsidR="00F95614">
        <w:rPr>
          <w:sz w:val="24"/>
        </w:rPr>
        <w:t xml:space="preserve">updates </w:t>
      </w:r>
      <w:r w:rsidRPr="722AE087" w:rsidR="00EE27DD">
        <w:rPr>
          <w:sz w:val="24"/>
        </w:rPr>
        <w:t>to</w:t>
      </w:r>
      <w:r w:rsidRPr="722AE087" w:rsidR="00F53E5A">
        <w:rPr>
          <w:sz w:val="24"/>
        </w:rPr>
        <w:t xml:space="preserve"> their registration using</w:t>
      </w:r>
      <w:r w:rsidRPr="722AE087">
        <w:rPr>
          <w:sz w:val="24"/>
        </w:rPr>
        <w:t xml:space="preserve"> Form OP-2. </w:t>
      </w:r>
      <w:r w:rsidRPr="722AE087" w:rsidR="00ED5BA5">
        <w:rPr>
          <w:sz w:val="24"/>
        </w:rPr>
        <w:t xml:space="preserve">FMCSA estimates </w:t>
      </w:r>
      <w:r w:rsidRPr="722AE087" w:rsidR="005E53C4">
        <w:rPr>
          <w:sz w:val="24"/>
        </w:rPr>
        <w:t xml:space="preserve">respondent updates </w:t>
      </w:r>
      <w:r w:rsidRPr="722AE087" w:rsidR="00F53E5A">
        <w:rPr>
          <w:sz w:val="24"/>
        </w:rPr>
        <w:t>using</w:t>
      </w:r>
      <w:r w:rsidRPr="722AE087" w:rsidR="005E53C4">
        <w:rPr>
          <w:sz w:val="24"/>
        </w:rPr>
        <w:t xml:space="preserve"> </w:t>
      </w:r>
      <w:r w:rsidRPr="722AE087" w:rsidR="002D110B">
        <w:rPr>
          <w:sz w:val="24"/>
        </w:rPr>
        <w:t xml:space="preserve">Form </w:t>
      </w:r>
      <w:r w:rsidRPr="722AE087" w:rsidR="00ED5BA5">
        <w:rPr>
          <w:sz w:val="24"/>
        </w:rPr>
        <w:t xml:space="preserve">OP-2 requires </w:t>
      </w:r>
      <w:r w:rsidRPr="722AE087" w:rsidR="009C3437">
        <w:rPr>
          <w:sz w:val="24"/>
        </w:rPr>
        <w:t xml:space="preserve">on </w:t>
      </w:r>
      <w:r w:rsidRPr="722AE087" w:rsidR="00ED5BA5">
        <w:rPr>
          <w:sz w:val="24"/>
        </w:rPr>
        <w:t xml:space="preserve">average </w:t>
      </w:r>
      <w:r w:rsidRPr="722AE087" w:rsidR="004E7EE0">
        <w:rPr>
          <w:sz w:val="24"/>
        </w:rPr>
        <w:t xml:space="preserve">1.5 </w:t>
      </w:r>
      <w:r w:rsidRPr="722AE087" w:rsidR="002D110B">
        <w:rPr>
          <w:sz w:val="24"/>
        </w:rPr>
        <w:t>hours to complete.</w:t>
      </w:r>
      <w:r w:rsidRPr="722AE087" w:rsidR="00ED5BA5">
        <w:rPr>
          <w:sz w:val="24"/>
        </w:rPr>
        <w:t xml:space="preserve"> However, the time required to complete </w:t>
      </w:r>
      <w:r w:rsidRPr="722AE087" w:rsidR="00A54F64">
        <w:rPr>
          <w:sz w:val="24"/>
        </w:rPr>
        <w:t xml:space="preserve">updates to </w:t>
      </w:r>
      <w:r w:rsidRPr="722AE087" w:rsidR="00ED5BA5">
        <w:rPr>
          <w:sz w:val="24"/>
        </w:rPr>
        <w:t>an individual application will vary</w:t>
      </w:r>
      <w:r w:rsidRPr="722AE087" w:rsidR="7B3BE863">
        <w:rPr>
          <w:sz w:val="24"/>
        </w:rPr>
        <w:t>,</w:t>
      </w:r>
      <w:r w:rsidRPr="722AE087" w:rsidR="00ED5BA5">
        <w:rPr>
          <w:sz w:val="24"/>
        </w:rPr>
        <w:t xml:space="preserve"> depending on the applicant’s knowledge of English.</w:t>
      </w:r>
      <w:r w:rsidRPr="722AE087" w:rsidR="002D110B">
        <w:rPr>
          <w:sz w:val="24"/>
        </w:rPr>
        <w:t xml:space="preserve"> </w:t>
      </w:r>
      <w:r w:rsidRPr="722AE087" w:rsidR="00ED5BA5">
        <w:rPr>
          <w:sz w:val="24"/>
        </w:rPr>
        <w:t xml:space="preserve">FMCSA provides an English/Spanish version of </w:t>
      </w:r>
      <w:r w:rsidRPr="722AE087" w:rsidR="002F4731">
        <w:rPr>
          <w:sz w:val="24"/>
        </w:rPr>
        <w:t>Form</w:t>
      </w:r>
      <w:r w:rsidRPr="722AE087" w:rsidR="00ED5BA5">
        <w:rPr>
          <w:sz w:val="24"/>
        </w:rPr>
        <w:t xml:space="preserve"> OP-2 and instructions pursuant to Executive Order 13166</w:t>
      </w:r>
      <w:r w:rsidRPr="722AE087" w:rsidR="00935C8A">
        <w:rPr>
          <w:sz w:val="24"/>
        </w:rPr>
        <w:t>,</w:t>
      </w:r>
      <w:r w:rsidRPr="722AE087" w:rsidR="00ED5BA5">
        <w:rPr>
          <w:sz w:val="24"/>
        </w:rPr>
        <w:t xml:space="preserve"> dated August 11, 2000</w:t>
      </w:r>
      <w:r w:rsidRPr="722AE087" w:rsidR="009C226C">
        <w:rPr>
          <w:sz w:val="24"/>
        </w:rPr>
        <w:t>,</w:t>
      </w:r>
      <w:r w:rsidRPr="722AE087" w:rsidR="00935C8A">
        <w:rPr>
          <w:sz w:val="24"/>
        </w:rPr>
        <w:t xml:space="preserve"> titled</w:t>
      </w:r>
      <w:r w:rsidRPr="722AE087" w:rsidR="00ED5BA5">
        <w:rPr>
          <w:sz w:val="24"/>
        </w:rPr>
        <w:t xml:space="preserve">, </w:t>
      </w:r>
      <w:r w:rsidRPr="722AE087" w:rsidR="00ED5BA5">
        <w:rPr>
          <w:color w:val="000000" w:themeColor="text1"/>
          <w:sz w:val="24"/>
        </w:rPr>
        <w:t>“</w:t>
      </w:r>
      <w:r w:rsidRPr="722AE087" w:rsidR="00ED5BA5">
        <w:rPr>
          <w:sz w:val="24"/>
        </w:rPr>
        <w:t>Improving Access to Services for Persons with Limited English Proficiency” (65 FR 50121; Aug. 16, 2000)</w:t>
      </w:r>
      <w:r w:rsidRPr="722AE087" w:rsidR="00625F1D">
        <w:rPr>
          <w:sz w:val="24"/>
        </w:rPr>
        <w:t>,</w:t>
      </w:r>
      <w:r w:rsidRPr="722AE087" w:rsidR="00ED5BA5">
        <w:rPr>
          <w:sz w:val="24"/>
        </w:rPr>
        <w:t xml:space="preserve"> (Attachment </w:t>
      </w:r>
      <w:r w:rsidRPr="722AE087" w:rsidR="00FA7FF0">
        <w:rPr>
          <w:sz w:val="24"/>
        </w:rPr>
        <w:t>H</w:t>
      </w:r>
      <w:r w:rsidRPr="722AE087" w:rsidR="00ED5BA5">
        <w:rPr>
          <w:sz w:val="24"/>
        </w:rPr>
        <w:t>).</w:t>
      </w:r>
      <w:r w:rsidRPr="722AE087" w:rsidR="002D110B">
        <w:rPr>
          <w:sz w:val="24"/>
        </w:rPr>
        <w:t xml:space="preserve"> </w:t>
      </w:r>
      <w:r w:rsidRPr="722AE087" w:rsidR="009D1D36">
        <w:rPr>
          <w:sz w:val="24"/>
        </w:rPr>
        <w:t xml:space="preserve">The </w:t>
      </w:r>
      <w:r w:rsidRPr="722AE087" w:rsidR="00ED5BA5">
        <w:rPr>
          <w:sz w:val="24"/>
        </w:rPr>
        <w:t xml:space="preserve">paper format of the application </w:t>
      </w:r>
      <w:r w:rsidRPr="722AE087" w:rsidR="00884DCD">
        <w:rPr>
          <w:sz w:val="24"/>
        </w:rPr>
        <w:t>is</w:t>
      </w:r>
      <w:r w:rsidRPr="722AE087" w:rsidR="00ED5BA5">
        <w:rPr>
          <w:sz w:val="24"/>
        </w:rPr>
        <w:t xml:space="preserve"> available in the English/Spanish</w:t>
      </w:r>
      <w:r w:rsidRPr="722AE087" w:rsidR="00D217C7">
        <w:rPr>
          <w:sz w:val="24"/>
        </w:rPr>
        <w:t xml:space="preserve"> version</w:t>
      </w:r>
      <w:r w:rsidRPr="722AE087" w:rsidR="00ED5BA5">
        <w:rPr>
          <w:sz w:val="24"/>
        </w:rPr>
        <w:t xml:space="preserve">; </w:t>
      </w:r>
      <w:r w:rsidRPr="722AE087" w:rsidR="009A4CA1">
        <w:rPr>
          <w:sz w:val="24"/>
        </w:rPr>
        <w:t>however,</w:t>
      </w:r>
      <w:r w:rsidRPr="722AE087" w:rsidR="52653C66">
        <w:rPr>
          <w:sz w:val="24"/>
        </w:rPr>
        <w:t xml:space="preserve"> </w:t>
      </w:r>
      <w:r w:rsidRPr="722AE087" w:rsidR="00821013">
        <w:rPr>
          <w:sz w:val="24"/>
        </w:rPr>
        <w:t xml:space="preserve">application updates </w:t>
      </w:r>
      <w:r w:rsidRPr="722AE087" w:rsidR="00ED5BA5">
        <w:rPr>
          <w:sz w:val="24"/>
        </w:rPr>
        <w:t>must be completed in English.</w:t>
      </w:r>
    </w:p>
    <w:p w:rsidR="00AF08E1" w:rsidP="006529CD" w14:paraId="7F6DCF3A" w14:textId="6AF03004">
      <w:pPr>
        <w:ind w:left="360"/>
        <w:rPr>
          <w:color w:val="000000"/>
          <w:sz w:val="24"/>
        </w:rPr>
      </w:pPr>
    </w:p>
    <w:p w:rsidR="007B44EC" w:rsidP="006529CD" w14:paraId="27E2E8F7" w14:textId="1591B7E0">
      <w:pPr>
        <w:pStyle w:val="TableSource6ptabove"/>
        <w:ind w:left="360"/>
        <w:rPr>
          <w:rFonts w:eastAsia="Calibri"/>
          <w:sz w:val="24"/>
          <w:szCs w:val="24"/>
        </w:rPr>
      </w:pPr>
      <w:r w:rsidRPr="102CE53A">
        <w:rPr>
          <w:sz w:val="24"/>
          <w:szCs w:val="24"/>
        </w:rPr>
        <w:t>T</w:t>
      </w:r>
      <w:r w:rsidRPr="102CE53A" w:rsidR="00ED3150">
        <w:rPr>
          <w:sz w:val="24"/>
          <w:szCs w:val="24"/>
        </w:rPr>
        <w:t>he following burden estimates</w:t>
      </w:r>
      <w:r w:rsidRPr="102CE53A" w:rsidR="255929F6">
        <w:rPr>
          <w:sz w:val="24"/>
          <w:szCs w:val="24"/>
        </w:rPr>
        <w:t xml:space="preserve"> are based on</w:t>
      </w:r>
      <w:r w:rsidRPr="102CE53A" w:rsidR="00ED3150">
        <w:rPr>
          <w:sz w:val="24"/>
          <w:szCs w:val="24"/>
        </w:rPr>
        <w:t xml:space="preserve"> </w:t>
      </w:r>
      <w:r w:rsidRPr="102CE53A" w:rsidR="00FE3E20">
        <w:rPr>
          <w:sz w:val="24"/>
          <w:szCs w:val="24"/>
        </w:rPr>
        <w:t xml:space="preserve">FMCSA </w:t>
      </w:r>
      <w:r w:rsidRPr="102CE53A" w:rsidR="7123790B">
        <w:rPr>
          <w:sz w:val="24"/>
          <w:szCs w:val="24"/>
        </w:rPr>
        <w:t xml:space="preserve">having </w:t>
      </w:r>
      <w:r w:rsidRPr="102CE53A" w:rsidR="00FE3E20">
        <w:rPr>
          <w:sz w:val="24"/>
          <w:szCs w:val="24"/>
        </w:rPr>
        <w:t>received</w:t>
      </w:r>
      <w:r w:rsidRPr="102CE53A" w:rsidR="002D110B">
        <w:rPr>
          <w:sz w:val="24"/>
          <w:szCs w:val="24"/>
        </w:rPr>
        <w:t>, on average,</w:t>
      </w:r>
      <w:r w:rsidRPr="102CE53A" w:rsidR="00FE3E20">
        <w:rPr>
          <w:sz w:val="24"/>
          <w:szCs w:val="24"/>
        </w:rPr>
        <w:t xml:space="preserve"> </w:t>
      </w:r>
      <w:r w:rsidRPr="102CE53A" w:rsidR="00B8193F">
        <w:rPr>
          <w:sz w:val="24"/>
          <w:szCs w:val="24"/>
        </w:rPr>
        <w:t>585</w:t>
      </w:r>
      <w:r w:rsidRPr="102CE53A" w:rsidR="00C46A23">
        <w:rPr>
          <w:sz w:val="24"/>
          <w:szCs w:val="24"/>
        </w:rPr>
        <w:t xml:space="preserve"> </w:t>
      </w:r>
      <w:r w:rsidRPr="102CE53A" w:rsidR="00B8193F">
        <w:rPr>
          <w:sz w:val="24"/>
          <w:szCs w:val="24"/>
        </w:rPr>
        <w:t xml:space="preserve">annual </w:t>
      </w:r>
      <w:r w:rsidRPr="102CE53A" w:rsidR="00C46A23">
        <w:rPr>
          <w:sz w:val="24"/>
          <w:szCs w:val="24"/>
        </w:rPr>
        <w:t>updates</w:t>
      </w:r>
      <w:r w:rsidRPr="102CE53A" w:rsidR="04276A6D">
        <w:rPr>
          <w:sz w:val="24"/>
          <w:szCs w:val="24"/>
        </w:rPr>
        <w:t xml:space="preserve"> per year</w:t>
      </w:r>
      <w:r w:rsidRPr="102CE53A" w:rsidR="00C46A23">
        <w:rPr>
          <w:sz w:val="24"/>
          <w:szCs w:val="24"/>
        </w:rPr>
        <w:t xml:space="preserve"> to form </w:t>
      </w:r>
      <w:r w:rsidRPr="102CE53A" w:rsidR="00ED5BA5">
        <w:rPr>
          <w:sz w:val="24"/>
          <w:szCs w:val="24"/>
        </w:rPr>
        <w:t>OP-2</w:t>
      </w:r>
      <w:r w:rsidRPr="102CE53A" w:rsidR="334437C1">
        <w:rPr>
          <w:sz w:val="24"/>
          <w:szCs w:val="24"/>
        </w:rPr>
        <w:t xml:space="preserve"> during the period</w:t>
      </w:r>
      <w:r w:rsidRPr="102CE53A" w:rsidR="00ED5BA5">
        <w:rPr>
          <w:sz w:val="24"/>
          <w:szCs w:val="24"/>
        </w:rPr>
        <w:t xml:space="preserve"> from </w:t>
      </w:r>
      <w:r w:rsidRPr="102CE53A" w:rsidR="00DA7071">
        <w:rPr>
          <w:sz w:val="24"/>
          <w:szCs w:val="24"/>
        </w:rPr>
        <w:t>2020</w:t>
      </w:r>
      <w:r w:rsidRPr="102CE53A" w:rsidR="00ED5BA5">
        <w:rPr>
          <w:sz w:val="24"/>
          <w:szCs w:val="24"/>
        </w:rPr>
        <w:t xml:space="preserve"> to 20</w:t>
      </w:r>
      <w:r w:rsidRPr="102CE53A" w:rsidR="00DA7071">
        <w:rPr>
          <w:sz w:val="24"/>
          <w:szCs w:val="24"/>
        </w:rPr>
        <w:t>2</w:t>
      </w:r>
      <w:r w:rsidR="009A4CA1">
        <w:rPr>
          <w:sz w:val="24"/>
          <w:szCs w:val="24"/>
        </w:rPr>
        <w:t>2</w:t>
      </w:r>
      <w:r w:rsidRPr="102CE53A" w:rsidR="002D110B">
        <w:rPr>
          <w:sz w:val="24"/>
          <w:szCs w:val="24"/>
        </w:rPr>
        <w:t>.</w:t>
      </w:r>
      <w:r w:rsidRPr="102CE53A" w:rsidR="00EC2026">
        <w:rPr>
          <w:sz w:val="24"/>
          <w:szCs w:val="24"/>
          <w:vertAlign w:val="superscript"/>
        </w:rPr>
        <w:t>(</w:t>
      </w:r>
      <w:r>
        <w:rPr>
          <w:rStyle w:val="FootnoteReference"/>
          <w:sz w:val="24"/>
          <w:szCs w:val="24"/>
          <w:vertAlign w:val="superscript"/>
        </w:rPr>
        <w:footnoteReference w:id="4"/>
      </w:r>
      <w:r w:rsidRPr="102CE53A" w:rsidR="00EC2026">
        <w:rPr>
          <w:sz w:val="24"/>
          <w:szCs w:val="24"/>
          <w:vertAlign w:val="superscript"/>
        </w:rPr>
        <w:t>)</w:t>
      </w:r>
      <w:r w:rsidRPr="102CE53A" w:rsidR="00C46A23">
        <w:rPr>
          <w:sz w:val="24"/>
          <w:szCs w:val="24"/>
        </w:rPr>
        <w:t xml:space="preserve"> </w:t>
      </w:r>
      <w:r w:rsidRPr="102CE53A" w:rsidR="00AC546F">
        <w:rPr>
          <w:sz w:val="24"/>
          <w:szCs w:val="24"/>
        </w:rPr>
        <w:t xml:space="preserve">As shown in </w:t>
      </w:r>
      <w:r w:rsidRPr="102CE53A" w:rsidR="00EC2026">
        <w:rPr>
          <w:sz w:val="24"/>
          <w:szCs w:val="24"/>
        </w:rPr>
        <w:fldChar w:fldCharType="begin"/>
      </w:r>
      <w:r w:rsidRPr="102CE53A" w:rsidR="00EC2026">
        <w:rPr>
          <w:sz w:val="24"/>
          <w:szCs w:val="24"/>
        </w:rPr>
        <w:instrText xml:space="preserve"> REF _Ref521318419 \h  \* MERGEFORMAT </w:instrText>
      </w:r>
      <w:r w:rsidRPr="102CE53A" w:rsidR="00EC2026">
        <w:rPr>
          <w:sz w:val="24"/>
          <w:szCs w:val="24"/>
        </w:rPr>
        <w:fldChar w:fldCharType="separate"/>
      </w:r>
      <w:r w:rsidRPr="102CE53A" w:rsidR="00EC2026">
        <w:rPr>
          <w:sz w:val="24"/>
          <w:szCs w:val="24"/>
        </w:rPr>
        <w:t xml:space="preserve">Table </w:t>
      </w:r>
      <w:r w:rsidRPr="102CE53A" w:rsidR="00EC2026">
        <w:rPr>
          <w:noProof/>
          <w:sz w:val="24"/>
          <w:szCs w:val="24"/>
        </w:rPr>
        <w:t>1</w:t>
      </w:r>
      <w:r w:rsidRPr="102CE53A" w:rsidR="00EC2026">
        <w:rPr>
          <w:sz w:val="24"/>
          <w:szCs w:val="24"/>
        </w:rPr>
        <w:fldChar w:fldCharType="end"/>
      </w:r>
      <w:r w:rsidRPr="102CE53A" w:rsidR="00AC546F">
        <w:rPr>
          <w:sz w:val="24"/>
          <w:szCs w:val="24"/>
        </w:rPr>
        <w:t>, t</w:t>
      </w:r>
      <w:r w:rsidRPr="102CE53A" w:rsidR="00ED5BA5">
        <w:rPr>
          <w:sz w:val="24"/>
          <w:szCs w:val="24"/>
        </w:rPr>
        <w:t xml:space="preserve">he </w:t>
      </w:r>
      <w:r w:rsidRPr="102CE53A" w:rsidR="00670978">
        <w:rPr>
          <w:sz w:val="24"/>
          <w:szCs w:val="24"/>
        </w:rPr>
        <w:t>average</w:t>
      </w:r>
      <w:r w:rsidRPr="102CE53A" w:rsidR="00ED5BA5">
        <w:rPr>
          <w:sz w:val="24"/>
          <w:szCs w:val="24"/>
        </w:rPr>
        <w:t xml:space="preserve"> annual burden associated with these application</w:t>
      </w:r>
      <w:r w:rsidRPr="102CE53A" w:rsidR="00821013">
        <w:rPr>
          <w:sz w:val="24"/>
          <w:szCs w:val="24"/>
        </w:rPr>
        <w:t xml:space="preserve"> updates </w:t>
      </w:r>
      <w:r w:rsidRPr="102CE53A" w:rsidR="00ED5BA5">
        <w:rPr>
          <w:sz w:val="24"/>
          <w:szCs w:val="24"/>
        </w:rPr>
        <w:t xml:space="preserve">is </w:t>
      </w:r>
      <w:r w:rsidRPr="102CE53A" w:rsidR="00670978">
        <w:rPr>
          <w:sz w:val="24"/>
          <w:szCs w:val="24"/>
        </w:rPr>
        <w:t>878</w:t>
      </w:r>
      <w:r w:rsidRPr="102CE53A" w:rsidR="00ED5BA5">
        <w:rPr>
          <w:sz w:val="24"/>
          <w:szCs w:val="24"/>
        </w:rPr>
        <w:t xml:space="preserve"> hours (</w:t>
      </w:r>
      <w:r w:rsidRPr="102CE53A" w:rsidR="00670978">
        <w:rPr>
          <w:sz w:val="24"/>
          <w:szCs w:val="24"/>
        </w:rPr>
        <w:t>585</w:t>
      </w:r>
      <w:r w:rsidRPr="102CE53A" w:rsidR="00ED5BA5">
        <w:rPr>
          <w:sz w:val="24"/>
          <w:szCs w:val="24"/>
        </w:rPr>
        <w:t xml:space="preserve"> applications × </w:t>
      </w:r>
      <w:r w:rsidRPr="102CE53A" w:rsidR="000C77B1">
        <w:rPr>
          <w:sz w:val="24"/>
          <w:szCs w:val="24"/>
        </w:rPr>
        <w:t>1.5</w:t>
      </w:r>
      <w:r w:rsidRPr="102CE53A" w:rsidR="00ED5BA5">
        <w:rPr>
          <w:sz w:val="24"/>
          <w:szCs w:val="24"/>
        </w:rPr>
        <w:t xml:space="preserve"> hours</w:t>
      </w:r>
      <w:r w:rsidRPr="102CE53A" w:rsidR="00884DCD">
        <w:rPr>
          <w:sz w:val="24"/>
          <w:szCs w:val="24"/>
        </w:rPr>
        <w:t xml:space="preserve"> per application</w:t>
      </w:r>
      <w:r w:rsidRPr="102CE53A" w:rsidR="004B6088">
        <w:rPr>
          <w:sz w:val="24"/>
          <w:szCs w:val="24"/>
        </w:rPr>
        <w:t xml:space="preserve"> = </w:t>
      </w:r>
      <w:r w:rsidRPr="102CE53A" w:rsidR="00670978">
        <w:rPr>
          <w:sz w:val="24"/>
          <w:szCs w:val="24"/>
        </w:rPr>
        <w:t>878</w:t>
      </w:r>
      <w:r w:rsidRPr="102CE53A" w:rsidR="00884DCD">
        <w:rPr>
          <w:sz w:val="24"/>
          <w:szCs w:val="24"/>
        </w:rPr>
        <w:t xml:space="preserve"> hours</w:t>
      </w:r>
      <w:r w:rsidRPr="102CE53A" w:rsidR="00ED5BA5">
        <w:rPr>
          <w:sz w:val="24"/>
          <w:szCs w:val="24"/>
        </w:rPr>
        <w:t>)</w:t>
      </w:r>
      <w:r w:rsidRPr="102CE53A" w:rsidR="002D110B">
        <w:rPr>
          <w:sz w:val="24"/>
          <w:szCs w:val="24"/>
        </w:rPr>
        <w:t>.</w:t>
      </w:r>
      <w:r w:rsidRPr="102CE53A">
        <w:rPr>
          <w:sz w:val="24"/>
          <w:szCs w:val="24"/>
          <w:vertAlign w:val="superscript"/>
        </w:rPr>
        <w:t xml:space="preserve"> </w:t>
      </w:r>
      <w:r>
        <w:rPr>
          <w:rFonts w:eastAsia="Calibri"/>
          <w:sz w:val="24"/>
          <w:szCs w:val="24"/>
        </w:rPr>
        <w:t xml:space="preserve">Please note, some figures provided in the </w:t>
      </w:r>
      <w:r w:rsidR="002B2785">
        <w:rPr>
          <w:rFonts w:eastAsia="Calibri"/>
          <w:sz w:val="24"/>
          <w:szCs w:val="24"/>
        </w:rPr>
        <w:t xml:space="preserve">tables </w:t>
      </w:r>
      <w:r>
        <w:rPr>
          <w:rFonts w:eastAsia="Calibri"/>
          <w:sz w:val="24"/>
          <w:szCs w:val="24"/>
        </w:rPr>
        <w:t>below may be affected by rounding.</w:t>
      </w:r>
    </w:p>
    <w:p w:rsidR="00BC3370" w:rsidP="006529CD" w14:paraId="32691DC9" w14:textId="78C03ADA">
      <w:pPr>
        <w:ind w:left="360"/>
        <w:rPr>
          <w:sz w:val="24"/>
        </w:rPr>
      </w:pPr>
      <w:r w:rsidRPr="102CE53A">
        <w:rPr>
          <w:sz w:val="24"/>
        </w:rPr>
        <w:t xml:space="preserve">The </w:t>
      </w:r>
      <w:r w:rsidRPr="102CE53A" w:rsidR="002242F1">
        <w:rPr>
          <w:sz w:val="24"/>
        </w:rPr>
        <w:t xml:space="preserve">agency </w:t>
      </w:r>
      <w:r w:rsidRPr="102CE53A" w:rsidR="00AC546F">
        <w:rPr>
          <w:sz w:val="24"/>
        </w:rPr>
        <w:t>assumes that</w:t>
      </w:r>
      <w:r w:rsidRPr="102CE53A" w:rsidR="0098354E">
        <w:rPr>
          <w:sz w:val="24"/>
        </w:rPr>
        <w:t xml:space="preserve"> the</w:t>
      </w:r>
      <w:r w:rsidRPr="102CE53A" w:rsidR="00AC546F">
        <w:rPr>
          <w:sz w:val="24"/>
        </w:rPr>
        <w:t xml:space="preserve"> respondent occupation for this task correspond</w:t>
      </w:r>
      <w:r w:rsidRPr="102CE53A" w:rsidR="001701CD">
        <w:rPr>
          <w:sz w:val="24"/>
        </w:rPr>
        <w:t>s</w:t>
      </w:r>
      <w:r w:rsidRPr="102CE53A" w:rsidR="00AC546F">
        <w:rPr>
          <w:sz w:val="24"/>
        </w:rPr>
        <w:t xml:space="preserve"> to Business Operations Specialist. The </w:t>
      </w:r>
      <w:r w:rsidRPr="102CE53A" w:rsidR="00943C89">
        <w:rPr>
          <w:sz w:val="24"/>
        </w:rPr>
        <w:t xml:space="preserve">median </w:t>
      </w:r>
      <w:r w:rsidRPr="102CE53A" w:rsidR="00AC546F">
        <w:rPr>
          <w:sz w:val="24"/>
        </w:rPr>
        <w:t xml:space="preserve">hourly wage of Business Operations Specialists </w:t>
      </w:r>
      <w:r w:rsidRPr="102CE53A" w:rsidR="694FFF65">
        <w:rPr>
          <w:sz w:val="24"/>
        </w:rPr>
        <w:t>in</w:t>
      </w:r>
      <w:r w:rsidRPr="102CE53A" w:rsidR="00AC546F">
        <w:rPr>
          <w:sz w:val="24"/>
        </w:rPr>
        <w:t xml:space="preserve"> the </w:t>
      </w:r>
      <w:r w:rsidR="00B4593F">
        <w:rPr>
          <w:sz w:val="24"/>
        </w:rPr>
        <w:t>Truck Transportation</w:t>
      </w:r>
      <w:r w:rsidRPr="102CE53A" w:rsidR="00AC546F">
        <w:rPr>
          <w:sz w:val="24"/>
        </w:rPr>
        <w:t xml:space="preserve"> industry (North American Industry Classification System [NAICS] code 484000) is $2</w:t>
      </w:r>
      <w:r w:rsidRPr="102CE53A" w:rsidR="00B329E5">
        <w:rPr>
          <w:sz w:val="24"/>
        </w:rPr>
        <w:t>8.</w:t>
      </w:r>
      <w:r w:rsidR="0061584C">
        <w:rPr>
          <w:sz w:val="24"/>
        </w:rPr>
        <w:t>98</w:t>
      </w:r>
      <w:r w:rsidRPr="102CE53A" w:rsidR="00AC546F">
        <w:rPr>
          <w:sz w:val="24"/>
        </w:rPr>
        <w:t>.</w:t>
      </w:r>
      <w:r w:rsidRPr="102CE53A" w:rsidR="00AC546F">
        <w:rPr>
          <w:sz w:val="24"/>
          <w:vertAlign w:val="superscript"/>
        </w:rPr>
        <w:t xml:space="preserve"> </w:t>
      </w:r>
      <w:r w:rsidRPr="102CE53A" w:rsidR="002D110B">
        <w:rPr>
          <w:sz w:val="24"/>
          <w:vertAlign w:val="superscript"/>
        </w:rPr>
        <w:t>(</w:t>
      </w:r>
      <w:r>
        <w:rPr>
          <w:rStyle w:val="FootnoteReference"/>
          <w:sz w:val="24"/>
          <w:vertAlign w:val="superscript"/>
        </w:rPr>
        <w:footnoteReference w:id="5"/>
      </w:r>
      <w:r w:rsidRPr="102CE53A" w:rsidR="002D110B">
        <w:rPr>
          <w:sz w:val="24"/>
          <w:vertAlign w:val="superscript"/>
        </w:rPr>
        <w:t>,</w:t>
      </w:r>
      <w:r w:rsidRPr="102CE53A" w:rsidR="00AC546F">
        <w:rPr>
          <w:sz w:val="24"/>
          <w:vertAlign w:val="superscript"/>
        </w:rPr>
        <w:t xml:space="preserve"> </w:t>
      </w:r>
      <w:r>
        <w:rPr>
          <w:rStyle w:val="FootnoteReference"/>
          <w:sz w:val="24"/>
          <w:vertAlign w:val="superscript"/>
        </w:rPr>
        <w:footnoteReference w:id="6"/>
      </w:r>
      <w:r w:rsidRPr="102CE53A" w:rsidR="002D110B">
        <w:rPr>
          <w:sz w:val="24"/>
          <w:vertAlign w:val="superscript"/>
        </w:rPr>
        <w:t>)</w:t>
      </w:r>
      <w:r w:rsidRPr="102CE53A" w:rsidR="00AC546F">
        <w:rPr>
          <w:sz w:val="24"/>
        </w:rPr>
        <w:t xml:space="preserve"> To arrive at a loaded wage, </w:t>
      </w:r>
      <w:r w:rsidRPr="102CE53A">
        <w:rPr>
          <w:sz w:val="24"/>
        </w:rPr>
        <w:t xml:space="preserve">the </w:t>
      </w:r>
      <w:r w:rsidRPr="102CE53A" w:rsidR="002242F1">
        <w:rPr>
          <w:sz w:val="24"/>
        </w:rPr>
        <w:t>a</w:t>
      </w:r>
      <w:r w:rsidRPr="102CE53A">
        <w:rPr>
          <w:sz w:val="24"/>
        </w:rPr>
        <w:t xml:space="preserve">gency </w:t>
      </w:r>
      <w:r w:rsidRPr="102CE53A" w:rsidR="00AC546F">
        <w:rPr>
          <w:sz w:val="24"/>
        </w:rPr>
        <w:t>first estimated a load factor of 1.</w:t>
      </w:r>
      <w:r w:rsidRPr="102CE53A" w:rsidR="006462A6">
        <w:rPr>
          <w:sz w:val="24"/>
        </w:rPr>
        <w:t>4</w:t>
      </w:r>
      <w:r w:rsidR="00B4593F">
        <w:rPr>
          <w:sz w:val="24"/>
        </w:rPr>
        <w:t>8</w:t>
      </w:r>
      <w:r w:rsidRPr="102CE53A" w:rsidR="00AC546F">
        <w:rPr>
          <w:sz w:val="24"/>
        </w:rPr>
        <w:t xml:space="preserve"> by dividing the total cost of compensation for private industry workers of the </w:t>
      </w:r>
      <w:r w:rsidRPr="102CE53A" w:rsidR="00943C89">
        <w:rPr>
          <w:sz w:val="24"/>
        </w:rPr>
        <w:t>transportation and warehousing</w:t>
      </w:r>
      <w:r w:rsidRPr="102CE53A" w:rsidR="00AB4907">
        <w:rPr>
          <w:sz w:val="24"/>
        </w:rPr>
        <w:t xml:space="preserve"> industry </w:t>
      </w:r>
      <w:r w:rsidRPr="102CE53A" w:rsidR="00AC546F">
        <w:rPr>
          <w:sz w:val="24"/>
        </w:rPr>
        <w:t>($</w:t>
      </w:r>
      <w:r w:rsidRPr="102CE53A" w:rsidR="00B329E5">
        <w:rPr>
          <w:sz w:val="24"/>
        </w:rPr>
        <w:t>4</w:t>
      </w:r>
      <w:r w:rsidR="0061584C">
        <w:rPr>
          <w:sz w:val="24"/>
        </w:rPr>
        <w:t>8.49</w:t>
      </w:r>
      <w:r w:rsidRPr="102CE53A" w:rsidR="00AC546F">
        <w:rPr>
          <w:sz w:val="24"/>
        </w:rPr>
        <w:t>)</w:t>
      </w:r>
      <w:r w:rsidRPr="102CE53A" w:rsidR="00B329E5">
        <w:rPr>
          <w:sz w:val="24"/>
        </w:rPr>
        <w:t xml:space="preserve"> series</w:t>
      </w:r>
      <w:r w:rsidRPr="102CE53A" w:rsidR="00AC546F">
        <w:rPr>
          <w:sz w:val="24"/>
        </w:rPr>
        <w:t xml:space="preserve"> by the average cost of hourly wages and salaries ($</w:t>
      </w:r>
      <w:r w:rsidR="00B4593F">
        <w:rPr>
          <w:sz w:val="24"/>
        </w:rPr>
        <w:t>32.87</w:t>
      </w:r>
      <w:r w:rsidRPr="102CE53A" w:rsidR="00AC546F">
        <w:rPr>
          <w:sz w:val="24"/>
        </w:rPr>
        <w:t>)</w:t>
      </w:r>
      <w:r w:rsidRPr="102CE53A" w:rsidR="00B329E5">
        <w:rPr>
          <w:sz w:val="24"/>
        </w:rPr>
        <w:t xml:space="preserve"> for the same series</w:t>
      </w:r>
      <w:r w:rsidRPr="102CE53A" w:rsidR="00AC546F">
        <w:rPr>
          <w:sz w:val="24"/>
        </w:rPr>
        <w:t xml:space="preserve"> as reported by the Bureau of Labor Statistics in </w:t>
      </w:r>
      <w:r w:rsidR="00B4593F">
        <w:rPr>
          <w:sz w:val="24"/>
        </w:rPr>
        <w:t>March 2024</w:t>
      </w:r>
      <w:r w:rsidRPr="102CE53A" w:rsidR="00AC546F">
        <w:rPr>
          <w:sz w:val="24"/>
        </w:rPr>
        <w:t>.</w:t>
      </w:r>
      <w:r w:rsidRPr="102CE53A" w:rsidR="00AC546F">
        <w:rPr>
          <w:sz w:val="24"/>
          <w:vertAlign w:val="superscript"/>
        </w:rPr>
        <w:t>(</w:t>
      </w:r>
      <w:r>
        <w:rPr>
          <w:sz w:val="24"/>
          <w:vertAlign w:val="superscript"/>
        </w:rPr>
        <w:footnoteReference w:id="7"/>
      </w:r>
      <w:r w:rsidRPr="102CE53A" w:rsidR="00AC546F">
        <w:rPr>
          <w:sz w:val="24"/>
          <w:vertAlign w:val="superscript"/>
        </w:rPr>
        <w:t>)</w:t>
      </w:r>
      <w:r w:rsidRPr="102CE53A" w:rsidR="00AC546F">
        <w:rPr>
          <w:sz w:val="24"/>
        </w:rPr>
        <w:t xml:space="preserve"> Multiplying the </w:t>
      </w:r>
      <w:r w:rsidRPr="102CE53A" w:rsidR="005355ED">
        <w:rPr>
          <w:sz w:val="24"/>
        </w:rPr>
        <w:t xml:space="preserve">median </w:t>
      </w:r>
      <w:r w:rsidRPr="102CE53A" w:rsidR="00AC546F">
        <w:rPr>
          <w:sz w:val="24"/>
        </w:rPr>
        <w:t>hourly wage by the load factor results in a loaded hourly wage of $</w:t>
      </w:r>
      <w:r w:rsidR="00B4593F">
        <w:rPr>
          <w:sz w:val="24"/>
        </w:rPr>
        <w:t>42.75</w:t>
      </w:r>
      <w:r w:rsidRPr="102CE53A" w:rsidR="00AC546F">
        <w:rPr>
          <w:sz w:val="24"/>
        </w:rPr>
        <w:t>.</w:t>
      </w:r>
    </w:p>
    <w:p w:rsidR="00501140" w:rsidRPr="00B4583A" w:rsidP="00FA7FF0" w14:paraId="07E09B5F" w14:textId="77777777">
      <w:pPr>
        <w:ind w:left="360"/>
        <w:rPr>
          <w:color w:val="000000"/>
          <w:sz w:val="24"/>
        </w:rPr>
      </w:pPr>
      <w:bookmarkStart w:id="5" w:name="_Ref502234617"/>
    </w:p>
    <w:p w:rsidR="00AC546F" w:rsidRPr="00073443" w:rsidP="00073443" w14:paraId="2C00ACCE" w14:textId="38BB8FA9">
      <w:pPr>
        <w:pStyle w:val="Caption"/>
        <w:keepNext/>
        <w:spacing w:after="0"/>
        <w:ind w:left="360"/>
        <w:rPr>
          <w:b/>
          <w:i w:val="0"/>
          <w:color w:val="auto"/>
          <w:sz w:val="24"/>
          <w:szCs w:val="24"/>
        </w:rPr>
      </w:pPr>
      <w:bookmarkStart w:id="6" w:name="_Ref521318419"/>
      <w:r w:rsidRPr="00073443">
        <w:rPr>
          <w:b/>
          <w:i w:val="0"/>
          <w:color w:val="auto"/>
          <w:sz w:val="24"/>
          <w:szCs w:val="24"/>
        </w:rPr>
        <w:t xml:space="preserve">Table </w:t>
      </w:r>
      <w:bookmarkStart w:id="7" w:name="_Ref502138345"/>
      <w:r w:rsidRPr="00073443">
        <w:rPr>
          <w:b/>
          <w:i w:val="0"/>
          <w:color w:val="auto"/>
          <w:sz w:val="24"/>
          <w:szCs w:val="24"/>
        </w:rPr>
        <w:fldChar w:fldCharType="begin"/>
      </w:r>
      <w:r w:rsidRPr="00073443">
        <w:rPr>
          <w:b/>
          <w:i w:val="0"/>
          <w:color w:val="auto"/>
          <w:sz w:val="24"/>
          <w:szCs w:val="24"/>
        </w:rPr>
        <w:instrText xml:space="preserve"> SEQ Table \* ARABIC </w:instrText>
      </w:r>
      <w:r w:rsidRPr="00073443">
        <w:rPr>
          <w:b/>
          <w:i w:val="0"/>
          <w:color w:val="auto"/>
          <w:sz w:val="24"/>
          <w:szCs w:val="24"/>
        </w:rPr>
        <w:fldChar w:fldCharType="separate"/>
      </w:r>
      <w:r w:rsidRPr="00073443" w:rsidR="004E32A5">
        <w:rPr>
          <w:b/>
          <w:i w:val="0"/>
          <w:noProof/>
          <w:color w:val="auto"/>
          <w:sz w:val="24"/>
          <w:szCs w:val="24"/>
        </w:rPr>
        <w:t>1</w:t>
      </w:r>
      <w:r w:rsidRPr="00073443">
        <w:rPr>
          <w:b/>
          <w:i w:val="0"/>
          <w:color w:val="auto"/>
          <w:sz w:val="24"/>
          <w:szCs w:val="24"/>
        </w:rPr>
        <w:fldChar w:fldCharType="end"/>
      </w:r>
      <w:bookmarkEnd w:id="5"/>
      <w:bookmarkEnd w:id="6"/>
      <w:bookmarkEnd w:id="7"/>
      <w:r w:rsidRPr="00073443">
        <w:rPr>
          <w:b/>
          <w:i w:val="0"/>
          <w:color w:val="auto"/>
          <w:sz w:val="24"/>
          <w:szCs w:val="24"/>
        </w:rPr>
        <w:t>. Respondents, Burden Hour, and Burden Hour Cost Estimates</w:t>
      </w:r>
      <w:r w:rsidRPr="00073443" w:rsidR="00EC2026">
        <w:rPr>
          <w:b/>
          <w:i w:val="0"/>
          <w:color w:val="auto"/>
          <w:sz w:val="24"/>
          <w:szCs w:val="24"/>
        </w:rPr>
        <w:t xml:space="preserve"> for Form OP-2.</w:t>
      </w:r>
    </w:p>
    <w:p w:rsidR="00073443" w:rsidRPr="00073443" w:rsidP="00073443" w14:paraId="0E830FE7" w14:textId="77777777">
      <w:pPr>
        <w:rPr>
          <w:sz w:val="24"/>
        </w:rPr>
      </w:pPr>
    </w:p>
    <w:tbl>
      <w:tblPr>
        <w:tblpPr w:leftFromText="180" w:rightFromText="180" w:vertAnchor="text" w:tblpXSpec="center" w:tblpY="1"/>
        <w:tblOverlap w:val="neve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360"/>
        <w:gridCol w:w="1362"/>
        <w:gridCol w:w="1958"/>
        <w:gridCol w:w="1440"/>
        <w:gridCol w:w="1581"/>
      </w:tblGrid>
      <w:tr w14:paraId="144DD665" w14:textId="77777777" w:rsidTr="000C5582">
        <w:tblPrEx>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0"/>
        </w:trPr>
        <w:tc>
          <w:tcPr>
            <w:tcW w:w="990" w:type="dxa"/>
            <w:vMerge w:val="restart"/>
            <w:shd w:val="clear" w:color="000000" w:fill="E0E0E0"/>
            <w:vAlign w:val="bottom"/>
            <w:hideMark/>
          </w:tcPr>
          <w:p w:rsidR="00AC546F" w:rsidRPr="00EA7BC6" w:rsidP="000C5582" w14:paraId="30F213DC" w14:textId="77777777">
            <w:pPr>
              <w:widowControl/>
              <w:autoSpaceDE/>
              <w:autoSpaceDN/>
              <w:adjustRightInd/>
              <w:jc w:val="center"/>
              <w:rPr>
                <w:b/>
                <w:bCs/>
                <w:color w:val="000000"/>
                <w:szCs w:val="20"/>
              </w:rPr>
            </w:pPr>
            <w:r w:rsidRPr="00EA7BC6">
              <w:rPr>
                <w:b/>
                <w:bCs/>
                <w:color w:val="000000"/>
                <w:szCs w:val="20"/>
              </w:rPr>
              <w:t>Year</w:t>
            </w:r>
          </w:p>
        </w:tc>
        <w:tc>
          <w:tcPr>
            <w:tcW w:w="1360" w:type="dxa"/>
            <w:vMerge w:val="restart"/>
            <w:shd w:val="clear" w:color="000000" w:fill="E0E0E0"/>
            <w:vAlign w:val="bottom"/>
            <w:hideMark/>
          </w:tcPr>
          <w:p w:rsidR="00AC546F" w:rsidP="000C5582" w14:paraId="51F09B2A" w14:textId="77777777">
            <w:pPr>
              <w:widowControl/>
              <w:autoSpaceDE/>
              <w:autoSpaceDN/>
              <w:adjustRightInd/>
              <w:jc w:val="center"/>
              <w:rPr>
                <w:b/>
                <w:bCs/>
                <w:color w:val="000000"/>
                <w:szCs w:val="20"/>
              </w:rPr>
            </w:pPr>
            <w:r w:rsidRPr="00EA7BC6">
              <w:rPr>
                <w:b/>
                <w:bCs/>
                <w:color w:val="000000"/>
                <w:szCs w:val="20"/>
              </w:rPr>
              <w:t>Number of Respondents</w:t>
            </w:r>
          </w:p>
          <w:p w:rsidR="00AC546F" w:rsidRPr="00EA7BC6" w:rsidP="000C5582" w14:paraId="167D7599" w14:textId="77777777">
            <w:pPr>
              <w:widowControl/>
              <w:autoSpaceDE/>
              <w:autoSpaceDN/>
              <w:adjustRightInd/>
              <w:jc w:val="center"/>
              <w:rPr>
                <w:b/>
                <w:bCs/>
                <w:color w:val="000000"/>
                <w:szCs w:val="20"/>
              </w:rPr>
            </w:pPr>
            <w:r>
              <w:rPr>
                <w:b/>
                <w:bCs/>
                <w:color w:val="000000"/>
                <w:szCs w:val="20"/>
              </w:rPr>
              <w:t>(a)</w:t>
            </w:r>
          </w:p>
        </w:tc>
        <w:tc>
          <w:tcPr>
            <w:tcW w:w="1362" w:type="dxa"/>
            <w:vMerge w:val="restart"/>
            <w:shd w:val="clear" w:color="000000" w:fill="E0E0E0"/>
            <w:vAlign w:val="bottom"/>
            <w:hideMark/>
          </w:tcPr>
          <w:p w:rsidR="00AC546F" w:rsidP="000C5582" w14:paraId="6615322A" w14:textId="77777777">
            <w:pPr>
              <w:widowControl/>
              <w:autoSpaceDE/>
              <w:autoSpaceDN/>
              <w:adjustRightInd/>
              <w:jc w:val="center"/>
              <w:rPr>
                <w:b/>
                <w:bCs/>
                <w:color w:val="000000"/>
                <w:szCs w:val="20"/>
              </w:rPr>
            </w:pPr>
            <w:r w:rsidRPr="00EA7BC6">
              <w:rPr>
                <w:b/>
                <w:bCs/>
                <w:color w:val="000000"/>
                <w:szCs w:val="20"/>
              </w:rPr>
              <w:t>Number of Responses</w:t>
            </w:r>
          </w:p>
          <w:p w:rsidR="00AC546F" w:rsidRPr="00EA7BC6" w:rsidP="000C5582" w14:paraId="56326F51" w14:textId="77777777">
            <w:pPr>
              <w:widowControl/>
              <w:autoSpaceDE/>
              <w:autoSpaceDN/>
              <w:adjustRightInd/>
              <w:jc w:val="center"/>
              <w:rPr>
                <w:b/>
                <w:bCs/>
                <w:color w:val="000000"/>
                <w:szCs w:val="20"/>
              </w:rPr>
            </w:pPr>
            <w:r>
              <w:rPr>
                <w:b/>
                <w:bCs/>
                <w:color w:val="000000"/>
                <w:szCs w:val="20"/>
              </w:rPr>
              <w:t>(a × 1 = b)</w:t>
            </w:r>
          </w:p>
        </w:tc>
        <w:tc>
          <w:tcPr>
            <w:tcW w:w="1958" w:type="dxa"/>
            <w:vMerge w:val="restart"/>
            <w:shd w:val="clear" w:color="000000" w:fill="E0E0E0"/>
            <w:vAlign w:val="bottom"/>
            <w:hideMark/>
          </w:tcPr>
          <w:p w:rsidR="00AC546F" w:rsidP="000C5582" w14:paraId="67E54C24" w14:textId="77777777">
            <w:pPr>
              <w:widowControl/>
              <w:autoSpaceDE/>
              <w:autoSpaceDN/>
              <w:adjustRightInd/>
              <w:jc w:val="center"/>
              <w:rPr>
                <w:b/>
                <w:bCs/>
                <w:color w:val="000000"/>
                <w:szCs w:val="20"/>
              </w:rPr>
            </w:pPr>
            <w:r w:rsidRPr="00EA7BC6">
              <w:rPr>
                <w:b/>
                <w:bCs/>
                <w:color w:val="000000"/>
                <w:szCs w:val="20"/>
              </w:rPr>
              <w:t>Average Burden Hours per Response</w:t>
            </w:r>
          </w:p>
          <w:p w:rsidR="00AC546F" w:rsidRPr="00EA7BC6" w:rsidP="000C5582" w14:paraId="62A6F97C" w14:textId="3A459438">
            <w:pPr>
              <w:widowControl/>
              <w:autoSpaceDE/>
              <w:autoSpaceDN/>
              <w:adjustRightInd/>
              <w:jc w:val="center"/>
              <w:rPr>
                <w:b/>
                <w:bCs/>
                <w:color w:val="000000"/>
                <w:szCs w:val="20"/>
              </w:rPr>
            </w:pPr>
            <w:r>
              <w:rPr>
                <w:b/>
                <w:bCs/>
                <w:color w:val="000000"/>
                <w:szCs w:val="20"/>
              </w:rPr>
              <w:t>(c)</w:t>
            </w:r>
          </w:p>
        </w:tc>
        <w:tc>
          <w:tcPr>
            <w:tcW w:w="1440" w:type="dxa"/>
            <w:vMerge w:val="restart"/>
            <w:shd w:val="clear" w:color="000000" w:fill="E0E0E0"/>
            <w:vAlign w:val="bottom"/>
            <w:hideMark/>
          </w:tcPr>
          <w:p w:rsidR="00AC546F" w:rsidP="000C5582" w14:paraId="3ABE0647" w14:textId="77777777">
            <w:pPr>
              <w:widowControl/>
              <w:autoSpaceDE/>
              <w:autoSpaceDN/>
              <w:adjustRightInd/>
              <w:jc w:val="center"/>
              <w:rPr>
                <w:b/>
                <w:bCs/>
                <w:color w:val="000000"/>
                <w:szCs w:val="20"/>
              </w:rPr>
            </w:pPr>
            <w:r w:rsidRPr="00EA7BC6">
              <w:rPr>
                <w:b/>
                <w:bCs/>
                <w:color w:val="000000"/>
                <w:szCs w:val="20"/>
              </w:rPr>
              <w:t>Total Burden Hours</w:t>
            </w:r>
          </w:p>
          <w:p w:rsidR="00AC546F" w:rsidRPr="00EA7BC6" w:rsidP="000C5582" w14:paraId="2703B1C7" w14:textId="77777777">
            <w:pPr>
              <w:widowControl/>
              <w:autoSpaceDE/>
              <w:autoSpaceDN/>
              <w:adjustRightInd/>
              <w:jc w:val="center"/>
              <w:rPr>
                <w:b/>
                <w:bCs/>
                <w:color w:val="000000"/>
                <w:szCs w:val="20"/>
              </w:rPr>
            </w:pPr>
            <w:r>
              <w:rPr>
                <w:b/>
                <w:bCs/>
                <w:color w:val="000000"/>
                <w:szCs w:val="20"/>
              </w:rPr>
              <w:t>(b × c = d)</w:t>
            </w:r>
          </w:p>
        </w:tc>
        <w:tc>
          <w:tcPr>
            <w:tcW w:w="1581" w:type="dxa"/>
            <w:vMerge w:val="restart"/>
            <w:shd w:val="clear" w:color="000000" w:fill="E0E0E0"/>
            <w:vAlign w:val="bottom"/>
            <w:hideMark/>
          </w:tcPr>
          <w:p w:rsidR="00AC546F" w:rsidP="000C5582" w14:paraId="53C7ECEB" w14:textId="77777777">
            <w:pPr>
              <w:widowControl/>
              <w:autoSpaceDE/>
              <w:autoSpaceDN/>
              <w:adjustRightInd/>
              <w:jc w:val="center"/>
              <w:rPr>
                <w:b/>
                <w:bCs/>
                <w:color w:val="000000"/>
                <w:szCs w:val="20"/>
              </w:rPr>
            </w:pPr>
            <w:r>
              <w:rPr>
                <w:b/>
                <w:bCs/>
                <w:color w:val="000000"/>
                <w:szCs w:val="20"/>
              </w:rPr>
              <w:t xml:space="preserve">Total </w:t>
            </w:r>
            <w:r w:rsidR="0050598C">
              <w:rPr>
                <w:b/>
                <w:bCs/>
                <w:color w:val="000000"/>
                <w:szCs w:val="20"/>
              </w:rPr>
              <w:t xml:space="preserve">Burden Hour </w:t>
            </w:r>
            <w:r>
              <w:rPr>
                <w:b/>
                <w:bCs/>
                <w:color w:val="000000"/>
                <w:szCs w:val="20"/>
              </w:rPr>
              <w:t>Cost</w:t>
            </w:r>
          </w:p>
          <w:p w:rsidR="00AC546F" w:rsidRPr="00EA7BC6" w:rsidP="000C5582" w14:paraId="37D8D41B" w14:textId="019EC498">
            <w:pPr>
              <w:widowControl/>
              <w:autoSpaceDE/>
              <w:autoSpaceDN/>
              <w:adjustRightInd/>
              <w:jc w:val="center"/>
              <w:rPr>
                <w:b/>
                <w:bCs/>
                <w:color w:val="000000"/>
                <w:szCs w:val="20"/>
              </w:rPr>
            </w:pPr>
            <w:r>
              <w:rPr>
                <w:b/>
                <w:bCs/>
                <w:color w:val="000000"/>
                <w:szCs w:val="20"/>
              </w:rPr>
              <w:t>(d × $</w:t>
            </w:r>
            <w:r w:rsidR="00B4593F">
              <w:rPr>
                <w:b/>
                <w:bCs/>
                <w:color w:val="000000"/>
                <w:szCs w:val="20"/>
              </w:rPr>
              <w:t>42.75</w:t>
            </w:r>
            <w:r>
              <w:rPr>
                <w:b/>
                <w:bCs/>
                <w:color w:val="000000"/>
                <w:szCs w:val="20"/>
              </w:rPr>
              <w:t xml:space="preserve"> = e)</w:t>
            </w:r>
          </w:p>
        </w:tc>
      </w:tr>
      <w:tr w14:paraId="1DB4D8A9" w14:textId="77777777" w:rsidTr="000C5582">
        <w:tblPrEx>
          <w:tblW w:w="8691" w:type="dxa"/>
          <w:tblLayout w:type="fixed"/>
          <w:tblLook w:val="04A0"/>
        </w:tblPrEx>
        <w:trPr>
          <w:trHeight w:val="636"/>
        </w:trPr>
        <w:tc>
          <w:tcPr>
            <w:tcW w:w="990" w:type="dxa"/>
            <w:vMerge/>
            <w:vAlign w:val="bottom"/>
            <w:hideMark/>
          </w:tcPr>
          <w:p w:rsidR="00AC546F" w:rsidRPr="00EA7BC6" w:rsidP="000C5582" w14:paraId="09269838" w14:textId="77777777">
            <w:pPr>
              <w:widowControl/>
              <w:autoSpaceDE/>
              <w:autoSpaceDN/>
              <w:adjustRightInd/>
              <w:jc w:val="center"/>
              <w:rPr>
                <w:b/>
                <w:bCs/>
                <w:color w:val="000000"/>
                <w:szCs w:val="20"/>
              </w:rPr>
            </w:pPr>
          </w:p>
        </w:tc>
        <w:tc>
          <w:tcPr>
            <w:tcW w:w="1360" w:type="dxa"/>
            <w:vMerge/>
            <w:vAlign w:val="bottom"/>
            <w:hideMark/>
          </w:tcPr>
          <w:p w:rsidR="00AC546F" w:rsidRPr="00EA7BC6" w:rsidP="000C5582" w14:paraId="28AA4050" w14:textId="77777777">
            <w:pPr>
              <w:widowControl/>
              <w:autoSpaceDE/>
              <w:autoSpaceDN/>
              <w:adjustRightInd/>
              <w:jc w:val="center"/>
              <w:rPr>
                <w:b/>
                <w:bCs/>
                <w:color w:val="000000"/>
                <w:szCs w:val="20"/>
              </w:rPr>
            </w:pPr>
          </w:p>
        </w:tc>
        <w:tc>
          <w:tcPr>
            <w:tcW w:w="1362" w:type="dxa"/>
            <w:vMerge/>
            <w:vAlign w:val="bottom"/>
            <w:hideMark/>
          </w:tcPr>
          <w:p w:rsidR="00AC546F" w:rsidRPr="00EA7BC6" w:rsidP="000C5582" w14:paraId="2671F7BC" w14:textId="77777777">
            <w:pPr>
              <w:widowControl/>
              <w:autoSpaceDE/>
              <w:autoSpaceDN/>
              <w:adjustRightInd/>
              <w:jc w:val="center"/>
              <w:rPr>
                <w:b/>
                <w:bCs/>
                <w:color w:val="000000"/>
                <w:szCs w:val="20"/>
              </w:rPr>
            </w:pPr>
          </w:p>
        </w:tc>
        <w:tc>
          <w:tcPr>
            <w:tcW w:w="1958" w:type="dxa"/>
            <w:vMerge/>
            <w:vAlign w:val="bottom"/>
            <w:hideMark/>
          </w:tcPr>
          <w:p w:rsidR="00AC546F" w:rsidRPr="00EA7BC6" w:rsidP="000C5582" w14:paraId="7D39A363" w14:textId="77777777">
            <w:pPr>
              <w:widowControl/>
              <w:autoSpaceDE/>
              <w:autoSpaceDN/>
              <w:adjustRightInd/>
              <w:jc w:val="center"/>
              <w:rPr>
                <w:b/>
                <w:bCs/>
                <w:color w:val="000000"/>
                <w:szCs w:val="20"/>
              </w:rPr>
            </w:pPr>
          </w:p>
        </w:tc>
        <w:tc>
          <w:tcPr>
            <w:tcW w:w="1440" w:type="dxa"/>
            <w:vMerge/>
            <w:vAlign w:val="bottom"/>
            <w:hideMark/>
          </w:tcPr>
          <w:p w:rsidR="00AC546F" w:rsidRPr="00EA7BC6" w:rsidP="000C5582" w14:paraId="273E00BB" w14:textId="77777777">
            <w:pPr>
              <w:widowControl/>
              <w:autoSpaceDE/>
              <w:autoSpaceDN/>
              <w:adjustRightInd/>
              <w:jc w:val="center"/>
              <w:rPr>
                <w:b/>
                <w:bCs/>
                <w:color w:val="000000"/>
                <w:szCs w:val="20"/>
              </w:rPr>
            </w:pPr>
          </w:p>
        </w:tc>
        <w:tc>
          <w:tcPr>
            <w:tcW w:w="1581" w:type="dxa"/>
            <w:vMerge/>
            <w:vAlign w:val="bottom"/>
            <w:hideMark/>
          </w:tcPr>
          <w:p w:rsidR="00AC546F" w:rsidRPr="00EA7BC6" w:rsidP="000C5582" w14:paraId="10AED1D7" w14:textId="77777777">
            <w:pPr>
              <w:widowControl/>
              <w:autoSpaceDE/>
              <w:autoSpaceDN/>
              <w:adjustRightInd/>
              <w:jc w:val="center"/>
              <w:rPr>
                <w:b/>
                <w:bCs/>
                <w:color w:val="000000"/>
                <w:szCs w:val="20"/>
              </w:rPr>
            </w:pPr>
          </w:p>
        </w:tc>
      </w:tr>
      <w:tr w14:paraId="0B2E7980" w14:textId="77777777" w:rsidTr="000C5582">
        <w:tblPrEx>
          <w:tblW w:w="8691" w:type="dxa"/>
          <w:tblLayout w:type="fixed"/>
          <w:tblLook w:val="04A0"/>
        </w:tblPrEx>
        <w:trPr>
          <w:trHeight w:val="280"/>
        </w:trPr>
        <w:tc>
          <w:tcPr>
            <w:tcW w:w="990" w:type="dxa"/>
            <w:shd w:val="clear" w:color="auto" w:fill="auto"/>
            <w:vAlign w:val="bottom"/>
            <w:hideMark/>
          </w:tcPr>
          <w:p w:rsidR="00A72E5E" w:rsidRPr="00EA7BC6" w:rsidP="000C5582" w14:paraId="3DE87DAC" w14:textId="77777777">
            <w:pPr>
              <w:widowControl/>
              <w:autoSpaceDE/>
              <w:autoSpaceDN/>
              <w:adjustRightInd/>
              <w:jc w:val="center"/>
              <w:rPr>
                <w:color w:val="000000"/>
                <w:szCs w:val="20"/>
              </w:rPr>
            </w:pPr>
            <w:r w:rsidRPr="00EA7BC6">
              <w:rPr>
                <w:color w:val="000000"/>
                <w:szCs w:val="20"/>
              </w:rPr>
              <w:t>1</w:t>
            </w:r>
          </w:p>
        </w:tc>
        <w:tc>
          <w:tcPr>
            <w:tcW w:w="1360" w:type="dxa"/>
            <w:shd w:val="clear" w:color="auto" w:fill="auto"/>
            <w:vAlign w:val="center"/>
            <w:hideMark/>
          </w:tcPr>
          <w:p w:rsidR="00A72E5E" w:rsidRPr="00EA7BC6" w:rsidP="000C5582" w14:paraId="1B2A04C1" w14:textId="3DAEEFDB">
            <w:pPr>
              <w:widowControl/>
              <w:autoSpaceDE/>
              <w:autoSpaceDN/>
              <w:adjustRightInd/>
              <w:jc w:val="center"/>
              <w:rPr>
                <w:color w:val="000000"/>
                <w:szCs w:val="20"/>
              </w:rPr>
            </w:pPr>
            <w:r>
              <w:rPr>
                <w:color w:val="000000"/>
                <w:szCs w:val="20"/>
              </w:rPr>
              <w:t>399</w:t>
            </w:r>
          </w:p>
        </w:tc>
        <w:tc>
          <w:tcPr>
            <w:tcW w:w="1362" w:type="dxa"/>
            <w:shd w:val="clear" w:color="auto" w:fill="auto"/>
            <w:vAlign w:val="center"/>
            <w:hideMark/>
          </w:tcPr>
          <w:p w:rsidR="00A72E5E" w:rsidRPr="00EA7BC6" w:rsidP="000C5582" w14:paraId="36052EB7" w14:textId="50124879">
            <w:pPr>
              <w:widowControl/>
              <w:autoSpaceDE/>
              <w:autoSpaceDN/>
              <w:adjustRightInd/>
              <w:jc w:val="center"/>
              <w:rPr>
                <w:color w:val="000000"/>
                <w:szCs w:val="20"/>
              </w:rPr>
            </w:pPr>
            <w:r>
              <w:rPr>
                <w:color w:val="000000"/>
                <w:szCs w:val="20"/>
              </w:rPr>
              <w:t>399</w:t>
            </w:r>
          </w:p>
        </w:tc>
        <w:tc>
          <w:tcPr>
            <w:tcW w:w="1958" w:type="dxa"/>
            <w:shd w:val="clear" w:color="auto" w:fill="auto"/>
            <w:vAlign w:val="center"/>
            <w:hideMark/>
          </w:tcPr>
          <w:p w:rsidR="00A72E5E" w:rsidRPr="00EA7BC6" w:rsidP="000C5582" w14:paraId="7FDDEAB5" w14:textId="77777777">
            <w:pPr>
              <w:widowControl/>
              <w:autoSpaceDE/>
              <w:autoSpaceDN/>
              <w:adjustRightInd/>
              <w:jc w:val="center"/>
              <w:rPr>
                <w:color w:val="000000"/>
                <w:szCs w:val="20"/>
              </w:rPr>
            </w:pPr>
            <w:r>
              <w:rPr>
                <w:color w:val="000000"/>
                <w:szCs w:val="20"/>
              </w:rPr>
              <w:t>1.5</w:t>
            </w:r>
          </w:p>
        </w:tc>
        <w:tc>
          <w:tcPr>
            <w:tcW w:w="1440" w:type="dxa"/>
            <w:shd w:val="clear" w:color="auto" w:fill="auto"/>
            <w:vAlign w:val="center"/>
          </w:tcPr>
          <w:p w:rsidR="00A72E5E" w:rsidRPr="00EA7BC6" w:rsidP="000C5582" w14:paraId="7F8225D9" w14:textId="014B0751">
            <w:pPr>
              <w:widowControl/>
              <w:autoSpaceDE/>
              <w:autoSpaceDN/>
              <w:adjustRightInd/>
              <w:jc w:val="center"/>
              <w:rPr>
                <w:color w:val="000000"/>
                <w:szCs w:val="20"/>
              </w:rPr>
            </w:pPr>
            <w:r>
              <w:rPr>
                <w:color w:val="000000"/>
                <w:szCs w:val="20"/>
              </w:rPr>
              <w:t>599</w:t>
            </w:r>
          </w:p>
        </w:tc>
        <w:tc>
          <w:tcPr>
            <w:tcW w:w="1581" w:type="dxa"/>
            <w:shd w:val="clear" w:color="auto" w:fill="auto"/>
            <w:vAlign w:val="center"/>
          </w:tcPr>
          <w:p w:rsidR="00A72E5E" w:rsidRPr="00EA7BC6" w:rsidP="000C5582" w14:paraId="3EF2FF07" w14:textId="74D02555">
            <w:pPr>
              <w:widowControl/>
              <w:autoSpaceDE/>
              <w:autoSpaceDN/>
              <w:adjustRightInd/>
              <w:jc w:val="center"/>
              <w:rPr>
                <w:color w:val="000000"/>
                <w:szCs w:val="20"/>
              </w:rPr>
            </w:pPr>
            <w:r>
              <w:rPr>
                <w:color w:val="000000"/>
                <w:szCs w:val="20"/>
              </w:rPr>
              <w:t>$</w:t>
            </w:r>
            <w:r w:rsidR="00B4593F">
              <w:rPr>
                <w:color w:val="000000"/>
                <w:szCs w:val="20"/>
              </w:rPr>
              <w:t>25,607</w:t>
            </w:r>
          </w:p>
        </w:tc>
      </w:tr>
      <w:tr w14:paraId="5E9D9911" w14:textId="77777777" w:rsidTr="000C5582">
        <w:tblPrEx>
          <w:tblW w:w="8691" w:type="dxa"/>
          <w:tblLayout w:type="fixed"/>
          <w:tblLook w:val="04A0"/>
        </w:tblPrEx>
        <w:trPr>
          <w:trHeight w:val="270"/>
        </w:trPr>
        <w:tc>
          <w:tcPr>
            <w:tcW w:w="990" w:type="dxa"/>
            <w:shd w:val="clear" w:color="auto" w:fill="auto"/>
            <w:vAlign w:val="bottom"/>
            <w:hideMark/>
          </w:tcPr>
          <w:p w:rsidR="00A72E5E" w:rsidRPr="00EA7BC6" w:rsidP="000C5582" w14:paraId="10F7E1B2" w14:textId="77777777">
            <w:pPr>
              <w:widowControl/>
              <w:autoSpaceDE/>
              <w:autoSpaceDN/>
              <w:adjustRightInd/>
              <w:jc w:val="center"/>
              <w:rPr>
                <w:color w:val="000000"/>
                <w:szCs w:val="20"/>
              </w:rPr>
            </w:pPr>
            <w:r w:rsidRPr="00EA7BC6">
              <w:rPr>
                <w:color w:val="000000"/>
                <w:szCs w:val="20"/>
              </w:rPr>
              <w:t>2</w:t>
            </w:r>
          </w:p>
        </w:tc>
        <w:tc>
          <w:tcPr>
            <w:tcW w:w="1360" w:type="dxa"/>
            <w:shd w:val="clear" w:color="auto" w:fill="auto"/>
            <w:vAlign w:val="center"/>
            <w:hideMark/>
          </w:tcPr>
          <w:p w:rsidR="00A72E5E" w:rsidRPr="00EA7BC6" w:rsidP="000C5582" w14:paraId="109A1400" w14:textId="7AC42313">
            <w:pPr>
              <w:widowControl/>
              <w:autoSpaceDE/>
              <w:autoSpaceDN/>
              <w:adjustRightInd/>
              <w:jc w:val="center"/>
              <w:rPr>
                <w:color w:val="000000"/>
                <w:szCs w:val="20"/>
              </w:rPr>
            </w:pPr>
            <w:r>
              <w:rPr>
                <w:color w:val="000000"/>
                <w:szCs w:val="20"/>
              </w:rPr>
              <w:t>736</w:t>
            </w:r>
          </w:p>
        </w:tc>
        <w:tc>
          <w:tcPr>
            <w:tcW w:w="1362" w:type="dxa"/>
            <w:shd w:val="clear" w:color="auto" w:fill="auto"/>
            <w:vAlign w:val="center"/>
            <w:hideMark/>
          </w:tcPr>
          <w:p w:rsidR="00A72E5E" w:rsidRPr="00EA7BC6" w:rsidP="000C5582" w14:paraId="01FE0F88" w14:textId="0D6402BD">
            <w:pPr>
              <w:widowControl/>
              <w:autoSpaceDE/>
              <w:autoSpaceDN/>
              <w:adjustRightInd/>
              <w:jc w:val="center"/>
              <w:rPr>
                <w:color w:val="000000"/>
                <w:szCs w:val="20"/>
              </w:rPr>
            </w:pPr>
            <w:r>
              <w:rPr>
                <w:color w:val="000000"/>
                <w:szCs w:val="20"/>
              </w:rPr>
              <w:t>736</w:t>
            </w:r>
          </w:p>
        </w:tc>
        <w:tc>
          <w:tcPr>
            <w:tcW w:w="1958" w:type="dxa"/>
            <w:shd w:val="clear" w:color="auto" w:fill="auto"/>
            <w:vAlign w:val="center"/>
            <w:hideMark/>
          </w:tcPr>
          <w:p w:rsidR="00A72E5E" w:rsidRPr="00EA7BC6" w:rsidP="000C5582" w14:paraId="0AA68B7B" w14:textId="77777777">
            <w:pPr>
              <w:widowControl/>
              <w:autoSpaceDE/>
              <w:autoSpaceDN/>
              <w:adjustRightInd/>
              <w:jc w:val="center"/>
              <w:rPr>
                <w:color w:val="000000"/>
                <w:szCs w:val="20"/>
              </w:rPr>
            </w:pPr>
            <w:r>
              <w:rPr>
                <w:color w:val="000000"/>
                <w:szCs w:val="20"/>
              </w:rPr>
              <w:t>1.5</w:t>
            </w:r>
          </w:p>
        </w:tc>
        <w:tc>
          <w:tcPr>
            <w:tcW w:w="1440" w:type="dxa"/>
            <w:shd w:val="clear" w:color="auto" w:fill="auto"/>
            <w:vAlign w:val="center"/>
          </w:tcPr>
          <w:p w:rsidR="00A72E5E" w:rsidRPr="00EA7BC6" w:rsidP="000C5582" w14:paraId="3241B492" w14:textId="1C8B0316">
            <w:pPr>
              <w:widowControl/>
              <w:autoSpaceDE/>
              <w:autoSpaceDN/>
              <w:adjustRightInd/>
              <w:jc w:val="center"/>
              <w:rPr>
                <w:color w:val="000000"/>
                <w:szCs w:val="20"/>
              </w:rPr>
            </w:pPr>
            <w:r>
              <w:rPr>
                <w:color w:val="000000"/>
                <w:szCs w:val="20"/>
              </w:rPr>
              <w:t>1104</w:t>
            </w:r>
          </w:p>
        </w:tc>
        <w:tc>
          <w:tcPr>
            <w:tcW w:w="1581" w:type="dxa"/>
            <w:shd w:val="clear" w:color="auto" w:fill="auto"/>
            <w:vAlign w:val="center"/>
          </w:tcPr>
          <w:p w:rsidR="00A72E5E" w:rsidRPr="00EA7BC6" w:rsidP="000C5582" w14:paraId="1DB90911" w14:textId="4235D8F6">
            <w:pPr>
              <w:widowControl/>
              <w:autoSpaceDE/>
              <w:autoSpaceDN/>
              <w:adjustRightInd/>
              <w:jc w:val="center"/>
              <w:rPr>
                <w:color w:val="000000"/>
                <w:szCs w:val="20"/>
              </w:rPr>
            </w:pPr>
            <w:r>
              <w:rPr>
                <w:color w:val="000000"/>
                <w:szCs w:val="20"/>
              </w:rPr>
              <w:t>$</w:t>
            </w:r>
            <w:r w:rsidR="00B4593F">
              <w:rPr>
                <w:color w:val="000000"/>
                <w:szCs w:val="20"/>
              </w:rPr>
              <w:t>47,196</w:t>
            </w:r>
          </w:p>
        </w:tc>
      </w:tr>
      <w:tr w14:paraId="15AE4B1B" w14:textId="77777777" w:rsidTr="000C5582">
        <w:tblPrEx>
          <w:tblW w:w="8691" w:type="dxa"/>
          <w:tblLayout w:type="fixed"/>
          <w:tblLook w:val="04A0"/>
        </w:tblPrEx>
        <w:trPr>
          <w:trHeight w:val="270"/>
        </w:trPr>
        <w:tc>
          <w:tcPr>
            <w:tcW w:w="990" w:type="dxa"/>
            <w:shd w:val="clear" w:color="auto" w:fill="auto"/>
            <w:vAlign w:val="bottom"/>
            <w:hideMark/>
          </w:tcPr>
          <w:p w:rsidR="00A72E5E" w:rsidRPr="00EA7BC6" w:rsidP="000C5582" w14:paraId="5F061919" w14:textId="77777777">
            <w:pPr>
              <w:widowControl/>
              <w:autoSpaceDE/>
              <w:autoSpaceDN/>
              <w:adjustRightInd/>
              <w:jc w:val="center"/>
              <w:rPr>
                <w:color w:val="000000"/>
                <w:szCs w:val="20"/>
              </w:rPr>
            </w:pPr>
            <w:r w:rsidRPr="00EA7BC6">
              <w:rPr>
                <w:color w:val="000000"/>
                <w:szCs w:val="20"/>
              </w:rPr>
              <w:t>3</w:t>
            </w:r>
          </w:p>
        </w:tc>
        <w:tc>
          <w:tcPr>
            <w:tcW w:w="1360" w:type="dxa"/>
            <w:shd w:val="clear" w:color="auto" w:fill="auto"/>
            <w:vAlign w:val="center"/>
            <w:hideMark/>
          </w:tcPr>
          <w:p w:rsidR="00A72E5E" w:rsidRPr="00EA7BC6" w:rsidP="000C5582" w14:paraId="07FDB63E" w14:textId="0EFB6C85">
            <w:pPr>
              <w:widowControl/>
              <w:autoSpaceDE/>
              <w:autoSpaceDN/>
              <w:adjustRightInd/>
              <w:jc w:val="center"/>
              <w:rPr>
                <w:color w:val="000000"/>
                <w:szCs w:val="20"/>
              </w:rPr>
            </w:pPr>
            <w:r>
              <w:rPr>
                <w:color w:val="000000"/>
                <w:szCs w:val="20"/>
              </w:rPr>
              <w:t>621</w:t>
            </w:r>
          </w:p>
        </w:tc>
        <w:tc>
          <w:tcPr>
            <w:tcW w:w="1362" w:type="dxa"/>
            <w:shd w:val="clear" w:color="auto" w:fill="auto"/>
            <w:vAlign w:val="center"/>
            <w:hideMark/>
          </w:tcPr>
          <w:p w:rsidR="00A72E5E" w:rsidRPr="00EA7BC6" w:rsidP="000C5582" w14:paraId="2B451A0D" w14:textId="4469CBE4">
            <w:pPr>
              <w:widowControl/>
              <w:autoSpaceDE/>
              <w:autoSpaceDN/>
              <w:adjustRightInd/>
              <w:jc w:val="center"/>
              <w:rPr>
                <w:color w:val="000000"/>
                <w:szCs w:val="20"/>
              </w:rPr>
            </w:pPr>
            <w:r>
              <w:rPr>
                <w:color w:val="000000"/>
                <w:szCs w:val="20"/>
              </w:rPr>
              <w:t>621</w:t>
            </w:r>
          </w:p>
        </w:tc>
        <w:tc>
          <w:tcPr>
            <w:tcW w:w="1958" w:type="dxa"/>
            <w:shd w:val="clear" w:color="auto" w:fill="auto"/>
            <w:vAlign w:val="center"/>
            <w:hideMark/>
          </w:tcPr>
          <w:p w:rsidR="00A72E5E" w:rsidRPr="00EA7BC6" w:rsidP="000C5582" w14:paraId="1505410A" w14:textId="77777777">
            <w:pPr>
              <w:widowControl/>
              <w:autoSpaceDE/>
              <w:autoSpaceDN/>
              <w:adjustRightInd/>
              <w:jc w:val="center"/>
              <w:rPr>
                <w:color w:val="000000"/>
                <w:szCs w:val="20"/>
              </w:rPr>
            </w:pPr>
            <w:r>
              <w:rPr>
                <w:color w:val="000000"/>
                <w:szCs w:val="20"/>
              </w:rPr>
              <w:t>1.5</w:t>
            </w:r>
          </w:p>
        </w:tc>
        <w:tc>
          <w:tcPr>
            <w:tcW w:w="1440" w:type="dxa"/>
            <w:shd w:val="clear" w:color="auto" w:fill="auto"/>
            <w:vAlign w:val="center"/>
          </w:tcPr>
          <w:p w:rsidR="00A72E5E" w:rsidRPr="00EA7BC6" w:rsidP="000C5582" w14:paraId="059CC7B8" w14:textId="5E9557E2">
            <w:pPr>
              <w:widowControl/>
              <w:autoSpaceDE/>
              <w:autoSpaceDN/>
              <w:adjustRightInd/>
              <w:jc w:val="center"/>
              <w:rPr>
                <w:color w:val="000000"/>
                <w:szCs w:val="20"/>
              </w:rPr>
            </w:pPr>
            <w:r>
              <w:rPr>
                <w:color w:val="000000"/>
                <w:szCs w:val="20"/>
              </w:rPr>
              <w:t>932</w:t>
            </w:r>
          </w:p>
        </w:tc>
        <w:tc>
          <w:tcPr>
            <w:tcW w:w="1581" w:type="dxa"/>
            <w:shd w:val="clear" w:color="auto" w:fill="auto"/>
            <w:vAlign w:val="center"/>
          </w:tcPr>
          <w:p w:rsidR="00A72E5E" w:rsidRPr="00EA7BC6" w:rsidP="000C5582" w14:paraId="6AA6A253" w14:textId="418E5B9E">
            <w:pPr>
              <w:widowControl/>
              <w:autoSpaceDE/>
              <w:autoSpaceDN/>
              <w:adjustRightInd/>
              <w:jc w:val="center"/>
              <w:rPr>
                <w:color w:val="000000"/>
                <w:szCs w:val="20"/>
              </w:rPr>
            </w:pPr>
            <w:r>
              <w:rPr>
                <w:color w:val="000000"/>
                <w:szCs w:val="20"/>
              </w:rPr>
              <w:t>$</w:t>
            </w:r>
            <w:r w:rsidR="00B4593F">
              <w:rPr>
                <w:color w:val="000000"/>
                <w:szCs w:val="20"/>
              </w:rPr>
              <w:t>39,843</w:t>
            </w:r>
          </w:p>
        </w:tc>
      </w:tr>
      <w:tr w14:paraId="194B1D1B" w14:textId="77777777" w:rsidTr="000C5582">
        <w:tblPrEx>
          <w:tblW w:w="8691" w:type="dxa"/>
          <w:tblLayout w:type="fixed"/>
          <w:tblLook w:val="04A0"/>
        </w:tblPrEx>
        <w:trPr>
          <w:trHeight w:val="270"/>
        </w:trPr>
        <w:tc>
          <w:tcPr>
            <w:tcW w:w="990" w:type="dxa"/>
            <w:shd w:val="clear" w:color="auto" w:fill="auto"/>
            <w:vAlign w:val="bottom"/>
            <w:hideMark/>
          </w:tcPr>
          <w:p w:rsidR="00A72E5E" w:rsidRPr="00EA7BC6" w:rsidP="000C5582" w14:paraId="5A841570" w14:textId="3597C932">
            <w:pPr>
              <w:widowControl/>
              <w:autoSpaceDE/>
              <w:autoSpaceDN/>
              <w:adjustRightInd/>
              <w:jc w:val="center"/>
              <w:rPr>
                <w:color w:val="000000"/>
                <w:szCs w:val="20"/>
              </w:rPr>
            </w:pPr>
            <w:r w:rsidRPr="00EA7BC6">
              <w:rPr>
                <w:color w:val="000000"/>
                <w:szCs w:val="20"/>
              </w:rPr>
              <w:t>Total</w:t>
            </w:r>
            <w:r w:rsidR="002B2785">
              <w:rPr>
                <w:color w:val="000000"/>
                <w:szCs w:val="20"/>
              </w:rPr>
              <w:t>s</w:t>
            </w:r>
          </w:p>
        </w:tc>
        <w:tc>
          <w:tcPr>
            <w:tcW w:w="1360" w:type="dxa"/>
            <w:shd w:val="clear" w:color="auto" w:fill="auto"/>
            <w:vAlign w:val="center"/>
            <w:hideMark/>
          </w:tcPr>
          <w:p w:rsidR="00A72E5E" w:rsidRPr="00EA7BC6" w:rsidP="000C5582" w14:paraId="1837403C" w14:textId="0C7358FD">
            <w:pPr>
              <w:widowControl/>
              <w:autoSpaceDE/>
              <w:autoSpaceDN/>
              <w:adjustRightInd/>
              <w:jc w:val="center"/>
              <w:rPr>
                <w:color w:val="000000"/>
                <w:szCs w:val="20"/>
              </w:rPr>
            </w:pPr>
            <w:r>
              <w:rPr>
                <w:color w:val="000000"/>
                <w:szCs w:val="20"/>
              </w:rPr>
              <w:t>1756</w:t>
            </w:r>
          </w:p>
        </w:tc>
        <w:tc>
          <w:tcPr>
            <w:tcW w:w="1362" w:type="dxa"/>
            <w:shd w:val="clear" w:color="auto" w:fill="auto"/>
            <w:vAlign w:val="center"/>
            <w:hideMark/>
          </w:tcPr>
          <w:p w:rsidR="00A72E5E" w:rsidRPr="00EA7BC6" w:rsidP="000C5582" w14:paraId="1AA7E968" w14:textId="4689A43B">
            <w:pPr>
              <w:widowControl/>
              <w:autoSpaceDE/>
              <w:autoSpaceDN/>
              <w:adjustRightInd/>
              <w:jc w:val="center"/>
              <w:rPr>
                <w:color w:val="000000"/>
                <w:szCs w:val="20"/>
              </w:rPr>
            </w:pPr>
            <w:r>
              <w:rPr>
                <w:color w:val="000000"/>
                <w:szCs w:val="20"/>
              </w:rPr>
              <w:t>1756</w:t>
            </w:r>
          </w:p>
        </w:tc>
        <w:tc>
          <w:tcPr>
            <w:tcW w:w="1958" w:type="dxa"/>
            <w:shd w:val="clear" w:color="auto" w:fill="auto"/>
            <w:vAlign w:val="center"/>
            <w:hideMark/>
          </w:tcPr>
          <w:p w:rsidR="00A72E5E" w:rsidRPr="00EA7BC6" w:rsidP="000C5582" w14:paraId="36B209AE" w14:textId="77777777">
            <w:pPr>
              <w:widowControl/>
              <w:autoSpaceDE/>
              <w:autoSpaceDN/>
              <w:adjustRightInd/>
              <w:jc w:val="center"/>
              <w:rPr>
                <w:color w:val="000000"/>
                <w:szCs w:val="20"/>
              </w:rPr>
            </w:pPr>
            <w:r>
              <w:rPr>
                <w:color w:val="000000"/>
                <w:szCs w:val="20"/>
              </w:rPr>
              <w:t>4.5</w:t>
            </w:r>
          </w:p>
        </w:tc>
        <w:tc>
          <w:tcPr>
            <w:tcW w:w="1440" w:type="dxa"/>
            <w:shd w:val="clear" w:color="auto" w:fill="auto"/>
            <w:vAlign w:val="center"/>
          </w:tcPr>
          <w:p w:rsidR="00A72E5E" w:rsidRPr="00EA7BC6" w:rsidP="000C5582" w14:paraId="672A3C50" w14:textId="515D0E19">
            <w:pPr>
              <w:widowControl/>
              <w:autoSpaceDE/>
              <w:autoSpaceDN/>
              <w:adjustRightInd/>
              <w:jc w:val="center"/>
              <w:rPr>
                <w:color w:val="000000"/>
                <w:szCs w:val="20"/>
              </w:rPr>
            </w:pPr>
            <w:r>
              <w:rPr>
                <w:color w:val="000000"/>
                <w:szCs w:val="20"/>
              </w:rPr>
              <w:t>2634</w:t>
            </w:r>
          </w:p>
        </w:tc>
        <w:tc>
          <w:tcPr>
            <w:tcW w:w="1581" w:type="dxa"/>
            <w:shd w:val="clear" w:color="auto" w:fill="auto"/>
            <w:vAlign w:val="center"/>
          </w:tcPr>
          <w:p w:rsidR="00A72E5E" w:rsidRPr="00EA7BC6" w:rsidP="000C5582" w14:paraId="5A58BCAD" w14:textId="58B5C6B6">
            <w:pPr>
              <w:widowControl/>
              <w:autoSpaceDE/>
              <w:autoSpaceDN/>
              <w:adjustRightInd/>
              <w:jc w:val="center"/>
              <w:rPr>
                <w:color w:val="000000"/>
                <w:szCs w:val="20"/>
              </w:rPr>
            </w:pPr>
            <w:r>
              <w:rPr>
                <w:color w:val="000000"/>
                <w:szCs w:val="20"/>
              </w:rPr>
              <w:t>$</w:t>
            </w:r>
            <w:r w:rsidR="00B4593F">
              <w:rPr>
                <w:color w:val="000000"/>
                <w:szCs w:val="20"/>
              </w:rPr>
              <w:t>112,646</w:t>
            </w:r>
            <w:r>
              <w:rPr>
                <w:color w:val="000000"/>
                <w:szCs w:val="20"/>
              </w:rPr>
              <w:t xml:space="preserve"> </w:t>
            </w:r>
          </w:p>
        </w:tc>
      </w:tr>
      <w:tr w14:paraId="3DECBDF0" w14:textId="77777777" w:rsidTr="000C5582">
        <w:tblPrEx>
          <w:tblW w:w="8691" w:type="dxa"/>
          <w:tblLayout w:type="fixed"/>
          <w:tblLook w:val="04A0"/>
        </w:tblPrEx>
        <w:trPr>
          <w:trHeight w:val="270"/>
        </w:trPr>
        <w:tc>
          <w:tcPr>
            <w:tcW w:w="990" w:type="dxa"/>
            <w:shd w:val="clear" w:color="auto" w:fill="auto"/>
            <w:vAlign w:val="bottom"/>
            <w:hideMark/>
          </w:tcPr>
          <w:p w:rsidR="00A72E5E" w:rsidRPr="002B2785" w:rsidP="000C5582" w14:paraId="71A849A1" w14:textId="77777777">
            <w:pPr>
              <w:widowControl/>
              <w:autoSpaceDE/>
              <w:autoSpaceDN/>
              <w:adjustRightInd/>
              <w:jc w:val="center"/>
              <w:rPr>
                <w:b/>
                <w:bCs/>
                <w:i/>
                <w:iCs/>
                <w:color w:val="000000"/>
                <w:szCs w:val="20"/>
              </w:rPr>
            </w:pPr>
            <w:r w:rsidRPr="002B2785">
              <w:rPr>
                <w:b/>
                <w:bCs/>
                <w:i/>
                <w:iCs/>
                <w:color w:val="000000"/>
                <w:szCs w:val="20"/>
              </w:rPr>
              <w:t>3-year average</w:t>
            </w:r>
          </w:p>
        </w:tc>
        <w:tc>
          <w:tcPr>
            <w:tcW w:w="1360" w:type="dxa"/>
            <w:shd w:val="clear" w:color="auto" w:fill="auto"/>
            <w:vAlign w:val="center"/>
            <w:hideMark/>
          </w:tcPr>
          <w:p w:rsidR="00A72E5E" w:rsidRPr="002B2785" w:rsidP="000C5582" w14:paraId="601DA7DD" w14:textId="16EC2B2A">
            <w:pPr>
              <w:widowControl/>
              <w:autoSpaceDE/>
              <w:autoSpaceDN/>
              <w:adjustRightInd/>
              <w:jc w:val="center"/>
              <w:rPr>
                <w:b/>
                <w:bCs/>
                <w:i/>
                <w:iCs/>
                <w:color w:val="000000"/>
                <w:szCs w:val="20"/>
              </w:rPr>
            </w:pPr>
            <w:r w:rsidRPr="002B2785">
              <w:rPr>
                <w:b/>
                <w:bCs/>
                <w:i/>
                <w:iCs/>
                <w:color w:val="000000"/>
                <w:szCs w:val="20"/>
              </w:rPr>
              <w:t>585</w:t>
            </w:r>
          </w:p>
        </w:tc>
        <w:tc>
          <w:tcPr>
            <w:tcW w:w="1362" w:type="dxa"/>
            <w:shd w:val="clear" w:color="auto" w:fill="auto"/>
            <w:vAlign w:val="center"/>
            <w:hideMark/>
          </w:tcPr>
          <w:p w:rsidR="00A72E5E" w:rsidRPr="002B2785" w:rsidP="000C5582" w14:paraId="6CBDA538" w14:textId="72E30719">
            <w:pPr>
              <w:widowControl/>
              <w:autoSpaceDE/>
              <w:autoSpaceDN/>
              <w:adjustRightInd/>
              <w:jc w:val="center"/>
              <w:rPr>
                <w:b/>
                <w:bCs/>
                <w:i/>
                <w:iCs/>
                <w:color w:val="000000"/>
                <w:szCs w:val="20"/>
              </w:rPr>
            </w:pPr>
            <w:r w:rsidRPr="002B2785">
              <w:rPr>
                <w:b/>
                <w:bCs/>
                <w:i/>
                <w:iCs/>
                <w:color w:val="000000"/>
                <w:szCs w:val="20"/>
              </w:rPr>
              <w:t>585</w:t>
            </w:r>
          </w:p>
        </w:tc>
        <w:tc>
          <w:tcPr>
            <w:tcW w:w="1958" w:type="dxa"/>
            <w:shd w:val="clear" w:color="auto" w:fill="auto"/>
            <w:vAlign w:val="center"/>
            <w:hideMark/>
          </w:tcPr>
          <w:p w:rsidR="00A72E5E" w:rsidRPr="002B2785" w:rsidP="000C5582" w14:paraId="427850AD" w14:textId="77777777">
            <w:pPr>
              <w:widowControl/>
              <w:autoSpaceDE/>
              <w:autoSpaceDN/>
              <w:adjustRightInd/>
              <w:jc w:val="center"/>
              <w:rPr>
                <w:b/>
                <w:bCs/>
                <w:i/>
                <w:iCs/>
                <w:color w:val="000000"/>
                <w:szCs w:val="20"/>
              </w:rPr>
            </w:pPr>
            <w:r w:rsidRPr="002B2785">
              <w:rPr>
                <w:b/>
                <w:bCs/>
                <w:i/>
                <w:iCs/>
                <w:color w:val="000000"/>
                <w:szCs w:val="20"/>
              </w:rPr>
              <w:t>1.5</w:t>
            </w:r>
          </w:p>
        </w:tc>
        <w:tc>
          <w:tcPr>
            <w:tcW w:w="1440" w:type="dxa"/>
            <w:shd w:val="clear" w:color="auto" w:fill="auto"/>
            <w:vAlign w:val="center"/>
          </w:tcPr>
          <w:p w:rsidR="00A72E5E" w:rsidRPr="002B2785" w:rsidP="000C5582" w14:paraId="1CBBD617" w14:textId="4633D205">
            <w:pPr>
              <w:widowControl/>
              <w:autoSpaceDE/>
              <w:autoSpaceDN/>
              <w:adjustRightInd/>
              <w:jc w:val="center"/>
              <w:rPr>
                <w:b/>
                <w:bCs/>
                <w:i/>
                <w:iCs/>
                <w:color w:val="000000"/>
                <w:szCs w:val="20"/>
              </w:rPr>
            </w:pPr>
            <w:r w:rsidRPr="002B2785">
              <w:rPr>
                <w:b/>
                <w:bCs/>
                <w:i/>
                <w:iCs/>
                <w:color w:val="000000"/>
                <w:szCs w:val="20"/>
              </w:rPr>
              <w:t>878</w:t>
            </w:r>
          </w:p>
        </w:tc>
        <w:tc>
          <w:tcPr>
            <w:tcW w:w="1581" w:type="dxa"/>
            <w:shd w:val="clear" w:color="auto" w:fill="auto"/>
            <w:vAlign w:val="center"/>
          </w:tcPr>
          <w:p w:rsidR="00A72E5E" w:rsidRPr="002B2785" w:rsidP="000C5582" w14:paraId="6D10F0A4" w14:textId="05221531">
            <w:pPr>
              <w:widowControl/>
              <w:autoSpaceDE/>
              <w:autoSpaceDN/>
              <w:adjustRightInd/>
              <w:jc w:val="center"/>
              <w:rPr>
                <w:b/>
                <w:bCs/>
                <w:i/>
                <w:iCs/>
                <w:color w:val="000000"/>
                <w:szCs w:val="20"/>
              </w:rPr>
            </w:pPr>
            <w:r w:rsidRPr="002B2785">
              <w:rPr>
                <w:b/>
                <w:bCs/>
                <w:i/>
                <w:iCs/>
                <w:color w:val="000000"/>
                <w:szCs w:val="20"/>
              </w:rPr>
              <w:t>$</w:t>
            </w:r>
            <w:r w:rsidR="00B4593F">
              <w:rPr>
                <w:b/>
                <w:bCs/>
                <w:i/>
                <w:iCs/>
                <w:color w:val="000000"/>
                <w:szCs w:val="20"/>
              </w:rPr>
              <w:t>37,549</w:t>
            </w:r>
            <w:r w:rsidRPr="002B2785">
              <w:rPr>
                <w:b/>
                <w:bCs/>
                <w:i/>
                <w:iCs/>
                <w:color w:val="000000"/>
                <w:szCs w:val="20"/>
              </w:rPr>
              <w:t xml:space="preserve"> </w:t>
            </w:r>
          </w:p>
        </w:tc>
      </w:tr>
    </w:tbl>
    <w:p w:rsidR="001C0D45" w:rsidP="00004C2C" w14:paraId="3E3F6B7E" w14:textId="77777777">
      <w:pPr>
        <w:ind w:left="360"/>
        <w:rPr>
          <w:b/>
          <w:sz w:val="24"/>
        </w:rPr>
      </w:pPr>
    </w:p>
    <w:p w:rsidR="00ED5BA5" w:rsidRPr="009347FD" w:rsidP="00004C2C" w14:paraId="220B894E" w14:textId="5B06AC6B">
      <w:pPr>
        <w:ind w:left="360"/>
        <w:rPr>
          <w:b/>
          <w:sz w:val="24"/>
        </w:rPr>
      </w:pPr>
      <w:r w:rsidRPr="009347FD">
        <w:rPr>
          <w:b/>
          <w:sz w:val="24"/>
        </w:rPr>
        <w:t xml:space="preserve">Estimated Total Annual Burden: </w:t>
      </w:r>
      <w:r w:rsidR="00A72E5E">
        <w:rPr>
          <w:b/>
          <w:sz w:val="24"/>
        </w:rPr>
        <w:t>878</w:t>
      </w:r>
      <w:r w:rsidR="00042470">
        <w:rPr>
          <w:b/>
          <w:sz w:val="24"/>
        </w:rPr>
        <w:t xml:space="preserve"> </w:t>
      </w:r>
      <w:r w:rsidRPr="009347FD">
        <w:rPr>
          <w:b/>
          <w:sz w:val="24"/>
        </w:rPr>
        <w:t>hours.</w:t>
      </w:r>
    </w:p>
    <w:p w:rsidR="00ED5BA5" w:rsidRPr="009347FD" w:rsidP="00004C2C" w14:paraId="2F9F4895" w14:textId="62D2742E">
      <w:pPr>
        <w:ind w:left="360"/>
        <w:rPr>
          <w:b/>
          <w:sz w:val="24"/>
        </w:rPr>
      </w:pPr>
      <w:r w:rsidRPr="009347FD">
        <w:rPr>
          <w:b/>
          <w:sz w:val="24"/>
        </w:rPr>
        <w:t xml:space="preserve">Estimated Annual Number of Respondents: </w:t>
      </w:r>
      <w:r w:rsidR="00A72E5E">
        <w:rPr>
          <w:b/>
          <w:sz w:val="24"/>
        </w:rPr>
        <w:t>585</w:t>
      </w:r>
      <w:r w:rsidRPr="009347FD">
        <w:rPr>
          <w:b/>
          <w:sz w:val="24"/>
        </w:rPr>
        <w:t>.</w:t>
      </w:r>
    </w:p>
    <w:p w:rsidR="00ED5BA5" w:rsidP="00004C2C" w14:paraId="0CB04E67" w14:textId="243EFB4C">
      <w:pPr>
        <w:ind w:left="360"/>
        <w:rPr>
          <w:b/>
          <w:sz w:val="24"/>
        </w:rPr>
      </w:pPr>
      <w:r w:rsidRPr="009347FD">
        <w:rPr>
          <w:b/>
          <w:sz w:val="24"/>
        </w:rPr>
        <w:t xml:space="preserve">Estimated Annual Number of Responses: </w:t>
      </w:r>
      <w:r w:rsidR="00A72E5E">
        <w:rPr>
          <w:b/>
          <w:sz w:val="24"/>
        </w:rPr>
        <w:t>585</w:t>
      </w:r>
      <w:r w:rsidR="003C6B34">
        <w:rPr>
          <w:b/>
          <w:sz w:val="24"/>
        </w:rPr>
        <w:t>.</w:t>
      </w:r>
    </w:p>
    <w:p w:rsidR="006040AA" w:rsidP="00004C2C" w14:paraId="62BC89D3" w14:textId="4778AF23">
      <w:pPr>
        <w:ind w:left="360"/>
        <w:rPr>
          <w:b/>
          <w:sz w:val="24"/>
        </w:rPr>
      </w:pPr>
      <w:r>
        <w:rPr>
          <w:b/>
          <w:sz w:val="24"/>
        </w:rPr>
        <w:t>Estimated Annual Burden Hour Cost to Respondents: $</w:t>
      </w:r>
      <w:r w:rsidR="00B4593F">
        <w:rPr>
          <w:b/>
          <w:sz w:val="24"/>
        </w:rPr>
        <w:t>37,549</w:t>
      </w:r>
      <w:r>
        <w:rPr>
          <w:b/>
          <w:sz w:val="24"/>
        </w:rPr>
        <w:t>.</w:t>
      </w:r>
    </w:p>
    <w:p w:rsidR="00501140" w14:paraId="6CF48C63" w14:textId="5E3AFA7A">
      <w:pPr>
        <w:rPr>
          <w:b/>
          <w:sz w:val="24"/>
        </w:rPr>
      </w:pPr>
    </w:p>
    <w:p w:rsidR="00ED5BA5" w:rsidRPr="009A4CA1" w:rsidP="00501140" w14:paraId="071504F8" w14:textId="1B0E457A">
      <w:pPr>
        <w:pStyle w:val="Heading2"/>
        <w:spacing w:before="0" w:after="0"/>
      </w:pPr>
      <w:bookmarkStart w:id="8" w:name="_Hlk518311051"/>
      <w:r w:rsidRPr="0008607E">
        <w:t>ESTIMATE</w:t>
      </w:r>
      <w:r w:rsidR="00F401CA">
        <w:t xml:space="preserve"> OF</w:t>
      </w:r>
      <w:r w:rsidRPr="0008607E">
        <w:t xml:space="preserve"> TOTAL ANNUAL COSTS TO RESPONDENTS</w:t>
      </w:r>
    </w:p>
    <w:p w:rsidR="00501140" w:rsidP="00004C2C" w14:paraId="7BDB9CEB" w14:textId="77777777">
      <w:pPr>
        <w:ind w:left="360"/>
        <w:rPr>
          <w:sz w:val="24"/>
        </w:rPr>
      </w:pPr>
    </w:p>
    <w:p w:rsidR="00BC3370" w:rsidRPr="00B4583A" w:rsidP="00004C2C" w14:paraId="4C6C4DF9" w14:textId="32483DA0">
      <w:pPr>
        <w:ind w:left="360"/>
        <w:rPr>
          <w:color w:val="000000"/>
          <w:sz w:val="24"/>
        </w:rPr>
      </w:pPr>
      <w:r>
        <w:rPr>
          <w:sz w:val="24"/>
        </w:rPr>
        <w:t>Respondents may incur costs in addition to burden hour costs.</w:t>
      </w:r>
      <w:r w:rsidR="0050598C">
        <w:rPr>
          <w:sz w:val="24"/>
        </w:rPr>
        <w:t xml:space="preserve"> </w:t>
      </w:r>
      <w:r>
        <w:rPr>
          <w:sz w:val="24"/>
        </w:rPr>
        <w:t>Th</w:t>
      </w:r>
      <w:r w:rsidR="00E74A80">
        <w:rPr>
          <w:sz w:val="24"/>
        </w:rPr>
        <w:t xml:space="preserve">ere are mailing </w:t>
      </w:r>
      <w:r>
        <w:rPr>
          <w:sz w:val="24"/>
        </w:rPr>
        <w:t>costs</w:t>
      </w:r>
      <w:r w:rsidR="002D110B">
        <w:rPr>
          <w:sz w:val="24"/>
        </w:rPr>
        <w:t xml:space="preserve"> </w:t>
      </w:r>
      <w:r w:rsidR="00C11E4A">
        <w:rPr>
          <w:sz w:val="24"/>
        </w:rPr>
        <w:t>if the respondent chooses to submit updates to Form OP-2 by mail rather than electronically</w:t>
      </w:r>
      <w:r w:rsidR="0050598C">
        <w:rPr>
          <w:sz w:val="24"/>
        </w:rPr>
        <w:t>.</w:t>
      </w:r>
    </w:p>
    <w:p w:rsidR="00501140" w:rsidP="00004C2C" w14:paraId="6645745C" w14:textId="77777777">
      <w:pPr>
        <w:ind w:left="360"/>
        <w:rPr>
          <w:sz w:val="24"/>
          <w:u w:val="single"/>
        </w:rPr>
      </w:pPr>
    </w:p>
    <w:p w:rsidR="00E26D50" w:rsidRPr="001A0899" w:rsidP="00004C2C" w14:paraId="71F825EA" w14:textId="331FCE98">
      <w:pPr>
        <w:ind w:left="360"/>
        <w:rPr>
          <w:sz w:val="24"/>
          <w:u w:val="single"/>
        </w:rPr>
      </w:pPr>
      <w:r>
        <w:rPr>
          <w:sz w:val="24"/>
          <w:u w:val="single"/>
        </w:rPr>
        <w:t>Updates to Form OP-2</w:t>
      </w:r>
    </w:p>
    <w:bookmarkEnd w:id="8"/>
    <w:p w:rsidR="00BC3370" w:rsidRPr="00B4583A" w:rsidP="00004C2C" w14:paraId="57D387C1" w14:textId="6D1396FF">
      <w:pPr>
        <w:ind w:left="360"/>
        <w:rPr>
          <w:color w:val="000000"/>
          <w:sz w:val="24"/>
        </w:rPr>
      </w:pPr>
      <w:r w:rsidRPr="102CE53A">
        <w:rPr>
          <w:sz w:val="24"/>
        </w:rPr>
        <w:t>FMCSA estimate</w:t>
      </w:r>
      <w:r w:rsidRPr="102CE53A" w:rsidR="007E0FF3">
        <w:rPr>
          <w:sz w:val="24"/>
        </w:rPr>
        <w:t>s</w:t>
      </w:r>
      <w:r w:rsidRPr="102CE53A" w:rsidR="006040AA">
        <w:rPr>
          <w:sz w:val="24"/>
        </w:rPr>
        <w:t xml:space="preserve"> </w:t>
      </w:r>
      <w:r w:rsidRPr="102CE53A" w:rsidR="00A72E5E">
        <w:rPr>
          <w:sz w:val="24"/>
        </w:rPr>
        <w:t>that approximately 5% of forms will be submitted by mail</w:t>
      </w:r>
      <w:r w:rsidR="00EA268B">
        <w:rPr>
          <w:sz w:val="24"/>
        </w:rPr>
        <w:t>.</w:t>
      </w:r>
      <w:r w:rsidRPr="102CE53A" w:rsidR="00A72E5E">
        <w:rPr>
          <w:sz w:val="24"/>
        </w:rPr>
        <w:t xml:space="preserve"> </w:t>
      </w:r>
      <w:r w:rsidRPr="102CE53A" w:rsidR="77FC205A">
        <w:rPr>
          <w:sz w:val="24"/>
        </w:rPr>
        <w:t>T</w:t>
      </w:r>
      <w:r w:rsidRPr="102CE53A" w:rsidR="00A72E5E">
        <w:rPr>
          <w:sz w:val="24"/>
        </w:rPr>
        <w:t xml:space="preserve">herefore, </w:t>
      </w:r>
      <w:r w:rsidR="00A77E62">
        <w:rPr>
          <w:sz w:val="24"/>
        </w:rPr>
        <w:t>29 a</w:t>
      </w:r>
      <w:r w:rsidRPr="102CE53A" w:rsidR="00402027">
        <w:rPr>
          <w:sz w:val="24"/>
        </w:rPr>
        <w:t>nnual respondents</w:t>
      </w:r>
      <w:r w:rsidRPr="102CE53A" w:rsidR="0033419F">
        <w:rPr>
          <w:sz w:val="24"/>
        </w:rPr>
        <w:t xml:space="preserve"> </w:t>
      </w:r>
      <w:r w:rsidRPr="102CE53A">
        <w:rPr>
          <w:sz w:val="24"/>
        </w:rPr>
        <w:t>will file by mail</w:t>
      </w:r>
      <w:r w:rsidRPr="102CE53A" w:rsidR="00C11E4A">
        <w:rPr>
          <w:sz w:val="24"/>
        </w:rPr>
        <w:t>,</w:t>
      </w:r>
      <w:r w:rsidRPr="102CE53A">
        <w:rPr>
          <w:sz w:val="24"/>
        </w:rPr>
        <w:t xml:space="preserve"> at an estimated cost of $5 per respondent (paper, envelope, and postage). This results in a total annual cost of $</w:t>
      </w:r>
      <w:r w:rsidR="00A77E62">
        <w:rPr>
          <w:sz w:val="24"/>
        </w:rPr>
        <w:t>146</w:t>
      </w:r>
      <w:r w:rsidRPr="102CE53A" w:rsidR="00A72E5E">
        <w:rPr>
          <w:sz w:val="24"/>
        </w:rPr>
        <w:t xml:space="preserve"> </w:t>
      </w:r>
      <w:r w:rsidRPr="102CE53A" w:rsidR="006040AA">
        <w:rPr>
          <w:sz w:val="24"/>
        </w:rPr>
        <w:t>(</w:t>
      </w:r>
      <w:r w:rsidR="00A77E62">
        <w:rPr>
          <w:sz w:val="24"/>
        </w:rPr>
        <w:t>29</w:t>
      </w:r>
      <w:r w:rsidRPr="102CE53A" w:rsidR="006040AA">
        <w:rPr>
          <w:sz w:val="24"/>
        </w:rPr>
        <w:t xml:space="preserve"> × $5</w:t>
      </w:r>
      <w:r w:rsidRPr="102CE53A" w:rsidR="00DA1549">
        <w:rPr>
          <w:sz w:val="24"/>
        </w:rPr>
        <w:t xml:space="preserve"> = $</w:t>
      </w:r>
      <w:r w:rsidR="00A77E62">
        <w:rPr>
          <w:sz w:val="24"/>
        </w:rPr>
        <w:t>146</w:t>
      </w:r>
      <w:r w:rsidRPr="102CE53A" w:rsidR="006040AA">
        <w:rPr>
          <w:sz w:val="24"/>
        </w:rPr>
        <w:t>)</w:t>
      </w:r>
      <w:r w:rsidRPr="102CE53A">
        <w:rPr>
          <w:sz w:val="24"/>
        </w:rPr>
        <w:t>.</w:t>
      </w:r>
    </w:p>
    <w:p w:rsidR="00501140" w:rsidP="00004C2C" w14:paraId="088F3697" w14:textId="433AE430">
      <w:pPr>
        <w:ind w:left="360"/>
        <w:rPr>
          <w:sz w:val="24"/>
          <w:u w:val="single"/>
        </w:rPr>
      </w:pPr>
    </w:p>
    <w:p w:rsidR="00BC3370" w:rsidRPr="00B4583A" w:rsidP="00004C2C" w14:paraId="690BD9CB" w14:textId="118DD0C8">
      <w:pPr>
        <w:ind w:left="360"/>
        <w:rPr>
          <w:color w:val="000000"/>
          <w:sz w:val="24"/>
        </w:rPr>
      </w:pPr>
      <w:r w:rsidRPr="001A0899">
        <w:rPr>
          <w:sz w:val="24"/>
          <w:u w:val="single"/>
        </w:rPr>
        <w:t>Estimated Total Annual</w:t>
      </w:r>
      <w:r w:rsidR="000E7E83">
        <w:rPr>
          <w:sz w:val="24"/>
          <w:u w:val="single"/>
        </w:rPr>
        <w:t xml:space="preserve"> Non-Labor</w:t>
      </w:r>
      <w:r w:rsidRPr="001A0899">
        <w:rPr>
          <w:sz w:val="24"/>
          <w:u w:val="single"/>
        </w:rPr>
        <w:t xml:space="preserve"> Cost to Respondents</w:t>
      </w:r>
    </w:p>
    <w:p w:rsidR="00BC3370" w:rsidRPr="00B4583A" w:rsidP="00004C2C" w14:paraId="06AF230E" w14:textId="3AB9BB5B">
      <w:pPr>
        <w:ind w:left="360"/>
        <w:rPr>
          <w:color w:val="000000"/>
          <w:sz w:val="24"/>
        </w:rPr>
      </w:pPr>
      <w:r w:rsidRPr="102CE53A">
        <w:rPr>
          <w:sz w:val="24"/>
        </w:rPr>
        <w:t xml:space="preserve">Annualized, the </w:t>
      </w:r>
      <w:r w:rsidRPr="102CE53A" w:rsidR="002242F1">
        <w:rPr>
          <w:sz w:val="24"/>
        </w:rPr>
        <w:t>a</w:t>
      </w:r>
      <w:r w:rsidRPr="102CE53A">
        <w:rPr>
          <w:sz w:val="24"/>
        </w:rPr>
        <w:t xml:space="preserve">gency estimates that </w:t>
      </w:r>
      <w:r w:rsidR="00A77E62">
        <w:rPr>
          <w:sz w:val="24"/>
        </w:rPr>
        <w:t xml:space="preserve">29 </w:t>
      </w:r>
      <w:r w:rsidRPr="102CE53A">
        <w:rPr>
          <w:sz w:val="24"/>
        </w:rPr>
        <w:t xml:space="preserve">respondents will incur a </w:t>
      </w:r>
      <w:r w:rsidRPr="102CE53A" w:rsidR="000547D6">
        <w:rPr>
          <w:sz w:val="24"/>
        </w:rPr>
        <w:t xml:space="preserve">non-labor </w:t>
      </w:r>
      <w:r w:rsidRPr="102CE53A">
        <w:rPr>
          <w:sz w:val="24"/>
        </w:rPr>
        <w:t xml:space="preserve">total cost of </w:t>
      </w:r>
      <w:r w:rsidRPr="102CE53A" w:rsidR="00112D7E">
        <w:rPr>
          <w:sz w:val="24"/>
        </w:rPr>
        <w:t>$</w:t>
      </w:r>
      <w:r w:rsidR="00A77E62">
        <w:rPr>
          <w:sz w:val="24"/>
        </w:rPr>
        <w:t xml:space="preserve">146 </w:t>
      </w:r>
      <w:r w:rsidRPr="102CE53A">
        <w:rPr>
          <w:sz w:val="24"/>
        </w:rPr>
        <w:t>(</w:t>
      </w:r>
      <w:r w:rsidRPr="102CE53A" w:rsidR="00DA1549">
        <w:rPr>
          <w:sz w:val="24"/>
        </w:rPr>
        <w:t>$</w:t>
      </w:r>
      <w:r w:rsidRPr="102CE53A" w:rsidR="00102AA8">
        <w:rPr>
          <w:sz w:val="24"/>
        </w:rPr>
        <w:t xml:space="preserve">0 </w:t>
      </w:r>
      <w:r w:rsidRPr="102CE53A">
        <w:rPr>
          <w:sz w:val="24"/>
        </w:rPr>
        <w:t xml:space="preserve">in filing fees </w:t>
      </w:r>
      <w:r w:rsidRPr="102CE53A" w:rsidR="000465F7">
        <w:rPr>
          <w:sz w:val="24"/>
        </w:rPr>
        <w:t>+ $</w:t>
      </w:r>
      <w:r w:rsidR="00A77E62">
        <w:rPr>
          <w:sz w:val="24"/>
        </w:rPr>
        <w:t>146</w:t>
      </w:r>
      <w:r w:rsidRPr="102CE53A" w:rsidR="00102AA8">
        <w:rPr>
          <w:sz w:val="24"/>
        </w:rPr>
        <w:t xml:space="preserve"> </w:t>
      </w:r>
      <w:r w:rsidRPr="102CE53A">
        <w:rPr>
          <w:sz w:val="24"/>
        </w:rPr>
        <w:t>in mailing costs</w:t>
      </w:r>
      <w:r w:rsidRPr="102CE53A" w:rsidR="00DA1549">
        <w:rPr>
          <w:sz w:val="24"/>
        </w:rPr>
        <w:t xml:space="preserve"> = </w:t>
      </w:r>
      <w:r w:rsidRPr="102CE53A" w:rsidR="000547D6">
        <w:rPr>
          <w:sz w:val="24"/>
        </w:rPr>
        <w:t>$</w:t>
      </w:r>
      <w:r w:rsidR="00A77E62">
        <w:rPr>
          <w:sz w:val="24"/>
        </w:rPr>
        <w:t>146</w:t>
      </w:r>
      <w:r w:rsidRPr="102CE53A">
        <w:rPr>
          <w:sz w:val="24"/>
        </w:rPr>
        <w:t>).</w:t>
      </w:r>
    </w:p>
    <w:p w:rsidR="00501140" w:rsidP="00004C2C" w14:paraId="74B341A8" w14:textId="77777777">
      <w:pPr>
        <w:ind w:left="360"/>
        <w:rPr>
          <w:b/>
          <w:bCs/>
          <w:sz w:val="24"/>
        </w:rPr>
      </w:pPr>
    </w:p>
    <w:p w:rsidR="00BC3370" w:rsidP="00004C2C" w14:paraId="07E08F8E" w14:textId="75DF4CF4">
      <w:pPr>
        <w:ind w:left="360"/>
        <w:rPr>
          <w:b/>
          <w:bCs/>
          <w:sz w:val="24"/>
        </w:rPr>
      </w:pPr>
      <w:r w:rsidRPr="00B4583A">
        <w:rPr>
          <w:b/>
          <w:bCs/>
          <w:sz w:val="24"/>
        </w:rPr>
        <w:t>Estimate</w:t>
      </w:r>
      <w:r>
        <w:rPr>
          <w:b/>
          <w:bCs/>
          <w:sz w:val="24"/>
        </w:rPr>
        <w:t>d</w:t>
      </w:r>
      <w:r w:rsidRPr="00B4583A">
        <w:rPr>
          <w:b/>
          <w:bCs/>
          <w:sz w:val="24"/>
        </w:rPr>
        <w:t xml:space="preserve"> </w:t>
      </w:r>
      <w:r w:rsidR="00DA1549">
        <w:rPr>
          <w:b/>
          <w:bCs/>
          <w:sz w:val="24"/>
        </w:rPr>
        <w:t xml:space="preserve">Non-Labor </w:t>
      </w:r>
      <w:r>
        <w:rPr>
          <w:b/>
          <w:bCs/>
          <w:sz w:val="24"/>
        </w:rPr>
        <w:t>Costs to R</w:t>
      </w:r>
      <w:r w:rsidRPr="00B4583A">
        <w:rPr>
          <w:b/>
          <w:bCs/>
          <w:sz w:val="24"/>
        </w:rPr>
        <w:t>espondent</w:t>
      </w:r>
      <w:r>
        <w:rPr>
          <w:b/>
          <w:bCs/>
          <w:sz w:val="24"/>
        </w:rPr>
        <w:t>s</w:t>
      </w:r>
      <w:r w:rsidRPr="00B4583A">
        <w:rPr>
          <w:b/>
          <w:bCs/>
          <w:sz w:val="24"/>
        </w:rPr>
        <w:t>:</w:t>
      </w:r>
      <w:r>
        <w:rPr>
          <w:b/>
          <w:bCs/>
          <w:sz w:val="24"/>
        </w:rPr>
        <w:t xml:space="preserve"> $</w:t>
      </w:r>
      <w:r w:rsidR="00A77E62">
        <w:rPr>
          <w:b/>
          <w:bCs/>
          <w:sz w:val="24"/>
        </w:rPr>
        <w:t>146</w:t>
      </w:r>
      <w:r>
        <w:rPr>
          <w:b/>
          <w:bCs/>
          <w:sz w:val="24"/>
        </w:rPr>
        <w:t>.</w:t>
      </w:r>
    </w:p>
    <w:p w:rsidR="00DA1549" w:rsidP="00004C2C" w14:paraId="4CEFE84B" w14:textId="6889B4A2">
      <w:pPr>
        <w:ind w:left="360"/>
        <w:rPr>
          <w:b/>
          <w:sz w:val="24"/>
        </w:rPr>
      </w:pPr>
      <w:r>
        <w:rPr>
          <w:b/>
          <w:bCs/>
          <w:sz w:val="24"/>
        </w:rPr>
        <w:t xml:space="preserve">Estimated Labor Costs to Respondents: </w:t>
      </w:r>
      <w:r w:rsidR="000E7E83">
        <w:rPr>
          <w:b/>
          <w:sz w:val="24"/>
        </w:rPr>
        <w:t>$</w:t>
      </w:r>
      <w:r w:rsidR="00B4593F">
        <w:rPr>
          <w:b/>
          <w:sz w:val="24"/>
        </w:rPr>
        <w:t>37,549</w:t>
      </w:r>
      <w:r w:rsidR="000E7E83">
        <w:rPr>
          <w:b/>
          <w:sz w:val="24"/>
        </w:rPr>
        <w:t>.</w:t>
      </w:r>
    </w:p>
    <w:p w:rsidR="00DA1549" w:rsidP="00004C2C" w14:paraId="2AAF5772" w14:textId="03E9202C">
      <w:pPr>
        <w:ind w:left="360"/>
        <w:rPr>
          <w:b/>
          <w:sz w:val="24"/>
        </w:rPr>
      </w:pPr>
      <w:r w:rsidRPr="0022010C">
        <w:rPr>
          <w:b/>
          <w:bCs/>
          <w:color w:val="000000"/>
          <w:sz w:val="24"/>
        </w:rPr>
        <w:t>Estimated Labor and Non</w:t>
      </w:r>
      <w:r>
        <w:rPr>
          <w:b/>
          <w:bCs/>
          <w:color w:val="000000"/>
          <w:sz w:val="24"/>
        </w:rPr>
        <w:t>-</w:t>
      </w:r>
      <w:r w:rsidRPr="0022010C">
        <w:rPr>
          <w:b/>
          <w:bCs/>
          <w:color w:val="000000"/>
          <w:sz w:val="24"/>
        </w:rPr>
        <w:t>Labor Costs to Re</w:t>
      </w:r>
      <w:r>
        <w:rPr>
          <w:b/>
          <w:bCs/>
          <w:color w:val="000000"/>
          <w:sz w:val="24"/>
        </w:rPr>
        <w:t>s</w:t>
      </w:r>
      <w:r w:rsidRPr="0022010C">
        <w:rPr>
          <w:b/>
          <w:bCs/>
          <w:color w:val="000000"/>
          <w:sz w:val="24"/>
        </w:rPr>
        <w:t>po</w:t>
      </w:r>
      <w:r>
        <w:rPr>
          <w:b/>
          <w:bCs/>
          <w:color w:val="000000"/>
          <w:sz w:val="24"/>
        </w:rPr>
        <w:t>n</w:t>
      </w:r>
      <w:r w:rsidRPr="0022010C">
        <w:rPr>
          <w:b/>
          <w:bCs/>
          <w:color w:val="000000"/>
          <w:sz w:val="24"/>
        </w:rPr>
        <w:t>dents:</w:t>
      </w:r>
      <w:r w:rsidRPr="00721B9D" w:rsidR="00721B9D">
        <w:rPr>
          <w:b/>
          <w:sz w:val="24"/>
        </w:rPr>
        <w:t xml:space="preserve"> </w:t>
      </w:r>
      <w:r w:rsidR="00721B9D">
        <w:rPr>
          <w:b/>
          <w:sz w:val="24"/>
        </w:rPr>
        <w:t>$</w:t>
      </w:r>
      <w:r w:rsidR="00B4593F">
        <w:rPr>
          <w:b/>
          <w:sz w:val="24"/>
        </w:rPr>
        <w:t>37,695</w:t>
      </w:r>
      <w:r w:rsidR="00A77E62">
        <w:rPr>
          <w:b/>
          <w:sz w:val="24"/>
        </w:rPr>
        <w:t xml:space="preserve"> </w:t>
      </w:r>
      <w:r w:rsidR="00721B9D">
        <w:rPr>
          <w:b/>
          <w:sz w:val="24"/>
        </w:rPr>
        <w:t>(</w:t>
      </w:r>
      <w:r w:rsidR="000E7E83">
        <w:rPr>
          <w:b/>
          <w:sz w:val="24"/>
        </w:rPr>
        <w:t>$</w:t>
      </w:r>
      <w:r w:rsidR="00B4593F">
        <w:rPr>
          <w:b/>
          <w:sz w:val="24"/>
        </w:rPr>
        <w:t>37,549</w:t>
      </w:r>
      <w:r w:rsidR="00721B9D">
        <w:rPr>
          <w:b/>
          <w:sz w:val="24"/>
        </w:rPr>
        <w:t xml:space="preserve"> +</w:t>
      </w:r>
      <w:r w:rsidR="002D110B">
        <w:rPr>
          <w:b/>
          <w:sz w:val="24"/>
        </w:rPr>
        <w:t xml:space="preserve"> </w:t>
      </w:r>
      <w:r w:rsidR="00721B9D">
        <w:rPr>
          <w:b/>
          <w:sz w:val="24"/>
        </w:rPr>
        <w:t>$</w:t>
      </w:r>
      <w:r w:rsidR="00A77E62">
        <w:rPr>
          <w:b/>
          <w:sz w:val="24"/>
        </w:rPr>
        <w:t>146</w:t>
      </w:r>
      <w:r w:rsidR="002D110B">
        <w:rPr>
          <w:b/>
          <w:sz w:val="24"/>
        </w:rPr>
        <w:t xml:space="preserve"> </w:t>
      </w:r>
      <w:r w:rsidR="00721B9D">
        <w:rPr>
          <w:b/>
          <w:sz w:val="24"/>
        </w:rPr>
        <w:t>=</w:t>
      </w:r>
      <w:r w:rsidR="002D110B">
        <w:rPr>
          <w:b/>
          <w:sz w:val="24"/>
        </w:rPr>
        <w:t xml:space="preserve"> </w:t>
      </w:r>
      <w:r w:rsidR="00721B9D">
        <w:rPr>
          <w:b/>
          <w:sz w:val="24"/>
        </w:rPr>
        <w:t>$</w:t>
      </w:r>
      <w:r w:rsidR="00B4593F">
        <w:rPr>
          <w:b/>
          <w:sz w:val="24"/>
        </w:rPr>
        <w:t>37,695</w:t>
      </w:r>
      <w:r w:rsidR="00721B9D">
        <w:rPr>
          <w:b/>
          <w:sz w:val="24"/>
        </w:rPr>
        <w:t>)</w:t>
      </w:r>
      <w:r w:rsidR="009B1C75">
        <w:rPr>
          <w:b/>
          <w:sz w:val="24"/>
        </w:rPr>
        <w:t>.</w:t>
      </w:r>
    </w:p>
    <w:p w:rsidR="00501140" w:rsidP="00501140" w14:paraId="193AB319" w14:textId="7BF58B2A">
      <w:pPr>
        <w:rPr>
          <w:b/>
          <w:sz w:val="24"/>
        </w:rPr>
      </w:pPr>
    </w:p>
    <w:p w:rsidR="003147C0" w:rsidRPr="00B4583A" w:rsidP="00501140" w14:paraId="23BA6DDB" w14:textId="77777777">
      <w:pPr>
        <w:pStyle w:val="Heading2"/>
        <w:spacing w:before="0" w:after="0"/>
      </w:pPr>
      <w:r w:rsidRPr="0008607E">
        <w:t>ESTIMATE OF COST TO THE FEDERAL GOVERNMENT</w:t>
      </w:r>
    </w:p>
    <w:p w:rsidR="00501140" w:rsidP="00004C2C" w14:paraId="74DDD2E9" w14:textId="77777777">
      <w:pPr>
        <w:ind w:left="360"/>
        <w:rPr>
          <w:sz w:val="24"/>
        </w:rPr>
      </w:pPr>
    </w:p>
    <w:p w:rsidR="00BC3370" w:rsidRPr="00B4583A" w:rsidP="00004C2C" w14:paraId="4215424D" w14:textId="6C817987">
      <w:pPr>
        <w:ind w:left="360"/>
        <w:rPr>
          <w:color w:val="000000"/>
          <w:sz w:val="24"/>
        </w:rPr>
      </w:pPr>
      <w:r w:rsidRPr="102CE53A">
        <w:rPr>
          <w:sz w:val="24"/>
        </w:rPr>
        <w:t xml:space="preserve">The </w:t>
      </w:r>
      <w:r w:rsidRPr="102CE53A" w:rsidR="002242F1">
        <w:rPr>
          <w:sz w:val="24"/>
        </w:rPr>
        <w:t>a</w:t>
      </w:r>
      <w:r w:rsidRPr="102CE53A">
        <w:rPr>
          <w:sz w:val="24"/>
        </w:rPr>
        <w:t>gency estimates that reviewing the contents of the package, deciding whether to grant or reject the application</w:t>
      </w:r>
      <w:r w:rsidRPr="102CE53A" w:rsidR="002D110B">
        <w:rPr>
          <w:sz w:val="24"/>
        </w:rPr>
        <w:t>s</w:t>
      </w:r>
      <w:r w:rsidRPr="102CE53A">
        <w:rPr>
          <w:sz w:val="24"/>
        </w:rPr>
        <w:t xml:space="preserve">, issuing a </w:t>
      </w:r>
      <w:r w:rsidRPr="102CE53A" w:rsidR="00852D7D">
        <w:rPr>
          <w:sz w:val="24"/>
        </w:rPr>
        <w:t>c</w:t>
      </w:r>
      <w:r w:rsidRPr="102CE53A">
        <w:rPr>
          <w:sz w:val="24"/>
        </w:rPr>
        <w:t xml:space="preserve">ertificate of </w:t>
      </w:r>
      <w:r w:rsidRPr="102CE53A" w:rsidR="00852D7D">
        <w:rPr>
          <w:sz w:val="24"/>
        </w:rPr>
        <w:t>r</w:t>
      </w:r>
      <w:r w:rsidRPr="102CE53A">
        <w:rPr>
          <w:sz w:val="24"/>
        </w:rPr>
        <w:t xml:space="preserve">egistration to the carrier where appropriate, </w:t>
      </w:r>
      <w:r w:rsidRPr="102CE53A">
        <w:rPr>
          <w:sz w:val="24"/>
        </w:rPr>
        <w:t xml:space="preserve">and performing the ministerial functions associated with the handling of the </w:t>
      </w:r>
      <w:r w:rsidRPr="102CE53A" w:rsidR="007B44EC">
        <w:rPr>
          <w:sz w:val="24"/>
        </w:rPr>
        <w:t>585</w:t>
      </w:r>
      <w:r w:rsidRPr="102CE53A" w:rsidR="009B1C75">
        <w:rPr>
          <w:sz w:val="24"/>
        </w:rPr>
        <w:t xml:space="preserve"> </w:t>
      </w:r>
      <w:r w:rsidRPr="102CE53A">
        <w:rPr>
          <w:sz w:val="24"/>
        </w:rPr>
        <w:t>applications received</w:t>
      </w:r>
      <w:r w:rsidRPr="102CE53A" w:rsidR="4315C1D1">
        <w:rPr>
          <w:sz w:val="24"/>
        </w:rPr>
        <w:t xml:space="preserve"> on average</w:t>
      </w:r>
      <w:r w:rsidRPr="102CE53A">
        <w:rPr>
          <w:sz w:val="24"/>
        </w:rPr>
        <w:t xml:space="preserve"> annually takes approximately </w:t>
      </w:r>
      <w:r w:rsidRPr="102CE53A" w:rsidR="00A570AA">
        <w:rPr>
          <w:sz w:val="24"/>
        </w:rPr>
        <w:t>10 minutes (</w:t>
      </w:r>
      <w:r w:rsidRPr="102CE53A" w:rsidR="000916C0">
        <w:rPr>
          <w:sz w:val="24"/>
        </w:rPr>
        <w:t xml:space="preserve">0.167 hours) </w:t>
      </w:r>
      <w:r w:rsidRPr="102CE53A">
        <w:rPr>
          <w:sz w:val="24"/>
        </w:rPr>
        <w:t xml:space="preserve">per form, or </w:t>
      </w:r>
      <w:r w:rsidRPr="102CE53A" w:rsidR="00556AD8">
        <w:rPr>
          <w:sz w:val="24"/>
        </w:rPr>
        <w:t>98</w:t>
      </w:r>
      <w:r w:rsidRPr="102CE53A" w:rsidR="00744197">
        <w:rPr>
          <w:sz w:val="24"/>
        </w:rPr>
        <w:t xml:space="preserve"> </w:t>
      </w:r>
      <w:r w:rsidRPr="102CE53A">
        <w:rPr>
          <w:sz w:val="24"/>
        </w:rPr>
        <w:t>hours per year</w:t>
      </w:r>
      <w:r w:rsidRPr="102CE53A" w:rsidR="00AF1C41">
        <w:rPr>
          <w:sz w:val="24"/>
        </w:rPr>
        <w:t xml:space="preserve"> (</w:t>
      </w:r>
      <w:r w:rsidRPr="102CE53A" w:rsidR="00556AD8">
        <w:rPr>
          <w:sz w:val="24"/>
        </w:rPr>
        <w:t>585</w:t>
      </w:r>
      <w:r w:rsidRPr="102CE53A" w:rsidR="00CD400E">
        <w:rPr>
          <w:sz w:val="24"/>
        </w:rPr>
        <w:t xml:space="preserve"> </w:t>
      </w:r>
      <w:r w:rsidRPr="102CE53A" w:rsidR="00AF1C41">
        <w:rPr>
          <w:sz w:val="24"/>
        </w:rPr>
        <w:t xml:space="preserve">× </w:t>
      </w:r>
      <w:r w:rsidRPr="102CE53A" w:rsidR="000916C0">
        <w:rPr>
          <w:sz w:val="24"/>
        </w:rPr>
        <w:t>0.167</w:t>
      </w:r>
      <w:r w:rsidRPr="102CE53A" w:rsidR="00AF1C41">
        <w:rPr>
          <w:sz w:val="24"/>
        </w:rPr>
        <w:t xml:space="preserve"> hours</w:t>
      </w:r>
      <w:r w:rsidRPr="102CE53A" w:rsidR="00D8715A">
        <w:rPr>
          <w:sz w:val="24"/>
        </w:rPr>
        <w:t xml:space="preserve"> = </w:t>
      </w:r>
      <w:r w:rsidRPr="102CE53A" w:rsidR="00556AD8">
        <w:rPr>
          <w:sz w:val="24"/>
        </w:rPr>
        <w:t>98</w:t>
      </w:r>
      <w:r w:rsidRPr="102CE53A" w:rsidR="00744197">
        <w:rPr>
          <w:sz w:val="24"/>
        </w:rPr>
        <w:t xml:space="preserve"> hours</w:t>
      </w:r>
      <w:r w:rsidRPr="102CE53A" w:rsidR="00AF1C41">
        <w:rPr>
          <w:sz w:val="24"/>
        </w:rPr>
        <w:t>)</w:t>
      </w:r>
      <w:r w:rsidRPr="102CE53A">
        <w:rPr>
          <w:sz w:val="24"/>
        </w:rPr>
        <w:t>.</w:t>
      </w:r>
    </w:p>
    <w:p w:rsidR="00501140" w:rsidP="00004C2C" w14:paraId="4C403DAF" w14:textId="77777777">
      <w:pPr>
        <w:ind w:left="360"/>
        <w:rPr>
          <w:sz w:val="24"/>
        </w:rPr>
      </w:pPr>
    </w:p>
    <w:p w:rsidR="00BC3370" w:rsidP="00004C2C" w14:paraId="449D5259" w14:textId="124DC749">
      <w:pPr>
        <w:ind w:left="360"/>
        <w:rPr>
          <w:sz w:val="24"/>
        </w:rPr>
      </w:pPr>
      <w:r w:rsidRPr="102CE53A">
        <w:rPr>
          <w:sz w:val="24"/>
        </w:rPr>
        <w:t xml:space="preserve">Tasks associated with </w:t>
      </w:r>
      <w:r w:rsidRPr="102CE53A" w:rsidR="004175B4">
        <w:rPr>
          <w:sz w:val="24"/>
        </w:rPr>
        <w:t xml:space="preserve">Form </w:t>
      </w:r>
      <w:r w:rsidRPr="102CE53A">
        <w:rPr>
          <w:sz w:val="24"/>
        </w:rPr>
        <w:t xml:space="preserve">OP-2 are performed by a </w:t>
      </w:r>
      <w:r w:rsidRPr="102CE53A" w:rsidR="004175B4">
        <w:rPr>
          <w:sz w:val="24"/>
        </w:rPr>
        <w:t>G</w:t>
      </w:r>
      <w:r w:rsidRPr="102CE53A" w:rsidR="002242F1">
        <w:rPr>
          <w:sz w:val="24"/>
        </w:rPr>
        <w:t>eneral Schedule Grade</w:t>
      </w:r>
      <w:r w:rsidRPr="102CE53A">
        <w:rPr>
          <w:sz w:val="24"/>
        </w:rPr>
        <w:t xml:space="preserve"> 9 Transportation Specialist </w:t>
      </w:r>
      <w:r w:rsidRPr="102CE53A" w:rsidR="00061D30">
        <w:rPr>
          <w:sz w:val="24"/>
        </w:rPr>
        <w:t xml:space="preserve">in headquarters </w:t>
      </w:r>
      <w:r w:rsidRPr="102CE53A">
        <w:rPr>
          <w:sz w:val="24"/>
        </w:rPr>
        <w:t xml:space="preserve">at a </w:t>
      </w:r>
      <w:r w:rsidRPr="102CE53A" w:rsidR="00F67064">
        <w:rPr>
          <w:sz w:val="24"/>
        </w:rPr>
        <w:t xml:space="preserve">wage </w:t>
      </w:r>
      <w:r w:rsidRPr="102CE53A">
        <w:rPr>
          <w:sz w:val="24"/>
        </w:rPr>
        <w:t>cost of approximately $</w:t>
      </w:r>
      <w:r w:rsidR="007E650E">
        <w:rPr>
          <w:sz w:val="24"/>
        </w:rPr>
        <w:t>38.24</w:t>
      </w:r>
      <w:r w:rsidRPr="102CE53A">
        <w:rPr>
          <w:sz w:val="24"/>
        </w:rPr>
        <w:t xml:space="preserve"> per hour.</w:t>
      </w:r>
      <w:r w:rsidRPr="102CE53A">
        <w:rPr>
          <w:sz w:val="24"/>
          <w:vertAlign w:val="superscript"/>
        </w:rPr>
        <w:t>(</w:t>
      </w:r>
      <w:r>
        <w:rPr>
          <w:rStyle w:val="FootnoteReference"/>
          <w:sz w:val="24"/>
          <w:vertAlign w:val="superscript"/>
        </w:rPr>
        <w:footnoteReference w:id="8"/>
      </w:r>
      <w:r w:rsidRPr="102CE53A">
        <w:rPr>
          <w:sz w:val="24"/>
          <w:vertAlign w:val="superscript"/>
        </w:rPr>
        <w:t>)</w:t>
      </w:r>
      <w:r w:rsidRPr="102CE53A">
        <w:rPr>
          <w:sz w:val="24"/>
        </w:rPr>
        <w:t xml:space="preserve"> The</w:t>
      </w:r>
      <w:r w:rsidRPr="102CE53A" w:rsidR="006D2377">
        <w:rPr>
          <w:sz w:val="24"/>
        </w:rPr>
        <w:t xml:space="preserve"> </w:t>
      </w:r>
      <w:r w:rsidRPr="102CE53A" w:rsidR="00556AD8">
        <w:rPr>
          <w:sz w:val="24"/>
        </w:rPr>
        <w:t>load factor</w:t>
      </w:r>
      <w:r w:rsidRPr="102CE53A" w:rsidR="006D2377">
        <w:rPr>
          <w:sz w:val="24"/>
        </w:rPr>
        <w:t xml:space="preserve"> </w:t>
      </w:r>
      <w:r w:rsidRPr="102CE53A" w:rsidR="008227FB">
        <w:rPr>
          <w:sz w:val="24"/>
        </w:rPr>
        <w:t xml:space="preserve">for </w:t>
      </w:r>
      <w:r w:rsidRPr="102CE53A" w:rsidR="002242F1">
        <w:rPr>
          <w:sz w:val="24"/>
        </w:rPr>
        <w:t>F</w:t>
      </w:r>
      <w:r w:rsidRPr="102CE53A" w:rsidR="008227FB">
        <w:rPr>
          <w:sz w:val="24"/>
        </w:rPr>
        <w:t xml:space="preserve">ederal </w:t>
      </w:r>
      <w:r w:rsidRPr="102CE53A" w:rsidR="002242F1">
        <w:rPr>
          <w:sz w:val="24"/>
        </w:rPr>
        <w:t>G</w:t>
      </w:r>
      <w:r w:rsidRPr="102CE53A" w:rsidR="008227FB">
        <w:rPr>
          <w:sz w:val="24"/>
        </w:rPr>
        <w:t>overnment workers is</w:t>
      </w:r>
      <w:r w:rsidRPr="102CE53A" w:rsidR="006D2377">
        <w:rPr>
          <w:sz w:val="24"/>
        </w:rPr>
        <w:t xml:space="preserve"> 1.28</w:t>
      </w:r>
      <w:r w:rsidRPr="102CE53A" w:rsidR="002D110B">
        <w:rPr>
          <w:sz w:val="24"/>
        </w:rPr>
        <w:t>.</w:t>
      </w:r>
      <w:r w:rsidRPr="102CE53A" w:rsidR="00076A59">
        <w:rPr>
          <w:sz w:val="24"/>
          <w:vertAlign w:val="superscript"/>
        </w:rPr>
        <w:t>(</w:t>
      </w:r>
      <w:r>
        <w:rPr>
          <w:rStyle w:val="FootnoteReference"/>
          <w:sz w:val="24"/>
          <w:vertAlign w:val="superscript"/>
        </w:rPr>
        <w:footnoteReference w:id="9"/>
      </w:r>
      <w:r w:rsidRPr="102CE53A" w:rsidR="00076A59">
        <w:rPr>
          <w:sz w:val="24"/>
          <w:vertAlign w:val="superscript"/>
        </w:rPr>
        <w:t>)</w:t>
      </w:r>
      <w:r w:rsidRPr="102CE53A" w:rsidR="008227FB">
        <w:rPr>
          <w:sz w:val="24"/>
        </w:rPr>
        <w:t xml:space="preserve"> </w:t>
      </w:r>
      <w:r w:rsidRPr="102CE53A" w:rsidR="00F67064">
        <w:rPr>
          <w:sz w:val="24"/>
        </w:rPr>
        <w:t>Multiplying</w:t>
      </w:r>
      <w:r w:rsidRPr="102CE53A" w:rsidR="008227FB">
        <w:rPr>
          <w:sz w:val="24"/>
        </w:rPr>
        <w:t xml:space="preserve"> the </w:t>
      </w:r>
      <w:r w:rsidRPr="102CE53A" w:rsidR="00556AD8">
        <w:rPr>
          <w:sz w:val="24"/>
        </w:rPr>
        <w:t>load factor</w:t>
      </w:r>
      <w:r w:rsidRPr="102CE53A" w:rsidR="008227FB">
        <w:rPr>
          <w:sz w:val="24"/>
        </w:rPr>
        <w:t xml:space="preserve"> by the </w:t>
      </w:r>
      <w:r w:rsidRPr="102CE53A" w:rsidR="00555191">
        <w:rPr>
          <w:sz w:val="24"/>
        </w:rPr>
        <w:t>wage rate</w:t>
      </w:r>
      <w:r w:rsidRPr="102CE53A" w:rsidR="00F67064">
        <w:rPr>
          <w:sz w:val="24"/>
        </w:rPr>
        <w:t xml:space="preserve"> provides a total </w:t>
      </w:r>
      <w:r w:rsidRPr="102CE53A" w:rsidR="0F1219B6">
        <w:rPr>
          <w:sz w:val="24"/>
        </w:rPr>
        <w:t xml:space="preserve">compensation </w:t>
      </w:r>
      <w:r w:rsidRPr="102CE53A" w:rsidR="00F67064">
        <w:rPr>
          <w:sz w:val="24"/>
        </w:rPr>
        <w:t xml:space="preserve">cost  of </w:t>
      </w:r>
      <w:r w:rsidRPr="102CE53A" w:rsidR="00AE7775">
        <w:rPr>
          <w:sz w:val="24"/>
        </w:rPr>
        <w:t>$</w:t>
      </w:r>
      <w:r w:rsidR="007E650E">
        <w:rPr>
          <w:sz w:val="24"/>
        </w:rPr>
        <w:t>48.95</w:t>
      </w:r>
      <w:r w:rsidRPr="102CE53A" w:rsidR="00555191">
        <w:rPr>
          <w:sz w:val="24"/>
        </w:rPr>
        <w:t xml:space="preserve"> (</w:t>
      </w:r>
      <w:r w:rsidRPr="102CE53A" w:rsidR="00BA5A35">
        <w:rPr>
          <w:sz w:val="24"/>
        </w:rPr>
        <w:t xml:space="preserve">1.28 × </w:t>
      </w:r>
      <w:r w:rsidRPr="102CE53A" w:rsidR="00555191">
        <w:rPr>
          <w:sz w:val="24"/>
        </w:rPr>
        <w:t>$</w:t>
      </w:r>
      <w:r w:rsidR="007E650E">
        <w:rPr>
          <w:sz w:val="24"/>
        </w:rPr>
        <w:t>38.24</w:t>
      </w:r>
      <w:r w:rsidRPr="102CE53A" w:rsidR="000B408E">
        <w:rPr>
          <w:sz w:val="24"/>
        </w:rPr>
        <w:t xml:space="preserve"> </w:t>
      </w:r>
      <w:r w:rsidRPr="102CE53A" w:rsidR="00AE7775">
        <w:rPr>
          <w:sz w:val="24"/>
        </w:rPr>
        <w:t>=</w:t>
      </w:r>
      <w:r w:rsidRPr="102CE53A" w:rsidR="00076A59">
        <w:rPr>
          <w:sz w:val="24"/>
        </w:rPr>
        <w:t xml:space="preserve"> </w:t>
      </w:r>
      <w:r w:rsidRPr="102CE53A" w:rsidR="00BA5A35">
        <w:rPr>
          <w:sz w:val="24"/>
        </w:rPr>
        <w:t>$</w:t>
      </w:r>
      <w:r w:rsidR="007E650E">
        <w:rPr>
          <w:sz w:val="24"/>
        </w:rPr>
        <w:t>48.95</w:t>
      </w:r>
      <w:r w:rsidRPr="102CE53A" w:rsidR="00BA5A35">
        <w:rPr>
          <w:sz w:val="24"/>
        </w:rPr>
        <w:t>)</w:t>
      </w:r>
      <w:r w:rsidRPr="102CE53A" w:rsidR="00D76CA2">
        <w:rPr>
          <w:sz w:val="24"/>
        </w:rPr>
        <w:t xml:space="preserve"> per hour</w:t>
      </w:r>
      <w:r w:rsidRPr="102CE53A" w:rsidR="00AE7775">
        <w:rPr>
          <w:sz w:val="24"/>
        </w:rPr>
        <w:t xml:space="preserve">. </w:t>
      </w:r>
      <w:r w:rsidRPr="102CE53A" w:rsidR="00822BEE">
        <w:rPr>
          <w:sz w:val="24"/>
        </w:rPr>
        <w:t xml:space="preserve">The total estimated annual cost to </w:t>
      </w:r>
      <w:r w:rsidRPr="102CE53A">
        <w:rPr>
          <w:sz w:val="24"/>
        </w:rPr>
        <w:t xml:space="preserve">the </w:t>
      </w:r>
      <w:r w:rsidRPr="102CE53A" w:rsidR="00076A59">
        <w:rPr>
          <w:sz w:val="24"/>
        </w:rPr>
        <w:t>F</w:t>
      </w:r>
      <w:r w:rsidRPr="102CE53A">
        <w:rPr>
          <w:sz w:val="24"/>
        </w:rPr>
        <w:t xml:space="preserve">ederal </w:t>
      </w:r>
      <w:r w:rsidRPr="102CE53A" w:rsidR="002242F1">
        <w:rPr>
          <w:sz w:val="24"/>
        </w:rPr>
        <w:t>G</w:t>
      </w:r>
      <w:r w:rsidRPr="102CE53A">
        <w:rPr>
          <w:sz w:val="24"/>
        </w:rPr>
        <w:t>overnment is $</w:t>
      </w:r>
      <w:r w:rsidR="007E650E">
        <w:rPr>
          <w:sz w:val="24"/>
        </w:rPr>
        <w:t>4,797</w:t>
      </w:r>
      <w:r w:rsidRPr="102CE53A">
        <w:rPr>
          <w:sz w:val="24"/>
        </w:rPr>
        <w:t xml:space="preserve"> (</w:t>
      </w:r>
      <w:r w:rsidRPr="102CE53A" w:rsidR="00556AD8">
        <w:rPr>
          <w:sz w:val="24"/>
        </w:rPr>
        <w:t>98</w:t>
      </w:r>
      <w:r w:rsidRPr="102CE53A">
        <w:rPr>
          <w:sz w:val="24"/>
        </w:rPr>
        <w:t xml:space="preserve"> hours × </w:t>
      </w:r>
      <w:r w:rsidRPr="102CE53A" w:rsidR="00822BEE">
        <w:rPr>
          <w:sz w:val="24"/>
        </w:rPr>
        <w:t>$</w:t>
      </w:r>
      <w:r w:rsidR="007E650E">
        <w:rPr>
          <w:sz w:val="24"/>
        </w:rPr>
        <w:t>48.95</w:t>
      </w:r>
      <w:r w:rsidRPr="102CE53A">
        <w:rPr>
          <w:sz w:val="24"/>
        </w:rPr>
        <w:t xml:space="preserve"> per hour).</w:t>
      </w:r>
    </w:p>
    <w:p w:rsidR="00501140" w:rsidP="00501140" w14:paraId="122990BD" w14:textId="5FA24C18">
      <w:pPr>
        <w:rPr>
          <w:sz w:val="24"/>
        </w:rPr>
      </w:pPr>
    </w:p>
    <w:p w:rsidR="00ED5BA5" w:rsidRPr="00B4583A" w:rsidP="00501140" w14:paraId="626CFA05" w14:textId="61360D9F">
      <w:pPr>
        <w:pStyle w:val="Heading2"/>
        <w:spacing w:before="0" w:after="0"/>
      </w:pPr>
      <w:r w:rsidRPr="0008607E">
        <w:t xml:space="preserve">EXPLANATION OF PROGRAM </w:t>
      </w:r>
      <w:r w:rsidRPr="00CD2424" w:rsidR="00CD2424">
        <w:rPr>
          <w:bCs w:val="0"/>
        </w:rPr>
        <w:t>CHANGES OR</w:t>
      </w:r>
      <w:r w:rsidRPr="009E43F8" w:rsidR="00CD2424">
        <w:rPr>
          <w:b w:val="0"/>
          <w:bCs w:val="0"/>
        </w:rPr>
        <w:t xml:space="preserve"> </w:t>
      </w:r>
      <w:r w:rsidRPr="0008607E">
        <w:t>ADJUSTMENTS</w:t>
      </w:r>
    </w:p>
    <w:p w:rsidR="00501140" w:rsidP="00004C2C" w14:paraId="708B472F" w14:textId="77777777">
      <w:pPr>
        <w:ind w:left="360"/>
        <w:rPr>
          <w:sz w:val="24"/>
        </w:rPr>
      </w:pPr>
    </w:p>
    <w:p w:rsidR="0052752C" w:rsidP="00004C2C" w14:paraId="09C07BEB" w14:textId="471B579D">
      <w:pPr>
        <w:ind w:left="360"/>
        <w:rPr>
          <w:sz w:val="24"/>
        </w:rPr>
      </w:pPr>
      <w:r w:rsidRPr="102CE53A">
        <w:rPr>
          <w:sz w:val="24"/>
        </w:rPr>
        <w:t xml:space="preserve">The </w:t>
      </w:r>
      <w:r w:rsidRPr="102CE53A" w:rsidR="0025441C">
        <w:rPr>
          <w:sz w:val="24"/>
        </w:rPr>
        <w:t xml:space="preserve">respondent burden hours </w:t>
      </w:r>
      <w:r w:rsidRPr="102CE53A" w:rsidR="002B1616">
        <w:rPr>
          <w:sz w:val="24"/>
        </w:rPr>
        <w:t>have</w:t>
      </w:r>
      <w:r w:rsidRPr="102CE53A" w:rsidR="3C08A1C3">
        <w:rPr>
          <w:sz w:val="24"/>
        </w:rPr>
        <w:t xml:space="preserve"> </w:t>
      </w:r>
      <w:r w:rsidRPr="102CE53A" w:rsidR="0085519F">
        <w:rPr>
          <w:sz w:val="24"/>
        </w:rPr>
        <w:t xml:space="preserve">increased </w:t>
      </w:r>
      <w:r w:rsidRPr="102CE53A" w:rsidR="0025441C">
        <w:rPr>
          <w:sz w:val="24"/>
        </w:rPr>
        <w:t>by</w:t>
      </w:r>
      <w:r w:rsidRPr="102CE53A">
        <w:rPr>
          <w:sz w:val="24"/>
        </w:rPr>
        <w:t xml:space="preserve"> </w:t>
      </w:r>
      <w:r w:rsidRPr="102CE53A" w:rsidR="0085519F">
        <w:rPr>
          <w:sz w:val="24"/>
        </w:rPr>
        <w:t>831</w:t>
      </w:r>
      <w:r w:rsidRPr="102CE53A" w:rsidR="7D63BC91">
        <w:rPr>
          <w:sz w:val="24"/>
        </w:rPr>
        <w:t xml:space="preserve"> hours for this renewal</w:t>
      </w:r>
      <w:r w:rsidRPr="102CE53A" w:rsidR="00884DCD">
        <w:rPr>
          <w:sz w:val="24"/>
        </w:rPr>
        <w:t xml:space="preserve"> (</w:t>
      </w:r>
      <w:bookmarkStart w:id="10" w:name="_Hlk521955183"/>
      <w:r w:rsidRPr="102CE53A" w:rsidR="0085519F">
        <w:rPr>
          <w:sz w:val="24"/>
        </w:rPr>
        <w:t>878</w:t>
      </w:r>
      <w:r w:rsidRPr="102CE53A" w:rsidR="0021554A">
        <w:rPr>
          <w:sz w:val="24"/>
        </w:rPr>
        <w:t xml:space="preserve"> </w:t>
      </w:r>
      <w:r w:rsidRPr="102CE53A">
        <w:rPr>
          <w:sz w:val="24"/>
        </w:rPr>
        <w:t>hours proposed –</w:t>
      </w:r>
      <w:r w:rsidRPr="102CE53A" w:rsidR="00A23015">
        <w:rPr>
          <w:sz w:val="24"/>
        </w:rPr>
        <w:t xml:space="preserve"> </w:t>
      </w:r>
      <w:r w:rsidRPr="102CE53A" w:rsidR="0085519F">
        <w:rPr>
          <w:sz w:val="24"/>
        </w:rPr>
        <w:t>47</w:t>
      </w:r>
      <w:r w:rsidRPr="102CE53A" w:rsidR="00E13CD9">
        <w:rPr>
          <w:sz w:val="24"/>
        </w:rPr>
        <w:t xml:space="preserve"> </w:t>
      </w:r>
      <w:r w:rsidRPr="102CE53A">
        <w:rPr>
          <w:sz w:val="24"/>
        </w:rPr>
        <w:t>hours currently approved</w:t>
      </w:r>
      <w:bookmarkEnd w:id="10"/>
      <w:r w:rsidRPr="102CE53A" w:rsidR="00A23015">
        <w:rPr>
          <w:sz w:val="24"/>
        </w:rPr>
        <w:t xml:space="preserve"> = </w:t>
      </w:r>
      <w:r w:rsidRPr="102CE53A" w:rsidR="0085519F">
        <w:rPr>
          <w:sz w:val="24"/>
        </w:rPr>
        <w:t>831</w:t>
      </w:r>
      <w:r w:rsidRPr="102CE53A" w:rsidR="00A23015">
        <w:rPr>
          <w:sz w:val="24"/>
        </w:rPr>
        <w:t xml:space="preserve"> hours</w:t>
      </w:r>
      <w:r w:rsidRPr="102CE53A" w:rsidR="00076A59">
        <w:rPr>
          <w:sz w:val="24"/>
        </w:rPr>
        <w:t>)</w:t>
      </w:r>
      <w:r w:rsidRPr="102CE53A" w:rsidR="00884DCD">
        <w:rPr>
          <w:sz w:val="24"/>
        </w:rPr>
        <w:t>. The change</w:t>
      </w:r>
      <w:r w:rsidRPr="102CE53A">
        <w:rPr>
          <w:sz w:val="24"/>
        </w:rPr>
        <w:t xml:space="preserve"> </w:t>
      </w:r>
      <w:r w:rsidRPr="102CE53A" w:rsidR="00CA78F8">
        <w:rPr>
          <w:sz w:val="24"/>
        </w:rPr>
        <w:t xml:space="preserve">is </w:t>
      </w:r>
      <w:r w:rsidRPr="102CE53A" w:rsidR="00B3337C">
        <w:rPr>
          <w:sz w:val="24"/>
        </w:rPr>
        <w:t xml:space="preserve">due </w:t>
      </w:r>
      <w:r w:rsidRPr="102CE53A" w:rsidR="0085519F">
        <w:rPr>
          <w:sz w:val="24"/>
        </w:rPr>
        <w:t>to an increase in the number of respondents who updated the OP-2 applications</w:t>
      </w:r>
      <w:r w:rsidRPr="102CE53A" w:rsidR="00D02EAF">
        <w:rPr>
          <w:sz w:val="24"/>
        </w:rPr>
        <w:t>.</w:t>
      </w:r>
      <w:r w:rsidRPr="102CE53A" w:rsidR="0085519F">
        <w:rPr>
          <w:sz w:val="24"/>
        </w:rPr>
        <w:t xml:space="preserve"> Table 2 displays the changes in burden estimates.</w:t>
      </w:r>
    </w:p>
    <w:p w:rsidR="00CC33F2" w:rsidP="00FA7FF0" w14:paraId="40F8E92A" w14:textId="2815B45F">
      <w:pPr>
        <w:widowControl/>
        <w:autoSpaceDE/>
        <w:autoSpaceDN/>
        <w:adjustRightInd/>
        <w:ind w:left="360"/>
        <w:rPr>
          <w:sz w:val="24"/>
        </w:rPr>
      </w:pPr>
    </w:p>
    <w:p w:rsidR="0064612D" w:rsidP="00073443" w14:paraId="17167D8C" w14:textId="76EAC874">
      <w:pPr>
        <w:ind w:left="360"/>
        <w:rPr>
          <w:b/>
          <w:bCs/>
          <w:sz w:val="24"/>
        </w:rPr>
      </w:pPr>
      <w:r w:rsidRPr="0064612D">
        <w:rPr>
          <w:b/>
          <w:bCs/>
          <w:sz w:val="24"/>
        </w:rPr>
        <w:t>Table 2. Change in estimates</w:t>
      </w:r>
      <w:r w:rsidR="00551C06">
        <w:rPr>
          <w:b/>
          <w:bCs/>
          <w:sz w:val="24"/>
        </w:rPr>
        <w:t>.</w:t>
      </w:r>
    </w:p>
    <w:p w:rsidR="00073443" w:rsidRPr="0064612D" w:rsidP="00073443" w14:paraId="28190207" w14:textId="77777777">
      <w:pPr>
        <w:ind w:left="360"/>
        <w:rPr>
          <w:b/>
          <w:bCs/>
          <w:sz w:val="24"/>
        </w:rPr>
      </w:pPr>
    </w:p>
    <w:tbl>
      <w:tblPr>
        <w:tblW w:w="8640" w:type="dxa"/>
        <w:jc w:val="center"/>
        <w:tblLook w:val="04A0"/>
      </w:tblPr>
      <w:tblGrid>
        <w:gridCol w:w="3950"/>
        <w:gridCol w:w="1620"/>
        <w:gridCol w:w="1620"/>
        <w:gridCol w:w="1450"/>
      </w:tblGrid>
      <w:tr w14:paraId="1601A09B" w14:textId="77777777" w:rsidTr="00073443">
        <w:tblPrEx>
          <w:tblW w:w="8640" w:type="dxa"/>
          <w:jc w:val="center"/>
          <w:tblLook w:val="04A0"/>
        </w:tblPrEx>
        <w:trPr>
          <w:trHeight w:val="601"/>
          <w:jc w:val="center"/>
        </w:trPr>
        <w:tc>
          <w:tcPr>
            <w:tcW w:w="3950" w:type="dxa"/>
            <w:tcBorders>
              <w:top w:val="single" w:sz="8" w:space="0" w:color="auto"/>
              <w:left w:val="single" w:sz="8" w:space="0" w:color="auto"/>
              <w:bottom w:val="single" w:sz="12" w:space="0" w:color="auto"/>
              <w:right w:val="single" w:sz="8" w:space="0" w:color="auto"/>
            </w:tcBorders>
            <w:shd w:val="clear" w:color="000000" w:fill="E0E0E0"/>
            <w:vAlign w:val="center"/>
            <w:hideMark/>
          </w:tcPr>
          <w:p w:rsidR="0085519F" w:rsidRPr="0085519F" w:rsidP="0085519F" w14:paraId="16088B3F" w14:textId="77777777">
            <w:pPr>
              <w:widowControl/>
              <w:autoSpaceDE/>
              <w:autoSpaceDN/>
              <w:adjustRightInd/>
              <w:jc w:val="center"/>
              <w:rPr>
                <w:b/>
                <w:bCs/>
                <w:color w:val="000000"/>
                <w:szCs w:val="20"/>
              </w:rPr>
            </w:pPr>
            <w:r w:rsidRPr="0085519F">
              <w:rPr>
                <w:b/>
                <w:bCs/>
                <w:szCs w:val="20"/>
              </w:rPr>
              <w:t>Information Collection Version</w:t>
            </w:r>
          </w:p>
        </w:tc>
        <w:tc>
          <w:tcPr>
            <w:tcW w:w="1620" w:type="dxa"/>
            <w:tcBorders>
              <w:top w:val="single" w:sz="8" w:space="0" w:color="auto"/>
              <w:left w:val="nil"/>
              <w:bottom w:val="single" w:sz="12" w:space="0" w:color="auto"/>
              <w:right w:val="single" w:sz="8" w:space="0" w:color="auto"/>
            </w:tcBorders>
            <w:shd w:val="clear" w:color="000000" w:fill="E0E0E0"/>
            <w:vAlign w:val="center"/>
            <w:hideMark/>
          </w:tcPr>
          <w:p w:rsidR="0085519F" w:rsidRPr="0085519F" w:rsidP="0085519F" w14:paraId="60D2ADC7" w14:textId="77777777">
            <w:pPr>
              <w:widowControl/>
              <w:autoSpaceDE/>
              <w:autoSpaceDN/>
              <w:adjustRightInd/>
              <w:jc w:val="center"/>
              <w:rPr>
                <w:b/>
                <w:bCs/>
                <w:color w:val="000000"/>
                <w:szCs w:val="20"/>
              </w:rPr>
            </w:pPr>
            <w:r w:rsidRPr="0085519F">
              <w:rPr>
                <w:b/>
                <w:bCs/>
                <w:color w:val="000000"/>
                <w:szCs w:val="20"/>
              </w:rPr>
              <w:t>Annual Number of Respondents</w:t>
            </w:r>
          </w:p>
        </w:tc>
        <w:tc>
          <w:tcPr>
            <w:tcW w:w="1620" w:type="dxa"/>
            <w:tcBorders>
              <w:top w:val="single" w:sz="8" w:space="0" w:color="auto"/>
              <w:left w:val="nil"/>
              <w:bottom w:val="single" w:sz="12" w:space="0" w:color="auto"/>
              <w:right w:val="single" w:sz="8" w:space="0" w:color="auto"/>
            </w:tcBorders>
            <w:shd w:val="clear" w:color="000000" w:fill="E0E0E0"/>
            <w:vAlign w:val="center"/>
            <w:hideMark/>
          </w:tcPr>
          <w:p w:rsidR="0085519F" w:rsidRPr="0085519F" w:rsidP="0085519F" w14:paraId="0D61867C" w14:textId="77777777">
            <w:pPr>
              <w:widowControl/>
              <w:autoSpaceDE/>
              <w:autoSpaceDN/>
              <w:adjustRightInd/>
              <w:jc w:val="center"/>
              <w:rPr>
                <w:b/>
                <w:bCs/>
                <w:color w:val="000000"/>
                <w:szCs w:val="20"/>
              </w:rPr>
            </w:pPr>
            <w:r w:rsidRPr="0085519F">
              <w:rPr>
                <w:b/>
                <w:bCs/>
                <w:szCs w:val="20"/>
              </w:rPr>
              <w:t>Annual Number of Responses</w:t>
            </w:r>
          </w:p>
        </w:tc>
        <w:tc>
          <w:tcPr>
            <w:tcW w:w="1450" w:type="dxa"/>
            <w:tcBorders>
              <w:top w:val="single" w:sz="8" w:space="0" w:color="auto"/>
              <w:left w:val="nil"/>
              <w:bottom w:val="single" w:sz="12" w:space="0" w:color="auto"/>
              <w:right w:val="single" w:sz="8" w:space="0" w:color="auto"/>
            </w:tcBorders>
            <w:shd w:val="clear" w:color="000000" w:fill="E0E0E0"/>
            <w:vAlign w:val="center"/>
            <w:hideMark/>
          </w:tcPr>
          <w:p w:rsidR="0085519F" w:rsidRPr="0085519F" w:rsidP="0085519F" w14:paraId="7170F8B1" w14:textId="77777777">
            <w:pPr>
              <w:widowControl/>
              <w:autoSpaceDE/>
              <w:autoSpaceDN/>
              <w:adjustRightInd/>
              <w:jc w:val="center"/>
              <w:rPr>
                <w:b/>
                <w:bCs/>
                <w:color w:val="000000"/>
                <w:szCs w:val="20"/>
              </w:rPr>
            </w:pPr>
            <w:r w:rsidRPr="0085519F">
              <w:rPr>
                <w:b/>
                <w:bCs/>
                <w:szCs w:val="20"/>
              </w:rPr>
              <w:t>Annual Burden Hours</w:t>
            </w:r>
          </w:p>
        </w:tc>
      </w:tr>
      <w:tr w14:paraId="5BC0972E" w14:textId="77777777" w:rsidTr="00073443">
        <w:tblPrEx>
          <w:tblW w:w="8640" w:type="dxa"/>
          <w:jc w:val="center"/>
          <w:tblLook w:val="04A0"/>
        </w:tblPrEx>
        <w:trPr>
          <w:trHeight w:val="411"/>
          <w:jc w:val="center"/>
        </w:trPr>
        <w:tc>
          <w:tcPr>
            <w:tcW w:w="3950" w:type="dxa"/>
            <w:tcBorders>
              <w:top w:val="nil"/>
              <w:left w:val="single" w:sz="8" w:space="0" w:color="auto"/>
              <w:bottom w:val="single" w:sz="8" w:space="0" w:color="auto"/>
              <w:right w:val="single" w:sz="8" w:space="0" w:color="auto"/>
            </w:tcBorders>
            <w:shd w:val="clear" w:color="000000" w:fill="FFFFFF"/>
            <w:vAlign w:val="center"/>
            <w:hideMark/>
          </w:tcPr>
          <w:p w:rsidR="0085519F" w:rsidRPr="0085519F" w:rsidP="0085519F" w14:paraId="577B08FD" w14:textId="77777777">
            <w:pPr>
              <w:widowControl/>
              <w:autoSpaceDE/>
              <w:autoSpaceDN/>
              <w:adjustRightInd/>
              <w:rPr>
                <w:color w:val="000000"/>
                <w:szCs w:val="20"/>
              </w:rPr>
            </w:pPr>
            <w:r w:rsidRPr="0085519F">
              <w:rPr>
                <w:szCs w:val="20"/>
              </w:rPr>
              <w:t>Currently Approved under OMB Control Number 2126-0019</w:t>
            </w:r>
          </w:p>
        </w:tc>
        <w:tc>
          <w:tcPr>
            <w:tcW w:w="1620" w:type="dxa"/>
            <w:tcBorders>
              <w:top w:val="nil"/>
              <w:left w:val="nil"/>
              <w:bottom w:val="single" w:sz="8" w:space="0" w:color="auto"/>
              <w:right w:val="single" w:sz="8" w:space="0" w:color="auto"/>
            </w:tcBorders>
            <w:shd w:val="clear" w:color="000000" w:fill="FFFFFF"/>
            <w:vAlign w:val="center"/>
            <w:hideMark/>
          </w:tcPr>
          <w:p w:rsidR="0085519F" w:rsidRPr="0085519F" w:rsidP="0085519F" w14:paraId="2614B1F8" w14:textId="77777777">
            <w:pPr>
              <w:widowControl/>
              <w:autoSpaceDE/>
              <w:autoSpaceDN/>
              <w:adjustRightInd/>
              <w:jc w:val="center"/>
              <w:rPr>
                <w:color w:val="000000"/>
                <w:szCs w:val="20"/>
              </w:rPr>
            </w:pPr>
            <w:r w:rsidRPr="0085519F">
              <w:rPr>
                <w:color w:val="000000"/>
                <w:szCs w:val="20"/>
              </w:rPr>
              <w:t>31</w:t>
            </w:r>
          </w:p>
        </w:tc>
        <w:tc>
          <w:tcPr>
            <w:tcW w:w="1620" w:type="dxa"/>
            <w:tcBorders>
              <w:top w:val="nil"/>
              <w:left w:val="nil"/>
              <w:bottom w:val="single" w:sz="8" w:space="0" w:color="auto"/>
              <w:right w:val="single" w:sz="8" w:space="0" w:color="auto"/>
            </w:tcBorders>
            <w:shd w:val="clear" w:color="000000" w:fill="FFFFFF"/>
            <w:vAlign w:val="center"/>
            <w:hideMark/>
          </w:tcPr>
          <w:p w:rsidR="0085519F" w:rsidRPr="0085519F" w:rsidP="0085519F" w14:paraId="02FC4BB1" w14:textId="77777777">
            <w:pPr>
              <w:widowControl/>
              <w:autoSpaceDE/>
              <w:autoSpaceDN/>
              <w:adjustRightInd/>
              <w:jc w:val="center"/>
              <w:rPr>
                <w:color w:val="000000"/>
                <w:szCs w:val="20"/>
              </w:rPr>
            </w:pPr>
            <w:r w:rsidRPr="0085519F">
              <w:rPr>
                <w:szCs w:val="20"/>
              </w:rPr>
              <w:t>31</w:t>
            </w:r>
          </w:p>
        </w:tc>
        <w:tc>
          <w:tcPr>
            <w:tcW w:w="1450" w:type="dxa"/>
            <w:tcBorders>
              <w:top w:val="nil"/>
              <w:left w:val="nil"/>
              <w:bottom w:val="single" w:sz="8" w:space="0" w:color="auto"/>
              <w:right w:val="single" w:sz="8" w:space="0" w:color="auto"/>
            </w:tcBorders>
            <w:shd w:val="clear" w:color="000000" w:fill="FFFFFF"/>
            <w:vAlign w:val="center"/>
            <w:hideMark/>
          </w:tcPr>
          <w:p w:rsidR="0085519F" w:rsidRPr="0085519F" w:rsidP="0085519F" w14:paraId="23F07B8D" w14:textId="77777777">
            <w:pPr>
              <w:widowControl/>
              <w:autoSpaceDE/>
              <w:autoSpaceDN/>
              <w:adjustRightInd/>
              <w:jc w:val="center"/>
              <w:rPr>
                <w:color w:val="000000"/>
                <w:szCs w:val="20"/>
              </w:rPr>
            </w:pPr>
            <w:r w:rsidRPr="0085519F">
              <w:rPr>
                <w:szCs w:val="20"/>
              </w:rPr>
              <w:t>47</w:t>
            </w:r>
          </w:p>
        </w:tc>
      </w:tr>
      <w:tr w14:paraId="20B58FAE" w14:textId="77777777" w:rsidTr="008A5C85">
        <w:tblPrEx>
          <w:tblW w:w="8640" w:type="dxa"/>
          <w:jc w:val="center"/>
          <w:tblLook w:val="04A0"/>
        </w:tblPrEx>
        <w:trPr>
          <w:trHeight w:val="475"/>
          <w:jc w:val="center"/>
        </w:trPr>
        <w:tc>
          <w:tcPr>
            <w:tcW w:w="3950" w:type="dxa"/>
            <w:tcBorders>
              <w:top w:val="nil"/>
              <w:left w:val="single" w:sz="8" w:space="0" w:color="auto"/>
              <w:bottom w:val="nil"/>
              <w:right w:val="single" w:sz="8" w:space="0" w:color="auto"/>
            </w:tcBorders>
            <w:shd w:val="clear" w:color="000000" w:fill="FFFFFF"/>
            <w:vAlign w:val="center"/>
            <w:hideMark/>
          </w:tcPr>
          <w:p w:rsidR="0085519F" w:rsidRPr="0085519F" w:rsidP="0085519F" w14:paraId="0674B115" w14:textId="77777777">
            <w:pPr>
              <w:widowControl/>
              <w:autoSpaceDE/>
              <w:autoSpaceDN/>
              <w:adjustRightInd/>
              <w:rPr>
                <w:color w:val="000000"/>
                <w:szCs w:val="20"/>
              </w:rPr>
            </w:pPr>
            <w:r w:rsidRPr="0085519F">
              <w:rPr>
                <w:szCs w:val="20"/>
              </w:rPr>
              <w:t>Revised Estimates</w:t>
            </w:r>
          </w:p>
        </w:tc>
        <w:tc>
          <w:tcPr>
            <w:tcW w:w="1620" w:type="dxa"/>
            <w:tcBorders>
              <w:top w:val="nil"/>
              <w:left w:val="nil"/>
              <w:bottom w:val="nil"/>
              <w:right w:val="single" w:sz="8" w:space="0" w:color="auto"/>
            </w:tcBorders>
            <w:shd w:val="clear" w:color="000000" w:fill="FFFFFF"/>
            <w:vAlign w:val="center"/>
            <w:hideMark/>
          </w:tcPr>
          <w:p w:rsidR="0085519F" w:rsidRPr="0085519F" w:rsidP="0085519F" w14:paraId="45BA1F49" w14:textId="77777777">
            <w:pPr>
              <w:widowControl/>
              <w:autoSpaceDE/>
              <w:autoSpaceDN/>
              <w:adjustRightInd/>
              <w:jc w:val="center"/>
              <w:rPr>
                <w:color w:val="000000"/>
                <w:szCs w:val="20"/>
              </w:rPr>
            </w:pPr>
            <w:r w:rsidRPr="0085519F">
              <w:rPr>
                <w:color w:val="000000"/>
                <w:szCs w:val="20"/>
              </w:rPr>
              <w:t>585</w:t>
            </w:r>
          </w:p>
        </w:tc>
        <w:tc>
          <w:tcPr>
            <w:tcW w:w="1620" w:type="dxa"/>
            <w:tcBorders>
              <w:top w:val="nil"/>
              <w:left w:val="nil"/>
              <w:bottom w:val="nil"/>
              <w:right w:val="single" w:sz="8" w:space="0" w:color="auto"/>
            </w:tcBorders>
            <w:shd w:val="clear" w:color="000000" w:fill="FFFFFF"/>
            <w:vAlign w:val="center"/>
            <w:hideMark/>
          </w:tcPr>
          <w:p w:rsidR="0085519F" w:rsidRPr="0085519F" w:rsidP="0085519F" w14:paraId="104F1741" w14:textId="77777777">
            <w:pPr>
              <w:widowControl/>
              <w:autoSpaceDE/>
              <w:autoSpaceDN/>
              <w:adjustRightInd/>
              <w:jc w:val="center"/>
              <w:rPr>
                <w:color w:val="000000"/>
                <w:szCs w:val="20"/>
              </w:rPr>
            </w:pPr>
            <w:r w:rsidRPr="0085519F">
              <w:rPr>
                <w:szCs w:val="20"/>
              </w:rPr>
              <w:t>585</w:t>
            </w:r>
          </w:p>
        </w:tc>
        <w:tc>
          <w:tcPr>
            <w:tcW w:w="1450" w:type="dxa"/>
            <w:tcBorders>
              <w:top w:val="nil"/>
              <w:left w:val="nil"/>
              <w:bottom w:val="nil"/>
              <w:right w:val="single" w:sz="8" w:space="0" w:color="auto"/>
            </w:tcBorders>
            <w:shd w:val="clear" w:color="000000" w:fill="FFFFFF"/>
            <w:vAlign w:val="center"/>
            <w:hideMark/>
          </w:tcPr>
          <w:p w:rsidR="0085519F" w:rsidRPr="0085519F" w:rsidP="0085519F" w14:paraId="453BC306" w14:textId="77777777">
            <w:pPr>
              <w:widowControl/>
              <w:autoSpaceDE/>
              <w:autoSpaceDN/>
              <w:adjustRightInd/>
              <w:jc w:val="center"/>
              <w:rPr>
                <w:color w:val="000000"/>
                <w:szCs w:val="20"/>
              </w:rPr>
            </w:pPr>
            <w:r w:rsidRPr="0085519F">
              <w:rPr>
                <w:szCs w:val="20"/>
              </w:rPr>
              <w:t>878</w:t>
            </w:r>
          </w:p>
        </w:tc>
      </w:tr>
      <w:tr w14:paraId="21E73DB2" w14:textId="77777777" w:rsidTr="00073443">
        <w:tblPrEx>
          <w:tblW w:w="8640" w:type="dxa"/>
          <w:jc w:val="center"/>
          <w:tblLook w:val="04A0"/>
        </w:tblPrEx>
        <w:trPr>
          <w:trHeight w:val="214"/>
          <w:jc w:val="center"/>
        </w:trPr>
        <w:tc>
          <w:tcPr>
            <w:tcW w:w="395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519F" w:rsidRPr="0085519F" w:rsidP="0085519F" w14:paraId="7055B929" w14:textId="77777777">
            <w:pPr>
              <w:widowControl/>
              <w:autoSpaceDE/>
              <w:autoSpaceDN/>
              <w:adjustRightInd/>
              <w:rPr>
                <w:b/>
                <w:bCs/>
                <w:color w:val="000000"/>
                <w:szCs w:val="20"/>
              </w:rPr>
            </w:pPr>
            <w:r w:rsidRPr="0085519F">
              <w:rPr>
                <w:b/>
                <w:bCs/>
                <w:szCs w:val="20"/>
              </w:rPr>
              <w:t>Total Change in Burden from the Currently Approved Collection of Information</w:t>
            </w:r>
          </w:p>
        </w:tc>
        <w:tc>
          <w:tcPr>
            <w:tcW w:w="1620" w:type="dxa"/>
            <w:tcBorders>
              <w:top w:val="single" w:sz="8" w:space="0" w:color="auto"/>
              <w:left w:val="nil"/>
              <w:bottom w:val="single" w:sz="8" w:space="0" w:color="auto"/>
              <w:right w:val="single" w:sz="8" w:space="0" w:color="auto"/>
            </w:tcBorders>
            <w:shd w:val="clear" w:color="000000" w:fill="FFFFFF"/>
            <w:vAlign w:val="center"/>
            <w:hideMark/>
          </w:tcPr>
          <w:p w:rsidR="0085519F" w:rsidRPr="0085519F" w:rsidP="0085519F" w14:paraId="23AD4784" w14:textId="77777777">
            <w:pPr>
              <w:widowControl/>
              <w:autoSpaceDE/>
              <w:autoSpaceDN/>
              <w:adjustRightInd/>
              <w:jc w:val="center"/>
              <w:rPr>
                <w:b/>
                <w:bCs/>
                <w:color w:val="000000"/>
                <w:szCs w:val="20"/>
              </w:rPr>
            </w:pPr>
            <w:r w:rsidRPr="0085519F">
              <w:rPr>
                <w:b/>
                <w:bCs/>
                <w:color w:val="000000"/>
                <w:szCs w:val="20"/>
              </w:rPr>
              <w:t>554</w:t>
            </w:r>
          </w:p>
        </w:tc>
        <w:tc>
          <w:tcPr>
            <w:tcW w:w="1620" w:type="dxa"/>
            <w:tcBorders>
              <w:top w:val="single" w:sz="8" w:space="0" w:color="auto"/>
              <w:left w:val="nil"/>
              <w:bottom w:val="single" w:sz="8" w:space="0" w:color="auto"/>
              <w:right w:val="single" w:sz="8" w:space="0" w:color="auto"/>
            </w:tcBorders>
            <w:shd w:val="clear" w:color="000000" w:fill="FFFFFF"/>
            <w:vAlign w:val="center"/>
            <w:hideMark/>
          </w:tcPr>
          <w:p w:rsidR="0085519F" w:rsidRPr="0085519F" w:rsidP="0085519F" w14:paraId="499D62E7" w14:textId="77777777">
            <w:pPr>
              <w:widowControl/>
              <w:autoSpaceDE/>
              <w:autoSpaceDN/>
              <w:adjustRightInd/>
              <w:jc w:val="center"/>
              <w:rPr>
                <w:b/>
                <w:bCs/>
                <w:color w:val="000000"/>
                <w:szCs w:val="20"/>
              </w:rPr>
            </w:pPr>
            <w:r w:rsidRPr="0085519F">
              <w:rPr>
                <w:b/>
                <w:bCs/>
                <w:szCs w:val="20"/>
              </w:rPr>
              <w:t>554</w:t>
            </w:r>
          </w:p>
        </w:tc>
        <w:tc>
          <w:tcPr>
            <w:tcW w:w="1450" w:type="dxa"/>
            <w:tcBorders>
              <w:top w:val="single" w:sz="8" w:space="0" w:color="auto"/>
              <w:left w:val="nil"/>
              <w:bottom w:val="single" w:sz="8" w:space="0" w:color="auto"/>
              <w:right w:val="single" w:sz="8" w:space="0" w:color="auto"/>
            </w:tcBorders>
            <w:shd w:val="clear" w:color="000000" w:fill="FFFFFF"/>
            <w:vAlign w:val="center"/>
            <w:hideMark/>
          </w:tcPr>
          <w:p w:rsidR="0085519F" w:rsidRPr="0085519F" w:rsidP="0085519F" w14:paraId="35E80A7D" w14:textId="77777777">
            <w:pPr>
              <w:widowControl/>
              <w:autoSpaceDE/>
              <w:autoSpaceDN/>
              <w:adjustRightInd/>
              <w:jc w:val="center"/>
              <w:rPr>
                <w:b/>
                <w:bCs/>
                <w:color w:val="000000"/>
                <w:szCs w:val="20"/>
              </w:rPr>
            </w:pPr>
            <w:r w:rsidRPr="0085519F">
              <w:rPr>
                <w:b/>
                <w:bCs/>
                <w:szCs w:val="20"/>
              </w:rPr>
              <w:t>831</w:t>
            </w:r>
          </w:p>
        </w:tc>
      </w:tr>
    </w:tbl>
    <w:p w:rsidR="00AF08E1" w:rsidP="00FA7FF0" w14:paraId="3A886055" w14:textId="075CB53A">
      <w:pPr>
        <w:ind w:left="360"/>
        <w:rPr>
          <w:bCs/>
          <w:iCs/>
          <w:sz w:val="24"/>
        </w:rPr>
      </w:pPr>
    </w:p>
    <w:p w:rsidR="00E06062" w:rsidP="00FA7FF0" w14:paraId="2FDB2531" w14:textId="45873A52">
      <w:pPr>
        <w:ind w:left="360"/>
        <w:rPr>
          <w:sz w:val="24"/>
        </w:rPr>
      </w:pPr>
      <w:r w:rsidRPr="102CE53A">
        <w:rPr>
          <w:sz w:val="24"/>
        </w:rPr>
        <w:t xml:space="preserve">An estimated </w:t>
      </w:r>
      <w:r w:rsidRPr="102CE53A" w:rsidR="0085519F">
        <w:rPr>
          <w:sz w:val="24"/>
        </w:rPr>
        <w:t>585</w:t>
      </w:r>
      <w:bookmarkStart w:id="11" w:name="_Hlk521955233"/>
      <w:r w:rsidRPr="102CE53A" w:rsidR="002B1ADA">
        <w:rPr>
          <w:sz w:val="24"/>
        </w:rPr>
        <w:t xml:space="preserve"> respondents will incur a </w:t>
      </w:r>
      <w:r w:rsidR="00860F4D">
        <w:rPr>
          <w:sz w:val="24"/>
        </w:rPr>
        <w:t>labor/</w:t>
      </w:r>
      <w:r w:rsidRPr="102CE53A" w:rsidR="002B1ADA">
        <w:rPr>
          <w:sz w:val="24"/>
        </w:rPr>
        <w:t>non-labor total cost of $</w:t>
      </w:r>
      <w:r w:rsidR="007D0E42">
        <w:rPr>
          <w:sz w:val="24"/>
        </w:rPr>
        <w:t>37,695</w:t>
      </w:r>
      <w:r w:rsidRPr="102CE53A" w:rsidR="2693F60C">
        <w:rPr>
          <w:sz w:val="24"/>
        </w:rPr>
        <w:t xml:space="preserve"> annually</w:t>
      </w:r>
      <w:r w:rsidRPr="102CE53A" w:rsidR="0085519F">
        <w:rPr>
          <w:sz w:val="24"/>
        </w:rPr>
        <w:t>. This is an increase from the $</w:t>
      </w:r>
      <w:r w:rsidR="00860F4D">
        <w:rPr>
          <w:sz w:val="24"/>
        </w:rPr>
        <w:t>2,196</w:t>
      </w:r>
      <w:r w:rsidRPr="102CE53A" w:rsidR="0085519F">
        <w:rPr>
          <w:sz w:val="24"/>
        </w:rPr>
        <w:t xml:space="preserve"> cost incurred previously. This is due to an increase in burden hours. There is an increase of </w:t>
      </w:r>
      <w:r w:rsidRPr="102CE53A" w:rsidR="00F401CA">
        <w:rPr>
          <w:sz w:val="24"/>
        </w:rPr>
        <w:t>$</w:t>
      </w:r>
      <w:r w:rsidR="007D0E42">
        <w:rPr>
          <w:sz w:val="24"/>
        </w:rPr>
        <w:t>37,695</w:t>
      </w:r>
      <w:r w:rsidRPr="102CE53A" w:rsidR="00F401CA">
        <w:rPr>
          <w:sz w:val="24"/>
        </w:rPr>
        <w:t xml:space="preserve"> </w:t>
      </w:r>
      <w:r w:rsidRPr="102CE53A" w:rsidR="003147C0">
        <w:rPr>
          <w:sz w:val="24"/>
        </w:rPr>
        <w:t xml:space="preserve">in </w:t>
      </w:r>
      <w:r w:rsidRPr="102CE53A" w:rsidR="004175B4">
        <w:rPr>
          <w:sz w:val="24"/>
        </w:rPr>
        <w:t xml:space="preserve">estimated </w:t>
      </w:r>
      <w:r w:rsidRPr="102CE53A" w:rsidR="00BF03E5">
        <w:rPr>
          <w:sz w:val="24"/>
        </w:rPr>
        <w:t xml:space="preserve">labor-related </w:t>
      </w:r>
      <w:r w:rsidRPr="102CE53A" w:rsidR="0009173F">
        <w:rPr>
          <w:sz w:val="24"/>
        </w:rPr>
        <w:t xml:space="preserve">burden </w:t>
      </w:r>
      <w:r w:rsidRPr="102CE53A" w:rsidR="003147C0">
        <w:rPr>
          <w:sz w:val="24"/>
        </w:rPr>
        <w:t>cost</w:t>
      </w:r>
      <w:r w:rsidRPr="102CE53A" w:rsidR="004175B4">
        <w:rPr>
          <w:sz w:val="24"/>
        </w:rPr>
        <w:t>s</w:t>
      </w:r>
      <w:r w:rsidRPr="102CE53A" w:rsidR="0078443A">
        <w:rPr>
          <w:sz w:val="24"/>
        </w:rPr>
        <w:t xml:space="preserve"> to respondents</w:t>
      </w:r>
      <w:r w:rsidRPr="102CE53A" w:rsidR="00F401CA">
        <w:rPr>
          <w:sz w:val="24"/>
        </w:rPr>
        <w:t xml:space="preserve"> due to the increased burden hours.</w:t>
      </w:r>
      <w:r w:rsidRPr="102CE53A" w:rsidR="6D064D36">
        <w:rPr>
          <w:sz w:val="24"/>
        </w:rPr>
        <w:t xml:space="preserve"> However, the estimated burden hours per respondent </w:t>
      </w:r>
      <w:r w:rsidRPr="102CE53A" w:rsidR="007D0E42">
        <w:rPr>
          <w:sz w:val="24"/>
        </w:rPr>
        <w:t>have</w:t>
      </w:r>
      <w:r w:rsidRPr="102CE53A" w:rsidR="6D064D36">
        <w:rPr>
          <w:sz w:val="24"/>
        </w:rPr>
        <w:t xml:space="preserve"> not changed.</w:t>
      </w:r>
      <w:bookmarkEnd w:id="11"/>
    </w:p>
    <w:p w:rsidR="0064612D" w:rsidP="0064612D" w14:paraId="6A9AD688" w14:textId="5125174A">
      <w:pPr>
        <w:rPr>
          <w:sz w:val="24"/>
        </w:rPr>
      </w:pPr>
    </w:p>
    <w:p w:rsidR="009D17B6" w:rsidP="0064612D" w14:paraId="423291E2" w14:textId="17E492D6">
      <w:pPr>
        <w:pStyle w:val="Heading2"/>
        <w:spacing w:before="0" w:after="0"/>
        <w:rPr>
          <w:caps/>
        </w:rPr>
      </w:pPr>
      <w:r w:rsidRPr="0008607E">
        <w:rPr>
          <w:caps/>
        </w:rPr>
        <w:t>Publication of results of data collection</w:t>
      </w:r>
    </w:p>
    <w:p w:rsidR="0064612D" w:rsidRPr="0064612D" w:rsidP="00FA7FF0" w14:paraId="36E1DD28" w14:textId="77777777">
      <w:pPr>
        <w:ind w:left="360"/>
      </w:pPr>
    </w:p>
    <w:p w:rsidR="00BC3370" w:rsidP="00FA7FF0" w14:paraId="291359EE" w14:textId="6390ED06">
      <w:pPr>
        <w:ind w:left="360"/>
        <w:rPr>
          <w:sz w:val="24"/>
        </w:rPr>
      </w:pPr>
      <w:r w:rsidRPr="00EA21EC">
        <w:rPr>
          <w:sz w:val="24"/>
        </w:rPr>
        <w:t>FMCSA uses a portion of the collected data to prepare a public notice of the registration application, which is published in the “FMCSA Register.” Publication of this notice initiates a 10-day period during which an interested party may file a complaint seeking denial of the registration on a limited number of statutory grounds</w:t>
      </w:r>
      <w:r w:rsidR="00903F2D">
        <w:rPr>
          <w:sz w:val="24"/>
        </w:rPr>
        <w:t>.</w:t>
      </w:r>
    </w:p>
    <w:p w:rsidR="0064612D" w:rsidP="0064612D" w14:paraId="4447427D" w14:textId="7CCE8BF3">
      <w:pPr>
        <w:rPr>
          <w:sz w:val="24"/>
        </w:rPr>
      </w:pPr>
    </w:p>
    <w:p w:rsidR="00ED5BA5" w:rsidRPr="00B4583A" w:rsidP="0064612D" w14:paraId="666DB63B" w14:textId="019E1502">
      <w:pPr>
        <w:pStyle w:val="Heading2"/>
        <w:spacing w:before="0" w:after="0"/>
      </w:pPr>
      <w:r w:rsidRPr="0008607E">
        <w:t>APPROVAL FOR NOT DISPLAYING THE EXPIRATION DATE OF OMB</w:t>
      </w:r>
      <w:r>
        <w:t xml:space="preserve"> </w:t>
      </w:r>
      <w:r w:rsidRPr="0008607E">
        <w:t>APPROVAL</w:t>
      </w:r>
    </w:p>
    <w:p w:rsidR="0064612D" w:rsidP="00FA7FF0" w14:paraId="26C7FEAC" w14:textId="77777777">
      <w:pPr>
        <w:ind w:left="360"/>
        <w:rPr>
          <w:sz w:val="24"/>
        </w:rPr>
      </w:pPr>
    </w:p>
    <w:p w:rsidR="00BC3370" w:rsidP="00FA7FF0" w14:paraId="19F4ED2C" w14:textId="0D86EA71">
      <w:pPr>
        <w:ind w:left="360"/>
        <w:rPr>
          <w:sz w:val="24"/>
        </w:rPr>
      </w:pPr>
      <w:r w:rsidRPr="00B4583A">
        <w:rPr>
          <w:sz w:val="24"/>
        </w:rPr>
        <w:t xml:space="preserve">FMCSA </w:t>
      </w:r>
      <w:r w:rsidR="00FA7FF0">
        <w:rPr>
          <w:sz w:val="24"/>
        </w:rPr>
        <w:t>does not request such approval</w:t>
      </w:r>
      <w:r w:rsidRPr="00B4583A">
        <w:rPr>
          <w:sz w:val="24"/>
        </w:rPr>
        <w:t>.</w:t>
      </w:r>
    </w:p>
    <w:p w:rsidR="0064612D" w:rsidRPr="00B4583A" w:rsidP="0064612D" w14:paraId="7E688921" w14:textId="77777777">
      <w:pPr>
        <w:rPr>
          <w:color w:val="000000"/>
          <w:sz w:val="24"/>
        </w:rPr>
      </w:pPr>
    </w:p>
    <w:p w:rsidR="00ED5BA5" w:rsidRPr="00B4583A" w:rsidP="0064612D" w14:paraId="643B6E80" w14:textId="1D6A72F6">
      <w:pPr>
        <w:pStyle w:val="Heading2"/>
        <w:spacing w:before="0" w:after="0"/>
      </w:pPr>
      <w:r w:rsidRPr="0008607E">
        <w:t>EXCEPTIONS TO CERTIFICATION STATEMENT</w:t>
      </w:r>
    </w:p>
    <w:p w:rsidR="00F2688B" w:rsidP="00FA7FF0" w14:paraId="18DDED82" w14:textId="77777777">
      <w:pPr>
        <w:ind w:left="360"/>
        <w:rPr>
          <w:sz w:val="24"/>
        </w:rPr>
      </w:pPr>
    </w:p>
    <w:p w:rsidR="00BC3370" w:rsidP="00FA7FF0" w14:paraId="570B0335" w14:textId="6F6E6458">
      <w:pPr>
        <w:ind w:left="360"/>
        <w:rPr>
          <w:sz w:val="24"/>
        </w:rPr>
      </w:pPr>
      <w:r w:rsidRPr="00B4583A">
        <w:rPr>
          <w:sz w:val="24"/>
        </w:rPr>
        <w:t>None.</w:t>
      </w:r>
    </w:p>
    <w:p w:rsidR="00F2688B" w:rsidP="0064612D" w14:paraId="790C6838" w14:textId="2A1049BC">
      <w:pPr>
        <w:rPr>
          <w:sz w:val="24"/>
        </w:rPr>
      </w:pPr>
    </w:p>
    <w:p w:rsidR="00073443" w:rsidP="0064612D" w14:paraId="25E0B63A" w14:textId="61BA4E15">
      <w:pPr>
        <w:rPr>
          <w:sz w:val="24"/>
        </w:rPr>
      </w:pPr>
    </w:p>
    <w:p w:rsidR="002F4731" w:rsidP="0064612D" w14:paraId="6B139AC3" w14:textId="77777777">
      <w:pPr>
        <w:rPr>
          <w:sz w:val="24"/>
        </w:rPr>
      </w:pPr>
    </w:p>
    <w:p w:rsidR="00ED5BA5" w:rsidP="0064612D" w14:paraId="5C86F8DF" w14:textId="07EF4446">
      <w:pPr>
        <w:pStyle w:val="Heading2"/>
        <w:numPr>
          <w:ilvl w:val="0"/>
          <w:numId w:val="0"/>
        </w:numPr>
        <w:spacing w:before="0" w:after="0"/>
        <w:ind w:left="360" w:hanging="360"/>
      </w:pPr>
      <w:r w:rsidRPr="00B4583A">
        <w:t>ATTACHMENTS</w:t>
      </w:r>
    </w:p>
    <w:p w:rsidR="0064612D" w:rsidRPr="0064612D" w:rsidP="0064612D" w14:paraId="011AF10C" w14:textId="77777777"/>
    <w:p w:rsidR="00ED5BA5" w:rsidRPr="0064612D" w:rsidP="0064612D" w14:paraId="41065D13" w14:textId="0B61BF10">
      <w:pPr>
        <w:pStyle w:val="ListParagraph"/>
        <w:numPr>
          <w:ilvl w:val="0"/>
          <w:numId w:val="8"/>
        </w:numPr>
        <w:contextualSpacing w:val="0"/>
        <w:rPr>
          <w:bCs/>
          <w:sz w:val="24"/>
        </w:rPr>
      </w:pPr>
      <w:r w:rsidRPr="0064612D">
        <w:rPr>
          <w:bCs/>
          <w:sz w:val="24"/>
        </w:rPr>
        <w:t xml:space="preserve">26 U.S.C. </w:t>
      </w:r>
      <w:r w:rsidRPr="0064612D">
        <w:rPr>
          <w:sz w:val="24"/>
        </w:rPr>
        <w:t>§</w:t>
      </w:r>
      <w:r w:rsidRPr="0064612D">
        <w:rPr>
          <w:bCs/>
          <w:sz w:val="24"/>
        </w:rPr>
        <w:t xml:space="preserve"> 4481.</w:t>
      </w:r>
    </w:p>
    <w:p w:rsidR="00ED5BA5" w:rsidRPr="007A1A48" w:rsidP="0064612D" w14:paraId="2C2D887B" w14:textId="50B0517D">
      <w:pPr>
        <w:pStyle w:val="ListParagraph"/>
        <w:numPr>
          <w:ilvl w:val="0"/>
          <w:numId w:val="8"/>
        </w:numPr>
        <w:contextualSpacing w:val="0"/>
        <w:rPr>
          <w:bCs/>
          <w:sz w:val="24"/>
        </w:rPr>
      </w:pPr>
      <w:r w:rsidRPr="007A1A48">
        <w:rPr>
          <w:bCs/>
          <w:sz w:val="24"/>
        </w:rPr>
        <w:t>49 CFR p</w:t>
      </w:r>
      <w:r w:rsidR="0038793D">
        <w:rPr>
          <w:bCs/>
          <w:sz w:val="24"/>
        </w:rPr>
        <w:t>ar</w:t>
      </w:r>
      <w:r w:rsidRPr="007A1A48">
        <w:rPr>
          <w:bCs/>
          <w:sz w:val="24"/>
        </w:rPr>
        <w:t>t</w:t>
      </w:r>
      <w:r w:rsidR="003A4A53">
        <w:rPr>
          <w:bCs/>
          <w:sz w:val="24"/>
        </w:rPr>
        <w:t>.</w:t>
      </w:r>
      <w:r w:rsidRPr="007A1A48">
        <w:rPr>
          <w:bCs/>
          <w:sz w:val="24"/>
        </w:rPr>
        <w:t xml:space="preserve"> 368.</w:t>
      </w:r>
    </w:p>
    <w:p w:rsidR="00ED5BA5" w:rsidRPr="007A1A48" w:rsidP="0064612D" w14:paraId="69D9A3B5" w14:textId="77777777">
      <w:pPr>
        <w:pStyle w:val="ListParagraph"/>
        <w:numPr>
          <w:ilvl w:val="0"/>
          <w:numId w:val="8"/>
        </w:numPr>
        <w:contextualSpacing w:val="0"/>
        <w:rPr>
          <w:bCs/>
          <w:sz w:val="24"/>
        </w:rPr>
      </w:pPr>
      <w:r w:rsidRPr="007A1A48">
        <w:rPr>
          <w:bCs/>
          <w:sz w:val="24"/>
        </w:rPr>
        <w:t>The ICC Termination Act of 1995, Public Law 104-88, 109 Stat. 803</w:t>
      </w:r>
      <w:r w:rsidRPr="007A1A48" w:rsidR="00AC4DB3">
        <w:rPr>
          <w:bCs/>
          <w:sz w:val="24"/>
        </w:rPr>
        <w:t xml:space="preserve"> (Dec. 29, 1995)</w:t>
      </w:r>
      <w:r w:rsidRPr="007A1A48">
        <w:rPr>
          <w:bCs/>
          <w:sz w:val="24"/>
        </w:rPr>
        <w:t>.</w:t>
      </w:r>
    </w:p>
    <w:p w:rsidR="00ED5BA5" w:rsidRPr="007A1A48" w:rsidP="0064612D" w14:paraId="5D6A4C77" w14:textId="77777777">
      <w:pPr>
        <w:pStyle w:val="ListParagraph"/>
        <w:numPr>
          <w:ilvl w:val="0"/>
          <w:numId w:val="8"/>
        </w:numPr>
        <w:contextualSpacing w:val="0"/>
        <w:rPr>
          <w:sz w:val="24"/>
        </w:rPr>
      </w:pPr>
      <w:r w:rsidRPr="007A1A48">
        <w:rPr>
          <w:bCs/>
          <w:sz w:val="24"/>
        </w:rPr>
        <w:t xml:space="preserve">49 U.S.C. </w:t>
      </w:r>
      <w:r w:rsidRPr="007A1A48">
        <w:rPr>
          <w:sz w:val="24"/>
        </w:rPr>
        <w:t>§ 13902(c).</w:t>
      </w:r>
    </w:p>
    <w:p w:rsidR="0038793D" w:rsidRPr="00184EFC" w:rsidP="0038793D" w14:paraId="225C8BB6" w14:textId="20BE0024">
      <w:pPr>
        <w:numPr>
          <w:ilvl w:val="0"/>
          <w:numId w:val="8"/>
        </w:numPr>
        <w:tabs>
          <w:tab w:val="left" w:pos="-1440"/>
          <w:tab w:val="left" w:pos="-720"/>
        </w:tabs>
        <w:rPr>
          <w:sz w:val="24"/>
        </w:rPr>
      </w:pPr>
      <w:r w:rsidRPr="00184EFC">
        <w:rPr>
          <w:sz w:val="24"/>
        </w:rPr>
        <w:t xml:space="preserve">Final Rule titled “Unified Registration System,” 78 FR 52608 </w:t>
      </w:r>
      <w:r>
        <w:rPr>
          <w:sz w:val="24"/>
        </w:rPr>
        <w:t>(</w:t>
      </w:r>
      <w:r w:rsidRPr="00184EFC">
        <w:rPr>
          <w:sz w:val="24"/>
        </w:rPr>
        <w:t>August 23, 2013)</w:t>
      </w:r>
      <w:r>
        <w:rPr>
          <w:sz w:val="24"/>
        </w:rPr>
        <w:t>.</w:t>
      </w:r>
    </w:p>
    <w:p w:rsidR="0038793D" w:rsidRPr="00184EFC" w:rsidP="0038793D" w14:paraId="53687EE3" w14:textId="34183660">
      <w:pPr>
        <w:numPr>
          <w:ilvl w:val="0"/>
          <w:numId w:val="8"/>
        </w:numPr>
        <w:tabs>
          <w:tab w:val="left" w:pos="-1440"/>
          <w:tab w:val="left" w:pos="-720"/>
        </w:tabs>
        <w:rPr>
          <w:sz w:val="24"/>
        </w:rPr>
      </w:pPr>
      <w:r w:rsidRPr="00184EFC">
        <w:rPr>
          <w:sz w:val="24"/>
        </w:rPr>
        <w:t xml:space="preserve">Final Rule titled “Unified Registration System; Suspension of Effectiveness,” 82 FR 5292 </w:t>
      </w:r>
      <w:r>
        <w:rPr>
          <w:sz w:val="24"/>
        </w:rPr>
        <w:t>(</w:t>
      </w:r>
      <w:r w:rsidRPr="00184EFC">
        <w:rPr>
          <w:sz w:val="24"/>
        </w:rPr>
        <w:t>January 17, 2017)</w:t>
      </w:r>
      <w:r>
        <w:rPr>
          <w:sz w:val="24"/>
        </w:rPr>
        <w:t>.</w:t>
      </w:r>
    </w:p>
    <w:p w:rsidR="00FA7FF0" w:rsidP="0064612D" w14:paraId="0AB4AE5B" w14:textId="2AD740C3">
      <w:pPr>
        <w:ind w:left="720" w:hanging="360"/>
        <w:rPr>
          <w:color w:val="000000"/>
          <w:sz w:val="24"/>
        </w:rPr>
      </w:pPr>
      <w:r>
        <w:rPr>
          <w:color w:val="000000"/>
          <w:sz w:val="24"/>
        </w:rPr>
        <w:t>G</w:t>
      </w:r>
      <w:r w:rsidRPr="007A1A48" w:rsidR="00C4148D">
        <w:rPr>
          <w:color w:val="000000"/>
          <w:sz w:val="24"/>
        </w:rPr>
        <w:t>.</w:t>
      </w:r>
      <w:r w:rsidRPr="007A1A48" w:rsidR="00C4148D">
        <w:rPr>
          <w:color w:val="000000"/>
          <w:sz w:val="24"/>
        </w:rPr>
        <w:tab/>
      </w:r>
      <w:r>
        <w:rPr>
          <w:sz w:val="24"/>
        </w:rPr>
        <w:t xml:space="preserve">60-day Federal Register notice </w:t>
      </w:r>
      <w:r w:rsidRPr="05A6BEF6">
        <w:rPr>
          <w:sz w:val="24"/>
        </w:rPr>
        <w:t>(</w:t>
      </w:r>
      <w:r>
        <w:rPr>
          <w:sz w:val="24"/>
        </w:rPr>
        <w:t>89</w:t>
      </w:r>
      <w:r w:rsidRPr="0058620E">
        <w:rPr>
          <w:sz w:val="24"/>
        </w:rPr>
        <w:t xml:space="preserve"> FR </w:t>
      </w:r>
      <w:r>
        <w:rPr>
          <w:sz w:val="24"/>
        </w:rPr>
        <w:t>12416</w:t>
      </w:r>
      <w:r w:rsidRPr="05A6BEF6">
        <w:rPr>
          <w:sz w:val="24"/>
        </w:rPr>
        <w:t>)</w:t>
      </w:r>
      <w:r>
        <w:rPr>
          <w:sz w:val="24"/>
        </w:rPr>
        <w:t>, published on February 16, 2024.</w:t>
      </w:r>
    </w:p>
    <w:p w:rsidR="00ED5BA5" w:rsidRPr="007A1A48" w:rsidP="0064612D" w14:paraId="17637A00" w14:textId="60AF0E11">
      <w:pPr>
        <w:ind w:left="720" w:hanging="360"/>
        <w:rPr>
          <w:sz w:val="24"/>
        </w:rPr>
      </w:pPr>
      <w:r>
        <w:rPr>
          <w:color w:val="000000"/>
          <w:sz w:val="24"/>
        </w:rPr>
        <w:t>H.</w:t>
      </w:r>
      <w:r>
        <w:rPr>
          <w:color w:val="000000"/>
          <w:sz w:val="24"/>
        </w:rPr>
        <w:tab/>
      </w:r>
      <w:r w:rsidRPr="007A1A48">
        <w:rPr>
          <w:color w:val="000000"/>
          <w:sz w:val="24"/>
        </w:rPr>
        <w:t>Executive Order 13166</w:t>
      </w:r>
      <w:r w:rsidRPr="007A1A48">
        <w:rPr>
          <w:sz w:val="24"/>
        </w:rPr>
        <w:t xml:space="preserve"> titled</w:t>
      </w:r>
      <w:r w:rsidRPr="007A1A48" w:rsidR="00D41EC5">
        <w:rPr>
          <w:sz w:val="24"/>
        </w:rPr>
        <w:t>,</w:t>
      </w:r>
      <w:r w:rsidRPr="007A1A48">
        <w:rPr>
          <w:sz w:val="24"/>
        </w:rPr>
        <w:t xml:space="preserve"> </w:t>
      </w:r>
      <w:r w:rsidRPr="007A1A48">
        <w:rPr>
          <w:color w:val="000000"/>
          <w:sz w:val="24"/>
        </w:rPr>
        <w:t>“</w:t>
      </w:r>
      <w:r w:rsidRPr="007A1A48">
        <w:rPr>
          <w:sz w:val="24"/>
        </w:rPr>
        <w:t>Improving Access to Services for Persons with Limited English Proficiency,” August 1</w:t>
      </w:r>
      <w:r w:rsidRPr="007A1A48" w:rsidR="00AC4DB3">
        <w:rPr>
          <w:sz w:val="24"/>
        </w:rPr>
        <w:t>6</w:t>
      </w:r>
      <w:r w:rsidRPr="007A1A48">
        <w:rPr>
          <w:sz w:val="24"/>
        </w:rPr>
        <w:t>, 2000 (65 FR 50121</w:t>
      </w:r>
      <w:r w:rsidRPr="007A1A48" w:rsidR="00AC4DB3">
        <w:rPr>
          <w:sz w:val="24"/>
        </w:rPr>
        <w:t>)</w:t>
      </w:r>
      <w:r w:rsidRPr="007A1A48">
        <w:rPr>
          <w:sz w:val="24"/>
        </w:rPr>
        <w:t>.</w:t>
      </w:r>
    </w:p>
    <w:sectPr w:rsidSect="00ED5BA5">
      <w:footerReference w:type="even" r:id="rId6"/>
      <w:footerReference w:type="default" r:id="rId7"/>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71" w:rsidP="00ED5BA5" w14:paraId="19747E42" w14:textId="1DFDC3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140">
      <w:rPr>
        <w:rStyle w:val="PageNumber"/>
        <w:noProof/>
      </w:rPr>
      <w:t>2</w:t>
    </w:r>
    <w:r>
      <w:rPr>
        <w:rStyle w:val="PageNumber"/>
      </w:rPr>
      <w:fldChar w:fldCharType="end"/>
    </w:r>
  </w:p>
  <w:p w:rsidR="00180971" w14:paraId="251C6E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71" w:rsidP="00A967B2" w14:paraId="1F511D19" w14:textId="668629F8">
    <w:pPr>
      <w:pStyle w:val="Footer"/>
      <w:jc w:val="center"/>
      <w:rPr>
        <w:sz w:val="24"/>
      </w:rPr>
    </w:pPr>
    <w:r>
      <w:fldChar w:fldCharType="begin"/>
    </w:r>
    <w:r>
      <w:instrText xml:space="preserve"> PAGE   \* MERGEFORMAT </w:instrText>
    </w:r>
    <w:r>
      <w:fldChar w:fldCharType="separate"/>
    </w:r>
    <w:r w:rsidR="00E0606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23FC" w14:paraId="407A0DD7" w14:textId="77777777">
      <w:r>
        <w:separator/>
      </w:r>
    </w:p>
  </w:footnote>
  <w:footnote w:type="continuationSeparator" w:id="1">
    <w:p w:rsidR="00FA23FC" w14:paraId="189AA210" w14:textId="77777777">
      <w:r>
        <w:continuationSeparator/>
      </w:r>
    </w:p>
  </w:footnote>
  <w:footnote w:id="2">
    <w:p w:rsidR="00180971" w14:paraId="6FCC1FD2" w14:textId="77777777">
      <w:pPr>
        <w:pStyle w:val="FootnoteText"/>
      </w:pPr>
      <w:r>
        <w:rPr>
          <w:vertAlign w:val="superscript"/>
        </w:rPr>
        <w:t>(</w:t>
      </w:r>
      <w:r w:rsidRPr="00FA5041">
        <w:rPr>
          <w:rStyle w:val="FootnoteReference"/>
          <w:vertAlign w:val="superscript"/>
        </w:rPr>
        <w:footnoteRef/>
      </w:r>
      <w:r>
        <w:rPr>
          <w:vertAlign w:val="superscript"/>
        </w:rPr>
        <w:t>)</w:t>
      </w:r>
      <w:r>
        <w:t xml:space="preserve"> </w:t>
      </w:r>
      <w:r w:rsidRPr="00FA5041">
        <w:t>Title IX, subtitle B of the Anti-Drug Abuse Act of 1988 is referred to as the Truck and Bus Safety and Regulatory Reform Act of 1988.</w:t>
      </w:r>
    </w:p>
  </w:footnote>
  <w:footnote w:id="3">
    <w:p w:rsidR="00DF4678" w:rsidP="00E447A6" w14:paraId="04ED9ECC" w14:textId="2553D656">
      <w:pPr>
        <w:pStyle w:val="FootnoteText"/>
      </w:pPr>
      <w:r>
        <w:rPr>
          <w:vertAlign w:val="superscript"/>
        </w:rPr>
        <w:t>(</w:t>
      </w:r>
      <w:r w:rsidRPr="001A7A97">
        <w:rPr>
          <w:rStyle w:val="FootnoteReference"/>
          <w:vertAlign w:val="superscript"/>
        </w:rPr>
        <w:footnoteRef/>
      </w:r>
      <w:r>
        <w:rPr>
          <w:vertAlign w:val="superscript"/>
        </w:rPr>
        <w:t>)</w:t>
      </w:r>
      <w:r>
        <w:t xml:space="preserve"> </w:t>
      </w:r>
      <w:r w:rsidRPr="001A7A97" w:rsidR="009A0AA4">
        <w:t xml:space="preserve">See </w:t>
      </w:r>
      <w:r w:rsidR="00EF3910">
        <w:t>OMB No. 2126-0016</w:t>
      </w:r>
      <w:r w:rsidRPr="00EF3910" w:rsidR="00E74210">
        <w:t xml:space="preserve"> “</w:t>
      </w:r>
      <w:r w:rsidRPr="001A7A97" w:rsidR="00E447A6">
        <w:rPr>
          <w:iCs/>
        </w:rPr>
        <w:t>Renewal for Additional Operating Authority for Existing Carrier and New and Additional Operating Authority for Mexico Domiciled Carrier</w:t>
      </w:r>
      <w:r w:rsidRPr="001A7A97" w:rsidR="002B0880">
        <w:rPr>
          <w:iCs/>
        </w:rPr>
        <w:t>s,</w:t>
      </w:r>
      <w:r w:rsidRPr="00EF3910" w:rsidR="001D18F3">
        <w:rPr>
          <w:iCs/>
        </w:rPr>
        <w:t>”</w:t>
      </w:r>
      <w:r w:rsidRPr="001A7A97" w:rsidR="002B0880">
        <w:rPr>
          <w:iCs/>
        </w:rPr>
        <w:t xml:space="preserve"> which covers</w:t>
      </w:r>
      <w:r w:rsidRPr="00EF3910" w:rsidR="001D18F3">
        <w:rPr>
          <w:iCs/>
        </w:rPr>
        <w:t xml:space="preserve"> Form</w:t>
      </w:r>
      <w:r w:rsidRPr="001A7A97" w:rsidR="009A0AA4">
        <w:rPr>
          <w:iCs/>
        </w:rPr>
        <w:t xml:space="preserve">s OP-1, </w:t>
      </w:r>
      <w:r w:rsidRPr="001A7A97" w:rsidR="002B0880">
        <w:t xml:space="preserve">OP-1(P), OP-1(FF), </w:t>
      </w:r>
      <w:r w:rsidR="00A967B2">
        <w:t>a</w:t>
      </w:r>
      <w:r w:rsidRPr="001A7A97" w:rsidR="002B0880">
        <w:t>nd/or (NNA).</w:t>
      </w:r>
    </w:p>
  </w:footnote>
  <w:footnote w:id="4">
    <w:p w:rsidR="00180971" w14:paraId="2AF1B3FB" w14:textId="2034BA4F">
      <w:pPr>
        <w:pStyle w:val="FootnoteText"/>
      </w:pPr>
      <w:r w:rsidRPr="00FA5041">
        <w:rPr>
          <w:vertAlign w:val="superscript"/>
        </w:rPr>
        <w:t>(</w:t>
      </w:r>
      <w:r w:rsidRPr="00EC2026">
        <w:rPr>
          <w:rStyle w:val="FootnoteReference"/>
          <w:vertAlign w:val="superscript"/>
        </w:rPr>
        <w:footnoteRef/>
      </w:r>
      <w:r w:rsidRPr="00FA5041">
        <w:rPr>
          <w:vertAlign w:val="superscript"/>
        </w:rPr>
        <w:t>)</w:t>
      </w:r>
      <w:r>
        <w:t xml:space="preserve"> Data </w:t>
      </w:r>
      <w:r w:rsidRPr="009E763C">
        <w:t xml:space="preserve">Source: </w:t>
      </w:r>
      <w:r w:rsidR="00252C48">
        <w:t>FMCSA’s “</w:t>
      </w:r>
      <w:r w:rsidRPr="009E763C" w:rsidR="00E70DFF">
        <w:t>L</w:t>
      </w:r>
      <w:r w:rsidR="00E70DFF">
        <w:t>icensing</w:t>
      </w:r>
      <w:r w:rsidR="00252C48">
        <w:t xml:space="preserve"> </w:t>
      </w:r>
      <w:r w:rsidRPr="009E763C">
        <w:t>&amp;</w:t>
      </w:r>
      <w:r w:rsidRPr="009E763C" w:rsidR="00E70DFF">
        <w:t>I</w:t>
      </w:r>
      <w:r w:rsidR="00E70DFF">
        <w:t>nsurance</w:t>
      </w:r>
      <w:r w:rsidR="00252C48">
        <w:t>” database. Sn</w:t>
      </w:r>
      <w:r w:rsidRPr="009E763C">
        <w:t xml:space="preserve">apshot </w:t>
      </w:r>
      <w:r w:rsidR="00252C48">
        <w:t xml:space="preserve">taken </w:t>
      </w:r>
      <w:r w:rsidR="00DA7071">
        <w:t>September 29, 2023</w:t>
      </w:r>
      <w:r w:rsidR="00252C48">
        <w:t>.</w:t>
      </w:r>
    </w:p>
  </w:footnote>
  <w:footnote w:id="5">
    <w:p w:rsidR="00180971" w:rsidP="00AC546F" w14:paraId="2AFA5767" w14:textId="3E5674F4">
      <w:pPr>
        <w:pStyle w:val="FootnoteText"/>
      </w:pPr>
      <w:r w:rsidRPr="002F5E78">
        <w:rPr>
          <w:vertAlign w:val="superscript"/>
        </w:rPr>
        <w:t>(</w:t>
      </w:r>
      <w:r w:rsidRPr="002F5E78">
        <w:rPr>
          <w:rStyle w:val="FootnoteReference"/>
          <w:vertAlign w:val="superscript"/>
        </w:rPr>
        <w:footnoteRef/>
      </w:r>
      <w:r w:rsidRPr="002F5E78">
        <w:rPr>
          <w:vertAlign w:val="superscript"/>
        </w:rPr>
        <w:t>)</w:t>
      </w:r>
      <w:r>
        <w:t xml:space="preserve"> FMCSA was unable to obtain comparable Mexican wage rates for </w:t>
      </w:r>
      <w:r w:rsidRPr="00596FA0">
        <w:t>Business Operations Specialists of the General Freight Trucking industry</w:t>
      </w:r>
      <w:r>
        <w:t>. For the purposes of this ICR, we use U.S. wages with the understanding that the resulting calculations may be overestimated.</w:t>
      </w:r>
    </w:p>
  </w:footnote>
  <w:footnote w:id="6">
    <w:p w:rsidR="00180971" w:rsidP="00AC546F" w14:paraId="60F7DC3D" w14:textId="6FD4A339">
      <w:pPr>
        <w:pStyle w:val="FootnoteText"/>
      </w:pPr>
      <w:r w:rsidRPr="00C93965">
        <w:rPr>
          <w:vertAlign w:val="superscript"/>
        </w:rPr>
        <w:t>(</w:t>
      </w:r>
      <w:r w:rsidRPr="00C93965">
        <w:rPr>
          <w:rStyle w:val="FootnoteReference"/>
          <w:vertAlign w:val="superscript"/>
        </w:rPr>
        <w:footnoteRef/>
      </w:r>
      <w:r w:rsidRPr="00C93965">
        <w:rPr>
          <w:vertAlign w:val="superscript"/>
        </w:rPr>
        <w:t>)</w:t>
      </w:r>
      <w:r>
        <w:t xml:space="preserve"> </w:t>
      </w:r>
      <w:r w:rsidRPr="00FE333A">
        <w:t xml:space="preserve">Bureau of Labor Statistics. Occupational Employment and Wages, May </w:t>
      </w:r>
      <w:r w:rsidR="0061584C">
        <w:t>2023</w:t>
      </w:r>
      <w:r w:rsidRPr="00FE333A">
        <w:t>, NAICS 484</w:t>
      </w:r>
      <w:r w:rsidR="0061584C">
        <w:t>0</w:t>
      </w:r>
      <w:r w:rsidRPr="00FE333A">
        <w:t xml:space="preserve">00 </w:t>
      </w:r>
      <w:r w:rsidR="0061584C">
        <w:t>–</w:t>
      </w:r>
      <w:r w:rsidRPr="00FE333A">
        <w:t xml:space="preserve"> </w:t>
      </w:r>
      <w:r w:rsidR="0061584C">
        <w:t>Truck Transportation</w:t>
      </w:r>
      <w:r w:rsidRPr="00FE333A">
        <w:t xml:space="preserve">. </w:t>
      </w:r>
      <w:hyperlink r:id="rId1" w:history="1">
        <w:r w:rsidRPr="006462A6" w:rsidR="006462A6">
          <w:rPr>
            <w:rStyle w:val="Hyperlink"/>
          </w:rPr>
          <w:t>https://www.bls.gov/oes/current/naics3_484000.htm</w:t>
        </w:r>
      </w:hyperlink>
      <w:r w:rsidR="00A23E57">
        <w:t>.</w:t>
      </w:r>
      <w:r>
        <w:t xml:space="preserve"> </w:t>
      </w:r>
      <w:r w:rsidRPr="00FE333A">
        <w:t xml:space="preserve">Accessed </w:t>
      </w:r>
      <w:r w:rsidR="0061584C">
        <w:t xml:space="preserve">June </w:t>
      </w:r>
      <w:r w:rsidR="006462A6">
        <w:t>2</w:t>
      </w:r>
      <w:r w:rsidR="0061584C">
        <w:t>7</w:t>
      </w:r>
      <w:r>
        <w:t>, 20</w:t>
      </w:r>
      <w:r w:rsidR="006C22D4">
        <w:t>2</w:t>
      </w:r>
      <w:r w:rsidR="0061584C">
        <w:t>4</w:t>
      </w:r>
      <w:r w:rsidRPr="00FE333A">
        <w:t>.</w:t>
      </w:r>
    </w:p>
  </w:footnote>
  <w:footnote w:id="7">
    <w:p w:rsidR="00180971" w:rsidP="00AC546F" w14:paraId="1FC8F77D" w14:textId="0C414DD9">
      <w:pPr>
        <w:pStyle w:val="FootnoteText"/>
      </w:pPr>
      <w:r>
        <w:rPr>
          <w:vertAlign w:val="superscript"/>
        </w:rPr>
        <w:t>(</w:t>
      </w:r>
      <w:r>
        <w:rPr>
          <w:vertAlign w:val="superscript"/>
        </w:rPr>
        <w:footnoteRef/>
      </w:r>
      <w:r>
        <w:rPr>
          <w:vertAlign w:val="superscript"/>
        </w:rPr>
        <w:t>)</w:t>
      </w:r>
      <w:r>
        <w:t xml:space="preserve"> Bureau of Labor Statistics. “Table </w:t>
      </w:r>
      <w:r w:rsidR="006C22D4">
        <w:t>4</w:t>
      </w:r>
      <w:r>
        <w:t xml:space="preserve">. </w:t>
      </w:r>
      <w:r w:rsidRPr="007D0E42" w:rsidR="007D0E42">
        <w:t>Employer Costs for Employee Compensation for private industry workers by occupational and industry group</w:t>
      </w:r>
      <w:r>
        <w:t xml:space="preserve">.” </w:t>
      </w:r>
      <w:r w:rsidRPr="006C22D4" w:rsidR="006C22D4">
        <w:rPr>
          <w:rStyle w:val="Hyperlink"/>
        </w:rPr>
        <w:t>www.bls.gov/news.release/pdf/ecec.pdf</w:t>
      </w:r>
      <w:r w:rsidR="00A23E57">
        <w:t>.</w:t>
      </w:r>
      <w:r>
        <w:t xml:space="preserve"> Accessed </w:t>
      </w:r>
      <w:r w:rsidR="007D0E42">
        <w:t>June 27, 2024.</w:t>
      </w:r>
    </w:p>
  </w:footnote>
  <w:footnote w:id="8">
    <w:p w:rsidR="00180971" w:rsidRPr="00006A03" w:rsidP="003147C0" w14:paraId="7BCB3C64" w14:textId="027B71A8">
      <w:pPr>
        <w:pStyle w:val="FootnoteText"/>
      </w:pPr>
      <w:r w:rsidRPr="00C93965">
        <w:rPr>
          <w:vertAlign w:val="superscript"/>
        </w:rPr>
        <w:t>(</w:t>
      </w:r>
      <w:r w:rsidRPr="005A3712">
        <w:rPr>
          <w:rStyle w:val="FootnoteReference"/>
          <w:vertAlign w:val="superscript"/>
        </w:rPr>
        <w:footnoteRef/>
      </w:r>
      <w:r w:rsidRPr="00C93965">
        <w:rPr>
          <w:vertAlign w:val="superscript"/>
        </w:rPr>
        <w:t>)</w:t>
      </w:r>
      <w:r>
        <w:t xml:space="preserve"> Based on the </w:t>
      </w:r>
      <w:bookmarkStart w:id="9" w:name="_Hlk171268407"/>
      <w:r>
        <w:t>20</w:t>
      </w:r>
      <w:r w:rsidR="001E599F">
        <w:t>2</w:t>
      </w:r>
      <w:r w:rsidR="007E650E">
        <w:t>4</w:t>
      </w:r>
      <w:r w:rsidR="001E599F">
        <w:t xml:space="preserve"> Washington, Baltimore </w:t>
      </w:r>
      <w:r>
        <w:t>wage for GS</w:t>
      </w:r>
      <w:r w:rsidR="00076A59">
        <w:t>-</w:t>
      </w:r>
      <w:r>
        <w:t>9 step 5 of $</w:t>
      </w:r>
      <w:r w:rsidR="007E650E">
        <w:t>38.24</w:t>
      </w:r>
      <w:r>
        <w:t xml:space="preserve"> per hour</w:t>
      </w:r>
      <w:bookmarkEnd w:id="9"/>
      <w:r w:rsidR="00076A59">
        <w:t>.</w:t>
      </w:r>
      <w:r>
        <w:t xml:space="preserve"> </w:t>
      </w:r>
      <w:hyperlink r:id="rId2" w:history="1">
        <w:r w:rsidRPr="007E650E" w:rsidR="007E650E">
          <w:rPr>
            <w:color w:val="0000FF"/>
            <w:szCs w:val="24"/>
            <w:u w:val="single"/>
          </w:rPr>
          <w:t>SALARY TABLE 2024-DCB (LEO) (opm.gov)</w:t>
        </w:r>
      </w:hyperlink>
      <w:r w:rsidR="007E650E">
        <w:t xml:space="preserve"> </w:t>
      </w:r>
      <w:r w:rsidR="00076A59">
        <w:t>.</w:t>
      </w:r>
      <w:r>
        <w:t xml:space="preserve"> </w:t>
      </w:r>
    </w:p>
  </w:footnote>
  <w:footnote w:id="9">
    <w:p w:rsidR="006D2377" w14:paraId="3ED8BB32" w14:textId="77777777">
      <w:pPr>
        <w:pStyle w:val="FootnoteText"/>
      </w:pPr>
      <w:r w:rsidRPr="005045D9">
        <w:rPr>
          <w:vertAlign w:val="superscript"/>
        </w:rPr>
        <w:t>(</w:t>
      </w:r>
      <w:r w:rsidRPr="005045D9">
        <w:rPr>
          <w:rStyle w:val="FootnoteReference"/>
          <w:vertAlign w:val="superscript"/>
        </w:rPr>
        <w:footnoteRef/>
      </w:r>
      <w:r w:rsidRPr="005045D9">
        <w:rPr>
          <w:vertAlign w:val="superscript"/>
        </w:rPr>
        <w:t>)</w:t>
      </w:r>
      <w:r>
        <w:t xml:space="preserve"> Consistent with other FMCSA ICRs.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C417F"/>
    <w:multiLevelType w:val="hybridMultilevel"/>
    <w:tmpl w:val="DFA8B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82239"/>
    <w:multiLevelType w:val="hybridMultilevel"/>
    <w:tmpl w:val="2C46C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C8024E"/>
    <w:multiLevelType w:val="hybridMultilevel"/>
    <w:tmpl w:val="E3805F24"/>
    <w:lvl w:ilvl="0">
      <w:start w:val="1"/>
      <w:numFmt w:val="upperLetter"/>
      <w:lvlText w:val="%1."/>
      <w:lvlJc w:val="left"/>
      <w:pPr>
        <w:tabs>
          <w:tab w:val="num" w:pos="1170"/>
        </w:tabs>
        <w:ind w:left="1170" w:hanging="720"/>
      </w:pPr>
      <w:rPr>
        <w:rFonts w:hint="default"/>
        <w:color w:val="auto"/>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
    <w:nsid w:val="100F3BFB"/>
    <w:multiLevelType w:val="hybridMultilevel"/>
    <w:tmpl w:val="941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5001B"/>
    <w:multiLevelType w:val="hybridMultilevel"/>
    <w:tmpl w:val="29EEF00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FA2219"/>
    <w:multiLevelType w:val="hybridMultilevel"/>
    <w:tmpl w:val="F93E7C84"/>
    <w:lvl w:ilvl="0">
      <w:start w:val="1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E56DAA"/>
    <w:multiLevelType w:val="hybridMultilevel"/>
    <w:tmpl w:val="B5003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7C7576"/>
    <w:multiLevelType w:val="hybridMultilevel"/>
    <w:tmpl w:val="271843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005B2B"/>
    <w:multiLevelType w:val="hybridMultilevel"/>
    <w:tmpl w:val="6198802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D68B0"/>
    <w:multiLevelType w:val="hybridMultilevel"/>
    <w:tmpl w:val="9766BDF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1B003A"/>
    <w:multiLevelType w:val="hybridMultilevel"/>
    <w:tmpl w:val="BF16641E"/>
    <w:lvl w:ilvl="0">
      <w:start w:val="12"/>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B3C5F10"/>
    <w:multiLevelType w:val="hybridMultilevel"/>
    <w:tmpl w:val="4E3A9D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377800"/>
    <w:multiLevelType w:val="hybridMultilevel"/>
    <w:tmpl w:val="832A6534"/>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6D51D8"/>
    <w:multiLevelType w:val="hybridMultilevel"/>
    <w:tmpl w:val="28B4F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14542E8"/>
    <w:multiLevelType w:val="hybridMultilevel"/>
    <w:tmpl w:val="E894179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281961"/>
    <w:multiLevelType w:val="hybridMultilevel"/>
    <w:tmpl w:val="0CA68F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193715"/>
    <w:multiLevelType w:val="hybridMultilevel"/>
    <w:tmpl w:val="395282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86012A"/>
    <w:multiLevelType w:val="hybridMultilevel"/>
    <w:tmpl w:val="E3DE365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3354DA"/>
    <w:multiLevelType w:val="hybridMultilevel"/>
    <w:tmpl w:val="E49493A8"/>
    <w:lvl w:ilvl="0">
      <w:start w:val="1"/>
      <w:numFmt w:val="decimal"/>
      <w:pStyle w:val="Heading2"/>
      <w:lvlText w:val="%1."/>
      <w:lvlJc w:val="left"/>
      <w:pPr>
        <w:ind w:left="720" w:hanging="360"/>
      </w:pPr>
      <w:rPr>
        <w:b/>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C94E06"/>
    <w:multiLevelType w:val="hybridMultilevel"/>
    <w:tmpl w:val="FFE0D090"/>
    <w:lvl w:ilvl="0">
      <w:start w:val="1"/>
      <w:numFmt w:val="bullet"/>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A33695"/>
    <w:multiLevelType w:val="hybridMultilevel"/>
    <w:tmpl w:val="2E783AF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9079690">
    <w:abstractNumId w:val="5"/>
  </w:num>
  <w:num w:numId="2" w16cid:durableId="1547334073">
    <w:abstractNumId w:val="9"/>
  </w:num>
  <w:num w:numId="3" w16cid:durableId="44454541">
    <w:abstractNumId w:val="10"/>
  </w:num>
  <w:num w:numId="4" w16cid:durableId="2024935246">
    <w:abstractNumId w:val="2"/>
  </w:num>
  <w:num w:numId="5" w16cid:durableId="1863129213">
    <w:abstractNumId w:val="12"/>
  </w:num>
  <w:num w:numId="6" w16cid:durableId="1866871460">
    <w:abstractNumId w:val="13"/>
  </w:num>
  <w:num w:numId="7" w16cid:durableId="1612862755">
    <w:abstractNumId w:val="0"/>
  </w:num>
  <w:num w:numId="8" w16cid:durableId="1889343634">
    <w:abstractNumId w:val="15"/>
  </w:num>
  <w:num w:numId="9" w16cid:durableId="1383558517">
    <w:abstractNumId w:val="1"/>
  </w:num>
  <w:num w:numId="10" w16cid:durableId="728261281">
    <w:abstractNumId w:val="8"/>
  </w:num>
  <w:num w:numId="11" w16cid:durableId="1372995134">
    <w:abstractNumId w:val="17"/>
  </w:num>
  <w:num w:numId="12" w16cid:durableId="831986709">
    <w:abstractNumId w:val="4"/>
  </w:num>
  <w:num w:numId="13" w16cid:durableId="1841114634">
    <w:abstractNumId w:val="18"/>
  </w:num>
  <w:num w:numId="14" w16cid:durableId="21589298">
    <w:abstractNumId w:val="7"/>
  </w:num>
  <w:num w:numId="15" w16cid:durableId="1216237711">
    <w:abstractNumId w:val="20"/>
  </w:num>
  <w:num w:numId="16" w16cid:durableId="64032651">
    <w:abstractNumId w:val="11"/>
  </w:num>
  <w:num w:numId="17" w16cid:durableId="1378697499">
    <w:abstractNumId w:val="16"/>
  </w:num>
  <w:num w:numId="18" w16cid:durableId="1256671328">
    <w:abstractNumId w:val="21"/>
  </w:num>
  <w:num w:numId="19" w16cid:durableId="914096583">
    <w:abstractNumId w:val="19"/>
  </w:num>
  <w:num w:numId="20" w16cid:durableId="413936991">
    <w:abstractNumId w:val="6"/>
  </w:num>
  <w:num w:numId="21" w16cid:durableId="1298484903">
    <w:abstractNumId w:val="3"/>
  </w:num>
  <w:num w:numId="22" w16cid:durableId="1984238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D"/>
    <w:rsid w:val="00001E41"/>
    <w:rsid w:val="00004001"/>
    <w:rsid w:val="00004C2C"/>
    <w:rsid w:val="00006A03"/>
    <w:rsid w:val="00010235"/>
    <w:rsid w:val="0001137C"/>
    <w:rsid w:val="00011B1A"/>
    <w:rsid w:val="00015097"/>
    <w:rsid w:val="0002338C"/>
    <w:rsid w:val="00027E13"/>
    <w:rsid w:val="00030322"/>
    <w:rsid w:val="00042470"/>
    <w:rsid w:val="0004289D"/>
    <w:rsid w:val="000465F7"/>
    <w:rsid w:val="000547D6"/>
    <w:rsid w:val="00055571"/>
    <w:rsid w:val="0006126E"/>
    <w:rsid w:val="00061D30"/>
    <w:rsid w:val="00062FF4"/>
    <w:rsid w:val="00063514"/>
    <w:rsid w:val="000644CE"/>
    <w:rsid w:val="0007034D"/>
    <w:rsid w:val="000720DD"/>
    <w:rsid w:val="00073443"/>
    <w:rsid w:val="0007437D"/>
    <w:rsid w:val="00075DAC"/>
    <w:rsid w:val="00076A59"/>
    <w:rsid w:val="000772ED"/>
    <w:rsid w:val="0008052E"/>
    <w:rsid w:val="00080CB5"/>
    <w:rsid w:val="00081E14"/>
    <w:rsid w:val="0008607E"/>
    <w:rsid w:val="00086DAD"/>
    <w:rsid w:val="00086F27"/>
    <w:rsid w:val="000916C0"/>
    <w:rsid w:val="0009173F"/>
    <w:rsid w:val="00091B5B"/>
    <w:rsid w:val="000970C0"/>
    <w:rsid w:val="00097664"/>
    <w:rsid w:val="000A2840"/>
    <w:rsid w:val="000B01CB"/>
    <w:rsid w:val="000B408E"/>
    <w:rsid w:val="000C1392"/>
    <w:rsid w:val="000C2651"/>
    <w:rsid w:val="000C2D96"/>
    <w:rsid w:val="000C5582"/>
    <w:rsid w:val="000C77B1"/>
    <w:rsid w:val="000D2722"/>
    <w:rsid w:val="000E37B6"/>
    <w:rsid w:val="000E7E83"/>
    <w:rsid w:val="000F20DE"/>
    <w:rsid w:val="000F24CD"/>
    <w:rsid w:val="000F4E55"/>
    <w:rsid w:val="00102AA8"/>
    <w:rsid w:val="0010602F"/>
    <w:rsid w:val="001064CE"/>
    <w:rsid w:val="00112D7E"/>
    <w:rsid w:val="00116A08"/>
    <w:rsid w:val="0012381A"/>
    <w:rsid w:val="001364A7"/>
    <w:rsid w:val="001509B6"/>
    <w:rsid w:val="001532A2"/>
    <w:rsid w:val="001575F6"/>
    <w:rsid w:val="00157D8C"/>
    <w:rsid w:val="0016369C"/>
    <w:rsid w:val="00163961"/>
    <w:rsid w:val="001676C5"/>
    <w:rsid w:val="001701CD"/>
    <w:rsid w:val="00180971"/>
    <w:rsid w:val="001829B9"/>
    <w:rsid w:val="00183A42"/>
    <w:rsid w:val="00184EFC"/>
    <w:rsid w:val="001860AB"/>
    <w:rsid w:val="00186C88"/>
    <w:rsid w:val="00187112"/>
    <w:rsid w:val="00190194"/>
    <w:rsid w:val="00191226"/>
    <w:rsid w:val="00191C24"/>
    <w:rsid w:val="00194122"/>
    <w:rsid w:val="00194418"/>
    <w:rsid w:val="001950BA"/>
    <w:rsid w:val="00197B28"/>
    <w:rsid w:val="001A0899"/>
    <w:rsid w:val="001A4F93"/>
    <w:rsid w:val="001A7504"/>
    <w:rsid w:val="001A7A97"/>
    <w:rsid w:val="001B3936"/>
    <w:rsid w:val="001B4B62"/>
    <w:rsid w:val="001C02EB"/>
    <w:rsid w:val="001C0D45"/>
    <w:rsid w:val="001C2DDA"/>
    <w:rsid w:val="001D18F3"/>
    <w:rsid w:val="001E599F"/>
    <w:rsid w:val="001E5ECC"/>
    <w:rsid w:val="001F096F"/>
    <w:rsid w:val="001F2A2F"/>
    <w:rsid w:val="001F366C"/>
    <w:rsid w:val="001F5D53"/>
    <w:rsid w:val="00200C9F"/>
    <w:rsid w:val="002018B0"/>
    <w:rsid w:val="00211212"/>
    <w:rsid w:val="00212F9A"/>
    <w:rsid w:val="0021554A"/>
    <w:rsid w:val="0021585C"/>
    <w:rsid w:val="0022010C"/>
    <w:rsid w:val="002242F1"/>
    <w:rsid w:val="00230D23"/>
    <w:rsid w:val="00245181"/>
    <w:rsid w:val="002452D4"/>
    <w:rsid w:val="00252C48"/>
    <w:rsid w:val="0025412E"/>
    <w:rsid w:val="0025441C"/>
    <w:rsid w:val="002558CE"/>
    <w:rsid w:val="002607F4"/>
    <w:rsid w:val="00262F23"/>
    <w:rsid w:val="00263FE5"/>
    <w:rsid w:val="0027545D"/>
    <w:rsid w:val="00282662"/>
    <w:rsid w:val="002903D2"/>
    <w:rsid w:val="002A4AA1"/>
    <w:rsid w:val="002A5E91"/>
    <w:rsid w:val="002B0880"/>
    <w:rsid w:val="002B1616"/>
    <w:rsid w:val="002B1ADA"/>
    <w:rsid w:val="002B2785"/>
    <w:rsid w:val="002B2EFD"/>
    <w:rsid w:val="002B2F6A"/>
    <w:rsid w:val="002C0A77"/>
    <w:rsid w:val="002C2D21"/>
    <w:rsid w:val="002C5066"/>
    <w:rsid w:val="002D110B"/>
    <w:rsid w:val="002E01CF"/>
    <w:rsid w:val="002E3302"/>
    <w:rsid w:val="002E71DD"/>
    <w:rsid w:val="002F4731"/>
    <w:rsid w:val="002F5582"/>
    <w:rsid w:val="002F5E78"/>
    <w:rsid w:val="002F7F7D"/>
    <w:rsid w:val="0030517B"/>
    <w:rsid w:val="00307AF0"/>
    <w:rsid w:val="0031026F"/>
    <w:rsid w:val="00311686"/>
    <w:rsid w:val="003147C0"/>
    <w:rsid w:val="00315642"/>
    <w:rsid w:val="00317497"/>
    <w:rsid w:val="00323287"/>
    <w:rsid w:val="00323377"/>
    <w:rsid w:val="003313BB"/>
    <w:rsid w:val="0033419F"/>
    <w:rsid w:val="00334DBE"/>
    <w:rsid w:val="00343F48"/>
    <w:rsid w:val="00344328"/>
    <w:rsid w:val="00346B99"/>
    <w:rsid w:val="00352E9A"/>
    <w:rsid w:val="003537CB"/>
    <w:rsid w:val="00356E53"/>
    <w:rsid w:val="00361EF3"/>
    <w:rsid w:val="00362D7A"/>
    <w:rsid w:val="0036554B"/>
    <w:rsid w:val="00366D3D"/>
    <w:rsid w:val="00381456"/>
    <w:rsid w:val="0038793D"/>
    <w:rsid w:val="003A4A53"/>
    <w:rsid w:val="003A4C0D"/>
    <w:rsid w:val="003B122B"/>
    <w:rsid w:val="003B3502"/>
    <w:rsid w:val="003B6A3F"/>
    <w:rsid w:val="003C5925"/>
    <w:rsid w:val="003C6B34"/>
    <w:rsid w:val="003F12DF"/>
    <w:rsid w:val="003F23EA"/>
    <w:rsid w:val="004010CD"/>
    <w:rsid w:val="00402027"/>
    <w:rsid w:val="00403994"/>
    <w:rsid w:val="00405B70"/>
    <w:rsid w:val="00406442"/>
    <w:rsid w:val="00410684"/>
    <w:rsid w:val="004117F6"/>
    <w:rsid w:val="00414CDE"/>
    <w:rsid w:val="00415003"/>
    <w:rsid w:val="0041618C"/>
    <w:rsid w:val="004175B4"/>
    <w:rsid w:val="00420A0F"/>
    <w:rsid w:val="00421253"/>
    <w:rsid w:val="00421C28"/>
    <w:rsid w:val="004229DC"/>
    <w:rsid w:val="004250CA"/>
    <w:rsid w:val="0042768D"/>
    <w:rsid w:val="00434D19"/>
    <w:rsid w:val="00444451"/>
    <w:rsid w:val="00452472"/>
    <w:rsid w:val="00456F24"/>
    <w:rsid w:val="00457C27"/>
    <w:rsid w:val="004629D7"/>
    <w:rsid w:val="0047020A"/>
    <w:rsid w:val="00472A92"/>
    <w:rsid w:val="00475AD6"/>
    <w:rsid w:val="004760FD"/>
    <w:rsid w:val="0047693A"/>
    <w:rsid w:val="00481D77"/>
    <w:rsid w:val="0048586F"/>
    <w:rsid w:val="00492861"/>
    <w:rsid w:val="004935C6"/>
    <w:rsid w:val="004A1B7C"/>
    <w:rsid w:val="004A61C4"/>
    <w:rsid w:val="004A703D"/>
    <w:rsid w:val="004B6088"/>
    <w:rsid w:val="004C3D73"/>
    <w:rsid w:val="004C4216"/>
    <w:rsid w:val="004C4C97"/>
    <w:rsid w:val="004D26E0"/>
    <w:rsid w:val="004D2D33"/>
    <w:rsid w:val="004D74F4"/>
    <w:rsid w:val="004E1ACD"/>
    <w:rsid w:val="004E32A5"/>
    <w:rsid w:val="004E7EE0"/>
    <w:rsid w:val="004F0A6A"/>
    <w:rsid w:val="004F1949"/>
    <w:rsid w:val="004F32D4"/>
    <w:rsid w:val="00501140"/>
    <w:rsid w:val="005045D9"/>
    <w:rsid w:val="00504A05"/>
    <w:rsid w:val="0050598C"/>
    <w:rsid w:val="00506373"/>
    <w:rsid w:val="005070C6"/>
    <w:rsid w:val="0050711E"/>
    <w:rsid w:val="005155B5"/>
    <w:rsid w:val="005216F3"/>
    <w:rsid w:val="00522F5E"/>
    <w:rsid w:val="0052752C"/>
    <w:rsid w:val="005355ED"/>
    <w:rsid w:val="00541318"/>
    <w:rsid w:val="0054494D"/>
    <w:rsid w:val="00551C06"/>
    <w:rsid w:val="00552482"/>
    <w:rsid w:val="00555191"/>
    <w:rsid w:val="00555A3B"/>
    <w:rsid w:val="00556419"/>
    <w:rsid w:val="00556AD8"/>
    <w:rsid w:val="00557627"/>
    <w:rsid w:val="00566FA3"/>
    <w:rsid w:val="005815EB"/>
    <w:rsid w:val="00581E36"/>
    <w:rsid w:val="00583128"/>
    <w:rsid w:val="00583925"/>
    <w:rsid w:val="0058620E"/>
    <w:rsid w:val="00592755"/>
    <w:rsid w:val="0059628F"/>
    <w:rsid w:val="00596FA0"/>
    <w:rsid w:val="005A4A50"/>
    <w:rsid w:val="005A6CB8"/>
    <w:rsid w:val="005A799A"/>
    <w:rsid w:val="005B1FDF"/>
    <w:rsid w:val="005B6842"/>
    <w:rsid w:val="005C1A3F"/>
    <w:rsid w:val="005C248E"/>
    <w:rsid w:val="005C25D3"/>
    <w:rsid w:val="005C261B"/>
    <w:rsid w:val="005C34EB"/>
    <w:rsid w:val="005C63F4"/>
    <w:rsid w:val="005C7612"/>
    <w:rsid w:val="005D2A2F"/>
    <w:rsid w:val="005E53C4"/>
    <w:rsid w:val="005F1FA6"/>
    <w:rsid w:val="005F31DC"/>
    <w:rsid w:val="00601779"/>
    <w:rsid w:val="006040AA"/>
    <w:rsid w:val="00604F32"/>
    <w:rsid w:val="006075AA"/>
    <w:rsid w:val="00612DBC"/>
    <w:rsid w:val="00613FD1"/>
    <w:rsid w:val="0061584C"/>
    <w:rsid w:val="0062187D"/>
    <w:rsid w:val="00622C28"/>
    <w:rsid w:val="00625F1D"/>
    <w:rsid w:val="00627FB4"/>
    <w:rsid w:val="006329B7"/>
    <w:rsid w:val="00633FAA"/>
    <w:rsid w:val="006350E1"/>
    <w:rsid w:val="00640400"/>
    <w:rsid w:val="0064228B"/>
    <w:rsid w:val="00645E54"/>
    <w:rsid w:val="0064612D"/>
    <w:rsid w:val="006462A6"/>
    <w:rsid w:val="00646A1F"/>
    <w:rsid w:val="006529CD"/>
    <w:rsid w:val="006563C5"/>
    <w:rsid w:val="00666767"/>
    <w:rsid w:val="00670978"/>
    <w:rsid w:val="00675617"/>
    <w:rsid w:val="00680F97"/>
    <w:rsid w:val="0068187E"/>
    <w:rsid w:val="00687487"/>
    <w:rsid w:val="00687698"/>
    <w:rsid w:val="00692282"/>
    <w:rsid w:val="00693105"/>
    <w:rsid w:val="00693BB0"/>
    <w:rsid w:val="006A291A"/>
    <w:rsid w:val="006A4912"/>
    <w:rsid w:val="006B3FFF"/>
    <w:rsid w:val="006B6225"/>
    <w:rsid w:val="006B7023"/>
    <w:rsid w:val="006B7723"/>
    <w:rsid w:val="006C22D4"/>
    <w:rsid w:val="006C338E"/>
    <w:rsid w:val="006C4835"/>
    <w:rsid w:val="006C6980"/>
    <w:rsid w:val="006D15D7"/>
    <w:rsid w:val="006D2377"/>
    <w:rsid w:val="006D56A0"/>
    <w:rsid w:val="006D79A4"/>
    <w:rsid w:val="006E7136"/>
    <w:rsid w:val="006F0EE1"/>
    <w:rsid w:val="006F1E1A"/>
    <w:rsid w:val="006F5EFD"/>
    <w:rsid w:val="00701450"/>
    <w:rsid w:val="007023E4"/>
    <w:rsid w:val="00706858"/>
    <w:rsid w:val="00715B81"/>
    <w:rsid w:val="007168C8"/>
    <w:rsid w:val="00721B9D"/>
    <w:rsid w:val="00725982"/>
    <w:rsid w:val="00736291"/>
    <w:rsid w:val="00736B72"/>
    <w:rsid w:val="00737EC2"/>
    <w:rsid w:val="007426E0"/>
    <w:rsid w:val="00744197"/>
    <w:rsid w:val="00744913"/>
    <w:rsid w:val="007466F6"/>
    <w:rsid w:val="00747ED3"/>
    <w:rsid w:val="007507CA"/>
    <w:rsid w:val="00756A01"/>
    <w:rsid w:val="007571C0"/>
    <w:rsid w:val="007572AA"/>
    <w:rsid w:val="00764C39"/>
    <w:rsid w:val="00767D08"/>
    <w:rsid w:val="00770DF1"/>
    <w:rsid w:val="00775C5E"/>
    <w:rsid w:val="0078425E"/>
    <w:rsid w:val="0078443A"/>
    <w:rsid w:val="007860F9"/>
    <w:rsid w:val="00786622"/>
    <w:rsid w:val="007930FA"/>
    <w:rsid w:val="007A1A48"/>
    <w:rsid w:val="007A1C18"/>
    <w:rsid w:val="007A26A0"/>
    <w:rsid w:val="007A2985"/>
    <w:rsid w:val="007A6550"/>
    <w:rsid w:val="007B30AF"/>
    <w:rsid w:val="007B406F"/>
    <w:rsid w:val="007B44EC"/>
    <w:rsid w:val="007C00C4"/>
    <w:rsid w:val="007C4D43"/>
    <w:rsid w:val="007D0E42"/>
    <w:rsid w:val="007D1146"/>
    <w:rsid w:val="007D47BB"/>
    <w:rsid w:val="007D68F0"/>
    <w:rsid w:val="007D7072"/>
    <w:rsid w:val="007E0FF3"/>
    <w:rsid w:val="007E2082"/>
    <w:rsid w:val="007E3B83"/>
    <w:rsid w:val="007E650E"/>
    <w:rsid w:val="007F5882"/>
    <w:rsid w:val="00804301"/>
    <w:rsid w:val="00806281"/>
    <w:rsid w:val="008157A0"/>
    <w:rsid w:val="00815EFD"/>
    <w:rsid w:val="00820E4A"/>
    <w:rsid w:val="00821013"/>
    <w:rsid w:val="008220BB"/>
    <w:rsid w:val="008227FB"/>
    <w:rsid w:val="00822BEE"/>
    <w:rsid w:val="00836CFF"/>
    <w:rsid w:val="00840BDA"/>
    <w:rsid w:val="008456A5"/>
    <w:rsid w:val="00845D74"/>
    <w:rsid w:val="0084619A"/>
    <w:rsid w:val="00846A06"/>
    <w:rsid w:val="00846EFD"/>
    <w:rsid w:val="00851938"/>
    <w:rsid w:val="00852D7D"/>
    <w:rsid w:val="0085519F"/>
    <w:rsid w:val="00856B33"/>
    <w:rsid w:val="00860F4D"/>
    <w:rsid w:val="0086184F"/>
    <w:rsid w:val="00864036"/>
    <w:rsid w:val="008705C9"/>
    <w:rsid w:val="008743B8"/>
    <w:rsid w:val="00884DCD"/>
    <w:rsid w:val="00887DE5"/>
    <w:rsid w:val="00895A68"/>
    <w:rsid w:val="008A1BC0"/>
    <w:rsid w:val="008A26AF"/>
    <w:rsid w:val="008A5C85"/>
    <w:rsid w:val="008B1E44"/>
    <w:rsid w:val="008B2689"/>
    <w:rsid w:val="008B33E0"/>
    <w:rsid w:val="008B3F03"/>
    <w:rsid w:val="008C13B8"/>
    <w:rsid w:val="008C46BC"/>
    <w:rsid w:val="008D0563"/>
    <w:rsid w:val="008D3FF6"/>
    <w:rsid w:val="008D6423"/>
    <w:rsid w:val="008E05ED"/>
    <w:rsid w:val="009009AA"/>
    <w:rsid w:val="00903F2D"/>
    <w:rsid w:val="00910B39"/>
    <w:rsid w:val="00912C25"/>
    <w:rsid w:val="009142E7"/>
    <w:rsid w:val="00917DE1"/>
    <w:rsid w:val="00932B01"/>
    <w:rsid w:val="009347FD"/>
    <w:rsid w:val="00935C8A"/>
    <w:rsid w:val="009407E4"/>
    <w:rsid w:val="00943C89"/>
    <w:rsid w:val="0095090A"/>
    <w:rsid w:val="00951DDE"/>
    <w:rsid w:val="0095411A"/>
    <w:rsid w:val="00955E5F"/>
    <w:rsid w:val="00961428"/>
    <w:rsid w:val="009618A9"/>
    <w:rsid w:val="009633B5"/>
    <w:rsid w:val="009663DC"/>
    <w:rsid w:val="0098354E"/>
    <w:rsid w:val="00985B8F"/>
    <w:rsid w:val="0098797D"/>
    <w:rsid w:val="00997BFA"/>
    <w:rsid w:val="009A0AA4"/>
    <w:rsid w:val="009A32C9"/>
    <w:rsid w:val="009A4CA1"/>
    <w:rsid w:val="009A67B6"/>
    <w:rsid w:val="009B0B97"/>
    <w:rsid w:val="009B1C75"/>
    <w:rsid w:val="009B3456"/>
    <w:rsid w:val="009B6791"/>
    <w:rsid w:val="009B6E9A"/>
    <w:rsid w:val="009C04A7"/>
    <w:rsid w:val="009C226C"/>
    <w:rsid w:val="009C3112"/>
    <w:rsid w:val="009C3437"/>
    <w:rsid w:val="009D17B6"/>
    <w:rsid w:val="009D1D36"/>
    <w:rsid w:val="009D696B"/>
    <w:rsid w:val="009E43F8"/>
    <w:rsid w:val="009E5531"/>
    <w:rsid w:val="009E5E6C"/>
    <w:rsid w:val="009E763C"/>
    <w:rsid w:val="009F46A4"/>
    <w:rsid w:val="009F5899"/>
    <w:rsid w:val="009F60C2"/>
    <w:rsid w:val="009F6191"/>
    <w:rsid w:val="00A06C52"/>
    <w:rsid w:val="00A07B36"/>
    <w:rsid w:val="00A10D0C"/>
    <w:rsid w:val="00A10E10"/>
    <w:rsid w:val="00A137CE"/>
    <w:rsid w:val="00A166F7"/>
    <w:rsid w:val="00A23015"/>
    <w:rsid w:val="00A23E57"/>
    <w:rsid w:val="00A25224"/>
    <w:rsid w:val="00A3084E"/>
    <w:rsid w:val="00A310E6"/>
    <w:rsid w:val="00A41D7B"/>
    <w:rsid w:val="00A46162"/>
    <w:rsid w:val="00A46B39"/>
    <w:rsid w:val="00A54F64"/>
    <w:rsid w:val="00A570AA"/>
    <w:rsid w:val="00A57DAB"/>
    <w:rsid w:val="00A70DB6"/>
    <w:rsid w:val="00A72E5E"/>
    <w:rsid w:val="00A72F5F"/>
    <w:rsid w:val="00A77E62"/>
    <w:rsid w:val="00A91EBA"/>
    <w:rsid w:val="00A9234D"/>
    <w:rsid w:val="00A931BB"/>
    <w:rsid w:val="00A967B2"/>
    <w:rsid w:val="00AA1639"/>
    <w:rsid w:val="00AA252B"/>
    <w:rsid w:val="00AA2F72"/>
    <w:rsid w:val="00AA3A40"/>
    <w:rsid w:val="00AB1C6F"/>
    <w:rsid w:val="00AB4907"/>
    <w:rsid w:val="00AC4DB3"/>
    <w:rsid w:val="00AC546F"/>
    <w:rsid w:val="00AD0C92"/>
    <w:rsid w:val="00AD4CD0"/>
    <w:rsid w:val="00AE7775"/>
    <w:rsid w:val="00AF08E1"/>
    <w:rsid w:val="00AF1C41"/>
    <w:rsid w:val="00AF247E"/>
    <w:rsid w:val="00AF5DF2"/>
    <w:rsid w:val="00B02032"/>
    <w:rsid w:val="00B0241D"/>
    <w:rsid w:val="00B11C59"/>
    <w:rsid w:val="00B13E6C"/>
    <w:rsid w:val="00B14575"/>
    <w:rsid w:val="00B2010D"/>
    <w:rsid w:val="00B21649"/>
    <w:rsid w:val="00B242C8"/>
    <w:rsid w:val="00B2635B"/>
    <w:rsid w:val="00B30510"/>
    <w:rsid w:val="00B30EE1"/>
    <w:rsid w:val="00B329E5"/>
    <w:rsid w:val="00B3337C"/>
    <w:rsid w:val="00B33555"/>
    <w:rsid w:val="00B4583A"/>
    <w:rsid w:val="00B4593F"/>
    <w:rsid w:val="00B54CDC"/>
    <w:rsid w:val="00B54E5B"/>
    <w:rsid w:val="00B6284D"/>
    <w:rsid w:val="00B708F4"/>
    <w:rsid w:val="00B725C8"/>
    <w:rsid w:val="00B73D90"/>
    <w:rsid w:val="00B80C04"/>
    <w:rsid w:val="00B80FCB"/>
    <w:rsid w:val="00B817E7"/>
    <w:rsid w:val="00B8193F"/>
    <w:rsid w:val="00B8549B"/>
    <w:rsid w:val="00B87BC1"/>
    <w:rsid w:val="00B90479"/>
    <w:rsid w:val="00B90C15"/>
    <w:rsid w:val="00B9473D"/>
    <w:rsid w:val="00BA017C"/>
    <w:rsid w:val="00BA5A35"/>
    <w:rsid w:val="00BB422D"/>
    <w:rsid w:val="00BC1152"/>
    <w:rsid w:val="00BC1D6A"/>
    <w:rsid w:val="00BC2EE3"/>
    <w:rsid w:val="00BC3370"/>
    <w:rsid w:val="00BD00D4"/>
    <w:rsid w:val="00BD5AB5"/>
    <w:rsid w:val="00BE0469"/>
    <w:rsid w:val="00BE5283"/>
    <w:rsid w:val="00BE7A3E"/>
    <w:rsid w:val="00BF03E5"/>
    <w:rsid w:val="00BF2483"/>
    <w:rsid w:val="00C06450"/>
    <w:rsid w:val="00C06F58"/>
    <w:rsid w:val="00C07B0A"/>
    <w:rsid w:val="00C11032"/>
    <w:rsid w:val="00C11E4A"/>
    <w:rsid w:val="00C12A57"/>
    <w:rsid w:val="00C12EAA"/>
    <w:rsid w:val="00C139CB"/>
    <w:rsid w:val="00C169DA"/>
    <w:rsid w:val="00C16E1D"/>
    <w:rsid w:val="00C17406"/>
    <w:rsid w:val="00C2290A"/>
    <w:rsid w:val="00C37C0E"/>
    <w:rsid w:val="00C4148D"/>
    <w:rsid w:val="00C417C3"/>
    <w:rsid w:val="00C42FA3"/>
    <w:rsid w:val="00C46A23"/>
    <w:rsid w:val="00C53D35"/>
    <w:rsid w:val="00C5469C"/>
    <w:rsid w:val="00C56307"/>
    <w:rsid w:val="00C57790"/>
    <w:rsid w:val="00C637E1"/>
    <w:rsid w:val="00C67930"/>
    <w:rsid w:val="00C70FD3"/>
    <w:rsid w:val="00C71D67"/>
    <w:rsid w:val="00C72DAE"/>
    <w:rsid w:val="00C74315"/>
    <w:rsid w:val="00C8598C"/>
    <w:rsid w:val="00C87147"/>
    <w:rsid w:val="00C92090"/>
    <w:rsid w:val="00C9305C"/>
    <w:rsid w:val="00C93965"/>
    <w:rsid w:val="00C93A92"/>
    <w:rsid w:val="00CA4239"/>
    <w:rsid w:val="00CA78F8"/>
    <w:rsid w:val="00CA79F0"/>
    <w:rsid w:val="00CB5829"/>
    <w:rsid w:val="00CC33F2"/>
    <w:rsid w:val="00CC66A8"/>
    <w:rsid w:val="00CD21A1"/>
    <w:rsid w:val="00CD2424"/>
    <w:rsid w:val="00CD400E"/>
    <w:rsid w:val="00CD77C0"/>
    <w:rsid w:val="00CD7D3D"/>
    <w:rsid w:val="00CE3869"/>
    <w:rsid w:val="00CE5F04"/>
    <w:rsid w:val="00CF10B1"/>
    <w:rsid w:val="00CF18FB"/>
    <w:rsid w:val="00D00023"/>
    <w:rsid w:val="00D02EAF"/>
    <w:rsid w:val="00D06110"/>
    <w:rsid w:val="00D12901"/>
    <w:rsid w:val="00D12C36"/>
    <w:rsid w:val="00D1578E"/>
    <w:rsid w:val="00D16043"/>
    <w:rsid w:val="00D1612D"/>
    <w:rsid w:val="00D201C1"/>
    <w:rsid w:val="00D217C7"/>
    <w:rsid w:val="00D231F7"/>
    <w:rsid w:val="00D41EC5"/>
    <w:rsid w:val="00D44509"/>
    <w:rsid w:val="00D53812"/>
    <w:rsid w:val="00D62BB8"/>
    <w:rsid w:val="00D713A8"/>
    <w:rsid w:val="00D71ECA"/>
    <w:rsid w:val="00D750B5"/>
    <w:rsid w:val="00D76CA2"/>
    <w:rsid w:val="00D86908"/>
    <w:rsid w:val="00D8715A"/>
    <w:rsid w:val="00D90299"/>
    <w:rsid w:val="00D93261"/>
    <w:rsid w:val="00D95565"/>
    <w:rsid w:val="00DA1417"/>
    <w:rsid w:val="00DA1549"/>
    <w:rsid w:val="00DA3005"/>
    <w:rsid w:val="00DA52AC"/>
    <w:rsid w:val="00DA7071"/>
    <w:rsid w:val="00DB5565"/>
    <w:rsid w:val="00DC12A6"/>
    <w:rsid w:val="00DC1D79"/>
    <w:rsid w:val="00DC2D70"/>
    <w:rsid w:val="00DC406A"/>
    <w:rsid w:val="00DD1676"/>
    <w:rsid w:val="00DD574E"/>
    <w:rsid w:val="00DD5FB7"/>
    <w:rsid w:val="00DE4A11"/>
    <w:rsid w:val="00DE5723"/>
    <w:rsid w:val="00DF4678"/>
    <w:rsid w:val="00DF5FD2"/>
    <w:rsid w:val="00E03B83"/>
    <w:rsid w:val="00E05C78"/>
    <w:rsid w:val="00E06062"/>
    <w:rsid w:val="00E0721B"/>
    <w:rsid w:val="00E106E9"/>
    <w:rsid w:val="00E10D38"/>
    <w:rsid w:val="00E12F26"/>
    <w:rsid w:val="00E13661"/>
    <w:rsid w:val="00E13CD9"/>
    <w:rsid w:val="00E14A7B"/>
    <w:rsid w:val="00E26D50"/>
    <w:rsid w:val="00E26FE8"/>
    <w:rsid w:val="00E270B5"/>
    <w:rsid w:val="00E3046F"/>
    <w:rsid w:val="00E34880"/>
    <w:rsid w:val="00E357F4"/>
    <w:rsid w:val="00E359B7"/>
    <w:rsid w:val="00E415E6"/>
    <w:rsid w:val="00E42E97"/>
    <w:rsid w:val="00E43303"/>
    <w:rsid w:val="00E447A6"/>
    <w:rsid w:val="00E512D4"/>
    <w:rsid w:val="00E564DD"/>
    <w:rsid w:val="00E70DFF"/>
    <w:rsid w:val="00E7266A"/>
    <w:rsid w:val="00E7316D"/>
    <w:rsid w:val="00E74210"/>
    <w:rsid w:val="00E74A80"/>
    <w:rsid w:val="00E81688"/>
    <w:rsid w:val="00E879CC"/>
    <w:rsid w:val="00E916D4"/>
    <w:rsid w:val="00E9471F"/>
    <w:rsid w:val="00EA21EC"/>
    <w:rsid w:val="00EA268B"/>
    <w:rsid w:val="00EA524E"/>
    <w:rsid w:val="00EA7BC6"/>
    <w:rsid w:val="00EB1727"/>
    <w:rsid w:val="00EB59B4"/>
    <w:rsid w:val="00EC1BDA"/>
    <w:rsid w:val="00EC2026"/>
    <w:rsid w:val="00ED0ABD"/>
    <w:rsid w:val="00ED23E1"/>
    <w:rsid w:val="00ED2DED"/>
    <w:rsid w:val="00ED3150"/>
    <w:rsid w:val="00ED5BA5"/>
    <w:rsid w:val="00ED61EE"/>
    <w:rsid w:val="00EE27DD"/>
    <w:rsid w:val="00EF3910"/>
    <w:rsid w:val="00F030B7"/>
    <w:rsid w:val="00F069BD"/>
    <w:rsid w:val="00F11195"/>
    <w:rsid w:val="00F11D71"/>
    <w:rsid w:val="00F1361F"/>
    <w:rsid w:val="00F15A27"/>
    <w:rsid w:val="00F15FC8"/>
    <w:rsid w:val="00F173DD"/>
    <w:rsid w:val="00F17E53"/>
    <w:rsid w:val="00F22089"/>
    <w:rsid w:val="00F2688B"/>
    <w:rsid w:val="00F3034A"/>
    <w:rsid w:val="00F401CA"/>
    <w:rsid w:val="00F41643"/>
    <w:rsid w:val="00F43455"/>
    <w:rsid w:val="00F51DC0"/>
    <w:rsid w:val="00F52175"/>
    <w:rsid w:val="00F53E5A"/>
    <w:rsid w:val="00F5642D"/>
    <w:rsid w:val="00F64A66"/>
    <w:rsid w:val="00F65275"/>
    <w:rsid w:val="00F67064"/>
    <w:rsid w:val="00F734FA"/>
    <w:rsid w:val="00F7468B"/>
    <w:rsid w:val="00F873A1"/>
    <w:rsid w:val="00F922EA"/>
    <w:rsid w:val="00F9265B"/>
    <w:rsid w:val="00F92D2A"/>
    <w:rsid w:val="00F95614"/>
    <w:rsid w:val="00F9562F"/>
    <w:rsid w:val="00FA23FC"/>
    <w:rsid w:val="00FA342B"/>
    <w:rsid w:val="00FA5041"/>
    <w:rsid w:val="00FA7FF0"/>
    <w:rsid w:val="00FB78C4"/>
    <w:rsid w:val="00FC53B5"/>
    <w:rsid w:val="00FD0CED"/>
    <w:rsid w:val="00FD196F"/>
    <w:rsid w:val="00FD5540"/>
    <w:rsid w:val="00FD5918"/>
    <w:rsid w:val="00FE333A"/>
    <w:rsid w:val="00FE3E20"/>
    <w:rsid w:val="00FE3F83"/>
    <w:rsid w:val="00FE40E6"/>
    <w:rsid w:val="00FE584A"/>
    <w:rsid w:val="00FE5A66"/>
    <w:rsid w:val="00FF4534"/>
    <w:rsid w:val="019BB059"/>
    <w:rsid w:val="01F8BCED"/>
    <w:rsid w:val="03BC959F"/>
    <w:rsid w:val="03E82F5E"/>
    <w:rsid w:val="04276A6D"/>
    <w:rsid w:val="059C071E"/>
    <w:rsid w:val="05A6BEF6"/>
    <w:rsid w:val="05F72C3C"/>
    <w:rsid w:val="064158D1"/>
    <w:rsid w:val="0749B409"/>
    <w:rsid w:val="0B77B2AC"/>
    <w:rsid w:val="0E33CF2A"/>
    <w:rsid w:val="0F1219B6"/>
    <w:rsid w:val="102CE53A"/>
    <w:rsid w:val="108791A2"/>
    <w:rsid w:val="1286880E"/>
    <w:rsid w:val="13036735"/>
    <w:rsid w:val="14876164"/>
    <w:rsid w:val="14B73F83"/>
    <w:rsid w:val="14DF8E32"/>
    <w:rsid w:val="15B1C5E4"/>
    <w:rsid w:val="171E1154"/>
    <w:rsid w:val="176C37C1"/>
    <w:rsid w:val="18326FB3"/>
    <w:rsid w:val="18B65115"/>
    <w:rsid w:val="1BD21FC1"/>
    <w:rsid w:val="1C1968FD"/>
    <w:rsid w:val="1D972FE5"/>
    <w:rsid w:val="1E5CC162"/>
    <w:rsid w:val="20C2F5B5"/>
    <w:rsid w:val="22FA1988"/>
    <w:rsid w:val="2324C4BD"/>
    <w:rsid w:val="23462C9A"/>
    <w:rsid w:val="2495E9E9"/>
    <w:rsid w:val="255929F6"/>
    <w:rsid w:val="256E9AF6"/>
    <w:rsid w:val="25B31FE1"/>
    <w:rsid w:val="265C657F"/>
    <w:rsid w:val="2693F60C"/>
    <w:rsid w:val="26C4E466"/>
    <w:rsid w:val="270A6B57"/>
    <w:rsid w:val="27589A67"/>
    <w:rsid w:val="29702647"/>
    <w:rsid w:val="2B7168F5"/>
    <w:rsid w:val="2EC1B2C8"/>
    <w:rsid w:val="2FC8EED5"/>
    <w:rsid w:val="3103D305"/>
    <w:rsid w:val="31D44EB2"/>
    <w:rsid w:val="32376C46"/>
    <w:rsid w:val="334437C1"/>
    <w:rsid w:val="33AA9883"/>
    <w:rsid w:val="35144F31"/>
    <w:rsid w:val="3534EECB"/>
    <w:rsid w:val="35C32326"/>
    <w:rsid w:val="376AC07C"/>
    <w:rsid w:val="378137FA"/>
    <w:rsid w:val="37CB9EBB"/>
    <w:rsid w:val="37F31DA1"/>
    <w:rsid w:val="398F8ABD"/>
    <w:rsid w:val="3A3388AB"/>
    <w:rsid w:val="3A6FE0AD"/>
    <w:rsid w:val="3C08A1C3"/>
    <w:rsid w:val="3C2DD3CA"/>
    <w:rsid w:val="3DBC6563"/>
    <w:rsid w:val="405041FD"/>
    <w:rsid w:val="42213081"/>
    <w:rsid w:val="4315C1D1"/>
    <w:rsid w:val="437402A2"/>
    <w:rsid w:val="43BD00E2"/>
    <w:rsid w:val="43E41050"/>
    <w:rsid w:val="44E0CBDF"/>
    <w:rsid w:val="4558D143"/>
    <w:rsid w:val="45C60057"/>
    <w:rsid w:val="45D539D4"/>
    <w:rsid w:val="467C9C40"/>
    <w:rsid w:val="46C87903"/>
    <w:rsid w:val="47336859"/>
    <w:rsid w:val="47E89768"/>
    <w:rsid w:val="48029E43"/>
    <w:rsid w:val="48644964"/>
    <w:rsid w:val="48CF38BA"/>
    <w:rsid w:val="48E67C8D"/>
    <w:rsid w:val="48FDA119"/>
    <w:rsid w:val="4A30C904"/>
    <w:rsid w:val="4A42D5C9"/>
    <w:rsid w:val="4A99717A"/>
    <w:rsid w:val="4AC7110C"/>
    <w:rsid w:val="4B45CDF4"/>
    <w:rsid w:val="4B47FCA8"/>
    <w:rsid w:val="4B75C95C"/>
    <w:rsid w:val="4C229430"/>
    <w:rsid w:val="4C610A4E"/>
    <w:rsid w:val="4C633FF5"/>
    <w:rsid w:val="4D53E48C"/>
    <w:rsid w:val="4DEA904A"/>
    <w:rsid w:val="4F6F402F"/>
    <w:rsid w:val="513B4026"/>
    <w:rsid w:val="51D7CE1A"/>
    <w:rsid w:val="520E4C5D"/>
    <w:rsid w:val="52653C66"/>
    <w:rsid w:val="52E1A710"/>
    <w:rsid w:val="54636B7E"/>
    <w:rsid w:val="547D7771"/>
    <w:rsid w:val="552F9957"/>
    <w:rsid w:val="55F8ABBA"/>
    <w:rsid w:val="57933FE1"/>
    <w:rsid w:val="58362B07"/>
    <w:rsid w:val="58922D4F"/>
    <w:rsid w:val="5A88A657"/>
    <w:rsid w:val="5C11A230"/>
    <w:rsid w:val="5CFDA090"/>
    <w:rsid w:val="5D5175B9"/>
    <w:rsid w:val="5DC1D693"/>
    <w:rsid w:val="5ED3A708"/>
    <w:rsid w:val="5F5C8B8E"/>
    <w:rsid w:val="60896970"/>
    <w:rsid w:val="60B76311"/>
    <w:rsid w:val="60D9BC2B"/>
    <w:rsid w:val="615463E0"/>
    <w:rsid w:val="615EA52F"/>
    <w:rsid w:val="621D7391"/>
    <w:rsid w:val="622539D1"/>
    <w:rsid w:val="63C10A32"/>
    <w:rsid w:val="66F20421"/>
    <w:rsid w:val="67318476"/>
    <w:rsid w:val="679FB264"/>
    <w:rsid w:val="67B91D90"/>
    <w:rsid w:val="67C8652D"/>
    <w:rsid w:val="69464D68"/>
    <w:rsid w:val="694FFF65"/>
    <w:rsid w:val="698FB66F"/>
    <w:rsid w:val="69991EB4"/>
    <w:rsid w:val="69C0F193"/>
    <w:rsid w:val="69E07369"/>
    <w:rsid w:val="6B5CC1F4"/>
    <w:rsid w:val="6D064D36"/>
    <w:rsid w:val="6D1ADD47"/>
    <w:rsid w:val="6E1D608B"/>
    <w:rsid w:val="6F304AC0"/>
    <w:rsid w:val="6FA20BC9"/>
    <w:rsid w:val="6FAA58EC"/>
    <w:rsid w:val="70BF3E5F"/>
    <w:rsid w:val="7123790B"/>
    <w:rsid w:val="7137745C"/>
    <w:rsid w:val="722AE087"/>
    <w:rsid w:val="738AF72A"/>
    <w:rsid w:val="73EF5E43"/>
    <w:rsid w:val="74B1AC8B"/>
    <w:rsid w:val="74EE949A"/>
    <w:rsid w:val="75979FF4"/>
    <w:rsid w:val="7690A98D"/>
    <w:rsid w:val="77FC205A"/>
    <w:rsid w:val="78375007"/>
    <w:rsid w:val="792791BD"/>
    <w:rsid w:val="7A1474DA"/>
    <w:rsid w:val="7A47ED8B"/>
    <w:rsid w:val="7ADDB870"/>
    <w:rsid w:val="7B3BE863"/>
    <w:rsid w:val="7D63BC91"/>
    <w:rsid w:val="7F1022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2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2D110B"/>
    <w:pPr>
      <w:keepNext/>
      <w:tabs>
        <w:tab w:val="left" w:pos="-1440"/>
      </w:tabs>
      <w:spacing w:before="240" w:after="240"/>
      <w:ind w:left="360" w:hanging="360"/>
      <w:outlineLvl w:val="0"/>
    </w:pPr>
    <w:rPr>
      <w:b/>
      <w:bCs/>
      <w:sz w:val="24"/>
    </w:rPr>
  </w:style>
  <w:style w:type="paragraph" w:styleId="Heading2">
    <w:name w:val="heading 2"/>
    <w:basedOn w:val="Heading1"/>
    <w:next w:val="Normal"/>
    <w:qFormat/>
    <w:rsid w:val="002D110B"/>
    <w:pPr>
      <w:numPr>
        <w:numId w:val="19"/>
      </w:numPr>
      <w:ind w:left="360"/>
      <w:outlineLvl w:val="1"/>
    </w:pPr>
  </w:style>
  <w:style w:type="paragraph" w:styleId="Heading4">
    <w:name w:val="heading 4"/>
    <w:basedOn w:val="Normal"/>
    <w:next w:val="Normal"/>
    <w:link w:val="Heading4Char"/>
    <w:semiHidden/>
    <w:unhideWhenUsed/>
    <w:qFormat/>
    <w:rsid w:val="00112D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rsid w:val="00833035"/>
    <w:rPr>
      <w:sz w:val="16"/>
      <w:szCs w:val="16"/>
    </w:rPr>
  </w:style>
  <w:style w:type="paragraph" w:styleId="CommentText">
    <w:name w:val="annotation text"/>
    <w:basedOn w:val="Normal"/>
    <w:link w:val="CommentTextChar"/>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 w:type="paragraph" w:styleId="Caption">
    <w:name w:val="caption"/>
    <w:basedOn w:val="Normal"/>
    <w:next w:val="Normal"/>
    <w:unhideWhenUsed/>
    <w:qFormat/>
    <w:rsid w:val="00AC546F"/>
    <w:pPr>
      <w:spacing w:after="200"/>
    </w:pPr>
    <w:rPr>
      <w:i/>
      <w:iCs/>
      <w:color w:val="1F497D" w:themeColor="text2"/>
      <w:sz w:val="18"/>
      <w:szCs w:val="18"/>
    </w:rPr>
  </w:style>
  <w:style w:type="paragraph" w:styleId="Revision">
    <w:name w:val="Revision"/>
    <w:hidden/>
    <w:uiPriority w:val="99"/>
    <w:semiHidden/>
    <w:rsid w:val="002F7F7D"/>
    <w:rPr>
      <w:szCs w:val="24"/>
    </w:rPr>
  </w:style>
  <w:style w:type="paragraph" w:styleId="ListParagraph">
    <w:name w:val="List Paragraph"/>
    <w:basedOn w:val="Normal"/>
    <w:uiPriority w:val="34"/>
    <w:qFormat/>
    <w:rsid w:val="00FA342B"/>
    <w:pPr>
      <w:ind w:left="720"/>
      <w:contextualSpacing/>
    </w:pPr>
  </w:style>
  <w:style w:type="character" w:customStyle="1" w:styleId="Heading4Char">
    <w:name w:val="Heading 4 Char"/>
    <w:basedOn w:val="DefaultParagraphFont"/>
    <w:link w:val="Heading4"/>
    <w:semiHidden/>
    <w:rsid w:val="00112D7E"/>
    <w:rPr>
      <w:rFonts w:asciiTheme="majorHAnsi" w:eastAsiaTheme="majorEastAsia" w:hAnsiTheme="majorHAnsi" w:cstheme="majorBidi"/>
      <w:i/>
      <w:iCs/>
      <w:color w:val="365F91" w:themeColor="accent1" w:themeShade="BF"/>
      <w:szCs w:val="24"/>
    </w:rPr>
  </w:style>
  <w:style w:type="paragraph" w:styleId="Subtitle">
    <w:name w:val="Subtitle"/>
    <w:basedOn w:val="Normal"/>
    <w:link w:val="SubtitleChar"/>
    <w:qFormat/>
    <w:rsid w:val="002D110B"/>
    <w:rPr>
      <w:b/>
      <w:bCs/>
      <w:sz w:val="24"/>
    </w:rPr>
  </w:style>
  <w:style w:type="character" w:customStyle="1" w:styleId="SubtitleChar">
    <w:name w:val="Subtitle Char"/>
    <w:basedOn w:val="DefaultParagraphFont"/>
    <w:link w:val="Subtitle"/>
    <w:rsid w:val="002D110B"/>
    <w:rPr>
      <w:b/>
      <w:bCs/>
      <w:sz w:val="24"/>
      <w:szCs w:val="24"/>
    </w:rPr>
  </w:style>
  <w:style w:type="character" w:customStyle="1" w:styleId="UnresolvedMention1">
    <w:name w:val="Unresolved Mention1"/>
    <w:basedOn w:val="DefaultParagraphFont"/>
    <w:uiPriority w:val="99"/>
    <w:semiHidden/>
    <w:unhideWhenUsed/>
    <w:rsid w:val="008227FB"/>
    <w:rPr>
      <w:color w:val="605E5C"/>
      <w:shd w:val="clear" w:color="auto" w:fill="E1DFDD"/>
    </w:rPr>
  </w:style>
  <w:style w:type="paragraph" w:styleId="BodyTextIndent">
    <w:name w:val="Body Text Indent"/>
    <w:basedOn w:val="Normal"/>
    <w:link w:val="BodyTextIndentChar"/>
    <w:semiHidden/>
    <w:unhideWhenUsed/>
    <w:rsid w:val="008B2689"/>
    <w:pPr>
      <w:spacing w:after="120"/>
      <w:ind w:left="360"/>
    </w:pPr>
  </w:style>
  <w:style w:type="character" w:customStyle="1" w:styleId="BodyTextIndentChar">
    <w:name w:val="Body Text Indent Char"/>
    <w:basedOn w:val="DefaultParagraphFont"/>
    <w:link w:val="BodyTextIndent"/>
    <w:semiHidden/>
    <w:rsid w:val="008B2689"/>
    <w:rPr>
      <w:szCs w:val="24"/>
    </w:rPr>
  </w:style>
  <w:style w:type="character" w:styleId="UnresolvedMention">
    <w:name w:val="Unresolved Mention"/>
    <w:basedOn w:val="DefaultParagraphFont"/>
    <w:uiPriority w:val="99"/>
    <w:semiHidden/>
    <w:unhideWhenUsed/>
    <w:rsid w:val="006462A6"/>
    <w:rPr>
      <w:color w:val="605E5C"/>
      <w:shd w:val="clear" w:color="auto" w:fill="E1DFDD"/>
    </w:rPr>
  </w:style>
  <w:style w:type="paragraph" w:customStyle="1" w:styleId="TableSource6ptabove">
    <w:name w:val="Table Source +6 pt above"/>
    <w:basedOn w:val="Normal"/>
    <w:qFormat/>
    <w:rsid w:val="007B4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18"/>
      <w:szCs w:val="22"/>
    </w:rPr>
  </w:style>
  <w:style w:type="character" w:customStyle="1" w:styleId="CommentTextChar">
    <w:name w:val="Comment Text Char"/>
    <w:link w:val="CommentText"/>
    <w:rsid w:val="0058620E"/>
  </w:style>
  <w:style w:type="character" w:styleId="FollowedHyperlink">
    <w:name w:val="FollowedHyperlink"/>
    <w:basedOn w:val="DefaultParagraphFont"/>
    <w:semiHidden/>
    <w:unhideWhenUsed/>
    <w:rsid w:val="006158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4000.htm" TargetMode="External" /><Relationship Id="rId2" Type="http://schemas.openxmlformats.org/officeDocument/2006/relationships/hyperlink" Target="https://www.opm.gov/policy-data-oversight/pay-leave/salaries-wages/salary-tables/pdf/2024/DCB%20(LEO)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E6F5-7413-4CD3-9107-D8F54604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2024-10-24T16:17:00Z</dcterms:created>
  <dcterms:modified xsi:type="dcterms:W3CDTF">2024-10-24T16:17:00Z</dcterms:modified>
</cp:coreProperties>
</file>