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5CC8" w:rsidRPr="0004113A" w:rsidP="00815CC8" w14:paraId="2E07006C" w14:textId="77777777">
      <w:pPr>
        <w:pStyle w:val="Title"/>
        <w:rPr>
          <w:rFonts w:ascii="Times New Roman" w:hAnsi="Times New Roman"/>
          <w:sz w:val="28"/>
          <w:szCs w:val="28"/>
          <w:u w:val="none"/>
        </w:rPr>
      </w:pPr>
      <w:r w:rsidRPr="0004113A">
        <w:rPr>
          <w:rFonts w:ascii="Times New Roman" w:hAnsi="Times New Roman"/>
          <w:sz w:val="28"/>
          <w:szCs w:val="28"/>
          <w:u w:val="none"/>
        </w:rPr>
        <w:t>Department of Transportation</w:t>
      </w:r>
    </w:p>
    <w:p w:rsidR="00815CC8" w:rsidRPr="0004113A" w:rsidP="00815CC8" w14:paraId="5DA80D31" w14:textId="77777777">
      <w:pPr>
        <w:pStyle w:val="Title"/>
        <w:outlineLvl w:val="0"/>
        <w:rPr>
          <w:rFonts w:ascii="Times New Roman" w:hAnsi="Times New Roman"/>
          <w:b w:val="0"/>
          <w:sz w:val="28"/>
          <w:szCs w:val="28"/>
        </w:rPr>
      </w:pPr>
      <w:r w:rsidRPr="0004113A">
        <w:rPr>
          <w:rFonts w:ascii="Times New Roman" w:hAnsi="Times New Roman"/>
          <w:sz w:val="28"/>
          <w:szCs w:val="28"/>
          <w:u w:val="none"/>
        </w:rPr>
        <w:t>Federal Motor Carrier Safety Administration</w:t>
      </w:r>
    </w:p>
    <w:p w:rsidR="00815CC8" w:rsidRPr="003257A6" w:rsidP="00815CC8" w14:paraId="130F0877" w14:textId="77777777">
      <w:pPr>
        <w:pStyle w:val="Title"/>
        <w:rPr>
          <w:rFonts w:ascii="Times New Roman" w:hAnsi="Times New Roman"/>
          <w:b w:val="0"/>
        </w:rPr>
      </w:pPr>
    </w:p>
    <w:p w:rsidR="00815CC8" w:rsidRPr="00644586" w:rsidP="00815CC8" w14:paraId="42C473C7" w14:textId="77777777">
      <w:pPr>
        <w:pStyle w:val="Title"/>
        <w:outlineLvl w:val="0"/>
        <w:rPr>
          <w:rFonts w:ascii="Times New Roman" w:hAnsi="Times New Roman"/>
        </w:rPr>
      </w:pPr>
      <w:r w:rsidRPr="00644586">
        <w:rPr>
          <w:rFonts w:ascii="Times New Roman" w:hAnsi="Times New Roman"/>
        </w:rPr>
        <w:t>SUPPORTING STATEMENT</w:t>
      </w:r>
    </w:p>
    <w:p w:rsidR="00815CC8" w:rsidP="00815CC8" w14:paraId="059A7C21" w14:textId="50BF2A8F">
      <w:pPr>
        <w:jc w:val="center"/>
        <w:outlineLvl w:val="0"/>
        <w:rPr>
          <w:rFonts w:ascii="Times New Roman" w:hAnsi="Times New Roman"/>
          <w:b/>
          <w:sz w:val="24"/>
          <w:szCs w:val="24"/>
        </w:rPr>
      </w:pPr>
      <w:r w:rsidRPr="00D713CF">
        <w:rPr>
          <w:rFonts w:ascii="Times New Roman" w:hAnsi="Times New Roman"/>
          <w:b/>
          <w:sz w:val="24"/>
          <w:szCs w:val="24"/>
        </w:rPr>
        <w:t xml:space="preserve">Annual Report of Class I and Class II For-Hire Motor Carriers </w:t>
      </w:r>
    </w:p>
    <w:p w:rsidR="0004113A" w:rsidRPr="00D713CF" w:rsidP="00815CC8" w14:paraId="50D090FB" w14:textId="2070FA1B">
      <w:pPr>
        <w:jc w:val="center"/>
        <w:outlineLvl w:val="0"/>
        <w:rPr>
          <w:rFonts w:ascii="Times New Roman" w:hAnsi="Times New Roman"/>
          <w:b/>
          <w:sz w:val="24"/>
          <w:szCs w:val="24"/>
        </w:rPr>
      </w:pPr>
      <w:r>
        <w:rPr>
          <w:rFonts w:ascii="Times New Roman" w:hAnsi="Times New Roman"/>
          <w:b/>
          <w:sz w:val="24"/>
          <w:szCs w:val="24"/>
        </w:rPr>
        <w:t>2126-0032</w:t>
      </w:r>
    </w:p>
    <w:p w:rsidR="00815CC8" w:rsidP="00815CC8" w14:paraId="0478AF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bCs/>
        </w:rPr>
      </w:pPr>
    </w:p>
    <w:p w:rsidR="00815CC8" w:rsidRPr="00EB4EC8" w:rsidP="00815CC8" w14:paraId="24EFA399" w14:textId="77777777">
      <w:pPr>
        <w:rPr>
          <w:rFonts w:ascii="Times New Roman" w:hAnsi="Times New Roman"/>
          <w:bCs/>
        </w:rPr>
      </w:pPr>
    </w:p>
    <w:p w:rsidR="0069054B" w:rsidRPr="00FA2D8E" w:rsidP="0069054B" w14:paraId="3FB2F975" w14:textId="77777777">
      <w:pPr>
        <w:rPr>
          <w:rFonts w:ascii="Times New Roman" w:hAnsi="Times New Roman"/>
          <w:b/>
          <w:sz w:val="24"/>
          <w:szCs w:val="24"/>
          <w:u w:val="single"/>
        </w:rPr>
      </w:pPr>
      <w:r w:rsidRPr="00FA2D8E">
        <w:rPr>
          <w:rFonts w:ascii="Times New Roman" w:hAnsi="Times New Roman"/>
          <w:b/>
          <w:sz w:val="24"/>
          <w:szCs w:val="24"/>
          <w:u w:val="single"/>
        </w:rPr>
        <w:t>SUMMARY</w:t>
      </w:r>
    </w:p>
    <w:p w:rsidR="0069054B" w:rsidRPr="00FA2D8E" w:rsidP="00DE7625" w14:paraId="658E2B2E" w14:textId="58E0C321">
      <w:pPr>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 w:val="24"/>
          <w:szCs w:val="24"/>
        </w:rPr>
      </w:pPr>
      <w:r w:rsidRPr="00FA2D8E">
        <w:rPr>
          <w:rFonts w:ascii="Times New Roman" w:hAnsi="Times New Roman"/>
          <w:sz w:val="24"/>
          <w:szCs w:val="24"/>
        </w:rPr>
        <w:t xml:space="preserve">This information collection is 306 hours.  FMCSA estimates that the annual burden hour for this information collection has decreased by approximately </w:t>
      </w:r>
      <w:r w:rsidRPr="00FA2D8E" w:rsidR="00FA2D8E">
        <w:rPr>
          <w:rFonts w:ascii="Times New Roman" w:hAnsi="Times New Roman"/>
          <w:sz w:val="24"/>
          <w:szCs w:val="24"/>
        </w:rPr>
        <w:t>81</w:t>
      </w:r>
      <w:r w:rsidRPr="00FA2D8E">
        <w:rPr>
          <w:rFonts w:ascii="Times New Roman" w:hAnsi="Times New Roman"/>
          <w:sz w:val="24"/>
          <w:szCs w:val="24"/>
        </w:rPr>
        <w:t xml:space="preserve"> hours (306 hours for Form M and − 0 hour for Form MP-1) from the previously approved 38</w:t>
      </w:r>
      <w:r w:rsidRPr="00FA2D8E" w:rsidR="00FA2D8E">
        <w:rPr>
          <w:rFonts w:ascii="Times New Roman" w:hAnsi="Times New Roman"/>
          <w:sz w:val="24"/>
          <w:szCs w:val="24"/>
        </w:rPr>
        <w:t>7</w:t>
      </w:r>
      <w:r w:rsidRPr="00FA2D8E">
        <w:rPr>
          <w:rFonts w:ascii="Times New Roman" w:hAnsi="Times New Roman"/>
          <w:sz w:val="24"/>
          <w:szCs w:val="24"/>
        </w:rPr>
        <w:t xml:space="preserve"> hours.</w:t>
      </w:r>
    </w:p>
    <w:p w:rsidR="0004113A" w:rsidRPr="00FA2D8E" w:rsidP="0004113A" w14:paraId="0BDF93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Times New Roman" w:hAnsi="Times New Roman"/>
          <w:sz w:val="24"/>
          <w:szCs w:val="24"/>
        </w:rPr>
      </w:pPr>
    </w:p>
    <w:p w:rsidR="0004113A" w:rsidRPr="00FA2D8E" w:rsidP="0004113A" w14:paraId="5BD92280" w14:textId="17BF5051">
      <w:pPr>
        <w:pStyle w:val="ListParagraph"/>
        <w:numPr>
          <w:ilvl w:val="0"/>
          <w:numId w:val="44"/>
        </w:numPr>
        <w:rPr>
          <w:rFonts w:ascii="Times New Roman" w:hAnsi="Times New Roman"/>
          <w:sz w:val="24"/>
          <w:szCs w:val="24"/>
        </w:rPr>
      </w:pPr>
      <w:r w:rsidRPr="00FA2D8E">
        <w:rPr>
          <w:rFonts w:ascii="Times New Roman" w:hAnsi="Times New Roman"/>
          <w:sz w:val="24"/>
          <w:szCs w:val="24"/>
        </w:rPr>
        <w:t>This is due to decreased numbers of Form M and Form MP-1 submissions received by the Agency between 2018 and 2020, which has resulted in lower estimates of annual respondents/responses for the upcoming information collection period. Estimated respondents d</w:t>
      </w:r>
      <w:r w:rsidRPr="00FA2D8E">
        <w:rPr>
          <w:rFonts w:ascii="Times New Roman" w:hAnsi="Times New Roman"/>
          <w:sz w:val="24"/>
          <w:szCs w:val="24"/>
        </w:rPr>
        <w:t xml:space="preserve">ecreased from 43 in the previously approved ICR (43 for Form M and 0 for Form MP-1) to 34 [34 (Form M) + 0 (Form MP-1)]. </w:t>
      </w:r>
    </w:p>
    <w:p w:rsidR="003660A0" w:rsidRPr="00FA2D8E" w:rsidP="003660A0" w14:paraId="39301BB5" w14:textId="77777777">
      <w:pPr>
        <w:pStyle w:val="ListParagraph"/>
        <w:rPr>
          <w:rFonts w:ascii="Times New Roman" w:hAnsi="Times New Roman"/>
          <w:sz w:val="24"/>
          <w:szCs w:val="24"/>
        </w:rPr>
      </w:pPr>
    </w:p>
    <w:p w:rsidR="003664A3" w:rsidRPr="00FA2D8E" w:rsidP="003664A3" w14:paraId="1AD86981" w14:textId="48E2A02A">
      <w:pPr>
        <w:pStyle w:val="ListParagraph"/>
        <w:numPr>
          <w:ilvl w:val="0"/>
          <w:numId w:val="44"/>
        </w:numPr>
        <w:rPr>
          <w:rFonts w:ascii="Times New Roman" w:hAnsi="Times New Roman"/>
          <w:sz w:val="24"/>
          <w:szCs w:val="24"/>
        </w:rPr>
      </w:pPr>
      <w:r w:rsidRPr="00FA2D8E">
        <w:rPr>
          <w:rFonts w:ascii="Times New Roman" w:hAnsi="Times New Roman"/>
          <w:sz w:val="24"/>
          <w:szCs w:val="24"/>
        </w:rPr>
        <w:t xml:space="preserve">The Form M was revised as follows: </w:t>
      </w:r>
    </w:p>
    <w:p w:rsidR="003664A3" w:rsidRPr="00FA2D8E" w:rsidP="00FA2D8E" w14:paraId="4B885481" w14:textId="5056EDD2">
      <w:pPr>
        <w:ind w:left="810" w:hanging="90"/>
        <w:rPr>
          <w:rFonts w:ascii="Times New Roman" w:hAnsi="Times New Roman"/>
          <w:sz w:val="24"/>
          <w:szCs w:val="24"/>
        </w:rPr>
      </w:pPr>
      <w:r w:rsidRPr="00FA2D8E">
        <w:rPr>
          <w:rFonts w:ascii="Times New Roman" w:hAnsi="Times New Roman"/>
          <w:sz w:val="24"/>
          <w:szCs w:val="24"/>
        </w:rPr>
        <w:t>-</w:t>
      </w:r>
      <w:r>
        <w:rPr>
          <w:rFonts w:ascii="Times New Roman" w:hAnsi="Times New Roman"/>
          <w:sz w:val="24"/>
          <w:szCs w:val="24"/>
        </w:rPr>
        <w:t xml:space="preserve">  </w:t>
      </w:r>
      <w:r w:rsidRPr="00FA2D8E" w:rsidR="003660A0">
        <w:rPr>
          <w:rFonts w:ascii="Times New Roman" w:hAnsi="Times New Roman"/>
          <w:sz w:val="24"/>
          <w:szCs w:val="24"/>
        </w:rPr>
        <w:t>Section 3,</w:t>
      </w:r>
      <w:r w:rsidRPr="00FA2D8E">
        <w:rPr>
          <w:rFonts w:ascii="Times New Roman" w:hAnsi="Times New Roman"/>
          <w:sz w:val="24"/>
          <w:szCs w:val="24"/>
        </w:rPr>
        <w:t xml:space="preserve"> Schedule 300</w:t>
      </w:r>
      <w:r w:rsidRPr="00FA2D8E" w:rsidR="001161C2">
        <w:rPr>
          <w:rFonts w:ascii="Times New Roman" w:hAnsi="Times New Roman"/>
          <w:sz w:val="24"/>
          <w:szCs w:val="24"/>
        </w:rPr>
        <w:t xml:space="preserve"> </w:t>
      </w:r>
      <w:r w:rsidRPr="00FA2D8E">
        <w:rPr>
          <w:rFonts w:ascii="Times New Roman" w:hAnsi="Times New Roman"/>
          <w:sz w:val="24"/>
          <w:szCs w:val="24"/>
        </w:rPr>
        <w:t>-</w:t>
      </w:r>
      <w:r w:rsidRPr="00FA2D8E" w:rsidR="001161C2">
        <w:rPr>
          <w:rFonts w:ascii="Times New Roman" w:hAnsi="Times New Roman"/>
          <w:sz w:val="24"/>
          <w:szCs w:val="24"/>
        </w:rPr>
        <w:t xml:space="preserve"> </w:t>
      </w:r>
      <w:r w:rsidRPr="00FA2D8E">
        <w:rPr>
          <w:rFonts w:ascii="Times New Roman" w:hAnsi="Times New Roman"/>
          <w:sz w:val="24"/>
          <w:szCs w:val="24"/>
        </w:rPr>
        <w:t>Operating Statistics,</w:t>
      </w:r>
      <w:r w:rsidRPr="00FA2D8E" w:rsidR="003660A0">
        <w:rPr>
          <w:rFonts w:ascii="Times New Roman" w:hAnsi="Times New Roman"/>
          <w:sz w:val="24"/>
          <w:szCs w:val="24"/>
        </w:rPr>
        <w:t xml:space="preserve"> </w:t>
      </w:r>
      <w:r w:rsidRPr="00FA2D8E" w:rsidR="001161C2">
        <w:rPr>
          <w:rFonts w:ascii="Times New Roman" w:hAnsi="Times New Roman"/>
          <w:sz w:val="24"/>
          <w:szCs w:val="24"/>
        </w:rPr>
        <w:t xml:space="preserve">found on </w:t>
      </w:r>
      <w:r w:rsidRPr="00FA2D8E" w:rsidR="003660A0">
        <w:rPr>
          <w:rFonts w:ascii="Times New Roman" w:hAnsi="Times New Roman"/>
          <w:sz w:val="24"/>
          <w:szCs w:val="24"/>
        </w:rPr>
        <w:t>page V in the instructions</w:t>
      </w:r>
      <w:r w:rsidRPr="00FA2D8E" w:rsidR="001161C2">
        <w:rPr>
          <w:rFonts w:ascii="Times New Roman" w:hAnsi="Times New Roman"/>
          <w:sz w:val="24"/>
          <w:szCs w:val="24"/>
        </w:rPr>
        <w:t xml:space="preserve"> </w:t>
      </w:r>
      <w:r w:rsidRPr="00FA2D8E" w:rsidR="003660A0">
        <w:rPr>
          <w:rFonts w:ascii="Times New Roman" w:hAnsi="Times New Roman"/>
          <w:sz w:val="24"/>
          <w:szCs w:val="24"/>
        </w:rPr>
        <w:t xml:space="preserve">and </w:t>
      </w:r>
      <w:r w:rsidRPr="00FA2D8E" w:rsidR="001161C2">
        <w:rPr>
          <w:rFonts w:ascii="Times New Roman" w:hAnsi="Times New Roman"/>
          <w:sz w:val="24"/>
          <w:szCs w:val="24"/>
        </w:rPr>
        <w:t xml:space="preserve">on page </w:t>
      </w:r>
      <w:r w:rsidRPr="00FA2D8E" w:rsidR="003660A0">
        <w:rPr>
          <w:rFonts w:ascii="Times New Roman" w:hAnsi="Times New Roman"/>
          <w:sz w:val="24"/>
          <w:szCs w:val="24"/>
        </w:rPr>
        <w:t xml:space="preserve">7 </w:t>
      </w:r>
      <w:r w:rsidRPr="00FA2D8E" w:rsidR="001161C2">
        <w:rPr>
          <w:rFonts w:ascii="Times New Roman" w:hAnsi="Times New Roman"/>
          <w:sz w:val="24"/>
          <w:szCs w:val="24"/>
        </w:rPr>
        <w:t>on</w:t>
      </w:r>
      <w:r w:rsidRPr="00FA2D8E" w:rsidR="003660A0">
        <w:rPr>
          <w:rFonts w:ascii="Times New Roman" w:hAnsi="Times New Roman"/>
          <w:sz w:val="24"/>
          <w:szCs w:val="24"/>
        </w:rPr>
        <w:t xml:space="preserve"> the </w:t>
      </w:r>
      <w:r w:rsidRPr="00FA2D8E" w:rsidR="001161C2">
        <w:rPr>
          <w:rFonts w:ascii="Times New Roman" w:hAnsi="Times New Roman"/>
          <w:sz w:val="24"/>
          <w:szCs w:val="24"/>
        </w:rPr>
        <w:t xml:space="preserve">previously approved </w:t>
      </w:r>
      <w:r w:rsidRPr="00FA2D8E" w:rsidR="003660A0">
        <w:rPr>
          <w:rFonts w:ascii="Times New Roman" w:hAnsi="Times New Roman"/>
          <w:sz w:val="24"/>
          <w:szCs w:val="24"/>
        </w:rPr>
        <w:t>form</w:t>
      </w:r>
      <w:r w:rsidRPr="00FA2D8E" w:rsidR="001161C2">
        <w:rPr>
          <w:rFonts w:ascii="Times New Roman" w:hAnsi="Times New Roman"/>
          <w:sz w:val="24"/>
          <w:szCs w:val="24"/>
        </w:rPr>
        <w:t>, was removed from the form.</w:t>
      </w:r>
    </w:p>
    <w:p w:rsidR="003664A3" w:rsidRPr="00FA2D8E" w:rsidP="00FA2D8E" w14:paraId="13074374" w14:textId="256DA1AF">
      <w:pPr>
        <w:ind w:left="810" w:hanging="90"/>
        <w:rPr>
          <w:rFonts w:ascii="Times New Roman" w:hAnsi="Times New Roman"/>
          <w:sz w:val="24"/>
          <w:szCs w:val="24"/>
        </w:rPr>
      </w:pPr>
      <w:r w:rsidRPr="00FA2D8E">
        <w:rPr>
          <w:rFonts w:ascii="Times New Roman" w:hAnsi="Times New Roman"/>
          <w:sz w:val="24"/>
          <w:szCs w:val="24"/>
        </w:rPr>
        <w:t>-</w:t>
      </w:r>
      <w:r>
        <w:rPr>
          <w:rFonts w:ascii="Times New Roman" w:hAnsi="Times New Roman"/>
          <w:sz w:val="24"/>
          <w:szCs w:val="24"/>
        </w:rPr>
        <w:t xml:space="preserve">  </w:t>
      </w:r>
      <w:r w:rsidRPr="00FA2D8E">
        <w:rPr>
          <w:rFonts w:ascii="Times New Roman" w:hAnsi="Times New Roman"/>
          <w:sz w:val="24"/>
          <w:szCs w:val="24"/>
        </w:rPr>
        <w:t xml:space="preserve">Section </w:t>
      </w:r>
      <w:r w:rsidRPr="00FA2D8E" w:rsidR="003660A0">
        <w:rPr>
          <w:rFonts w:ascii="Times New Roman" w:hAnsi="Times New Roman"/>
          <w:sz w:val="24"/>
          <w:szCs w:val="24"/>
        </w:rPr>
        <w:t>4</w:t>
      </w:r>
      <w:r w:rsidRPr="00FA2D8E" w:rsidR="001161C2">
        <w:rPr>
          <w:rFonts w:ascii="Times New Roman" w:hAnsi="Times New Roman"/>
          <w:sz w:val="24"/>
          <w:szCs w:val="24"/>
        </w:rPr>
        <w:t>, Schedule 400 – Revenue Equipment, found on</w:t>
      </w:r>
      <w:r w:rsidRPr="00FA2D8E" w:rsidR="003660A0">
        <w:rPr>
          <w:rFonts w:ascii="Times New Roman" w:hAnsi="Times New Roman"/>
          <w:sz w:val="24"/>
          <w:szCs w:val="24"/>
        </w:rPr>
        <w:t xml:space="preserve"> page V in the instructions and </w:t>
      </w:r>
      <w:r w:rsidRPr="00FA2D8E" w:rsidR="001161C2">
        <w:rPr>
          <w:rFonts w:ascii="Times New Roman" w:hAnsi="Times New Roman"/>
          <w:sz w:val="24"/>
          <w:szCs w:val="24"/>
        </w:rPr>
        <w:t xml:space="preserve">on page </w:t>
      </w:r>
      <w:r w:rsidRPr="00FA2D8E" w:rsidR="003660A0">
        <w:rPr>
          <w:rFonts w:ascii="Times New Roman" w:hAnsi="Times New Roman"/>
          <w:sz w:val="24"/>
          <w:szCs w:val="24"/>
        </w:rPr>
        <w:t xml:space="preserve">8 </w:t>
      </w:r>
      <w:r w:rsidRPr="00FA2D8E" w:rsidR="001161C2">
        <w:rPr>
          <w:rFonts w:ascii="Times New Roman" w:hAnsi="Times New Roman"/>
          <w:sz w:val="24"/>
          <w:szCs w:val="24"/>
        </w:rPr>
        <w:t>on the previously approved form, was removed from the form.</w:t>
      </w:r>
    </w:p>
    <w:p w:rsidR="003664A3" w:rsidRPr="00FA2D8E" w:rsidP="00FA2D8E" w14:paraId="14B37C1F" w14:textId="34BDFEF3">
      <w:pPr>
        <w:ind w:left="810" w:hanging="90"/>
        <w:rPr>
          <w:rFonts w:ascii="Times New Roman" w:hAnsi="Times New Roman"/>
          <w:sz w:val="24"/>
          <w:szCs w:val="24"/>
        </w:rPr>
      </w:pPr>
      <w:r w:rsidRPr="00FA2D8E">
        <w:rPr>
          <w:rFonts w:ascii="Times New Roman" w:hAnsi="Times New Roman"/>
          <w:sz w:val="24"/>
          <w:szCs w:val="24"/>
        </w:rPr>
        <w:t>-</w:t>
      </w:r>
      <w:r>
        <w:rPr>
          <w:rFonts w:ascii="Times New Roman" w:hAnsi="Times New Roman"/>
          <w:sz w:val="24"/>
          <w:szCs w:val="24"/>
        </w:rPr>
        <w:t xml:space="preserve">  </w:t>
      </w:r>
      <w:r w:rsidRPr="00FA2D8E">
        <w:rPr>
          <w:rFonts w:ascii="Times New Roman" w:hAnsi="Times New Roman"/>
          <w:sz w:val="24"/>
          <w:szCs w:val="24"/>
        </w:rPr>
        <w:t xml:space="preserve">Section </w:t>
      </w:r>
      <w:r w:rsidRPr="00FA2D8E" w:rsidR="003660A0">
        <w:rPr>
          <w:rFonts w:ascii="Times New Roman" w:hAnsi="Times New Roman"/>
          <w:sz w:val="24"/>
          <w:szCs w:val="24"/>
        </w:rPr>
        <w:t>5</w:t>
      </w:r>
      <w:r w:rsidRPr="00FA2D8E" w:rsidR="001161C2">
        <w:rPr>
          <w:rFonts w:ascii="Times New Roman" w:hAnsi="Times New Roman"/>
          <w:sz w:val="24"/>
          <w:szCs w:val="24"/>
        </w:rPr>
        <w:t>, Schedule 500 – Employment Information, found on</w:t>
      </w:r>
      <w:r w:rsidRPr="00FA2D8E" w:rsidR="003660A0">
        <w:rPr>
          <w:rFonts w:ascii="Times New Roman" w:hAnsi="Times New Roman"/>
          <w:sz w:val="24"/>
          <w:szCs w:val="24"/>
        </w:rPr>
        <w:t xml:space="preserve"> page VI </w:t>
      </w:r>
      <w:r w:rsidRPr="00FA2D8E" w:rsidR="001161C2">
        <w:rPr>
          <w:rFonts w:ascii="Times New Roman" w:hAnsi="Times New Roman"/>
          <w:sz w:val="24"/>
          <w:szCs w:val="24"/>
        </w:rPr>
        <w:t>in</w:t>
      </w:r>
      <w:r w:rsidRPr="00FA2D8E" w:rsidR="003660A0">
        <w:rPr>
          <w:rFonts w:ascii="Times New Roman" w:hAnsi="Times New Roman"/>
          <w:sz w:val="24"/>
          <w:szCs w:val="24"/>
        </w:rPr>
        <w:t xml:space="preserve"> the instructions and </w:t>
      </w:r>
      <w:r w:rsidRPr="00FA2D8E" w:rsidR="001161C2">
        <w:rPr>
          <w:rFonts w:ascii="Times New Roman" w:hAnsi="Times New Roman"/>
          <w:sz w:val="24"/>
          <w:szCs w:val="24"/>
        </w:rPr>
        <w:t xml:space="preserve">on page </w:t>
      </w:r>
      <w:r w:rsidRPr="00FA2D8E" w:rsidR="003660A0">
        <w:rPr>
          <w:rFonts w:ascii="Times New Roman" w:hAnsi="Times New Roman"/>
          <w:sz w:val="24"/>
          <w:szCs w:val="24"/>
        </w:rPr>
        <w:t>9 of the form</w:t>
      </w:r>
      <w:r w:rsidRPr="00FA2D8E" w:rsidR="001161C2">
        <w:rPr>
          <w:rFonts w:ascii="Times New Roman" w:hAnsi="Times New Roman"/>
          <w:sz w:val="24"/>
          <w:szCs w:val="24"/>
        </w:rPr>
        <w:t>,</w:t>
      </w:r>
      <w:r w:rsidRPr="00FA2D8E" w:rsidR="003660A0">
        <w:rPr>
          <w:rFonts w:ascii="Times New Roman" w:hAnsi="Times New Roman"/>
          <w:sz w:val="24"/>
          <w:szCs w:val="24"/>
        </w:rPr>
        <w:t xml:space="preserve"> </w:t>
      </w:r>
      <w:r w:rsidRPr="00FA2D8E" w:rsidR="001161C2">
        <w:rPr>
          <w:rFonts w:ascii="Times New Roman" w:hAnsi="Times New Roman"/>
          <w:sz w:val="24"/>
          <w:szCs w:val="24"/>
        </w:rPr>
        <w:t>on the previously approved form, was removed from the form.</w:t>
      </w:r>
    </w:p>
    <w:p w:rsidR="003660A0" w:rsidP="00FA2D8E" w14:paraId="2178FA89" w14:textId="05CECA7A">
      <w:pPr>
        <w:ind w:left="810" w:hanging="90"/>
        <w:rPr>
          <w:rFonts w:ascii="Times New Roman" w:hAnsi="Times New Roman"/>
          <w:sz w:val="24"/>
          <w:szCs w:val="24"/>
        </w:rPr>
      </w:pPr>
      <w:bookmarkStart w:id="0" w:name="_Hlk117163736"/>
      <w:r w:rsidRPr="00FA2D8E">
        <w:rPr>
          <w:rFonts w:ascii="Times New Roman" w:hAnsi="Times New Roman"/>
          <w:sz w:val="24"/>
          <w:szCs w:val="24"/>
        </w:rPr>
        <w:t>-</w:t>
      </w:r>
      <w:r>
        <w:rPr>
          <w:rFonts w:ascii="Times New Roman" w:hAnsi="Times New Roman"/>
          <w:sz w:val="24"/>
          <w:szCs w:val="24"/>
        </w:rPr>
        <w:t xml:space="preserve">  </w:t>
      </w:r>
      <w:r w:rsidRPr="00FA2D8E" w:rsidR="00707DB9">
        <w:rPr>
          <w:rFonts w:ascii="Times New Roman" w:hAnsi="Times New Roman"/>
          <w:sz w:val="24"/>
          <w:szCs w:val="24"/>
        </w:rPr>
        <w:t>In Section B – Revenue Commodity Group, found on page 2 of the revised form, a</w:t>
      </w:r>
      <w:r w:rsidRPr="00FA2D8E">
        <w:rPr>
          <w:rFonts w:ascii="Times New Roman" w:hAnsi="Times New Roman"/>
          <w:sz w:val="24"/>
          <w:szCs w:val="24"/>
        </w:rPr>
        <w:t xml:space="preserve"> check box </w:t>
      </w:r>
      <w:r w:rsidRPr="00FA2D8E" w:rsidR="003664A3">
        <w:rPr>
          <w:rFonts w:ascii="Times New Roman" w:hAnsi="Times New Roman"/>
          <w:sz w:val="24"/>
          <w:szCs w:val="24"/>
        </w:rPr>
        <w:t xml:space="preserve">was </w:t>
      </w:r>
      <w:r w:rsidRPr="00FA2D8E">
        <w:rPr>
          <w:rFonts w:ascii="Times New Roman" w:hAnsi="Times New Roman"/>
          <w:sz w:val="24"/>
          <w:szCs w:val="24"/>
        </w:rPr>
        <w:t xml:space="preserve">added to </w:t>
      </w:r>
      <w:r w:rsidRPr="00FA2D8E" w:rsidR="00707DB9">
        <w:rPr>
          <w:rFonts w:ascii="Times New Roman" w:hAnsi="Times New Roman"/>
          <w:sz w:val="24"/>
          <w:szCs w:val="24"/>
        </w:rPr>
        <w:t xml:space="preserve">provide the option to </w:t>
      </w:r>
      <w:r w:rsidRPr="00FA2D8E" w:rsidR="00DA610A">
        <w:rPr>
          <w:rFonts w:ascii="Times New Roman" w:hAnsi="Times New Roman"/>
          <w:sz w:val="24"/>
          <w:szCs w:val="24"/>
        </w:rPr>
        <w:t xml:space="preserve">motor carriers to </w:t>
      </w:r>
      <w:r w:rsidRPr="00FA2D8E">
        <w:rPr>
          <w:rFonts w:ascii="Times New Roman" w:hAnsi="Times New Roman"/>
          <w:sz w:val="24"/>
          <w:szCs w:val="24"/>
        </w:rPr>
        <w:t xml:space="preserve">upload </w:t>
      </w:r>
      <w:r w:rsidRPr="00FA2D8E" w:rsidR="00707DB9">
        <w:rPr>
          <w:rFonts w:ascii="Times New Roman" w:hAnsi="Times New Roman"/>
          <w:sz w:val="24"/>
          <w:szCs w:val="24"/>
        </w:rPr>
        <w:t>a balance sheet and income statement in lieu of completing Sections 100 and 200 of the form.</w:t>
      </w:r>
      <w:r w:rsidRPr="00FA2D8E">
        <w:rPr>
          <w:rFonts w:ascii="Times New Roman" w:hAnsi="Times New Roman"/>
          <w:sz w:val="24"/>
          <w:szCs w:val="24"/>
        </w:rPr>
        <w:t xml:space="preserve"> </w:t>
      </w:r>
      <w:bookmarkEnd w:id="0"/>
      <w:r w:rsidRPr="00FA2D8E" w:rsidR="00BE3210">
        <w:rPr>
          <w:rFonts w:ascii="Times New Roman" w:hAnsi="Times New Roman"/>
          <w:sz w:val="24"/>
          <w:szCs w:val="24"/>
        </w:rPr>
        <w:t xml:space="preserve">This may also result in a burden </w:t>
      </w:r>
      <w:r w:rsidRPr="00FA2D8E" w:rsidR="00510901">
        <w:rPr>
          <w:rFonts w:ascii="Times New Roman" w:hAnsi="Times New Roman"/>
          <w:sz w:val="24"/>
          <w:szCs w:val="24"/>
        </w:rPr>
        <w:t xml:space="preserve">hour </w:t>
      </w:r>
      <w:r w:rsidRPr="00FA2D8E" w:rsidR="00BE3210">
        <w:rPr>
          <w:rFonts w:ascii="Times New Roman" w:hAnsi="Times New Roman"/>
          <w:sz w:val="24"/>
          <w:szCs w:val="24"/>
        </w:rPr>
        <w:t>decrease</w:t>
      </w:r>
      <w:r w:rsidRPr="00FA2D8E" w:rsidR="00510901">
        <w:rPr>
          <w:rFonts w:ascii="Times New Roman" w:hAnsi="Times New Roman"/>
          <w:sz w:val="24"/>
          <w:szCs w:val="24"/>
        </w:rPr>
        <w:t xml:space="preserve"> when filling out </w:t>
      </w:r>
      <w:r w:rsidRPr="00FA2D8E" w:rsidR="00AD110C">
        <w:rPr>
          <w:rFonts w:ascii="Times New Roman" w:hAnsi="Times New Roman"/>
          <w:sz w:val="24"/>
          <w:szCs w:val="24"/>
        </w:rPr>
        <w:t>F</w:t>
      </w:r>
      <w:r w:rsidRPr="00FA2D8E" w:rsidR="00510901">
        <w:rPr>
          <w:rFonts w:ascii="Times New Roman" w:hAnsi="Times New Roman"/>
          <w:sz w:val="24"/>
          <w:szCs w:val="24"/>
        </w:rPr>
        <w:t>orm M</w:t>
      </w:r>
      <w:r w:rsidRPr="00FA2D8E" w:rsidR="00BE3210">
        <w:rPr>
          <w:rFonts w:ascii="Times New Roman" w:hAnsi="Times New Roman"/>
          <w:sz w:val="24"/>
          <w:szCs w:val="24"/>
        </w:rPr>
        <w:t>.</w:t>
      </w:r>
    </w:p>
    <w:p w:rsidR="00711BE0" w:rsidRPr="00711BE0" w:rsidP="00711BE0" w14:paraId="693A6390" w14:textId="17F3F334">
      <w:pPr>
        <w:pStyle w:val="ListParagraph"/>
        <w:ind w:left="810"/>
        <w:rPr>
          <w:rFonts w:ascii="Times New Roman" w:hAnsi="Times New Roman"/>
          <w:sz w:val="24"/>
          <w:szCs w:val="24"/>
        </w:rPr>
      </w:pPr>
      <w:r>
        <w:rPr>
          <w:rFonts w:ascii="Times New Roman" w:hAnsi="Times New Roman"/>
          <w:sz w:val="24"/>
          <w:szCs w:val="24"/>
        </w:rPr>
        <w:t>- O</w:t>
      </w:r>
      <w:r>
        <w:rPr>
          <w:rFonts w:ascii="Times New Roman" w:hAnsi="Times New Roman"/>
          <w:sz w:val="24"/>
          <w:szCs w:val="24"/>
        </w:rPr>
        <w:t xml:space="preserve">n page </w:t>
      </w:r>
      <w:r>
        <w:rPr>
          <w:rFonts w:ascii="Times New Roman" w:hAnsi="Times New Roman"/>
          <w:sz w:val="24"/>
          <w:szCs w:val="24"/>
        </w:rPr>
        <w:t>i</w:t>
      </w:r>
      <w:r>
        <w:rPr>
          <w:rFonts w:ascii="Times New Roman" w:hAnsi="Times New Roman"/>
          <w:sz w:val="24"/>
          <w:szCs w:val="24"/>
        </w:rPr>
        <w:t xml:space="preserve"> of th</w:t>
      </w:r>
      <w:r w:rsidRPr="00711BE0">
        <w:rPr>
          <w:rFonts w:ascii="Times New Roman" w:hAnsi="Times New Roman"/>
          <w:sz w:val="24"/>
          <w:szCs w:val="24"/>
        </w:rPr>
        <w:t>e instructions of the form</w:t>
      </w:r>
      <w:r>
        <w:rPr>
          <w:rFonts w:ascii="Times New Roman" w:hAnsi="Times New Roman"/>
          <w:sz w:val="24"/>
          <w:szCs w:val="24"/>
        </w:rPr>
        <w:t>,</w:t>
      </w:r>
      <w:r w:rsidRPr="00711BE0">
        <w:rPr>
          <w:rFonts w:ascii="Times New Roman" w:hAnsi="Times New Roman"/>
          <w:sz w:val="24"/>
          <w:szCs w:val="24"/>
        </w:rPr>
        <w:t xml:space="preserve"> </w:t>
      </w:r>
      <w:r>
        <w:rPr>
          <w:rFonts w:ascii="Times New Roman" w:hAnsi="Times New Roman"/>
          <w:sz w:val="24"/>
          <w:szCs w:val="24"/>
        </w:rPr>
        <w:t xml:space="preserve">Class I and Class II were redefined and </w:t>
      </w:r>
      <w:r w:rsidRPr="00711BE0">
        <w:rPr>
          <w:rFonts w:ascii="Times New Roman" w:hAnsi="Times New Roman"/>
          <w:sz w:val="24"/>
          <w:szCs w:val="24"/>
        </w:rPr>
        <w:t xml:space="preserve">Class III was added. </w:t>
      </w:r>
      <w:r w:rsidRPr="00711BE0">
        <w:rPr>
          <w:rFonts w:ascii="Times New Roman" w:hAnsi="Times New Roman"/>
          <w:sz w:val="24"/>
          <w:szCs w:val="24"/>
        </w:rPr>
        <w:t>T</w:t>
      </w:r>
      <w:r w:rsidR="002F0811">
        <w:rPr>
          <w:rFonts w:ascii="Times New Roman" w:hAnsi="Times New Roman"/>
          <w:sz w:val="24"/>
          <w:szCs w:val="24"/>
        </w:rPr>
        <w:t>o avoid confusion, the</w:t>
      </w:r>
      <w:r w:rsidRPr="00711BE0">
        <w:rPr>
          <w:rFonts w:ascii="Times New Roman" w:hAnsi="Times New Roman"/>
          <w:sz w:val="24"/>
          <w:szCs w:val="24"/>
        </w:rPr>
        <w:t xml:space="preserve"> </w:t>
      </w:r>
      <w:r w:rsidRPr="00711BE0">
        <w:rPr>
          <w:rFonts w:ascii="Times New Roman" w:hAnsi="Times New Roman"/>
          <w:sz w:val="24"/>
          <w:szCs w:val="24"/>
        </w:rPr>
        <w:t>revised</w:t>
      </w:r>
      <w:r w:rsidRPr="00711BE0">
        <w:rPr>
          <w:rFonts w:ascii="Times New Roman" w:hAnsi="Times New Roman"/>
          <w:sz w:val="24"/>
          <w:szCs w:val="24"/>
        </w:rPr>
        <w:t xml:space="preserve"> form uses the terms as defined in 49 CFR 368.2. </w:t>
      </w:r>
      <w:r w:rsidRPr="00711BE0">
        <w:rPr>
          <w:rFonts w:ascii="Times New Roman" w:hAnsi="Times New Roman"/>
          <w:sz w:val="24"/>
          <w:szCs w:val="24"/>
        </w:rPr>
        <w:t xml:space="preserve"> It</w:t>
      </w:r>
      <w:r w:rsidRPr="00711BE0">
        <w:rPr>
          <w:rFonts w:ascii="Times New Roman" w:hAnsi="Times New Roman"/>
          <w:sz w:val="24"/>
          <w:szCs w:val="24"/>
        </w:rPr>
        <w:t xml:space="preserve"> was </w:t>
      </w:r>
      <w:r>
        <w:rPr>
          <w:rFonts w:ascii="Times New Roman" w:hAnsi="Times New Roman"/>
          <w:sz w:val="24"/>
          <w:szCs w:val="24"/>
        </w:rPr>
        <w:t xml:space="preserve">previously </w:t>
      </w:r>
      <w:r w:rsidRPr="00711BE0">
        <w:rPr>
          <w:rFonts w:ascii="Times New Roman" w:hAnsi="Times New Roman"/>
          <w:sz w:val="24"/>
          <w:szCs w:val="24"/>
        </w:rPr>
        <w:t xml:space="preserve">misleading to use the terms “Class I” and “Class II” </w:t>
      </w:r>
      <w:r w:rsidR="00022BB6">
        <w:rPr>
          <w:rFonts w:ascii="Times New Roman" w:hAnsi="Times New Roman"/>
          <w:sz w:val="24"/>
          <w:szCs w:val="24"/>
        </w:rPr>
        <w:t xml:space="preserve">on the previous form </w:t>
      </w:r>
      <w:r w:rsidRPr="00711BE0">
        <w:rPr>
          <w:rFonts w:ascii="Times New Roman" w:hAnsi="Times New Roman"/>
          <w:sz w:val="24"/>
          <w:szCs w:val="24"/>
        </w:rPr>
        <w:t xml:space="preserve">because those terms are already defined in 49 CFR 369.2. </w:t>
      </w:r>
    </w:p>
    <w:p w:rsidR="0069054B" w:rsidRPr="00FA2D8E" w:rsidP="00FA2D8E" w14:paraId="03FB48AF" w14:textId="77777777">
      <w:pPr>
        <w:pStyle w:val="Subtitle"/>
        <w:ind w:firstLine="90"/>
        <w:outlineLvl w:val="0"/>
        <w:rPr>
          <w:rFonts w:ascii="Times New Roman" w:hAnsi="Times New Roman"/>
        </w:rPr>
      </w:pPr>
    </w:p>
    <w:p w:rsidR="0069054B" w:rsidRPr="00FA2D8E" w:rsidP="00FA2D8E" w14:paraId="191FA491" w14:textId="77777777">
      <w:pPr>
        <w:pStyle w:val="Subtitle"/>
        <w:ind w:firstLine="90"/>
        <w:outlineLvl w:val="0"/>
        <w:rPr>
          <w:rFonts w:ascii="Times New Roman" w:hAnsi="Times New Roman"/>
        </w:rPr>
      </w:pPr>
    </w:p>
    <w:p w:rsidR="00815CC8" w:rsidRPr="00FA2D8E" w:rsidP="00815CC8" w14:paraId="1863EFBD" w14:textId="5A2002FE">
      <w:pPr>
        <w:pStyle w:val="Subtitle"/>
        <w:outlineLvl w:val="0"/>
        <w:rPr>
          <w:rFonts w:ascii="Times New Roman" w:hAnsi="Times New Roman"/>
        </w:rPr>
      </w:pPr>
      <w:r w:rsidRPr="00FA2D8E">
        <w:rPr>
          <w:rFonts w:ascii="Times New Roman" w:hAnsi="Times New Roman"/>
        </w:rPr>
        <w:t>INTRODUCTION</w:t>
      </w:r>
    </w:p>
    <w:p w:rsidR="00815CC8" w:rsidP="00815CC8" w14:paraId="4CF0E041" w14:textId="77777777">
      <w:pPr>
        <w:pStyle w:val="Subtitle"/>
        <w:rPr>
          <w:rFonts w:ascii="Times New Roman" w:hAnsi="Times New Roman"/>
          <w:b w:val="0"/>
          <w:u w:val="none"/>
        </w:rPr>
      </w:pPr>
    </w:p>
    <w:p w:rsidR="0004113A" w:rsidRPr="003B2B0A" w:rsidP="00815CC8" w14:paraId="3DD4D77A" w14:textId="69334122">
      <w:pPr>
        <w:pStyle w:val="Subtitle"/>
        <w:rPr>
          <w:rFonts w:ascii="Times New Roman" w:hAnsi="Times New Roman"/>
          <w:b w:val="0"/>
          <w:u w:val="none"/>
        </w:rPr>
      </w:pPr>
      <w:r w:rsidRPr="00644586">
        <w:rPr>
          <w:rFonts w:ascii="Times New Roman" w:hAnsi="Times New Roman"/>
          <w:b w:val="0"/>
          <w:u w:val="none"/>
        </w:rPr>
        <w:t>The Federal Motor C</w:t>
      </w:r>
      <w:r w:rsidRPr="00644586">
        <w:rPr>
          <w:rFonts w:ascii="Times New Roman" w:hAnsi="Times New Roman"/>
          <w:b w:val="0"/>
          <w:u w:val="none"/>
        </w:rPr>
        <w:t xml:space="preserve">arrier Safety Administration (FMCSA) submits to the Office of Management and Budget (OMB) its request to </w:t>
      </w:r>
      <w:r w:rsidR="00857FB6">
        <w:rPr>
          <w:rFonts w:ascii="Times New Roman" w:hAnsi="Times New Roman"/>
          <w:b w:val="0"/>
          <w:u w:val="none"/>
        </w:rPr>
        <w:t>renew</w:t>
      </w:r>
      <w:r w:rsidRPr="00644586">
        <w:rPr>
          <w:rFonts w:ascii="Times New Roman" w:hAnsi="Times New Roman"/>
          <w:b w:val="0"/>
          <w:u w:val="none"/>
        </w:rPr>
        <w:t xml:space="preserve"> a currently</w:t>
      </w:r>
      <w:r w:rsidR="005103BA">
        <w:rPr>
          <w:rFonts w:ascii="Times New Roman" w:hAnsi="Times New Roman"/>
          <w:b w:val="0"/>
          <w:u w:val="none"/>
        </w:rPr>
        <w:t xml:space="preserve"> </w:t>
      </w:r>
      <w:r w:rsidRPr="00644586">
        <w:rPr>
          <w:rFonts w:ascii="Times New Roman" w:hAnsi="Times New Roman"/>
          <w:b w:val="0"/>
          <w:u w:val="none"/>
        </w:rPr>
        <w:t xml:space="preserve">approved information collection request (ICR) titled </w:t>
      </w:r>
      <w:r w:rsidRPr="00644586">
        <w:rPr>
          <w:rFonts w:ascii="Times New Roman" w:hAnsi="Times New Roman"/>
          <w:b w:val="0"/>
          <w:i/>
          <w:u w:val="none"/>
        </w:rPr>
        <w:t>“</w:t>
      </w:r>
      <w:bookmarkStart w:id="1" w:name="_Hlk6415939"/>
      <w:r>
        <w:rPr>
          <w:rFonts w:ascii="Times New Roman" w:hAnsi="Times New Roman"/>
          <w:b w:val="0"/>
          <w:i/>
          <w:u w:val="none"/>
        </w:rPr>
        <w:t>Annual Report of Class I and Class II For-Hire Motor Carriers</w:t>
      </w:r>
      <w:r w:rsidRPr="00644586">
        <w:rPr>
          <w:rFonts w:ascii="Times New Roman" w:hAnsi="Times New Roman"/>
          <w:b w:val="0"/>
          <w:i/>
          <w:u w:val="none"/>
        </w:rPr>
        <w:t>”</w:t>
      </w:r>
      <w:r w:rsidRPr="00644586">
        <w:rPr>
          <w:rFonts w:ascii="Times New Roman" w:hAnsi="Times New Roman"/>
          <w:b w:val="0"/>
          <w:u w:val="none"/>
        </w:rPr>
        <w:t xml:space="preserve"> (O</w:t>
      </w:r>
      <w:r>
        <w:rPr>
          <w:rFonts w:ascii="Times New Roman" w:hAnsi="Times New Roman"/>
          <w:b w:val="0"/>
          <w:u w:val="none"/>
        </w:rPr>
        <w:t xml:space="preserve">MB </w:t>
      </w:r>
      <w:r>
        <w:rPr>
          <w:rFonts w:ascii="Times New Roman" w:hAnsi="Times New Roman"/>
          <w:b w:val="0"/>
          <w:u w:val="none"/>
        </w:rPr>
        <w:t>Control No. 2126-0032</w:t>
      </w:r>
      <w:r w:rsidRPr="00644586">
        <w:rPr>
          <w:rFonts w:ascii="Times New Roman" w:hAnsi="Times New Roman"/>
          <w:b w:val="0"/>
          <w:u w:val="none"/>
        </w:rPr>
        <w:t>)</w:t>
      </w:r>
      <w:bookmarkEnd w:id="1"/>
      <w:r w:rsidRPr="00644586">
        <w:rPr>
          <w:rFonts w:ascii="Times New Roman" w:hAnsi="Times New Roman"/>
          <w:b w:val="0"/>
          <w:u w:val="none"/>
        </w:rPr>
        <w:t xml:space="preserve">. The currently approved ICR, which is due to expire on </w:t>
      </w:r>
      <w:r w:rsidR="009E2F3A">
        <w:rPr>
          <w:rFonts w:ascii="Times New Roman" w:hAnsi="Times New Roman"/>
          <w:b w:val="0"/>
          <w:u w:val="none"/>
        </w:rPr>
        <w:t>May 31, 2022</w:t>
      </w:r>
      <w:r w:rsidRPr="00644586">
        <w:rPr>
          <w:rFonts w:ascii="Times New Roman" w:hAnsi="Times New Roman"/>
          <w:b w:val="0"/>
          <w:u w:val="none"/>
        </w:rPr>
        <w:t xml:space="preserve">, applies to </w:t>
      </w:r>
      <w:r>
        <w:rPr>
          <w:rFonts w:ascii="Times New Roman" w:hAnsi="Times New Roman"/>
          <w:b w:val="0"/>
          <w:u w:val="none"/>
        </w:rPr>
        <w:t>Class I and Class II for-hire motor carriers of property (Form M) and Class I for-hire motor carriers of passengers (Form MP-1)</w:t>
      </w:r>
      <w:r w:rsidRPr="00644586">
        <w:rPr>
          <w:rFonts w:ascii="Times New Roman" w:hAnsi="Times New Roman"/>
          <w:b w:val="0"/>
          <w:u w:val="none"/>
        </w:rPr>
        <w:t>.</w:t>
      </w:r>
      <w:r>
        <w:rPr>
          <w:rFonts w:ascii="Times New Roman" w:hAnsi="Times New Roman"/>
          <w:b w:val="0"/>
          <w:u w:val="none"/>
        </w:rPr>
        <w:t xml:space="preserve"> </w:t>
      </w:r>
      <w:r w:rsidRPr="00E85851">
        <w:rPr>
          <w:rFonts w:ascii="Times New Roman" w:hAnsi="Times New Roman"/>
          <w:b w:val="0"/>
          <w:u w:val="none"/>
        </w:rPr>
        <w:t>FMCSA is requesting that</w:t>
      </w:r>
      <w:r w:rsidRPr="00E85851">
        <w:rPr>
          <w:rFonts w:ascii="Times New Roman" w:hAnsi="Times New Roman"/>
          <w:b w:val="0"/>
          <w:u w:val="none"/>
        </w:rPr>
        <w:t xml:space="preserve"> information collection approval for Form M</w:t>
      </w:r>
      <w:r>
        <w:rPr>
          <w:rFonts w:ascii="Times New Roman" w:hAnsi="Times New Roman"/>
          <w:b w:val="0"/>
          <w:u w:val="none"/>
        </w:rPr>
        <w:t xml:space="preserve"> and Form MP-1</w:t>
      </w:r>
      <w:r w:rsidRPr="00E85851">
        <w:rPr>
          <w:rFonts w:ascii="Times New Roman" w:hAnsi="Times New Roman"/>
          <w:b w:val="0"/>
          <w:u w:val="none"/>
        </w:rPr>
        <w:t xml:space="preserve"> continue to be effective for the 3-year period covered by this ICR.</w:t>
      </w:r>
    </w:p>
    <w:p w:rsidR="00815CC8" w:rsidRPr="0004113A" w:rsidP="00815CC8" w14:paraId="55AF948C" w14:textId="6853514A">
      <w:pPr>
        <w:pStyle w:val="Subtitle"/>
        <w:rPr>
          <w:rFonts w:ascii="Times New Roman" w:hAnsi="Times New Roman"/>
        </w:rPr>
      </w:pPr>
      <w:r w:rsidRPr="0004113A">
        <w:rPr>
          <w:rFonts w:ascii="Times New Roman" w:hAnsi="Times New Roman"/>
        </w:rPr>
        <w:t>Part A. Justification</w:t>
      </w:r>
    </w:p>
    <w:p w:rsidR="00815CC8" w:rsidRPr="00644586" w:rsidP="00815CC8" w14:paraId="4BE29554" w14:textId="77777777">
      <w:pPr>
        <w:pStyle w:val="Subtitle"/>
        <w:rPr>
          <w:rFonts w:ascii="Times New Roman" w:hAnsi="Times New Roman"/>
          <w:b w:val="0"/>
          <w:u w:val="none"/>
        </w:rPr>
      </w:pPr>
    </w:p>
    <w:p w:rsidR="0004113A" w:rsidP="0004113A" w14:paraId="0D0C6E5D" w14:textId="77777777">
      <w:pPr>
        <w:pStyle w:val="Item-Header"/>
        <w:numPr>
          <w:ilvl w:val="0"/>
          <w:numId w:val="0"/>
        </w:numPr>
        <w:ind w:left="360"/>
      </w:pPr>
    </w:p>
    <w:p w:rsidR="0004113A" w:rsidP="0004113A" w14:paraId="662DAE2A" w14:textId="77777777">
      <w:pPr>
        <w:pStyle w:val="Item-Header"/>
        <w:numPr>
          <w:ilvl w:val="0"/>
          <w:numId w:val="0"/>
        </w:numPr>
        <w:ind w:left="360"/>
      </w:pPr>
    </w:p>
    <w:p w:rsidR="00815CC8" w:rsidRPr="0004113A" w:rsidP="0004113A" w14:paraId="4E878285" w14:textId="30F29AE9">
      <w:pPr>
        <w:pStyle w:val="Item-Header"/>
      </w:pPr>
      <w:r w:rsidRPr="0004113A">
        <w:t>CIRCUMSTANCES THAT MAKE THE COLLECTION OF INFORMATION NECESSARY</w:t>
      </w:r>
    </w:p>
    <w:p w:rsidR="00815CC8" w:rsidP="00815CC8" w14:paraId="3FA6FB56" w14:textId="3F552D9E">
      <w:pPr>
        <w:pStyle w:val="Item-Text"/>
      </w:pPr>
      <w:r>
        <w:t>49</w:t>
      </w:r>
      <w:r w:rsidRPr="000B5383">
        <w:t xml:space="preserve"> </w:t>
      </w:r>
      <w:r>
        <w:t xml:space="preserve">U.S.C. </w:t>
      </w:r>
      <w:r w:rsidRPr="000B5383">
        <w:t>14123</w:t>
      </w:r>
      <w:r>
        <w:t xml:space="preserve"> (Attachment A</w:t>
      </w:r>
      <w:r w:rsidRPr="000B5383">
        <w:t xml:space="preserve">), transferred </w:t>
      </w:r>
      <w:r>
        <w:t xml:space="preserve">to the Secretary of Transportation (Secretary) the </w:t>
      </w:r>
      <w:r w:rsidRPr="000B5383">
        <w:t xml:space="preserve">responsibility </w:t>
      </w:r>
      <w:r>
        <w:t>to require Class I and Class II motor carriers of property, including household goods and dual property motor carriers to file Form M.</w:t>
      </w:r>
      <w:r>
        <w:rPr>
          <w:rStyle w:val="FootnoteReference"/>
        </w:rPr>
        <w:footnoteReference w:id="3"/>
      </w:r>
      <w:r>
        <w:t xml:space="preserve"> Form M requests informat</w:t>
      </w:r>
      <w:r>
        <w:t xml:space="preserve">ion on annual </w:t>
      </w:r>
      <w:r w:rsidRPr="000B5383">
        <w:t xml:space="preserve">financial and </w:t>
      </w:r>
      <w:r>
        <w:t xml:space="preserve">safety reports that include balance sheets and income statements. Under section 14123, </w:t>
      </w:r>
      <w:r w:rsidRPr="000B5383">
        <w:t xml:space="preserve">the Secretary </w:t>
      </w:r>
      <w:r>
        <w:t xml:space="preserve">may also require </w:t>
      </w:r>
      <w:r w:rsidRPr="000B5383">
        <w:t>motor carriers, freight forwarders, brokers, lessors, and associations</w:t>
      </w:r>
      <w:r>
        <w:t xml:space="preserve">, or classes of them, to file </w:t>
      </w:r>
      <w:r w:rsidR="00857FB6">
        <w:t>annually</w:t>
      </w:r>
      <w:r>
        <w:t xml:space="preserve">, </w:t>
      </w:r>
      <w:r>
        <w:t>periodic, or special reports with the Secretary and respond to surveys concerning their operations</w:t>
      </w:r>
      <w:r w:rsidRPr="000B5383">
        <w:t xml:space="preserve">.  </w:t>
      </w:r>
    </w:p>
    <w:p w:rsidR="00815CC8" w:rsidP="00815CC8" w14:paraId="0404F5FA" w14:textId="77777777">
      <w:pPr>
        <w:ind w:left="360"/>
        <w:rPr>
          <w:rFonts w:ascii="Times New Roman" w:hAnsi="Times New Roman"/>
        </w:rPr>
      </w:pPr>
    </w:p>
    <w:p w:rsidR="00815CC8" w:rsidP="00815CC8" w14:paraId="4D5D223B" w14:textId="7559FC3F">
      <w:pPr>
        <w:pStyle w:val="Item-Text"/>
      </w:pPr>
      <w:r>
        <w:t>Initially, t</w:t>
      </w:r>
      <w:r w:rsidRPr="000B5383">
        <w:t>he Secretary transferred th</w:t>
      </w:r>
      <w:r>
        <w:t xml:space="preserve">is reporting </w:t>
      </w:r>
      <w:r w:rsidRPr="000B5383">
        <w:t>authority to administer the F</w:t>
      </w:r>
      <w:r>
        <w:t>inancial and Operating Statistics (F</w:t>
      </w:r>
      <w:r w:rsidRPr="000B5383">
        <w:t>&amp;OS</w:t>
      </w:r>
      <w:r>
        <w:t>)</w:t>
      </w:r>
      <w:r w:rsidRPr="000B5383">
        <w:t xml:space="preserve"> program to the </w:t>
      </w:r>
      <w:r>
        <w:t xml:space="preserve">former </w:t>
      </w:r>
      <w:r w:rsidRPr="000B5383">
        <w:t>Bureau of Transportation Statistics (BTS) on September 30, 1998 (63</w:t>
      </w:r>
      <w:r>
        <w:t xml:space="preserve"> </w:t>
      </w:r>
      <w:r w:rsidRPr="000B5383">
        <w:t>FR 52192)</w:t>
      </w:r>
      <w:r>
        <w:t xml:space="preserve"> (Attachment B).</w:t>
      </w:r>
      <w:r w:rsidRPr="000B5383">
        <w:t xml:space="preserve"> Pursuant to this authority, the BTS</w:t>
      </w:r>
      <w:r>
        <w:t xml:space="preserve"> in the Research and Innovative Technology Administration (RITA), now </w:t>
      </w:r>
      <w:r w:rsidRPr="00C93034">
        <w:t>Office of the Assistant Secretary for Research and Techno</w:t>
      </w:r>
      <w:r w:rsidRPr="00C93034">
        <w:t>logy</w:t>
      </w:r>
      <w:r>
        <w:t>,</w:t>
      </w:r>
      <w:r w:rsidRPr="000B5383">
        <w:t xml:space="preserve"> became the responsible DOT administration for implementing the F&amp;OS program and requirements </w:t>
      </w:r>
      <w:r>
        <w:t xml:space="preserve">set forth </w:t>
      </w:r>
      <w:r w:rsidRPr="000B5383">
        <w:t>in</w:t>
      </w:r>
      <w:r>
        <w:t xml:space="preserve"> title 49 CFR part 1420 (Attachment C)</w:t>
      </w:r>
      <w:r w:rsidRPr="000B5383">
        <w:t>. On September 29, 2004, the Secretary transferred the responsibility for the F&amp;OS program from BTS to FMCS</w:t>
      </w:r>
      <w:r w:rsidRPr="000B5383">
        <w:t>A (69 FR 51009</w:t>
      </w:r>
      <w:r>
        <w:t>) (Attachment D</w:t>
      </w:r>
      <w:r w:rsidRPr="000B5383">
        <w:t>).</w:t>
      </w:r>
      <w:r>
        <w:t xml:space="preserve"> </w:t>
      </w:r>
      <w:r w:rsidRPr="00817A6A">
        <w:t>On August 10, 2006</w:t>
      </w:r>
      <w:r>
        <w:t>,</w:t>
      </w:r>
      <w:r w:rsidRPr="00817A6A">
        <w:t xml:space="preserve"> DOT published a final rule</w:t>
      </w:r>
      <w:r>
        <w:t xml:space="preserve"> (71 FR 45740)</w:t>
      </w:r>
      <w:r w:rsidRPr="00817A6A">
        <w:t xml:space="preserve"> </w:t>
      </w:r>
      <w:r>
        <w:t xml:space="preserve">(Attachment E) </w:t>
      </w:r>
      <w:r w:rsidRPr="00817A6A">
        <w:t>that transferred and re</w:t>
      </w:r>
      <w:r>
        <w:t>-</w:t>
      </w:r>
      <w:r w:rsidRPr="00817A6A">
        <w:t xml:space="preserve">designated certain motor carrier financial and statistical reporting regulations </w:t>
      </w:r>
      <w:r>
        <w:t>of BTS, that were formerly located</w:t>
      </w:r>
      <w:r w:rsidRPr="00817A6A">
        <w:t xml:space="preserve"> in </w:t>
      </w:r>
      <w:r>
        <w:t>chapt</w:t>
      </w:r>
      <w:r>
        <w:t xml:space="preserve">er XI of title </w:t>
      </w:r>
      <w:r w:rsidRPr="00817A6A">
        <w:t xml:space="preserve">49 CFR </w:t>
      </w:r>
      <w:r>
        <w:t>p</w:t>
      </w:r>
      <w:r w:rsidRPr="00817A6A">
        <w:t>art 1420</w:t>
      </w:r>
      <w:r>
        <w:t>,</w:t>
      </w:r>
      <w:r w:rsidRPr="00817A6A">
        <w:t xml:space="preserve"> to FMCSA under </w:t>
      </w:r>
      <w:r>
        <w:t xml:space="preserve">chapter III of title </w:t>
      </w:r>
      <w:r w:rsidRPr="00817A6A">
        <w:t>49 CFR, and established a new part 369</w:t>
      </w:r>
      <w:r w:rsidR="00971A15">
        <w:t xml:space="preserve"> </w:t>
      </w:r>
      <w:r w:rsidRPr="00817A6A">
        <w:t>to accommodate the re</w:t>
      </w:r>
      <w:r>
        <w:t>-</w:t>
      </w:r>
      <w:r w:rsidRPr="00817A6A">
        <w:t>designated regulations.</w:t>
      </w:r>
    </w:p>
    <w:p w:rsidR="00815CC8" w:rsidP="00815CC8" w14:paraId="08F703EF" w14:textId="77777777">
      <w:pPr>
        <w:pStyle w:val="Item-Text"/>
      </w:pPr>
    </w:p>
    <w:p w:rsidR="00815CC8" w:rsidRPr="00DB02BC" w:rsidP="00815CC8" w14:paraId="075E9AC7" w14:textId="182EEB1C">
      <w:pPr>
        <w:pStyle w:val="Item-Text"/>
      </w:pPr>
      <w:r>
        <w:t>49 U.S.C. 14123 also requires the Secretary of Transportation to collect annual financial reports fro</w:t>
      </w:r>
      <w:r>
        <w:t>m certain for-hire motor carriers of passengers (Attachment A). All Class I for-hire motor carriers of passengers are required to complete and file a Motor Carrier Annual Report Form MP-1 for Motor Carriers of Passengers</w:t>
      </w:r>
      <w:r>
        <w:rPr>
          <w:rStyle w:val="FootnoteReference"/>
        </w:rPr>
        <w:footnoteReference w:id="4"/>
      </w:r>
      <w:r>
        <w:t xml:space="preserve"> (Attachment F). </w:t>
      </w:r>
      <w:r w:rsidRPr="00DB02BC">
        <w:t xml:space="preserve">FMCSA estimates </w:t>
      </w:r>
      <w:r w:rsidR="009E2F3A">
        <w:t>that</w:t>
      </w:r>
      <w:r w:rsidRPr="00DB02BC">
        <w:t xml:space="preserve"> there are approximately 60 to 80 Class I passenger carriers</w:t>
      </w:r>
      <w:r w:rsidR="009E2F3A">
        <w:t>,</w:t>
      </w:r>
      <w:r w:rsidRPr="00DB02BC">
        <w:t xml:space="preserve"> and currently the Agency has received financial information on Form MP-1 from </w:t>
      </w:r>
      <w:r w:rsidR="00857FB6">
        <w:t>0</w:t>
      </w:r>
      <w:r w:rsidRPr="00DB02BC">
        <w:t xml:space="preserve"> passenger carriers.</w:t>
      </w:r>
    </w:p>
    <w:p w:rsidR="00815CC8" w:rsidP="00815CC8" w14:paraId="53648B8D" w14:textId="77777777">
      <w:pPr>
        <w:pStyle w:val="Item-Text"/>
      </w:pPr>
    </w:p>
    <w:p w:rsidR="00815CC8" w:rsidP="00815CC8" w14:paraId="534A7018" w14:textId="77777777">
      <w:pPr>
        <w:pStyle w:val="Item-Text"/>
      </w:pPr>
      <w:r>
        <w:t>As the collection of the F&amp;OS program data is statutorily required, F</w:t>
      </w:r>
      <w:r w:rsidRPr="00817A6A">
        <w:t>MCSA is requesting OM</w:t>
      </w:r>
      <w:r w:rsidRPr="00817A6A">
        <w:t xml:space="preserve">B’s approval to renew this information collection </w:t>
      </w:r>
      <w:r>
        <w:t>for</w:t>
      </w:r>
      <w:r w:rsidRPr="00817A6A">
        <w:t xml:space="preserve"> motor carriers reporting their annual financial and operating data.</w:t>
      </w:r>
      <w:r>
        <w:t xml:space="preserve"> </w:t>
      </w:r>
      <w:r w:rsidR="001C63C3">
        <w:t>However, FMCSA does not use the information collected</w:t>
      </w:r>
      <w:r>
        <w:t xml:space="preserve"> </w:t>
      </w:r>
      <w:r w:rsidR="001C63C3">
        <w:t xml:space="preserve">through either Form M or Form MP-1, nor does it enforce the filing requirements found in part 369. </w:t>
      </w:r>
      <w:r w:rsidRPr="00DD6357" w:rsidR="00F42BC3">
        <w:t>The Agency was not provided the necessary resources to administer the data collection and the financial reports are of little if any value in fulfilling the Agency’s safety mission. While this statute also addresses safety reports, FMCSA has other statutory authority to collect required safety data from all regulated motor carriers. FMCSA has suggested that Congress repeal section 14123 in the past, but as the section still exists, this ICR is required to fulfill the collection mandate contained in the statute.</w:t>
      </w:r>
    </w:p>
    <w:p w:rsidR="00DD6357" w:rsidP="00815CC8" w14:paraId="69BB3AAF" w14:textId="77777777">
      <w:pPr>
        <w:pStyle w:val="Item-Text"/>
      </w:pPr>
    </w:p>
    <w:p w:rsidR="00815CC8" w:rsidRPr="00BC4E4C" w:rsidP="00815CC8" w14:paraId="4EC72FFA" w14:textId="00D86787">
      <w:pPr>
        <w:pStyle w:val="Item-Text"/>
      </w:pPr>
      <w:r w:rsidRPr="00BC4E4C">
        <w:t xml:space="preserve">FMCSA has created electronic forms that may be prepared, signed electronically, and submitted to FMCSA </w:t>
      </w:r>
      <w:r>
        <w:t xml:space="preserve">via </w:t>
      </w:r>
      <w:hyperlink r:id="rId9" w:history="1">
        <w:r w:rsidRPr="00C3778F">
          <w:rPr>
            <w:rStyle w:val="Hyperlink"/>
          </w:rPr>
          <w:t>https://ask.fmcsa.dot.gov/app/ask/</w:t>
        </w:r>
      </w:hyperlink>
      <w:r>
        <w:t xml:space="preserve">. However, forms can still be </w:t>
      </w:r>
      <w:r>
        <w:t>mailed to FMCSA.</w:t>
      </w:r>
      <w:r w:rsidR="0075037B">
        <w:t xml:space="preserve"> Additionally, FMCSA revised Form M to limit the information solicited to that which is statutorily required. FMCSA also created the option, for both forms, for the filer to upload their own document, showing the same information as requested in the relevant form, in lieu of completing the form itself.</w:t>
      </w:r>
    </w:p>
    <w:p w:rsidR="00815CC8" w:rsidRPr="000B5383" w:rsidP="00815CC8" w14:paraId="4A8872F2" w14:textId="77777777">
      <w:pPr>
        <w:rPr>
          <w:rFonts w:ascii="Times New Roman" w:hAnsi="Times New Roman"/>
        </w:rPr>
      </w:pPr>
    </w:p>
    <w:p w:rsidR="00815CC8" w:rsidRPr="006617C2" w:rsidP="0004113A" w14:paraId="6FAE81AE" w14:textId="77777777">
      <w:pPr>
        <w:pStyle w:val="Item-Header"/>
      </w:pPr>
      <w:r w:rsidRPr="006617C2">
        <w:t>How, by Whom, and for What Purpose is the Information Used</w:t>
      </w:r>
    </w:p>
    <w:p w:rsidR="00815CC8" w:rsidRPr="000B5383" w:rsidP="00815CC8" w14:paraId="14B1F343" w14:textId="77777777">
      <w:pPr>
        <w:pStyle w:val="Item-Text"/>
      </w:pPr>
      <w:r w:rsidRPr="000B5383">
        <w:t xml:space="preserve">Form M </w:t>
      </w:r>
      <w:r w:rsidR="00C327D0">
        <w:t>is required</w:t>
      </w:r>
      <w:r w:rsidRPr="000B5383">
        <w:t xml:space="preserve"> to collect financial, operating, equipment</w:t>
      </w:r>
      <w:r>
        <w:t>,</w:t>
      </w:r>
      <w:r w:rsidRPr="000B5383">
        <w:t xml:space="preserve"> and employment data from individual motor carriers of property and ho</w:t>
      </w:r>
      <w:r w:rsidRPr="000B5383">
        <w:t xml:space="preserve">usehold goods. All for-hire (common and contract) motor carriers of property with gross annual operating revenue of $3 million or more must file </w:t>
      </w:r>
      <w:r>
        <w:t xml:space="preserve">the </w:t>
      </w:r>
      <w:r w:rsidRPr="000B5383">
        <w:t>annual report Form M.</w:t>
      </w:r>
      <w:r>
        <w:t xml:space="preserve"> Form MP-1 </w:t>
      </w:r>
      <w:r w:rsidR="00C327D0">
        <w:t>is required</w:t>
      </w:r>
      <w:r w:rsidRPr="000B5383">
        <w:t xml:space="preserve"> to collect financial, operating, equipment</w:t>
      </w:r>
      <w:r>
        <w:t>,</w:t>
      </w:r>
      <w:r w:rsidRPr="000B5383">
        <w:t xml:space="preserve"> and employment data</w:t>
      </w:r>
      <w:r w:rsidRPr="000B5383">
        <w:t xml:space="preserve"> from individual motor carriers</w:t>
      </w:r>
      <w:r>
        <w:t xml:space="preserve"> of passengers. All Class I for-hire motor carriers of passengers with gross annual operating revenues of $5 million or more are required to file the annual report Form MP-1.</w:t>
      </w:r>
    </w:p>
    <w:p w:rsidR="00815CC8" w:rsidRPr="000B5383" w:rsidP="00815CC8" w14:paraId="09CE1F58" w14:textId="77777777">
      <w:pPr>
        <w:pStyle w:val="Item-Text"/>
      </w:pPr>
    </w:p>
    <w:p w:rsidR="00815CC8" w:rsidP="00815CC8" w14:paraId="439529D1" w14:textId="68BBD90B">
      <w:pPr>
        <w:pStyle w:val="Item-Text"/>
      </w:pPr>
      <w:r>
        <w:t xml:space="preserve">The data collected </w:t>
      </w:r>
      <w:r w:rsidR="00C327D0">
        <w:t>is</w:t>
      </w:r>
      <w:r>
        <w:t xml:space="preserve"> available to users in its o</w:t>
      </w:r>
      <w:r>
        <w:t xml:space="preserve">riginal form. The data are not used by the U.S. Department of Transportation, and, based on a comment to a proposed rule finalized on December 17, 2013 (78 FR 76241), the data are no longer used by trucking associations. </w:t>
      </w:r>
      <w:r w:rsidR="009F44E3">
        <w:t>The agency is also considering how it might remove some of this reporting requirement, consistent with statue, through separate rulemaking, but the agency needs to renew the C</w:t>
      </w:r>
      <w:r w:rsidR="000C36CA">
        <w:t>ollection of Information</w:t>
      </w:r>
      <w:r w:rsidR="009F44E3">
        <w:t xml:space="preserve"> now while that process plays out. </w:t>
      </w:r>
      <w:r>
        <w:t>Insurance companies, consultants, law firms, academia, tr</w:t>
      </w:r>
      <w:r>
        <w:t xml:space="preserve">ade publications and others may use the data to assess industry growth and its impact on the economy, to identify industry changes that may affect national transportation, and to monitor company financial stability. </w:t>
      </w:r>
      <w:r w:rsidR="00C327D0">
        <w:t>In the past, t</w:t>
      </w:r>
      <w:r>
        <w:t>he Bureau of Economic Anal</w:t>
      </w:r>
      <w:r>
        <w:t xml:space="preserve">ysis (BEA) </w:t>
      </w:r>
      <w:r w:rsidR="00C327D0">
        <w:t>used</w:t>
      </w:r>
      <w:r>
        <w:t xml:space="preserve"> the data to inform the national annual input-output and Gross Domestic Product (GDP)</w:t>
      </w:r>
      <w:r>
        <w:rPr>
          <w:rStyle w:val="FootnoteReference"/>
        </w:rPr>
        <w:footnoteReference w:id="5"/>
      </w:r>
      <w:r>
        <w:t xml:space="preserve"> estimates</w:t>
      </w:r>
      <w:r w:rsidR="00EC0369">
        <w:t>,</w:t>
      </w:r>
      <w:r>
        <w:t xml:space="preserve"> to prepare estimates of industry output</w:t>
      </w:r>
      <w:r w:rsidR="00EC0369">
        <w:t>,</w:t>
      </w:r>
      <w:r>
        <w:t xml:space="preserve"> and </w:t>
      </w:r>
      <w:r w:rsidR="00EC0369">
        <w:t xml:space="preserve">to </w:t>
      </w:r>
      <w:r>
        <w:t>provide details on inputs to supplement the information on motor carriers of passengers collec</w:t>
      </w:r>
      <w:r>
        <w:t>ted by the U.S. Census Bureau.</w:t>
      </w:r>
      <w:r w:rsidRPr="009B31A5">
        <w:t xml:space="preserve"> </w:t>
      </w:r>
      <w:r w:rsidRPr="00DD6357" w:rsidR="00F42BC3">
        <w:t>FMCSA is not aware of anyone currently using this information.</w:t>
      </w:r>
    </w:p>
    <w:p w:rsidR="00815CC8" w:rsidP="00815CC8" w14:paraId="4C720F44" w14:textId="77777777">
      <w:pPr>
        <w:pStyle w:val="Item-Text"/>
      </w:pPr>
    </w:p>
    <w:p w:rsidR="00815CC8" w:rsidRPr="000B5383" w:rsidP="0004113A" w14:paraId="31166B60" w14:textId="77777777">
      <w:pPr>
        <w:pStyle w:val="Item-Header"/>
      </w:pPr>
      <w:r w:rsidRPr="000B5383">
        <w:t>Extent of Automated Information Collection</w:t>
      </w:r>
    </w:p>
    <w:p w:rsidR="00815CC8" w:rsidP="00815CC8" w14:paraId="44220755" w14:textId="09825E48">
      <w:pPr>
        <w:pStyle w:val="Item-Text"/>
      </w:pPr>
      <w:r w:rsidRPr="000B5383">
        <w:t>Information rel</w:t>
      </w:r>
      <w:r>
        <w:t>evant</w:t>
      </w:r>
      <w:r w:rsidRPr="000B5383">
        <w:t xml:space="preserve"> to collection of the data and the necessary forms are available on FMCSA’s website, </w:t>
      </w:r>
      <w:r w:rsidRPr="00F515DB">
        <w:t>https://www.f</w:t>
      </w:r>
      <w:r w:rsidRPr="00F515DB">
        <w:t>mcsa.dot.gov/mission/forms</w:t>
      </w:r>
      <w:r w:rsidRPr="000B5383">
        <w:t>. The forms can be</w:t>
      </w:r>
      <w:r>
        <w:t xml:space="preserve"> submitted electronically or </w:t>
      </w:r>
      <w:r w:rsidRPr="000B5383">
        <w:t>printed and mailed to FMCSA</w:t>
      </w:r>
      <w:r>
        <w:t>.</w:t>
      </w:r>
    </w:p>
    <w:p w:rsidR="00815CC8" w:rsidRPr="00E603F2" w:rsidP="00815CC8" w14:paraId="68803054" w14:textId="77777777">
      <w:pPr>
        <w:pStyle w:val="Item-Text"/>
        <w:rPr>
          <w:sz w:val="22"/>
          <w:szCs w:val="22"/>
        </w:rPr>
      </w:pPr>
    </w:p>
    <w:p w:rsidR="00815CC8" w:rsidRPr="005C7EEE" w:rsidP="0004113A" w14:paraId="18CAE84D" w14:textId="77777777">
      <w:pPr>
        <w:pStyle w:val="Item-Header"/>
      </w:pPr>
      <w:r w:rsidRPr="00903E22">
        <w:t>Effort</w:t>
      </w:r>
      <w:r w:rsidRPr="00895725">
        <w:t>s</w:t>
      </w:r>
      <w:r w:rsidRPr="005C7EEE">
        <w:t xml:space="preserve"> to Identify Duplication</w:t>
      </w:r>
    </w:p>
    <w:p w:rsidR="00815CC8" w:rsidRPr="000B5383" w:rsidP="00815CC8" w14:paraId="3B3E8706" w14:textId="5D0FC2C4">
      <w:pPr>
        <w:pStyle w:val="Item-Text"/>
      </w:pPr>
      <w:r w:rsidRPr="000B5383">
        <w:t>The Census</w:t>
      </w:r>
      <w:r w:rsidRPr="00150BD0">
        <w:t xml:space="preserve"> </w:t>
      </w:r>
      <w:r w:rsidRPr="000B5383">
        <w:t>Bureau</w:t>
      </w:r>
      <w:r>
        <w:t>,</w:t>
      </w:r>
      <w:r w:rsidRPr="000B5383">
        <w:t xml:space="preserve"> through its Services Annual Survey</w:t>
      </w:r>
      <w:r>
        <w:t>,</w:t>
      </w:r>
      <w:r w:rsidRPr="000B5383">
        <w:t xml:space="preserve"> provides similar statistical data for the transportation industry.  However, the Census Bureau does not collect the</w:t>
      </w:r>
      <w:r>
        <w:t xml:space="preserve"> same</w:t>
      </w:r>
      <w:r w:rsidRPr="000B5383">
        <w:t xml:space="preserve"> information as FMCSA. The </w:t>
      </w:r>
      <w:r>
        <w:t xml:space="preserve">Census </w:t>
      </w:r>
      <w:r w:rsidRPr="000B5383">
        <w:t>Bureau</w:t>
      </w:r>
      <w:r>
        <w:t xml:space="preserve"> </w:t>
      </w:r>
      <w:r w:rsidRPr="000B5383">
        <w:t xml:space="preserve">is prohibited </w:t>
      </w:r>
      <w:r>
        <w:t>by</w:t>
      </w:r>
      <w:r w:rsidRPr="000B5383">
        <w:t xml:space="preserve"> law from providing data about individual carriers to the public.  </w:t>
      </w:r>
    </w:p>
    <w:p w:rsidR="00815CC8" w:rsidRPr="000B5383" w:rsidP="00815CC8" w14:paraId="68CEBBBB" w14:textId="77777777">
      <w:pPr>
        <w:rPr>
          <w:rFonts w:ascii="Times New Roman" w:hAnsi="Times New Roman"/>
        </w:rPr>
      </w:pPr>
    </w:p>
    <w:p w:rsidR="00815CC8" w:rsidRPr="000B5383" w:rsidP="0004113A" w14:paraId="5E04EADF" w14:textId="77777777">
      <w:pPr>
        <w:pStyle w:val="Item-Header"/>
      </w:pPr>
      <w:r w:rsidRPr="000B5383">
        <w:t>Efforts t</w:t>
      </w:r>
      <w:r w:rsidRPr="000B5383">
        <w:t>o Minimize the Burden on Small Businesses</w:t>
      </w:r>
    </w:p>
    <w:p w:rsidR="00815CC8" w:rsidP="00815CC8" w14:paraId="7DB3431A" w14:textId="77777777">
      <w:pPr>
        <w:pStyle w:val="Item-Text"/>
      </w:pPr>
      <w:r>
        <w:t>This ICR covers for-hire motor carriers of property and household goods (Form M) and for-hire motor carriers of passengers (Form MP-1).</w:t>
      </w:r>
      <w:r w:rsidRPr="000B5383">
        <w:tab/>
      </w:r>
    </w:p>
    <w:p w:rsidR="00815CC8" w:rsidP="00815CC8" w14:paraId="61223155" w14:textId="77777777">
      <w:pPr>
        <w:pStyle w:val="Item-Text"/>
        <w:rPr>
          <w:u w:val="single"/>
        </w:rPr>
      </w:pPr>
    </w:p>
    <w:p w:rsidR="00815CC8" w:rsidRPr="00093DA3" w:rsidP="00815CC8" w14:paraId="77CB7180" w14:textId="77777777">
      <w:pPr>
        <w:pStyle w:val="Item-Text"/>
        <w:rPr>
          <w:u w:val="single"/>
        </w:rPr>
      </w:pPr>
      <w:r w:rsidRPr="00093DA3">
        <w:rPr>
          <w:u w:val="single"/>
        </w:rPr>
        <w:t xml:space="preserve">For-Hire Motor Carriers of Property </w:t>
      </w:r>
      <w:r w:rsidRPr="00176EB3">
        <w:rPr>
          <w:u w:val="single"/>
        </w:rPr>
        <w:t>and Household G</w:t>
      </w:r>
      <w:r w:rsidRPr="00093DA3">
        <w:rPr>
          <w:u w:val="single"/>
        </w:rPr>
        <w:t>oods (</w:t>
      </w:r>
      <w:r w:rsidRPr="00176EB3">
        <w:rPr>
          <w:u w:val="single"/>
        </w:rPr>
        <w:t>Form M)</w:t>
      </w:r>
    </w:p>
    <w:p w:rsidR="00815CC8" w:rsidP="00815CC8" w14:paraId="52CE43B8" w14:textId="77777777">
      <w:pPr>
        <w:pStyle w:val="Item-Text"/>
      </w:pPr>
      <w:r>
        <w:t>For-Hire Mo</w:t>
      </w:r>
      <w:r>
        <w:t>tor Carriers of Property and Household Goods fall under the following North American Industry Classification System (NAICS) codes:</w:t>
      </w:r>
    </w:p>
    <w:p w:rsidR="00815CC8" w:rsidRPr="00093DA3" w:rsidP="00815CC8" w14:paraId="4E08CC60" w14:textId="77777777">
      <w:pPr>
        <w:pStyle w:val="Item-Text"/>
        <w:numPr>
          <w:ilvl w:val="0"/>
          <w:numId w:val="41"/>
        </w:numPr>
      </w:pPr>
      <w:r w:rsidRPr="00093DA3">
        <w:t>484110 Gener</w:t>
      </w:r>
      <w:r w:rsidRPr="00176EB3">
        <w:t>al Freight Trucking, Local</w:t>
      </w:r>
    </w:p>
    <w:p w:rsidR="00815CC8" w:rsidRPr="00093DA3" w:rsidP="00815CC8" w14:paraId="4295533F" w14:textId="77777777">
      <w:pPr>
        <w:pStyle w:val="Item-Text"/>
        <w:numPr>
          <w:ilvl w:val="0"/>
          <w:numId w:val="41"/>
        </w:numPr>
      </w:pPr>
      <w:r w:rsidRPr="00093DA3">
        <w:t>484121 General Freight Truckin</w:t>
      </w:r>
      <w:r w:rsidRPr="00176EB3">
        <w:t>g, Long-Distance Truckload</w:t>
      </w:r>
    </w:p>
    <w:p w:rsidR="00815CC8" w:rsidRPr="00093DA3" w:rsidP="00815CC8" w14:paraId="75A75F97" w14:textId="77777777">
      <w:pPr>
        <w:pStyle w:val="Item-Text"/>
        <w:numPr>
          <w:ilvl w:val="0"/>
          <w:numId w:val="41"/>
        </w:numPr>
      </w:pPr>
      <w:r w:rsidRPr="00093DA3">
        <w:t>484122 General Freight Trucki</w:t>
      </w:r>
      <w:r w:rsidRPr="00093DA3">
        <w:t>ng, Long-Dis</w:t>
      </w:r>
      <w:r w:rsidRPr="00176EB3">
        <w:t xml:space="preserve">tance, Less Than Truckload </w:t>
      </w:r>
    </w:p>
    <w:p w:rsidR="00815CC8" w:rsidRPr="00093DA3" w:rsidP="00815CC8" w14:paraId="310B1D8A" w14:textId="77777777">
      <w:pPr>
        <w:pStyle w:val="Item-Text"/>
        <w:numPr>
          <w:ilvl w:val="0"/>
          <w:numId w:val="41"/>
        </w:numPr>
      </w:pPr>
      <w:r w:rsidRPr="00093DA3">
        <w:t>484210 Used Househo</w:t>
      </w:r>
      <w:r w:rsidRPr="00176EB3">
        <w:t>ld and Office Goods Moving</w:t>
      </w:r>
    </w:p>
    <w:p w:rsidR="00815CC8" w:rsidRPr="00093DA3" w:rsidP="00815CC8" w14:paraId="12791060" w14:textId="77777777">
      <w:pPr>
        <w:pStyle w:val="Item-Text"/>
        <w:numPr>
          <w:ilvl w:val="0"/>
          <w:numId w:val="41"/>
        </w:numPr>
      </w:pPr>
      <w:r w:rsidRPr="00093DA3">
        <w:t>484220 Specialized Freight (except U</w:t>
      </w:r>
      <w:r w:rsidRPr="00176EB3">
        <w:t>sed Goods) Trucking, Local</w:t>
      </w:r>
    </w:p>
    <w:p w:rsidR="00815CC8" w:rsidRPr="00093DA3" w:rsidP="00815CC8" w14:paraId="4975F32A" w14:textId="77777777">
      <w:pPr>
        <w:pStyle w:val="Item-Text"/>
        <w:numPr>
          <w:ilvl w:val="0"/>
          <w:numId w:val="41"/>
        </w:numPr>
      </w:pPr>
      <w:r w:rsidRPr="00093DA3">
        <w:t>484230 Specialized Freight (except Used Good</w:t>
      </w:r>
      <w:r w:rsidRPr="00176EB3">
        <w:t>s) Trucking, Long-Distance</w:t>
      </w:r>
    </w:p>
    <w:p w:rsidR="00815CC8" w:rsidP="00815CC8" w14:paraId="4CFE6641" w14:textId="77777777">
      <w:pPr>
        <w:pStyle w:val="Item-Text"/>
      </w:pPr>
    </w:p>
    <w:p w:rsidR="00815CC8" w:rsidP="00815CC8" w14:paraId="56A596D7" w14:textId="40AFB870">
      <w:pPr>
        <w:pStyle w:val="Item-Text"/>
      </w:pPr>
      <w:r>
        <w:t>The S</w:t>
      </w:r>
      <w:r w:rsidRPr="000B5383">
        <w:t xml:space="preserve">mall Business Administration </w:t>
      </w:r>
      <w:r>
        <w:t>(</w:t>
      </w:r>
      <w:r>
        <w:t xml:space="preserve">SBA) </w:t>
      </w:r>
      <w:r w:rsidRPr="000B5383">
        <w:t xml:space="preserve">defines </w:t>
      </w:r>
      <w:r>
        <w:t>the small business standard for the above NAICS codes to be at the $30 million threshold in operating annual revenues</w:t>
      </w:r>
      <w:r w:rsidRPr="00E43F75">
        <w:t>.</w:t>
      </w:r>
      <w:r>
        <w:t xml:space="preserve"> For example, if a for-hire motor carrier of property and household goods has an operating revenue of less than $30 million, </w:t>
      </w:r>
      <w:r>
        <w:t>then the motor carrier would be considered a small business.</w:t>
      </w:r>
    </w:p>
    <w:p w:rsidR="00815CC8" w:rsidP="00815CC8" w14:paraId="29989E08" w14:textId="77777777">
      <w:pPr>
        <w:pStyle w:val="Item-Text"/>
      </w:pPr>
    </w:p>
    <w:p w:rsidR="00815CC8" w:rsidP="00815CC8" w14:paraId="5EF37045" w14:textId="26FA07A4">
      <w:pPr>
        <w:pStyle w:val="Item-Text"/>
      </w:pPr>
      <w:r>
        <w:t>FMCSA requires for-hire motor carriers of property and household goods with an operating revenue of $3M or greater, adjusted for inflation, to submit Form M. Thus, FMCSA requires small businesses with an operating revenue between $3M and $30M to submit For</w:t>
      </w:r>
      <w:r>
        <w:t xml:space="preserve">m M. </w:t>
      </w:r>
      <w:r w:rsidR="00B0112A">
        <w:t xml:space="preserve">FMCSA receives an </w:t>
      </w:r>
      <w:r>
        <w:t xml:space="preserve">average </w:t>
      </w:r>
      <w:r w:rsidR="00B0112A">
        <w:t>of</w:t>
      </w:r>
      <w:r>
        <w:t xml:space="preserve"> 42.7 Form M forms annually.</w:t>
      </w:r>
      <w:r>
        <w:rPr>
          <w:rStyle w:val="FootnoteReference"/>
        </w:rPr>
        <w:footnoteReference w:id="6"/>
      </w:r>
      <w:r>
        <w:t xml:space="preserve"> Of the 42.7 forms, FMCSA estimates 24 of the forms—or approximately 56%—are submitted by small businesses.</w:t>
      </w:r>
    </w:p>
    <w:p w:rsidR="00815CC8" w:rsidP="00815CC8" w14:paraId="3C26FF54" w14:textId="77777777">
      <w:pPr>
        <w:pStyle w:val="Item-Text"/>
      </w:pPr>
    </w:p>
    <w:p w:rsidR="00815CC8" w:rsidP="00815CC8" w14:paraId="3F1E0172" w14:textId="77777777">
      <w:pPr>
        <w:pStyle w:val="Item-Text"/>
      </w:pPr>
      <w:r>
        <w:t>To reduce the burden of Form M, in 1999, Form M</w:t>
      </w:r>
      <w:r w:rsidRPr="007D6EE2">
        <w:t xml:space="preserve"> was reduced to eight pages</w:t>
      </w:r>
      <w:r w:rsidR="00B0112A">
        <w:t>,</w:t>
      </w:r>
      <w:r>
        <w:t xml:space="preserve"> and in 2</w:t>
      </w:r>
      <w:r>
        <w:t>013, FMCSA</w:t>
      </w:r>
      <w:r w:rsidRPr="005B783E">
        <w:t xml:space="preserve"> eliminat</w:t>
      </w:r>
      <w:r>
        <w:t xml:space="preserve">ed the quarterly reports </w:t>
      </w:r>
      <w:r w:rsidRPr="005B783E">
        <w:t>includ</w:t>
      </w:r>
      <w:r>
        <w:t>ing</w:t>
      </w:r>
      <w:r w:rsidRPr="005B783E">
        <w:t xml:space="preserve"> </w:t>
      </w:r>
      <w:r>
        <w:t>“</w:t>
      </w:r>
      <w:r w:rsidRPr="00176EB3">
        <w:t>Form QFR Quarterly for</w:t>
      </w:r>
      <w:r w:rsidRPr="00AB5168">
        <w:t xml:space="preserve"> </w:t>
      </w:r>
      <w:r w:rsidRPr="00093DA3">
        <w:t>P</w:t>
      </w:r>
      <w:r w:rsidRPr="00176EB3">
        <w:t xml:space="preserve">roperty </w:t>
      </w:r>
      <w:r w:rsidRPr="00093DA3">
        <w:t>C</w:t>
      </w:r>
      <w:r w:rsidRPr="00176EB3">
        <w:t>arriers</w:t>
      </w:r>
      <w:r w:rsidRPr="00D454CD">
        <w:t>,</w:t>
      </w:r>
      <w:r>
        <w:t>” which was previously</w:t>
      </w:r>
      <w:r w:rsidRPr="00D454CD">
        <w:t xml:space="preserve"> authorized by OMB </w:t>
      </w:r>
      <w:r>
        <w:t xml:space="preserve">Control Number </w:t>
      </w:r>
      <w:r w:rsidRPr="00D454CD">
        <w:t>2126-003</w:t>
      </w:r>
      <w:r>
        <w:t xml:space="preserve">2. </w:t>
      </w:r>
    </w:p>
    <w:p w:rsidR="00815CC8" w:rsidP="00815CC8" w14:paraId="7D2A5AA3" w14:textId="77777777">
      <w:pPr>
        <w:pStyle w:val="Item-Text"/>
      </w:pPr>
    </w:p>
    <w:p w:rsidR="00815CC8" w:rsidRPr="00E14473" w:rsidP="00E14473" w14:paraId="5CE41274" w14:textId="414A8BF1">
      <w:pPr>
        <w:ind w:left="360"/>
        <w:jc w:val="both"/>
        <w:rPr>
          <w:rFonts w:ascii="Times New Roman" w:hAnsi="Times New Roman"/>
          <w:color w:val="2F5496" w:themeColor="accent1" w:themeShade="BF"/>
          <w:sz w:val="24"/>
          <w:szCs w:val="24"/>
        </w:rPr>
      </w:pPr>
      <w:r w:rsidRPr="00E14473">
        <w:rPr>
          <w:rFonts w:ascii="Times New Roman" w:hAnsi="Times New Roman"/>
          <w:sz w:val="24"/>
          <w:szCs w:val="24"/>
        </w:rPr>
        <w:t xml:space="preserve">FMCSA does not have the statutory authority to eliminate the annual reporting requirements </w:t>
      </w:r>
      <w:r w:rsidRPr="00E14473">
        <w:rPr>
          <w:rFonts w:ascii="Times New Roman" w:hAnsi="Times New Roman"/>
          <w:sz w:val="24"/>
          <w:szCs w:val="24"/>
        </w:rPr>
        <w:t>for property carriers.</w:t>
      </w:r>
      <w:r w:rsidRPr="00E14473" w:rsidR="0075037B">
        <w:rPr>
          <w:rFonts w:ascii="Times New Roman" w:hAnsi="Times New Roman"/>
          <w:sz w:val="24"/>
          <w:szCs w:val="24"/>
        </w:rPr>
        <w:t xml:space="preserve"> However, for this iteration of the PRA approval, FMCSA revised Form M to limit the information solicited to that which is statutorily required</w:t>
      </w:r>
      <w:r w:rsidRPr="00742323" w:rsidR="0075037B">
        <w:rPr>
          <w:rFonts w:ascii="Times New Roman" w:hAnsi="Times New Roman"/>
          <w:sz w:val="24"/>
          <w:szCs w:val="24"/>
        </w:rPr>
        <w:t>. FMCSA also created the option for the filer to upload their own document, showing the same information as requested in Form M, in lieu of completing the form itself.</w:t>
      </w:r>
      <w:r w:rsidRPr="00742323" w:rsidR="00E14473">
        <w:rPr>
          <w:rFonts w:ascii="Times New Roman" w:hAnsi="Times New Roman"/>
          <w:sz w:val="24"/>
          <w:szCs w:val="24"/>
        </w:rPr>
        <w:t xml:space="preserve"> </w:t>
      </w:r>
      <w:r w:rsidRPr="00E14473" w:rsidR="00E14473">
        <w:rPr>
          <w:rFonts w:ascii="Times New Roman" w:hAnsi="Times New Roman"/>
          <w:color w:val="2F5496" w:themeColor="accent1" w:themeShade="BF"/>
          <w:sz w:val="24"/>
          <w:szCs w:val="24"/>
        </w:rPr>
        <w:t xml:space="preserve"> </w:t>
      </w:r>
      <w:r w:rsidRPr="00FA2D8E" w:rsidR="00E14473">
        <w:rPr>
          <w:rFonts w:ascii="Times New Roman" w:hAnsi="Times New Roman"/>
          <w:sz w:val="24"/>
          <w:szCs w:val="24"/>
        </w:rPr>
        <w:t>FMCSA also removed Section 3, Schedule 300 - Operating Statistics, Section 4, Schedule 400 – Revenue Equipment, and Section 5, Schedule 500 – Employment Information, from the Form M.</w:t>
      </w:r>
    </w:p>
    <w:p w:rsidR="00815CC8" w:rsidP="00815CC8" w14:paraId="34A4D411" w14:textId="77777777">
      <w:pPr>
        <w:pStyle w:val="Item-Text"/>
      </w:pPr>
    </w:p>
    <w:p w:rsidR="00815CC8" w:rsidP="00815CC8" w14:paraId="75FD179F" w14:textId="77777777">
      <w:pPr>
        <w:pStyle w:val="Item-Text"/>
      </w:pPr>
      <w:r>
        <w:t xml:space="preserve">For-hire motor carriers of passengers </w:t>
      </w:r>
      <w:r>
        <w:rPr>
          <w:u w:val="single"/>
        </w:rPr>
        <w:t>(Form MP-1)</w:t>
      </w:r>
      <w:r>
        <w:t xml:space="preserve"> fall under the following NAICS codes:</w:t>
      </w:r>
    </w:p>
    <w:p w:rsidR="00815CC8" w:rsidRPr="00093DA3" w:rsidP="00815CC8" w14:paraId="098016FE" w14:textId="77777777">
      <w:pPr>
        <w:pStyle w:val="Item-Text"/>
        <w:numPr>
          <w:ilvl w:val="0"/>
          <w:numId w:val="40"/>
        </w:numPr>
        <w:rPr>
          <w:color w:val="000000"/>
        </w:rPr>
      </w:pPr>
      <w:r w:rsidRPr="00093DA3">
        <w:rPr>
          <w:color w:val="000000"/>
        </w:rPr>
        <w:t>485111 Mixed Mode Transit Systems</w:t>
      </w:r>
    </w:p>
    <w:p w:rsidR="00815CC8" w:rsidRPr="00093DA3" w:rsidP="00815CC8" w14:paraId="11FEB4DD" w14:textId="77777777">
      <w:pPr>
        <w:pStyle w:val="Item-Text"/>
        <w:numPr>
          <w:ilvl w:val="0"/>
          <w:numId w:val="40"/>
        </w:numPr>
        <w:rPr>
          <w:color w:val="000000"/>
        </w:rPr>
      </w:pPr>
      <w:r w:rsidRPr="00093DA3">
        <w:rPr>
          <w:color w:val="000000"/>
        </w:rPr>
        <w:t>485112 Commuter Rail Systems</w:t>
      </w:r>
    </w:p>
    <w:p w:rsidR="00815CC8" w:rsidRPr="00093DA3" w:rsidP="00815CC8" w14:paraId="736D4AAA" w14:textId="77777777">
      <w:pPr>
        <w:pStyle w:val="Item-Text"/>
        <w:numPr>
          <w:ilvl w:val="0"/>
          <w:numId w:val="40"/>
        </w:numPr>
        <w:rPr>
          <w:color w:val="000000"/>
        </w:rPr>
      </w:pPr>
      <w:r w:rsidRPr="00093DA3">
        <w:rPr>
          <w:color w:val="000000"/>
        </w:rPr>
        <w:t>485113 Bus and Other Motor Vehicle Transit Systems</w:t>
      </w:r>
    </w:p>
    <w:p w:rsidR="00815CC8" w:rsidRPr="00093DA3" w:rsidP="00815CC8" w14:paraId="42D6476E" w14:textId="77777777">
      <w:pPr>
        <w:pStyle w:val="Item-Text"/>
        <w:numPr>
          <w:ilvl w:val="0"/>
          <w:numId w:val="40"/>
        </w:numPr>
        <w:rPr>
          <w:color w:val="000000"/>
        </w:rPr>
      </w:pPr>
      <w:r w:rsidRPr="00093DA3">
        <w:rPr>
          <w:color w:val="000000"/>
        </w:rPr>
        <w:t>485119 Other Urban Transit Systems</w:t>
      </w:r>
    </w:p>
    <w:p w:rsidR="00815CC8" w:rsidRPr="00093DA3" w:rsidP="00815CC8" w14:paraId="317F218D" w14:textId="77777777">
      <w:pPr>
        <w:pStyle w:val="Item-Text"/>
        <w:numPr>
          <w:ilvl w:val="0"/>
          <w:numId w:val="40"/>
        </w:numPr>
        <w:rPr>
          <w:color w:val="000000"/>
        </w:rPr>
      </w:pPr>
      <w:r w:rsidRPr="00093DA3">
        <w:rPr>
          <w:color w:val="000000"/>
        </w:rPr>
        <w:t xml:space="preserve">485210 </w:t>
      </w:r>
      <w:r w:rsidRPr="00093DA3">
        <w:rPr>
          <w:color w:val="000000"/>
        </w:rPr>
        <w:t>Interurban and Rural Bus Transportation</w:t>
      </w:r>
    </w:p>
    <w:p w:rsidR="00815CC8" w:rsidRPr="00093DA3" w:rsidP="00815CC8" w14:paraId="7536E8D9" w14:textId="77777777">
      <w:pPr>
        <w:pStyle w:val="Item-Text"/>
        <w:numPr>
          <w:ilvl w:val="0"/>
          <w:numId w:val="40"/>
        </w:numPr>
        <w:rPr>
          <w:color w:val="000000"/>
        </w:rPr>
      </w:pPr>
      <w:r w:rsidRPr="00093DA3">
        <w:rPr>
          <w:color w:val="000000"/>
        </w:rPr>
        <w:t>485310 Taxi Service</w:t>
      </w:r>
    </w:p>
    <w:p w:rsidR="00815CC8" w:rsidRPr="00093DA3" w:rsidP="00815CC8" w14:paraId="568FC9BD" w14:textId="77777777">
      <w:pPr>
        <w:pStyle w:val="Item-Text"/>
        <w:numPr>
          <w:ilvl w:val="0"/>
          <w:numId w:val="40"/>
        </w:numPr>
        <w:rPr>
          <w:color w:val="000000"/>
        </w:rPr>
      </w:pPr>
      <w:r w:rsidRPr="00093DA3">
        <w:rPr>
          <w:color w:val="000000"/>
        </w:rPr>
        <w:t>485320 Limousine Service</w:t>
      </w:r>
    </w:p>
    <w:p w:rsidR="00815CC8" w:rsidRPr="00093DA3" w:rsidP="00815CC8" w14:paraId="653B29B4" w14:textId="77777777">
      <w:pPr>
        <w:pStyle w:val="Item-Text"/>
        <w:numPr>
          <w:ilvl w:val="0"/>
          <w:numId w:val="40"/>
        </w:numPr>
        <w:rPr>
          <w:color w:val="000000"/>
        </w:rPr>
      </w:pPr>
      <w:r w:rsidRPr="00093DA3">
        <w:rPr>
          <w:color w:val="000000"/>
        </w:rPr>
        <w:t>485410 School and Employee Bus Transportation</w:t>
      </w:r>
    </w:p>
    <w:p w:rsidR="00815CC8" w:rsidRPr="00093DA3" w:rsidP="00815CC8" w14:paraId="29BBDAA0" w14:textId="77777777">
      <w:pPr>
        <w:pStyle w:val="Item-Text"/>
        <w:numPr>
          <w:ilvl w:val="0"/>
          <w:numId w:val="40"/>
        </w:numPr>
        <w:rPr>
          <w:color w:val="000000"/>
        </w:rPr>
      </w:pPr>
      <w:r w:rsidRPr="00093DA3">
        <w:rPr>
          <w:color w:val="000000"/>
        </w:rPr>
        <w:t>485510 Charter Bus Industry</w:t>
      </w:r>
    </w:p>
    <w:p w:rsidR="00815CC8" w:rsidRPr="00093DA3" w:rsidP="00815CC8" w14:paraId="26BEE5BF" w14:textId="77777777">
      <w:pPr>
        <w:pStyle w:val="Item-Text"/>
        <w:numPr>
          <w:ilvl w:val="0"/>
          <w:numId w:val="40"/>
        </w:numPr>
        <w:rPr>
          <w:color w:val="000000"/>
        </w:rPr>
      </w:pPr>
      <w:r w:rsidRPr="00093DA3">
        <w:rPr>
          <w:color w:val="000000"/>
        </w:rPr>
        <w:t>485991 Special Needs Transportation</w:t>
      </w:r>
    </w:p>
    <w:p w:rsidR="00815CC8" w:rsidRPr="00093DA3" w:rsidP="00815CC8" w14:paraId="04809E04" w14:textId="77777777">
      <w:pPr>
        <w:pStyle w:val="Item-Text"/>
        <w:numPr>
          <w:ilvl w:val="0"/>
          <w:numId w:val="40"/>
        </w:numPr>
        <w:rPr>
          <w:color w:val="000000"/>
        </w:rPr>
      </w:pPr>
      <w:r w:rsidRPr="00093DA3">
        <w:rPr>
          <w:color w:val="000000"/>
        </w:rPr>
        <w:t>485999 All Other Transit and Ground Passenger Transportation</w:t>
      </w:r>
    </w:p>
    <w:p w:rsidR="00815CC8" w:rsidP="00815CC8" w14:paraId="553AB9D2" w14:textId="77777777">
      <w:pPr>
        <w:pStyle w:val="Item-Text"/>
      </w:pPr>
    </w:p>
    <w:p w:rsidR="00815CC8" w:rsidP="00815CC8" w14:paraId="48F79A3C" w14:textId="77777777">
      <w:pPr>
        <w:pStyle w:val="Item-Text"/>
      </w:pPr>
      <w:r>
        <w:t xml:space="preserve">The SBA </w:t>
      </w:r>
      <w:r w:rsidRPr="000B5383">
        <w:t xml:space="preserve">defines </w:t>
      </w:r>
      <w:r>
        <w:t>the small business standard for the above NAICS codes to be at the $16.5 million threshold in operating annual revenues</w:t>
      </w:r>
      <w:r w:rsidRPr="00E43F75">
        <w:t>.</w:t>
      </w:r>
      <w:r>
        <w:t xml:space="preserve"> FMCSA thus requires small businesses with an operating revenue between $</w:t>
      </w:r>
      <w:r w:rsidR="00857FB6">
        <w:t>5</w:t>
      </w:r>
      <w:r>
        <w:t xml:space="preserve"> million and $16.5 million, adjusted for infl</w:t>
      </w:r>
      <w:r>
        <w:t>ation, to submit Form MP-1. FMCSA did not receive any Form MP-1 data from 2016 to 2018. However, FMCSA does expect more than half of respondents in the future (if any) will be small businesses.</w:t>
      </w:r>
    </w:p>
    <w:p w:rsidR="00815CC8" w:rsidP="00815CC8" w14:paraId="5DE4CDAE" w14:textId="77777777">
      <w:pPr>
        <w:pStyle w:val="Item-Text"/>
      </w:pPr>
    </w:p>
    <w:p w:rsidR="00815CC8" w:rsidP="00815CC8" w14:paraId="2DB37CE8" w14:textId="77777777">
      <w:pPr>
        <w:pStyle w:val="Item-Text"/>
      </w:pPr>
      <w:r>
        <w:t>In an effort to reduce the burden to small businesses, on Dec</w:t>
      </w:r>
      <w:r>
        <w:t>ember 17, 2013, FMCSA</w:t>
      </w:r>
      <w:r w:rsidRPr="005B783E">
        <w:t xml:space="preserve"> eliminat</w:t>
      </w:r>
      <w:r>
        <w:t xml:space="preserve">ed the quarterly report for </w:t>
      </w:r>
      <w:r w:rsidRPr="00D454CD">
        <w:t xml:space="preserve">Class I passenger carrier financial </w:t>
      </w:r>
      <w:r>
        <w:t>quarterly survey “Form MP-1 Quarterly,”</w:t>
      </w:r>
      <w:r w:rsidRPr="00FB7B74">
        <w:t xml:space="preserve"> authorized by</w:t>
      </w:r>
      <w:r>
        <w:t xml:space="preserve"> </w:t>
      </w:r>
      <w:r w:rsidRPr="00FB7B74">
        <w:t xml:space="preserve">OMB </w:t>
      </w:r>
      <w:r>
        <w:t>Control Number</w:t>
      </w:r>
      <w:r w:rsidRPr="00FB7B74">
        <w:t xml:space="preserve"> 2126-0031</w:t>
      </w:r>
      <w:r>
        <w:t>.</w:t>
      </w:r>
    </w:p>
    <w:p w:rsidR="00815CC8" w:rsidP="00815CC8" w14:paraId="59CB8AF3" w14:textId="77777777">
      <w:pPr>
        <w:pStyle w:val="Item-Text"/>
      </w:pPr>
    </w:p>
    <w:p w:rsidR="00815CC8" w:rsidP="00815CC8" w14:paraId="709E6EBB" w14:textId="52C9B85E">
      <w:pPr>
        <w:pStyle w:val="Item-Text"/>
      </w:pPr>
      <w:r w:rsidRPr="005B783E">
        <w:t>FMCSA does not have the statutory</w:t>
      </w:r>
      <w:r>
        <w:t xml:space="preserve"> </w:t>
      </w:r>
      <w:r w:rsidRPr="005B783E">
        <w:t>authority to eliminate the annual reporting</w:t>
      </w:r>
      <w:r w:rsidRPr="005B783E">
        <w:t xml:space="preserve"> requirements for </w:t>
      </w:r>
      <w:r>
        <w:t>passenger</w:t>
      </w:r>
      <w:r w:rsidRPr="005B783E">
        <w:t xml:space="preserve"> </w:t>
      </w:r>
      <w:r>
        <w:t>carriers.</w:t>
      </w:r>
      <w:r w:rsidR="0075037B">
        <w:t xml:space="preserve"> However, for this iteration of the PRA approval, FMCSA created the option for the filer to upload their own document, showing the same information as requested in Form MP-1, in lieu of completing the form itself.</w:t>
      </w:r>
    </w:p>
    <w:p w:rsidR="00815CC8" w:rsidP="00815CC8" w14:paraId="090AEFB4" w14:textId="77777777">
      <w:pPr>
        <w:pStyle w:val="Item-Text"/>
      </w:pPr>
    </w:p>
    <w:p w:rsidR="00815CC8" w:rsidRPr="000B5383" w:rsidP="0004113A" w14:paraId="5802E884" w14:textId="77777777">
      <w:pPr>
        <w:pStyle w:val="Item-Header"/>
      </w:pPr>
      <w:r w:rsidRPr="000B5383">
        <w:t>Impa</w:t>
      </w:r>
      <w:r w:rsidRPr="000B5383">
        <w:t>ct of Less Frequent Collection of Information</w:t>
      </w:r>
    </w:p>
    <w:p w:rsidR="00815CC8" w:rsidP="00815CC8" w14:paraId="029EE53A" w14:textId="77777777">
      <w:pPr>
        <w:pStyle w:val="Item-Text"/>
      </w:pPr>
      <w:r>
        <w:t xml:space="preserve">As required by statute, FMCSA requires that Form M and Form MP-1 be submitted on an annual basis. Updating financial data on an annual basis is consistent with financial reporting standards. </w:t>
      </w:r>
    </w:p>
    <w:p w:rsidR="00815CC8" w:rsidP="005C7EEE" w14:paraId="24CC8A4F" w14:textId="77777777">
      <w:pPr>
        <w:ind w:left="720"/>
        <w:rPr>
          <w:rFonts w:ascii="Times New Roman" w:hAnsi="Times New Roman"/>
        </w:rPr>
      </w:pPr>
    </w:p>
    <w:p w:rsidR="00815CC8" w:rsidRPr="000B5383" w:rsidP="0004113A" w14:paraId="55E2C0EE" w14:textId="77777777">
      <w:pPr>
        <w:pStyle w:val="Item-Header"/>
      </w:pPr>
      <w:r w:rsidRPr="000B5383">
        <w:t>Special Circumsta</w:t>
      </w:r>
      <w:r w:rsidRPr="000B5383">
        <w:t>nces</w:t>
      </w:r>
    </w:p>
    <w:p w:rsidR="00815CC8" w:rsidP="00815CC8" w14:paraId="77105F32" w14:textId="77777777">
      <w:pPr>
        <w:pStyle w:val="Item-Text"/>
      </w:pPr>
      <w:r w:rsidRPr="000B5383">
        <w:t>There are no special circumstances.</w:t>
      </w:r>
    </w:p>
    <w:p w:rsidR="00815CC8" w:rsidP="005C7EEE" w14:paraId="4A210137" w14:textId="77777777">
      <w:pPr>
        <w:ind w:firstLine="720"/>
        <w:outlineLvl w:val="0"/>
        <w:rPr>
          <w:rFonts w:ascii="Times New Roman" w:hAnsi="Times New Roman"/>
          <w:b/>
        </w:rPr>
      </w:pPr>
    </w:p>
    <w:p w:rsidR="00815CC8" w:rsidRPr="000B5383" w:rsidP="0004113A" w14:paraId="6F388527" w14:textId="77777777">
      <w:pPr>
        <w:pStyle w:val="Item-Header"/>
      </w:pPr>
      <w:r w:rsidRPr="000B5383">
        <w:t>Compliance with 4 CFR 1320.8</w:t>
      </w:r>
    </w:p>
    <w:p w:rsidR="00815CC8" w:rsidP="00A54D90" w14:paraId="665911C4" w14:textId="15D240FB">
      <w:pPr>
        <w:pStyle w:val="Item-Text"/>
      </w:pPr>
      <w:r>
        <w:t xml:space="preserve">FMCSA published a Federal Register notice (86 FR 59446) on October </w:t>
      </w:r>
      <w:r w:rsidR="004F60CD">
        <w:t>11</w:t>
      </w:r>
      <w:r>
        <w:t xml:space="preserve">, 2021, announcing FMCSA’s intent to submit this ICR to OMB for approval and requesting comments from the public for 60 days. </w:t>
      </w:r>
      <w:r w:rsidRPr="006A3DCD">
        <w:t xml:space="preserve">FMCSA received </w:t>
      </w:r>
      <w:r>
        <w:t>0</w:t>
      </w:r>
      <w:r w:rsidRPr="006A3DCD">
        <w:t xml:space="preserve"> comments in response to the 60-day Federal Register notice</w:t>
      </w:r>
      <w:r>
        <w:t>.</w:t>
      </w:r>
    </w:p>
    <w:p w:rsidR="00A54D90" w:rsidP="00A54D90" w14:paraId="728C8D1C" w14:textId="150E5593">
      <w:pPr>
        <w:pStyle w:val="Item-Text"/>
      </w:pPr>
    </w:p>
    <w:p w:rsidR="00A54D90" w:rsidRPr="0034105B" w:rsidP="00A54D90" w14:paraId="61F5992E" w14:textId="0D47530A">
      <w:pPr>
        <w:pStyle w:val="Item-Text"/>
      </w:pPr>
      <w:r>
        <w:t xml:space="preserve">FMCSA published a Federal Register notice (87 FR </w:t>
      </w:r>
      <w:r w:rsidR="00087499">
        <w:t>30327</w:t>
      </w:r>
      <w:r>
        <w:t xml:space="preserve">) on </w:t>
      </w:r>
      <w:r w:rsidR="00087499">
        <w:t xml:space="preserve">May 18, 2022, </w:t>
      </w:r>
      <w:r>
        <w:t>announcing the submission of this ICR to OMB for approval, and soliciting comments for 30 days.</w:t>
      </w:r>
    </w:p>
    <w:p w:rsidR="00815CC8" w:rsidP="00815CC8" w14:paraId="020B7BED" w14:textId="77777777">
      <w:pPr>
        <w:ind w:left="720"/>
        <w:rPr>
          <w:rFonts w:ascii="Times New Roman" w:hAnsi="Times New Roman"/>
        </w:rPr>
      </w:pPr>
    </w:p>
    <w:p w:rsidR="00815CC8" w:rsidRPr="000B5383" w:rsidP="0004113A" w14:paraId="0D9DDFE8" w14:textId="77777777">
      <w:pPr>
        <w:pStyle w:val="Item-Header"/>
      </w:pPr>
      <w:r w:rsidRPr="000B5383">
        <w:t>Payments or Gifts to Res</w:t>
      </w:r>
      <w:r w:rsidRPr="000B5383">
        <w:t>pondents</w:t>
      </w:r>
    </w:p>
    <w:p w:rsidR="00815CC8" w:rsidRPr="000B5383" w:rsidP="00815CC8" w14:paraId="7CA39295" w14:textId="77777777">
      <w:pPr>
        <w:pStyle w:val="Item-Text"/>
      </w:pPr>
      <w:r w:rsidRPr="000B5383">
        <w:t>There are no payments or gifts to respondents.</w:t>
      </w:r>
    </w:p>
    <w:p w:rsidR="00815CC8" w:rsidRPr="000B5383" w:rsidP="00815CC8" w14:paraId="2A3B6407" w14:textId="77777777">
      <w:pPr>
        <w:ind w:left="720" w:hanging="720"/>
        <w:rPr>
          <w:rFonts w:ascii="Times New Roman" w:hAnsi="Times New Roman"/>
        </w:rPr>
      </w:pPr>
    </w:p>
    <w:p w:rsidR="00815CC8" w:rsidRPr="000B5383" w:rsidP="0004113A" w14:paraId="43792ACC" w14:textId="77777777">
      <w:pPr>
        <w:pStyle w:val="Item-Header"/>
      </w:pPr>
      <w:r w:rsidRPr="000B5383">
        <w:t>Assurance of Confidentiality:</w:t>
      </w:r>
    </w:p>
    <w:p w:rsidR="00815CC8" w:rsidRPr="000B5383" w:rsidP="00815CC8" w14:paraId="1A6BAE2D" w14:textId="77777777">
      <w:pPr>
        <w:pStyle w:val="Item-Text"/>
      </w:pPr>
      <w:r w:rsidRPr="000B5383">
        <w:t>Currently</w:t>
      </w:r>
      <w:r>
        <w:t>,</w:t>
      </w:r>
      <w:r w:rsidRPr="000B5383">
        <w:t xml:space="preserve"> all data are made available at the respondent level. </w:t>
      </w:r>
      <w:r>
        <w:t>R</w:t>
      </w:r>
      <w:r w:rsidRPr="000B5383">
        <w:t>egulation</w:t>
      </w:r>
      <w:r>
        <w:t>s</w:t>
      </w:r>
      <w:r w:rsidRPr="000B5383">
        <w:t xml:space="preserve"> </w:t>
      </w:r>
      <w:r>
        <w:t xml:space="preserve">at </w:t>
      </w:r>
      <w:r w:rsidRPr="000B5383">
        <w:t xml:space="preserve">49 CFR </w:t>
      </w:r>
      <w:r>
        <w:t>part 369</w:t>
      </w:r>
      <w:r w:rsidRPr="000B5383">
        <w:t xml:space="preserve"> allow a motor carrier to request </w:t>
      </w:r>
      <w:r>
        <w:t>an exemption from filing (369.8) or publi</w:t>
      </w:r>
      <w:r>
        <w:t>c release (369.9)</w:t>
      </w:r>
      <w:r w:rsidRPr="000B5383">
        <w:t xml:space="preserve">. The decision to grant the exemptions is based on the criteria established </w:t>
      </w:r>
      <w:r>
        <w:t xml:space="preserve">by </w:t>
      </w:r>
      <w:r w:rsidRPr="000B5383">
        <w:t>those regulations.</w:t>
      </w:r>
    </w:p>
    <w:p w:rsidR="00815CC8" w:rsidRPr="000B5383" w:rsidP="00815CC8" w14:paraId="3005B490" w14:textId="77777777">
      <w:pPr>
        <w:ind w:left="720" w:hanging="720"/>
        <w:rPr>
          <w:rFonts w:ascii="Times New Roman" w:hAnsi="Times New Roman"/>
          <w:b/>
        </w:rPr>
      </w:pPr>
    </w:p>
    <w:p w:rsidR="00815CC8" w:rsidRPr="000B5383" w:rsidP="0004113A" w14:paraId="65ECC556" w14:textId="77777777">
      <w:pPr>
        <w:pStyle w:val="Item-Header"/>
      </w:pPr>
      <w:r w:rsidRPr="000B5383">
        <w:t>Justification for Collection of Sensitive Information</w:t>
      </w:r>
    </w:p>
    <w:p w:rsidR="00815CC8" w:rsidRPr="000B5383" w:rsidP="00815CC8" w14:paraId="475B69F4" w14:textId="77777777">
      <w:pPr>
        <w:pStyle w:val="Item-Text"/>
      </w:pPr>
      <w:r>
        <w:t xml:space="preserve">There are no questions of a sensitive </w:t>
      </w:r>
      <w:r w:rsidRPr="000B5383">
        <w:t>nature.</w:t>
      </w:r>
    </w:p>
    <w:p w:rsidR="00815CC8" w:rsidRPr="000B5383" w:rsidP="00815CC8" w14:paraId="18FC9D32" w14:textId="77777777">
      <w:pPr>
        <w:ind w:left="720" w:hanging="720"/>
        <w:rPr>
          <w:rFonts w:ascii="Times New Roman" w:hAnsi="Times New Roman"/>
        </w:rPr>
      </w:pPr>
    </w:p>
    <w:p w:rsidR="00815CC8" w:rsidRPr="000B5383" w:rsidP="0004113A" w14:paraId="2E273BB1" w14:textId="77777777">
      <w:pPr>
        <w:pStyle w:val="Item-Header"/>
      </w:pPr>
      <w:r w:rsidRPr="000B5383">
        <w:t>Estimate of Burden Hours for Informatio</w:t>
      </w:r>
      <w:r w:rsidRPr="000B5383">
        <w:t>n Requested</w:t>
      </w:r>
    </w:p>
    <w:p w:rsidR="00815CC8" w:rsidRPr="00F24259" w:rsidP="00815CC8" w14:paraId="3229B571" w14:textId="77777777">
      <w:pPr>
        <w:pStyle w:val="Item-Text"/>
      </w:pPr>
      <w:r>
        <w:t xml:space="preserve">This ICR covers two information collections: Form M, filed by </w:t>
      </w:r>
      <w:r w:rsidRPr="00567BB5">
        <w:t>Clas</w:t>
      </w:r>
      <w:r>
        <w:t xml:space="preserve">s I and Class II motor carriers of property and household goods, and Form MP-1, filed by </w:t>
      </w:r>
      <w:r w:rsidRPr="00BF77FF">
        <w:t xml:space="preserve">Class I </w:t>
      </w:r>
      <w:r>
        <w:t>m</w:t>
      </w:r>
      <w:r w:rsidRPr="00BF77FF">
        <w:t xml:space="preserve">otor </w:t>
      </w:r>
      <w:r>
        <w:t>c</w:t>
      </w:r>
      <w:r w:rsidRPr="00BF77FF">
        <w:t xml:space="preserve">arriers of </w:t>
      </w:r>
      <w:r>
        <w:t>p</w:t>
      </w:r>
      <w:r w:rsidRPr="00BF77FF">
        <w:t>assengers</w:t>
      </w:r>
      <w:r>
        <w:t>. The following section summarizes the estimated burd</w:t>
      </w:r>
      <w:r>
        <w:t>en hours, by form.</w:t>
      </w:r>
    </w:p>
    <w:p w:rsidR="00815CC8" w:rsidP="00815CC8" w14:paraId="0522761D" w14:textId="77777777">
      <w:pPr>
        <w:pStyle w:val="Item-Text"/>
      </w:pPr>
    </w:p>
    <w:p w:rsidR="00815CC8" w:rsidP="00815CC8" w14:paraId="1619E3A5" w14:textId="77777777">
      <w:pPr>
        <w:pStyle w:val="Item-Text"/>
        <w:rPr>
          <w:u w:val="single"/>
        </w:rPr>
      </w:pPr>
      <w:r w:rsidRPr="00176EB3">
        <w:rPr>
          <w:u w:val="single"/>
        </w:rPr>
        <w:t xml:space="preserve">Information Collection 1: </w:t>
      </w:r>
      <w:r w:rsidRPr="00093DA3">
        <w:rPr>
          <w:u w:val="single"/>
        </w:rPr>
        <w:t xml:space="preserve">Class I </w:t>
      </w:r>
      <w:r>
        <w:rPr>
          <w:u w:val="single"/>
        </w:rPr>
        <w:t xml:space="preserve">Non-Exempt </w:t>
      </w:r>
      <w:r w:rsidRPr="00093DA3">
        <w:rPr>
          <w:u w:val="single"/>
        </w:rPr>
        <w:t>Motor Carriers of Property and Household Goods (</w:t>
      </w:r>
      <w:r w:rsidRPr="00176EB3">
        <w:rPr>
          <w:u w:val="single"/>
        </w:rPr>
        <w:t>Form M)</w:t>
      </w:r>
    </w:p>
    <w:p w:rsidR="00815CC8" w:rsidRPr="00176EB3" w:rsidP="00815CC8" w14:paraId="7A3EF1C0" w14:textId="77777777">
      <w:pPr>
        <w:pStyle w:val="Item-Text"/>
        <w:rPr>
          <w:u w:val="single"/>
        </w:rPr>
      </w:pPr>
    </w:p>
    <w:p w:rsidR="00815CC8" w:rsidRPr="00E44264" w:rsidP="00815CC8" w14:paraId="5BCD5786" w14:textId="7F8A2601">
      <w:pPr>
        <w:pStyle w:val="Item-Text"/>
      </w:pPr>
      <w:r>
        <w:t>FMCSA classifies non-</w:t>
      </w:r>
      <w:r w:rsidRPr="00F0257D">
        <w:t>exempt</w:t>
      </w:r>
      <w:r w:rsidRPr="005F3D34">
        <w:rPr>
          <w:b/>
          <w:bCs/>
          <w:color w:val="333333"/>
          <w:shd w:val="clear" w:color="auto" w:fill="FFFFFF"/>
        </w:rPr>
        <w:t xml:space="preserve"> </w:t>
      </w:r>
      <w:r w:rsidRPr="00F0257D">
        <w:t>motor</w:t>
      </w:r>
      <w:r>
        <w:t xml:space="preserve"> carriers of property,</w:t>
      </w:r>
      <w:r w:rsidRPr="00567BB5">
        <w:t xml:space="preserve"> </w:t>
      </w:r>
      <w:r>
        <w:t xml:space="preserve">household goods, and dual property carriers under three classifications. Class I carriers </w:t>
      </w:r>
      <w:r w:rsidRPr="00B759F3">
        <w:t>hav</w:t>
      </w:r>
      <w:r>
        <w:t>e an</w:t>
      </w:r>
      <w:r w:rsidRPr="00B759F3">
        <w:t xml:space="preserve"> annual operatin</w:t>
      </w:r>
      <w:r>
        <w:t>g</w:t>
      </w:r>
      <w:r w:rsidRPr="00B759F3">
        <w:t xml:space="preserve"> revenue of $10 million or more</w:t>
      </w:r>
      <w:r w:rsidR="00934EAC">
        <w:t>;</w:t>
      </w:r>
      <w:r>
        <w:rPr>
          <w:rStyle w:val="FootnoteReference"/>
        </w:rPr>
        <w:footnoteReference w:id="7"/>
      </w:r>
      <w:r>
        <w:t xml:space="preserve"> Class II ca</w:t>
      </w:r>
      <w:r w:rsidRPr="00B759F3">
        <w:t xml:space="preserve">rriers </w:t>
      </w:r>
      <w:r>
        <w:t xml:space="preserve">have an </w:t>
      </w:r>
      <w:r w:rsidRPr="00B759F3">
        <w:t>annual operating revenue of at least $3 million but less than $10 million</w:t>
      </w:r>
      <w:r>
        <w:t>;</w:t>
      </w:r>
      <w:r w:rsidRPr="00B759F3">
        <w:t xml:space="preserve"> </w:t>
      </w:r>
      <w:r>
        <w:t>and Cl</w:t>
      </w:r>
      <w:r>
        <w:t>ass III c</w:t>
      </w:r>
      <w:r w:rsidRPr="00B759F3">
        <w:t xml:space="preserve">arriers </w:t>
      </w:r>
      <w:r>
        <w:t xml:space="preserve">have an </w:t>
      </w:r>
      <w:r w:rsidRPr="00B759F3">
        <w:t>annual operating revenue</w:t>
      </w:r>
      <w:r>
        <w:t xml:space="preserve"> of less than $3 million. FMCSA requires motor carriers with operating revenues of more than $3 million to submit Form M on an annual basis.</w:t>
      </w:r>
      <w:r w:rsidRPr="00567BB5">
        <w:t xml:space="preserve"> </w:t>
      </w:r>
      <w:r>
        <w:t xml:space="preserve">Because the $3 million </w:t>
      </w:r>
      <w:r w:rsidRPr="00567BB5">
        <w:t>threshold w</w:t>
      </w:r>
      <w:r>
        <w:t xml:space="preserve">as </w:t>
      </w:r>
      <w:r w:rsidRPr="00567BB5">
        <w:t>implemented in 1994</w:t>
      </w:r>
      <w:r>
        <w:t>, carriers</w:t>
      </w:r>
      <w:r>
        <w:t xml:space="preserve"> must adjust their operating revenue threshold using the following formula: [</w:t>
      </w:r>
      <w:r w:rsidRPr="001670E0">
        <w:t xml:space="preserve">Current year's annual operating revenue × </w:t>
      </w:r>
      <w:r>
        <w:t>(</w:t>
      </w:r>
      <w:r w:rsidRPr="001670E0">
        <w:t xml:space="preserve">1994 average </w:t>
      </w:r>
      <w:r w:rsidR="00C5650F">
        <w:t xml:space="preserve">Producer Price </w:t>
      </w:r>
      <w:r w:rsidR="0070379B">
        <w:t>Index</w:t>
      </w:r>
      <w:r w:rsidR="00C5650F">
        <w:t xml:space="preserve"> (</w:t>
      </w:r>
      <w:r w:rsidRPr="001670E0">
        <w:t>PPI</w:t>
      </w:r>
      <w:r w:rsidR="00C5650F">
        <w:t>)</w:t>
      </w:r>
      <w:r>
        <w:t xml:space="preserve"> /</w:t>
      </w:r>
      <w:r w:rsidRPr="001670E0">
        <w:t xml:space="preserve"> Current year</w:t>
      </w:r>
      <w:r>
        <w:t>’</w:t>
      </w:r>
      <w:r w:rsidRPr="001670E0">
        <w:t>s average PPI</w:t>
      </w:r>
      <w:r>
        <w:t>)</w:t>
      </w:r>
      <w:r w:rsidRPr="001670E0">
        <w:t xml:space="preserve"> = Adjusted annual operating revenues</w:t>
      </w:r>
      <w:r>
        <w:t>]</w:t>
      </w:r>
      <w:r w:rsidRPr="00FC6D0B">
        <w:t>. For</w:t>
      </w:r>
      <w:r>
        <w:t xml:space="preserve"> example, if a carrier</w:t>
      </w:r>
      <w:r w:rsidRPr="00FC6D0B">
        <w:t xml:space="preserve"> h</w:t>
      </w:r>
      <w:r w:rsidRPr="00FC6D0B">
        <w:t>a</w:t>
      </w:r>
      <w:r>
        <w:t>s</w:t>
      </w:r>
      <w:r w:rsidRPr="00FC6D0B">
        <w:t xml:space="preserve"> $3</w:t>
      </w:r>
      <w:r>
        <w:t>.5</w:t>
      </w:r>
      <w:r w:rsidRPr="00FC6D0B">
        <w:t xml:space="preserve"> million operating revenue in 20</w:t>
      </w:r>
      <w:r w:rsidR="009464C6">
        <w:t>20</w:t>
      </w:r>
      <w:r w:rsidRPr="00FC6D0B">
        <w:t xml:space="preserve">, the </w:t>
      </w:r>
      <w:r>
        <w:t>formula would be [$3.5 million</w:t>
      </w:r>
      <w:r w:rsidRPr="00093DA3">
        <w:t xml:space="preserve"> </w:t>
      </w:r>
      <w:r>
        <w:t>x [</w:t>
      </w:r>
      <w:r w:rsidR="009C3F56">
        <w:t>125.54</w:t>
      </w:r>
      <w:r>
        <w:t xml:space="preserve"> (</w:t>
      </w:r>
      <w:r w:rsidRPr="00093DA3">
        <w:t>19</w:t>
      </w:r>
      <w:r w:rsidR="00E26600">
        <w:t>94</w:t>
      </w:r>
      <w:r w:rsidRPr="00093DA3">
        <w:t xml:space="preserve"> average PPI</w:t>
      </w:r>
      <w:r>
        <w:rPr>
          <w:rStyle w:val="FootnoteReference"/>
        </w:rPr>
        <w:footnoteReference w:id="8"/>
      </w:r>
      <w:r>
        <w:t xml:space="preserve">) / </w:t>
      </w:r>
      <w:r w:rsidR="006721D2">
        <w:t>202.88</w:t>
      </w:r>
      <w:r>
        <w:t xml:space="preserve"> (c</w:t>
      </w:r>
      <w:r w:rsidRPr="00093DA3">
        <w:t>urrent year's average PPI</w:t>
      </w:r>
      <w:r>
        <w:rPr>
          <w:rStyle w:val="FootnoteReference"/>
        </w:rPr>
        <w:footnoteReference w:id="9"/>
      </w:r>
      <w:r>
        <w:t>)] = $2.3 million (adjusted annual operating revenue)]. Thus, the equivalent of $3.5 million revenue in 20</w:t>
      </w:r>
      <w:r w:rsidR="009D3EF4">
        <w:t>20</w:t>
      </w:r>
      <w:r>
        <w:t xml:space="preserve"> is $2.</w:t>
      </w:r>
      <w:r w:rsidR="006C34CF">
        <w:t>2</w:t>
      </w:r>
      <w:r>
        <w:t xml:space="preserve"> million in 1994 dollars. In this example, the carrier would not have to submit Form M because it does meet the $3 million threshold.</w:t>
      </w:r>
    </w:p>
    <w:p w:rsidR="00815CC8" w:rsidRPr="00E44264" w:rsidP="00815CC8" w14:paraId="6FA3846C" w14:textId="77777777">
      <w:pPr>
        <w:pStyle w:val="Item-Text"/>
      </w:pPr>
    </w:p>
    <w:p w:rsidR="00815CC8" w:rsidP="00815CC8" w14:paraId="6F1C0DC8" w14:textId="19F92FD5">
      <w:pPr>
        <w:pStyle w:val="Item-Text"/>
      </w:pPr>
      <w:bookmarkStart w:id="2" w:name="_Hlk90367260"/>
      <w:r>
        <w:t xml:space="preserve">FMCSA received </w:t>
      </w:r>
      <w:r w:rsidR="005602C6">
        <w:t>43</w:t>
      </w:r>
      <w:r>
        <w:t xml:space="preserve"> forms in 201</w:t>
      </w:r>
      <w:r w:rsidR="0029420C">
        <w:t>8</w:t>
      </w:r>
      <w:r>
        <w:t xml:space="preserve">, </w:t>
      </w:r>
      <w:r w:rsidR="005602C6">
        <w:t>19</w:t>
      </w:r>
      <w:r>
        <w:t xml:space="preserve"> in 201</w:t>
      </w:r>
      <w:r w:rsidR="0029420C">
        <w:t>9</w:t>
      </w:r>
      <w:r>
        <w:t xml:space="preserve">, and </w:t>
      </w:r>
      <w:r w:rsidR="008B635D">
        <w:t>41</w:t>
      </w:r>
      <w:r>
        <w:t xml:space="preserve"> in 20</w:t>
      </w:r>
      <w:r w:rsidR="0029420C">
        <w:t>20</w:t>
      </w:r>
      <w:r>
        <w:t xml:space="preserve">. Thus, on average, FMCSA expects to receive </w:t>
      </w:r>
      <w:r w:rsidR="00B567A1">
        <w:t>34</w:t>
      </w:r>
      <w:r>
        <w:t xml:space="preserve"> form</w:t>
      </w:r>
      <w:r>
        <w:t>s per year (</w:t>
      </w:r>
      <w:r w:rsidR="008B635D">
        <w:t>43</w:t>
      </w:r>
      <w:r>
        <w:t xml:space="preserve"> </w:t>
      </w:r>
      <w:r w:rsidR="000438B6">
        <w:t xml:space="preserve">+ </w:t>
      </w:r>
      <w:r w:rsidR="008B635D">
        <w:t>1</w:t>
      </w:r>
      <w:r>
        <w:t xml:space="preserve">9 </w:t>
      </w:r>
      <w:r w:rsidR="000438B6">
        <w:t>+</w:t>
      </w:r>
      <w:r>
        <w:t xml:space="preserve"> </w:t>
      </w:r>
      <w:r w:rsidR="008B635D">
        <w:t>41</w:t>
      </w:r>
      <w:r>
        <w:t xml:space="preserve"> = 1</w:t>
      </w:r>
      <w:r w:rsidR="000438B6">
        <w:t>03</w:t>
      </w:r>
      <w:r>
        <w:t xml:space="preserve"> / 3 years = </w:t>
      </w:r>
      <w:r w:rsidR="000438B6">
        <w:t>34</w:t>
      </w:r>
      <w:r>
        <w:t xml:space="preserve"> forms per year</w:t>
      </w:r>
      <w:r w:rsidR="004552F9">
        <w:t>).</w:t>
      </w:r>
    </w:p>
    <w:p w:rsidR="00815CC8" w:rsidRPr="00093DA3" w:rsidP="00815CC8" w14:paraId="224996E3" w14:textId="77777777">
      <w:pPr>
        <w:pStyle w:val="Item-Text"/>
      </w:pPr>
      <w:r w:rsidRPr="00093DA3">
        <w:t xml:space="preserve"> </w:t>
      </w:r>
    </w:p>
    <w:p w:rsidR="00815CC8" w:rsidP="00815CC8" w14:paraId="7C2E4539" w14:textId="30417D2A">
      <w:pPr>
        <w:pStyle w:val="Item-Text"/>
      </w:pPr>
      <w:r w:rsidRPr="00E44264">
        <w:t xml:space="preserve">FMCSA estimates that each carrier will spend an average of 9 hours completing Form M, resulting in a total of </w:t>
      </w:r>
      <w:r w:rsidR="00540E2F">
        <w:t>306</w:t>
      </w:r>
      <w:r w:rsidRPr="00E44264">
        <w:t xml:space="preserve"> burden hours per year </w:t>
      </w:r>
      <w:r>
        <w:t>(</w:t>
      </w:r>
      <w:r w:rsidR="00B567A1">
        <w:t>34</w:t>
      </w:r>
      <w:r>
        <w:t xml:space="preserve"> respondents x 9 hours per response) </w:t>
      </w:r>
      <w:r w:rsidRPr="00E44264">
        <w:t>for all carriers</w:t>
      </w:r>
      <w:r>
        <w:t xml:space="preserve"> required to submit the form</w:t>
      </w:r>
      <w:r w:rsidRPr="00E44264">
        <w:t xml:space="preserve">. </w:t>
      </w:r>
    </w:p>
    <w:bookmarkEnd w:id="2"/>
    <w:p w:rsidR="00815CC8" w:rsidP="00815CC8" w14:paraId="162295D8" w14:textId="77777777">
      <w:pPr>
        <w:pStyle w:val="Item-Text"/>
      </w:pPr>
    </w:p>
    <w:p w:rsidR="00F3008C" w:rsidP="00DA610A" w14:paraId="06D87985" w14:textId="6D135446">
      <w:pPr>
        <w:pStyle w:val="Item-Text"/>
      </w:pPr>
      <w:r w:rsidRPr="00FC4C47">
        <w:t>FMCSA expects completion and sub</w:t>
      </w:r>
      <w:r w:rsidRPr="00FC4C47">
        <w:t>mission of Form M to be performed by an accountant designated by the motor carrier business entity. The median salary of an accountant in the truck transportation industry is $3</w:t>
      </w:r>
      <w:r w:rsidR="003168C8">
        <w:t>1</w:t>
      </w:r>
      <w:r w:rsidRPr="00FC4C47">
        <w:t>.</w:t>
      </w:r>
      <w:r w:rsidR="003168C8">
        <w:t>97</w:t>
      </w:r>
      <w:r w:rsidRPr="00FC4C47">
        <w:t xml:space="preserve"> </w:t>
      </w:r>
      <w:r w:rsidRPr="00176EB3">
        <w:t>per hour.</w:t>
      </w:r>
      <w:r>
        <w:rPr>
          <w:rStyle w:val="FootnoteReference"/>
        </w:rPr>
        <w:footnoteReference w:id="10"/>
      </w:r>
      <w:r w:rsidRPr="00176EB3">
        <w:t xml:space="preserve"> To arrive at a loaded wage, we </w:t>
      </w:r>
      <w:r w:rsidRPr="00FC4C47">
        <w:t>divid</w:t>
      </w:r>
      <w:r w:rsidR="00FE265B">
        <w:t>e</w:t>
      </w:r>
      <w:r w:rsidRPr="00FC4C47">
        <w:t xml:space="preserve"> the total cost of compensation for private industry workers of the transportation and </w:t>
      </w:r>
      <w:r w:rsidR="00FE7847">
        <w:t xml:space="preserve">material moving series </w:t>
      </w:r>
      <w:r w:rsidRPr="00FC4C47">
        <w:t>(</w:t>
      </w:r>
      <w:r w:rsidRPr="00994F85">
        <w:t>$</w:t>
      </w:r>
      <w:r w:rsidRPr="005C7EEE" w:rsidR="00994F85">
        <w:rPr>
          <w:color w:val="000000"/>
          <w:shd w:val="clear" w:color="auto" w:fill="FFFFFF"/>
        </w:rPr>
        <w:t>31.49</w:t>
      </w:r>
      <w:r w:rsidRPr="00FC4C47">
        <w:t xml:space="preserve">) by the </w:t>
      </w:r>
      <w:r w:rsidR="00765725">
        <w:t>average</w:t>
      </w:r>
      <w:r w:rsidRPr="00FC4C47" w:rsidR="00765725">
        <w:t xml:space="preserve"> </w:t>
      </w:r>
      <w:r w:rsidRPr="00FC4C47">
        <w:t>cost</w:t>
      </w:r>
      <w:r w:rsidR="00765725">
        <w:t xml:space="preserve"> </w:t>
      </w:r>
      <w:r w:rsidRPr="00FC4C47">
        <w:t>of hourly wages and salaries (</w:t>
      </w:r>
      <w:r w:rsidR="00934EAC">
        <w:t>$</w:t>
      </w:r>
      <w:r w:rsidR="00765725">
        <w:t>21.25</w:t>
      </w:r>
      <w:r w:rsidRPr="00FC4C47">
        <w:t xml:space="preserve">) </w:t>
      </w:r>
      <w:r w:rsidR="00765725">
        <w:t>in the same series</w:t>
      </w:r>
      <w:r w:rsidR="009F565C">
        <w:t xml:space="preserve"> </w:t>
      </w:r>
      <w:r w:rsidRPr="00FC4C47">
        <w:t>as reported by the Bur</w:t>
      </w:r>
      <w:r w:rsidRPr="00FC4C47">
        <w:t xml:space="preserve">eau of Labor Statistics in its Employer Costs for Employee </w:t>
      </w:r>
      <w:r w:rsidRPr="00FC4C47">
        <w:t xml:space="preserve">Compensation for </w:t>
      </w:r>
      <w:r w:rsidR="002544AA">
        <w:t>May</w:t>
      </w:r>
      <w:r w:rsidRPr="00FC4C47" w:rsidR="002544AA">
        <w:t xml:space="preserve"> </w:t>
      </w:r>
      <w:r w:rsidRPr="00FC4C47">
        <w:t>20</w:t>
      </w:r>
      <w:r w:rsidR="002544AA">
        <w:t>21</w:t>
      </w:r>
      <w:r w:rsidR="00934EAC">
        <w:t>,</w:t>
      </w:r>
      <w:r>
        <w:rPr>
          <w:rStyle w:val="FootnoteReference"/>
        </w:rPr>
        <w:footnoteReference w:id="11"/>
      </w:r>
      <w:r w:rsidR="009F565C">
        <w:t xml:space="preserve"> which results in an </w:t>
      </w:r>
      <w:r w:rsidRPr="00176EB3" w:rsidR="009F565C">
        <w:t>estimated load factor of 1.4</w:t>
      </w:r>
      <w:r w:rsidR="009F565C">
        <w:t>82.</w:t>
      </w:r>
      <w:r w:rsidRPr="00FC4C47" w:rsidR="009F565C">
        <w:t xml:space="preserve"> </w:t>
      </w:r>
      <w:r w:rsidRPr="00176EB3">
        <w:t>Multiplying the median</w:t>
      </w:r>
      <w:r w:rsidRPr="00FC4C47">
        <w:t xml:space="preserve"> hourly wage by the load factor results in a loaded hourly wage of $4</w:t>
      </w:r>
      <w:r w:rsidR="003F33DE">
        <w:t>7</w:t>
      </w:r>
      <w:r w:rsidRPr="00FC4C47">
        <w:t>.</w:t>
      </w:r>
      <w:r w:rsidR="003F33DE">
        <w:t>3</w:t>
      </w:r>
      <w:r w:rsidR="00A733EC">
        <w:t>8</w:t>
      </w:r>
      <w:r>
        <w:t xml:space="preserve"> ($3</w:t>
      </w:r>
      <w:r w:rsidR="00201079">
        <w:t>1</w:t>
      </w:r>
      <w:r>
        <w:t>.</w:t>
      </w:r>
      <w:r w:rsidR="00201079">
        <w:t>97</w:t>
      </w:r>
      <w:r>
        <w:t xml:space="preserve"> </w:t>
      </w:r>
      <w:r w:rsidRPr="00FC4C47">
        <w:t>×</w:t>
      </w:r>
      <w:r>
        <w:t xml:space="preserve"> 1.4</w:t>
      </w:r>
      <w:r w:rsidR="00201079">
        <w:t>82</w:t>
      </w:r>
      <w:r>
        <w:t xml:space="preserve"> = $4</w:t>
      </w:r>
      <w:r w:rsidR="003F33DE">
        <w:t>7.3</w:t>
      </w:r>
      <w:r w:rsidR="00A733EC">
        <w:t>8</w:t>
      </w:r>
      <w:r>
        <w:t>)</w:t>
      </w:r>
      <w:r w:rsidRPr="00FC4C47">
        <w:t>.</w:t>
      </w:r>
      <w:r w:rsidRPr="00306DBF">
        <w:t xml:space="preserve"> </w:t>
      </w:r>
      <w:r w:rsidRPr="00903E22" w:rsidR="00484623">
        <w:fldChar w:fldCharType="begin"/>
      </w:r>
      <w:r w:rsidRPr="00484623" w:rsidR="00484623">
        <w:instrText xml:space="preserve"> REF _Ref79766945 \h </w:instrText>
      </w:r>
      <w:r w:rsidRPr="005C7EEE" w:rsidR="00484623">
        <w:instrText xml:space="preserve"> \* MERGEFORMAT </w:instrText>
      </w:r>
      <w:r w:rsidRPr="00903E22" w:rsidR="00484623">
        <w:fldChar w:fldCharType="separate"/>
      </w:r>
      <w:r w:rsidRPr="005C7EEE" w:rsidR="00484623">
        <w:t xml:space="preserve">Table </w:t>
      </w:r>
      <w:r w:rsidRPr="005C7EEE" w:rsidR="00484623">
        <w:rPr>
          <w:noProof/>
        </w:rPr>
        <w:t>1</w:t>
      </w:r>
      <w:r w:rsidRPr="00903E22" w:rsidR="00484623">
        <w:fldChar w:fldCharType="end"/>
      </w:r>
      <w:r w:rsidR="00484623">
        <w:t xml:space="preserve"> </w:t>
      </w:r>
      <w:r>
        <w:t>summarizes the estimated number of respondents, responses, burden hours, and labor costs to industry, using the estimates provided above.</w:t>
      </w:r>
    </w:p>
    <w:p w:rsidR="00F3008C" w:rsidP="00815CC8" w14:paraId="47BBC9F5" w14:textId="0A3FA881">
      <w:pPr>
        <w:ind w:left="720" w:hanging="720"/>
        <w:rPr>
          <w:rFonts w:ascii="Times New Roman" w:hAnsi="Times New Roman"/>
        </w:rPr>
      </w:pPr>
    </w:p>
    <w:p w:rsidR="00F3008C" w:rsidRPr="00E44264" w:rsidP="00815CC8" w14:paraId="473010F0" w14:textId="77777777">
      <w:pPr>
        <w:ind w:left="720" w:hanging="720"/>
        <w:rPr>
          <w:rFonts w:ascii="Times New Roman" w:hAnsi="Times New Roman"/>
        </w:rPr>
      </w:pPr>
    </w:p>
    <w:p w:rsidR="00815CC8" w:rsidRPr="005F3D34" w:rsidP="00815CC8" w14:paraId="0D1AC283" w14:textId="41900802">
      <w:pPr>
        <w:pStyle w:val="Caption"/>
        <w:keepNext/>
        <w:spacing w:after="120"/>
        <w:ind w:left="360"/>
        <w:rPr>
          <w:b/>
          <w:i w:val="0"/>
          <w:color w:val="auto"/>
          <w:sz w:val="24"/>
          <w:szCs w:val="24"/>
        </w:rPr>
      </w:pPr>
      <w:bookmarkStart w:id="3" w:name="_Ref79766945"/>
      <w:r w:rsidRPr="005F3D34">
        <w:rPr>
          <w:b/>
          <w:i w:val="0"/>
          <w:color w:val="auto"/>
          <w:sz w:val="24"/>
          <w:szCs w:val="24"/>
        </w:rPr>
        <w:t xml:space="preserve">Table </w:t>
      </w:r>
      <w:r w:rsidRPr="005F3D34">
        <w:rPr>
          <w:b/>
          <w:i w:val="0"/>
          <w:color w:val="auto"/>
          <w:sz w:val="24"/>
          <w:szCs w:val="24"/>
        </w:rPr>
        <w:fldChar w:fldCharType="begin"/>
      </w:r>
      <w:r w:rsidRPr="005F3D34">
        <w:rPr>
          <w:b/>
          <w:i w:val="0"/>
          <w:color w:val="auto"/>
          <w:sz w:val="24"/>
          <w:szCs w:val="24"/>
        </w:rPr>
        <w:instrText xml:space="preserve"> SEQ Table \* ARABIC </w:instrText>
      </w:r>
      <w:r w:rsidRPr="005F3D34">
        <w:rPr>
          <w:b/>
          <w:i w:val="0"/>
          <w:color w:val="auto"/>
          <w:sz w:val="24"/>
          <w:szCs w:val="24"/>
        </w:rPr>
        <w:fldChar w:fldCharType="separate"/>
      </w:r>
      <w:r w:rsidRPr="005F3D34">
        <w:rPr>
          <w:b/>
          <w:i w:val="0"/>
          <w:noProof/>
          <w:color w:val="auto"/>
          <w:sz w:val="24"/>
          <w:szCs w:val="24"/>
        </w:rPr>
        <w:t>1</w:t>
      </w:r>
      <w:r w:rsidRPr="005F3D34">
        <w:rPr>
          <w:b/>
          <w:i w:val="0"/>
          <w:color w:val="auto"/>
          <w:sz w:val="24"/>
          <w:szCs w:val="24"/>
        </w:rPr>
        <w:fldChar w:fldCharType="end"/>
      </w:r>
      <w:bookmarkEnd w:id="3"/>
      <w:r w:rsidRPr="005F3D34">
        <w:rPr>
          <w:b/>
          <w:i w:val="0"/>
          <w:color w:val="auto"/>
          <w:sz w:val="24"/>
          <w:szCs w:val="24"/>
        </w:rPr>
        <w:t>. Information Collect</w:t>
      </w:r>
      <w:r w:rsidRPr="005F3D34">
        <w:rPr>
          <w:b/>
          <w:i w:val="0"/>
          <w:color w:val="auto"/>
          <w:sz w:val="24"/>
          <w:szCs w:val="24"/>
        </w:rPr>
        <w:t xml:space="preserve">ion 1: </w:t>
      </w:r>
      <w:r>
        <w:rPr>
          <w:b/>
          <w:i w:val="0"/>
          <w:color w:val="auto"/>
          <w:sz w:val="24"/>
          <w:szCs w:val="24"/>
        </w:rPr>
        <w:t>Estimated Form M r</w:t>
      </w:r>
      <w:r w:rsidRPr="005F3D34">
        <w:rPr>
          <w:b/>
          <w:i w:val="0"/>
          <w:color w:val="auto"/>
          <w:sz w:val="24"/>
          <w:szCs w:val="24"/>
        </w:rPr>
        <w:t xml:space="preserve">espondents, </w:t>
      </w:r>
      <w:r>
        <w:rPr>
          <w:b/>
          <w:i w:val="0"/>
          <w:color w:val="auto"/>
          <w:sz w:val="24"/>
          <w:szCs w:val="24"/>
        </w:rPr>
        <w:t>r</w:t>
      </w:r>
      <w:r w:rsidRPr="005F3D34">
        <w:rPr>
          <w:b/>
          <w:i w:val="0"/>
          <w:color w:val="auto"/>
          <w:sz w:val="24"/>
          <w:szCs w:val="24"/>
        </w:rPr>
        <w:t xml:space="preserve">esponses, </w:t>
      </w:r>
      <w:r>
        <w:rPr>
          <w:b/>
          <w:i w:val="0"/>
          <w:color w:val="auto"/>
          <w:sz w:val="24"/>
          <w:szCs w:val="24"/>
        </w:rPr>
        <w:t>burden hours, and labor costs by year, for calendar years 202</w:t>
      </w:r>
      <w:r w:rsidR="00A733EC">
        <w:rPr>
          <w:b/>
          <w:i w:val="0"/>
          <w:color w:val="auto"/>
          <w:sz w:val="24"/>
          <w:szCs w:val="24"/>
        </w:rPr>
        <w:t>1</w:t>
      </w:r>
      <w:r>
        <w:rPr>
          <w:b/>
          <w:i w:val="0"/>
          <w:color w:val="auto"/>
          <w:sz w:val="24"/>
          <w:szCs w:val="24"/>
        </w:rPr>
        <w:t>-</w:t>
      </w:r>
      <w:r w:rsidR="00484623">
        <w:rPr>
          <w:b/>
          <w:i w:val="0"/>
          <w:color w:val="auto"/>
          <w:sz w:val="24"/>
          <w:szCs w:val="24"/>
        </w:rPr>
        <w:t>20</w:t>
      </w:r>
      <w:r>
        <w:rPr>
          <w:b/>
          <w:i w:val="0"/>
          <w:color w:val="auto"/>
          <w:sz w:val="24"/>
          <w:szCs w:val="24"/>
        </w:rPr>
        <w:t>2</w:t>
      </w:r>
      <w:r w:rsidR="00C94311">
        <w:rPr>
          <w:b/>
          <w:i w:val="0"/>
          <w:color w:val="auto"/>
          <w:sz w:val="24"/>
          <w:szCs w:val="24"/>
        </w:rPr>
        <w:t>33</w:t>
      </w:r>
      <w:r>
        <w:rPr>
          <w:b/>
          <w:i w:val="0"/>
          <w:color w:val="auto"/>
          <w:sz w:val="24"/>
          <w:szCs w:val="24"/>
        </w:rPr>
        <w:t>.</w:t>
      </w:r>
    </w:p>
    <w:tbl>
      <w:tblPr>
        <w:tblW w:w="9270" w:type="dxa"/>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8" w:type="dxa"/>
          <w:right w:w="58" w:type="dxa"/>
        </w:tblCellMar>
        <w:tblLook w:val="04A0"/>
      </w:tblPr>
      <w:tblGrid>
        <w:gridCol w:w="1530"/>
        <w:gridCol w:w="1440"/>
        <w:gridCol w:w="1350"/>
        <w:gridCol w:w="1350"/>
        <w:gridCol w:w="1260"/>
        <w:gridCol w:w="1080"/>
        <w:gridCol w:w="1260"/>
      </w:tblGrid>
      <w:tr w14:paraId="449CCE57" w14:textId="77777777" w:rsidTr="002558D2">
        <w:tblPrEx>
          <w:tblW w:w="9270" w:type="dxa"/>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8" w:type="dxa"/>
            <w:right w:w="58" w:type="dxa"/>
          </w:tblCellMar>
          <w:tblLook w:val="04A0"/>
        </w:tblPrEx>
        <w:trPr>
          <w:trHeight w:val="924"/>
        </w:trPr>
        <w:tc>
          <w:tcPr>
            <w:tcW w:w="1530" w:type="dxa"/>
            <w:vMerge w:val="restart"/>
            <w:shd w:val="clear" w:color="000000" w:fill="E0E0E0"/>
            <w:vAlign w:val="bottom"/>
            <w:hideMark/>
          </w:tcPr>
          <w:p w:rsidR="00815CC8" w:rsidRPr="005F3D34" w:rsidP="002558D2" w14:paraId="56A4D270" w14:textId="77777777">
            <w:pPr>
              <w:jc w:val="center"/>
              <w:rPr>
                <w:rFonts w:ascii="Times New Roman" w:hAnsi="Times New Roman"/>
                <w:b/>
                <w:bCs/>
                <w:color w:val="000000"/>
              </w:rPr>
            </w:pPr>
            <w:r w:rsidRPr="005F3D34">
              <w:rPr>
                <w:rFonts w:ascii="Times New Roman" w:hAnsi="Times New Roman"/>
                <w:b/>
                <w:bCs/>
                <w:color w:val="000000"/>
              </w:rPr>
              <w:t>Year</w:t>
            </w:r>
          </w:p>
        </w:tc>
        <w:tc>
          <w:tcPr>
            <w:tcW w:w="1440" w:type="dxa"/>
            <w:tcBorders>
              <w:bottom w:val="nil"/>
            </w:tcBorders>
            <w:shd w:val="clear" w:color="000000" w:fill="E0E0E0"/>
            <w:vAlign w:val="bottom"/>
            <w:hideMark/>
          </w:tcPr>
          <w:p w:rsidR="00815CC8" w:rsidRPr="005F3D34" w:rsidP="002558D2" w14:paraId="0C29EB08" w14:textId="77777777">
            <w:pPr>
              <w:jc w:val="center"/>
              <w:rPr>
                <w:rFonts w:ascii="Times New Roman" w:hAnsi="Times New Roman"/>
                <w:b/>
                <w:bCs/>
                <w:color w:val="000000"/>
              </w:rPr>
            </w:pPr>
            <w:r w:rsidRPr="005F3D34">
              <w:rPr>
                <w:rFonts w:ascii="Times New Roman" w:hAnsi="Times New Roman"/>
                <w:b/>
                <w:bCs/>
                <w:color w:val="000000"/>
              </w:rPr>
              <w:t>Number of Respondents</w:t>
            </w:r>
          </w:p>
        </w:tc>
        <w:tc>
          <w:tcPr>
            <w:tcW w:w="1350" w:type="dxa"/>
            <w:tcBorders>
              <w:bottom w:val="nil"/>
            </w:tcBorders>
            <w:shd w:val="clear" w:color="000000" w:fill="E0E0E0"/>
            <w:vAlign w:val="bottom"/>
            <w:hideMark/>
          </w:tcPr>
          <w:p w:rsidR="00815CC8" w:rsidRPr="005F3D34" w:rsidP="002558D2" w14:paraId="3F2A4B4D" w14:textId="77777777">
            <w:pPr>
              <w:jc w:val="center"/>
              <w:rPr>
                <w:rFonts w:ascii="Times New Roman" w:hAnsi="Times New Roman"/>
                <w:b/>
                <w:bCs/>
                <w:color w:val="000000"/>
              </w:rPr>
            </w:pPr>
            <w:r w:rsidRPr="005F3D34">
              <w:rPr>
                <w:rFonts w:ascii="Times New Roman" w:hAnsi="Times New Roman"/>
                <w:b/>
                <w:bCs/>
                <w:color w:val="000000"/>
              </w:rPr>
              <w:t>Number of Responses</w:t>
            </w:r>
          </w:p>
        </w:tc>
        <w:tc>
          <w:tcPr>
            <w:tcW w:w="1350" w:type="dxa"/>
            <w:tcBorders>
              <w:bottom w:val="nil"/>
            </w:tcBorders>
            <w:shd w:val="clear" w:color="000000" w:fill="E0E0E0"/>
            <w:vAlign w:val="bottom"/>
            <w:hideMark/>
          </w:tcPr>
          <w:p w:rsidR="00815CC8" w:rsidRPr="005F3D34" w:rsidP="002558D2" w14:paraId="5497A80E" w14:textId="77777777">
            <w:pPr>
              <w:jc w:val="center"/>
              <w:rPr>
                <w:rFonts w:ascii="Times New Roman" w:hAnsi="Times New Roman"/>
                <w:b/>
                <w:bCs/>
                <w:color w:val="000000"/>
              </w:rPr>
            </w:pPr>
            <w:r w:rsidRPr="005F3D34">
              <w:rPr>
                <w:rFonts w:ascii="Times New Roman" w:hAnsi="Times New Roman"/>
                <w:b/>
                <w:bCs/>
                <w:color w:val="000000"/>
              </w:rPr>
              <w:t>Average Burden Hours per Response</w:t>
            </w:r>
          </w:p>
        </w:tc>
        <w:tc>
          <w:tcPr>
            <w:tcW w:w="1260" w:type="dxa"/>
            <w:tcBorders>
              <w:bottom w:val="nil"/>
            </w:tcBorders>
            <w:shd w:val="clear" w:color="000000" w:fill="E0E0E0"/>
            <w:vAlign w:val="bottom"/>
            <w:hideMark/>
          </w:tcPr>
          <w:p w:rsidR="00815CC8" w:rsidRPr="005F3D34" w:rsidP="002558D2" w14:paraId="59170E2E" w14:textId="77777777">
            <w:pPr>
              <w:jc w:val="center"/>
              <w:rPr>
                <w:rFonts w:ascii="Times New Roman" w:hAnsi="Times New Roman"/>
                <w:b/>
                <w:bCs/>
                <w:color w:val="000000"/>
              </w:rPr>
            </w:pPr>
            <w:r w:rsidRPr="005F3D34">
              <w:rPr>
                <w:rFonts w:ascii="Times New Roman" w:hAnsi="Times New Roman"/>
                <w:b/>
                <w:bCs/>
                <w:color w:val="000000"/>
              </w:rPr>
              <w:t>Total Burden Hours</w:t>
            </w:r>
          </w:p>
        </w:tc>
        <w:tc>
          <w:tcPr>
            <w:tcW w:w="1080" w:type="dxa"/>
            <w:tcBorders>
              <w:bottom w:val="nil"/>
            </w:tcBorders>
            <w:shd w:val="clear" w:color="000000" w:fill="E0E0E0"/>
            <w:vAlign w:val="bottom"/>
          </w:tcPr>
          <w:p w:rsidR="00815CC8" w:rsidRPr="005F3D34" w:rsidP="002558D2" w14:paraId="6487E688" w14:textId="77777777">
            <w:pPr>
              <w:jc w:val="center"/>
              <w:rPr>
                <w:rFonts w:ascii="Times New Roman" w:hAnsi="Times New Roman"/>
                <w:b/>
                <w:bCs/>
                <w:color w:val="000000"/>
              </w:rPr>
            </w:pPr>
            <w:r w:rsidRPr="005F3D34">
              <w:rPr>
                <w:rFonts w:ascii="Times New Roman" w:hAnsi="Times New Roman"/>
                <w:b/>
                <w:bCs/>
                <w:color w:val="000000"/>
              </w:rPr>
              <w:t>Loaded Hourly Wage</w:t>
            </w:r>
          </w:p>
        </w:tc>
        <w:tc>
          <w:tcPr>
            <w:tcW w:w="1260" w:type="dxa"/>
            <w:tcBorders>
              <w:bottom w:val="nil"/>
            </w:tcBorders>
            <w:shd w:val="clear" w:color="000000" w:fill="E0E0E0"/>
            <w:vAlign w:val="bottom"/>
          </w:tcPr>
          <w:p w:rsidR="00815CC8" w:rsidRPr="005F3D34" w:rsidP="002558D2" w14:paraId="4CA3D7DB" w14:textId="77777777">
            <w:pPr>
              <w:jc w:val="center"/>
              <w:rPr>
                <w:rFonts w:ascii="Times New Roman" w:hAnsi="Times New Roman"/>
                <w:b/>
                <w:bCs/>
                <w:color w:val="000000"/>
              </w:rPr>
            </w:pPr>
            <w:r w:rsidRPr="005F3D34">
              <w:rPr>
                <w:rFonts w:ascii="Times New Roman" w:hAnsi="Times New Roman"/>
                <w:b/>
                <w:bCs/>
                <w:color w:val="000000"/>
              </w:rPr>
              <w:t xml:space="preserve">Total Labor </w:t>
            </w:r>
            <w:r w:rsidRPr="005F3D34">
              <w:rPr>
                <w:rFonts w:ascii="Times New Roman" w:hAnsi="Times New Roman"/>
                <w:b/>
                <w:bCs/>
                <w:color w:val="000000"/>
              </w:rPr>
              <w:t>Costs</w:t>
            </w:r>
          </w:p>
        </w:tc>
      </w:tr>
      <w:tr w14:paraId="45F6C124" w14:textId="77777777" w:rsidTr="002558D2">
        <w:tblPrEx>
          <w:tblW w:w="9270" w:type="dxa"/>
          <w:tblInd w:w="345" w:type="dxa"/>
          <w:tblLayout w:type="fixed"/>
          <w:tblCellMar>
            <w:left w:w="58" w:type="dxa"/>
            <w:right w:w="58" w:type="dxa"/>
          </w:tblCellMar>
          <w:tblLook w:val="04A0"/>
        </w:tblPrEx>
        <w:trPr>
          <w:trHeight w:val="40"/>
        </w:trPr>
        <w:tc>
          <w:tcPr>
            <w:tcW w:w="1530" w:type="dxa"/>
            <w:vMerge/>
            <w:vAlign w:val="center"/>
            <w:hideMark/>
          </w:tcPr>
          <w:p w:rsidR="00815CC8" w:rsidRPr="005F3D34" w:rsidP="002558D2" w14:paraId="4EA4BB04" w14:textId="77777777">
            <w:pPr>
              <w:rPr>
                <w:rFonts w:ascii="Times New Roman" w:hAnsi="Times New Roman"/>
                <w:b/>
                <w:bCs/>
                <w:color w:val="000000"/>
              </w:rPr>
            </w:pPr>
          </w:p>
        </w:tc>
        <w:tc>
          <w:tcPr>
            <w:tcW w:w="1440" w:type="dxa"/>
            <w:tcBorders>
              <w:top w:val="nil"/>
            </w:tcBorders>
            <w:shd w:val="clear" w:color="000000" w:fill="E0E0E0"/>
            <w:vAlign w:val="center"/>
            <w:hideMark/>
          </w:tcPr>
          <w:p w:rsidR="00815CC8" w:rsidRPr="005F3D34" w:rsidP="002558D2" w14:paraId="20A7795F" w14:textId="77777777">
            <w:pPr>
              <w:jc w:val="center"/>
              <w:rPr>
                <w:rFonts w:ascii="Times New Roman" w:hAnsi="Times New Roman"/>
                <w:b/>
                <w:bCs/>
                <w:color w:val="000000"/>
              </w:rPr>
            </w:pPr>
            <w:r w:rsidRPr="005F3D34">
              <w:rPr>
                <w:rFonts w:ascii="Times New Roman" w:hAnsi="Times New Roman"/>
                <w:b/>
                <w:bCs/>
                <w:color w:val="000000"/>
              </w:rPr>
              <w:t>(a)</w:t>
            </w:r>
          </w:p>
        </w:tc>
        <w:tc>
          <w:tcPr>
            <w:tcW w:w="1350" w:type="dxa"/>
            <w:tcBorders>
              <w:top w:val="nil"/>
            </w:tcBorders>
            <w:shd w:val="clear" w:color="000000" w:fill="E0E0E0"/>
            <w:vAlign w:val="center"/>
            <w:hideMark/>
          </w:tcPr>
          <w:p w:rsidR="00815CC8" w:rsidRPr="005F3D34" w:rsidP="002558D2" w14:paraId="53E80116" w14:textId="77777777">
            <w:pPr>
              <w:jc w:val="center"/>
              <w:rPr>
                <w:rFonts w:ascii="Times New Roman" w:hAnsi="Times New Roman"/>
                <w:b/>
                <w:bCs/>
                <w:color w:val="000000"/>
              </w:rPr>
            </w:pPr>
            <w:r w:rsidRPr="005F3D34">
              <w:rPr>
                <w:rFonts w:ascii="Times New Roman" w:hAnsi="Times New Roman"/>
                <w:b/>
                <w:bCs/>
                <w:color w:val="000000"/>
              </w:rPr>
              <w:t>(a × 1 = b)</w:t>
            </w:r>
          </w:p>
        </w:tc>
        <w:tc>
          <w:tcPr>
            <w:tcW w:w="1350" w:type="dxa"/>
            <w:tcBorders>
              <w:top w:val="nil"/>
            </w:tcBorders>
            <w:shd w:val="clear" w:color="000000" w:fill="E0E0E0"/>
            <w:vAlign w:val="center"/>
            <w:hideMark/>
          </w:tcPr>
          <w:p w:rsidR="00815CC8" w:rsidRPr="005F3D34" w:rsidP="002558D2" w14:paraId="067E7F17" w14:textId="77777777">
            <w:pPr>
              <w:jc w:val="center"/>
              <w:rPr>
                <w:rFonts w:ascii="Times New Roman" w:hAnsi="Times New Roman"/>
                <w:b/>
                <w:bCs/>
                <w:color w:val="000000"/>
              </w:rPr>
            </w:pPr>
            <w:r w:rsidRPr="005F3D34">
              <w:rPr>
                <w:rFonts w:ascii="Times New Roman" w:hAnsi="Times New Roman"/>
                <w:b/>
                <w:bCs/>
                <w:color w:val="000000"/>
              </w:rPr>
              <w:t>(c)</w:t>
            </w:r>
          </w:p>
        </w:tc>
        <w:tc>
          <w:tcPr>
            <w:tcW w:w="1260" w:type="dxa"/>
            <w:tcBorders>
              <w:top w:val="nil"/>
            </w:tcBorders>
            <w:shd w:val="clear" w:color="000000" w:fill="E0E0E0"/>
            <w:vAlign w:val="center"/>
            <w:hideMark/>
          </w:tcPr>
          <w:p w:rsidR="00815CC8" w:rsidRPr="005F3D34" w:rsidP="002558D2" w14:paraId="3DDE3D84" w14:textId="77777777">
            <w:pPr>
              <w:jc w:val="center"/>
              <w:rPr>
                <w:rFonts w:ascii="Times New Roman" w:hAnsi="Times New Roman"/>
                <w:b/>
                <w:bCs/>
                <w:color w:val="000000"/>
              </w:rPr>
            </w:pPr>
            <w:r w:rsidRPr="005F3D34">
              <w:rPr>
                <w:rFonts w:ascii="Times New Roman" w:hAnsi="Times New Roman"/>
                <w:b/>
                <w:bCs/>
                <w:color w:val="000000"/>
              </w:rPr>
              <w:t>(b × c = d)</w:t>
            </w:r>
          </w:p>
        </w:tc>
        <w:tc>
          <w:tcPr>
            <w:tcW w:w="1080" w:type="dxa"/>
            <w:tcBorders>
              <w:top w:val="nil"/>
            </w:tcBorders>
            <w:shd w:val="clear" w:color="000000" w:fill="E0E0E0"/>
          </w:tcPr>
          <w:p w:rsidR="00815CC8" w:rsidRPr="005F3D34" w:rsidP="002558D2" w14:paraId="11EAD895" w14:textId="77777777">
            <w:pPr>
              <w:jc w:val="center"/>
              <w:rPr>
                <w:rFonts w:ascii="Times New Roman" w:hAnsi="Times New Roman"/>
                <w:b/>
                <w:bCs/>
                <w:color w:val="000000"/>
              </w:rPr>
            </w:pPr>
            <w:r w:rsidRPr="005F3D34">
              <w:rPr>
                <w:rFonts w:ascii="Times New Roman" w:hAnsi="Times New Roman"/>
                <w:b/>
                <w:bCs/>
                <w:color w:val="000000"/>
              </w:rPr>
              <w:t>(e)</w:t>
            </w:r>
          </w:p>
        </w:tc>
        <w:tc>
          <w:tcPr>
            <w:tcW w:w="1260" w:type="dxa"/>
            <w:tcBorders>
              <w:top w:val="nil"/>
            </w:tcBorders>
            <w:shd w:val="clear" w:color="000000" w:fill="E0E0E0"/>
          </w:tcPr>
          <w:p w:rsidR="00815CC8" w:rsidRPr="005F3D34" w:rsidP="002558D2" w14:paraId="7983879E" w14:textId="77777777">
            <w:pPr>
              <w:jc w:val="center"/>
              <w:rPr>
                <w:rFonts w:ascii="Times New Roman" w:hAnsi="Times New Roman"/>
                <w:b/>
                <w:bCs/>
                <w:color w:val="000000"/>
              </w:rPr>
            </w:pPr>
            <w:r w:rsidRPr="005F3D34">
              <w:rPr>
                <w:rFonts w:ascii="Times New Roman" w:hAnsi="Times New Roman"/>
                <w:b/>
                <w:bCs/>
                <w:color w:val="000000"/>
              </w:rPr>
              <w:t>(d × e)</w:t>
            </w:r>
          </w:p>
        </w:tc>
      </w:tr>
      <w:tr w14:paraId="11EECF28" w14:textId="77777777" w:rsidTr="002558D2">
        <w:tblPrEx>
          <w:tblW w:w="9270" w:type="dxa"/>
          <w:tblInd w:w="345" w:type="dxa"/>
          <w:tblLayout w:type="fixed"/>
          <w:tblCellMar>
            <w:left w:w="58" w:type="dxa"/>
            <w:right w:w="58" w:type="dxa"/>
          </w:tblCellMar>
          <w:tblLook w:val="04A0"/>
        </w:tblPrEx>
        <w:trPr>
          <w:trHeight w:val="253"/>
        </w:trPr>
        <w:tc>
          <w:tcPr>
            <w:tcW w:w="1530" w:type="dxa"/>
            <w:shd w:val="clear" w:color="auto" w:fill="auto"/>
            <w:vAlign w:val="center"/>
            <w:hideMark/>
          </w:tcPr>
          <w:p w:rsidR="004D6778" w:rsidRPr="005F3D34" w:rsidP="004D6778" w14:paraId="265C6EF3" w14:textId="4D8FFDEE">
            <w:pPr>
              <w:jc w:val="center"/>
              <w:rPr>
                <w:rFonts w:ascii="Times New Roman" w:hAnsi="Times New Roman"/>
                <w:color w:val="000000"/>
              </w:rPr>
            </w:pPr>
            <w:r w:rsidRPr="005F3D34">
              <w:rPr>
                <w:rFonts w:ascii="Times New Roman" w:hAnsi="Times New Roman"/>
                <w:color w:val="000000"/>
              </w:rPr>
              <w:t>202</w:t>
            </w:r>
            <w:r>
              <w:rPr>
                <w:rFonts w:ascii="Times New Roman" w:hAnsi="Times New Roman"/>
                <w:color w:val="000000"/>
              </w:rPr>
              <w:t>1</w:t>
            </w:r>
          </w:p>
        </w:tc>
        <w:tc>
          <w:tcPr>
            <w:tcW w:w="1440" w:type="dxa"/>
            <w:shd w:val="clear" w:color="auto" w:fill="auto"/>
            <w:vAlign w:val="center"/>
            <w:hideMark/>
          </w:tcPr>
          <w:p w:rsidR="004D6778" w:rsidRPr="005F3D34" w:rsidP="004D6778" w14:paraId="43193732" w14:textId="280D7F0F">
            <w:pPr>
              <w:jc w:val="center"/>
              <w:rPr>
                <w:rFonts w:ascii="Times New Roman" w:hAnsi="Times New Roman"/>
                <w:color w:val="000000"/>
              </w:rPr>
            </w:pPr>
            <w:r w:rsidRPr="005F3D34">
              <w:rPr>
                <w:rFonts w:ascii="Times New Roman" w:hAnsi="Times New Roman"/>
                <w:color w:val="000000"/>
              </w:rPr>
              <w:t xml:space="preserve">    </w:t>
            </w:r>
            <w:r>
              <w:rPr>
                <w:rFonts w:ascii="Times New Roman" w:hAnsi="Times New Roman"/>
                <w:color w:val="000000"/>
              </w:rPr>
              <w:t>34</w:t>
            </w:r>
          </w:p>
        </w:tc>
        <w:tc>
          <w:tcPr>
            <w:tcW w:w="1350" w:type="dxa"/>
            <w:shd w:val="clear" w:color="auto" w:fill="auto"/>
            <w:vAlign w:val="center"/>
            <w:hideMark/>
          </w:tcPr>
          <w:p w:rsidR="004D6778" w:rsidRPr="005F3D34" w:rsidP="004D6778" w14:paraId="3967479D" w14:textId="28D035FF">
            <w:pPr>
              <w:jc w:val="center"/>
              <w:rPr>
                <w:rFonts w:ascii="Times New Roman" w:hAnsi="Times New Roman"/>
                <w:color w:val="000000"/>
              </w:rPr>
            </w:pPr>
            <w:r w:rsidRPr="005F3D34">
              <w:rPr>
                <w:rFonts w:ascii="Times New Roman" w:hAnsi="Times New Roman"/>
                <w:color w:val="000000"/>
              </w:rPr>
              <w:t xml:space="preserve">    </w:t>
            </w:r>
            <w:r>
              <w:rPr>
                <w:rFonts w:ascii="Times New Roman" w:hAnsi="Times New Roman"/>
                <w:color w:val="000000"/>
              </w:rPr>
              <w:t>34</w:t>
            </w:r>
          </w:p>
        </w:tc>
        <w:tc>
          <w:tcPr>
            <w:tcW w:w="1350" w:type="dxa"/>
            <w:shd w:val="clear" w:color="auto" w:fill="auto"/>
            <w:vAlign w:val="center"/>
            <w:hideMark/>
          </w:tcPr>
          <w:p w:rsidR="004D6778" w:rsidRPr="005F3D34" w:rsidP="004D6778" w14:paraId="4A3332B1" w14:textId="77777777">
            <w:pPr>
              <w:jc w:val="center"/>
              <w:rPr>
                <w:rFonts w:ascii="Times New Roman" w:hAnsi="Times New Roman"/>
                <w:color w:val="000000"/>
              </w:rPr>
            </w:pPr>
            <w:r w:rsidRPr="005F3D34">
              <w:rPr>
                <w:rFonts w:ascii="Times New Roman" w:hAnsi="Times New Roman"/>
                <w:color w:val="000000"/>
              </w:rPr>
              <w:t>9</w:t>
            </w:r>
          </w:p>
        </w:tc>
        <w:tc>
          <w:tcPr>
            <w:tcW w:w="1260" w:type="dxa"/>
            <w:shd w:val="clear" w:color="auto" w:fill="auto"/>
          </w:tcPr>
          <w:p w:rsidR="004D6778" w:rsidRPr="005F3D34" w:rsidP="004D6778" w14:paraId="292C9648" w14:textId="5BF1C629">
            <w:pPr>
              <w:jc w:val="center"/>
              <w:rPr>
                <w:rFonts w:ascii="Times New Roman" w:hAnsi="Times New Roman"/>
                <w:color w:val="000000"/>
              </w:rPr>
            </w:pPr>
            <w:r>
              <w:rPr>
                <w:rFonts w:ascii="Times New Roman" w:hAnsi="Times New Roman"/>
              </w:rPr>
              <w:t>306</w:t>
            </w:r>
          </w:p>
        </w:tc>
        <w:tc>
          <w:tcPr>
            <w:tcW w:w="1080" w:type="dxa"/>
            <w:vAlign w:val="center"/>
          </w:tcPr>
          <w:p w:rsidR="004D6778" w:rsidRPr="005F3D34" w:rsidP="004D6778" w14:paraId="2E8E03CD" w14:textId="654BE803">
            <w:pPr>
              <w:jc w:val="center"/>
              <w:rPr>
                <w:rFonts w:ascii="Times New Roman" w:hAnsi="Times New Roman"/>
                <w:color w:val="000000"/>
              </w:rPr>
            </w:pPr>
            <w:r w:rsidRPr="005F3D34">
              <w:rPr>
                <w:rFonts w:ascii="Times New Roman" w:hAnsi="Times New Roman"/>
                <w:color w:val="000000"/>
              </w:rPr>
              <w:t>$4</w:t>
            </w:r>
            <w:r w:rsidR="000D1F5F">
              <w:rPr>
                <w:rFonts w:ascii="Times New Roman" w:hAnsi="Times New Roman"/>
                <w:color w:val="000000"/>
              </w:rPr>
              <w:t>7.38</w:t>
            </w:r>
          </w:p>
        </w:tc>
        <w:tc>
          <w:tcPr>
            <w:tcW w:w="1260" w:type="dxa"/>
            <w:vAlign w:val="center"/>
          </w:tcPr>
          <w:p w:rsidR="004D6778" w:rsidRPr="005F3D34" w:rsidP="004D6778" w14:paraId="1934996E" w14:textId="2C10A21E">
            <w:pPr>
              <w:jc w:val="center"/>
              <w:rPr>
                <w:rFonts w:ascii="Times New Roman" w:hAnsi="Times New Roman"/>
                <w:color w:val="000000"/>
              </w:rPr>
            </w:pPr>
            <w:r w:rsidRPr="005F3D34">
              <w:rPr>
                <w:rFonts w:ascii="Times New Roman" w:hAnsi="Times New Roman"/>
              </w:rPr>
              <w:t>$1</w:t>
            </w:r>
            <w:r w:rsidR="000D1F5F">
              <w:rPr>
                <w:rFonts w:ascii="Times New Roman" w:hAnsi="Times New Roman"/>
              </w:rPr>
              <w:t>4,</w:t>
            </w:r>
            <w:r w:rsidR="006D6CE7">
              <w:rPr>
                <w:rFonts w:ascii="Times New Roman" w:hAnsi="Times New Roman"/>
              </w:rPr>
              <w:t>498</w:t>
            </w:r>
          </w:p>
        </w:tc>
      </w:tr>
      <w:tr w14:paraId="21C72C07" w14:textId="77777777" w:rsidTr="005C7EEE">
        <w:tblPrEx>
          <w:tblW w:w="9270" w:type="dxa"/>
          <w:tblInd w:w="345" w:type="dxa"/>
          <w:tblLayout w:type="fixed"/>
          <w:tblCellMar>
            <w:left w:w="58" w:type="dxa"/>
            <w:right w:w="58" w:type="dxa"/>
          </w:tblCellMar>
          <w:tblLook w:val="04A0"/>
        </w:tblPrEx>
        <w:trPr>
          <w:trHeight w:val="253"/>
        </w:trPr>
        <w:tc>
          <w:tcPr>
            <w:tcW w:w="1530" w:type="dxa"/>
            <w:shd w:val="clear" w:color="auto" w:fill="auto"/>
            <w:vAlign w:val="center"/>
          </w:tcPr>
          <w:p w:rsidR="006D6CE7" w:rsidRPr="005F3D34" w:rsidP="006D6CE7" w14:paraId="118DDBDE" w14:textId="15282960">
            <w:pPr>
              <w:jc w:val="center"/>
              <w:rPr>
                <w:rFonts w:ascii="Times New Roman" w:hAnsi="Times New Roman"/>
                <w:b/>
                <w:bCs/>
                <w:color w:val="000000"/>
              </w:rPr>
            </w:pPr>
            <w:r w:rsidRPr="005F3D34">
              <w:rPr>
                <w:rFonts w:ascii="Times New Roman" w:hAnsi="Times New Roman"/>
                <w:color w:val="000000"/>
              </w:rPr>
              <w:t>202</w:t>
            </w:r>
            <w:r>
              <w:rPr>
                <w:rFonts w:ascii="Times New Roman" w:hAnsi="Times New Roman"/>
                <w:color w:val="000000"/>
              </w:rPr>
              <w:t>2</w:t>
            </w:r>
          </w:p>
        </w:tc>
        <w:tc>
          <w:tcPr>
            <w:tcW w:w="1440" w:type="dxa"/>
            <w:shd w:val="clear" w:color="auto" w:fill="auto"/>
            <w:vAlign w:val="center"/>
          </w:tcPr>
          <w:p w:rsidR="006D6CE7" w:rsidRPr="005F3D34" w:rsidP="006D6CE7" w14:paraId="0A389F2E" w14:textId="40C7FE7F">
            <w:pPr>
              <w:jc w:val="center"/>
              <w:rPr>
                <w:rFonts w:ascii="Times New Roman" w:hAnsi="Times New Roman"/>
                <w:b/>
                <w:bCs/>
                <w:color w:val="000000"/>
              </w:rPr>
            </w:pPr>
            <w:r w:rsidRPr="005F3D34">
              <w:rPr>
                <w:rFonts w:ascii="Times New Roman" w:hAnsi="Times New Roman"/>
                <w:color w:val="000000"/>
              </w:rPr>
              <w:t xml:space="preserve">    </w:t>
            </w:r>
            <w:r>
              <w:rPr>
                <w:rFonts w:ascii="Times New Roman" w:hAnsi="Times New Roman"/>
                <w:color w:val="000000"/>
              </w:rPr>
              <w:t>34</w:t>
            </w:r>
          </w:p>
        </w:tc>
        <w:tc>
          <w:tcPr>
            <w:tcW w:w="1350" w:type="dxa"/>
            <w:shd w:val="clear" w:color="auto" w:fill="auto"/>
            <w:vAlign w:val="center"/>
          </w:tcPr>
          <w:p w:rsidR="006D6CE7" w:rsidRPr="005F3D34" w:rsidP="006D6CE7" w14:paraId="393F5EC9" w14:textId="537B37EF">
            <w:pPr>
              <w:jc w:val="center"/>
              <w:rPr>
                <w:rFonts w:ascii="Times New Roman" w:hAnsi="Times New Roman"/>
                <w:b/>
                <w:bCs/>
                <w:color w:val="000000"/>
              </w:rPr>
            </w:pPr>
            <w:r w:rsidRPr="005F3D34">
              <w:rPr>
                <w:rFonts w:ascii="Times New Roman" w:hAnsi="Times New Roman"/>
                <w:color w:val="000000"/>
              </w:rPr>
              <w:t xml:space="preserve">    </w:t>
            </w:r>
            <w:r>
              <w:rPr>
                <w:rFonts w:ascii="Times New Roman" w:hAnsi="Times New Roman"/>
                <w:color w:val="000000"/>
              </w:rPr>
              <w:t>34</w:t>
            </w:r>
          </w:p>
        </w:tc>
        <w:tc>
          <w:tcPr>
            <w:tcW w:w="1350" w:type="dxa"/>
            <w:shd w:val="clear" w:color="auto" w:fill="auto"/>
            <w:vAlign w:val="center"/>
          </w:tcPr>
          <w:p w:rsidR="006D6CE7" w:rsidRPr="005F3D34" w:rsidP="006D6CE7" w14:paraId="4F240BE7" w14:textId="77777777">
            <w:pPr>
              <w:jc w:val="center"/>
              <w:rPr>
                <w:rFonts w:ascii="Times New Roman" w:hAnsi="Times New Roman"/>
                <w:b/>
                <w:bCs/>
                <w:color w:val="000000"/>
              </w:rPr>
            </w:pPr>
            <w:r w:rsidRPr="005F3D34">
              <w:rPr>
                <w:rFonts w:ascii="Times New Roman" w:hAnsi="Times New Roman"/>
                <w:color w:val="000000"/>
              </w:rPr>
              <w:t>9</w:t>
            </w:r>
          </w:p>
        </w:tc>
        <w:tc>
          <w:tcPr>
            <w:tcW w:w="1260" w:type="dxa"/>
            <w:shd w:val="clear" w:color="auto" w:fill="auto"/>
          </w:tcPr>
          <w:p w:rsidR="006D6CE7" w:rsidRPr="005F3D34" w:rsidP="006D6CE7" w14:paraId="34E97050" w14:textId="44269CE0">
            <w:pPr>
              <w:jc w:val="center"/>
              <w:rPr>
                <w:rFonts w:ascii="Times New Roman" w:hAnsi="Times New Roman"/>
                <w:b/>
                <w:bCs/>
                <w:iCs/>
                <w:color w:val="000000"/>
              </w:rPr>
            </w:pPr>
            <w:r>
              <w:rPr>
                <w:rFonts w:ascii="Times New Roman" w:hAnsi="Times New Roman"/>
              </w:rPr>
              <w:t>306</w:t>
            </w:r>
          </w:p>
        </w:tc>
        <w:tc>
          <w:tcPr>
            <w:tcW w:w="1080" w:type="dxa"/>
          </w:tcPr>
          <w:p w:rsidR="006D6CE7" w:rsidRPr="005F3D34" w:rsidP="006D6CE7" w14:paraId="7A868D44" w14:textId="185D0EAD">
            <w:pPr>
              <w:jc w:val="center"/>
              <w:rPr>
                <w:rFonts w:ascii="Times New Roman" w:hAnsi="Times New Roman"/>
                <w:color w:val="000000"/>
              </w:rPr>
            </w:pPr>
            <w:r w:rsidRPr="00F24CF4">
              <w:rPr>
                <w:rFonts w:ascii="Times New Roman" w:hAnsi="Times New Roman"/>
                <w:color w:val="000000"/>
              </w:rPr>
              <w:t>$47.38</w:t>
            </w:r>
          </w:p>
        </w:tc>
        <w:tc>
          <w:tcPr>
            <w:tcW w:w="1260" w:type="dxa"/>
          </w:tcPr>
          <w:p w:rsidR="006D6CE7" w:rsidRPr="005F3D34" w:rsidP="006D6CE7" w14:paraId="16E6729A" w14:textId="4508B965">
            <w:pPr>
              <w:jc w:val="center"/>
              <w:rPr>
                <w:rFonts w:ascii="Times New Roman" w:hAnsi="Times New Roman"/>
                <w:color w:val="000000"/>
              </w:rPr>
            </w:pPr>
            <w:r w:rsidRPr="00DA29DD">
              <w:rPr>
                <w:rFonts w:ascii="Times New Roman" w:hAnsi="Times New Roman"/>
              </w:rPr>
              <w:t>$14,498</w:t>
            </w:r>
          </w:p>
        </w:tc>
      </w:tr>
      <w:tr w14:paraId="5D1EE4A5" w14:textId="77777777" w:rsidTr="005C7EEE">
        <w:tblPrEx>
          <w:tblW w:w="9270" w:type="dxa"/>
          <w:tblInd w:w="345" w:type="dxa"/>
          <w:tblLayout w:type="fixed"/>
          <w:tblCellMar>
            <w:left w:w="58" w:type="dxa"/>
            <w:right w:w="58" w:type="dxa"/>
          </w:tblCellMar>
          <w:tblLook w:val="04A0"/>
        </w:tblPrEx>
        <w:trPr>
          <w:trHeight w:val="253"/>
        </w:trPr>
        <w:tc>
          <w:tcPr>
            <w:tcW w:w="1530" w:type="dxa"/>
            <w:shd w:val="clear" w:color="auto" w:fill="auto"/>
            <w:vAlign w:val="center"/>
          </w:tcPr>
          <w:p w:rsidR="006D6CE7" w:rsidRPr="005F3D34" w:rsidP="006D6CE7" w14:paraId="70F0D737" w14:textId="7ABD3A85">
            <w:pPr>
              <w:jc w:val="center"/>
              <w:rPr>
                <w:rFonts w:ascii="Times New Roman" w:hAnsi="Times New Roman"/>
                <w:b/>
                <w:bCs/>
                <w:color w:val="000000"/>
              </w:rPr>
            </w:pPr>
            <w:r w:rsidRPr="005F3D34">
              <w:rPr>
                <w:rFonts w:ascii="Times New Roman" w:hAnsi="Times New Roman"/>
                <w:color w:val="000000"/>
              </w:rPr>
              <w:t>202</w:t>
            </w:r>
            <w:r>
              <w:rPr>
                <w:rFonts w:ascii="Times New Roman" w:hAnsi="Times New Roman"/>
                <w:color w:val="000000"/>
              </w:rPr>
              <w:t>3</w:t>
            </w:r>
          </w:p>
        </w:tc>
        <w:tc>
          <w:tcPr>
            <w:tcW w:w="1440" w:type="dxa"/>
            <w:shd w:val="clear" w:color="auto" w:fill="auto"/>
            <w:vAlign w:val="center"/>
          </w:tcPr>
          <w:p w:rsidR="006D6CE7" w:rsidRPr="005F3D34" w:rsidP="006D6CE7" w14:paraId="627D4E8B" w14:textId="487AF08F">
            <w:pPr>
              <w:jc w:val="center"/>
              <w:rPr>
                <w:rFonts w:ascii="Times New Roman" w:hAnsi="Times New Roman"/>
                <w:b/>
                <w:bCs/>
                <w:color w:val="000000"/>
              </w:rPr>
            </w:pPr>
            <w:r w:rsidRPr="005F3D34">
              <w:rPr>
                <w:rFonts w:ascii="Times New Roman" w:hAnsi="Times New Roman"/>
                <w:color w:val="000000"/>
              </w:rPr>
              <w:t xml:space="preserve">    </w:t>
            </w:r>
            <w:r>
              <w:rPr>
                <w:rFonts w:ascii="Times New Roman" w:hAnsi="Times New Roman"/>
                <w:color w:val="000000"/>
              </w:rPr>
              <w:t>34</w:t>
            </w:r>
          </w:p>
        </w:tc>
        <w:tc>
          <w:tcPr>
            <w:tcW w:w="1350" w:type="dxa"/>
            <w:shd w:val="clear" w:color="auto" w:fill="auto"/>
            <w:vAlign w:val="center"/>
          </w:tcPr>
          <w:p w:rsidR="006D6CE7" w:rsidRPr="005F3D34" w:rsidP="006D6CE7" w14:paraId="7C3B042F" w14:textId="2F6B7BB0">
            <w:pPr>
              <w:jc w:val="center"/>
              <w:rPr>
                <w:rFonts w:ascii="Times New Roman" w:hAnsi="Times New Roman"/>
                <w:b/>
                <w:bCs/>
                <w:color w:val="000000"/>
              </w:rPr>
            </w:pPr>
            <w:r w:rsidRPr="005F3D34">
              <w:rPr>
                <w:rFonts w:ascii="Times New Roman" w:hAnsi="Times New Roman"/>
                <w:color w:val="000000"/>
              </w:rPr>
              <w:t xml:space="preserve">    </w:t>
            </w:r>
            <w:r>
              <w:rPr>
                <w:rFonts w:ascii="Times New Roman" w:hAnsi="Times New Roman"/>
                <w:color w:val="000000"/>
              </w:rPr>
              <w:t>34</w:t>
            </w:r>
          </w:p>
        </w:tc>
        <w:tc>
          <w:tcPr>
            <w:tcW w:w="1350" w:type="dxa"/>
            <w:shd w:val="clear" w:color="auto" w:fill="auto"/>
            <w:vAlign w:val="center"/>
          </w:tcPr>
          <w:p w:rsidR="006D6CE7" w:rsidRPr="005F3D34" w:rsidP="006D6CE7" w14:paraId="7F1C692B" w14:textId="77777777">
            <w:pPr>
              <w:jc w:val="center"/>
              <w:rPr>
                <w:rFonts w:ascii="Times New Roman" w:hAnsi="Times New Roman"/>
                <w:b/>
                <w:bCs/>
                <w:color w:val="000000"/>
              </w:rPr>
            </w:pPr>
            <w:r w:rsidRPr="005F3D34">
              <w:rPr>
                <w:rFonts w:ascii="Times New Roman" w:hAnsi="Times New Roman"/>
                <w:color w:val="000000"/>
              </w:rPr>
              <w:t>9</w:t>
            </w:r>
          </w:p>
        </w:tc>
        <w:tc>
          <w:tcPr>
            <w:tcW w:w="1260" w:type="dxa"/>
            <w:shd w:val="clear" w:color="auto" w:fill="auto"/>
          </w:tcPr>
          <w:p w:rsidR="006D6CE7" w:rsidRPr="005F3D34" w:rsidP="006D6CE7" w14:paraId="7FFB9E9D" w14:textId="20A93ECB">
            <w:pPr>
              <w:jc w:val="center"/>
              <w:rPr>
                <w:rFonts w:ascii="Times New Roman" w:hAnsi="Times New Roman"/>
                <w:b/>
                <w:bCs/>
                <w:iCs/>
                <w:color w:val="000000"/>
              </w:rPr>
            </w:pPr>
            <w:r>
              <w:rPr>
                <w:rFonts w:ascii="Times New Roman" w:hAnsi="Times New Roman"/>
              </w:rPr>
              <w:t>306</w:t>
            </w:r>
          </w:p>
        </w:tc>
        <w:tc>
          <w:tcPr>
            <w:tcW w:w="1080" w:type="dxa"/>
          </w:tcPr>
          <w:p w:rsidR="006D6CE7" w:rsidRPr="005F3D34" w:rsidP="006D6CE7" w14:paraId="7300E0F2" w14:textId="17DAAD18">
            <w:pPr>
              <w:jc w:val="center"/>
              <w:rPr>
                <w:rFonts w:ascii="Times New Roman" w:hAnsi="Times New Roman"/>
                <w:color w:val="000000"/>
              </w:rPr>
            </w:pPr>
            <w:r w:rsidRPr="00F24CF4">
              <w:rPr>
                <w:rFonts w:ascii="Times New Roman" w:hAnsi="Times New Roman"/>
                <w:color w:val="000000"/>
              </w:rPr>
              <w:t>$47.38</w:t>
            </w:r>
          </w:p>
        </w:tc>
        <w:tc>
          <w:tcPr>
            <w:tcW w:w="1260" w:type="dxa"/>
          </w:tcPr>
          <w:p w:rsidR="006D6CE7" w:rsidRPr="005F3D34" w:rsidP="006D6CE7" w14:paraId="03C2A41F" w14:textId="3B2F1FCD">
            <w:pPr>
              <w:jc w:val="center"/>
              <w:rPr>
                <w:rFonts w:ascii="Times New Roman" w:hAnsi="Times New Roman"/>
                <w:color w:val="000000"/>
              </w:rPr>
            </w:pPr>
            <w:r w:rsidRPr="00DA29DD">
              <w:rPr>
                <w:rFonts w:ascii="Times New Roman" w:hAnsi="Times New Roman"/>
              </w:rPr>
              <w:t>$14,498</w:t>
            </w:r>
          </w:p>
        </w:tc>
      </w:tr>
      <w:tr w14:paraId="5C4E00E7" w14:textId="77777777" w:rsidTr="005C7EEE">
        <w:tblPrEx>
          <w:tblW w:w="9270" w:type="dxa"/>
          <w:tblInd w:w="345" w:type="dxa"/>
          <w:tblLayout w:type="fixed"/>
          <w:tblCellMar>
            <w:left w:w="58" w:type="dxa"/>
            <w:right w:w="58" w:type="dxa"/>
          </w:tblCellMar>
          <w:tblLook w:val="04A0"/>
        </w:tblPrEx>
        <w:trPr>
          <w:trHeight w:val="253"/>
        </w:trPr>
        <w:tc>
          <w:tcPr>
            <w:tcW w:w="1530" w:type="dxa"/>
            <w:shd w:val="clear" w:color="auto" w:fill="auto"/>
            <w:vAlign w:val="center"/>
            <w:hideMark/>
          </w:tcPr>
          <w:p w:rsidR="006D6CE7" w:rsidRPr="005F3D34" w:rsidP="006D6CE7" w14:paraId="05366E4E" w14:textId="77777777">
            <w:pPr>
              <w:jc w:val="center"/>
              <w:rPr>
                <w:rFonts w:ascii="Times New Roman" w:hAnsi="Times New Roman"/>
                <w:b/>
                <w:bCs/>
                <w:color w:val="000000"/>
              </w:rPr>
            </w:pPr>
            <w:r w:rsidRPr="005F3D34">
              <w:rPr>
                <w:rFonts w:ascii="Times New Roman" w:hAnsi="Times New Roman"/>
                <w:b/>
                <w:bCs/>
                <w:color w:val="000000"/>
              </w:rPr>
              <w:t>Total</w:t>
            </w:r>
          </w:p>
        </w:tc>
        <w:tc>
          <w:tcPr>
            <w:tcW w:w="1440" w:type="dxa"/>
            <w:shd w:val="clear" w:color="auto" w:fill="auto"/>
            <w:vAlign w:val="center"/>
            <w:hideMark/>
          </w:tcPr>
          <w:p w:rsidR="006D6CE7" w:rsidRPr="005F3D34" w:rsidP="006D6CE7" w14:paraId="14324A14" w14:textId="52CEE301">
            <w:pPr>
              <w:jc w:val="center"/>
              <w:rPr>
                <w:rFonts w:ascii="Times New Roman" w:hAnsi="Times New Roman"/>
                <w:b/>
                <w:bCs/>
                <w:color w:val="000000"/>
              </w:rPr>
            </w:pPr>
            <w:r w:rsidRPr="005F3D34">
              <w:rPr>
                <w:rFonts w:ascii="Times New Roman" w:hAnsi="Times New Roman"/>
                <w:b/>
                <w:bCs/>
                <w:color w:val="000000"/>
              </w:rPr>
              <w:t xml:space="preserve">   </w:t>
            </w:r>
            <w:r>
              <w:rPr>
                <w:rFonts w:ascii="Times New Roman" w:hAnsi="Times New Roman"/>
                <w:b/>
                <w:bCs/>
                <w:color w:val="000000"/>
              </w:rPr>
              <w:t>102*</w:t>
            </w:r>
          </w:p>
        </w:tc>
        <w:tc>
          <w:tcPr>
            <w:tcW w:w="1350" w:type="dxa"/>
            <w:shd w:val="clear" w:color="auto" w:fill="auto"/>
            <w:vAlign w:val="center"/>
            <w:hideMark/>
          </w:tcPr>
          <w:p w:rsidR="006D6CE7" w:rsidRPr="005F3D34" w:rsidP="006D6CE7" w14:paraId="6850AD64" w14:textId="65E776FA">
            <w:pPr>
              <w:jc w:val="center"/>
              <w:rPr>
                <w:rFonts w:ascii="Times New Roman" w:hAnsi="Times New Roman"/>
                <w:b/>
                <w:bCs/>
                <w:color w:val="000000"/>
              </w:rPr>
            </w:pPr>
            <w:r w:rsidRPr="005F3D34">
              <w:rPr>
                <w:rFonts w:ascii="Times New Roman" w:hAnsi="Times New Roman"/>
                <w:b/>
                <w:bCs/>
                <w:color w:val="000000"/>
              </w:rPr>
              <w:t xml:space="preserve">   </w:t>
            </w:r>
            <w:r>
              <w:rPr>
                <w:rFonts w:ascii="Times New Roman" w:hAnsi="Times New Roman"/>
                <w:b/>
                <w:bCs/>
                <w:color w:val="000000"/>
              </w:rPr>
              <w:t>102*</w:t>
            </w:r>
          </w:p>
        </w:tc>
        <w:tc>
          <w:tcPr>
            <w:tcW w:w="1350" w:type="dxa"/>
            <w:shd w:val="clear" w:color="auto" w:fill="auto"/>
            <w:vAlign w:val="center"/>
            <w:hideMark/>
          </w:tcPr>
          <w:p w:rsidR="006D6CE7" w:rsidRPr="005F3D34" w:rsidP="006D6CE7" w14:paraId="7A18C425" w14:textId="77777777">
            <w:pPr>
              <w:jc w:val="center"/>
              <w:rPr>
                <w:rFonts w:ascii="Times New Roman" w:hAnsi="Times New Roman"/>
                <w:b/>
                <w:bCs/>
                <w:color w:val="000000"/>
              </w:rPr>
            </w:pPr>
            <w:r w:rsidRPr="005F3D34">
              <w:rPr>
                <w:rFonts w:ascii="Times New Roman" w:hAnsi="Times New Roman"/>
                <w:b/>
                <w:bCs/>
                <w:color w:val="000000"/>
              </w:rPr>
              <w:t>—</w:t>
            </w:r>
          </w:p>
        </w:tc>
        <w:tc>
          <w:tcPr>
            <w:tcW w:w="1260" w:type="dxa"/>
            <w:shd w:val="clear" w:color="auto" w:fill="auto"/>
            <w:vAlign w:val="bottom"/>
          </w:tcPr>
          <w:p w:rsidR="006D6CE7" w:rsidRPr="005F3D34" w:rsidP="006D6CE7" w14:paraId="2329B215" w14:textId="144A8542">
            <w:pPr>
              <w:jc w:val="center"/>
              <w:rPr>
                <w:rFonts w:ascii="Times New Roman" w:hAnsi="Times New Roman"/>
                <w:b/>
                <w:bCs/>
                <w:color w:val="000000"/>
              </w:rPr>
            </w:pPr>
            <w:r>
              <w:rPr>
                <w:rFonts w:ascii="Times New Roman" w:hAnsi="Times New Roman"/>
                <w:b/>
                <w:bCs/>
                <w:iCs/>
                <w:color w:val="000000"/>
              </w:rPr>
              <w:t>918</w:t>
            </w:r>
          </w:p>
        </w:tc>
        <w:tc>
          <w:tcPr>
            <w:tcW w:w="1080" w:type="dxa"/>
          </w:tcPr>
          <w:p w:rsidR="006D6CE7" w:rsidRPr="005F3D34" w:rsidP="006D6CE7" w14:paraId="11A1A62D" w14:textId="77777777">
            <w:pPr>
              <w:jc w:val="center"/>
              <w:rPr>
                <w:rFonts w:ascii="Times New Roman" w:hAnsi="Times New Roman"/>
                <w:b/>
                <w:bCs/>
                <w:iCs/>
                <w:color w:val="000000"/>
              </w:rPr>
            </w:pPr>
            <w:r w:rsidRPr="005F3D34">
              <w:rPr>
                <w:rFonts w:ascii="Times New Roman" w:hAnsi="Times New Roman"/>
                <w:b/>
                <w:bCs/>
                <w:color w:val="000000"/>
              </w:rPr>
              <w:t>—</w:t>
            </w:r>
          </w:p>
        </w:tc>
        <w:tc>
          <w:tcPr>
            <w:tcW w:w="1260" w:type="dxa"/>
          </w:tcPr>
          <w:p w:rsidR="006D6CE7" w:rsidRPr="005F3D34" w:rsidP="006D6CE7" w14:paraId="0170B7F6" w14:textId="648B4B07">
            <w:pPr>
              <w:jc w:val="center"/>
              <w:rPr>
                <w:rFonts w:ascii="Times New Roman" w:hAnsi="Times New Roman"/>
                <w:b/>
                <w:bCs/>
                <w:iCs/>
                <w:color w:val="000000"/>
              </w:rPr>
            </w:pPr>
            <w:r w:rsidRPr="005C7EEE">
              <w:rPr>
                <w:rFonts w:ascii="Times New Roman" w:hAnsi="Times New Roman"/>
              </w:rPr>
              <w:t>$</w:t>
            </w:r>
            <w:r w:rsidRPr="005C7EEE" w:rsidR="00E475AF">
              <w:rPr>
                <w:rFonts w:ascii="Times New Roman" w:hAnsi="Times New Roman"/>
                <w:b/>
              </w:rPr>
              <w:t>43,494</w:t>
            </w:r>
          </w:p>
        </w:tc>
      </w:tr>
      <w:tr w14:paraId="45A2406B" w14:textId="77777777" w:rsidTr="005C7EEE">
        <w:tblPrEx>
          <w:tblW w:w="9270" w:type="dxa"/>
          <w:tblInd w:w="345" w:type="dxa"/>
          <w:tblLayout w:type="fixed"/>
          <w:tblCellMar>
            <w:left w:w="58" w:type="dxa"/>
            <w:right w:w="58" w:type="dxa"/>
          </w:tblCellMar>
          <w:tblLook w:val="04A0"/>
        </w:tblPrEx>
        <w:trPr>
          <w:trHeight w:val="70"/>
        </w:trPr>
        <w:tc>
          <w:tcPr>
            <w:tcW w:w="1530" w:type="dxa"/>
            <w:shd w:val="clear" w:color="auto" w:fill="auto"/>
            <w:vAlign w:val="center"/>
            <w:hideMark/>
          </w:tcPr>
          <w:p w:rsidR="004D6778" w:rsidRPr="005F3D34" w:rsidP="004D6778" w14:paraId="37858206" w14:textId="77777777">
            <w:pPr>
              <w:jc w:val="center"/>
              <w:rPr>
                <w:rFonts w:ascii="Times New Roman" w:hAnsi="Times New Roman"/>
                <w:b/>
                <w:bCs/>
                <w:i/>
                <w:iCs/>
                <w:color w:val="000000"/>
              </w:rPr>
            </w:pPr>
            <w:r w:rsidRPr="005F3D34">
              <w:rPr>
                <w:rFonts w:ascii="Times New Roman" w:hAnsi="Times New Roman"/>
                <w:b/>
                <w:bCs/>
                <w:i/>
                <w:iCs/>
                <w:color w:val="000000"/>
              </w:rPr>
              <w:t>Annual (rounded)</w:t>
            </w:r>
          </w:p>
        </w:tc>
        <w:tc>
          <w:tcPr>
            <w:tcW w:w="1440" w:type="dxa"/>
            <w:shd w:val="clear" w:color="auto" w:fill="auto"/>
            <w:vAlign w:val="center"/>
            <w:hideMark/>
          </w:tcPr>
          <w:p w:rsidR="004D6778" w:rsidRPr="005F3D34" w:rsidP="004D6778" w14:paraId="17D9F8E6" w14:textId="3FE5C5C9">
            <w:pPr>
              <w:jc w:val="center"/>
              <w:rPr>
                <w:rFonts w:ascii="Times New Roman" w:hAnsi="Times New Roman"/>
                <w:b/>
                <w:bCs/>
                <w:i/>
                <w:iCs/>
                <w:color w:val="000000"/>
              </w:rPr>
            </w:pPr>
            <w:r>
              <w:rPr>
                <w:rFonts w:ascii="Times New Roman" w:hAnsi="Times New Roman"/>
                <w:b/>
                <w:bCs/>
                <w:i/>
                <w:iCs/>
                <w:color w:val="000000"/>
              </w:rPr>
              <w:t>34</w:t>
            </w:r>
          </w:p>
        </w:tc>
        <w:tc>
          <w:tcPr>
            <w:tcW w:w="1350" w:type="dxa"/>
            <w:shd w:val="clear" w:color="auto" w:fill="auto"/>
            <w:vAlign w:val="center"/>
            <w:hideMark/>
          </w:tcPr>
          <w:p w:rsidR="004D6778" w:rsidRPr="005F3D34" w:rsidP="004D6778" w14:paraId="202E456E" w14:textId="6CE18B34">
            <w:pPr>
              <w:jc w:val="center"/>
              <w:rPr>
                <w:rFonts w:ascii="Times New Roman" w:hAnsi="Times New Roman"/>
                <w:b/>
                <w:bCs/>
                <w:i/>
                <w:iCs/>
                <w:color w:val="000000"/>
              </w:rPr>
            </w:pPr>
            <w:r w:rsidRPr="005F3D34">
              <w:rPr>
                <w:rFonts w:ascii="Times New Roman" w:hAnsi="Times New Roman"/>
                <w:b/>
                <w:bCs/>
                <w:i/>
                <w:iCs/>
                <w:color w:val="000000"/>
              </w:rPr>
              <w:t xml:space="preserve">    </w:t>
            </w:r>
            <w:r>
              <w:rPr>
                <w:rFonts w:ascii="Times New Roman" w:hAnsi="Times New Roman"/>
                <w:b/>
                <w:bCs/>
                <w:i/>
                <w:iCs/>
                <w:color w:val="000000"/>
              </w:rPr>
              <w:t>34</w:t>
            </w:r>
          </w:p>
        </w:tc>
        <w:tc>
          <w:tcPr>
            <w:tcW w:w="1350" w:type="dxa"/>
            <w:shd w:val="clear" w:color="auto" w:fill="auto"/>
            <w:vAlign w:val="center"/>
            <w:hideMark/>
          </w:tcPr>
          <w:p w:rsidR="004D6778" w:rsidRPr="005F3D34" w:rsidP="004D6778" w14:paraId="2A2A5771" w14:textId="77777777">
            <w:pPr>
              <w:jc w:val="center"/>
              <w:rPr>
                <w:rFonts w:ascii="Times New Roman" w:hAnsi="Times New Roman"/>
                <w:b/>
                <w:bCs/>
                <w:i/>
                <w:iCs/>
                <w:color w:val="000000"/>
              </w:rPr>
            </w:pPr>
            <w:r w:rsidRPr="005F3D34">
              <w:rPr>
                <w:rFonts w:ascii="Times New Roman" w:hAnsi="Times New Roman"/>
                <w:b/>
                <w:bCs/>
                <w:i/>
                <w:iCs/>
                <w:color w:val="000000"/>
              </w:rPr>
              <w:t>9</w:t>
            </w:r>
          </w:p>
        </w:tc>
        <w:tc>
          <w:tcPr>
            <w:tcW w:w="1260" w:type="dxa"/>
            <w:shd w:val="clear" w:color="auto" w:fill="auto"/>
            <w:vAlign w:val="center"/>
          </w:tcPr>
          <w:p w:rsidR="004D6778" w:rsidRPr="005F3D34" w:rsidP="004D6778" w14:paraId="356952A8" w14:textId="23A64C45">
            <w:pPr>
              <w:jc w:val="center"/>
              <w:rPr>
                <w:rFonts w:ascii="Times New Roman" w:hAnsi="Times New Roman"/>
                <w:b/>
                <w:bCs/>
                <w:i/>
                <w:iCs/>
                <w:color w:val="000000"/>
              </w:rPr>
            </w:pPr>
            <w:r>
              <w:rPr>
                <w:rFonts w:ascii="Times New Roman" w:hAnsi="Times New Roman"/>
                <w:b/>
                <w:bCs/>
                <w:i/>
                <w:color w:val="000000"/>
              </w:rPr>
              <w:t>306</w:t>
            </w:r>
          </w:p>
        </w:tc>
        <w:tc>
          <w:tcPr>
            <w:tcW w:w="1080" w:type="dxa"/>
            <w:vAlign w:val="center"/>
          </w:tcPr>
          <w:p w:rsidR="004D6778" w:rsidRPr="005F3D34" w:rsidP="004D6778" w14:paraId="2494D13F" w14:textId="3DC8A8A4">
            <w:pPr>
              <w:jc w:val="center"/>
              <w:rPr>
                <w:rFonts w:ascii="Times New Roman" w:hAnsi="Times New Roman"/>
                <w:b/>
                <w:bCs/>
                <w:i/>
                <w:color w:val="000000"/>
              </w:rPr>
            </w:pPr>
            <w:r w:rsidRPr="005F3D34">
              <w:rPr>
                <w:rFonts w:ascii="Times New Roman" w:hAnsi="Times New Roman"/>
                <w:b/>
                <w:i/>
                <w:color w:val="000000"/>
              </w:rPr>
              <w:t>$4</w:t>
            </w:r>
            <w:r w:rsidR="0057538C">
              <w:rPr>
                <w:rFonts w:ascii="Times New Roman" w:hAnsi="Times New Roman"/>
                <w:b/>
                <w:i/>
                <w:color w:val="000000"/>
              </w:rPr>
              <w:t>7.38</w:t>
            </w:r>
          </w:p>
        </w:tc>
        <w:tc>
          <w:tcPr>
            <w:tcW w:w="1260" w:type="dxa"/>
            <w:vAlign w:val="center"/>
          </w:tcPr>
          <w:p w:rsidR="004D6778" w:rsidRPr="005F3D34" w:rsidP="004D6778" w14:paraId="7C2C2C09" w14:textId="09E6F831">
            <w:pPr>
              <w:jc w:val="center"/>
              <w:rPr>
                <w:rFonts w:ascii="Times New Roman" w:hAnsi="Times New Roman"/>
                <w:b/>
                <w:bCs/>
                <w:i/>
                <w:color w:val="000000"/>
              </w:rPr>
            </w:pPr>
            <w:r w:rsidRPr="005F3D34">
              <w:rPr>
                <w:rFonts w:ascii="Times New Roman" w:hAnsi="Times New Roman"/>
                <w:b/>
                <w:i/>
              </w:rPr>
              <w:t>$1</w:t>
            </w:r>
            <w:r w:rsidR="00E475AF">
              <w:rPr>
                <w:rFonts w:ascii="Times New Roman" w:hAnsi="Times New Roman"/>
                <w:b/>
                <w:i/>
              </w:rPr>
              <w:t>4,49</w:t>
            </w:r>
            <w:r w:rsidR="00484623">
              <w:rPr>
                <w:rFonts w:ascii="Times New Roman" w:hAnsi="Times New Roman"/>
                <w:b/>
                <w:i/>
              </w:rPr>
              <w:t>8</w:t>
            </w:r>
          </w:p>
        </w:tc>
      </w:tr>
      <w:tr w14:paraId="682BCDEF" w14:textId="77777777" w:rsidTr="00DE7625">
        <w:tblPrEx>
          <w:tblW w:w="9270" w:type="dxa"/>
          <w:tblInd w:w="345" w:type="dxa"/>
          <w:tblLayout w:type="fixed"/>
          <w:tblCellMar>
            <w:left w:w="58" w:type="dxa"/>
            <w:right w:w="58" w:type="dxa"/>
          </w:tblCellMar>
          <w:tblLook w:val="04A0"/>
        </w:tblPrEx>
        <w:trPr>
          <w:trHeight w:val="70"/>
        </w:trPr>
        <w:tc>
          <w:tcPr>
            <w:tcW w:w="9270" w:type="dxa"/>
            <w:gridSpan w:val="7"/>
            <w:shd w:val="clear" w:color="auto" w:fill="auto"/>
            <w:vAlign w:val="center"/>
          </w:tcPr>
          <w:p w:rsidR="00603CC4" w:rsidRPr="006F58A6" w:rsidP="006F58A6" w14:paraId="7E218D04" w14:textId="1416FC73">
            <w:pPr>
              <w:pStyle w:val="ListParagraph"/>
              <w:numPr>
                <w:ilvl w:val="0"/>
                <w:numId w:val="43"/>
              </w:numPr>
              <w:rPr>
                <w:rFonts w:ascii="Times New Roman" w:hAnsi="Times New Roman"/>
                <w:b/>
                <w:i/>
              </w:rPr>
            </w:pPr>
            <w:r>
              <w:rPr>
                <w:rFonts w:ascii="Times New Roman" w:hAnsi="Times New Roman"/>
                <w:b/>
                <w:i/>
              </w:rPr>
              <w:t>Estimates may be off due to rounding</w:t>
            </w:r>
            <w:r w:rsidR="00261AD4">
              <w:rPr>
                <w:rFonts w:ascii="Times New Roman" w:hAnsi="Times New Roman"/>
                <w:b/>
                <w:i/>
              </w:rPr>
              <w:t>.</w:t>
            </w:r>
          </w:p>
        </w:tc>
      </w:tr>
    </w:tbl>
    <w:p w:rsidR="00815CC8" w:rsidP="00815CC8" w14:paraId="7C8E191E" w14:textId="77777777">
      <w:pPr>
        <w:ind w:firstLine="720"/>
        <w:rPr>
          <w:rFonts w:ascii="Times New Roman" w:hAnsi="Times New Roman"/>
        </w:rPr>
      </w:pPr>
    </w:p>
    <w:p w:rsidR="00815CC8" w:rsidRPr="00B2118B" w:rsidP="00815CC8" w14:paraId="72668257" w14:textId="77777777">
      <w:pPr>
        <w:pStyle w:val="Item-Text"/>
        <w:rPr>
          <w:b/>
          <w:u w:val="single"/>
        </w:rPr>
      </w:pPr>
      <w:r w:rsidRPr="00B2118B">
        <w:rPr>
          <w:b/>
          <w:u w:val="single"/>
        </w:rPr>
        <w:t>Information Collection 1</w:t>
      </w:r>
      <w:r>
        <w:rPr>
          <w:b/>
          <w:u w:val="single"/>
        </w:rPr>
        <w:t>,</w:t>
      </w:r>
      <w:r w:rsidRPr="00B2118B">
        <w:rPr>
          <w:b/>
          <w:u w:val="single"/>
        </w:rPr>
        <w:t xml:space="preserve"> </w:t>
      </w:r>
      <w:r>
        <w:rPr>
          <w:b/>
          <w:u w:val="single"/>
        </w:rPr>
        <w:t>Form M</w:t>
      </w:r>
    </w:p>
    <w:p w:rsidR="00815CC8" w:rsidRPr="00B2118B" w:rsidP="00815CC8" w14:paraId="61A339EA" w14:textId="53158925">
      <w:pPr>
        <w:pStyle w:val="Item-Text"/>
        <w:rPr>
          <w:b/>
        </w:rPr>
      </w:pPr>
      <w:r w:rsidRPr="00B2118B">
        <w:rPr>
          <w:b/>
        </w:rPr>
        <w:t xml:space="preserve">Estimated Number of Annual Respondents: </w:t>
      </w:r>
      <w:r w:rsidR="00C22AB9">
        <w:t>34</w:t>
      </w:r>
    </w:p>
    <w:p w:rsidR="00815CC8" w:rsidRPr="00B2118B" w:rsidP="00815CC8" w14:paraId="4DF1BF04" w14:textId="53BC9A54">
      <w:pPr>
        <w:pStyle w:val="Item-Text"/>
        <w:rPr>
          <w:b/>
        </w:rPr>
      </w:pPr>
      <w:r w:rsidRPr="00B2118B">
        <w:rPr>
          <w:b/>
        </w:rPr>
        <w:t xml:space="preserve">Estimated Number of Annual Responses: </w:t>
      </w:r>
      <w:r w:rsidR="00C22AB9">
        <w:rPr>
          <w:b/>
        </w:rPr>
        <w:t>34</w:t>
      </w:r>
      <w:r>
        <w:rPr>
          <w:b/>
        </w:rPr>
        <w:t xml:space="preserve"> </w:t>
      </w:r>
      <w:r>
        <w:t>[</w:t>
      </w:r>
      <w:r w:rsidR="00C22AB9">
        <w:t>34</w:t>
      </w:r>
      <w:r>
        <w:t xml:space="preserve"> r</w:t>
      </w:r>
      <w:r w:rsidRPr="00FC4C47">
        <w:t>espondents × 1 response per form</w:t>
      </w:r>
      <w:r w:rsidR="003D414C">
        <w:t xml:space="preserve"> = 34</w:t>
      </w:r>
      <w:r w:rsidR="0004303B">
        <w:t xml:space="preserve"> respon</w:t>
      </w:r>
      <w:r w:rsidR="00703045">
        <w:t>d</w:t>
      </w:r>
      <w:r w:rsidR="0004303B">
        <w:t>ents</w:t>
      </w:r>
      <w:r w:rsidRPr="00FC4C47">
        <w:t>]</w:t>
      </w:r>
      <w:r w:rsidRPr="00B2118B">
        <w:rPr>
          <w:b/>
        </w:rPr>
        <w:t>.</w:t>
      </w:r>
    </w:p>
    <w:p w:rsidR="00815CC8" w:rsidP="00815CC8" w14:paraId="4E39E3B4" w14:textId="29803086">
      <w:pPr>
        <w:pStyle w:val="Item-Text"/>
      </w:pPr>
      <w:r w:rsidRPr="00B2118B">
        <w:rPr>
          <w:b/>
        </w:rPr>
        <w:t xml:space="preserve">Estimated Total Annual Burden Hours: </w:t>
      </w:r>
      <w:r>
        <w:rPr>
          <w:b/>
        </w:rPr>
        <w:t>3</w:t>
      </w:r>
      <w:r w:rsidR="002A5DC5">
        <w:rPr>
          <w:b/>
        </w:rPr>
        <w:t>06</w:t>
      </w:r>
      <w:r w:rsidRPr="00B2118B">
        <w:rPr>
          <w:b/>
        </w:rPr>
        <w:t xml:space="preserve"> hours </w:t>
      </w:r>
      <w:r w:rsidRPr="007D6BE0">
        <w:t>[</w:t>
      </w:r>
      <w:r w:rsidR="0004303B">
        <w:t>918</w:t>
      </w:r>
      <w:r>
        <w:t xml:space="preserve"> total burden hours / 3 years = </w:t>
      </w:r>
      <w:r w:rsidR="002A5DC5">
        <w:t>306</w:t>
      </w:r>
      <w:r>
        <w:t xml:space="preserve"> burden hours</w:t>
      </w:r>
      <w:r w:rsidRPr="007D6BE0">
        <w:t>].</w:t>
      </w:r>
    </w:p>
    <w:p w:rsidR="00815CC8" w:rsidP="00815CC8" w14:paraId="1DE155C5" w14:textId="6C5FF7AE">
      <w:pPr>
        <w:pStyle w:val="Item-Text"/>
      </w:pPr>
      <w:r>
        <w:rPr>
          <w:b/>
        </w:rPr>
        <w:t xml:space="preserve">Estimated Total </w:t>
      </w:r>
      <w:r w:rsidR="002A5DC5">
        <w:rPr>
          <w:b/>
        </w:rPr>
        <w:t xml:space="preserve">Annual </w:t>
      </w:r>
      <w:r>
        <w:rPr>
          <w:b/>
        </w:rPr>
        <w:t>Labor Costs to Industry: $</w:t>
      </w:r>
      <w:r w:rsidR="00470F39">
        <w:rPr>
          <w:b/>
        </w:rPr>
        <w:t>14,49</w:t>
      </w:r>
      <w:r w:rsidR="009E33CB">
        <w:rPr>
          <w:b/>
        </w:rPr>
        <w:t>8</w:t>
      </w:r>
      <w:r>
        <w:rPr>
          <w:b/>
        </w:rPr>
        <w:t xml:space="preserve"> </w:t>
      </w:r>
      <w:r>
        <w:rPr>
          <w:bCs/>
          <w:color w:val="000000"/>
          <w:sz w:val="22"/>
          <w:szCs w:val="22"/>
        </w:rPr>
        <w:t>[</w:t>
      </w:r>
      <w:r w:rsidR="00470F39">
        <w:rPr>
          <w:bCs/>
          <w:color w:val="000000"/>
          <w:sz w:val="22"/>
          <w:szCs w:val="22"/>
        </w:rPr>
        <w:t xml:space="preserve">306 hours </w:t>
      </w:r>
      <w:r w:rsidRPr="00FC4C47">
        <w:t>×</w:t>
      </w:r>
      <w:r>
        <w:t xml:space="preserve"> </w:t>
      </w:r>
      <w:r w:rsidR="00470F39">
        <w:t>$47.38</w:t>
      </w:r>
      <w:r>
        <w:t xml:space="preserve"> = $</w:t>
      </w:r>
      <w:r w:rsidR="009E33CB">
        <w:t>14</w:t>
      </w:r>
      <w:r>
        <w:t>,</w:t>
      </w:r>
      <w:r w:rsidR="009E33CB">
        <w:t>498</w:t>
      </w:r>
      <w:r>
        <w:t>].</w:t>
      </w:r>
    </w:p>
    <w:p w:rsidR="00815CC8" w:rsidP="00815CC8" w14:paraId="7EE6175B" w14:textId="77777777">
      <w:pPr>
        <w:pStyle w:val="Item-Text"/>
      </w:pPr>
    </w:p>
    <w:p w:rsidR="00815CC8" w:rsidP="00815CC8" w14:paraId="5C1B05FA" w14:textId="77777777">
      <w:pPr>
        <w:pStyle w:val="Item-Text"/>
        <w:rPr>
          <w:u w:val="single"/>
        </w:rPr>
      </w:pPr>
      <w:r>
        <w:rPr>
          <w:u w:val="single"/>
        </w:rPr>
        <w:t>Information Collection 2: For-hire Non-exempt M</w:t>
      </w:r>
      <w:r w:rsidRPr="00093DA3">
        <w:rPr>
          <w:u w:val="single"/>
        </w:rPr>
        <w:t xml:space="preserve">otor </w:t>
      </w:r>
      <w:r>
        <w:rPr>
          <w:u w:val="single"/>
        </w:rPr>
        <w:t>C</w:t>
      </w:r>
      <w:r w:rsidRPr="00093DA3">
        <w:rPr>
          <w:u w:val="single"/>
        </w:rPr>
        <w:t xml:space="preserve">arriers of </w:t>
      </w:r>
      <w:r>
        <w:rPr>
          <w:u w:val="single"/>
        </w:rPr>
        <w:t>P</w:t>
      </w:r>
      <w:r w:rsidRPr="00093DA3">
        <w:rPr>
          <w:u w:val="single"/>
        </w:rPr>
        <w:t>assengers</w:t>
      </w:r>
      <w:r>
        <w:rPr>
          <w:u w:val="single"/>
        </w:rPr>
        <w:t xml:space="preserve"> (Form MP-1)</w:t>
      </w:r>
    </w:p>
    <w:p w:rsidR="00815CC8" w:rsidP="00815CC8" w14:paraId="13C134D8" w14:textId="77777777">
      <w:pPr>
        <w:pStyle w:val="Item-Text"/>
        <w:rPr>
          <w:u w:val="single"/>
        </w:rPr>
      </w:pPr>
    </w:p>
    <w:p w:rsidR="00815CC8" w:rsidRPr="00FC4C47" w:rsidP="00815CC8" w14:paraId="761500F5" w14:textId="0896731F">
      <w:pPr>
        <w:pStyle w:val="Item-Text"/>
      </w:pPr>
      <w:r>
        <w:t>FMCSA has two classifications for non-exempt</w:t>
      </w:r>
      <w:r w:rsidRPr="00093DA3">
        <w:t xml:space="preserve"> </w:t>
      </w:r>
      <w:r>
        <w:t>f</w:t>
      </w:r>
      <w:r w:rsidRPr="00F206EE">
        <w:t xml:space="preserve">or-hire </w:t>
      </w:r>
      <w:r>
        <w:t>m</w:t>
      </w:r>
      <w:r w:rsidRPr="00F206EE">
        <w:t>otor carriers of passengers (Form MP-1</w:t>
      </w:r>
      <w:r>
        <w:t>). Class I carriers have</w:t>
      </w:r>
      <w:r w:rsidRPr="00B759F3">
        <w:t xml:space="preserve"> </w:t>
      </w:r>
      <w:r>
        <w:t>annual operating revenues of $</w:t>
      </w:r>
      <w:r w:rsidRPr="00093DA3">
        <w:t>5 million or more</w:t>
      </w:r>
      <w:r>
        <w:t>,</w:t>
      </w:r>
      <w:r>
        <w:rPr>
          <w:vertAlign w:val="superscript"/>
        </w:rPr>
        <w:footnoteReference w:id="12"/>
      </w:r>
      <w:r w:rsidRPr="00265DC7">
        <w:t xml:space="preserve"> and</w:t>
      </w:r>
      <w:r>
        <w:t xml:space="preserve"> Class II c</w:t>
      </w:r>
      <w:r w:rsidRPr="00B759F3">
        <w:t xml:space="preserve">arriers </w:t>
      </w:r>
      <w:r>
        <w:t>have</w:t>
      </w:r>
      <w:r w:rsidRPr="00B759F3">
        <w:t xml:space="preserve"> annual operating revenues</w:t>
      </w:r>
      <w:r w:rsidRPr="00B759F3">
        <w:t xml:space="preserve"> </w:t>
      </w:r>
      <w:r>
        <w:t>of less than $5</w:t>
      </w:r>
      <w:r w:rsidRPr="00B759F3">
        <w:t xml:space="preserve"> million</w:t>
      </w:r>
      <w:r>
        <w:t>. FMCSA requires motor carriers with operating revenues of more than $5 million to submit Form MP-1 on an annual basis.</w:t>
      </w:r>
      <w:r w:rsidRPr="00567BB5">
        <w:t xml:space="preserve"> </w:t>
      </w:r>
      <w:r>
        <w:t xml:space="preserve">Because the $5 million </w:t>
      </w:r>
      <w:r w:rsidRPr="00567BB5">
        <w:t>threshold w</w:t>
      </w:r>
      <w:r>
        <w:t xml:space="preserve">as implemented in 1986, </w:t>
      </w:r>
      <w:r w:rsidR="00674691">
        <w:t>carriers must adjust their operating revenue threshold using the following formula: [</w:t>
      </w:r>
      <w:r w:rsidRPr="001670E0" w:rsidR="00674691">
        <w:t xml:space="preserve">Current year's annual operating revenue × </w:t>
      </w:r>
      <w:r w:rsidR="00674691">
        <w:t>(</w:t>
      </w:r>
      <w:r w:rsidRPr="001670E0" w:rsidR="00674691">
        <w:t>19</w:t>
      </w:r>
      <w:r w:rsidR="00BA6FB5">
        <w:t>86</w:t>
      </w:r>
      <w:r w:rsidRPr="001670E0" w:rsidR="00674691">
        <w:t xml:space="preserve"> average </w:t>
      </w:r>
      <w:r w:rsidR="00674691">
        <w:t>Producer Price Index (</w:t>
      </w:r>
      <w:r w:rsidRPr="001670E0" w:rsidR="00674691">
        <w:t>PPI</w:t>
      </w:r>
      <w:r w:rsidR="00674691">
        <w:t>) /</w:t>
      </w:r>
      <w:r w:rsidRPr="001670E0" w:rsidR="00674691">
        <w:t xml:space="preserve"> Current year</w:t>
      </w:r>
      <w:r w:rsidR="00674691">
        <w:t>’</w:t>
      </w:r>
      <w:r w:rsidRPr="001670E0" w:rsidR="00674691">
        <w:t>s average PPI</w:t>
      </w:r>
      <w:r w:rsidR="00674691">
        <w:t>)</w:t>
      </w:r>
      <w:r w:rsidRPr="001670E0" w:rsidR="00674691">
        <w:t xml:space="preserve"> = Adjusted annual operating revenues</w:t>
      </w:r>
      <w:r w:rsidR="00674691">
        <w:t>]</w:t>
      </w:r>
      <w:r w:rsidRPr="00FC4C47">
        <w:t xml:space="preserve">. For example, if a carrier had </w:t>
      </w:r>
      <w:r>
        <w:t xml:space="preserve">a </w:t>
      </w:r>
      <w:r w:rsidRPr="00FC4C47">
        <w:t>$</w:t>
      </w:r>
      <w:r>
        <w:t>5.5</w:t>
      </w:r>
      <w:r w:rsidRPr="00FC4C47">
        <w:t xml:space="preserve"> million operating </w:t>
      </w:r>
      <w:r w:rsidRPr="00FC4C47">
        <w:t>revenue in 20</w:t>
      </w:r>
      <w:r w:rsidR="0005073F">
        <w:t>20</w:t>
      </w:r>
      <w:r w:rsidRPr="00FC4C47">
        <w:t xml:space="preserve">, the </w:t>
      </w:r>
      <w:r>
        <w:t>formula would be $5.5 million</w:t>
      </w:r>
      <w:r w:rsidRPr="00FC4C47">
        <w:t xml:space="preserve"> </w:t>
      </w:r>
      <w:r>
        <w:t xml:space="preserve">x </w:t>
      </w:r>
      <w:r w:rsidR="00204663">
        <w:t>[</w:t>
      </w:r>
      <w:r>
        <w:t>1</w:t>
      </w:r>
      <w:r w:rsidR="008D7E7D">
        <w:t>03</w:t>
      </w:r>
      <w:r>
        <w:t>.</w:t>
      </w:r>
      <w:r w:rsidR="008D7E7D">
        <w:t>5</w:t>
      </w:r>
      <w:r w:rsidR="00112BA8">
        <w:t>2</w:t>
      </w:r>
      <w:r w:rsidR="00421827">
        <w:t xml:space="preserve"> (1986 average PPI</w:t>
      </w:r>
      <w:r>
        <w:rPr>
          <w:rStyle w:val="FootnoteReference"/>
        </w:rPr>
        <w:footnoteReference w:id="13"/>
      </w:r>
      <w:r>
        <w:t xml:space="preserve"> </w:t>
      </w:r>
      <w:r w:rsidR="00421827">
        <w:t>)</w:t>
      </w:r>
      <w:r>
        <w:t xml:space="preserve"> / </w:t>
      </w:r>
      <w:r w:rsidR="008440AA">
        <w:t>202.88</w:t>
      </w:r>
      <w:r>
        <w:t xml:space="preserve"> (</w:t>
      </w:r>
      <w:r w:rsidRPr="00FC4C47">
        <w:t>current year's average PPI</w:t>
      </w:r>
      <w:r>
        <w:t xml:space="preserve">)] </w:t>
      </w:r>
      <w:r w:rsidRPr="00FC4C47">
        <w:t xml:space="preserve">= </w:t>
      </w:r>
      <w:r>
        <w:t>$2.</w:t>
      </w:r>
      <w:r w:rsidR="00C2216E">
        <w:t>8</w:t>
      </w:r>
      <w:r>
        <w:t xml:space="preserve"> million (adjusted annual operating revenue)]. Thus, the equivalent of $5.5 million in revenue in 2019 is $2.</w:t>
      </w:r>
      <w:r w:rsidR="00376B6A">
        <w:t>8</w:t>
      </w:r>
      <w:r>
        <w:t xml:space="preserve"> million in 1986 dollars. In this example, the carrier would not have to submit Form MP-1 because it does meet the $5 million threshold.</w:t>
      </w:r>
    </w:p>
    <w:p w:rsidR="00815CC8" w:rsidRPr="00FC4C47" w:rsidP="00815CC8" w14:paraId="1ED2A394" w14:textId="77777777">
      <w:pPr>
        <w:pStyle w:val="Item-Text"/>
      </w:pPr>
    </w:p>
    <w:p w:rsidR="00815CC8" w:rsidP="00815CC8" w14:paraId="11DA1FE3" w14:textId="23F76B87">
      <w:pPr>
        <w:pStyle w:val="Item-Text"/>
      </w:pPr>
      <w:r>
        <w:t>FMCSA did not receive any Form MP-1 submissions between 20</w:t>
      </w:r>
      <w:r w:rsidR="0043784B">
        <w:t>18</w:t>
      </w:r>
      <w:r>
        <w:t xml:space="preserve"> and 20</w:t>
      </w:r>
      <w:r w:rsidR="0043784B">
        <w:t>20</w:t>
      </w:r>
      <w:r>
        <w:t xml:space="preserve">, and the Agency does not expect to receive any </w:t>
      </w:r>
      <w:r>
        <w:t>Form MP-1 submissions during the upcoming three-year information collection period. Therefore, the Agency estimates that there will be zero (0) respondents, zero (0) responses, zero (0) burden hours, and zero (0) labor costs associated with information col</w:t>
      </w:r>
      <w:r>
        <w:t>lection 2 during the three-year information collection period.</w:t>
      </w:r>
    </w:p>
    <w:p w:rsidR="00EC0369" w:rsidP="00815CC8" w14:paraId="78060700" w14:textId="77777777">
      <w:pPr>
        <w:pStyle w:val="Item-Text"/>
      </w:pPr>
    </w:p>
    <w:p w:rsidR="00815CC8" w:rsidRPr="00B2118B" w:rsidP="00815CC8" w14:paraId="1A478C67" w14:textId="77777777">
      <w:pPr>
        <w:pStyle w:val="Item-Text"/>
        <w:rPr>
          <w:b/>
          <w:u w:val="single"/>
        </w:rPr>
      </w:pPr>
      <w:r w:rsidRPr="00B2118B">
        <w:rPr>
          <w:b/>
          <w:u w:val="single"/>
        </w:rPr>
        <w:t>Information Collection 2 Summary</w:t>
      </w:r>
    </w:p>
    <w:p w:rsidR="00815CC8" w:rsidRPr="00B2118B" w:rsidP="00815CC8" w14:paraId="45E21991" w14:textId="77777777">
      <w:pPr>
        <w:pStyle w:val="Item-Text"/>
        <w:rPr>
          <w:b/>
        </w:rPr>
      </w:pPr>
      <w:r w:rsidRPr="00B2118B">
        <w:rPr>
          <w:b/>
        </w:rPr>
        <w:t xml:space="preserve">Estimated Number of Annual Respondents: </w:t>
      </w:r>
      <w:r>
        <w:rPr>
          <w:b/>
        </w:rPr>
        <w:t>0</w:t>
      </w:r>
      <w:r w:rsidRPr="00B2118B">
        <w:rPr>
          <w:b/>
        </w:rPr>
        <w:t>.</w:t>
      </w:r>
    </w:p>
    <w:p w:rsidR="00815CC8" w:rsidRPr="00B2118B" w:rsidP="00815CC8" w14:paraId="0DFBBAD4" w14:textId="77777777">
      <w:pPr>
        <w:pStyle w:val="Item-Text"/>
        <w:rPr>
          <w:b/>
        </w:rPr>
      </w:pPr>
      <w:r w:rsidRPr="00B2118B">
        <w:rPr>
          <w:b/>
        </w:rPr>
        <w:t xml:space="preserve">Estimated Number of Annual Responses: </w:t>
      </w:r>
      <w:r>
        <w:rPr>
          <w:b/>
        </w:rPr>
        <w:t>0</w:t>
      </w:r>
      <w:r w:rsidRPr="00B2118B">
        <w:rPr>
          <w:b/>
        </w:rPr>
        <w:t>.</w:t>
      </w:r>
    </w:p>
    <w:p w:rsidR="00815CC8" w:rsidRPr="00B2118B" w:rsidP="00815CC8" w14:paraId="0D3B00C1" w14:textId="77777777">
      <w:pPr>
        <w:pStyle w:val="Item-Text"/>
        <w:rPr>
          <w:b/>
        </w:rPr>
      </w:pPr>
      <w:r w:rsidRPr="00B2118B">
        <w:rPr>
          <w:b/>
        </w:rPr>
        <w:t xml:space="preserve">Estimated Total Annual Burden Hours: </w:t>
      </w:r>
      <w:r>
        <w:rPr>
          <w:b/>
        </w:rPr>
        <w:t>0</w:t>
      </w:r>
      <w:r w:rsidRPr="007D6BE0">
        <w:t xml:space="preserve"> [</w:t>
      </w:r>
      <w:r>
        <w:t>0</w:t>
      </w:r>
      <w:r w:rsidRPr="007D6BE0">
        <w:t xml:space="preserve"> </w:t>
      </w:r>
      <w:r>
        <w:t>total burden hours / 3 years = 0</w:t>
      </w:r>
      <w:r w:rsidRPr="007D6BE0">
        <w:t>].</w:t>
      </w:r>
    </w:p>
    <w:p w:rsidR="00815CC8" w:rsidP="00815CC8" w14:paraId="2B98A642" w14:textId="77777777">
      <w:pPr>
        <w:pStyle w:val="Item-Text"/>
        <w:rPr>
          <w:u w:val="single"/>
        </w:rPr>
      </w:pPr>
    </w:p>
    <w:p w:rsidR="00815CC8" w:rsidRPr="000B5383" w:rsidP="0004113A" w14:paraId="1A2F0A05" w14:textId="77777777">
      <w:pPr>
        <w:pStyle w:val="Item-Header"/>
      </w:pPr>
      <w:r w:rsidRPr="000B5383">
        <w:t>Estimate of Total Annual Cost to Respondents</w:t>
      </w:r>
    </w:p>
    <w:p w:rsidR="00815CC8" w:rsidP="00815CC8" w14:paraId="19A025B4" w14:textId="4D4AE8AE">
      <w:pPr>
        <w:pStyle w:val="Item-Text"/>
      </w:pPr>
      <w:r>
        <w:t xml:space="preserve">In additional to the labor costs summarized in Item 12, above, FMCSA conservatively adds the cost of mail for </w:t>
      </w:r>
      <w:r w:rsidR="00AD149B">
        <w:t xml:space="preserve">the expected number of </w:t>
      </w:r>
      <w:r>
        <w:t>Form M forms received annually, noting that electronic submission is avail</w:t>
      </w:r>
      <w:r>
        <w:t xml:space="preserve">able. </w:t>
      </w:r>
      <w:r w:rsidRPr="00E07583">
        <w:t>FMCSA estimates a flat cost of $</w:t>
      </w:r>
      <w:r>
        <w:t>1</w:t>
      </w:r>
      <w:r w:rsidRPr="00E07583">
        <w:t>.</w:t>
      </w:r>
      <w:r>
        <w:t>0</w:t>
      </w:r>
      <w:r w:rsidRPr="00E07583">
        <w:t xml:space="preserve">0 for an envelope and postage.  </w:t>
      </w:r>
      <w:r>
        <w:t>FMCSA thus estimates the t</w:t>
      </w:r>
      <w:r w:rsidRPr="00E07583">
        <w:t xml:space="preserve">otal cost of </w:t>
      </w:r>
      <w:r>
        <w:t xml:space="preserve">an </w:t>
      </w:r>
      <w:r w:rsidRPr="00E07583">
        <w:t xml:space="preserve">envelope and postage for motor carriers </w:t>
      </w:r>
      <w:r>
        <w:t>mailing</w:t>
      </w:r>
      <w:r w:rsidRPr="00E07583">
        <w:t xml:space="preserve"> Form </w:t>
      </w:r>
      <w:r>
        <w:t xml:space="preserve">M to </w:t>
      </w:r>
      <w:r w:rsidRPr="00E07583">
        <w:t>be $</w:t>
      </w:r>
      <w:r w:rsidR="00B11F8E">
        <w:t>3</w:t>
      </w:r>
      <w:r w:rsidR="009A5418">
        <w:t>4</w:t>
      </w:r>
      <w:r w:rsidRPr="00E07583">
        <w:t xml:space="preserve"> ($</w:t>
      </w:r>
      <w:r>
        <w:t>1.0</w:t>
      </w:r>
      <w:r w:rsidRPr="00E07583">
        <w:t xml:space="preserve">0 </w:t>
      </w:r>
      <w:r>
        <w:t>×</w:t>
      </w:r>
      <w:r w:rsidRPr="00E07583">
        <w:t xml:space="preserve"> </w:t>
      </w:r>
      <w:r w:rsidR="00B11F8E">
        <w:t>3</w:t>
      </w:r>
      <w:r w:rsidR="009A5418">
        <w:t>4</w:t>
      </w:r>
      <w:r w:rsidRPr="00E07583">
        <w:t xml:space="preserve"> forms).</w:t>
      </w:r>
      <w:r>
        <w:t xml:space="preserve"> Because FMCSA anticipates 0 (zero) Form MP-1 submissions</w:t>
      </w:r>
      <w:r>
        <w:t xml:space="preserve"> during the information collection period, there are zero mailing costs associated with Form MP-1.</w:t>
      </w:r>
    </w:p>
    <w:p w:rsidR="00624C05" w:rsidP="00815CC8" w14:paraId="190CAB20" w14:textId="160DA7EB">
      <w:pPr>
        <w:pStyle w:val="Item-Text"/>
      </w:pPr>
    </w:p>
    <w:p w:rsidR="00624C05" w:rsidP="00815CC8" w14:paraId="24EFAC2D" w14:textId="64AC2FA5">
      <w:pPr>
        <w:pStyle w:val="Item-Text"/>
      </w:pPr>
      <w:r>
        <w:t>FMCSA does not anticipate any other non-labor costs.</w:t>
      </w:r>
    </w:p>
    <w:p w:rsidR="00815CC8" w:rsidP="00815CC8" w14:paraId="2FD33399" w14:textId="77777777">
      <w:pPr>
        <w:pStyle w:val="Item-Text"/>
      </w:pPr>
    </w:p>
    <w:p w:rsidR="00815CC8" w:rsidRPr="00B2118B" w:rsidP="00815CC8" w14:paraId="546F39D1" w14:textId="119AB4BD">
      <w:pPr>
        <w:pStyle w:val="Item-Text"/>
        <w:rPr>
          <w:b/>
        </w:rPr>
      </w:pPr>
      <w:r w:rsidRPr="00B2118B">
        <w:rPr>
          <w:b/>
        </w:rPr>
        <w:t xml:space="preserve">Estimated Total Annual </w:t>
      </w:r>
      <w:r w:rsidR="009A5418">
        <w:rPr>
          <w:b/>
        </w:rPr>
        <w:t xml:space="preserve">Non-Labor </w:t>
      </w:r>
      <w:r>
        <w:rPr>
          <w:b/>
        </w:rPr>
        <w:t>Cost to Respondents</w:t>
      </w:r>
      <w:r w:rsidRPr="00B2118B">
        <w:rPr>
          <w:b/>
        </w:rPr>
        <w:t xml:space="preserve">:  </w:t>
      </w:r>
      <w:r>
        <w:rPr>
          <w:b/>
        </w:rPr>
        <w:t>$</w:t>
      </w:r>
      <w:r w:rsidR="009A5418">
        <w:rPr>
          <w:b/>
        </w:rPr>
        <w:t>34</w:t>
      </w:r>
      <w:r w:rsidRPr="007D6BE0">
        <w:t xml:space="preserve"> [</w:t>
      </w:r>
      <w:r w:rsidR="009A5418">
        <w:t>34</w:t>
      </w:r>
      <w:r>
        <w:t xml:space="preserve"> forms submitted annually </w:t>
      </w:r>
      <w:r w:rsidRPr="00FC4C47">
        <w:t>×</w:t>
      </w:r>
      <w:r>
        <w:t xml:space="preserve"> $1.00 in mai</w:t>
      </w:r>
      <w:r>
        <w:t>ling costs = $</w:t>
      </w:r>
      <w:r w:rsidR="009A5418">
        <w:t>34</w:t>
      </w:r>
      <w:r>
        <w:t>].</w:t>
      </w:r>
    </w:p>
    <w:p w:rsidR="00815CC8" w:rsidP="00815CC8" w14:paraId="4A09DA78" w14:textId="77777777">
      <w:pPr>
        <w:pStyle w:val="Item-Text"/>
        <w:rPr>
          <w:bCs/>
        </w:rPr>
      </w:pPr>
    </w:p>
    <w:p w:rsidR="00815CC8" w:rsidRPr="000B5383" w:rsidP="0004113A" w14:paraId="770F1BBC" w14:textId="77777777">
      <w:pPr>
        <w:pStyle w:val="Item-Header"/>
      </w:pPr>
      <w:r>
        <w:t>Es</w:t>
      </w:r>
      <w:r w:rsidRPr="000B5383">
        <w:t>timate of Cost to the Federal Government</w:t>
      </w:r>
    </w:p>
    <w:p w:rsidR="002F4B76" w:rsidP="00815CC8" w14:paraId="230A3FC2" w14:textId="3E13A065">
      <w:pPr>
        <w:pStyle w:val="Item-Text"/>
      </w:pPr>
      <w:r w:rsidRPr="000B5383">
        <w:t>The</w:t>
      </w:r>
      <w:r w:rsidR="00660790">
        <w:t xml:space="preserve"> processing of </w:t>
      </w:r>
      <w:r w:rsidR="00A54D90">
        <w:t>F</w:t>
      </w:r>
      <w:r w:rsidR="00660790">
        <w:t>orm</w:t>
      </w:r>
      <w:r w:rsidR="00A54D90">
        <w:t>s</w:t>
      </w:r>
      <w:r w:rsidR="00660790">
        <w:t xml:space="preserve"> M and MP-1 is conducted by a GS-7 </w:t>
      </w:r>
      <w:r>
        <w:t>Federal G</w:t>
      </w:r>
      <w:r w:rsidRPr="000B5383">
        <w:t xml:space="preserve">overnment </w:t>
      </w:r>
      <w:r w:rsidR="00660790">
        <w:t xml:space="preserve">staff </w:t>
      </w:r>
      <w:r w:rsidR="008675C9">
        <w:t>member</w:t>
      </w:r>
      <w:r w:rsidR="00660790">
        <w:t>. According to</w:t>
      </w:r>
      <w:r w:rsidR="008675C9">
        <w:t xml:space="preserve"> the U.S. Office of Personal Management</w:t>
      </w:r>
      <w:r w:rsidR="00BA521C">
        <w:t>’s</w:t>
      </w:r>
      <w:r w:rsidR="008675C9">
        <w:t xml:space="preserve"> General Schedule</w:t>
      </w:r>
      <w:r w:rsidR="00BA521C">
        <w:t xml:space="preserve"> for 2021</w:t>
      </w:r>
      <w:r w:rsidR="008675C9">
        <w:t xml:space="preserve">, a GS-7 staff member </w:t>
      </w:r>
      <w:r w:rsidR="004D6164">
        <w:t xml:space="preserve">salary and </w:t>
      </w:r>
      <w:r w:rsidR="00B062EC">
        <w:t>wage</w:t>
      </w:r>
      <w:r w:rsidR="004D6164">
        <w:t>s</w:t>
      </w:r>
      <w:r w:rsidR="00B062EC">
        <w:t xml:space="preserve"> </w:t>
      </w:r>
      <w:r w:rsidR="009E3E20">
        <w:t>are</w:t>
      </w:r>
      <w:r w:rsidR="00B062EC">
        <w:t xml:space="preserve"> </w:t>
      </w:r>
      <w:r w:rsidR="00156FDF">
        <w:t>27.09</w:t>
      </w:r>
      <w:r>
        <w:rPr>
          <w:rStyle w:val="FootnoteReference"/>
        </w:rPr>
        <w:footnoteReference w:id="14"/>
      </w:r>
      <w:r w:rsidR="00660790">
        <w:t xml:space="preserve"> </w:t>
      </w:r>
      <w:r w:rsidR="004D6164">
        <w:t xml:space="preserve">per hour. In </w:t>
      </w:r>
      <w:r w:rsidR="00BA12F6">
        <w:t>addition,</w:t>
      </w:r>
      <w:r w:rsidR="004D6164">
        <w:t xml:space="preserve"> the federal government load rate is 1.28</w:t>
      </w:r>
      <w:r>
        <w:rPr>
          <w:rStyle w:val="FootnoteReference"/>
        </w:rPr>
        <w:footnoteReference w:id="15"/>
      </w:r>
      <w:r w:rsidR="00BA12F6">
        <w:t xml:space="preserve">, </w:t>
      </w:r>
      <w:r w:rsidR="00EA4686">
        <w:t>thus the</w:t>
      </w:r>
      <w:r w:rsidR="00BA12F6">
        <w:t xml:space="preserve"> loaded </w:t>
      </w:r>
      <w:r w:rsidR="00B572BE">
        <w:t>wage</w:t>
      </w:r>
      <w:r w:rsidR="000A3754">
        <w:t xml:space="preserve"> rate is $</w:t>
      </w:r>
      <w:r w:rsidR="00B572BE">
        <w:t>34.68 (27.09 ×</w:t>
      </w:r>
      <w:r w:rsidR="00BF4359">
        <w:t xml:space="preserve"> 1.28= $34.68</w:t>
      </w:r>
      <w:r w:rsidR="00D31088">
        <w:t xml:space="preserve">). </w:t>
      </w:r>
    </w:p>
    <w:p w:rsidR="00815CC8" w:rsidP="00815CC8" w14:paraId="19A7FBF4" w14:textId="6ED3EC36">
      <w:pPr>
        <w:pStyle w:val="Item-Text"/>
      </w:pPr>
      <w:r>
        <w:t>It takes 4 minutes</w:t>
      </w:r>
      <w:r w:rsidR="004519B6">
        <w:t xml:space="preserve"> or .067 hours</w:t>
      </w:r>
      <w:r>
        <w:t xml:space="preserve"> </w:t>
      </w:r>
      <w:r w:rsidR="00360194">
        <w:t>(</w:t>
      </w:r>
      <w:r w:rsidR="004519B6">
        <w:t>4 minutes / 60 minutes =</w:t>
      </w:r>
      <w:r w:rsidR="00360194">
        <w:t xml:space="preserve"> .067</w:t>
      </w:r>
      <w:r w:rsidR="004519B6">
        <w:t xml:space="preserve"> hours</w:t>
      </w:r>
      <w:r w:rsidR="00360194">
        <w:t>)</w:t>
      </w:r>
      <w:r w:rsidR="004519B6">
        <w:t xml:space="preserve"> </w:t>
      </w:r>
      <w:r>
        <w:t>to pro</w:t>
      </w:r>
      <w:r>
        <w:t>cess each form. If there are 3</w:t>
      </w:r>
      <w:r w:rsidR="00792F0A">
        <w:t>4</w:t>
      </w:r>
      <w:r>
        <w:t xml:space="preserve"> forms </w:t>
      </w:r>
      <w:r w:rsidR="004519B6">
        <w:t xml:space="preserve">expected per year, </w:t>
      </w:r>
      <w:r>
        <w:t xml:space="preserve">then the cost to the federal government is </w:t>
      </w:r>
      <w:r w:rsidR="002F4B76">
        <w:t>$</w:t>
      </w:r>
      <w:r w:rsidR="00AD576B">
        <w:t>79</w:t>
      </w:r>
      <w:r w:rsidR="002F4B76">
        <w:t xml:space="preserve"> </w:t>
      </w:r>
      <w:r w:rsidR="004519B6">
        <w:t>(</w:t>
      </w:r>
      <w:r w:rsidR="00E94786">
        <w:t>(</w:t>
      </w:r>
      <w:r w:rsidR="008228B2">
        <w:t>34 forms ×</w:t>
      </w:r>
      <w:r w:rsidR="004519B6">
        <w:t xml:space="preserve"> </w:t>
      </w:r>
      <w:r w:rsidR="002E6F06">
        <w:t>$34.68 × .067</w:t>
      </w:r>
      <w:r w:rsidR="00E94786">
        <w:t xml:space="preserve">) = </w:t>
      </w:r>
      <w:r w:rsidR="00700D96">
        <w:t>$</w:t>
      </w:r>
      <w:r w:rsidR="00875F4A">
        <w:t>79</w:t>
      </w:r>
      <w:r w:rsidR="00700D96">
        <w:t>)</w:t>
      </w:r>
    </w:p>
    <w:p w:rsidR="00815CC8" w:rsidP="00815CC8" w14:paraId="5C796E78" w14:textId="77777777">
      <w:pPr>
        <w:pStyle w:val="Item-Text"/>
      </w:pPr>
    </w:p>
    <w:p w:rsidR="00815CC8" w:rsidP="00815CC8" w14:paraId="398FDF97" w14:textId="77777777">
      <w:pPr>
        <w:pStyle w:val="Item-Text"/>
      </w:pPr>
      <w:r>
        <w:t xml:space="preserve">The estimated total annual cost to the Federal Government for processing Form MP-1 is $0, as FMCSA does not expect any carriers to submit Form MP-1 during the three-year information collection period. </w:t>
      </w:r>
    </w:p>
    <w:p w:rsidR="00815CC8" w:rsidP="00815CC8" w14:paraId="5F817035" w14:textId="77777777">
      <w:pPr>
        <w:pStyle w:val="Item-Text"/>
      </w:pPr>
    </w:p>
    <w:p w:rsidR="00815CC8" w14:paraId="03BA7E9E" w14:textId="1A06AA3F">
      <w:pPr>
        <w:pStyle w:val="Item-Text"/>
      </w:pPr>
      <w:r w:rsidRPr="007833CB">
        <w:rPr>
          <w:b/>
        </w:rPr>
        <w:t>Estim</w:t>
      </w:r>
      <w:r w:rsidRPr="00707E8B">
        <w:rPr>
          <w:b/>
        </w:rPr>
        <w:t xml:space="preserve">ate of Annual Cost to Federal Government: </w:t>
      </w:r>
      <w:r w:rsidRPr="00085162">
        <w:t>$</w:t>
      </w:r>
      <w:r w:rsidR="00EE5ADB">
        <w:t>7</w:t>
      </w:r>
      <w:r w:rsidR="00486865">
        <w:t>9</w:t>
      </w:r>
      <w:r>
        <w:t xml:space="preserve"> (</w:t>
      </w:r>
      <w:r w:rsidR="00EE5ADB">
        <w:t>3</w:t>
      </w:r>
      <w:r w:rsidR="00020414">
        <w:t>4</w:t>
      </w:r>
      <w:r w:rsidRPr="00085162">
        <w:t xml:space="preserve"> </w:t>
      </w:r>
      <w:r>
        <w:t xml:space="preserve">annual </w:t>
      </w:r>
      <w:r w:rsidRPr="00085162">
        <w:t xml:space="preserve">forms </w:t>
      </w:r>
      <w:r w:rsidR="006B006D">
        <w:t xml:space="preserve">× $34.68 </w:t>
      </w:r>
      <w:r w:rsidRPr="00085162">
        <w:t xml:space="preserve">× </w:t>
      </w:r>
      <w:r w:rsidR="00875F4A">
        <w:t>.0</w:t>
      </w:r>
      <w:r w:rsidR="006B006D">
        <w:t>67</w:t>
      </w:r>
      <w:r w:rsidRPr="00085162">
        <w:t xml:space="preserve"> </w:t>
      </w:r>
      <w:r w:rsidR="006B006D">
        <w:t>hours</w:t>
      </w:r>
      <w:r>
        <w:t xml:space="preserve"> =</w:t>
      </w:r>
      <w:r w:rsidR="00486865">
        <w:t>$</w:t>
      </w:r>
      <w:r w:rsidR="00EE5ADB">
        <w:t>7</w:t>
      </w:r>
      <w:r w:rsidR="00486865">
        <w:t>9</w:t>
      </w:r>
      <w:r>
        <w:t>).</w:t>
      </w:r>
    </w:p>
    <w:p w:rsidR="00F3008C" w:rsidRPr="005C7EEE" w14:paraId="0CBDEB50" w14:textId="77777777">
      <w:pPr>
        <w:pStyle w:val="Item-Text"/>
      </w:pPr>
    </w:p>
    <w:p w:rsidR="00815CC8" w:rsidP="00815CC8" w14:paraId="24983350" w14:textId="77777777">
      <w:pPr>
        <w:ind w:left="720" w:hanging="720"/>
        <w:rPr>
          <w:rFonts w:ascii="Times New Roman" w:hAnsi="Times New Roman"/>
          <w:b/>
        </w:rPr>
      </w:pPr>
    </w:p>
    <w:p w:rsidR="00815CC8" w:rsidP="0004113A" w14:paraId="7DF55B93" w14:textId="77777777">
      <w:pPr>
        <w:pStyle w:val="Item-Header"/>
      </w:pPr>
      <w:r w:rsidRPr="008A3A57">
        <w:t>Explanation of Program Changes or Adjustments</w:t>
      </w:r>
    </w:p>
    <w:p w:rsidR="00815CC8" w:rsidP="00815CC8" w14:paraId="48C71C99" w14:textId="0D0C90DA">
      <w:pPr>
        <w:pStyle w:val="Item-Text"/>
      </w:pPr>
      <w:r>
        <w:t xml:space="preserve">Estimated annual respondents for Form M decreased from </w:t>
      </w:r>
      <w:r w:rsidR="00486865">
        <w:t>43</w:t>
      </w:r>
      <w:r>
        <w:t xml:space="preserve"> in the previously approved ICR to </w:t>
      </w:r>
      <w:r w:rsidR="00486865">
        <w:t>34</w:t>
      </w:r>
      <w:r>
        <w:t xml:space="preserve"> in the current ICR</w:t>
      </w:r>
      <w:r w:rsidRPr="00AB52B5">
        <w:t>.</w:t>
      </w:r>
      <w:r>
        <w:t xml:space="preserve"> Estimated annual burden hours for Form M </w:t>
      </w:r>
      <w:bookmarkStart w:id="4" w:name="_Hlk117109763"/>
      <w:r>
        <w:t>decrease</w:t>
      </w:r>
      <w:r>
        <w:t xml:space="preserve">d by </w:t>
      </w:r>
      <w:r w:rsidR="00FA2D8E">
        <w:t>81</w:t>
      </w:r>
      <w:r w:rsidR="00306749">
        <w:t xml:space="preserve"> </w:t>
      </w:r>
      <w:r>
        <w:t>[</w:t>
      </w:r>
      <w:r w:rsidR="00306749">
        <w:t xml:space="preserve">306 </w:t>
      </w:r>
      <w:r>
        <w:t xml:space="preserve">proposed hours – </w:t>
      </w:r>
      <w:r w:rsidR="00182E07">
        <w:t>38</w:t>
      </w:r>
      <w:r w:rsidR="00FA2D8E">
        <w:t>7</w:t>
      </w:r>
      <w:r>
        <w:t xml:space="preserve"> currently approved hours = </w:t>
      </w:r>
      <w:r w:rsidR="00FA2D8E">
        <w:t>-81</w:t>
      </w:r>
      <w:r>
        <w:t xml:space="preserve">]. </w:t>
      </w:r>
      <w:bookmarkEnd w:id="4"/>
      <w:r>
        <w:t xml:space="preserve">Estimated annual respondents for Form MP-1 </w:t>
      </w:r>
      <w:r w:rsidR="00A8257F">
        <w:t>stayed the same from 0 in</w:t>
      </w:r>
      <w:r>
        <w:t xml:space="preserve"> </w:t>
      </w:r>
      <w:r w:rsidR="00AC0852">
        <w:t xml:space="preserve">the </w:t>
      </w:r>
      <w:r>
        <w:t xml:space="preserve">previously approved ICR to 0 in the current ICR. Estimated annual burden hours for Form MP-1 decreased by </w:t>
      </w:r>
      <w:r w:rsidR="00A8257F">
        <w:t xml:space="preserve">0 hours </w:t>
      </w:r>
      <w:r>
        <w:t>fo</w:t>
      </w:r>
      <w:r>
        <w:t xml:space="preserve">r Information Collection 2 (Form MP-1). The change </w:t>
      </w:r>
      <w:r w:rsidR="0076642A">
        <w:t>is</w:t>
      </w:r>
      <w:r>
        <w:t xml:space="preserve"> due to </w:t>
      </w:r>
      <w:r w:rsidR="00E623EE">
        <w:t xml:space="preserve">the </w:t>
      </w:r>
      <w:r>
        <w:t>decrease</w:t>
      </w:r>
      <w:r w:rsidR="00175400">
        <w:t xml:space="preserve"> in the</w:t>
      </w:r>
      <w:r>
        <w:t xml:space="preserve"> number</w:t>
      </w:r>
      <w:r w:rsidR="00175400">
        <w:t xml:space="preserve"> </w:t>
      </w:r>
      <w:r>
        <w:t>of Form M submissions received by the Agency between 201</w:t>
      </w:r>
      <w:r w:rsidR="00175400">
        <w:t>8</w:t>
      </w:r>
      <w:r>
        <w:t xml:space="preserve"> and 20</w:t>
      </w:r>
      <w:r w:rsidR="00175400">
        <w:t>20</w:t>
      </w:r>
      <w:r>
        <w:t xml:space="preserve">, which has resulted in lower estimates of annual respondents/responses for the upcoming </w:t>
      </w:r>
      <w:r>
        <w:t>information collection period.</w:t>
      </w:r>
    </w:p>
    <w:p w:rsidR="00815CC8" w:rsidP="00815CC8" w14:paraId="19A0FFB6" w14:textId="77777777">
      <w:pPr>
        <w:pStyle w:val="Item-Text"/>
      </w:pPr>
    </w:p>
    <w:p w:rsidR="003B4F4E" w:rsidP="00815CC8" w14:paraId="4C26E2B4" w14:textId="0A010CEA">
      <w:pPr>
        <w:pStyle w:val="Item-Text"/>
      </w:pPr>
      <w:r>
        <w:t>Labor costs to the industry have decreased by $2,276</w:t>
      </w:r>
      <w:r w:rsidR="00EF687C">
        <w:t xml:space="preserve"> </w:t>
      </w:r>
      <w:r>
        <w:t xml:space="preserve">annually [ </w:t>
      </w:r>
      <w:r w:rsidR="002C6491">
        <w:t>$14,494</w:t>
      </w:r>
      <w:r w:rsidR="000F739E">
        <w:t xml:space="preserve"> </w:t>
      </w:r>
      <w:r>
        <w:t xml:space="preserve">in proposed costs − </w:t>
      </w:r>
      <w:r w:rsidR="002C6491">
        <w:t>$16,770</w:t>
      </w:r>
      <w:r>
        <w:t xml:space="preserve"> currently approved costs = −$2,276]. This is due to the decreased estimates of annual respondents/responses. </w:t>
      </w:r>
    </w:p>
    <w:p w:rsidR="003B4F4E" w:rsidP="00815CC8" w14:paraId="7EDC26A1" w14:textId="77777777">
      <w:pPr>
        <w:pStyle w:val="Item-Text"/>
      </w:pPr>
    </w:p>
    <w:p w:rsidR="00286C58" w:rsidP="00286C58" w14:paraId="630AA791" w14:textId="1D5399E8">
      <w:pPr>
        <w:pStyle w:val="Item-Text"/>
      </w:pPr>
      <w:r w:rsidRPr="00093DA3">
        <w:t xml:space="preserve">For the Federal Government, </w:t>
      </w:r>
      <w:r>
        <w:t xml:space="preserve">annual </w:t>
      </w:r>
      <w:r w:rsidRPr="00093DA3">
        <w:t>co</w:t>
      </w:r>
      <w:r>
        <w:t xml:space="preserve">sts have </w:t>
      </w:r>
      <w:r w:rsidR="009442C5">
        <w:t>increased</w:t>
      </w:r>
      <w:r w:rsidRPr="00093DA3" w:rsidR="009442C5">
        <w:t xml:space="preserve"> </w:t>
      </w:r>
      <w:r w:rsidRPr="00093DA3">
        <w:t>by $</w:t>
      </w:r>
      <w:r w:rsidR="00B67182">
        <w:t>6</w:t>
      </w:r>
      <w:r>
        <w:t xml:space="preserve"> [</w:t>
      </w:r>
      <w:r w:rsidR="009442C5">
        <w:t>$7</w:t>
      </w:r>
      <w:r w:rsidR="00B67182">
        <w:t xml:space="preserve">9 </w:t>
      </w:r>
      <w:r>
        <w:t>in proposed costs − $</w:t>
      </w:r>
      <w:r w:rsidR="009442C5">
        <w:t>73</w:t>
      </w:r>
      <w:r>
        <w:t xml:space="preserve"> in previously approved costs = −$</w:t>
      </w:r>
      <w:r w:rsidR="00B67182">
        <w:t>79</w:t>
      </w:r>
      <w:r>
        <w:t xml:space="preserve">]. </w:t>
      </w:r>
      <w:r w:rsidRPr="00660041">
        <w:t>Th</w:t>
      </w:r>
      <w:r>
        <w:t xml:space="preserve">is </w:t>
      </w:r>
      <w:r w:rsidR="008B77B1">
        <w:t>increase</w:t>
      </w:r>
      <w:r w:rsidRPr="00660041" w:rsidR="008B77B1">
        <w:t xml:space="preserve"> </w:t>
      </w:r>
      <w:r w:rsidRPr="00660041">
        <w:t xml:space="preserve">is due to </w:t>
      </w:r>
      <w:r w:rsidR="00593438">
        <w:t xml:space="preserve">a revision in the </w:t>
      </w:r>
      <w:r w:rsidR="00B568A0">
        <w:t xml:space="preserve">federal government employee </w:t>
      </w:r>
      <w:r w:rsidR="00593438">
        <w:t>load rate</w:t>
      </w:r>
      <w:r w:rsidR="00D52C67">
        <w:t>, which was revised</w:t>
      </w:r>
      <w:r w:rsidR="00593438">
        <w:t xml:space="preserve"> to be consistent with other FMCSA ICRs.</w:t>
      </w:r>
    </w:p>
    <w:p w:rsidR="00815CC8" w:rsidP="00815CC8" w14:paraId="51357662" w14:textId="77777777">
      <w:pPr>
        <w:ind w:left="720" w:hanging="720"/>
        <w:rPr>
          <w:rFonts w:ascii="Times New Roman" w:hAnsi="Times New Roman"/>
          <w:b/>
        </w:rPr>
      </w:pPr>
    </w:p>
    <w:p w:rsidR="00815CC8" w:rsidRPr="000B5383" w:rsidP="0004113A" w14:paraId="0B0B7CA6" w14:textId="77777777">
      <w:pPr>
        <w:pStyle w:val="Item-Header"/>
      </w:pPr>
      <w:r w:rsidRPr="000B5383">
        <w:t>Publication of Results of Data Collection</w:t>
      </w:r>
    </w:p>
    <w:p w:rsidR="00815CC8" w:rsidP="00815CC8" w14:paraId="52B9A71F" w14:textId="77777777">
      <w:pPr>
        <w:pStyle w:val="Item-Text"/>
      </w:pPr>
      <w:r>
        <w:t xml:space="preserve">FMCSA </w:t>
      </w:r>
      <w:r w:rsidRPr="000B5383">
        <w:t>is required by Federal law to make the</w:t>
      </w:r>
      <w:r>
        <w:t xml:space="preserve"> collected</w:t>
      </w:r>
      <w:r w:rsidRPr="000B5383">
        <w:t xml:space="preserve"> </w:t>
      </w:r>
      <w:r>
        <w:t>Form M and Form MP-1 data</w:t>
      </w:r>
      <w:r w:rsidRPr="000B5383">
        <w:t xml:space="preserve"> publicly available</w:t>
      </w:r>
      <w:r>
        <w:t xml:space="preserve"> subject to the exemption described in Item 2 above. There are no plans at </w:t>
      </w:r>
      <w:r w:rsidRPr="000B5383">
        <w:t xml:space="preserve">this time </w:t>
      </w:r>
      <w:r>
        <w:t xml:space="preserve">for the Agency </w:t>
      </w:r>
      <w:r w:rsidRPr="000B5383">
        <w:t>to</w:t>
      </w:r>
      <w:r w:rsidRPr="000B5383">
        <w:t xml:space="preserve"> publish analytical reports.</w:t>
      </w:r>
    </w:p>
    <w:p w:rsidR="00815CC8" w:rsidRPr="00322A7A" w:rsidP="00815CC8" w14:paraId="374D40A8" w14:textId="77777777">
      <w:pPr>
        <w:pStyle w:val="Item-Text"/>
      </w:pPr>
    </w:p>
    <w:p w:rsidR="00815CC8" w:rsidRPr="005F3D34" w:rsidP="0004113A" w14:paraId="29B63231" w14:textId="77777777">
      <w:pPr>
        <w:pStyle w:val="Item-Header"/>
      </w:pPr>
      <w:r w:rsidRPr="00514B2A">
        <w:t>Approval for not Displaying the Exemp</w:t>
      </w:r>
      <w:r w:rsidRPr="00FE0521">
        <w:t>ti</w:t>
      </w:r>
      <w:r w:rsidRPr="005F3D34">
        <w:t>on Date of OMB Approval</w:t>
      </w:r>
    </w:p>
    <w:p w:rsidR="00815CC8" w:rsidP="00815CC8" w14:paraId="4DB04E61" w14:textId="77777777">
      <w:pPr>
        <w:pStyle w:val="Item-Text"/>
      </w:pPr>
      <w:r w:rsidRPr="000B5383">
        <w:t>The FMCSA is not seeking approval to not display the expiration date of the OMB approval number.</w:t>
      </w:r>
    </w:p>
    <w:p w:rsidR="00815CC8" w:rsidRPr="000B5383" w:rsidP="00815CC8" w14:paraId="7FBBAB23" w14:textId="77777777">
      <w:pPr>
        <w:pStyle w:val="Item-Text"/>
      </w:pPr>
    </w:p>
    <w:p w:rsidR="00815CC8" w:rsidRPr="000B5383" w:rsidP="0004113A" w14:paraId="5DA15DFE" w14:textId="77777777">
      <w:pPr>
        <w:pStyle w:val="Item-Header"/>
      </w:pPr>
      <w:r w:rsidRPr="000B5383">
        <w:t>Exceptions to Certification Statement</w:t>
      </w:r>
    </w:p>
    <w:p w:rsidR="00815CC8" w:rsidP="00815CC8" w14:paraId="129FB1EB" w14:textId="77777777">
      <w:pPr>
        <w:pStyle w:val="Item-Text"/>
      </w:pPr>
      <w:r w:rsidRPr="000B5383">
        <w:t>No</w:t>
      </w:r>
      <w:r>
        <w:t>ne.</w:t>
      </w:r>
    </w:p>
    <w:p w:rsidR="00815CC8" w:rsidP="00815CC8" w14:paraId="13793347" w14:textId="23A51394">
      <w:pPr>
        <w:rPr>
          <w:rFonts w:ascii="Times New Roman" w:hAnsi="Times New Roman"/>
          <w:b/>
          <w:sz w:val="24"/>
          <w:szCs w:val="24"/>
        </w:rPr>
      </w:pPr>
    </w:p>
    <w:p w:rsidR="00065705" w:rsidP="00815CC8" w14:paraId="0EECCAB8" w14:textId="2D299FEE">
      <w:pPr>
        <w:rPr>
          <w:rFonts w:ascii="Times New Roman" w:hAnsi="Times New Roman"/>
          <w:b/>
          <w:sz w:val="24"/>
          <w:szCs w:val="24"/>
        </w:rPr>
      </w:pPr>
    </w:p>
    <w:p w:rsidR="00065705" w:rsidP="00815CC8" w14:paraId="30E931F2" w14:textId="7D2DEB80">
      <w:pPr>
        <w:rPr>
          <w:rFonts w:ascii="Times New Roman" w:hAnsi="Times New Roman"/>
          <w:b/>
          <w:sz w:val="24"/>
          <w:szCs w:val="24"/>
        </w:rPr>
      </w:pPr>
    </w:p>
    <w:p w:rsidR="00065705" w:rsidP="00815CC8" w14:paraId="65B07E7D" w14:textId="3EF17E51">
      <w:pPr>
        <w:rPr>
          <w:rFonts w:ascii="Times New Roman" w:hAnsi="Times New Roman"/>
          <w:b/>
          <w:sz w:val="24"/>
          <w:szCs w:val="24"/>
        </w:rPr>
      </w:pPr>
    </w:p>
    <w:p w:rsidR="00065705" w:rsidP="00815CC8" w14:paraId="5187BB66" w14:textId="5F2D06F4">
      <w:pPr>
        <w:rPr>
          <w:rFonts w:ascii="Times New Roman" w:hAnsi="Times New Roman"/>
          <w:b/>
          <w:sz w:val="24"/>
          <w:szCs w:val="24"/>
        </w:rPr>
      </w:pPr>
    </w:p>
    <w:p w:rsidR="00065705" w:rsidP="00815CC8" w14:paraId="5D70A2BE" w14:textId="452046A3">
      <w:pPr>
        <w:rPr>
          <w:rFonts w:ascii="Times New Roman" w:hAnsi="Times New Roman"/>
          <w:b/>
          <w:sz w:val="24"/>
          <w:szCs w:val="24"/>
        </w:rPr>
      </w:pPr>
    </w:p>
    <w:p w:rsidR="00065705" w:rsidP="00815CC8" w14:paraId="0242BF79" w14:textId="55B839C8">
      <w:pPr>
        <w:rPr>
          <w:rFonts w:ascii="Times New Roman" w:hAnsi="Times New Roman"/>
          <w:b/>
          <w:sz w:val="24"/>
          <w:szCs w:val="24"/>
        </w:rPr>
      </w:pPr>
    </w:p>
    <w:p w:rsidR="00065705" w:rsidRPr="0094204C" w:rsidP="00815CC8" w14:paraId="652A29B7" w14:textId="77777777">
      <w:pPr>
        <w:rPr>
          <w:rFonts w:ascii="Times New Roman" w:hAnsi="Times New Roman"/>
          <w:b/>
          <w:sz w:val="24"/>
          <w:szCs w:val="24"/>
        </w:rPr>
      </w:pPr>
    </w:p>
    <w:p w:rsidR="00815CC8" w:rsidRPr="0094204C" w:rsidP="00815CC8" w14:paraId="2BB0F965" w14:textId="77777777">
      <w:pPr>
        <w:rPr>
          <w:rFonts w:ascii="Times New Roman" w:hAnsi="Times New Roman"/>
          <w:sz w:val="24"/>
          <w:szCs w:val="24"/>
        </w:rPr>
      </w:pPr>
      <w:r w:rsidRPr="0094204C">
        <w:rPr>
          <w:rFonts w:ascii="Times New Roman" w:hAnsi="Times New Roman"/>
          <w:b/>
          <w:sz w:val="24"/>
          <w:szCs w:val="24"/>
        </w:rPr>
        <w:t>ATTACHMENTS</w:t>
      </w:r>
    </w:p>
    <w:p w:rsidR="00815CC8" w:rsidP="00815CC8" w14:paraId="3F5C5FEC" w14:textId="77777777">
      <w:pPr>
        <w:pStyle w:val="Item-Text"/>
        <w:numPr>
          <w:ilvl w:val="0"/>
          <w:numId w:val="42"/>
        </w:numPr>
      </w:pPr>
      <w:r>
        <w:t>49 U.S.C. 14123, Financial Reporting.</w:t>
      </w:r>
    </w:p>
    <w:p w:rsidR="00815CC8" w:rsidP="00815CC8" w14:paraId="55D8BE78" w14:textId="77777777">
      <w:pPr>
        <w:pStyle w:val="Item-Text"/>
        <w:numPr>
          <w:ilvl w:val="0"/>
          <w:numId w:val="42"/>
        </w:numPr>
      </w:pPr>
      <w:r w:rsidRPr="006711A3">
        <w:t>Reports of Motor Carriers; Redesignation of Regulations Pursuant</w:t>
      </w:r>
      <w:r>
        <w:t xml:space="preserve"> </w:t>
      </w:r>
      <w:r w:rsidRPr="006711A3">
        <w:t>to the ICC Termination Act of 199</w:t>
      </w:r>
      <w:r>
        <w:t xml:space="preserve">, </w:t>
      </w:r>
      <w:r w:rsidRPr="000B5383">
        <w:t>September 30, 1998 (63</w:t>
      </w:r>
      <w:r>
        <w:t xml:space="preserve"> </w:t>
      </w:r>
      <w:r w:rsidRPr="000B5383">
        <w:t>FR 52192</w:t>
      </w:r>
      <w:r>
        <w:t>).</w:t>
      </w:r>
    </w:p>
    <w:p w:rsidR="00815CC8" w:rsidRPr="006711A3" w:rsidP="00815CC8" w14:paraId="770FE459" w14:textId="77777777">
      <w:pPr>
        <w:pStyle w:val="Item-Text"/>
        <w:numPr>
          <w:ilvl w:val="0"/>
          <w:numId w:val="42"/>
        </w:numPr>
      </w:pPr>
      <w:r>
        <w:t xml:space="preserve">Title </w:t>
      </w:r>
      <w:r w:rsidRPr="00817A6A">
        <w:t xml:space="preserve">49 CFR </w:t>
      </w:r>
      <w:r>
        <w:t>P</w:t>
      </w:r>
      <w:r w:rsidRPr="00817A6A">
        <w:t xml:space="preserve">art </w:t>
      </w:r>
      <w:r w:rsidRPr="006711A3">
        <w:t>1420, Reports of Motor Carriers</w:t>
      </w:r>
      <w:r w:rsidRPr="006711A3">
        <w:rPr>
          <w:color w:val="000000"/>
          <w:shd w:val="clear" w:color="auto" w:fill="FFFFFF"/>
        </w:rPr>
        <w:t>, October 1, 1998.</w:t>
      </w:r>
    </w:p>
    <w:p w:rsidR="00815CC8" w:rsidP="00815CC8" w14:paraId="37B8139B" w14:textId="77777777">
      <w:pPr>
        <w:pStyle w:val="Item-Text"/>
        <w:numPr>
          <w:ilvl w:val="0"/>
          <w:numId w:val="42"/>
        </w:numPr>
      </w:pPr>
      <w:r w:rsidRPr="000B5383">
        <w:t>F&amp;OS</w:t>
      </w:r>
      <w:r w:rsidRPr="000B5383">
        <w:t xml:space="preserve"> program from BTS to FMCSA (69 FR 51009</w:t>
      </w:r>
      <w:r>
        <w:t>), August 17, 2004.</w:t>
      </w:r>
    </w:p>
    <w:p w:rsidR="00815CC8" w:rsidP="00815CC8" w14:paraId="2BD50317" w14:textId="77777777">
      <w:pPr>
        <w:pStyle w:val="Item-Text"/>
        <w:numPr>
          <w:ilvl w:val="0"/>
          <w:numId w:val="42"/>
        </w:numPr>
      </w:pPr>
      <w:r w:rsidRPr="006711A3">
        <w:t>Redesignation of Regulations</w:t>
      </w:r>
      <w:r>
        <w:t>, (71 FR 45740), August 10, 2006.</w:t>
      </w:r>
    </w:p>
    <w:p w:rsidR="00815CC8" w:rsidP="00815CC8" w14:paraId="25E464C5" w14:textId="77777777">
      <w:pPr>
        <w:pStyle w:val="Item-Text"/>
        <w:numPr>
          <w:ilvl w:val="0"/>
          <w:numId w:val="42"/>
        </w:numPr>
      </w:pPr>
      <w:r>
        <w:t>Annual reports of Class I carriers of passengers, 49 CFR 369.4.</w:t>
      </w:r>
    </w:p>
    <w:p w:rsidR="00815CC8" w:rsidP="00815CC8" w14:paraId="45FAA41F" w14:textId="77777777">
      <w:pPr>
        <w:pStyle w:val="Item-Text"/>
        <w:numPr>
          <w:ilvl w:val="0"/>
          <w:numId w:val="42"/>
        </w:numPr>
      </w:pPr>
      <w:r>
        <w:t>60-day FR, (82 FR 14103), March 16, 2017.</w:t>
      </w:r>
    </w:p>
    <w:p w:rsidR="00815CC8" w:rsidP="00815CC8" w14:paraId="3B7708D6" w14:textId="77777777">
      <w:pPr>
        <w:pStyle w:val="Item-Text"/>
        <w:numPr>
          <w:ilvl w:val="0"/>
          <w:numId w:val="42"/>
        </w:numPr>
      </w:pPr>
      <w:r>
        <w:t xml:space="preserve">30-day FR, (82 FR </w:t>
      </w:r>
      <w:r>
        <w:t>35027), July 27, 2017.</w:t>
      </w:r>
    </w:p>
    <w:p w:rsidR="00815CC8" w:rsidRPr="005049FC" w:rsidP="00815CC8" w14:paraId="609ACFD5" w14:textId="77777777">
      <w:pPr>
        <w:pStyle w:val="Item-Text"/>
        <w:numPr>
          <w:ilvl w:val="0"/>
          <w:numId w:val="42"/>
        </w:numPr>
      </w:pPr>
      <w:r w:rsidRPr="005049FC">
        <w:t xml:space="preserve">60-day FR, (83 FR 17894), April 24, 2018 </w:t>
      </w:r>
    </w:p>
    <w:p w:rsidR="00815CC8" w:rsidRPr="0094204C" w:rsidP="0094204C" w14:paraId="2E241345" w14:textId="77777777">
      <w:pPr>
        <w:pStyle w:val="Item-Text"/>
        <w:numPr>
          <w:ilvl w:val="0"/>
          <w:numId w:val="42"/>
        </w:numPr>
      </w:pPr>
      <w:r>
        <w:t>30-day FR, (83 FR 66836), December 27, 2018.</w:t>
      </w:r>
    </w:p>
    <w:sectPr>
      <w:headerReference w:type="default" r:id="rId10"/>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7A3E" w14:paraId="0E8D28CF"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3BC1">
      <w:rPr>
        <w:rStyle w:val="PageNumber"/>
        <w:noProof/>
      </w:rPr>
      <w:t>1</w:t>
    </w:r>
    <w:r>
      <w:rPr>
        <w:rStyle w:val="PageNumber"/>
      </w:rPr>
      <w:fldChar w:fldCharType="end"/>
    </w:r>
  </w:p>
  <w:p w:rsidR="00497A3E" w14:paraId="586336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24A1A" w14:paraId="0041288F" w14:textId="77777777">
      <w:r>
        <w:separator/>
      </w:r>
    </w:p>
  </w:footnote>
  <w:footnote w:type="continuationSeparator" w:id="1">
    <w:p w:rsidR="00124A1A" w14:paraId="2ED7183A" w14:textId="77777777">
      <w:r>
        <w:continuationSeparator/>
      </w:r>
    </w:p>
  </w:footnote>
  <w:footnote w:type="continuationNotice" w:id="2">
    <w:p w:rsidR="00124A1A" w14:paraId="1E722954" w14:textId="77777777"/>
  </w:footnote>
  <w:footnote w:id="3">
    <w:p w:rsidR="00815CC8" w:rsidP="00815CC8" w14:paraId="3ACC1AF2" w14:textId="77777777">
      <w:pPr>
        <w:pStyle w:val="FootnoteText"/>
      </w:pPr>
      <w:r>
        <w:rPr>
          <w:rStyle w:val="FootnoteReference"/>
        </w:rPr>
        <w:footnoteRef/>
      </w:r>
      <w:r>
        <w:t xml:space="preserve"> </w:t>
      </w:r>
      <w:r w:rsidRPr="005F3D34">
        <w:rPr>
          <w:rFonts w:ascii="Times New Roman" w:hAnsi="Times New Roman"/>
        </w:rPr>
        <w:t>See</w:t>
      </w:r>
      <w:r w:rsidRPr="00851CEF">
        <w:rPr>
          <w:rFonts w:ascii="Times New Roman" w:hAnsi="Times New Roman"/>
        </w:rPr>
        <w:t xml:space="preserve"> 49 CFR 369.1.</w:t>
      </w:r>
    </w:p>
  </w:footnote>
  <w:footnote w:id="4">
    <w:p w:rsidR="00815CC8" w:rsidP="00815CC8" w14:paraId="43328663" w14:textId="77777777">
      <w:pPr>
        <w:pStyle w:val="FootnoteText"/>
      </w:pPr>
      <w:r>
        <w:rPr>
          <w:rStyle w:val="FootnoteReference"/>
        </w:rPr>
        <w:footnoteRef/>
      </w:r>
      <w:r>
        <w:t xml:space="preserve"> </w:t>
      </w:r>
      <w:r w:rsidRPr="005F3D34">
        <w:rPr>
          <w:rFonts w:ascii="Times New Roman" w:hAnsi="Times New Roman"/>
        </w:rPr>
        <w:t xml:space="preserve">U.S Code </w:t>
      </w:r>
      <w:r w:rsidRPr="00851CEF">
        <w:rPr>
          <w:rFonts w:ascii="Times New Roman" w:hAnsi="Times New Roman"/>
        </w:rPr>
        <w:t xml:space="preserve">Chapter </w:t>
      </w:r>
      <w:r>
        <w:rPr>
          <w:rFonts w:ascii="Times New Roman" w:hAnsi="Times New Roman"/>
        </w:rPr>
        <w:t>49 Section</w:t>
      </w:r>
      <w:r w:rsidRPr="00851CEF">
        <w:rPr>
          <w:rFonts w:ascii="Times New Roman" w:hAnsi="Times New Roman"/>
        </w:rPr>
        <w:t xml:space="preserve"> 369.4.</w:t>
      </w:r>
    </w:p>
  </w:footnote>
  <w:footnote w:id="5">
    <w:p w:rsidR="00815CC8" w:rsidP="00815CC8" w14:paraId="045A60F4"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The gross domestic product is the market value of all officially recognized final goods and services produced within a country in a given period.</w:t>
      </w:r>
    </w:p>
  </w:footnote>
  <w:footnote w:id="6">
    <w:p w:rsidR="00815CC8" w:rsidRPr="005F3D34" w:rsidP="00815CC8" w14:paraId="1A463414" w14:textId="77777777">
      <w:pPr>
        <w:pStyle w:val="FootnoteText"/>
        <w:rPr>
          <w:rFonts w:ascii="Times New Roman" w:hAnsi="Times New Roman"/>
        </w:rPr>
      </w:pPr>
      <w:r w:rsidRPr="005F3D34">
        <w:rPr>
          <w:rStyle w:val="FootnoteReference"/>
          <w:rFonts w:ascii="Times New Roman" w:hAnsi="Times New Roman"/>
        </w:rPr>
        <w:footnoteRef/>
      </w:r>
      <w:r w:rsidRPr="005F3D34">
        <w:rPr>
          <w:rFonts w:ascii="Times New Roman" w:hAnsi="Times New Roman"/>
        </w:rPr>
        <w:t xml:space="preserve"> Data source: FMCSA, Electronic Document Management System (EDMS), Form M files on record, as of 11/14/2019.</w:t>
      </w:r>
      <w:r w:rsidRPr="005F3D34">
        <w:rPr>
          <w:rFonts w:ascii="Times New Roman" w:hAnsi="Times New Roman"/>
        </w:rPr>
        <w:t xml:space="preserve"> </w:t>
      </w:r>
    </w:p>
  </w:footnote>
  <w:footnote w:id="7">
    <w:p w:rsidR="00FC0012" w:rsidRPr="00FC4C47" w:rsidP="00FC0012" w14:paraId="59143F7C" w14:textId="0AA26888">
      <w:pPr>
        <w:pStyle w:val="FootnoteText"/>
        <w:rPr>
          <w:rFonts w:ascii="Times New Roman" w:hAnsi="Times New Roman"/>
        </w:rPr>
      </w:pPr>
      <w:r w:rsidRPr="00FC4C47">
        <w:rPr>
          <w:rStyle w:val="FootnoteReference"/>
          <w:rFonts w:ascii="Times New Roman" w:hAnsi="Times New Roman"/>
        </w:rPr>
        <w:footnoteRef/>
      </w:r>
      <w:r w:rsidRPr="00FC4C47">
        <w:rPr>
          <w:rFonts w:ascii="Times New Roman" w:hAnsi="Times New Roman"/>
        </w:rPr>
        <w:t xml:space="preserve"> Total </w:t>
      </w:r>
      <w:r>
        <w:rPr>
          <w:rFonts w:ascii="Times New Roman" w:hAnsi="Times New Roman"/>
        </w:rPr>
        <w:t>r</w:t>
      </w:r>
      <w:r w:rsidRPr="00FC4C47">
        <w:rPr>
          <w:rFonts w:ascii="Times New Roman" w:hAnsi="Times New Roman"/>
        </w:rPr>
        <w:t xml:space="preserve">evenue </w:t>
      </w:r>
      <w:r>
        <w:rPr>
          <w:rFonts w:ascii="Times New Roman" w:hAnsi="Times New Roman"/>
        </w:rPr>
        <w:t>for all classes include</w:t>
      </w:r>
      <w:r w:rsidR="004552F9">
        <w:rPr>
          <w:rFonts w:ascii="Times New Roman" w:hAnsi="Times New Roman"/>
        </w:rPr>
        <w:t>s</w:t>
      </w:r>
      <w:r>
        <w:rPr>
          <w:rFonts w:ascii="Times New Roman" w:hAnsi="Times New Roman"/>
        </w:rPr>
        <w:t xml:space="preserve"> </w:t>
      </w:r>
      <w:r w:rsidRPr="00FC4C47">
        <w:rPr>
          <w:rFonts w:ascii="Times New Roman" w:hAnsi="Times New Roman"/>
        </w:rPr>
        <w:t>interstate and intrastate revenue.</w:t>
      </w:r>
    </w:p>
  </w:footnote>
  <w:footnote w:id="8">
    <w:p w:rsidR="00DB32E4" w:rsidRPr="00795B4D" w:rsidP="005C7EEE" w14:paraId="014107B2" w14:textId="48675999">
      <w:pPr>
        <w:rPr>
          <w:rFonts w:ascii="Times New Roman" w:hAnsi="Times New Roman"/>
        </w:rPr>
      </w:pPr>
      <w:r w:rsidRPr="00795B4D">
        <w:rPr>
          <w:rStyle w:val="FootnoteReference"/>
          <w:rFonts w:ascii="Times New Roman" w:hAnsi="Times New Roman"/>
        </w:rPr>
        <w:footnoteRef/>
      </w:r>
      <w:r>
        <w:t xml:space="preserve"> </w:t>
      </w:r>
      <w:r w:rsidRPr="00795B4D">
        <w:rPr>
          <w:rFonts w:ascii="Times New Roman" w:hAnsi="Times New Roman"/>
        </w:rPr>
        <w:t xml:space="preserve">U.S. Bureau of Labor Statistics, Producer Price Index by Commodity: Final Demand: Finished Goods [WPUFD49207], retrieved from FRED, Federal Reserve Bank of St. Louis; </w:t>
      </w:r>
      <w:hyperlink r:id="rId1" w:history="1">
        <w:r w:rsidRPr="00A839C3" w:rsidR="008440AA">
          <w:rPr>
            <w:rStyle w:val="Hyperlink"/>
            <w:rFonts w:ascii="Times New Roman" w:hAnsi="Times New Roman"/>
          </w:rPr>
          <w:t>https://fred.stlouisfed.org/series/WPUFD49207</w:t>
        </w:r>
      </w:hyperlink>
      <w:r w:rsidRPr="00795B4D">
        <w:rPr>
          <w:rFonts w:ascii="Times New Roman" w:hAnsi="Times New Roman"/>
        </w:rPr>
        <w:t>, August 12, 2021.</w:t>
      </w:r>
    </w:p>
  </w:footnote>
  <w:footnote w:id="9">
    <w:p w:rsidR="006F4C56" w:rsidRPr="005C7EEE" w:rsidP="006F4C56" w14:paraId="4683002F" w14:textId="6FA28223">
      <w:pPr>
        <w:rPr>
          <w:rFonts w:ascii="Times New Roman" w:hAnsi="Times New Roman"/>
        </w:rPr>
      </w:pPr>
      <w:r>
        <w:rPr>
          <w:rStyle w:val="FootnoteReference"/>
        </w:rPr>
        <w:footnoteRef/>
      </w:r>
      <w:r>
        <w:t xml:space="preserve"> </w:t>
      </w:r>
      <w:r w:rsidRPr="005C7EEE">
        <w:rPr>
          <w:rFonts w:ascii="Times New Roman" w:hAnsi="Times New Roman"/>
        </w:rPr>
        <w:t xml:space="preserve">Current year is equal to 2020. U.S. Bureau of Labor Statistics, Producer Price Index by Commodity: All Commodities [PPIACO], retrieved from FRED, Federal Reserve Bank of St. Louis </w:t>
      </w:r>
      <w:hyperlink r:id="rId2" w:history="1">
        <w:r w:rsidRPr="005C7EEE" w:rsidR="008440AA">
          <w:rPr>
            <w:rStyle w:val="Hyperlink"/>
            <w:rFonts w:ascii="Times New Roman" w:hAnsi="Times New Roman"/>
          </w:rPr>
          <w:t>https://fred.stlouisfed.org/series/PPIACO</w:t>
        </w:r>
      </w:hyperlink>
      <w:r w:rsidRPr="005C7EEE">
        <w:rPr>
          <w:rFonts w:ascii="Times New Roman" w:hAnsi="Times New Roman"/>
        </w:rPr>
        <w:t>, August 12, 2021.</w:t>
      </w:r>
    </w:p>
    <w:p w:rsidR="006F4C56" w:rsidRPr="005C7EEE" w:rsidP="006F4C56" w14:paraId="2AAAF195" w14:textId="77777777">
      <w:pPr>
        <w:pStyle w:val="FootnoteText"/>
        <w:rPr>
          <w:rFonts w:ascii="Times New Roman" w:hAnsi="Times New Roman"/>
        </w:rPr>
      </w:pPr>
    </w:p>
  </w:footnote>
  <w:footnote w:id="10">
    <w:p w:rsidR="00815CC8" w:rsidRPr="00F01C9E" w:rsidP="00815CC8" w14:paraId="08892925" w14:textId="15A779AF">
      <w:pPr>
        <w:pStyle w:val="FootnoteText"/>
        <w:rPr>
          <w:rFonts w:ascii="Times New Roman" w:hAnsi="Times New Roman"/>
        </w:rPr>
      </w:pPr>
      <w:r w:rsidRPr="00176EB3">
        <w:rPr>
          <w:rStyle w:val="FootnoteReference"/>
          <w:rFonts w:ascii="Times New Roman" w:hAnsi="Times New Roman"/>
        </w:rPr>
        <w:footnoteRef/>
      </w:r>
      <w:r w:rsidRPr="00176EB3">
        <w:rPr>
          <w:rFonts w:ascii="Times New Roman" w:hAnsi="Times New Roman"/>
        </w:rPr>
        <w:t xml:space="preserve"> </w:t>
      </w:r>
      <w:r w:rsidRPr="00114844">
        <w:rPr>
          <w:rFonts w:ascii="Times New Roman" w:hAnsi="Times New Roman"/>
        </w:rPr>
        <w:t>Bureau of Labor Statistics</w:t>
      </w:r>
      <w:r>
        <w:rPr>
          <w:rFonts w:ascii="Times New Roman" w:hAnsi="Times New Roman"/>
        </w:rPr>
        <w:t xml:space="preserve"> (20</w:t>
      </w:r>
      <w:r w:rsidR="00AC3ACD">
        <w:rPr>
          <w:rFonts w:ascii="Times New Roman" w:hAnsi="Times New Roman"/>
        </w:rPr>
        <w:t>2</w:t>
      </w:r>
      <w:r w:rsidR="00057378">
        <w:rPr>
          <w:rFonts w:ascii="Times New Roman" w:hAnsi="Times New Roman"/>
        </w:rPr>
        <w:t>1</w:t>
      </w:r>
      <w:r>
        <w:rPr>
          <w:rFonts w:ascii="Times New Roman" w:hAnsi="Times New Roman"/>
        </w:rPr>
        <w:t>)</w:t>
      </w:r>
      <w:r w:rsidRPr="00114844">
        <w:rPr>
          <w:rFonts w:ascii="Times New Roman" w:hAnsi="Times New Roman"/>
        </w:rPr>
        <w:t>. “Occupational Employment and Wages, May 20</w:t>
      </w:r>
      <w:r w:rsidR="00057378">
        <w:rPr>
          <w:rFonts w:ascii="Times New Roman" w:hAnsi="Times New Roman"/>
        </w:rPr>
        <w:t>21</w:t>
      </w:r>
      <w:r w:rsidRPr="00114844">
        <w:rPr>
          <w:rFonts w:ascii="Times New Roman" w:hAnsi="Times New Roman"/>
        </w:rPr>
        <w:t>, NAICS 484</w:t>
      </w:r>
      <w:r>
        <w:rPr>
          <w:rFonts w:ascii="Times New Roman" w:hAnsi="Times New Roman"/>
        </w:rPr>
        <w:t>0</w:t>
      </w:r>
      <w:r w:rsidRPr="00114844">
        <w:rPr>
          <w:rFonts w:ascii="Times New Roman" w:hAnsi="Times New Roman"/>
        </w:rPr>
        <w:t xml:space="preserve">00 </w:t>
      </w:r>
      <w:r>
        <w:rPr>
          <w:rFonts w:ascii="Times New Roman" w:hAnsi="Times New Roman"/>
        </w:rPr>
        <w:t>–</w:t>
      </w:r>
      <w:r w:rsidRPr="00114844">
        <w:rPr>
          <w:rFonts w:ascii="Times New Roman" w:hAnsi="Times New Roman"/>
        </w:rPr>
        <w:t xml:space="preserve"> </w:t>
      </w:r>
      <w:r>
        <w:rPr>
          <w:rFonts w:ascii="Times New Roman" w:hAnsi="Times New Roman"/>
        </w:rPr>
        <w:t>Truck Transportation</w:t>
      </w:r>
      <w:r w:rsidRPr="00114844">
        <w:rPr>
          <w:rFonts w:ascii="Times New Roman" w:hAnsi="Times New Roman"/>
        </w:rPr>
        <w:t xml:space="preserve">.” Available at </w:t>
      </w:r>
      <w:hyperlink r:id="rId3" w:history="1">
        <w:r w:rsidRPr="00FC4C47">
          <w:rPr>
            <w:rStyle w:val="Hyperlink"/>
            <w:rFonts w:ascii="Times New Roman" w:hAnsi="Times New Roman"/>
          </w:rPr>
          <w:t>https://www.bls.gov/oes/current/naics3_484000.htm</w:t>
        </w:r>
      </w:hyperlink>
      <w:r w:rsidRPr="00FC4C47">
        <w:rPr>
          <w:rFonts w:ascii="Times New Roman" w:hAnsi="Times New Roman"/>
        </w:rPr>
        <w:t xml:space="preserve"> </w:t>
      </w:r>
      <w:r>
        <w:rPr>
          <w:rFonts w:ascii="Times New Roman" w:hAnsi="Times New Roman"/>
        </w:rPr>
        <w:t xml:space="preserve">(accessed </w:t>
      </w:r>
      <w:r w:rsidR="00057378">
        <w:rPr>
          <w:rFonts w:ascii="Times New Roman" w:hAnsi="Times New Roman"/>
        </w:rPr>
        <w:t>August 12</w:t>
      </w:r>
      <w:r>
        <w:rPr>
          <w:rFonts w:ascii="Times New Roman" w:hAnsi="Times New Roman"/>
        </w:rPr>
        <w:t>, 20</w:t>
      </w:r>
      <w:r w:rsidR="00057378">
        <w:rPr>
          <w:rFonts w:ascii="Times New Roman" w:hAnsi="Times New Roman"/>
        </w:rPr>
        <w:t>21</w:t>
      </w:r>
      <w:r w:rsidRPr="00114844">
        <w:rPr>
          <w:rFonts w:ascii="Times New Roman" w:hAnsi="Times New Roman"/>
        </w:rPr>
        <w:t xml:space="preserve">). See </w:t>
      </w:r>
      <w:r w:rsidRPr="00FC4C47">
        <w:rPr>
          <w:rFonts w:ascii="Times New Roman" w:hAnsi="Times New Roman"/>
        </w:rPr>
        <w:t>Occupation Code</w:t>
      </w:r>
      <w:r>
        <w:rPr>
          <w:rFonts w:ascii="Times New Roman" w:hAnsi="Times New Roman"/>
        </w:rPr>
        <w:t xml:space="preserve">: 13-2011, </w:t>
      </w:r>
      <w:r w:rsidRPr="00FC4C47">
        <w:rPr>
          <w:rFonts w:ascii="Times New Roman" w:hAnsi="Times New Roman"/>
          <w:i/>
        </w:rPr>
        <w:t>Accountants and Auditors.</w:t>
      </w:r>
    </w:p>
  </w:footnote>
  <w:footnote w:id="11">
    <w:p w:rsidR="00815CC8" w:rsidRPr="00F01C9E" w:rsidP="00815CC8" w14:paraId="10FC1B61" w14:textId="3D0806B8">
      <w:pPr>
        <w:pStyle w:val="FootnoteText"/>
        <w:rPr>
          <w:rFonts w:ascii="Times New Roman" w:hAnsi="Times New Roman"/>
        </w:rPr>
      </w:pPr>
      <w:r w:rsidRPr="00F01C9E">
        <w:rPr>
          <w:rStyle w:val="FootnoteReference"/>
          <w:rFonts w:ascii="Times New Roman" w:hAnsi="Times New Roman"/>
        </w:rPr>
        <w:footnoteRef/>
      </w:r>
      <w:r w:rsidRPr="00F01C9E">
        <w:rPr>
          <w:rFonts w:ascii="Times New Roman" w:hAnsi="Times New Roman"/>
        </w:rPr>
        <w:t xml:space="preserve"> Bureau of Labor Statistics</w:t>
      </w:r>
      <w:r>
        <w:rPr>
          <w:rFonts w:ascii="Times New Roman" w:hAnsi="Times New Roman"/>
        </w:rPr>
        <w:t xml:space="preserve"> (2019)</w:t>
      </w:r>
      <w:r w:rsidRPr="00F01C9E">
        <w:rPr>
          <w:rFonts w:ascii="Times New Roman" w:hAnsi="Times New Roman"/>
        </w:rPr>
        <w:t xml:space="preserve">. “Table </w:t>
      </w:r>
      <w:r>
        <w:rPr>
          <w:rFonts w:ascii="Times New Roman" w:hAnsi="Times New Roman"/>
        </w:rPr>
        <w:t>4</w:t>
      </w:r>
      <w:r w:rsidRPr="00F01C9E">
        <w:rPr>
          <w:rFonts w:ascii="Times New Roman" w:hAnsi="Times New Roman"/>
        </w:rPr>
        <w:t xml:space="preserve">. Employer </w:t>
      </w:r>
      <w:r>
        <w:rPr>
          <w:rFonts w:ascii="Times New Roman" w:hAnsi="Times New Roman"/>
        </w:rPr>
        <w:t>C</w:t>
      </w:r>
      <w:r w:rsidRPr="00F01C9E">
        <w:rPr>
          <w:rFonts w:ascii="Times New Roman" w:hAnsi="Times New Roman"/>
        </w:rPr>
        <w:t>o</w:t>
      </w:r>
      <w:r w:rsidRPr="00F01C9E">
        <w:rPr>
          <w:rFonts w:ascii="Times New Roman" w:hAnsi="Times New Roman"/>
        </w:rPr>
        <w:t xml:space="preserve">sts for </w:t>
      </w:r>
      <w:r>
        <w:rPr>
          <w:rFonts w:ascii="Times New Roman" w:hAnsi="Times New Roman"/>
        </w:rPr>
        <w:t>E</w:t>
      </w:r>
      <w:r w:rsidRPr="00F01C9E">
        <w:rPr>
          <w:rFonts w:ascii="Times New Roman" w:hAnsi="Times New Roman"/>
        </w:rPr>
        <w:t xml:space="preserve">mployee </w:t>
      </w:r>
      <w:r>
        <w:rPr>
          <w:rFonts w:ascii="Times New Roman" w:hAnsi="Times New Roman"/>
        </w:rPr>
        <w:t>C</w:t>
      </w:r>
      <w:r w:rsidRPr="00F01C9E">
        <w:rPr>
          <w:rFonts w:ascii="Times New Roman" w:hAnsi="Times New Roman"/>
        </w:rPr>
        <w:t>ompensation</w:t>
      </w:r>
      <w:r>
        <w:rPr>
          <w:rFonts w:ascii="Times New Roman" w:hAnsi="Times New Roman"/>
        </w:rPr>
        <w:t xml:space="preserve"> for private industry workers by occupational and industry group</w:t>
      </w:r>
      <w:r w:rsidRPr="00F01C9E">
        <w:rPr>
          <w:rFonts w:ascii="Times New Roman" w:hAnsi="Times New Roman"/>
        </w:rPr>
        <w:t xml:space="preserve">, </w:t>
      </w:r>
      <w:r w:rsidR="003C5E54">
        <w:rPr>
          <w:rFonts w:ascii="Times New Roman" w:hAnsi="Times New Roman"/>
        </w:rPr>
        <w:t>May</w:t>
      </w:r>
      <w:r w:rsidRPr="00F01C9E" w:rsidR="003C5E54">
        <w:rPr>
          <w:rFonts w:ascii="Times New Roman" w:hAnsi="Times New Roman"/>
        </w:rPr>
        <w:t xml:space="preserve"> </w:t>
      </w:r>
      <w:r w:rsidRPr="00F01C9E">
        <w:rPr>
          <w:rFonts w:ascii="Times New Roman" w:hAnsi="Times New Roman"/>
        </w:rPr>
        <w:t>20</w:t>
      </w:r>
      <w:r w:rsidR="003C5E54">
        <w:rPr>
          <w:rFonts w:ascii="Times New Roman" w:hAnsi="Times New Roman"/>
        </w:rPr>
        <w:t>21</w:t>
      </w:r>
      <w:r w:rsidRPr="00F01C9E">
        <w:rPr>
          <w:rFonts w:ascii="Times New Roman" w:hAnsi="Times New Roman"/>
        </w:rPr>
        <w:t xml:space="preserve">.” </w:t>
      </w:r>
      <w:r w:rsidRPr="00DD074A">
        <w:rPr>
          <w:rFonts w:ascii="Times New Roman" w:hAnsi="Times New Roman"/>
        </w:rPr>
        <w:t>Available a</w:t>
      </w:r>
      <w:r w:rsidR="002F15BF">
        <w:rPr>
          <w:rFonts w:ascii="Times New Roman" w:hAnsi="Times New Roman"/>
        </w:rPr>
        <w:t xml:space="preserve">t </w:t>
      </w:r>
      <w:hyperlink r:id="rId4" w:history="1">
        <w:r w:rsidRPr="00A839C3" w:rsidR="00FE7847">
          <w:rPr>
            <w:rStyle w:val="Hyperlink"/>
            <w:rFonts w:ascii="Times New Roman" w:hAnsi="Times New Roman"/>
          </w:rPr>
          <w:t>https://www.bls.gov/news.release/ecec.t04.htm</w:t>
        </w:r>
      </w:hyperlink>
      <w:r w:rsidR="003C5E54">
        <w:rPr>
          <w:rFonts w:ascii="Times New Roman" w:hAnsi="Times New Roman"/>
        </w:rPr>
        <w:t xml:space="preserve"> </w:t>
      </w:r>
      <w:r>
        <w:rPr>
          <w:rFonts w:ascii="Times New Roman" w:hAnsi="Times New Roman"/>
        </w:rPr>
        <w:t>(a</w:t>
      </w:r>
      <w:r w:rsidRPr="00F01C9E">
        <w:rPr>
          <w:rFonts w:ascii="Times New Roman" w:hAnsi="Times New Roman"/>
        </w:rPr>
        <w:t xml:space="preserve">ccessed </w:t>
      </w:r>
      <w:r w:rsidR="003C5E54">
        <w:rPr>
          <w:rFonts w:ascii="Times New Roman" w:hAnsi="Times New Roman"/>
        </w:rPr>
        <w:t>August</w:t>
      </w:r>
      <w:r w:rsidRPr="00F01C9E" w:rsidR="003C5E54">
        <w:rPr>
          <w:rFonts w:ascii="Times New Roman" w:hAnsi="Times New Roman"/>
        </w:rPr>
        <w:t xml:space="preserve"> </w:t>
      </w:r>
      <w:r w:rsidR="003C5E54">
        <w:rPr>
          <w:rFonts w:ascii="Times New Roman" w:hAnsi="Times New Roman"/>
        </w:rPr>
        <w:t>12</w:t>
      </w:r>
      <w:r w:rsidRPr="00F01C9E">
        <w:rPr>
          <w:rFonts w:ascii="Times New Roman" w:hAnsi="Times New Roman"/>
        </w:rPr>
        <w:t>, 20</w:t>
      </w:r>
      <w:r w:rsidR="003C5E54">
        <w:rPr>
          <w:rFonts w:ascii="Times New Roman" w:hAnsi="Times New Roman"/>
        </w:rPr>
        <w:t>21</w:t>
      </w:r>
      <w:r>
        <w:rPr>
          <w:rFonts w:ascii="Times New Roman" w:hAnsi="Times New Roman"/>
        </w:rPr>
        <w:t>)</w:t>
      </w:r>
      <w:r w:rsidRPr="00F01C9E">
        <w:rPr>
          <w:rFonts w:ascii="Times New Roman" w:hAnsi="Times New Roman"/>
        </w:rPr>
        <w:t>.</w:t>
      </w:r>
    </w:p>
  </w:footnote>
  <w:footnote w:id="12">
    <w:p w:rsidR="00815CC8" w:rsidRPr="00FC4C47" w:rsidP="00815CC8" w14:paraId="32B30ECA" w14:textId="77F6A6F8">
      <w:pPr>
        <w:pStyle w:val="FootnoteText"/>
        <w:rPr>
          <w:rFonts w:ascii="Times New Roman" w:hAnsi="Times New Roman"/>
        </w:rPr>
      </w:pPr>
      <w:r w:rsidRPr="00FC4C47">
        <w:rPr>
          <w:rStyle w:val="FootnoteReference"/>
          <w:rFonts w:ascii="Times New Roman" w:hAnsi="Times New Roman"/>
        </w:rPr>
        <w:footnoteRef/>
      </w:r>
      <w:r w:rsidRPr="00FC4C47">
        <w:rPr>
          <w:rFonts w:ascii="Times New Roman" w:hAnsi="Times New Roman"/>
        </w:rPr>
        <w:t xml:space="preserve"> Total </w:t>
      </w:r>
      <w:r>
        <w:rPr>
          <w:rFonts w:ascii="Times New Roman" w:hAnsi="Times New Roman"/>
        </w:rPr>
        <w:t>r</w:t>
      </w:r>
      <w:r w:rsidRPr="00FC4C47">
        <w:rPr>
          <w:rFonts w:ascii="Times New Roman" w:hAnsi="Times New Roman"/>
        </w:rPr>
        <w:t xml:space="preserve">evenue </w:t>
      </w:r>
      <w:r>
        <w:rPr>
          <w:rFonts w:ascii="Times New Roman" w:hAnsi="Times New Roman"/>
        </w:rPr>
        <w:t>for all classes include</w:t>
      </w:r>
      <w:r w:rsidR="00484623">
        <w:rPr>
          <w:rFonts w:ascii="Times New Roman" w:hAnsi="Times New Roman"/>
        </w:rPr>
        <w:t>s</w:t>
      </w:r>
      <w:r>
        <w:rPr>
          <w:rFonts w:ascii="Times New Roman" w:hAnsi="Times New Roman"/>
        </w:rPr>
        <w:t xml:space="preserve"> </w:t>
      </w:r>
      <w:r w:rsidRPr="00FC4C47">
        <w:rPr>
          <w:rFonts w:ascii="Times New Roman" w:hAnsi="Times New Roman"/>
        </w:rPr>
        <w:t>interstate and intrastate revenue.</w:t>
      </w:r>
    </w:p>
  </w:footnote>
  <w:footnote w:id="13">
    <w:p w:rsidR="0098448E" w:rsidRPr="005C7EEE" w:rsidP="0098448E" w14:paraId="2ED18549" w14:textId="53E93D94">
      <w:pPr>
        <w:pStyle w:val="citation"/>
        <w:shd w:val="clear" w:color="auto" w:fill="FFFFFF"/>
        <w:spacing w:before="0" w:beforeAutospacing="0" w:after="150" w:afterAutospacing="0"/>
        <w:rPr>
          <w:color w:val="333333"/>
          <w:sz w:val="20"/>
          <w:szCs w:val="20"/>
        </w:rPr>
      </w:pPr>
      <w:r>
        <w:rPr>
          <w:rStyle w:val="FootnoteReference"/>
        </w:rPr>
        <w:footnoteRef/>
      </w:r>
      <w:r>
        <w:t xml:space="preserve"> </w:t>
      </w:r>
      <w:r w:rsidRPr="005C7EEE">
        <w:rPr>
          <w:color w:val="333333"/>
          <w:sz w:val="20"/>
          <w:szCs w:val="20"/>
        </w:rPr>
        <w:t xml:space="preserve">U.S. Bureau of Labor Statistics, Producer Price Index by Commodity: Final Demand: Finished Goods [WPUFD49207], retrieved from FRED, Federal Reserve Bank of St. Louis; </w:t>
      </w:r>
      <w:hyperlink r:id="rId1" w:history="1">
        <w:r w:rsidRPr="005C7EEE">
          <w:rPr>
            <w:rStyle w:val="Hyperlink"/>
            <w:sz w:val="20"/>
            <w:szCs w:val="20"/>
          </w:rPr>
          <w:t>https://fred.stlouisfed.org/series/WPUFD49207</w:t>
        </w:r>
      </w:hyperlink>
      <w:r>
        <w:rPr>
          <w:color w:val="333333"/>
          <w:sz w:val="20"/>
          <w:szCs w:val="20"/>
        </w:rPr>
        <w:t xml:space="preserve"> </w:t>
      </w:r>
      <w:r w:rsidRPr="005C7EEE">
        <w:rPr>
          <w:color w:val="333333"/>
          <w:sz w:val="20"/>
          <w:szCs w:val="20"/>
        </w:rPr>
        <w:t>,, August 12, 2021.</w:t>
      </w:r>
    </w:p>
    <w:p w:rsidR="0098448E" w:rsidRPr="005C7EEE" w:rsidP="005C7EEE" w14:paraId="782A7FD0" w14:textId="66F1FDA0">
      <w:pPr>
        <w:pStyle w:val="citation"/>
        <w:shd w:val="clear" w:color="auto" w:fill="FFFFFF"/>
        <w:spacing w:before="0" w:beforeAutospacing="0" w:after="150" w:afterAutospacing="0"/>
        <w:rPr>
          <w:color w:val="333333"/>
        </w:rPr>
      </w:pPr>
    </w:p>
  </w:footnote>
  <w:footnote w:id="14">
    <w:p w:rsidR="00156FDF" w14:paraId="2F7ADA68" w14:textId="543C4168">
      <w:pPr>
        <w:pStyle w:val="FootnoteText"/>
      </w:pPr>
      <w:r w:rsidRPr="005C7EEE">
        <w:rPr>
          <w:rStyle w:val="FootnoteReference"/>
          <w:rFonts w:ascii="Times New Roman" w:hAnsi="Times New Roman"/>
        </w:rPr>
        <w:footnoteRef/>
      </w:r>
      <w:r w:rsidRPr="005C7EEE">
        <w:rPr>
          <w:rFonts w:ascii="Times New Roman" w:hAnsi="Times New Roman"/>
        </w:rPr>
        <w:t xml:space="preserve"> </w:t>
      </w:r>
      <w:r w:rsidRPr="005C7EEE" w:rsidR="003C15AF">
        <w:rPr>
          <w:rFonts w:ascii="Times New Roman" w:hAnsi="Times New Roman"/>
        </w:rPr>
        <w:t xml:space="preserve">Office of Personnel Management, Pay Table, </w:t>
      </w:r>
      <w:r w:rsidRPr="005C7EEE" w:rsidR="002467FC">
        <w:rPr>
          <w:rFonts w:ascii="Times New Roman" w:hAnsi="Times New Roman"/>
        </w:rPr>
        <w:t>Washington-Baltimore-Arlington, DC-MD- VA-WV-PA</w:t>
      </w:r>
      <w:r w:rsidRPr="005C7EEE" w:rsidR="00C9669C">
        <w:rPr>
          <w:rFonts w:ascii="Times New Roman" w:hAnsi="Times New Roman"/>
        </w:rPr>
        <w:t xml:space="preserve">; </w:t>
      </w:r>
      <w:hyperlink r:id="rId5" w:history="1">
        <w:r w:rsidRPr="005C7EEE" w:rsidR="00C9669C">
          <w:rPr>
            <w:rStyle w:val="Hyperlink"/>
            <w:rFonts w:ascii="Times New Roman" w:hAnsi="Times New Roman"/>
          </w:rPr>
          <w:t>https://www.opm.gov/policy-data-oversight/pay-leave/salaries-wages/2021/general-schedule/</w:t>
        </w:r>
      </w:hyperlink>
      <w:r w:rsidRPr="005C7EEE" w:rsidR="00C9669C">
        <w:rPr>
          <w:rFonts w:ascii="Times New Roman" w:hAnsi="Times New Roman"/>
        </w:rPr>
        <w:t>, August 15 20201.</w:t>
      </w:r>
    </w:p>
  </w:footnote>
  <w:footnote w:id="15">
    <w:p w:rsidR="004D6164" w14:paraId="6B18FAA8" w14:textId="55A311E3">
      <w:pPr>
        <w:pStyle w:val="FootnoteText"/>
      </w:pPr>
      <w:r w:rsidRPr="005C7EEE">
        <w:rPr>
          <w:rStyle w:val="FootnoteReference"/>
          <w:rFonts w:ascii="Times New Roman" w:hAnsi="Times New Roman"/>
        </w:rPr>
        <w:footnoteRef/>
      </w:r>
      <w:r>
        <w:t xml:space="preserve"> </w:t>
      </w:r>
      <w:r w:rsidRPr="005C7EEE" w:rsidR="00BA12F6">
        <w:rPr>
          <w:rFonts w:ascii="Times New Roman" w:hAnsi="Times New Roman"/>
        </w:rPr>
        <w:t xml:space="preserve">Load rate </w:t>
      </w:r>
      <w:r w:rsidR="00BA12F6">
        <w:rPr>
          <w:rFonts w:ascii="Times New Roman" w:hAnsi="Times New Roman"/>
        </w:rPr>
        <w:t>c</w:t>
      </w:r>
      <w:r w:rsidRPr="005C7EEE">
        <w:rPr>
          <w:rFonts w:ascii="Times New Roman" w:hAnsi="Times New Roman"/>
        </w:rPr>
        <w:t>onsistent with other FMCSA Info</w:t>
      </w:r>
      <w:r w:rsidRPr="005C7EEE">
        <w:rPr>
          <w:rFonts w:ascii="Times New Roman" w:hAnsi="Times New Roman"/>
        </w:rPr>
        <w:t>rmation Collection Requests</w:t>
      </w:r>
      <w:r w:rsidR="00BA12F6">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22" w14:paraId="7A0166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0250CD"/>
    <w:multiLevelType w:val="hybridMultilevel"/>
    <w:tmpl w:val="3A761EE2"/>
    <w:lvl w:ilvl="0">
      <w:start w:val="4"/>
      <w:numFmt w:val="bullet"/>
      <w:lvlText w:val="–"/>
      <w:lvlJc w:val="left"/>
      <w:pPr>
        <w:ind w:left="720" w:hanging="360"/>
      </w:pPr>
      <w:rPr>
        <w:rFonts w:ascii="Times New Roman" w:hAnsi="Times New Roman" w:cs="Times New Roman"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0105C30"/>
    <w:multiLevelType w:val="hybridMultilevel"/>
    <w:tmpl w:val="D8302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752B76"/>
    <w:multiLevelType w:val="hybridMultilevel"/>
    <w:tmpl w:val="1D5212E2"/>
    <w:lvl w:ilvl="0">
      <w:start w:val="1"/>
      <w:numFmt w:val="bullet"/>
      <w:lvlText w:val="•"/>
      <w:lvlJc w:val="left"/>
      <w:pPr>
        <w:ind w:left="108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22B578B"/>
    <w:multiLevelType w:val="hybridMultilevel"/>
    <w:tmpl w:val="5942CB6C"/>
    <w:lvl w:ilvl="0">
      <w:start w:val="4"/>
      <w:numFmt w:val="bullet"/>
      <w:lvlText w:val="-"/>
      <w:lvlJc w:val="left"/>
      <w:pPr>
        <w:ind w:left="720" w:hanging="360"/>
      </w:pPr>
      <w:rPr>
        <w:rFonts w:ascii="Times New Roman" w:eastAsia="Times New Roman" w:hAnsi="Times New Roman" w:cs="Times New Roman"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B93270A"/>
    <w:multiLevelType w:val="hybridMultilevel"/>
    <w:tmpl w:val="DCC4EF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D62259F"/>
    <w:multiLevelType w:val="hybridMultilevel"/>
    <w:tmpl w:val="1284B976"/>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AB08C5"/>
    <w:multiLevelType w:val="hybridMultilevel"/>
    <w:tmpl w:val="4F0E285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B6C"/>
    <w:multiLevelType w:val="hybridMultilevel"/>
    <w:tmpl w:val="6B448B6C"/>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D853860"/>
    <w:multiLevelType w:val="hybridMultilevel"/>
    <w:tmpl w:val="D6DA0B6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AAF4298"/>
    <w:multiLevelType w:val="hybridMultilevel"/>
    <w:tmpl w:val="F5742A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AEB342A"/>
    <w:multiLevelType w:val="hybridMultilevel"/>
    <w:tmpl w:val="EC0AC0D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B2C5F5E"/>
    <w:multiLevelType w:val="hybridMultilevel"/>
    <w:tmpl w:val="7C0438E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611402A1"/>
    <w:multiLevelType w:val="hybridMultilevel"/>
    <w:tmpl w:val="834A1AA2"/>
    <w:lvl w:ilvl="0">
      <w:start w:val="4"/>
      <w:numFmt w:val="bullet"/>
      <w:lvlText w:val="-"/>
      <w:lvlJc w:val="left"/>
      <w:pPr>
        <w:ind w:left="720" w:hanging="360"/>
      </w:pPr>
      <w:rPr>
        <w:rFonts w:ascii="Times New Roman" w:eastAsia="Times New Roman" w:hAnsi="Times New Roman" w:cs="Times New Roman"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nsid w:val="693E46B2"/>
    <w:multiLevelType w:val="hybridMultilevel"/>
    <w:tmpl w:val="D38C3B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A3A6F69"/>
    <w:multiLevelType w:val="hybridMultilevel"/>
    <w:tmpl w:val="C9263430"/>
    <w:lvl w:ilvl="0">
      <w:start w:val="1"/>
      <w:numFmt w:val="bullet"/>
      <w:lvlText w:val="•"/>
      <w:lvlJc w:val="left"/>
      <w:pPr>
        <w:ind w:left="108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D5D29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EB10FB0"/>
    <w:multiLevelType w:val="hybridMultilevel"/>
    <w:tmpl w:val="F69A3296"/>
    <w:lvl w:ilvl="0">
      <w:start w:val="1"/>
      <w:numFmt w:val="decimal"/>
      <w:pStyle w:val="Item-Header"/>
      <w:lvlText w:val="%1."/>
      <w:lvlJc w:val="left"/>
      <w:pPr>
        <w:ind w:left="360" w:hanging="360"/>
      </w:pPr>
      <w:rPr>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
  </w:num>
  <w:num w:numId="2">
    <w:abstractNumId w:val="9"/>
  </w:num>
  <w:num w:numId="3">
    <w:abstractNumId w:val="11"/>
  </w:num>
  <w:num w:numId="4">
    <w:abstractNumId w:val="39"/>
  </w:num>
  <w:num w:numId="5">
    <w:abstractNumId w:val="36"/>
  </w:num>
  <w:num w:numId="6">
    <w:abstractNumId w:val="13"/>
  </w:num>
  <w:num w:numId="7">
    <w:abstractNumId w:val="32"/>
  </w:num>
  <w:num w:numId="8">
    <w:abstractNumId w:val="18"/>
  </w:num>
  <w:num w:numId="9">
    <w:abstractNumId w:val="8"/>
  </w:num>
  <w:num w:numId="10">
    <w:abstractNumId w:val="10"/>
  </w:num>
  <w:num w:numId="11">
    <w:abstractNumId w:val="22"/>
  </w:num>
  <w:num w:numId="12">
    <w:abstractNumId w:val="12"/>
  </w:num>
  <w:num w:numId="13">
    <w:abstractNumId w:val="46"/>
  </w:num>
  <w:num w:numId="14">
    <w:abstractNumId w:val="44"/>
  </w:num>
  <w:num w:numId="15">
    <w:abstractNumId w:val="28"/>
  </w:num>
  <w:num w:numId="16">
    <w:abstractNumId w:val="20"/>
  </w:num>
  <w:num w:numId="17">
    <w:abstractNumId w:val="21"/>
  </w:num>
  <w:num w:numId="18">
    <w:abstractNumId w:val="47"/>
  </w:num>
  <w:num w:numId="19">
    <w:abstractNumId w:val="15"/>
  </w:num>
  <w:num w:numId="20">
    <w:abstractNumId w:val="0"/>
  </w:num>
  <w:num w:numId="21">
    <w:abstractNumId w:val="6"/>
  </w:num>
  <w:num w:numId="22">
    <w:abstractNumId w:val="29"/>
  </w:num>
  <w:num w:numId="23">
    <w:abstractNumId w:val="31"/>
  </w:num>
  <w:num w:numId="24">
    <w:abstractNumId w:val="42"/>
  </w:num>
  <w:num w:numId="25">
    <w:abstractNumId w:val="2"/>
  </w:num>
  <w:num w:numId="26">
    <w:abstractNumId w:val="25"/>
  </w:num>
  <w:num w:numId="27">
    <w:abstractNumId w:val="7"/>
  </w:num>
  <w:num w:numId="28">
    <w:abstractNumId w:val="38"/>
  </w:num>
  <w:num w:numId="29">
    <w:abstractNumId w:val="43"/>
  </w:num>
  <w:num w:numId="30">
    <w:abstractNumId w:val="14"/>
  </w:num>
  <w:num w:numId="31">
    <w:abstractNumId w:val="48"/>
  </w:num>
  <w:num w:numId="32">
    <w:abstractNumId w:val="26"/>
  </w:num>
  <w:num w:numId="33">
    <w:abstractNumId w:val="17"/>
  </w:num>
  <w:num w:numId="34">
    <w:abstractNumId w:val="19"/>
  </w:num>
  <w:num w:numId="35">
    <w:abstractNumId w:val="27"/>
  </w:num>
  <w:num w:numId="36">
    <w:abstractNumId w:val="40"/>
  </w:num>
  <w:num w:numId="37">
    <w:abstractNumId w:val="4"/>
  </w:num>
  <w:num w:numId="38">
    <w:abstractNumId w:val="24"/>
  </w:num>
  <w:num w:numId="39">
    <w:abstractNumId w:val="35"/>
  </w:num>
  <w:num w:numId="40">
    <w:abstractNumId w:val="41"/>
  </w:num>
  <w:num w:numId="41">
    <w:abstractNumId w:val="5"/>
  </w:num>
  <w:num w:numId="42">
    <w:abstractNumId w:val="34"/>
  </w:num>
  <w:num w:numId="43">
    <w:abstractNumId w:val="30"/>
  </w:num>
  <w:num w:numId="44">
    <w:abstractNumId w:val="23"/>
  </w:num>
  <w:num w:numId="45">
    <w:abstractNumId w:val="37"/>
  </w:num>
  <w:num w:numId="46">
    <w:abstractNumId w:val="16"/>
  </w:num>
  <w:num w:numId="47">
    <w:abstractNumId w:val="45"/>
  </w:num>
  <w:num w:numId="48">
    <w:abstractNumId w:val="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500F"/>
    <w:rsid w:val="00020414"/>
    <w:rsid w:val="00022BB6"/>
    <w:rsid w:val="00024AF3"/>
    <w:rsid w:val="00030F06"/>
    <w:rsid w:val="0004113A"/>
    <w:rsid w:val="00041797"/>
    <w:rsid w:val="0004303B"/>
    <w:rsid w:val="00043644"/>
    <w:rsid w:val="000438B6"/>
    <w:rsid w:val="0004749E"/>
    <w:rsid w:val="0005073F"/>
    <w:rsid w:val="00057378"/>
    <w:rsid w:val="00061EC3"/>
    <w:rsid w:val="00065705"/>
    <w:rsid w:val="00070D37"/>
    <w:rsid w:val="0008270D"/>
    <w:rsid w:val="00085162"/>
    <w:rsid w:val="00087499"/>
    <w:rsid w:val="00093DA3"/>
    <w:rsid w:val="000A3754"/>
    <w:rsid w:val="000B054D"/>
    <w:rsid w:val="000B5383"/>
    <w:rsid w:val="000C2A85"/>
    <w:rsid w:val="000C36CA"/>
    <w:rsid w:val="000D1072"/>
    <w:rsid w:val="000D1F5F"/>
    <w:rsid w:val="000D29EC"/>
    <w:rsid w:val="000E1FAD"/>
    <w:rsid w:val="000E4372"/>
    <w:rsid w:val="000F1656"/>
    <w:rsid w:val="000F739E"/>
    <w:rsid w:val="00103851"/>
    <w:rsid w:val="00105F8E"/>
    <w:rsid w:val="00112BA8"/>
    <w:rsid w:val="00114844"/>
    <w:rsid w:val="001161C2"/>
    <w:rsid w:val="00124A1A"/>
    <w:rsid w:val="00140D3B"/>
    <w:rsid w:val="0014269A"/>
    <w:rsid w:val="00145FB6"/>
    <w:rsid w:val="00150BD0"/>
    <w:rsid w:val="00152C82"/>
    <w:rsid w:val="00154E91"/>
    <w:rsid w:val="00156FDF"/>
    <w:rsid w:val="001619C2"/>
    <w:rsid w:val="00165690"/>
    <w:rsid w:val="001670E0"/>
    <w:rsid w:val="00175400"/>
    <w:rsid w:val="0017628C"/>
    <w:rsid w:val="00176EB3"/>
    <w:rsid w:val="00182E07"/>
    <w:rsid w:val="00183BC1"/>
    <w:rsid w:val="00185A0A"/>
    <w:rsid w:val="001C0A54"/>
    <w:rsid w:val="001C2B34"/>
    <w:rsid w:val="001C63C3"/>
    <w:rsid w:val="001D3624"/>
    <w:rsid w:val="001D4111"/>
    <w:rsid w:val="001D41AA"/>
    <w:rsid w:val="00201079"/>
    <w:rsid w:val="00201B04"/>
    <w:rsid w:val="00204663"/>
    <w:rsid w:val="0021737F"/>
    <w:rsid w:val="0022097E"/>
    <w:rsid w:val="00221AC8"/>
    <w:rsid w:val="00221C4A"/>
    <w:rsid w:val="002249EB"/>
    <w:rsid w:val="002467FC"/>
    <w:rsid w:val="002544AA"/>
    <w:rsid w:val="002558D2"/>
    <w:rsid w:val="00261AD4"/>
    <w:rsid w:val="00265DC7"/>
    <w:rsid w:val="00276C1F"/>
    <w:rsid w:val="00282F07"/>
    <w:rsid w:val="00286C58"/>
    <w:rsid w:val="00291DF7"/>
    <w:rsid w:val="0029420C"/>
    <w:rsid w:val="0029422F"/>
    <w:rsid w:val="00297131"/>
    <w:rsid w:val="002A5DC5"/>
    <w:rsid w:val="002B07EA"/>
    <w:rsid w:val="002B2203"/>
    <w:rsid w:val="002C6491"/>
    <w:rsid w:val="002D4BEF"/>
    <w:rsid w:val="002E21D0"/>
    <w:rsid w:val="002E6F06"/>
    <w:rsid w:val="002F0811"/>
    <w:rsid w:val="002F15BF"/>
    <w:rsid w:val="002F4B76"/>
    <w:rsid w:val="002F55E8"/>
    <w:rsid w:val="00306749"/>
    <w:rsid w:val="00306DBF"/>
    <w:rsid w:val="003168C8"/>
    <w:rsid w:val="003225A0"/>
    <w:rsid w:val="00322A7A"/>
    <w:rsid w:val="003257A6"/>
    <w:rsid w:val="0034105B"/>
    <w:rsid w:val="00345582"/>
    <w:rsid w:val="00346352"/>
    <w:rsid w:val="00353C80"/>
    <w:rsid w:val="00360194"/>
    <w:rsid w:val="003660A0"/>
    <w:rsid w:val="003664A3"/>
    <w:rsid w:val="00376B6A"/>
    <w:rsid w:val="00384BD1"/>
    <w:rsid w:val="003921F4"/>
    <w:rsid w:val="003A4B53"/>
    <w:rsid w:val="003A7EB8"/>
    <w:rsid w:val="003B2B0A"/>
    <w:rsid w:val="003B4F4E"/>
    <w:rsid w:val="003C0DC2"/>
    <w:rsid w:val="003C15AF"/>
    <w:rsid w:val="003C52E8"/>
    <w:rsid w:val="003C5E54"/>
    <w:rsid w:val="003D3078"/>
    <w:rsid w:val="003D414C"/>
    <w:rsid w:val="003D550F"/>
    <w:rsid w:val="003F33DE"/>
    <w:rsid w:val="004005C0"/>
    <w:rsid w:val="00407E96"/>
    <w:rsid w:val="0041194C"/>
    <w:rsid w:val="00412EB6"/>
    <w:rsid w:val="00421827"/>
    <w:rsid w:val="00427F10"/>
    <w:rsid w:val="0043784B"/>
    <w:rsid w:val="004510BE"/>
    <w:rsid w:val="0045169D"/>
    <w:rsid w:val="004519B6"/>
    <w:rsid w:val="004552F9"/>
    <w:rsid w:val="00467E08"/>
    <w:rsid w:val="00470720"/>
    <w:rsid w:val="00470F39"/>
    <w:rsid w:val="00480D9C"/>
    <w:rsid w:val="00484623"/>
    <w:rsid w:val="00486865"/>
    <w:rsid w:val="00492A9D"/>
    <w:rsid w:val="00497530"/>
    <w:rsid w:val="00497A3E"/>
    <w:rsid w:val="004A2090"/>
    <w:rsid w:val="004A4E28"/>
    <w:rsid w:val="004C4BD0"/>
    <w:rsid w:val="004C60F6"/>
    <w:rsid w:val="004D6164"/>
    <w:rsid w:val="004D6778"/>
    <w:rsid w:val="004F60CD"/>
    <w:rsid w:val="005049FC"/>
    <w:rsid w:val="005103BA"/>
    <w:rsid w:val="00510901"/>
    <w:rsid w:val="005114C1"/>
    <w:rsid w:val="00514B2A"/>
    <w:rsid w:val="00515433"/>
    <w:rsid w:val="005255CF"/>
    <w:rsid w:val="00540E2F"/>
    <w:rsid w:val="00554C6B"/>
    <w:rsid w:val="00557018"/>
    <w:rsid w:val="005602C6"/>
    <w:rsid w:val="005612EB"/>
    <w:rsid w:val="00567BB5"/>
    <w:rsid w:val="0057538C"/>
    <w:rsid w:val="005762EB"/>
    <w:rsid w:val="005804AA"/>
    <w:rsid w:val="00593438"/>
    <w:rsid w:val="005B538C"/>
    <w:rsid w:val="005B783E"/>
    <w:rsid w:val="005C7EEE"/>
    <w:rsid w:val="005F3D34"/>
    <w:rsid w:val="005F520D"/>
    <w:rsid w:val="005F7CE5"/>
    <w:rsid w:val="00603CC4"/>
    <w:rsid w:val="006109EC"/>
    <w:rsid w:val="006146B9"/>
    <w:rsid w:val="00624C05"/>
    <w:rsid w:val="00634C39"/>
    <w:rsid w:val="00644586"/>
    <w:rsid w:val="00656E8B"/>
    <w:rsid w:val="00660041"/>
    <w:rsid w:val="00660790"/>
    <w:rsid w:val="006617C2"/>
    <w:rsid w:val="006711A3"/>
    <w:rsid w:val="006721D2"/>
    <w:rsid w:val="00674691"/>
    <w:rsid w:val="006802A3"/>
    <w:rsid w:val="00686EE0"/>
    <w:rsid w:val="0069054B"/>
    <w:rsid w:val="0069357E"/>
    <w:rsid w:val="006A3DCD"/>
    <w:rsid w:val="006B006D"/>
    <w:rsid w:val="006B2574"/>
    <w:rsid w:val="006B5C1D"/>
    <w:rsid w:val="006C34CF"/>
    <w:rsid w:val="006C52ED"/>
    <w:rsid w:val="006C714E"/>
    <w:rsid w:val="006D15A4"/>
    <w:rsid w:val="006D6CE7"/>
    <w:rsid w:val="006E0380"/>
    <w:rsid w:val="006F38DA"/>
    <w:rsid w:val="006F3950"/>
    <w:rsid w:val="006F4C56"/>
    <w:rsid w:val="006F58A6"/>
    <w:rsid w:val="00700D96"/>
    <w:rsid w:val="00703045"/>
    <w:rsid w:val="0070379B"/>
    <w:rsid w:val="00704CEC"/>
    <w:rsid w:val="00707DB9"/>
    <w:rsid w:val="00707E8B"/>
    <w:rsid w:val="00711BE0"/>
    <w:rsid w:val="007277D6"/>
    <w:rsid w:val="0073193C"/>
    <w:rsid w:val="00733E4B"/>
    <w:rsid w:val="007347CA"/>
    <w:rsid w:val="00736DCB"/>
    <w:rsid w:val="00742323"/>
    <w:rsid w:val="0075037B"/>
    <w:rsid w:val="007540F8"/>
    <w:rsid w:val="00754FAD"/>
    <w:rsid w:val="00765725"/>
    <w:rsid w:val="0076642A"/>
    <w:rsid w:val="0077576C"/>
    <w:rsid w:val="007821E7"/>
    <w:rsid w:val="007833CB"/>
    <w:rsid w:val="00792F0A"/>
    <w:rsid w:val="00795B4D"/>
    <w:rsid w:val="007A1422"/>
    <w:rsid w:val="007B108F"/>
    <w:rsid w:val="007B620F"/>
    <w:rsid w:val="007C2CF0"/>
    <w:rsid w:val="007C3B79"/>
    <w:rsid w:val="007D6A6B"/>
    <w:rsid w:val="007D6BE0"/>
    <w:rsid w:val="007D6EE2"/>
    <w:rsid w:val="00811DC8"/>
    <w:rsid w:val="00815CC8"/>
    <w:rsid w:val="0081739B"/>
    <w:rsid w:val="00817A6A"/>
    <w:rsid w:val="00821168"/>
    <w:rsid w:val="008228B2"/>
    <w:rsid w:val="00830F5D"/>
    <w:rsid w:val="00834ACC"/>
    <w:rsid w:val="00840DDD"/>
    <w:rsid w:val="008440AA"/>
    <w:rsid w:val="00851CEF"/>
    <w:rsid w:val="00853395"/>
    <w:rsid w:val="00856AD8"/>
    <w:rsid w:val="00857FB6"/>
    <w:rsid w:val="00862179"/>
    <w:rsid w:val="008675C9"/>
    <w:rsid w:val="008701F2"/>
    <w:rsid w:val="00875F4A"/>
    <w:rsid w:val="00895725"/>
    <w:rsid w:val="008A3A57"/>
    <w:rsid w:val="008A4B4D"/>
    <w:rsid w:val="008A5803"/>
    <w:rsid w:val="008B000A"/>
    <w:rsid w:val="008B0C6C"/>
    <w:rsid w:val="008B5870"/>
    <w:rsid w:val="008B635D"/>
    <w:rsid w:val="008B77B1"/>
    <w:rsid w:val="008D34A3"/>
    <w:rsid w:val="008D6516"/>
    <w:rsid w:val="008D7E7D"/>
    <w:rsid w:val="008E2ECF"/>
    <w:rsid w:val="008E4E78"/>
    <w:rsid w:val="008F2CDB"/>
    <w:rsid w:val="00902DFA"/>
    <w:rsid w:val="00903E22"/>
    <w:rsid w:val="00910124"/>
    <w:rsid w:val="0091655D"/>
    <w:rsid w:val="009256E0"/>
    <w:rsid w:val="00931595"/>
    <w:rsid w:val="00934EAC"/>
    <w:rsid w:val="0094204C"/>
    <w:rsid w:val="009442C5"/>
    <w:rsid w:val="009464C6"/>
    <w:rsid w:val="00953CFD"/>
    <w:rsid w:val="00956FA5"/>
    <w:rsid w:val="00964B4C"/>
    <w:rsid w:val="00971A15"/>
    <w:rsid w:val="00971D41"/>
    <w:rsid w:val="0098448E"/>
    <w:rsid w:val="00994F85"/>
    <w:rsid w:val="009A5418"/>
    <w:rsid w:val="009B12D9"/>
    <w:rsid w:val="009B31A5"/>
    <w:rsid w:val="009B53FF"/>
    <w:rsid w:val="009C1B21"/>
    <w:rsid w:val="009C3F56"/>
    <w:rsid w:val="009C6C94"/>
    <w:rsid w:val="009D3EF4"/>
    <w:rsid w:val="009D4F72"/>
    <w:rsid w:val="009E0597"/>
    <w:rsid w:val="009E2F2D"/>
    <w:rsid w:val="009E2F3A"/>
    <w:rsid w:val="009E33CB"/>
    <w:rsid w:val="009E3E20"/>
    <w:rsid w:val="009E43F8"/>
    <w:rsid w:val="009F2324"/>
    <w:rsid w:val="009F44E3"/>
    <w:rsid w:val="009F565C"/>
    <w:rsid w:val="00A016AB"/>
    <w:rsid w:val="00A15604"/>
    <w:rsid w:val="00A47427"/>
    <w:rsid w:val="00A53C2E"/>
    <w:rsid w:val="00A54D90"/>
    <w:rsid w:val="00A613EE"/>
    <w:rsid w:val="00A72E59"/>
    <w:rsid w:val="00A733EC"/>
    <w:rsid w:val="00A75927"/>
    <w:rsid w:val="00A8257F"/>
    <w:rsid w:val="00A839C3"/>
    <w:rsid w:val="00AB5168"/>
    <w:rsid w:val="00AB52B5"/>
    <w:rsid w:val="00AC0852"/>
    <w:rsid w:val="00AC3ACD"/>
    <w:rsid w:val="00AC6551"/>
    <w:rsid w:val="00AC6803"/>
    <w:rsid w:val="00AC7F26"/>
    <w:rsid w:val="00AD110C"/>
    <w:rsid w:val="00AD149B"/>
    <w:rsid w:val="00AD576B"/>
    <w:rsid w:val="00AF0E36"/>
    <w:rsid w:val="00B003EB"/>
    <w:rsid w:val="00B0112A"/>
    <w:rsid w:val="00B062EC"/>
    <w:rsid w:val="00B11F8E"/>
    <w:rsid w:val="00B2051C"/>
    <w:rsid w:val="00B2118B"/>
    <w:rsid w:val="00B22478"/>
    <w:rsid w:val="00B24593"/>
    <w:rsid w:val="00B253BE"/>
    <w:rsid w:val="00B34286"/>
    <w:rsid w:val="00B4280B"/>
    <w:rsid w:val="00B44DBE"/>
    <w:rsid w:val="00B55F53"/>
    <w:rsid w:val="00B567A1"/>
    <w:rsid w:val="00B568A0"/>
    <w:rsid w:val="00B5702F"/>
    <w:rsid w:val="00B572BE"/>
    <w:rsid w:val="00B67182"/>
    <w:rsid w:val="00B72CA8"/>
    <w:rsid w:val="00B759F3"/>
    <w:rsid w:val="00B76E73"/>
    <w:rsid w:val="00B772A2"/>
    <w:rsid w:val="00B8451C"/>
    <w:rsid w:val="00B97360"/>
    <w:rsid w:val="00BA09BD"/>
    <w:rsid w:val="00BA12F6"/>
    <w:rsid w:val="00BA521C"/>
    <w:rsid w:val="00BA6FB5"/>
    <w:rsid w:val="00BC3418"/>
    <w:rsid w:val="00BC46C7"/>
    <w:rsid w:val="00BC4E4C"/>
    <w:rsid w:val="00BD2B6D"/>
    <w:rsid w:val="00BD456F"/>
    <w:rsid w:val="00BE19A7"/>
    <w:rsid w:val="00BE3210"/>
    <w:rsid w:val="00BE4636"/>
    <w:rsid w:val="00BE6F02"/>
    <w:rsid w:val="00BF14ED"/>
    <w:rsid w:val="00BF2E29"/>
    <w:rsid w:val="00BF34D5"/>
    <w:rsid w:val="00BF4359"/>
    <w:rsid w:val="00BF77FF"/>
    <w:rsid w:val="00C103C0"/>
    <w:rsid w:val="00C104C9"/>
    <w:rsid w:val="00C14920"/>
    <w:rsid w:val="00C216C5"/>
    <w:rsid w:val="00C2216E"/>
    <w:rsid w:val="00C22AB9"/>
    <w:rsid w:val="00C234EF"/>
    <w:rsid w:val="00C327D0"/>
    <w:rsid w:val="00C3778F"/>
    <w:rsid w:val="00C5650F"/>
    <w:rsid w:val="00C63CF5"/>
    <w:rsid w:val="00C67D8F"/>
    <w:rsid w:val="00C912A9"/>
    <w:rsid w:val="00C93034"/>
    <w:rsid w:val="00C94311"/>
    <w:rsid w:val="00C9669C"/>
    <w:rsid w:val="00C972BB"/>
    <w:rsid w:val="00CB26AF"/>
    <w:rsid w:val="00CB46D4"/>
    <w:rsid w:val="00CC6D63"/>
    <w:rsid w:val="00CD1A9F"/>
    <w:rsid w:val="00CD4CC4"/>
    <w:rsid w:val="00CD7543"/>
    <w:rsid w:val="00CF1451"/>
    <w:rsid w:val="00D15BE9"/>
    <w:rsid w:val="00D25144"/>
    <w:rsid w:val="00D31088"/>
    <w:rsid w:val="00D363E4"/>
    <w:rsid w:val="00D411D1"/>
    <w:rsid w:val="00D454CD"/>
    <w:rsid w:val="00D52811"/>
    <w:rsid w:val="00D52C67"/>
    <w:rsid w:val="00D569DC"/>
    <w:rsid w:val="00D713CF"/>
    <w:rsid w:val="00D7407A"/>
    <w:rsid w:val="00DA29DD"/>
    <w:rsid w:val="00DA610A"/>
    <w:rsid w:val="00DB02BC"/>
    <w:rsid w:val="00DB1F32"/>
    <w:rsid w:val="00DB269A"/>
    <w:rsid w:val="00DB32E4"/>
    <w:rsid w:val="00DC6077"/>
    <w:rsid w:val="00DD074A"/>
    <w:rsid w:val="00DD6357"/>
    <w:rsid w:val="00DE7625"/>
    <w:rsid w:val="00DF3A31"/>
    <w:rsid w:val="00DF66E9"/>
    <w:rsid w:val="00E0029B"/>
    <w:rsid w:val="00E07583"/>
    <w:rsid w:val="00E14473"/>
    <w:rsid w:val="00E204D5"/>
    <w:rsid w:val="00E24314"/>
    <w:rsid w:val="00E26600"/>
    <w:rsid w:val="00E27F87"/>
    <w:rsid w:val="00E43F75"/>
    <w:rsid w:val="00E44264"/>
    <w:rsid w:val="00E475AF"/>
    <w:rsid w:val="00E52A9D"/>
    <w:rsid w:val="00E603F2"/>
    <w:rsid w:val="00E60D2F"/>
    <w:rsid w:val="00E623EE"/>
    <w:rsid w:val="00E670AF"/>
    <w:rsid w:val="00E674CF"/>
    <w:rsid w:val="00E85851"/>
    <w:rsid w:val="00E9380F"/>
    <w:rsid w:val="00E94786"/>
    <w:rsid w:val="00EA4686"/>
    <w:rsid w:val="00EB4EC8"/>
    <w:rsid w:val="00EC0369"/>
    <w:rsid w:val="00ED652B"/>
    <w:rsid w:val="00EE31E5"/>
    <w:rsid w:val="00EE5ADB"/>
    <w:rsid w:val="00EF52E4"/>
    <w:rsid w:val="00EF687C"/>
    <w:rsid w:val="00F01C9E"/>
    <w:rsid w:val="00F0257D"/>
    <w:rsid w:val="00F048AA"/>
    <w:rsid w:val="00F206EE"/>
    <w:rsid w:val="00F24259"/>
    <w:rsid w:val="00F24CF4"/>
    <w:rsid w:val="00F259E4"/>
    <w:rsid w:val="00F3008C"/>
    <w:rsid w:val="00F358A1"/>
    <w:rsid w:val="00F42BC3"/>
    <w:rsid w:val="00F515DB"/>
    <w:rsid w:val="00F528EE"/>
    <w:rsid w:val="00F53FB7"/>
    <w:rsid w:val="00F54F6E"/>
    <w:rsid w:val="00F714B2"/>
    <w:rsid w:val="00F75C38"/>
    <w:rsid w:val="00F77AAC"/>
    <w:rsid w:val="00F8512F"/>
    <w:rsid w:val="00F92057"/>
    <w:rsid w:val="00F9571D"/>
    <w:rsid w:val="00FA153C"/>
    <w:rsid w:val="00FA2D8E"/>
    <w:rsid w:val="00FA4481"/>
    <w:rsid w:val="00FB5DC6"/>
    <w:rsid w:val="00FB7B74"/>
    <w:rsid w:val="00FC0012"/>
    <w:rsid w:val="00FC2BCB"/>
    <w:rsid w:val="00FC4C47"/>
    <w:rsid w:val="00FC6D0B"/>
    <w:rsid w:val="00FC7BBF"/>
    <w:rsid w:val="00FE0521"/>
    <w:rsid w:val="00FE265B"/>
    <w:rsid w:val="00FE5895"/>
    <w:rsid w:val="00FE7843"/>
    <w:rsid w:val="00FE7847"/>
    <w:rsid w:val="00FE7FAC"/>
    <w:rsid w:val="00FF11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E1467C"/>
  <w15:chartTrackingRefBased/>
  <w15:docId w15:val="{80775E34-DC6C-4FC9-A056-1831B267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unhideWhenUsed/>
    <w:qFormat/>
    <w:rsid w:val="002B07E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b/>
      <w:bCs/>
      <w:sz w:val="24"/>
      <w:szCs w:val="24"/>
      <w:u w:val="single"/>
    </w:rPr>
  </w:style>
  <w:style w:type="paragraph" w:styleId="Subtitle">
    <w:name w:val="Subtitle"/>
    <w:basedOn w:val="Normal"/>
    <w:link w:val="SubtitleChar"/>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customStyle="1" w:styleId="Heading2Char">
    <w:name w:val="Heading 2 Char"/>
    <w:link w:val="Heading2"/>
    <w:semiHidden/>
    <w:rsid w:val="002B07EA"/>
    <w:rPr>
      <w:rFonts w:ascii="Calibri Light" w:eastAsia="Times New Roman" w:hAnsi="Calibri Light" w:cs="Times New Roman"/>
      <w:b/>
      <w:bCs/>
      <w:i/>
      <w:iCs/>
      <w:sz w:val="28"/>
      <w:szCs w:val="28"/>
    </w:rPr>
  </w:style>
  <w:style w:type="character" w:styleId="CommentReference">
    <w:name w:val="annotation reference"/>
    <w:rsid w:val="002B07EA"/>
    <w:rPr>
      <w:sz w:val="16"/>
      <w:szCs w:val="16"/>
    </w:rPr>
  </w:style>
  <w:style w:type="paragraph" w:styleId="CommentText">
    <w:name w:val="annotation text"/>
    <w:basedOn w:val="Normal"/>
    <w:link w:val="CommentTextChar"/>
    <w:rsid w:val="002B07EA"/>
    <w:rPr>
      <w:rFonts w:ascii="Times New Roman" w:hAnsi="Times New Roman"/>
    </w:rPr>
  </w:style>
  <w:style w:type="character" w:customStyle="1" w:styleId="CommentTextChar">
    <w:name w:val="Comment Text Char"/>
    <w:basedOn w:val="DefaultParagraphFont"/>
    <w:link w:val="CommentText"/>
    <w:rsid w:val="002B07EA"/>
  </w:style>
  <w:style w:type="paragraph" w:styleId="CommentSubject">
    <w:name w:val="annotation subject"/>
    <w:basedOn w:val="CommentText"/>
    <w:next w:val="CommentText"/>
    <w:link w:val="CommentSubjectChar"/>
    <w:rsid w:val="002B07EA"/>
    <w:rPr>
      <w:b/>
      <w:bCs/>
    </w:rPr>
  </w:style>
  <w:style w:type="character" w:customStyle="1" w:styleId="CommentSubjectChar">
    <w:name w:val="Comment Subject Char"/>
    <w:link w:val="CommentSubject"/>
    <w:rsid w:val="002B07EA"/>
    <w:rPr>
      <w:b/>
      <w:bCs/>
    </w:rPr>
  </w:style>
  <w:style w:type="character" w:styleId="FollowedHyperlink">
    <w:name w:val="FollowedHyperlink"/>
    <w:rsid w:val="002B07EA"/>
    <w:rPr>
      <w:color w:val="800080"/>
      <w:u w:val="single"/>
    </w:rPr>
  </w:style>
  <w:style w:type="character" w:styleId="Emphasis">
    <w:name w:val="Emphasis"/>
    <w:qFormat/>
    <w:rsid w:val="002B07EA"/>
    <w:rPr>
      <w:i/>
      <w:iCs/>
    </w:rPr>
  </w:style>
  <w:style w:type="paragraph" w:styleId="Caption">
    <w:name w:val="caption"/>
    <w:basedOn w:val="Normal"/>
    <w:next w:val="Normal"/>
    <w:unhideWhenUsed/>
    <w:qFormat/>
    <w:rsid w:val="002B07EA"/>
    <w:pPr>
      <w:spacing w:after="200"/>
    </w:pPr>
    <w:rPr>
      <w:rFonts w:ascii="Times New Roman" w:hAnsi="Times New Roman"/>
      <w:i/>
      <w:iCs/>
      <w:color w:val="1F497D"/>
      <w:sz w:val="18"/>
      <w:szCs w:val="18"/>
    </w:rPr>
  </w:style>
  <w:style w:type="table" w:styleId="GridTable6Colorful">
    <w:name w:val="Grid Table 6 Colorful"/>
    <w:basedOn w:val="TableNormal"/>
    <w:uiPriority w:val="51"/>
    <w:rsid w:val="002B07E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Light">
    <w:name w:val="Grid Table Light"/>
    <w:basedOn w:val="TableNormal"/>
    <w:uiPriority w:val="40"/>
    <w:rsid w:val="002B07E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aption">
    <w:name w:val="Table Caption"/>
    <w:basedOn w:val="Caption"/>
    <w:qFormat/>
    <w:rsid w:val="002B07EA"/>
    <w:pPr>
      <w:spacing w:before="240" w:after="120"/>
      <w:jc w:val="center"/>
    </w:pPr>
    <w:rPr>
      <w:b/>
      <w:i w:val="0"/>
      <w:color w:val="auto"/>
      <w:sz w:val="22"/>
    </w:rPr>
  </w:style>
  <w:style w:type="paragraph" w:customStyle="1" w:styleId="TableSource">
    <w:name w:val="Table Source"/>
    <w:basedOn w:val="Normal"/>
    <w:autoRedefine/>
    <w:qFormat/>
    <w:rsid w:val="002B0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sz w:val="18"/>
      <w:szCs w:val="22"/>
    </w:rPr>
  </w:style>
  <w:style w:type="character" w:customStyle="1" w:styleId="HeaderChar">
    <w:name w:val="Header Char"/>
    <w:link w:val="Header"/>
    <w:rsid w:val="002B07EA"/>
    <w:rPr>
      <w:rFonts w:ascii="Letter Gothic 12cpi" w:hAnsi="Letter Gothic 12cpi"/>
    </w:rPr>
  </w:style>
  <w:style w:type="character" w:customStyle="1" w:styleId="FooterChar">
    <w:name w:val="Footer Char"/>
    <w:link w:val="Footer"/>
    <w:rsid w:val="002B07EA"/>
    <w:rPr>
      <w:rFonts w:ascii="Letter Gothic 12cpi" w:hAnsi="Letter Gothic 12cpi"/>
    </w:rPr>
  </w:style>
  <w:style w:type="character" w:customStyle="1" w:styleId="UnresolvedMention1">
    <w:name w:val="Unresolved Mention1"/>
    <w:uiPriority w:val="99"/>
    <w:semiHidden/>
    <w:unhideWhenUsed/>
    <w:rsid w:val="002B07EA"/>
    <w:rPr>
      <w:color w:val="808080"/>
      <w:shd w:val="clear" w:color="auto" w:fill="E6E6E6"/>
    </w:rPr>
  </w:style>
  <w:style w:type="paragraph" w:styleId="Revision">
    <w:name w:val="Revision"/>
    <w:hidden/>
    <w:uiPriority w:val="99"/>
    <w:semiHidden/>
    <w:rsid w:val="002B07EA"/>
    <w:rPr>
      <w:szCs w:val="24"/>
    </w:rPr>
  </w:style>
  <w:style w:type="paragraph" w:customStyle="1" w:styleId="TableSource6ptabove">
    <w:name w:val="Table Source +6 pt above"/>
    <w:basedOn w:val="TableSource"/>
    <w:qFormat/>
    <w:rsid w:val="002B07EA"/>
  </w:style>
  <w:style w:type="character" w:styleId="PlaceholderText">
    <w:name w:val="Placeholder Text"/>
    <w:uiPriority w:val="99"/>
    <w:semiHidden/>
    <w:rsid w:val="002B07EA"/>
    <w:rPr>
      <w:color w:val="808080"/>
    </w:rPr>
  </w:style>
  <w:style w:type="paragraph" w:styleId="HTMLPreformatted">
    <w:name w:val="HTML Preformatted"/>
    <w:basedOn w:val="Normal"/>
    <w:link w:val="HTMLPreformattedChar"/>
    <w:unhideWhenUsed/>
    <w:rsid w:val="009C6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9C6C94"/>
    <w:rPr>
      <w:rFonts w:ascii="Courier New" w:hAnsi="Courier New" w:cs="Courier New"/>
    </w:rPr>
  </w:style>
  <w:style w:type="character" w:customStyle="1" w:styleId="TitleChar">
    <w:name w:val="Title Char"/>
    <w:link w:val="Title"/>
    <w:rsid w:val="00815CC8"/>
    <w:rPr>
      <w:rFonts w:ascii="Letter Gothic 12cpi" w:hAnsi="Letter Gothic 12cpi"/>
      <w:b/>
      <w:bCs/>
      <w:sz w:val="24"/>
      <w:szCs w:val="24"/>
      <w:u w:val="single"/>
    </w:rPr>
  </w:style>
  <w:style w:type="character" w:customStyle="1" w:styleId="SubtitleChar">
    <w:name w:val="Subtitle Char"/>
    <w:link w:val="Subtitle"/>
    <w:rsid w:val="00815CC8"/>
    <w:rPr>
      <w:rFonts w:ascii="Letter Gothic 12cpi" w:hAnsi="Letter Gothic 12cpi"/>
      <w:b/>
      <w:bCs/>
      <w:sz w:val="24"/>
      <w:szCs w:val="24"/>
      <w:u w:val="single"/>
    </w:rPr>
  </w:style>
  <w:style w:type="paragraph" w:customStyle="1" w:styleId="Item-Header">
    <w:name w:val="Item-Header"/>
    <w:basedOn w:val="Normal"/>
    <w:autoRedefine/>
    <w:qFormat/>
    <w:rsid w:val="0004113A"/>
    <w:pPr>
      <w:keepNext/>
      <w:numPr>
        <w:numId w:val="18"/>
      </w:numPr>
      <w:tabs>
        <w:tab w:val="left" w:pos="-1440"/>
        <w:tab w:val="left" w:pos="-720"/>
      </w:tabs>
    </w:pPr>
    <w:rPr>
      <w:rFonts w:ascii="Times New Roman" w:hAnsi="Times New Roman"/>
      <w:b/>
      <w:bCs/>
      <w:caps/>
      <w:sz w:val="24"/>
      <w:szCs w:val="24"/>
    </w:rPr>
  </w:style>
  <w:style w:type="paragraph" w:customStyle="1" w:styleId="Item-Text">
    <w:name w:val="Item-Text"/>
    <w:basedOn w:val="Normal"/>
    <w:qFormat/>
    <w:rsid w:val="00815CC8"/>
    <w:pPr>
      <w:widowControl/>
      <w:autoSpaceDE/>
      <w:autoSpaceDN/>
      <w:adjustRightInd/>
      <w:ind w:left="360"/>
    </w:pPr>
    <w:rPr>
      <w:rFonts w:ascii="Times New Roman" w:hAnsi="Times New Roman"/>
      <w:sz w:val="24"/>
      <w:szCs w:val="24"/>
    </w:rPr>
  </w:style>
  <w:style w:type="character" w:styleId="UnresolvedMention">
    <w:name w:val="Unresolved Mention"/>
    <w:basedOn w:val="DefaultParagraphFont"/>
    <w:uiPriority w:val="99"/>
    <w:semiHidden/>
    <w:unhideWhenUsed/>
    <w:rsid w:val="00BF14ED"/>
    <w:rPr>
      <w:color w:val="605E5C"/>
      <w:shd w:val="clear" w:color="auto" w:fill="E1DFDD"/>
    </w:rPr>
  </w:style>
  <w:style w:type="paragraph" w:customStyle="1" w:styleId="citation">
    <w:name w:val="citation"/>
    <w:basedOn w:val="Normal"/>
    <w:rsid w:val="0098448E"/>
    <w:pPr>
      <w:widowControl/>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sk.fmcsa.dot.gov/app/ask/"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fred.stlouisfed.org/series/WPUFD49207" TargetMode="External" /><Relationship Id="rId2" Type="http://schemas.openxmlformats.org/officeDocument/2006/relationships/hyperlink" Target="https://fred.stlouisfed.org/series/PPIACO" TargetMode="External" /><Relationship Id="rId3" Type="http://schemas.openxmlformats.org/officeDocument/2006/relationships/hyperlink" Target="https://www.bls.gov/oes/current/naics3_484000.htm" TargetMode="External" /><Relationship Id="rId4" Type="http://schemas.openxmlformats.org/officeDocument/2006/relationships/hyperlink" Target="https://www.bls.gov/news.release/ecec.t04.htm" TargetMode="External" /><Relationship Id="rId5" Type="http://schemas.openxmlformats.org/officeDocument/2006/relationships/hyperlink" Target="https://www.opm.gov/policy-data-oversight/pay-leave/salaries-wages/2021/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3E672EDF7F5B439B70292AA183B16E" ma:contentTypeVersion="12" ma:contentTypeDescription="Create a new document." ma:contentTypeScope="" ma:versionID="26440fc8f43a4cf3ce71bb9262f4f9a8">
  <xsd:schema xmlns:xsd="http://www.w3.org/2001/XMLSchema" xmlns:xs="http://www.w3.org/2001/XMLSchema" xmlns:p="http://schemas.microsoft.com/office/2006/metadata/properties" xmlns:ns1="http://schemas.microsoft.com/sharepoint/v3" xmlns:ns2="4db6cb98-2cd0-4c30-ace6-76ee1f44c1b7" targetNamespace="http://schemas.microsoft.com/office/2006/metadata/properties" ma:root="true" ma:fieldsID="6ed8d6b23790163e7c50d16453281ee4" ns1:_="" ns2:_="">
    <xsd:import namespace="http://schemas.microsoft.com/sharepoint/v3"/>
    <xsd:import namespace="4db6cb98-2cd0-4c30-ace6-76ee1f44c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6cb98-2cd0-4c30-ace6-76ee1f44c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29E497-10CD-43C8-9F8B-4B3FD06A7147}">
  <ds:schemaRefs>
    <ds:schemaRef ds:uri="http://schemas.openxmlformats.org/officeDocument/2006/bibliography"/>
  </ds:schemaRefs>
</ds:datastoreItem>
</file>

<file path=customXml/itemProps2.xml><?xml version="1.0" encoding="utf-8"?>
<ds:datastoreItem xmlns:ds="http://schemas.openxmlformats.org/officeDocument/2006/customXml" ds:itemID="{BD4673DB-3B00-44E3-B5C6-5107A990D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6cb98-2cd0-4c30-ace6-76ee1f44c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30316-0AF2-4E9A-8037-983D75176CAA}">
  <ds:schemaRefs>
    <ds:schemaRef ds:uri="http://schemas.microsoft.com/sharepoint/v3/contenttype/forms"/>
  </ds:schemaRefs>
</ds:datastoreItem>
</file>

<file path=customXml/itemProps4.xml><?xml version="1.0" encoding="utf-8"?>
<ds:datastoreItem xmlns:ds="http://schemas.openxmlformats.org/officeDocument/2006/customXml" ds:itemID="{B5E1F74A-2CBC-4084-A7FF-702456D91D8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5</cp:revision>
  <cp:lastPrinted>2019-09-09T19:27:00Z</cp:lastPrinted>
  <dcterms:created xsi:type="dcterms:W3CDTF">2022-10-26T19:02:00Z</dcterms:created>
  <dcterms:modified xsi:type="dcterms:W3CDTF">2022-10-26T19:24:00Z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0x010100443E672EDF7F5B439B70292AA183B16E</vt:lpwstr>
  </property>
</Properties>
</file>