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E3C" w:rsidRDefault="00F55E3C" w:rsidP="00F55E3C">
      <w:pPr>
        <w:spacing w:before="150" w:after="45" w:line="240" w:lineRule="auto"/>
        <w:ind w:hanging="480"/>
        <w:outlineLvl w:val="2"/>
        <w:rPr>
          <w:rFonts w:ascii="Times New Roman" w:eastAsia="Times New Roman" w:hAnsi="Times New Roman" w:cs="Times New Roman"/>
          <w:b/>
          <w:bCs/>
          <w:color w:val="32434F"/>
          <w:sz w:val="24"/>
          <w:szCs w:val="24"/>
        </w:rPr>
      </w:pPr>
      <w:bookmarkStart w:id="0" w:name="_GoBack"/>
      <w:bookmarkEnd w:id="0"/>
    </w:p>
    <w:p w:rsidR="00F55E3C" w:rsidRDefault="00F55E3C" w:rsidP="00F55E3C">
      <w:pPr>
        <w:spacing w:before="150" w:after="45" w:line="240" w:lineRule="auto"/>
        <w:ind w:hanging="480"/>
        <w:jc w:val="center"/>
        <w:outlineLvl w:val="2"/>
        <w:rPr>
          <w:rFonts w:ascii="Times New Roman" w:eastAsia="Times New Roman" w:hAnsi="Times New Roman" w:cs="Times New Roman"/>
          <w:b/>
          <w:bCs/>
          <w:color w:val="32434F"/>
          <w:sz w:val="24"/>
          <w:szCs w:val="24"/>
        </w:rPr>
      </w:pPr>
      <w:r>
        <w:rPr>
          <w:rFonts w:ascii="Times New Roman" w:eastAsia="Times New Roman" w:hAnsi="Times New Roman" w:cs="Times New Roman"/>
          <w:b/>
          <w:bCs/>
          <w:color w:val="32434F"/>
          <w:sz w:val="24"/>
          <w:szCs w:val="24"/>
        </w:rPr>
        <w:t>Attachment H</w:t>
      </w:r>
    </w:p>
    <w:p w:rsidR="00F55E3C" w:rsidRDefault="00F55E3C" w:rsidP="00F55E3C">
      <w:pPr>
        <w:spacing w:before="150" w:after="45" w:line="240" w:lineRule="auto"/>
        <w:ind w:hanging="480"/>
        <w:outlineLvl w:val="2"/>
        <w:rPr>
          <w:rFonts w:ascii="Times New Roman" w:eastAsia="Times New Roman" w:hAnsi="Times New Roman" w:cs="Times New Roman"/>
          <w:b/>
          <w:bCs/>
          <w:color w:val="32434F"/>
          <w:sz w:val="24"/>
          <w:szCs w:val="24"/>
        </w:rPr>
      </w:pPr>
    </w:p>
    <w:p w:rsidR="00F55E3C" w:rsidRPr="00F55E3C" w:rsidRDefault="00B31280" w:rsidP="00F55E3C">
      <w:pPr>
        <w:spacing w:before="150" w:after="45" w:line="240" w:lineRule="auto"/>
        <w:ind w:hanging="480"/>
        <w:outlineLvl w:val="2"/>
        <w:rPr>
          <w:rFonts w:ascii="Times New Roman" w:eastAsia="Times New Roman" w:hAnsi="Times New Roman" w:cs="Times New Roman"/>
          <w:b/>
          <w:bCs/>
          <w:color w:val="32434F"/>
          <w:sz w:val="24"/>
          <w:szCs w:val="24"/>
        </w:rPr>
      </w:pPr>
      <w:r>
        <w:rPr>
          <w:rFonts w:ascii="Times New Roman" w:eastAsia="Times New Roman" w:hAnsi="Times New Roman" w:cs="Times New Roman"/>
          <w:b/>
          <w:bCs/>
          <w:color w:val="32434F"/>
          <w:sz w:val="24"/>
          <w:szCs w:val="24"/>
        </w:rPr>
        <w:t xml:space="preserve">49 U.S.C. </w:t>
      </w:r>
      <w:r w:rsidR="00F55E3C" w:rsidRPr="00F55E3C">
        <w:rPr>
          <w:rFonts w:ascii="Times New Roman" w:eastAsia="Times New Roman" w:hAnsi="Times New Roman" w:cs="Times New Roman"/>
          <w:b/>
          <w:bCs/>
          <w:color w:val="32434F"/>
          <w:sz w:val="24"/>
          <w:szCs w:val="24"/>
        </w:rPr>
        <w:t>31136. United States Government regulations</w:t>
      </w:r>
    </w:p>
    <w:p w:rsidR="00F55E3C" w:rsidRPr="00F55E3C" w:rsidRDefault="00F55E3C" w:rsidP="00F55E3C">
      <w:pPr>
        <w:spacing w:after="0" w:line="240" w:lineRule="auto"/>
        <w:ind w:firstLine="240"/>
        <w:rPr>
          <w:rFonts w:ascii="Times New Roman" w:eastAsia="Times New Roman" w:hAnsi="Times New Roman" w:cs="Times New Roman"/>
          <w:sz w:val="24"/>
          <w:szCs w:val="24"/>
        </w:rPr>
      </w:pPr>
      <w:bookmarkStart w:id="1" w:name="substructure-location_a"/>
      <w:bookmarkEnd w:id="1"/>
      <w:r w:rsidRPr="00F55E3C">
        <w:rPr>
          <w:rFonts w:ascii="Times New Roman" w:eastAsia="Times New Roman" w:hAnsi="Times New Roman" w:cs="Times New Roman"/>
          <w:sz w:val="24"/>
          <w:szCs w:val="24"/>
        </w:rPr>
        <w:t xml:space="preserve">(a) Minimum Safety Standards.-Subject to </w:t>
      </w:r>
      <w:r w:rsidRPr="00F55E3C">
        <w:rPr>
          <w:rFonts w:ascii="Times New Roman" w:eastAsia="Times New Roman" w:hAnsi="Times New Roman" w:cs="Times New Roman"/>
          <w:color w:val="0F0D61"/>
          <w:sz w:val="24"/>
          <w:szCs w:val="24"/>
        </w:rPr>
        <w:t>section 30103(a) of this title</w:t>
      </w:r>
      <w:r w:rsidRPr="00F55E3C">
        <w:rPr>
          <w:rFonts w:ascii="Times New Roman" w:eastAsia="Times New Roman" w:hAnsi="Times New Roman" w:cs="Times New Roman"/>
          <w:sz w:val="24"/>
          <w:szCs w:val="24"/>
        </w:rPr>
        <w:t>, the Secretary of Transportation shall prescribe regulations on commercial motor vehicle safety. The regulations shall prescribe minimum safety standards for commercial motor vehicles. At a minimum, the regulations shall ensure that-</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2" w:name="substructure-location_a_1"/>
      <w:bookmarkEnd w:id="2"/>
      <w:r w:rsidRPr="00F55E3C">
        <w:rPr>
          <w:rFonts w:ascii="Times New Roman" w:eastAsia="Times New Roman" w:hAnsi="Times New Roman" w:cs="Times New Roman"/>
          <w:sz w:val="24"/>
          <w:szCs w:val="24"/>
        </w:rPr>
        <w:t>(1) commercial motor vehicles are maintained, equipped, loaded, and operated safely;</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3" w:name="substructure-location_a_2"/>
      <w:bookmarkEnd w:id="3"/>
      <w:r w:rsidRPr="00F55E3C">
        <w:rPr>
          <w:rFonts w:ascii="Times New Roman" w:eastAsia="Times New Roman" w:hAnsi="Times New Roman" w:cs="Times New Roman"/>
          <w:sz w:val="24"/>
          <w:szCs w:val="24"/>
        </w:rPr>
        <w:t>(2) the responsibilities imposed on operators of commercial motor vehicles do not impair their ability to operate the vehicles safely;</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4" w:name="substructure-location_a_3"/>
      <w:bookmarkEnd w:id="4"/>
      <w:r w:rsidRPr="00F55E3C">
        <w:rPr>
          <w:rFonts w:ascii="Times New Roman" w:eastAsia="Times New Roman" w:hAnsi="Times New Roman" w:cs="Times New Roman"/>
          <w:sz w:val="24"/>
          <w:szCs w:val="24"/>
        </w:rPr>
        <w:t>(3) the physical condition of operators of commercial motor vehicles is adequate to enable them to operate the vehicles safely and the periodic physical examinations required of such operators are performed by medical examiners who have received training in physical and medical examination standards and, after the national registry maintained by the Department of Transportation under section 31149(d) is established, are listed on such registry;</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5" w:name="substructure-location_a_4"/>
      <w:bookmarkEnd w:id="5"/>
      <w:r w:rsidRPr="00F55E3C">
        <w:rPr>
          <w:rFonts w:ascii="Times New Roman" w:eastAsia="Times New Roman" w:hAnsi="Times New Roman" w:cs="Times New Roman"/>
          <w:sz w:val="24"/>
          <w:szCs w:val="24"/>
        </w:rPr>
        <w:t>(4) the operation of commercial motor vehicles does not have a deleterious effect on the physical condition of the operators; and</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6" w:name="substructure-location_a_5"/>
      <w:bookmarkEnd w:id="6"/>
      <w:r w:rsidRPr="00F55E3C">
        <w:rPr>
          <w:rFonts w:ascii="Times New Roman" w:eastAsia="Times New Roman" w:hAnsi="Times New Roman" w:cs="Times New Roman"/>
          <w:sz w:val="24"/>
          <w:szCs w:val="24"/>
        </w:rPr>
        <w:t xml:space="preserve">(5) an operator of a commercial motor vehicle is not coerced by a motor carrier, shipper, receiver, or transportation intermediary to operate a commercial motor vehicle in violation of a regulation promulgated under this section, or </w:t>
      </w:r>
      <w:r w:rsidRPr="00F55E3C">
        <w:rPr>
          <w:rFonts w:ascii="Times New Roman" w:eastAsia="Times New Roman" w:hAnsi="Times New Roman" w:cs="Times New Roman"/>
          <w:color w:val="0F0D61"/>
          <w:sz w:val="24"/>
          <w:szCs w:val="24"/>
        </w:rPr>
        <w:t>chapter 51</w:t>
      </w:r>
      <w:r w:rsidRPr="00F55E3C">
        <w:rPr>
          <w:rFonts w:ascii="Times New Roman" w:eastAsia="Times New Roman" w:hAnsi="Times New Roman" w:cs="Times New Roman"/>
          <w:sz w:val="24"/>
          <w:szCs w:val="24"/>
        </w:rPr>
        <w:t xml:space="preserve"> or </w:t>
      </w:r>
      <w:r w:rsidRPr="00F55E3C">
        <w:rPr>
          <w:rFonts w:ascii="Times New Roman" w:eastAsia="Times New Roman" w:hAnsi="Times New Roman" w:cs="Times New Roman"/>
          <w:color w:val="0F0D61"/>
          <w:sz w:val="24"/>
          <w:szCs w:val="24"/>
        </w:rPr>
        <w:t>chapter 313</w:t>
      </w:r>
      <w:r w:rsidRPr="00F55E3C">
        <w:rPr>
          <w:rFonts w:ascii="Times New Roman" w:eastAsia="Times New Roman" w:hAnsi="Times New Roman" w:cs="Times New Roman"/>
          <w:sz w:val="24"/>
          <w:szCs w:val="24"/>
        </w:rPr>
        <w:t xml:space="preserve"> of this title.</w:t>
      </w:r>
    </w:p>
    <w:p w:rsidR="00F55E3C" w:rsidRPr="00F55E3C" w:rsidRDefault="00F55E3C" w:rsidP="00F55E3C">
      <w:pPr>
        <w:spacing w:after="0" w:line="240" w:lineRule="auto"/>
        <w:rPr>
          <w:rFonts w:ascii="Times New Roman" w:eastAsia="Times New Roman" w:hAnsi="Times New Roman" w:cs="Times New Roman"/>
          <w:sz w:val="24"/>
          <w:szCs w:val="24"/>
        </w:rPr>
      </w:pPr>
      <w:bookmarkStart w:id="7" w:name="substructure-location_b"/>
      <w:bookmarkEnd w:id="7"/>
    </w:p>
    <w:p w:rsidR="00F55E3C" w:rsidRPr="00F55E3C" w:rsidRDefault="00F55E3C" w:rsidP="00F55E3C">
      <w:pPr>
        <w:spacing w:after="0" w:line="240" w:lineRule="auto"/>
        <w:ind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 xml:space="preserve">(b) Eliminating and Amending Existing Regulations.-The Secretary may not eliminate or amend an existing motor carrier safety regulation related only to the maintenance, equipment, loading, or operation (including routing) of vehicles carrying material found to be hazardous under </w:t>
      </w:r>
      <w:r w:rsidRPr="00F55E3C">
        <w:rPr>
          <w:rFonts w:ascii="Times New Roman" w:eastAsia="Times New Roman" w:hAnsi="Times New Roman" w:cs="Times New Roman"/>
          <w:color w:val="0F0D61"/>
          <w:sz w:val="24"/>
          <w:szCs w:val="24"/>
        </w:rPr>
        <w:t>section 5103 of this title</w:t>
      </w:r>
      <w:r w:rsidRPr="00F55E3C">
        <w:rPr>
          <w:rFonts w:ascii="Times New Roman" w:eastAsia="Times New Roman" w:hAnsi="Times New Roman" w:cs="Times New Roman"/>
          <w:sz w:val="24"/>
          <w:szCs w:val="24"/>
        </w:rPr>
        <w:t xml:space="preserve"> until an equivalent or more stringent regulation has been prescribed under section 5103.</w:t>
      </w:r>
    </w:p>
    <w:p w:rsidR="00F55E3C" w:rsidRPr="00F55E3C" w:rsidRDefault="00F55E3C" w:rsidP="00F55E3C">
      <w:pPr>
        <w:spacing w:after="0" w:line="240" w:lineRule="auto"/>
        <w:ind w:firstLine="240"/>
        <w:rPr>
          <w:rFonts w:ascii="Times New Roman" w:eastAsia="Times New Roman" w:hAnsi="Times New Roman" w:cs="Times New Roman"/>
          <w:sz w:val="24"/>
          <w:szCs w:val="24"/>
        </w:rPr>
      </w:pPr>
      <w:bookmarkStart w:id="8" w:name="substructure-location_c"/>
      <w:bookmarkEnd w:id="8"/>
      <w:r w:rsidRPr="00F55E3C">
        <w:rPr>
          <w:rFonts w:ascii="Times New Roman" w:eastAsia="Times New Roman" w:hAnsi="Times New Roman" w:cs="Times New Roman"/>
          <w:sz w:val="24"/>
          <w:szCs w:val="24"/>
        </w:rPr>
        <w:t xml:space="preserve">(c) Procedures and Considerations.-(1) A regulation under this section shall be prescribed under </w:t>
      </w:r>
      <w:r w:rsidRPr="00F55E3C">
        <w:rPr>
          <w:rFonts w:ascii="Times New Roman" w:eastAsia="Times New Roman" w:hAnsi="Times New Roman" w:cs="Times New Roman"/>
          <w:color w:val="0F0D61"/>
          <w:sz w:val="24"/>
          <w:szCs w:val="24"/>
        </w:rPr>
        <w:t>section 553 of title 5</w:t>
      </w:r>
      <w:r w:rsidRPr="00F55E3C">
        <w:rPr>
          <w:rFonts w:ascii="Times New Roman" w:eastAsia="Times New Roman" w:hAnsi="Times New Roman" w:cs="Times New Roman"/>
          <w:sz w:val="24"/>
          <w:szCs w:val="24"/>
        </w:rPr>
        <w:t xml:space="preserve"> (without regard to </w:t>
      </w:r>
      <w:r w:rsidRPr="00F55E3C">
        <w:rPr>
          <w:rFonts w:ascii="Times New Roman" w:eastAsia="Times New Roman" w:hAnsi="Times New Roman" w:cs="Times New Roman"/>
          <w:color w:val="0F0D61"/>
          <w:sz w:val="24"/>
          <w:szCs w:val="24"/>
        </w:rPr>
        <w:t>sections 556 and 557 of title 5</w:t>
      </w:r>
      <w:r w:rsidRPr="00F55E3C">
        <w:rPr>
          <w:rFonts w:ascii="Times New Roman" w:eastAsia="Times New Roman" w:hAnsi="Times New Roman" w:cs="Times New Roman"/>
          <w:sz w:val="24"/>
          <w:szCs w:val="24"/>
        </w:rPr>
        <w:t>).</w:t>
      </w:r>
    </w:p>
    <w:p w:rsidR="00F55E3C" w:rsidRPr="00F55E3C" w:rsidRDefault="00F55E3C" w:rsidP="00F55E3C">
      <w:pPr>
        <w:spacing w:after="0" w:line="240" w:lineRule="auto"/>
        <w:ind w:firstLine="240"/>
        <w:rPr>
          <w:rFonts w:ascii="Times New Roman" w:eastAsia="Times New Roman" w:hAnsi="Times New Roman" w:cs="Times New Roman"/>
          <w:sz w:val="24"/>
          <w:szCs w:val="24"/>
        </w:rPr>
      </w:pPr>
      <w:bookmarkStart w:id="9" w:name="substructure-location_c_2"/>
      <w:bookmarkEnd w:id="9"/>
      <w:r w:rsidRPr="00F55E3C">
        <w:rPr>
          <w:rFonts w:ascii="Times New Roman" w:eastAsia="Times New Roman" w:hAnsi="Times New Roman" w:cs="Times New Roman"/>
          <w:sz w:val="24"/>
          <w:szCs w:val="24"/>
        </w:rPr>
        <w:t>(2) Before prescribing regulations under this section, the Secretary shall consider, to the extent practicable and consistent with the purposes of this chapter-</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10" w:name="substructure-location_c_2_A"/>
      <w:bookmarkEnd w:id="10"/>
      <w:r w:rsidRPr="00F55E3C">
        <w:rPr>
          <w:rFonts w:ascii="Times New Roman" w:eastAsia="Times New Roman" w:hAnsi="Times New Roman" w:cs="Times New Roman"/>
          <w:sz w:val="24"/>
          <w:szCs w:val="24"/>
        </w:rPr>
        <w:t>(A) costs and benefits; and</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11" w:name="substructure-location_c_2_B"/>
      <w:bookmarkEnd w:id="11"/>
      <w:r w:rsidRPr="00F55E3C">
        <w:rPr>
          <w:rFonts w:ascii="Times New Roman" w:eastAsia="Times New Roman" w:hAnsi="Times New Roman" w:cs="Times New Roman"/>
          <w:sz w:val="24"/>
          <w:szCs w:val="24"/>
        </w:rPr>
        <w:t>(B) State laws and regulations on commercial motor vehicle safety, to minimize their unnecessary preemption.</w:t>
      </w:r>
    </w:p>
    <w:p w:rsidR="00F55E3C" w:rsidRPr="00F55E3C" w:rsidRDefault="00F55E3C" w:rsidP="00F55E3C">
      <w:pPr>
        <w:spacing w:after="0" w:line="240" w:lineRule="auto"/>
        <w:rPr>
          <w:rFonts w:ascii="Times New Roman" w:eastAsia="Times New Roman" w:hAnsi="Times New Roman" w:cs="Times New Roman"/>
          <w:sz w:val="24"/>
          <w:szCs w:val="24"/>
        </w:rPr>
      </w:pPr>
      <w:bookmarkStart w:id="12" w:name="substructure-location_d"/>
      <w:bookmarkEnd w:id="12"/>
    </w:p>
    <w:p w:rsidR="00F55E3C" w:rsidRPr="00F55E3C" w:rsidRDefault="00F55E3C" w:rsidP="00F55E3C">
      <w:pPr>
        <w:spacing w:after="0" w:line="240" w:lineRule="auto"/>
        <w:ind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(d) Effect of Existing Regulations.-If the Secretary does not prescribe regulations on commercial motor vehicle safety under this section, regulations on commercial motor vehicle safety prescribed by the Secretary before October 30, 1984, and in effect on October 30, 1984, shall be deemed in this subchapter to be regulations prescribed by the Secretary under this section.</w:t>
      </w:r>
    </w:p>
    <w:p w:rsidR="00F55E3C" w:rsidRPr="00F55E3C" w:rsidRDefault="00F55E3C" w:rsidP="00F55E3C">
      <w:pPr>
        <w:spacing w:after="0" w:line="240" w:lineRule="auto"/>
        <w:ind w:firstLine="240"/>
        <w:rPr>
          <w:rFonts w:ascii="Times New Roman" w:eastAsia="Times New Roman" w:hAnsi="Times New Roman" w:cs="Times New Roman"/>
          <w:sz w:val="24"/>
          <w:szCs w:val="24"/>
        </w:rPr>
      </w:pPr>
      <w:bookmarkStart w:id="13" w:name="substructure-location_e"/>
      <w:bookmarkEnd w:id="13"/>
      <w:r w:rsidRPr="00F55E3C">
        <w:rPr>
          <w:rFonts w:ascii="Times New Roman" w:eastAsia="Times New Roman" w:hAnsi="Times New Roman" w:cs="Times New Roman"/>
          <w:sz w:val="24"/>
          <w:szCs w:val="24"/>
        </w:rPr>
        <w:lastRenderedPageBreak/>
        <w:t>(e) Exemptions.-The Secretary may grant in accordance with section 31315 waivers and exemptions from, or conduct pilot programs with respect to, any regulations prescribed under this section.</w:t>
      </w:r>
    </w:p>
    <w:p w:rsidR="00F55E3C" w:rsidRPr="00F55E3C" w:rsidRDefault="00F55E3C" w:rsidP="00F55E3C">
      <w:pPr>
        <w:spacing w:after="0" w:line="240" w:lineRule="auto"/>
        <w:ind w:firstLine="240"/>
        <w:rPr>
          <w:rFonts w:ascii="Times New Roman" w:eastAsia="Times New Roman" w:hAnsi="Times New Roman" w:cs="Times New Roman"/>
          <w:sz w:val="24"/>
          <w:szCs w:val="24"/>
        </w:rPr>
      </w:pPr>
      <w:bookmarkStart w:id="14" w:name="substructure-location_f"/>
      <w:bookmarkEnd w:id="14"/>
      <w:r w:rsidRPr="00F55E3C">
        <w:rPr>
          <w:rFonts w:ascii="Times New Roman" w:eastAsia="Times New Roman" w:hAnsi="Times New Roman" w:cs="Times New Roman"/>
          <w:sz w:val="24"/>
          <w:szCs w:val="24"/>
        </w:rPr>
        <w:t xml:space="preserve">(f) Regulatory Impact Analysis.- </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15" w:name="substructure-location_f_1"/>
      <w:bookmarkEnd w:id="15"/>
      <w:r w:rsidRPr="00F55E3C">
        <w:rPr>
          <w:rFonts w:ascii="Times New Roman" w:eastAsia="Times New Roman" w:hAnsi="Times New Roman" w:cs="Times New Roman"/>
          <w:sz w:val="24"/>
          <w:szCs w:val="24"/>
        </w:rPr>
        <w:t>(1) In general.-Within each regulatory impact analysis of a proposed or final major rule issued by the Federal Motor Carrier Safety Administration, the Secretary shall, whenever practicable-</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16" w:name="substructure-location_f_1_A"/>
      <w:bookmarkEnd w:id="16"/>
      <w:r w:rsidRPr="00F55E3C">
        <w:rPr>
          <w:rFonts w:ascii="Times New Roman" w:eastAsia="Times New Roman" w:hAnsi="Times New Roman" w:cs="Times New Roman"/>
          <w:sz w:val="24"/>
          <w:szCs w:val="24"/>
        </w:rPr>
        <w:t>(A) consider the effects of the proposed or final rule on different segments of the motor carrier industry; and</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17" w:name="substructure-location_f_1_B"/>
      <w:bookmarkEnd w:id="17"/>
      <w:r w:rsidRPr="00F55E3C">
        <w:rPr>
          <w:rFonts w:ascii="Times New Roman" w:eastAsia="Times New Roman" w:hAnsi="Times New Roman" w:cs="Times New Roman"/>
          <w:sz w:val="24"/>
          <w:szCs w:val="24"/>
        </w:rPr>
        <w:t>(B) formulate estimates and findings based on the best available science.</w:t>
      </w:r>
    </w:p>
    <w:p w:rsidR="00F55E3C" w:rsidRPr="00F55E3C" w:rsidRDefault="00F55E3C" w:rsidP="00F55E3C">
      <w:pPr>
        <w:spacing w:after="0" w:line="240" w:lineRule="auto"/>
        <w:rPr>
          <w:rFonts w:ascii="Times New Roman" w:eastAsia="Times New Roman" w:hAnsi="Times New Roman" w:cs="Times New Roman"/>
          <w:sz w:val="24"/>
          <w:szCs w:val="24"/>
        </w:rPr>
      </w:pPr>
      <w:bookmarkStart w:id="18" w:name="substructure-location_f_2"/>
      <w:bookmarkEnd w:id="18"/>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(2) Scope.-To the extent feasible and appropriate, and consistent with law, an analysis described in paragraph (1) shall-</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19" w:name="substructure-location_f_2_A"/>
      <w:bookmarkEnd w:id="19"/>
      <w:r w:rsidRPr="00F55E3C">
        <w:rPr>
          <w:rFonts w:ascii="Times New Roman" w:eastAsia="Times New Roman" w:hAnsi="Times New Roman" w:cs="Times New Roman"/>
          <w:sz w:val="24"/>
          <w:szCs w:val="24"/>
        </w:rPr>
        <w:t>(A) use data that is representative of commercial motor vehicle operators or motor carriers, or both, that will be impacted by the proposed or final rule; and</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0" w:name="substructure-location_f_2_B"/>
      <w:bookmarkEnd w:id="20"/>
      <w:r w:rsidRPr="00F55E3C">
        <w:rPr>
          <w:rFonts w:ascii="Times New Roman" w:eastAsia="Times New Roman" w:hAnsi="Times New Roman" w:cs="Times New Roman"/>
          <w:sz w:val="24"/>
          <w:szCs w:val="24"/>
        </w:rPr>
        <w:t>(B) consider the effects on commercial truck and bus carriers of various sizes and types.</w:t>
      </w:r>
    </w:p>
    <w:p w:rsidR="00F55E3C" w:rsidRPr="00F55E3C" w:rsidRDefault="00F55E3C" w:rsidP="00F55E3C">
      <w:pPr>
        <w:spacing w:after="0" w:line="240" w:lineRule="auto"/>
        <w:rPr>
          <w:rFonts w:ascii="Times New Roman" w:eastAsia="Times New Roman" w:hAnsi="Times New Roman" w:cs="Times New Roman"/>
          <w:sz w:val="24"/>
          <w:szCs w:val="24"/>
        </w:rPr>
      </w:pPr>
      <w:bookmarkStart w:id="21" w:name="substructure-location_g"/>
      <w:bookmarkEnd w:id="21"/>
    </w:p>
    <w:p w:rsidR="00F55E3C" w:rsidRPr="00F55E3C" w:rsidRDefault="00F55E3C" w:rsidP="00F55E3C">
      <w:pPr>
        <w:spacing w:after="0" w:line="240" w:lineRule="auto"/>
        <w:ind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 xml:space="preserve">(g) Public Participation.- </w:t>
      </w:r>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bookmarkStart w:id="22" w:name="substructure-location_g_1"/>
      <w:bookmarkEnd w:id="22"/>
      <w:r w:rsidRPr="00F55E3C">
        <w:rPr>
          <w:rFonts w:ascii="Times New Roman" w:eastAsia="Times New Roman" w:hAnsi="Times New Roman" w:cs="Times New Roman"/>
          <w:sz w:val="24"/>
          <w:szCs w:val="24"/>
        </w:rPr>
        <w:t>(1) In general.-If a proposed rule under this part is likely to lead to the promulgation of a major rule, the Secretary, before publishing such proposed rule, shall-</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3" w:name="substructure-location_g_1_A"/>
      <w:bookmarkEnd w:id="23"/>
      <w:r w:rsidRPr="00F55E3C">
        <w:rPr>
          <w:rFonts w:ascii="Times New Roman" w:eastAsia="Times New Roman" w:hAnsi="Times New Roman" w:cs="Times New Roman"/>
          <w:sz w:val="24"/>
          <w:szCs w:val="24"/>
        </w:rPr>
        <w:t>(A) issue an advance notice of proposed rulemaking; or</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4" w:name="substructure-location_g_1_B"/>
      <w:bookmarkEnd w:id="24"/>
      <w:r w:rsidRPr="00F55E3C">
        <w:rPr>
          <w:rFonts w:ascii="Times New Roman" w:eastAsia="Times New Roman" w:hAnsi="Times New Roman" w:cs="Times New Roman"/>
          <w:sz w:val="24"/>
          <w:szCs w:val="24"/>
        </w:rPr>
        <w:t>(B) proceed with a negotiated rulemaking.</w:t>
      </w:r>
    </w:p>
    <w:p w:rsidR="00F55E3C" w:rsidRPr="00F55E3C" w:rsidRDefault="00F55E3C" w:rsidP="00F55E3C">
      <w:pPr>
        <w:spacing w:after="0" w:line="240" w:lineRule="auto"/>
        <w:rPr>
          <w:rFonts w:ascii="Times New Roman" w:eastAsia="Times New Roman" w:hAnsi="Times New Roman" w:cs="Times New Roman"/>
          <w:sz w:val="24"/>
          <w:szCs w:val="24"/>
        </w:rPr>
      </w:pPr>
      <w:bookmarkStart w:id="25" w:name="substructure-location_g_2"/>
      <w:bookmarkEnd w:id="25"/>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(2) Requirements.-Each advance notice of proposed rulemaking issued under paragraph (1) shall-</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6" w:name="substructure-location_g_2_A"/>
      <w:bookmarkEnd w:id="26"/>
      <w:r w:rsidRPr="00F55E3C">
        <w:rPr>
          <w:rFonts w:ascii="Times New Roman" w:eastAsia="Times New Roman" w:hAnsi="Times New Roman" w:cs="Times New Roman"/>
          <w:sz w:val="24"/>
          <w:szCs w:val="24"/>
        </w:rPr>
        <w:t>(A) identify the need for a potential regulatory action;</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7" w:name="substructure-location_g_2_B"/>
      <w:bookmarkEnd w:id="27"/>
      <w:r w:rsidRPr="00F55E3C">
        <w:rPr>
          <w:rFonts w:ascii="Times New Roman" w:eastAsia="Times New Roman" w:hAnsi="Times New Roman" w:cs="Times New Roman"/>
          <w:sz w:val="24"/>
          <w:szCs w:val="24"/>
        </w:rPr>
        <w:t>(B) identify and request public comment on the best available science or technical information relevant to analyzing potential regulatory alternatives;</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8" w:name="substructure-location_g_2_C"/>
      <w:bookmarkEnd w:id="28"/>
      <w:r w:rsidRPr="00F55E3C">
        <w:rPr>
          <w:rFonts w:ascii="Times New Roman" w:eastAsia="Times New Roman" w:hAnsi="Times New Roman" w:cs="Times New Roman"/>
          <w:sz w:val="24"/>
          <w:szCs w:val="24"/>
        </w:rPr>
        <w:t>(C) request public comment on the available data and costs with respect to regulatory alternatives reasonably likely to be considered as part of the rulemaking; and</w:t>
      </w:r>
    </w:p>
    <w:p w:rsidR="00F55E3C" w:rsidRPr="00F55E3C" w:rsidRDefault="00F55E3C" w:rsidP="00F55E3C">
      <w:pPr>
        <w:spacing w:after="0" w:line="240" w:lineRule="auto"/>
        <w:ind w:left="1275" w:firstLine="240"/>
        <w:rPr>
          <w:rFonts w:ascii="Times New Roman" w:eastAsia="Times New Roman" w:hAnsi="Times New Roman" w:cs="Times New Roman"/>
          <w:sz w:val="24"/>
          <w:szCs w:val="24"/>
        </w:rPr>
      </w:pPr>
      <w:bookmarkStart w:id="29" w:name="substructure-location_g_2_D"/>
      <w:bookmarkEnd w:id="29"/>
      <w:r w:rsidRPr="00F55E3C">
        <w:rPr>
          <w:rFonts w:ascii="Times New Roman" w:eastAsia="Times New Roman" w:hAnsi="Times New Roman" w:cs="Times New Roman"/>
          <w:sz w:val="24"/>
          <w:szCs w:val="24"/>
        </w:rPr>
        <w:t>(D) request public comment on available alternatives to regulation.</w:t>
      </w:r>
    </w:p>
    <w:p w:rsidR="00F55E3C" w:rsidRPr="00F55E3C" w:rsidRDefault="00F55E3C" w:rsidP="00F55E3C">
      <w:pPr>
        <w:spacing w:after="0" w:line="240" w:lineRule="auto"/>
        <w:rPr>
          <w:rFonts w:ascii="Times New Roman" w:eastAsia="Times New Roman" w:hAnsi="Times New Roman" w:cs="Times New Roman"/>
          <w:sz w:val="24"/>
          <w:szCs w:val="24"/>
        </w:rPr>
      </w:pPr>
      <w:bookmarkStart w:id="30" w:name="substructure-location_g_3"/>
      <w:bookmarkEnd w:id="30"/>
    </w:p>
    <w:p w:rsidR="00F55E3C" w:rsidRPr="00F55E3C" w:rsidRDefault="00F55E3C" w:rsidP="00F55E3C">
      <w:pPr>
        <w:spacing w:after="0" w:line="240" w:lineRule="auto"/>
        <w:ind w:left="1035"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(3) Waiver.-This subsection does not apply to a proposed rule if the Secretary, for good cause, finds (and incorporates the finding and a brief statement of reasons for such finding in the proposed or final rule) that an advance notice of proposed rulemaking is impracticable, unnecessary, or contrary to the public interest.</w:t>
      </w:r>
    </w:p>
    <w:p w:rsidR="00F55E3C" w:rsidRPr="00F55E3C" w:rsidRDefault="00F55E3C" w:rsidP="00F55E3C">
      <w:pPr>
        <w:spacing w:after="0" w:line="240" w:lineRule="auto"/>
        <w:rPr>
          <w:rFonts w:ascii="Times New Roman" w:eastAsia="Times New Roman" w:hAnsi="Times New Roman" w:cs="Times New Roman"/>
          <w:sz w:val="24"/>
          <w:szCs w:val="24"/>
        </w:rPr>
      </w:pPr>
      <w:bookmarkStart w:id="31" w:name="substructure-location_h"/>
      <w:bookmarkEnd w:id="31"/>
    </w:p>
    <w:p w:rsidR="00F55E3C" w:rsidRPr="00F55E3C" w:rsidRDefault="00F55E3C" w:rsidP="00F55E3C">
      <w:pPr>
        <w:spacing w:after="0" w:line="240" w:lineRule="auto"/>
        <w:ind w:firstLine="240"/>
        <w:rPr>
          <w:rFonts w:ascii="Times New Roman" w:eastAsia="Times New Roman" w:hAnsi="Times New Roman" w:cs="Times New Roman"/>
          <w:sz w:val="24"/>
          <w:szCs w:val="24"/>
        </w:rPr>
      </w:pPr>
      <w:r w:rsidRPr="00F55E3C">
        <w:rPr>
          <w:rFonts w:ascii="Times New Roman" w:eastAsia="Times New Roman" w:hAnsi="Times New Roman" w:cs="Times New Roman"/>
          <w:sz w:val="24"/>
          <w:szCs w:val="24"/>
        </w:rPr>
        <w:t>(h) Rule of Construction.-Nothing in subsection (f) or (g) may be construed to limit the contents of an advance notice of proposed rulemaking.</w:t>
      </w:r>
    </w:p>
    <w:p w:rsidR="00F55E3C" w:rsidRPr="00F55E3C" w:rsidRDefault="00F55E3C" w:rsidP="00F55E3C">
      <w:pPr>
        <w:spacing w:before="75" w:after="75" w:line="240" w:lineRule="auto"/>
        <w:rPr>
          <w:rFonts w:ascii="Times New Roman" w:eastAsia="Times New Roman" w:hAnsi="Times New Roman" w:cs="Times New Roman"/>
          <w:sz w:val="24"/>
          <w:szCs w:val="24"/>
        </w:rPr>
      </w:pPr>
      <w:bookmarkStart w:id="32" w:name="sourcecredit"/>
      <w:bookmarkEnd w:id="32"/>
      <w:r w:rsidRPr="00F55E3C">
        <w:rPr>
          <w:rFonts w:ascii="Times New Roman" w:eastAsia="Times New Roman" w:hAnsi="Times New Roman" w:cs="Times New Roman"/>
          <w:sz w:val="24"/>
          <w:szCs w:val="24"/>
        </w:rPr>
        <w:t>(</w:t>
      </w:r>
      <w:hyperlink r:id="rId5" w:tgtFrame="_blank" w:history="1">
        <w:r w:rsidRPr="00F55E3C">
          <w:rPr>
            <w:rFonts w:ascii="Times New Roman" w:eastAsia="Times New Roman" w:hAnsi="Times New Roman" w:cs="Times New Roman"/>
            <w:color w:val="0F0D61"/>
            <w:sz w:val="24"/>
            <w:szCs w:val="24"/>
          </w:rPr>
          <w:t xml:space="preserve"> Pub. L. 103–272, §1(e), July 5, 1994, 108 Stat. 1003 </w:t>
        </w:r>
      </w:hyperlink>
      <w:r w:rsidRPr="00F55E3C">
        <w:rPr>
          <w:rFonts w:ascii="Times New Roman" w:eastAsia="Times New Roman" w:hAnsi="Times New Roman" w:cs="Times New Roman"/>
          <w:sz w:val="24"/>
          <w:szCs w:val="24"/>
        </w:rPr>
        <w:t xml:space="preserve">; </w:t>
      </w:r>
      <w:hyperlink r:id="rId6" w:tgtFrame="_blank" w:history="1">
        <w:r w:rsidRPr="00F55E3C">
          <w:rPr>
            <w:rFonts w:ascii="Times New Roman" w:eastAsia="Times New Roman" w:hAnsi="Times New Roman" w:cs="Times New Roman"/>
            <w:color w:val="0F0D61"/>
            <w:sz w:val="24"/>
            <w:szCs w:val="24"/>
          </w:rPr>
          <w:t xml:space="preserve">Pub. L. 104–59, title III, §344, Nov. 28, 1995, 109 Stat. 610 </w:t>
        </w:r>
      </w:hyperlink>
      <w:r w:rsidRPr="00F55E3C">
        <w:rPr>
          <w:rFonts w:ascii="Times New Roman" w:eastAsia="Times New Roman" w:hAnsi="Times New Roman" w:cs="Times New Roman"/>
          <w:sz w:val="24"/>
          <w:szCs w:val="24"/>
        </w:rPr>
        <w:t xml:space="preserve">; </w:t>
      </w:r>
      <w:hyperlink r:id="rId7" w:tgtFrame="_blank" w:history="1">
        <w:r w:rsidRPr="00F55E3C">
          <w:rPr>
            <w:rFonts w:ascii="Times New Roman" w:eastAsia="Times New Roman" w:hAnsi="Times New Roman" w:cs="Times New Roman"/>
            <w:color w:val="0F0D61"/>
            <w:sz w:val="24"/>
            <w:szCs w:val="24"/>
          </w:rPr>
          <w:t xml:space="preserve">Pub. L. 104–287, §5(60), Oct. 11, 1996, 110 Stat. 3394 </w:t>
        </w:r>
      </w:hyperlink>
      <w:r w:rsidRPr="00F55E3C">
        <w:rPr>
          <w:rFonts w:ascii="Times New Roman" w:eastAsia="Times New Roman" w:hAnsi="Times New Roman" w:cs="Times New Roman"/>
          <w:sz w:val="24"/>
          <w:szCs w:val="24"/>
        </w:rPr>
        <w:t xml:space="preserve">; </w:t>
      </w:r>
      <w:hyperlink r:id="rId8" w:tgtFrame="_blank" w:history="1">
        <w:r w:rsidRPr="00F55E3C">
          <w:rPr>
            <w:rFonts w:ascii="Times New Roman" w:eastAsia="Times New Roman" w:hAnsi="Times New Roman" w:cs="Times New Roman"/>
            <w:color w:val="0F0D61"/>
            <w:sz w:val="24"/>
            <w:szCs w:val="24"/>
          </w:rPr>
          <w:t xml:space="preserve">Pub. L. 105–178, title IV, §4007(c), June 9, 1998, 112 Stat. 403 </w:t>
        </w:r>
      </w:hyperlink>
      <w:r w:rsidRPr="00F55E3C">
        <w:rPr>
          <w:rFonts w:ascii="Times New Roman" w:eastAsia="Times New Roman" w:hAnsi="Times New Roman" w:cs="Times New Roman"/>
          <w:sz w:val="24"/>
          <w:szCs w:val="24"/>
        </w:rPr>
        <w:t xml:space="preserve">; </w:t>
      </w:r>
      <w:hyperlink r:id="rId9" w:tgtFrame="_blank" w:history="1">
        <w:r w:rsidRPr="00F55E3C">
          <w:rPr>
            <w:rFonts w:ascii="Times New Roman" w:eastAsia="Times New Roman" w:hAnsi="Times New Roman" w:cs="Times New Roman"/>
            <w:color w:val="0F0D61"/>
            <w:sz w:val="24"/>
            <w:szCs w:val="24"/>
          </w:rPr>
          <w:t xml:space="preserve">Pub. L. 109–59, title IV, §4116(b), Aug. 10, 2005, 119 Stat. 1728 </w:t>
        </w:r>
      </w:hyperlink>
      <w:r w:rsidRPr="00F55E3C">
        <w:rPr>
          <w:rFonts w:ascii="Times New Roman" w:eastAsia="Times New Roman" w:hAnsi="Times New Roman" w:cs="Times New Roman"/>
          <w:sz w:val="24"/>
          <w:szCs w:val="24"/>
        </w:rPr>
        <w:t xml:space="preserve">; </w:t>
      </w:r>
      <w:hyperlink r:id="rId10" w:tgtFrame="_blank" w:history="1">
        <w:r w:rsidRPr="00F55E3C">
          <w:rPr>
            <w:rFonts w:ascii="Times New Roman" w:eastAsia="Times New Roman" w:hAnsi="Times New Roman" w:cs="Times New Roman"/>
            <w:color w:val="0F0D61"/>
            <w:sz w:val="24"/>
            <w:szCs w:val="24"/>
          </w:rPr>
          <w:t xml:space="preserve">Pub. L. 112–141, div. C, title II, §32911, July 6, 2012, 126 Stat. 818 </w:t>
        </w:r>
      </w:hyperlink>
      <w:r w:rsidRPr="00F55E3C">
        <w:rPr>
          <w:rFonts w:ascii="Times New Roman" w:eastAsia="Times New Roman" w:hAnsi="Times New Roman" w:cs="Times New Roman"/>
          <w:sz w:val="24"/>
          <w:szCs w:val="24"/>
        </w:rPr>
        <w:t xml:space="preserve">; </w:t>
      </w:r>
      <w:hyperlink r:id="rId11" w:tgtFrame="_blank" w:history="1">
        <w:r w:rsidRPr="00F55E3C">
          <w:rPr>
            <w:rFonts w:ascii="Times New Roman" w:eastAsia="Times New Roman" w:hAnsi="Times New Roman" w:cs="Times New Roman"/>
            <w:color w:val="0F0D61"/>
            <w:sz w:val="24"/>
            <w:szCs w:val="24"/>
          </w:rPr>
          <w:t xml:space="preserve">Pub. L. 114–94, div. A, title V, §5202, Dec. 4, 2015, 129 Stat. 1534 </w:t>
        </w:r>
      </w:hyperlink>
    </w:p>
    <w:p w:rsidR="00B326E3" w:rsidRDefault="00956029"/>
    <w:sectPr w:rsidR="00B32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3C"/>
    <w:rsid w:val="00247003"/>
    <w:rsid w:val="00453350"/>
    <w:rsid w:val="004F3B2B"/>
    <w:rsid w:val="007E2069"/>
    <w:rsid w:val="007E325E"/>
    <w:rsid w:val="00956029"/>
    <w:rsid w:val="009C15D3"/>
    <w:rsid w:val="009C65AA"/>
    <w:rsid w:val="00A1512C"/>
    <w:rsid w:val="00A5516A"/>
    <w:rsid w:val="00AC2BEF"/>
    <w:rsid w:val="00B31280"/>
    <w:rsid w:val="00B70517"/>
    <w:rsid w:val="00BB15BD"/>
    <w:rsid w:val="00C3669C"/>
    <w:rsid w:val="00E950EA"/>
    <w:rsid w:val="00F5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43027">
      <w:bodyDiv w:val="1"/>
      <w:marLeft w:val="720"/>
      <w:marRight w:val="0"/>
      <w:marTop w:val="0"/>
      <w:marBottom w:val="0"/>
      <w:divBdr>
        <w:top w:val="none" w:sz="0" w:space="0" w:color="auto"/>
        <w:left w:val="none" w:sz="0" w:space="0" w:color="auto"/>
        <w:bottom w:val="none" w:sz="0" w:space="0" w:color="auto"/>
        <w:right w:val="none" w:sz="0" w:space="0" w:color="auto"/>
      </w:divBdr>
      <w:divsChild>
        <w:div w:id="347097408">
          <w:marLeft w:val="75"/>
          <w:marRight w:val="75"/>
          <w:marTop w:val="75"/>
          <w:marBottom w:val="75"/>
          <w:divBdr>
            <w:top w:val="none" w:sz="0" w:space="0" w:color="auto"/>
            <w:left w:val="none" w:sz="0" w:space="0" w:color="auto"/>
            <w:bottom w:val="none" w:sz="0" w:space="0" w:color="auto"/>
            <w:right w:val="none" w:sz="0" w:space="0" w:color="auto"/>
          </w:divBdr>
          <w:divsChild>
            <w:div w:id="1077941447">
              <w:marLeft w:val="0"/>
              <w:marRight w:val="0"/>
              <w:marTop w:val="0"/>
              <w:marBottom w:val="0"/>
              <w:divBdr>
                <w:top w:val="none" w:sz="0" w:space="0" w:color="auto"/>
                <w:left w:val="none" w:sz="0" w:space="0" w:color="auto"/>
                <w:bottom w:val="none" w:sz="0" w:space="0" w:color="auto"/>
                <w:right w:val="none" w:sz="0" w:space="0" w:color="auto"/>
              </w:divBdr>
              <w:divsChild>
                <w:div w:id="930971472">
                  <w:marLeft w:val="0"/>
                  <w:marRight w:val="0"/>
                  <w:marTop w:val="0"/>
                  <w:marBottom w:val="0"/>
                  <w:divBdr>
                    <w:top w:val="none" w:sz="0" w:space="0" w:color="auto"/>
                    <w:left w:val="none" w:sz="0" w:space="0" w:color="auto"/>
                    <w:bottom w:val="none" w:sz="0" w:space="0" w:color="auto"/>
                    <w:right w:val="none" w:sz="0" w:space="0" w:color="auto"/>
                  </w:divBdr>
                  <w:divsChild>
                    <w:div w:id="8793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112&amp;page=4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scode.house.gov/statviewer.htm?volume=110&amp;page=339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statviewer.htm?volume=109&amp;page=610" TargetMode="External"/><Relationship Id="rId11" Type="http://schemas.openxmlformats.org/officeDocument/2006/relationships/hyperlink" Target="http://uscode.house.gov/statviewer.htm?volume=129&amp;page=1534" TargetMode="External"/><Relationship Id="rId5" Type="http://schemas.openxmlformats.org/officeDocument/2006/relationships/hyperlink" Target="http://uscode.house.gov/statviewer.htm?volume=108&amp;page=1003" TargetMode="External"/><Relationship Id="rId10" Type="http://schemas.openxmlformats.org/officeDocument/2006/relationships/hyperlink" Target="http://uscode.house.gov/statviewer.htm?volume=126&amp;page=818" TargetMode="External"/><Relationship Id="rId4" Type="http://schemas.openxmlformats.org/officeDocument/2006/relationships/webSettings" Target="webSettings.xml"/><Relationship Id="rId9" Type="http://schemas.openxmlformats.org/officeDocument/2006/relationships/hyperlink" Target="http://uscode.house.gov/statviewer.htm?volume=119&amp;page=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2019-06-19T23:34:00Z</dcterms:created>
  <dcterms:modified xsi:type="dcterms:W3CDTF">2019-06-19T23:34:00Z</dcterms:modified>
</cp:coreProperties>
</file>