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1CC6" w:rsidRPr="005B647F" w:rsidP="005B647F" w14:paraId="1945ED79" w14:textId="70EF8725">
      <w:pPr>
        <w:jc w:val="center"/>
        <w:rPr>
          <w:b/>
          <w:bCs/>
        </w:rPr>
      </w:pPr>
      <w:bookmarkStart w:id="0" w:name="_Ref510533456"/>
      <w:bookmarkStart w:id="1" w:name="_Toc125447290"/>
      <w:bookmarkStart w:id="2" w:name="_Toc126394118"/>
      <w:r w:rsidRPr="005B647F">
        <w:rPr>
          <w:b/>
          <w:bCs/>
        </w:rPr>
        <w:t>I</w:t>
      </w:r>
      <w:r>
        <w:rPr>
          <w:b/>
          <w:bCs/>
        </w:rPr>
        <w:t xml:space="preserve">nformation </w:t>
      </w:r>
      <w:r w:rsidRPr="005B647F" w:rsidR="00251258">
        <w:rPr>
          <w:b/>
          <w:bCs/>
        </w:rPr>
        <w:t>C</w:t>
      </w:r>
      <w:r>
        <w:rPr>
          <w:b/>
          <w:bCs/>
        </w:rPr>
        <w:t xml:space="preserve">ollection </w:t>
      </w:r>
      <w:r w:rsidRPr="005B647F" w:rsidR="00251258">
        <w:rPr>
          <w:b/>
          <w:bCs/>
        </w:rPr>
        <w:t>R</w:t>
      </w:r>
      <w:r>
        <w:rPr>
          <w:b/>
          <w:bCs/>
        </w:rPr>
        <w:t>equest</w:t>
      </w:r>
      <w:r w:rsidRPr="005B647F" w:rsidR="00251258">
        <w:rPr>
          <w:b/>
          <w:bCs/>
        </w:rPr>
        <w:t xml:space="preserve"> </w:t>
      </w:r>
      <w:r w:rsidRPr="005B647F">
        <w:rPr>
          <w:b/>
          <w:bCs/>
        </w:rPr>
        <w:t>Supporting Statement</w:t>
      </w:r>
      <w:r w:rsidRPr="005B647F" w:rsidR="007B5553">
        <w:rPr>
          <w:b/>
          <w:bCs/>
        </w:rPr>
        <w:t>:</w:t>
      </w:r>
      <w:r w:rsidRPr="005B647F">
        <w:rPr>
          <w:b/>
          <w:bCs/>
        </w:rPr>
        <w:t xml:space="preserve"> </w:t>
      </w:r>
      <w:bookmarkEnd w:id="0"/>
      <w:r w:rsidRPr="005B647F" w:rsidR="005B647F">
        <w:rPr>
          <w:b/>
          <w:bCs/>
        </w:rPr>
        <w:t xml:space="preserve">Part </w:t>
      </w:r>
      <w:r w:rsidRPr="005B647F" w:rsidR="008F6AE1">
        <w:rPr>
          <w:b/>
          <w:bCs/>
        </w:rPr>
        <w:t>B</w:t>
      </w:r>
    </w:p>
    <w:bookmarkEnd w:id="1"/>
    <w:bookmarkEnd w:id="2"/>
    <w:p w:rsidR="005B647F" w:rsidP="0010164A" w14:paraId="43595C87" w14:textId="3EEBD257">
      <w:pPr>
        <w:jc w:val="center"/>
        <w:rPr>
          <w:b/>
          <w:bCs/>
          <w:i/>
        </w:rPr>
      </w:pPr>
      <w:r w:rsidRPr="0010164A">
        <w:rPr>
          <w:b/>
          <w:bCs/>
          <w:i/>
        </w:rPr>
        <w:t xml:space="preserve">National Roadside Survey of Alcohol and Drug Prevalence of Road Users: </w:t>
      </w:r>
      <w:r w:rsidR="006A5782">
        <w:rPr>
          <w:b/>
          <w:bCs/>
          <w:i/>
        </w:rPr>
        <w:t>2025</w:t>
      </w:r>
    </w:p>
    <w:p w:rsidR="00670A06" w:rsidRPr="00DB54AC" w:rsidP="00670A06" w14:paraId="5ED4F951" w14:textId="77777777">
      <w:pPr>
        <w:jc w:val="center"/>
        <w:rPr>
          <w:b/>
        </w:rPr>
      </w:pPr>
      <w:r w:rsidRPr="00DB54AC">
        <w:rPr>
          <w:b/>
        </w:rPr>
        <w:t>OMB Control Number: 2127- new</w:t>
      </w:r>
    </w:p>
    <w:p w:rsidR="0010164A" w:rsidP="00441165" w14:paraId="253A07F3" w14:textId="77777777">
      <w:pPr>
        <w:pStyle w:val="Default"/>
        <w:rPr>
          <w:rFonts w:ascii="Times New Roman" w:hAnsi="Times New Roman" w:cs="Times New Roman"/>
          <w:i/>
        </w:rPr>
      </w:pPr>
    </w:p>
    <w:p w:rsidR="00520410" w:rsidRPr="00CB136F" w:rsidP="00520410" w14:paraId="2D1C1F5B" w14:textId="2D0F81D3">
      <w:pPr>
        <w:pStyle w:val="Default"/>
        <w:rPr>
          <w:rFonts w:ascii="Times New Roman" w:hAnsi="Times New Roman" w:cs="Times New Roman"/>
          <w:bdr w:val="none" w:sz="0" w:space="0" w:color="auto" w:frame="1"/>
          <w:shd w:val="clear" w:color="auto" w:fill="FFFFFF"/>
        </w:rPr>
      </w:pPr>
      <w:r w:rsidRPr="00C02E7E">
        <w:rPr>
          <w:rFonts w:ascii="Times New Roman" w:hAnsi="Times New Roman" w:cs="Times New Roman"/>
          <w:i/>
        </w:rPr>
        <w:t>Abstract:</w:t>
      </w:r>
      <w:r>
        <w:rPr>
          <w:rStyle w:val="FootnoteReference"/>
          <w:rFonts w:ascii="Times New Roman" w:hAnsi="Times New Roman" w:cs="Times New Roman"/>
          <w:i/>
        </w:rPr>
        <w:footnoteReference w:id="3"/>
      </w:r>
      <w:r w:rsidRPr="00C02E7E">
        <w:rPr>
          <w:rFonts w:ascii="Times New Roman" w:hAnsi="Times New Roman" w:cs="Times New Roman"/>
          <w:i/>
        </w:rPr>
        <w:t xml:space="preserve"> </w:t>
      </w:r>
      <w:bookmarkStart w:id="3" w:name="_Hlk136432131"/>
      <w:r>
        <w:rPr>
          <w:rFonts w:ascii="Times New Roman" w:hAnsi="Times New Roman" w:cs="Times New Roman"/>
        </w:rPr>
        <w:t xml:space="preserve">National </w:t>
      </w:r>
      <w:r w:rsidRPr="00CB136F">
        <w:rPr>
          <w:rFonts w:ascii="Times New Roman" w:hAnsi="Times New Roman" w:cs="Times New Roman"/>
        </w:rPr>
        <w:t>Roadside</w:t>
      </w:r>
      <w:r w:rsidRPr="00CB136F">
        <w:rPr>
          <w:rFonts w:ascii="Times New Roman" w:hAnsi="Times New Roman" w:cs="Times New Roman"/>
          <w:sz w:val="23"/>
          <w:szCs w:val="23"/>
        </w:rPr>
        <w:t xml:space="preserve"> </w:t>
      </w:r>
      <w:r>
        <w:rPr>
          <w:rFonts w:ascii="Times New Roman" w:hAnsi="Times New Roman" w:cs="Times New Roman"/>
          <w:sz w:val="23"/>
          <w:szCs w:val="23"/>
        </w:rPr>
        <w:t>S</w:t>
      </w:r>
      <w:r w:rsidRPr="00CB136F">
        <w:rPr>
          <w:rFonts w:ascii="Times New Roman" w:hAnsi="Times New Roman" w:cs="Times New Roman"/>
          <w:sz w:val="23"/>
          <w:szCs w:val="23"/>
        </w:rPr>
        <w:t>urveys</w:t>
      </w:r>
      <w:r>
        <w:rPr>
          <w:rFonts w:ascii="Times New Roman" w:hAnsi="Times New Roman" w:cs="Times New Roman"/>
          <w:sz w:val="23"/>
          <w:szCs w:val="23"/>
        </w:rPr>
        <w:t xml:space="preserve"> (NRSs)</w:t>
      </w:r>
      <w:r w:rsidRPr="00CB136F">
        <w:rPr>
          <w:rFonts w:ascii="Times New Roman" w:hAnsi="Times New Roman" w:cs="Times New Roman"/>
          <w:sz w:val="23"/>
          <w:szCs w:val="23"/>
        </w:rPr>
        <w:t xml:space="preserve"> </w:t>
      </w:r>
      <w:r>
        <w:rPr>
          <w:rFonts w:ascii="Times New Roman" w:hAnsi="Times New Roman" w:cs="Times New Roman"/>
          <w:sz w:val="23"/>
          <w:szCs w:val="23"/>
        </w:rPr>
        <w:t>are</w:t>
      </w:r>
      <w:r w:rsidRPr="00CB136F">
        <w:rPr>
          <w:rFonts w:ascii="Times New Roman" w:hAnsi="Times New Roman" w:cs="Times New Roman"/>
          <w:sz w:val="23"/>
          <w:szCs w:val="23"/>
        </w:rPr>
        <w:t xml:space="preserve"> a central tool in understanding alcohol</w:t>
      </w:r>
      <w:r w:rsidR="003C3F18">
        <w:rPr>
          <w:rFonts w:ascii="Times New Roman" w:hAnsi="Times New Roman" w:cs="Times New Roman"/>
          <w:sz w:val="23"/>
          <w:szCs w:val="23"/>
        </w:rPr>
        <w:t>-</w:t>
      </w:r>
      <w:r w:rsidRPr="00CB136F">
        <w:rPr>
          <w:rFonts w:ascii="Times New Roman" w:hAnsi="Times New Roman" w:cs="Times New Roman"/>
          <w:sz w:val="23"/>
          <w:szCs w:val="23"/>
        </w:rPr>
        <w:t xml:space="preserve"> and drug-i</w:t>
      </w:r>
      <w:r>
        <w:rPr>
          <w:rFonts w:ascii="Times New Roman" w:hAnsi="Times New Roman" w:cs="Times New Roman"/>
          <w:sz w:val="23"/>
          <w:szCs w:val="23"/>
        </w:rPr>
        <w:t>nvolved</w:t>
      </w:r>
      <w:r w:rsidRPr="00CB136F">
        <w:rPr>
          <w:rFonts w:ascii="Times New Roman" w:hAnsi="Times New Roman" w:cs="Times New Roman"/>
          <w:sz w:val="23"/>
          <w:szCs w:val="23"/>
        </w:rPr>
        <w:t xml:space="preserve"> driving. </w:t>
      </w:r>
      <w:r w:rsidRPr="00CB136F">
        <w:rPr>
          <w:rFonts w:ascii="Times New Roman" w:hAnsi="Times New Roman" w:cs="Times New Roman"/>
          <w:bdr w:val="none" w:sz="0" w:space="0" w:color="auto" w:frame="1"/>
          <w:shd w:val="clear" w:color="auto" w:fill="FFFFFF"/>
        </w:rPr>
        <w:t>Starting in 1973,</w:t>
      </w:r>
      <w:r>
        <w:rPr>
          <w:rStyle w:val="FootnoteReference"/>
          <w:rFonts w:ascii="Times New Roman" w:hAnsi="Times New Roman" w:cs="Times New Roman"/>
          <w:bdr w:val="none" w:sz="0" w:space="0" w:color="auto" w:frame="1"/>
          <w:shd w:val="clear" w:color="auto" w:fill="FFFFFF"/>
        </w:rPr>
        <w:footnoteReference w:id="4"/>
      </w:r>
      <w:r w:rsidRPr="00CB136F">
        <w:rPr>
          <w:rFonts w:ascii="Times New Roman" w:hAnsi="Times New Roman" w:cs="Times New Roman"/>
          <w:bdr w:val="none" w:sz="0" w:space="0" w:color="auto" w:frame="1"/>
          <w:shd w:val="clear" w:color="auto" w:fill="FFFFFF"/>
        </w:rPr>
        <w:t xml:space="preserve"> roadside surveys</w:t>
      </w:r>
      <w:r>
        <w:rPr>
          <w:rFonts w:ascii="Times New Roman" w:hAnsi="Times New Roman" w:cs="Times New Roman"/>
          <w:bdr w:val="none" w:sz="0" w:space="0" w:color="auto" w:frame="1"/>
          <w:shd w:val="clear" w:color="auto" w:fill="FFFFFF"/>
        </w:rPr>
        <w:t xml:space="preserve"> of drivers on the road</w:t>
      </w:r>
      <w:r w:rsidRPr="00CB136F">
        <w:rPr>
          <w:rFonts w:ascii="Times New Roman" w:hAnsi="Times New Roman" w:cs="Times New Roman"/>
          <w:bdr w:val="none" w:sz="0" w:space="0" w:color="auto" w:frame="1"/>
          <w:shd w:val="clear" w:color="auto" w:fill="FFFFFF"/>
        </w:rPr>
        <w:t xml:space="preserve"> have estimate</w:t>
      </w:r>
      <w:r>
        <w:rPr>
          <w:rFonts w:ascii="Times New Roman" w:hAnsi="Times New Roman" w:cs="Times New Roman"/>
          <w:bdr w:val="none" w:sz="0" w:space="0" w:color="auto" w:frame="1"/>
          <w:shd w:val="clear" w:color="auto" w:fill="FFFFFF"/>
        </w:rPr>
        <w:t>d</w:t>
      </w:r>
      <w:r w:rsidRPr="00CB136F">
        <w:rPr>
          <w:rFonts w:ascii="Times New Roman" w:hAnsi="Times New Roman" w:cs="Times New Roman"/>
          <w:bdr w:val="none" w:sz="0" w:space="0" w:color="auto" w:frame="1"/>
          <w:shd w:val="clear" w:color="auto" w:fill="FFFFFF"/>
        </w:rPr>
        <w:t xml:space="preserve"> the population</w:t>
      </w:r>
      <w:r>
        <w:rPr>
          <w:rFonts w:ascii="Times New Roman" w:hAnsi="Times New Roman" w:cs="Times New Roman"/>
          <w:bdr w:val="none" w:sz="0" w:space="0" w:color="auto" w:frame="1"/>
          <w:shd w:val="clear" w:color="auto" w:fill="FFFFFF"/>
        </w:rPr>
        <w:t>-</w:t>
      </w:r>
      <w:r w:rsidRPr="00CB136F">
        <w:rPr>
          <w:rFonts w:ascii="Times New Roman" w:hAnsi="Times New Roman" w:cs="Times New Roman"/>
          <w:bdr w:val="none" w:sz="0" w:space="0" w:color="auto" w:frame="1"/>
          <w:shd w:val="clear" w:color="auto" w:fill="FFFFFF"/>
        </w:rPr>
        <w:t>level prevalence of drinking and driving in the</w:t>
      </w:r>
      <w:r>
        <w:rPr>
          <w:rFonts w:ascii="Times New Roman" w:hAnsi="Times New Roman" w:cs="Times New Roman"/>
          <w:bdr w:val="none" w:sz="0" w:space="0" w:color="auto" w:frame="1"/>
          <w:shd w:val="clear" w:color="auto" w:fill="FFFFFF"/>
        </w:rPr>
        <w:t xml:space="preserve"> </w:t>
      </w:r>
      <w:r w:rsidRPr="00CB136F">
        <w:rPr>
          <w:rFonts w:ascii="Times New Roman" w:hAnsi="Times New Roman" w:cs="Times New Roman"/>
          <w:bdr w:val="none" w:sz="0" w:space="0" w:color="auto" w:frame="1"/>
          <w:shd w:val="clear" w:color="auto" w:fill="FFFFFF"/>
        </w:rPr>
        <w:t>United States</w:t>
      </w:r>
      <w:r>
        <w:rPr>
          <w:rFonts w:ascii="Times New Roman" w:hAnsi="Times New Roman" w:cs="Times New Roman"/>
          <w:bdr w:val="none" w:sz="0" w:space="0" w:color="auto" w:frame="1"/>
          <w:shd w:val="clear" w:color="auto" w:fill="FFFFFF"/>
        </w:rPr>
        <w:t xml:space="preserve">. </w:t>
      </w:r>
      <w:r w:rsidRPr="00CB136F">
        <w:rPr>
          <w:rFonts w:ascii="Times New Roman" w:hAnsi="Times New Roman" w:cs="Times New Roman"/>
          <w:bdr w:val="none" w:sz="0" w:space="0" w:color="auto" w:frame="1"/>
          <w:shd w:val="clear" w:color="auto" w:fill="FFFFFF"/>
        </w:rPr>
        <w:t>The core methodology has continued across decades</w:t>
      </w:r>
      <w:r w:rsidR="00A12216">
        <w:rPr>
          <w:rFonts w:ascii="Times New Roman" w:hAnsi="Times New Roman" w:cs="Times New Roman"/>
          <w:bdr w:val="none" w:sz="0" w:space="0" w:color="auto" w:frame="1"/>
          <w:shd w:val="clear" w:color="auto" w:fill="FFFFFF"/>
        </w:rPr>
        <w:t>,</w:t>
      </w:r>
      <w:r w:rsidRPr="00CB136F">
        <w:rPr>
          <w:rFonts w:ascii="Times New Roman" w:hAnsi="Times New Roman" w:cs="Times New Roman"/>
          <w:bdr w:val="none" w:sz="0" w:space="0" w:color="auto" w:frame="1"/>
          <w:shd w:val="clear" w:color="auto" w:fill="FFFFFF"/>
        </w:rPr>
        <w:t xml:space="preserve"> but NHTSA has initiated improvements</w:t>
      </w:r>
      <w:r>
        <w:rPr>
          <w:rFonts w:ascii="Times New Roman" w:hAnsi="Times New Roman" w:cs="Times New Roman"/>
          <w:bdr w:val="none" w:sz="0" w:space="0" w:color="auto" w:frame="1"/>
          <w:shd w:val="clear" w:color="auto" w:fill="FFFFFF"/>
        </w:rPr>
        <w:t>.</w:t>
      </w:r>
      <w:r w:rsidRPr="00CB136F">
        <w:rPr>
          <w:rFonts w:ascii="Times New Roman" w:hAnsi="Times New Roman" w:cs="Times New Roman"/>
          <w:bdr w:val="none" w:sz="0" w:space="0" w:color="auto" w:frame="1"/>
          <w:shd w:val="clear" w:color="auto" w:fill="FFFFFF"/>
        </w:rPr>
        <w:t xml:space="preserve"> </w:t>
      </w:r>
      <w:r>
        <w:rPr>
          <w:rFonts w:ascii="Times New Roman" w:hAnsi="Times New Roman" w:cs="Times New Roman"/>
          <w:bdr w:val="none" w:sz="0" w:space="0" w:color="auto" w:frame="1"/>
          <w:shd w:val="clear" w:color="auto" w:fill="FFFFFF"/>
        </w:rPr>
        <w:t>T</w:t>
      </w:r>
      <w:r w:rsidRPr="00CB136F">
        <w:rPr>
          <w:rFonts w:ascii="Times New Roman" w:hAnsi="Times New Roman" w:cs="Times New Roman"/>
          <w:bdr w:val="none" w:sz="0" w:space="0" w:color="auto" w:frame="1"/>
          <w:shd w:val="clear" w:color="auto" w:fill="FFFFFF"/>
        </w:rPr>
        <w:t xml:space="preserve">he number of sites has increased, drugs of interest have been modified to reflect use across the </w:t>
      </w:r>
      <w:r>
        <w:rPr>
          <w:rFonts w:ascii="Times New Roman" w:hAnsi="Times New Roman" w:cs="Times New Roman"/>
          <w:bdr w:val="none" w:sz="0" w:space="0" w:color="auto" w:frame="1"/>
          <w:shd w:val="clear" w:color="auto" w:fill="FFFFFF"/>
        </w:rPr>
        <w:t>country</w:t>
      </w:r>
      <w:r w:rsidRPr="00CB136F">
        <w:rPr>
          <w:rFonts w:ascii="Times New Roman" w:hAnsi="Times New Roman" w:cs="Times New Roman"/>
          <w:bdr w:val="none" w:sz="0" w:space="0" w:color="auto" w:frame="1"/>
          <w:shd w:val="clear" w:color="auto" w:fill="FFFFFF"/>
        </w:rPr>
        <w:t xml:space="preserve">, and advances in technology have impacted </w:t>
      </w:r>
      <w:r>
        <w:rPr>
          <w:rFonts w:ascii="Times New Roman" w:hAnsi="Times New Roman" w:cs="Times New Roman"/>
          <w:bdr w:val="none" w:sz="0" w:space="0" w:color="auto" w:frame="1"/>
          <w:shd w:val="clear" w:color="auto" w:fill="FFFFFF"/>
        </w:rPr>
        <w:t xml:space="preserve">how </w:t>
      </w:r>
      <w:r w:rsidRPr="00CB136F">
        <w:rPr>
          <w:rFonts w:ascii="Times New Roman" w:hAnsi="Times New Roman" w:cs="Times New Roman"/>
          <w:bdr w:val="none" w:sz="0" w:space="0" w:color="auto" w:frame="1"/>
          <w:shd w:val="clear" w:color="auto" w:fill="FFFFFF"/>
        </w:rPr>
        <w:t xml:space="preserve">data can be collected and specimens analyzed. </w:t>
      </w:r>
    </w:p>
    <w:p w:rsidR="00520410" w:rsidP="00520410" w14:paraId="2AEBB602" w14:textId="77777777"/>
    <w:p w:rsidR="00520410" w:rsidRPr="00130F76" w:rsidP="00520410" w14:paraId="2FB23D4D" w14:textId="7685E2E2">
      <w:pPr>
        <w:pStyle w:val="Default"/>
        <w:rPr>
          <w:rFonts w:ascii="Times New Roman" w:hAnsi="Times New Roman" w:cs="Times New Roman"/>
        </w:rPr>
      </w:pPr>
      <w:r w:rsidRPr="001F0A0C">
        <w:rPr>
          <w:rFonts w:ascii="Times New Roman" w:hAnsi="Times New Roman" w:cs="Times New Roman"/>
          <w:bdr w:val="none" w:sz="0" w:space="0" w:color="auto" w:frame="1"/>
          <w:shd w:val="clear" w:color="auto" w:fill="FFFFFF"/>
        </w:rPr>
        <w:t>Conducting a</w:t>
      </w:r>
      <w:r w:rsidR="003C3F18">
        <w:rPr>
          <w:rFonts w:ascii="Times New Roman" w:hAnsi="Times New Roman" w:cs="Times New Roman"/>
          <w:bdr w:val="none" w:sz="0" w:space="0" w:color="auto" w:frame="1"/>
          <w:shd w:val="clear" w:color="auto" w:fill="FFFFFF"/>
        </w:rPr>
        <w:t>n</w:t>
      </w:r>
      <w:r>
        <w:rPr>
          <w:rFonts w:ascii="Times New Roman" w:hAnsi="Times New Roman" w:cs="Times New Roman"/>
          <w:bdr w:val="none" w:sz="0" w:space="0" w:color="auto" w:frame="1"/>
          <w:shd w:val="clear" w:color="auto" w:fill="FFFFFF"/>
        </w:rPr>
        <w:t xml:space="preserve"> </w:t>
      </w:r>
      <w:r w:rsidRPr="001F0A0C">
        <w:rPr>
          <w:rFonts w:ascii="Times New Roman" w:hAnsi="Times New Roman" w:cs="Times New Roman"/>
          <w:bdr w:val="none" w:sz="0" w:space="0" w:color="auto" w:frame="1"/>
          <w:shd w:val="clear" w:color="auto" w:fill="FFFFFF"/>
        </w:rPr>
        <w:t>NRS on a periodic basis (e.g., about every 10 years) allows NHTSA to examine the prevalence of alcohol and drug use among drivers</w:t>
      </w:r>
      <w:r>
        <w:rPr>
          <w:rFonts w:ascii="Times New Roman" w:hAnsi="Times New Roman" w:cs="Times New Roman"/>
          <w:bdr w:val="none" w:sz="0" w:space="0" w:color="auto" w:frame="1"/>
          <w:shd w:val="clear" w:color="auto" w:fill="FFFFFF"/>
        </w:rPr>
        <w:t>, and trends across survey years</w:t>
      </w:r>
      <w:r w:rsidRPr="001F0A0C">
        <w:rPr>
          <w:rFonts w:ascii="Times New Roman" w:hAnsi="Times New Roman" w:cs="Times New Roman"/>
          <w:bdr w:val="none" w:sz="0" w:space="0" w:color="auto" w:frame="1"/>
          <w:shd w:val="clear" w:color="auto" w:fill="FFFFFF"/>
        </w:rPr>
        <w:t>.</w:t>
      </w:r>
      <w:r>
        <w:rPr>
          <w:rFonts w:ascii="Times New Roman" w:hAnsi="Times New Roman" w:cs="Times New Roman"/>
          <w:bdr w:val="none" w:sz="0" w:space="0" w:color="auto" w:frame="1"/>
          <w:shd w:val="clear" w:color="auto" w:fill="FFFFFF"/>
        </w:rPr>
        <w:t xml:space="preserve"> </w:t>
      </w:r>
      <w:r w:rsidRPr="00130F76">
        <w:rPr>
          <w:rFonts w:ascii="Times New Roman" w:hAnsi="Times New Roman" w:cs="Times New Roman"/>
        </w:rPr>
        <w:t>Given States</w:t>
      </w:r>
      <w:r w:rsidR="00492C61">
        <w:rPr>
          <w:rFonts w:ascii="Times New Roman" w:hAnsi="Times New Roman" w:cs="Times New Roman"/>
        </w:rPr>
        <w:t xml:space="preserve"> are</w:t>
      </w:r>
      <w:r w:rsidRPr="00130F76">
        <w:rPr>
          <w:rFonts w:ascii="Times New Roman" w:hAnsi="Times New Roman" w:cs="Times New Roman"/>
        </w:rPr>
        <w:t xml:space="preserve"> legalizing medicinal </w:t>
      </w:r>
      <w:r w:rsidR="003A03DF">
        <w:rPr>
          <w:rFonts w:ascii="Times New Roman" w:hAnsi="Times New Roman" w:cs="Times New Roman"/>
        </w:rPr>
        <w:t>and/</w:t>
      </w:r>
      <w:r w:rsidRPr="00130F76">
        <w:rPr>
          <w:rFonts w:ascii="Times New Roman" w:hAnsi="Times New Roman" w:cs="Times New Roman"/>
        </w:rPr>
        <w:t>or recreational use of cannabis, and other issues such as the apparent increase in opioid use in the U.S., more information is needed on the level of alcohol-</w:t>
      </w:r>
      <w:r>
        <w:rPr>
          <w:rFonts w:ascii="Times New Roman" w:hAnsi="Times New Roman" w:cs="Times New Roman"/>
        </w:rPr>
        <w:t xml:space="preserve"> </w:t>
      </w:r>
      <w:r w:rsidRPr="00130F76">
        <w:rPr>
          <w:rFonts w:ascii="Times New Roman" w:hAnsi="Times New Roman" w:cs="Times New Roman"/>
        </w:rPr>
        <w:t>and drug-involved driving to better inform NHTSA’s countermeasure development.</w:t>
      </w:r>
    </w:p>
    <w:p w:rsidR="00520410" w:rsidP="00520410" w14:paraId="63E66CE4" w14:textId="77777777">
      <w:pPr>
        <w:pStyle w:val="Default"/>
        <w:rPr>
          <w:rFonts w:ascii="Times New Roman" w:hAnsi="Times New Roman" w:cs="Times New Roman"/>
          <w:sz w:val="23"/>
          <w:szCs w:val="23"/>
        </w:rPr>
      </w:pPr>
    </w:p>
    <w:p w:rsidR="00520410" w:rsidP="00520410" w14:paraId="19EC5054" w14:textId="23E207DC">
      <w:pPr>
        <w:pStyle w:val="Default"/>
        <w:rPr>
          <w:rFonts w:ascii="Times New Roman" w:hAnsi="Times New Roman" w:cs="Times New Roman"/>
        </w:rPr>
      </w:pPr>
      <w:r w:rsidRPr="009B685A">
        <w:rPr>
          <w:rFonts w:ascii="Times New Roman" w:hAnsi="Times New Roman" w:cs="Times New Roman"/>
        </w:rPr>
        <w:t xml:space="preserve">Roadside surveys provide objective measures of alcohol and drugs in drivers’ systems </w:t>
      </w:r>
      <w:r>
        <w:rPr>
          <w:rFonts w:ascii="Times New Roman" w:hAnsi="Times New Roman" w:cs="Times New Roman"/>
        </w:rPr>
        <w:t xml:space="preserve">when </w:t>
      </w:r>
      <w:r w:rsidRPr="009B685A">
        <w:rPr>
          <w:rFonts w:ascii="Times New Roman" w:hAnsi="Times New Roman" w:cs="Times New Roman"/>
        </w:rPr>
        <w:t xml:space="preserve">they are </w:t>
      </w:r>
      <w:r w:rsidRPr="009B685A">
        <w:rPr>
          <w:rFonts w:ascii="Times New Roman" w:hAnsi="Times New Roman" w:cs="Times New Roman"/>
        </w:rPr>
        <w:t>actually driving</w:t>
      </w:r>
      <w:r>
        <w:rPr>
          <w:rFonts w:ascii="Times New Roman" w:hAnsi="Times New Roman" w:cs="Times New Roman"/>
        </w:rPr>
        <w:t>. These measures are</w:t>
      </w:r>
      <w:r w:rsidRPr="00522FC8">
        <w:rPr>
          <w:rFonts w:ascii="Times New Roman" w:hAnsi="Times New Roman" w:cs="Times New Roman"/>
        </w:rPr>
        <w:t xml:space="preserve"> </w:t>
      </w:r>
      <w:r>
        <w:rPr>
          <w:rFonts w:ascii="Times New Roman" w:hAnsi="Times New Roman" w:cs="Times New Roman"/>
        </w:rPr>
        <w:t xml:space="preserve">based on results from breath tests and oral fluid samples collected using established protocols. </w:t>
      </w:r>
      <w:r w:rsidRPr="009B685A">
        <w:rPr>
          <w:rFonts w:ascii="Times New Roman" w:hAnsi="Times New Roman" w:cs="Times New Roman"/>
        </w:rPr>
        <w:t xml:space="preserve">Analyses of </w:t>
      </w:r>
      <w:r>
        <w:rPr>
          <w:rFonts w:ascii="Times New Roman" w:hAnsi="Times New Roman" w:cs="Times New Roman"/>
        </w:rPr>
        <w:t xml:space="preserve">these </w:t>
      </w:r>
      <w:r w:rsidRPr="009B685A">
        <w:rPr>
          <w:rFonts w:ascii="Times New Roman" w:hAnsi="Times New Roman" w:cs="Times New Roman"/>
        </w:rPr>
        <w:t xml:space="preserve">specimens allow for the quantitative determination of alcohol and drug levels. </w:t>
      </w:r>
      <w:r>
        <w:rPr>
          <w:rFonts w:ascii="Times New Roman" w:hAnsi="Times New Roman" w:cs="Times New Roman"/>
        </w:rPr>
        <w:t>Learning</w:t>
      </w:r>
      <w:r w:rsidRPr="009B685A">
        <w:rPr>
          <w:rFonts w:ascii="Times New Roman" w:hAnsi="Times New Roman" w:cs="Times New Roman"/>
        </w:rPr>
        <w:t xml:space="preserve"> more about alcohol and other drug prevalence among road users </w:t>
      </w:r>
      <w:r>
        <w:rPr>
          <w:rFonts w:ascii="Times New Roman" w:hAnsi="Times New Roman" w:cs="Times New Roman"/>
        </w:rPr>
        <w:t xml:space="preserve">other than drivers is new to this NRS. These other road users (ORUs) include </w:t>
      </w:r>
      <w:r w:rsidRPr="009B685A">
        <w:rPr>
          <w:rFonts w:ascii="Times New Roman" w:hAnsi="Times New Roman" w:cs="Times New Roman"/>
        </w:rPr>
        <w:t>pedestrians, bicyclists, scooterist</w:t>
      </w:r>
      <w:r>
        <w:rPr>
          <w:rFonts w:ascii="Times New Roman" w:hAnsi="Times New Roman" w:cs="Times New Roman"/>
        </w:rPr>
        <w:t>s</w:t>
      </w:r>
      <w:r w:rsidRPr="009B685A">
        <w:rPr>
          <w:rFonts w:ascii="Times New Roman" w:hAnsi="Times New Roman" w:cs="Times New Roman"/>
        </w:rPr>
        <w:t xml:space="preserve">, </w:t>
      </w:r>
      <w:r>
        <w:rPr>
          <w:rFonts w:ascii="Times New Roman" w:hAnsi="Times New Roman" w:cs="Times New Roman"/>
        </w:rPr>
        <w:t xml:space="preserve">and </w:t>
      </w:r>
      <w:r w:rsidRPr="009B685A">
        <w:rPr>
          <w:rFonts w:ascii="Times New Roman" w:hAnsi="Times New Roman" w:cs="Times New Roman"/>
        </w:rPr>
        <w:t>those using mobility aids</w:t>
      </w:r>
      <w:r>
        <w:rPr>
          <w:rFonts w:ascii="Times New Roman" w:hAnsi="Times New Roman" w:cs="Times New Roman"/>
        </w:rPr>
        <w:t>.</w:t>
      </w:r>
    </w:p>
    <w:p w:rsidR="00520410" w:rsidP="00520410" w14:paraId="19D276C4" w14:textId="77777777">
      <w:pPr>
        <w:pStyle w:val="Default"/>
        <w:rPr>
          <w:rFonts w:ascii="Times New Roman" w:hAnsi="Times New Roman" w:cs="Times New Roman"/>
        </w:rPr>
      </w:pPr>
    </w:p>
    <w:p w:rsidR="00520410" w:rsidP="00520410" w14:paraId="3A230549" w14:textId="087DE44C">
      <w:pPr>
        <w:pStyle w:val="Default"/>
        <w:rPr>
          <w:rFonts w:ascii="Times New Roman" w:hAnsi="Times New Roman" w:cs="Times New Roman"/>
        </w:rPr>
      </w:pPr>
      <w:r>
        <w:rPr>
          <w:rFonts w:ascii="Times New Roman" w:hAnsi="Times New Roman" w:cs="Times New Roman"/>
        </w:rPr>
        <w:t xml:space="preserve">NHTSA will conduct two studies. Study 1 will focus on drivers but include convenience sampling of ORUs passing by the data collection locations. Study 2 is a </w:t>
      </w:r>
      <w:r w:rsidR="007B37F3">
        <w:rPr>
          <w:rFonts w:ascii="Times New Roman" w:hAnsi="Times New Roman" w:cs="Times New Roman"/>
        </w:rPr>
        <w:t>p</w:t>
      </w:r>
      <w:r>
        <w:rPr>
          <w:rFonts w:ascii="Times New Roman" w:hAnsi="Times New Roman" w:cs="Times New Roman"/>
        </w:rPr>
        <w:t xml:space="preserve">ilot </w:t>
      </w:r>
      <w:r w:rsidR="007B37F3">
        <w:rPr>
          <w:rFonts w:ascii="Times New Roman" w:hAnsi="Times New Roman" w:cs="Times New Roman"/>
        </w:rPr>
        <w:t>t</w:t>
      </w:r>
      <w:r>
        <w:rPr>
          <w:rFonts w:ascii="Times New Roman" w:hAnsi="Times New Roman" w:cs="Times New Roman"/>
        </w:rPr>
        <w:t>est assessing the feasibility of a</w:t>
      </w:r>
      <w:r w:rsidR="003A2105">
        <w:rPr>
          <w:rFonts w:ascii="Times New Roman" w:hAnsi="Times New Roman" w:cs="Times New Roman"/>
        </w:rPr>
        <w:t>n</w:t>
      </w:r>
      <w:r>
        <w:rPr>
          <w:rFonts w:ascii="Times New Roman" w:hAnsi="Times New Roman" w:cs="Times New Roman"/>
        </w:rPr>
        <w:t xml:space="preserve"> NRS specific to ORUs. Both </w:t>
      </w:r>
      <w:r w:rsidRPr="00C02E7E">
        <w:rPr>
          <w:rFonts w:ascii="Times New Roman" w:hAnsi="Times New Roman" w:cs="Times New Roman"/>
        </w:rPr>
        <w:t>will collect breath and oral fluid</w:t>
      </w:r>
      <w:r>
        <w:rPr>
          <w:rFonts w:ascii="Times New Roman" w:hAnsi="Times New Roman" w:cs="Times New Roman"/>
        </w:rPr>
        <w:t xml:space="preserve"> specimens</w:t>
      </w:r>
      <w:r w:rsidRPr="00C02E7E">
        <w:rPr>
          <w:rFonts w:ascii="Times New Roman" w:hAnsi="Times New Roman" w:cs="Times New Roman"/>
        </w:rPr>
        <w:t xml:space="preserve">, </w:t>
      </w:r>
      <w:r w:rsidRPr="00707A0C">
        <w:rPr>
          <w:rFonts w:ascii="Times New Roman" w:hAnsi="Times New Roman" w:cs="Times New Roman"/>
        </w:rPr>
        <w:t>demographic information,</w:t>
      </w:r>
      <w:r w:rsidRPr="00C02E7E">
        <w:rPr>
          <w:rFonts w:ascii="Times New Roman" w:hAnsi="Times New Roman" w:cs="Times New Roman"/>
        </w:rPr>
        <w:t xml:space="preserve"> and self-report </w:t>
      </w:r>
      <w:r>
        <w:rPr>
          <w:rFonts w:ascii="Times New Roman" w:hAnsi="Times New Roman" w:cs="Times New Roman"/>
        </w:rPr>
        <w:t>questionnaire</w:t>
      </w:r>
      <w:r w:rsidRPr="00C02E7E">
        <w:rPr>
          <w:rFonts w:ascii="Times New Roman" w:hAnsi="Times New Roman" w:cs="Times New Roman"/>
        </w:rPr>
        <w:t xml:space="preserve"> data on</w:t>
      </w:r>
      <w:r>
        <w:rPr>
          <w:rFonts w:ascii="Times New Roman" w:hAnsi="Times New Roman" w:cs="Times New Roman"/>
        </w:rPr>
        <w:t xml:space="preserve"> </w:t>
      </w:r>
      <w:r w:rsidRPr="00C02E7E">
        <w:rPr>
          <w:rFonts w:ascii="Times New Roman" w:hAnsi="Times New Roman" w:cs="Times New Roman"/>
        </w:rPr>
        <w:t xml:space="preserve">roads across the </w:t>
      </w:r>
      <w:r>
        <w:rPr>
          <w:rFonts w:ascii="Times New Roman" w:hAnsi="Times New Roman" w:cs="Times New Roman"/>
        </w:rPr>
        <w:t>country</w:t>
      </w:r>
      <w:r w:rsidRPr="00C02E7E">
        <w:rPr>
          <w:rFonts w:ascii="Times New Roman" w:hAnsi="Times New Roman" w:cs="Times New Roman"/>
        </w:rPr>
        <w:t xml:space="preserve">. </w:t>
      </w:r>
      <w:r>
        <w:rPr>
          <w:rFonts w:ascii="Times New Roman" w:hAnsi="Times New Roman" w:cs="Times New Roman"/>
        </w:rPr>
        <w:t>P</w:t>
      </w:r>
      <w:r w:rsidRPr="00C02E7E">
        <w:rPr>
          <w:rFonts w:ascii="Times New Roman" w:hAnsi="Times New Roman" w:cs="Times New Roman"/>
        </w:rPr>
        <w:t xml:space="preserve">articipation </w:t>
      </w:r>
      <w:r>
        <w:rPr>
          <w:rFonts w:ascii="Times New Roman" w:hAnsi="Times New Roman" w:cs="Times New Roman"/>
        </w:rPr>
        <w:t>will be</w:t>
      </w:r>
      <w:r w:rsidRPr="00C02E7E">
        <w:rPr>
          <w:rFonts w:ascii="Times New Roman" w:hAnsi="Times New Roman" w:cs="Times New Roman"/>
        </w:rPr>
        <w:t xml:space="preserve"> voluntary</w:t>
      </w:r>
      <w:r>
        <w:rPr>
          <w:rFonts w:ascii="Times New Roman" w:hAnsi="Times New Roman" w:cs="Times New Roman"/>
        </w:rPr>
        <w:t xml:space="preserve"> and anonymous</w:t>
      </w:r>
      <w:r w:rsidRPr="00C02E7E">
        <w:rPr>
          <w:rFonts w:ascii="Times New Roman" w:hAnsi="Times New Roman" w:cs="Times New Roman"/>
        </w:rPr>
        <w:t>.</w:t>
      </w:r>
      <w:r>
        <w:rPr>
          <w:rFonts w:ascii="Times New Roman" w:hAnsi="Times New Roman" w:cs="Times New Roman"/>
        </w:rPr>
        <w:t xml:space="preserve"> Study protocols will be reviewed by a U.S. Department of Health and Human Services-approved Institutional Review Board (IRB). The only personal identifiable information (PII) collected is oral fluid. No DNA analyses will be conducted on the oral fluid specimens. These will only be analyzed for the presence of alcohol and other drugs, and specimens will be destroyed after the study is complete. The results will be reported in aggregate form in research reports. NHTSA anticipates obtaining a Certificate of Confidentiality from the National Institutes of Health (NIH).</w:t>
      </w:r>
    </w:p>
    <w:p w:rsidR="00520410" w:rsidP="00520410" w14:paraId="6C8E9151" w14:textId="77777777">
      <w:pPr>
        <w:pStyle w:val="Default"/>
        <w:rPr>
          <w:rFonts w:ascii="Times New Roman" w:hAnsi="Times New Roman" w:cs="Times New Roman"/>
        </w:rPr>
      </w:pPr>
    </w:p>
    <w:p w:rsidR="00520410" w:rsidP="00520410" w14:paraId="3469BB6D" w14:textId="3D79A104">
      <w:pPr>
        <w:pStyle w:val="Default"/>
        <w:rPr>
          <w:rFonts w:ascii="Times New Roman" w:hAnsi="Times New Roman" w:cs="Times New Roman"/>
        </w:rPr>
      </w:pPr>
      <w:r w:rsidRPr="00704736">
        <w:rPr>
          <w:rFonts w:ascii="Times New Roman" w:hAnsi="Times New Roman" w:cs="Times New Roman"/>
          <w:i/>
          <w:iCs/>
        </w:rPr>
        <w:t>Study 1 / National Roadside Surve</w:t>
      </w:r>
      <w:r>
        <w:rPr>
          <w:rFonts w:ascii="Times New Roman" w:hAnsi="Times New Roman" w:cs="Times New Roman"/>
          <w:i/>
          <w:iCs/>
        </w:rPr>
        <w:t>y</w:t>
      </w:r>
      <w:r w:rsidRPr="00704736">
        <w:rPr>
          <w:rFonts w:ascii="Times New Roman" w:hAnsi="Times New Roman" w:cs="Times New Roman"/>
          <w:i/>
          <w:iCs/>
        </w:rPr>
        <w:t>.</w:t>
      </w:r>
      <w:r>
        <w:rPr>
          <w:rFonts w:ascii="Times New Roman" w:hAnsi="Times New Roman" w:cs="Times New Roman"/>
        </w:rPr>
        <w:t xml:space="preserve"> This request is a voluntary, one-time survey. This survey follows the prior NRS methodology but additionally includes recruiting ORUs who are passing data collection locations. </w:t>
      </w:r>
      <w:r w:rsidRPr="00C02E7E">
        <w:rPr>
          <w:rFonts w:ascii="Times New Roman" w:hAnsi="Times New Roman" w:cs="Times New Roman"/>
        </w:rPr>
        <w:t xml:space="preserve">Data collection will occur </w:t>
      </w:r>
      <w:r>
        <w:rPr>
          <w:rFonts w:ascii="Times New Roman" w:hAnsi="Times New Roman" w:cs="Times New Roman"/>
        </w:rPr>
        <w:t>in</w:t>
      </w:r>
      <w:r w:rsidRPr="00C02E7E">
        <w:rPr>
          <w:rFonts w:ascii="Times New Roman" w:hAnsi="Times New Roman" w:cs="Times New Roman"/>
        </w:rPr>
        <w:t xml:space="preserve"> 60</w:t>
      </w:r>
      <w:r>
        <w:rPr>
          <w:rFonts w:ascii="Times New Roman" w:hAnsi="Times New Roman" w:cs="Times New Roman"/>
        </w:rPr>
        <w:t xml:space="preserve"> primary sampling units (PSUs) using 5 locations </w:t>
      </w:r>
      <w:r w:rsidR="00297C10">
        <w:rPr>
          <w:rFonts w:ascii="Times New Roman" w:hAnsi="Times New Roman" w:cs="Times New Roman"/>
        </w:rPr>
        <w:t xml:space="preserve">at </w:t>
      </w:r>
      <w:r>
        <w:rPr>
          <w:rFonts w:ascii="Times New Roman" w:hAnsi="Times New Roman" w:cs="Times New Roman"/>
        </w:rPr>
        <w:t>each</w:t>
      </w:r>
      <w:r w:rsidR="00297C10">
        <w:rPr>
          <w:rFonts w:ascii="Times New Roman" w:hAnsi="Times New Roman" w:cs="Times New Roman"/>
        </w:rPr>
        <w:t xml:space="preserve"> PSU</w:t>
      </w:r>
      <w:r>
        <w:rPr>
          <w:rFonts w:ascii="Times New Roman" w:hAnsi="Times New Roman" w:cs="Times New Roman"/>
        </w:rPr>
        <w:t xml:space="preserve"> </w:t>
      </w:r>
      <w:r w:rsidR="001D5DC9">
        <w:rPr>
          <w:rFonts w:ascii="Times New Roman" w:hAnsi="Times New Roman" w:cs="Times New Roman"/>
        </w:rPr>
        <w:t>(</w:t>
      </w:r>
      <w:r>
        <w:rPr>
          <w:rFonts w:ascii="Times New Roman" w:hAnsi="Times New Roman" w:cs="Times New Roman"/>
        </w:rPr>
        <w:t>300 locations</w:t>
      </w:r>
      <w:r w:rsidR="00297C10">
        <w:rPr>
          <w:rFonts w:ascii="Times New Roman" w:hAnsi="Times New Roman" w:cs="Times New Roman"/>
        </w:rPr>
        <w:t xml:space="preserve"> total</w:t>
      </w:r>
      <w:r w:rsidR="001D5DC9">
        <w:rPr>
          <w:rFonts w:ascii="Times New Roman" w:hAnsi="Times New Roman" w:cs="Times New Roman"/>
        </w:rPr>
        <w:t>)</w:t>
      </w:r>
      <w:r>
        <w:rPr>
          <w:rFonts w:ascii="Times New Roman" w:hAnsi="Times New Roman" w:cs="Times New Roman"/>
        </w:rPr>
        <w:t>.</w:t>
      </w:r>
      <w:r w:rsidRPr="00C02E7E">
        <w:rPr>
          <w:rFonts w:ascii="Times New Roman" w:hAnsi="Times New Roman" w:cs="Times New Roman"/>
        </w:rPr>
        <w:t xml:space="preserve"> </w:t>
      </w:r>
      <w:r>
        <w:rPr>
          <w:rFonts w:ascii="Times New Roman" w:hAnsi="Times New Roman" w:cs="Times New Roman"/>
        </w:rPr>
        <w:t xml:space="preserve">There will be a single data collection event at each location. The biological samples will be sent to a toxicology lab for testing of the presence of alcohol and other drugs. Participants’ responses to survey questions on the use of drugs and traffic safety-related behaviors and attitudes will also be analyzed. </w:t>
      </w:r>
    </w:p>
    <w:p w:rsidR="00520410" w:rsidP="00520410" w14:paraId="574806C2" w14:textId="77777777">
      <w:pPr>
        <w:pStyle w:val="Default"/>
        <w:rPr>
          <w:rFonts w:ascii="Times New Roman" w:hAnsi="Times New Roman" w:cs="Times New Roman"/>
        </w:rPr>
      </w:pPr>
    </w:p>
    <w:p w:rsidR="00520410" w:rsidP="00520410" w14:paraId="0138293B" w14:textId="27E3346E">
      <w:pPr>
        <w:pStyle w:val="Default"/>
        <w:rPr>
          <w:rFonts w:ascii="Times New Roman" w:hAnsi="Times New Roman" w:cs="Times New Roman"/>
        </w:rPr>
      </w:pPr>
      <w:r w:rsidRPr="00704736">
        <w:rPr>
          <w:rFonts w:ascii="Times New Roman" w:hAnsi="Times New Roman" w:cs="Times New Roman"/>
          <w:i/>
          <w:iCs/>
        </w:rPr>
        <w:t>Study 2 / Pilot Test for Other Road Users.</w:t>
      </w:r>
      <w:r>
        <w:rPr>
          <w:rFonts w:ascii="Times New Roman" w:hAnsi="Times New Roman" w:cs="Times New Roman"/>
        </w:rPr>
        <w:t xml:space="preserve"> Study 2 examines the viability of a stand-alone roadside survey focused solely on ORUs. This effort uses 20 new data collection locations, inclusive of 4 PSUs with 5 locations each. This effort is to inform NHTSA on the feasibility of such a targeted roadside survey</w:t>
      </w:r>
      <w:r w:rsidR="00B12A28">
        <w:rPr>
          <w:rFonts w:ascii="Times New Roman" w:hAnsi="Times New Roman" w:cs="Times New Roman"/>
        </w:rPr>
        <w:t xml:space="preserve"> </w:t>
      </w:r>
      <w:r>
        <w:rPr>
          <w:rFonts w:ascii="Times New Roman" w:hAnsi="Times New Roman" w:cs="Times New Roman"/>
        </w:rPr>
        <w:t>and to determine the level of effort to execute a nationwide study of ORUs. The same procedures as Study 1 will be used.</w:t>
      </w:r>
    </w:p>
    <w:p w:rsidR="00520410" w:rsidP="00520410" w14:paraId="62926D5C" w14:textId="77777777">
      <w:pPr>
        <w:pStyle w:val="Default"/>
        <w:rPr>
          <w:rFonts w:ascii="Times New Roman" w:hAnsi="Times New Roman" w:cs="Times New Roman"/>
        </w:rPr>
      </w:pPr>
    </w:p>
    <w:p w:rsidR="00520410" w:rsidRPr="00C02E7E" w:rsidP="00520410" w14:paraId="267A53B7" w14:textId="77777777">
      <w:pPr>
        <w:pStyle w:val="Default"/>
        <w:rPr>
          <w:rFonts w:ascii="Times New Roman" w:hAnsi="Times New Roman" w:cs="Times New Roman"/>
        </w:rPr>
      </w:pPr>
      <w:r w:rsidRPr="00C02E7E">
        <w:rPr>
          <w:rFonts w:ascii="Times New Roman" w:hAnsi="Times New Roman" w:cs="Times New Roman"/>
        </w:rPr>
        <w:t>NHTSA will use the information</w:t>
      </w:r>
      <w:r>
        <w:rPr>
          <w:rFonts w:ascii="Times New Roman" w:hAnsi="Times New Roman" w:cs="Times New Roman"/>
        </w:rPr>
        <w:t xml:space="preserve"> from both studies</w:t>
      </w:r>
      <w:r w:rsidRPr="00C02E7E">
        <w:rPr>
          <w:rFonts w:ascii="Times New Roman" w:hAnsi="Times New Roman" w:cs="Times New Roman"/>
        </w:rPr>
        <w:t xml:space="preserve"> to produce technical report</w:t>
      </w:r>
      <w:r>
        <w:rPr>
          <w:rFonts w:ascii="Times New Roman" w:hAnsi="Times New Roman" w:cs="Times New Roman"/>
        </w:rPr>
        <w:t xml:space="preserve">s </w:t>
      </w:r>
      <w:r w:rsidRPr="00C02E7E">
        <w:rPr>
          <w:rFonts w:ascii="Times New Roman" w:hAnsi="Times New Roman" w:cs="Times New Roman"/>
        </w:rPr>
        <w:t>present</w:t>
      </w:r>
      <w:r>
        <w:rPr>
          <w:rFonts w:ascii="Times New Roman" w:hAnsi="Times New Roman" w:cs="Times New Roman"/>
        </w:rPr>
        <w:t>ing</w:t>
      </w:r>
      <w:r w:rsidRPr="00C02E7E">
        <w:rPr>
          <w:rFonts w:ascii="Times New Roman" w:hAnsi="Times New Roman" w:cs="Times New Roman"/>
        </w:rPr>
        <w:t xml:space="preserve"> the </w:t>
      </w:r>
      <w:r>
        <w:rPr>
          <w:rFonts w:ascii="Times New Roman" w:hAnsi="Times New Roman" w:cs="Times New Roman"/>
        </w:rPr>
        <w:t>findings</w:t>
      </w:r>
      <w:r w:rsidRPr="00C02E7E">
        <w:rPr>
          <w:rFonts w:ascii="Times New Roman" w:hAnsi="Times New Roman" w:cs="Times New Roman"/>
        </w:rPr>
        <w:t>. The technical report</w:t>
      </w:r>
      <w:r>
        <w:rPr>
          <w:rFonts w:ascii="Times New Roman" w:hAnsi="Times New Roman" w:cs="Times New Roman"/>
        </w:rPr>
        <w:t>s</w:t>
      </w:r>
      <w:r w:rsidRPr="00C02E7E">
        <w:rPr>
          <w:rFonts w:ascii="Times New Roman" w:hAnsi="Times New Roman" w:cs="Times New Roman"/>
        </w:rPr>
        <w:t xml:space="preserve"> will provide only aggregate (summary) statistics and tables; no </w:t>
      </w:r>
      <w:r>
        <w:rPr>
          <w:rFonts w:ascii="Times New Roman" w:hAnsi="Times New Roman" w:cs="Times New Roman"/>
        </w:rPr>
        <w:t>PII</w:t>
      </w:r>
      <w:r w:rsidRPr="00C02E7E">
        <w:rPr>
          <w:rFonts w:ascii="Times New Roman" w:hAnsi="Times New Roman" w:cs="Times New Roman"/>
        </w:rPr>
        <w:t xml:space="preserve"> will be</w:t>
      </w:r>
      <w:r>
        <w:rPr>
          <w:rFonts w:ascii="Times New Roman" w:hAnsi="Times New Roman" w:cs="Times New Roman"/>
        </w:rPr>
        <w:t xml:space="preserve"> retained or</w:t>
      </w:r>
      <w:r w:rsidRPr="00C02E7E">
        <w:rPr>
          <w:rFonts w:ascii="Times New Roman" w:hAnsi="Times New Roman" w:cs="Times New Roman"/>
        </w:rPr>
        <w:t xml:space="preserve"> </w:t>
      </w:r>
      <w:r>
        <w:rPr>
          <w:rFonts w:ascii="Times New Roman" w:hAnsi="Times New Roman" w:cs="Times New Roman"/>
        </w:rPr>
        <w:t>reported</w:t>
      </w:r>
      <w:r w:rsidRPr="00C02E7E">
        <w:rPr>
          <w:rFonts w:ascii="Times New Roman" w:hAnsi="Times New Roman" w:cs="Times New Roman"/>
        </w:rPr>
        <w:t>. The</w:t>
      </w:r>
      <w:r>
        <w:rPr>
          <w:rFonts w:ascii="Times New Roman" w:hAnsi="Times New Roman" w:cs="Times New Roman"/>
        </w:rPr>
        <w:t xml:space="preserve"> Study 1</w:t>
      </w:r>
      <w:r w:rsidRPr="00C02E7E">
        <w:rPr>
          <w:rFonts w:ascii="Times New Roman" w:hAnsi="Times New Roman" w:cs="Times New Roman"/>
        </w:rPr>
        <w:t xml:space="preserve"> technical report </w:t>
      </w:r>
      <w:r>
        <w:rPr>
          <w:rFonts w:ascii="Times New Roman" w:hAnsi="Times New Roman" w:cs="Times New Roman"/>
        </w:rPr>
        <w:t xml:space="preserve">is for </w:t>
      </w:r>
      <w:r w:rsidRPr="00C02E7E">
        <w:rPr>
          <w:rFonts w:ascii="Times New Roman" w:hAnsi="Times New Roman" w:cs="Times New Roman"/>
        </w:rPr>
        <w:t xml:space="preserve">audiences interested in </w:t>
      </w:r>
      <w:r>
        <w:rPr>
          <w:rFonts w:ascii="Times New Roman" w:hAnsi="Times New Roman" w:cs="Times New Roman"/>
        </w:rPr>
        <w:t xml:space="preserve">traffic </w:t>
      </w:r>
      <w:r w:rsidRPr="00C02E7E">
        <w:rPr>
          <w:rFonts w:ascii="Times New Roman" w:hAnsi="Times New Roman" w:cs="Times New Roman"/>
        </w:rPr>
        <w:t xml:space="preserve">safety. </w:t>
      </w:r>
      <w:r>
        <w:rPr>
          <w:rFonts w:ascii="Times New Roman" w:hAnsi="Times New Roman" w:cs="Times New Roman"/>
        </w:rPr>
        <w:t xml:space="preserve">The information from Study 2 will also be used by NHTSA in consideration of research on ORUs. </w:t>
      </w:r>
    </w:p>
    <w:p w:rsidR="00057FF5" w:rsidRPr="00C02E7E" w:rsidP="00091FD6" w14:paraId="3640E77F" w14:textId="36849862">
      <w:pPr>
        <w:pStyle w:val="Default"/>
        <w:rPr>
          <w:rFonts w:ascii="Times New Roman" w:hAnsi="Times New Roman" w:cs="Times New Roman"/>
        </w:rPr>
      </w:pPr>
      <w:bookmarkStart w:id="4" w:name="_Hlk136433956"/>
      <w:bookmarkEnd w:id="3"/>
    </w:p>
    <w:bookmarkEnd w:id="4"/>
    <w:p w:rsidR="009B685A" w:rsidP="0010164A" w14:paraId="2A601BF6" w14:textId="77777777">
      <w:pPr>
        <w:pStyle w:val="Default"/>
        <w:rPr>
          <w:rFonts w:ascii="Times New Roman" w:hAnsi="Times New Roman" w:cs="Times New Roman"/>
        </w:rPr>
      </w:pPr>
    </w:p>
    <w:p w:rsidR="005B647F" w:rsidRPr="00C02E7E" w:rsidP="002E7E08" w14:paraId="4830C80C" w14:textId="77777777">
      <w:pPr>
        <w:pStyle w:val="Heading1"/>
      </w:pPr>
      <w:bookmarkStart w:id="5" w:name="_Toc125278832"/>
      <w:bookmarkStart w:id="6" w:name="_Toc125341755"/>
      <w:bookmarkStart w:id="7" w:name="_Toc125447313"/>
      <w:bookmarkStart w:id="8" w:name="_Toc126394140"/>
      <w:bookmarkEnd w:id="5"/>
      <w:bookmarkEnd w:id="6"/>
      <w:bookmarkEnd w:id="7"/>
      <w:bookmarkEnd w:id="8"/>
      <w:r w:rsidRPr="00C02E7E">
        <w:t>B.1.</w:t>
      </w:r>
      <w:r w:rsidRPr="00C02E7E">
        <w:tab/>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02E7E">
        <w:t>collection as a whole</w:t>
      </w:r>
      <w:r w:rsidRPr="00C02E7E">
        <w:t>. If the collection had been conducted previously, include the actual response rate achieved during the last collection. Response rate means -- of those in your respondent sample, from what percentage do you expect to get the required information (if this is not a mandatory collection). The non-respondents would include those you could not contact, as well as those you contacted but who refused to give the information.</w:t>
      </w:r>
    </w:p>
    <w:p w:rsidR="00596D3A" w:rsidP="00E3616E" w14:paraId="241C8664" w14:textId="1BAE44E7">
      <w:pPr>
        <w:spacing w:before="240"/>
        <w:jc w:val="center"/>
        <w:rPr>
          <w:rFonts w:eastAsia="Calibri"/>
        </w:rPr>
      </w:pPr>
      <w:r w:rsidRPr="00E3616E">
        <w:rPr>
          <w:rFonts w:eastAsia="Calibri"/>
          <w:b/>
          <w:bCs/>
        </w:rPr>
        <w:t xml:space="preserve">Study 1: </w:t>
      </w:r>
      <w:r w:rsidRPr="00E3616E" w:rsidR="00423DE0">
        <w:rPr>
          <w:rFonts w:eastAsia="Calibri"/>
          <w:b/>
          <w:bCs/>
        </w:rPr>
        <w:t xml:space="preserve">National Roadside </w:t>
      </w:r>
      <w:r w:rsidRPr="00E3616E" w:rsidR="004F16D9">
        <w:rPr>
          <w:rFonts w:eastAsia="Calibri"/>
          <w:b/>
          <w:bCs/>
        </w:rPr>
        <w:t>Survey</w:t>
      </w:r>
      <w:r w:rsidRPr="00E3616E" w:rsidR="0025778C">
        <w:rPr>
          <w:rFonts w:eastAsia="Calibri"/>
          <w:b/>
          <w:bCs/>
        </w:rPr>
        <w:t xml:space="preserve"> (</w:t>
      </w:r>
      <w:r w:rsidR="00E3616E">
        <w:rPr>
          <w:rFonts w:eastAsia="Calibri"/>
          <w:b/>
          <w:bCs/>
        </w:rPr>
        <w:t>D</w:t>
      </w:r>
      <w:r w:rsidRPr="00E3616E" w:rsidR="0025778C">
        <w:rPr>
          <w:rFonts w:eastAsia="Calibri"/>
          <w:b/>
          <w:bCs/>
        </w:rPr>
        <w:t>rivers and ORUs)</w:t>
      </w:r>
    </w:p>
    <w:p w:rsidR="00E3616E" w:rsidP="00F23594" w14:paraId="60E24687" w14:textId="77777777">
      <w:pPr>
        <w:spacing w:line="240" w:lineRule="auto"/>
        <w:rPr>
          <w:rFonts w:eastAsia="Calibri"/>
          <w:b/>
          <w:bCs/>
        </w:rPr>
      </w:pPr>
    </w:p>
    <w:p w:rsidR="0025778C" w:rsidRPr="00E3616E" w:rsidP="00F23594" w14:paraId="6146D016" w14:textId="74E3C3FA">
      <w:pPr>
        <w:spacing w:line="240" w:lineRule="auto"/>
        <w:rPr>
          <w:rFonts w:eastAsia="Calibri"/>
          <w:b/>
          <w:bCs/>
        </w:rPr>
      </w:pPr>
      <w:r w:rsidRPr="00E3616E">
        <w:rPr>
          <w:rFonts w:eastAsia="Calibri"/>
          <w:b/>
          <w:bCs/>
        </w:rPr>
        <w:t>Driver</w:t>
      </w:r>
      <w:r w:rsidRPr="00E3616E" w:rsidR="00C6414D">
        <w:rPr>
          <w:rFonts w:eastAsia="Calibri"/>
          <w:b/>
          <w:bCs/>
        </w:rPr>
        <w:t xml:space="preserve"> Sampling</w:t>
      </w:r>
    </w:p>
    <w:p w:rsidR="00102C68" w:rsidRPr="00C02E7E" w:rsidP="00F23594" w14:paraId="4E3287CC" w14:textId="68EA60AA">
      <w:pPr>
        <w:spacing w:line="240" w:lineRule="auto"/>
      </w:pPr>
      <w:r>
        <w:rPr>
          <w:rFonts w:eastAsia="Calibri"/>
        </w:rPr>
        <w:t xml:space="preserve">The </w:t>
      </w:r>
      <w:r w:rsidR="00EF2A66">
        <w:rPr>
          <w:rFonts w:eastAsia="Calibri"/>
        </w:rPr>
        <w:t xml:space="preserve">Study 1 </w:t>
      </w:r>
      <w:r w:rsidRPr="00C02E7E" w:rsidR="00C02E7E">
        <w:rPr>
          <w:rFonts w:eastAsia="Calibri"/>
        </w:rPr>
        <w:t xml:space="preserve">potential respondent universe </w:t>
      </w:r>
      <w:r w:rsidR="000C0AC1">
        <w:rPr>
          <w:rFonts w:eastAsia="Calibri"/>
        </w:rPr>
        <w:t>will be</w:t>
      </w:r>
      <w:r w:rsidRPr="00C02E7E" w:rsidR="00C02E7E">
        <w:rPr>
          <w:rFonts w:eastAsia="Calibri"/>
        </w:rPr>
        <w:t xml:space="preserve"> </w:t>
      </w:r>
      <w:r w:rsidRPr="24F88664" w:rsidR="00C02E7E">
        <w:rPr>
          <w:rFonts w:eastAsia="Calibri"/>
        </w:rPr>
        <w:t>comp</w:t>
      </w:r>
      <w:r w:rsidRPr="24F88664" w:rsidR="3ABC4D34">
        <w:rPr>
          <w:rFonts w:eastAsia="Calibri"/>
        </w:rPr>
        <w:t>osed</w:t>
      </w:r>
      <w:r w:rsidRPr="00C02E7E" w:rsidR="00C02E7E">
        <w:rPr>
          <w:rFonts w:eastAsia="Calibri"/>
        </w:rPr>
        <w:t xml:space="preserve"> of all drivers</w:t>
      </w:r>
      <w:r w:rsidR="00924C8D">
        <w:rPr>
          <w:rFonts w:eastAsia="Calibri"/>
        </w:rPr>
        <w:t xml:space="preserve"> of passenger vehicles</w:t>
      </w:r>
      <w:r w:rsidRPr="00C02E7E" w:rsidR="00C02E7E">
        <w:rPr>
          <w:rFonts w:eastAsia="Calibri"/>
        </w:rPr>
        <w:t xml:space="preserve"> </w:t>
      </w:r>
      <w:r>
        <w:rPr>
          <w:rFonts w:eastAsia="Calibri"/>
        </w:rPr>
        <w:t>on</w:t>
      </w:r>
      <w:r w:rsidR="00755772">
        <w:rPr>
          <w:rFonts w:eastAsia="Calibri"/>
        </w:rPr>
        <w:t xml:space="preserve"> trips on</w:t>
      </w:r>
      <w:r>
        <w:rPr>
          <w:rFonts w:eastAsia="Calibri"/>
        </w:rPr>
        <w:t xml:space="preserve"> </w:t>
      </w:r>
      <w:r w:rsidR="002A670A">
        <w:rPr>
          <w:rFonts w:eastAsia="Calibri"/>
        </w:rPr>
        <w:t>trafficways</w:t>
      </w:r>
      <w:r>
        <w:rPr>
          <w:rFonts w:eastAsia="Calibri"/>
        </w:rPr>
        <w:t xml:space="preserve"> in the lower 48 States and District of Columbia on the days</w:t>
      </w:r>
      <w:r w:rsidR="00924C8D">
        <w:rPr>
          <w:rFonts w:eastAsia="Calibri"/>
        </w:rPr>
        <w:t xml:space="preserve"> of the week</w:t>
      </w:r>
      <w:r>
        <w:rPr>
          <w:rFonts w:eastAsia="Calibri"/>
        </w:rPr>
        <w:t xml:space="preserve"> and times </w:t>
      </w:r>
      <w:r w:rsidR="00924C8D">
        <w:rPr>
          <w:rFonts w:eastAsia="Calibri"/>
        </w:rPr>
        <w:t>of day</w:t>
      </w:r>
      <w:r>
        <w:t xml:space="preserve"> as follows</w:t>
      </w:r>
      <w:r w:rsidRPr="00C02E7E">
        <w:t xml:space="preserve">: </w:t>
      </w:r>
    </w:p>
    <w:p w:rsidR="00102C68" w:rsidRPr="00C02E7E" w:rsidP="00F23594" w14:paraId="03906F9C" w14:textId="0761ED25">
      <w:pPr>
        <w:pStyle w:val="ListParagraph"/>
        <w:widowControl w:val="0"/>
        <w:numPr>
          <w:ilvl w:val="0"/>
          <w:numId w:val="2"/>
        </w:numPr>
        <w:spacing w:after="0" w:line="240" w:lineRule="auto"/>
        <w:rPr>
          <w:rFonts w:ascii="Times New Roman" w:hAnsi="Times New Roman" w:cs="Times New Roman"/>
          <w:sz w:val="24"/>
          <w:szCs w:val="24"/>
        </w:rPr>
      </w:pPr>
      <w:r w:rsidRPr="00C02E7E">
        <w:rPr>
          <w:rFonts w:ascii="Times New Roman" w:hAnsi="Times New Roman" w:cs="Times New Roman"/>
          <w:sz w:val="24"/>
          <w:szCs w:val="24"/>
        </w:rPr>
        <w:t xml:space="preserve">Friday daytime – 9:30 a.m. to 11:30 a.m.  </w:t>
      </w:r>
      <w:r w:rsidRPr="00684503" w:rsidR="00F745D6">
        <w:rPr>
          <w:rFonts w:ascii="Times New Roman" w:hAnsi="Times New Roman" w:cs="Times New Roman"/>
          <w:i/>
          <w:iCs/>
          <w:sz w:val="24"/>
          <w:szCs w:val="24"/>
        </w:rPr>
        <w:t>or</w:t>
      </w:r>
      <w:r w:rsidR="00F745D6">
        <w:rPr>
          <w:rFonts w:ascii="Times New Roman" w:hAnsi="Times New Roman" w:cs="Times New Roman"/>
          <w:i/>
          <w:iCs/>
          <w:sz w:val="24"/>
          <w:szCs w:val="24"/>
        </w:rPr>
        <w:t xml:space="preserve"> </w:t>
      </w:r>
      <w:r w:rsidRPr="00C02E7E">
        <w:rPr>
          <w:rFonts w:ascii="Times New Roman" w:hAnsi="Times New Roman" w:cs="Times New Roman"/>
          <w:sz w:val="24"/>
          <w:szCs w:val="24"/>
        </w:rPr>
        <w:t xml:space="preserve">1:30 p.m. to 3:30 p.m. </w:t>
      </w:r>
    </w:p>
    <w:p w:rsidR="00102C68" w:rsidRPr="00C02E7E" w:rsidP="00F23594" w14:paraId="5716669F" w14:textId="1C90AACF">
      <w:pPr>
        <w:pStyle w:val="ListParagraph"/>
        <w:widowControl w:val="0"/>
        <w:numPr>
          <w:ilvl w:val="0"/>
          <w:numId w:val="2"/>
        </w:numPr>
        <w:spacing w:after="0" w:line="240" w:lineRule="auto"/>
        <w:rPr>
          <w:rFonts w:ascii="Times New Roman" w:hAnsi="Times New Roman" w:cs="Times New Roman"/>
          <w:sz w:val="24"/>
          <w:szCs w:val="24"/>
        </w:rPr>
      </w:pPr>
      <w:r w:rsidRPr="00C02E7E">
        <w:rPr>
          <w:rFonts w:ascii="Times New Roman" w:hAnsi="Times New Roman" w:cs="Times New Roman"/>
          <w:sz w:val="24"/>
          <w:szCs w:val="24"/>
        </w:rPr>
        <w:t>Friday nighttime –</w:t>
      </w:r>
      <w:r w:rsidR="00EE119D">
        <w:rPr>
          <w:rFonts w:ascii="Times New Roman" w:hAnsi="Times New Roman" w:cs="Times New Roman"/>
          <w:sz w:val="24"/>
          <w:szCs w:val="24"/>
        </w:rPr>
        <w:t xml:space="preserve"> </w:t>
      </w:r>
      <w:r w:rsidRPr="00C02E7E">
        <w:rPr>
          <w:rFonts w:ascii="Times New Roman" w:hAnsi="Times New Roman" w:cs="Times New Roman"/>
          <w:sz w:val="24"/>
          <w:szCs w:val="24"/>
        </w:rPr>
        <w:t>10 p.m. to 12 a.m.</w:t>
      </w:r>
    </w:p>
    <w:p w:rsidR="00102C68" w:rsidRPr="00C02E7E" w:rsidP="00F23594" w14:paraId="116BCF63" w14:textId="77777777">
      <w:pPr>
        <w:pStyle w:val="ListParagraph"/>
        <w:widowControl w:val="0"/>
        <w:numPr>
          <w:ilvl w:val="0"/>
          <w:numId w:val="2"/>
        </w:numPr>
        <w:spacing w:after="0" w:line="240" w:lineRule="auto"/>
        <w:rPr>
          <w:rFonts w:ascii="Times New Roman" w:hAnsi="Times New Roman" w:cs="Times New Roman"/>
          <w:sz w:val="24"/>
          <w:szCs w:val="24"/>
        </w:rPr>
      </w:pPr>
      <w:r w:rsidRPr="00C02E7E">
        <w:rPr>
          <w:rFonts w:ascii="Times New Roman" w:hAnsi="Times New Roman" w:cs="Times New Roman"/>
          <w:sz w:val="24"/>
          <w:szCs w:val="24"/>
        </w:rPr>
        <w:t>Saturday early morning – 1 a.m. to 3 a.m.</w:t>
      </w:r>
    </w:p>
    <w:p w:rsidR="00102C68" w:rsidRPr="00C02E7E" w:rsidP="00F23594" w14:paraId="6FFFB279" w14:textId="77777777">
      <w:pPr>
        <w:pStyle w:val="ListParagraph"/>
        <w:widowControl w:val="0"/>
        <w:numPr>
          <w:ilvl w:val="0"/>
          <w:numId w:val="2"/>
        </w:numPr>
        <w:spacing w:after="0" w:line="240" w:lineRule="auto"/>
        <w:rPr>
          <w:rFonts w:ascii="Times New Roman" w:hAnsi="Times New Roman" w:cs="Times New Roman"/>
          <w:sz w:val="24"/>
          <w:szCs w:val="24"/>
        </w:rPr>
      </w:pPr>
      <w:r w:rsidRPr="00C02E7E">
        <w:rPr>
          <w:rFonts w:ascii="Times New Roman" w:hAnsi="Times New Roman" w:cs="Times New Roman"/>
          <w:sz w:val="24"/>
          <w:szCs w:val="24"/>
        </w:rPr>
        <w:t>Saturday nighttime – 10 p.m. to 12 a.m.</w:t>
      </w:r>
    </w:p>
    <w:p w:rsidR="00102C68" w:rsidRPr="00C02E7E" w:rsidP="00F23594" w14:paraId="3F6EBDEC" w14:textId="77777777">
      <w:pPr>
        <w:pStyle w:val="ListParagraph"/>
        <w:widowControl w:val="0"/>
        <w:numPr>
          <w:ilvl w:val="0"/>
          <w:numId w:val="2"/>
        </w:numPr>
        <w:spacing w:after="0" w:line="240" w:lineRule="auto"/>
        <w:rPr>
          <w:rFonts w:ascii="Times New Roman" w:hAnsi="Times New Roman" w:cs="Times New Roman"/>
          <w:sz w:val="24"/>
          <w:szCs w:val="24"/>
        </w:rPr>
      </w:pPr>
      <w:r w:rsidRPr="00C02E7E">
        <w:rPr>
          <w:rFonts w:ascii="Times New Roman" w:hAnsi="Times New Roman" w:cs="Times New Roman"/>
          <w:sz w:val="24"/>
          <w:szCs w:val="24"/>
        </w:rPr>
        <w:t>Sunday early morning – 1 a.m. to 3 a.m.</w:t>
      </w:r>
    </w:p>
    <w:p w:rsidR="00F23594" w:rsidRPr="006408E0" w:rsidP="00F23594" w14:paraId="51A9E2DD" w14:textId="77777777">
      <w:pPr>
        <w:spacing w:line="240" w:lineRule="auto"/>
        <w:rPr>
          <w:rFonts w:eastAsia="Calibri"/>
          <w:sz w:val="16"/>
          <w:szCs w:val="16"/>
        </w:rPr>
      </w:pPr>
    </w:p>
    <w:p w:rsidR="00924C8D" w:rsidP="00F23594" w14:paraId="095FCDAF" w14:textId="2B6BCD52">
      <w:pPr>
        <w:spacing w:line="240" w:lineRule="auto"/>
        <w:rPr>
          <w:rFonts w:eastAsia="Calibri"/>
        </w:rPr>
      </w:pPr>
      <w:r>
        <w:rPr>
          <w:rFonts w:eastAsia="Calibri"/>
        </w:rPr>
        <w:t xml:space="preserve">These are the same days of week and times of day used in the </w:t>
      </w:r>
      <w:r w:rsidR="00423DE0">
        <w:rPr>
          <w:rFonts w:eastAsia="Calibri"/>
        </w:rPr>
        <w:t xml:space="preserve">2007 and </w:t>
      </w:r>
      <w:r>
        <w:rPr>
          <w:rFonts w:eastAsia="Calibri"/>
        </w:rPr>
        <w:t>2013-2014 NRS</w:t>
      </w:r>
      <w:r w:rsidR="00423DE0">
        <w:rPr>
          <w:rFonts w:eastAsia="Calibri"/>
        </w:rPr>
        <w:t>s</w:t>
      </w:r>
      <w:r>
        <w:rPr>
          <w:rFonts w:eastAsia="Calibri"/>
        </w:rPr>
        <w:t xml:space="preserve">. </w:t>
      </w:r>
      <w:r w:rsidRPr="00C02E7E" w:rsidR="00C02E7E">
        <w:rPr>
          <w:rFonts w:eastAsia="Calibri"/>
        </w:rPr>
        <w:t xml:space="preserve">Eligible participants </w:t>
      </w:r>
      <w:r w:rsidR="003D79CA">
        <w:rPr>
          <w:rFonts w:eastAsia="Calibri"/>
        </w:rPr>
        <w:t xml:space="preserve">for Study 1 </w:t>
      </w:r>
      <w:r w:rsidRPr="00C02E7E" w:rsidR="00C02E7E">
        <w:rPr>
          <w:rFonts w:eastAsia="Calibri"/>
        </w:rPr>
        <w:t>will include those 18 years of age</w:t>
      </w:r>
      <w:r w:rsidR="007A3F1D">
        <w:rPr>
          <w:rFonts w:eastAsia="Calibri"/>
        </w:rPr>
        <w:t xml:space="preserve"> </w:t>
      </w:r>
      <w:r w:rsidRPr="00684503" w:rsidR="007A3F1D">
        <w:rPr>
          <w:rFonts w:eastAsia="Calibri"/>
        </w:rPr>
        <w:t>(16 years of age in States</w:t>
      </w:r>
      <w:r w:rsidRPr="00684503" w:rsidR="00D8530E">
        <w:rPr>
          <w:rFonts w:eastAsia="Calibri"/>
        </w:rPr>
        <w:t xml:space="preserve"> where allowed</w:t>
      </w:r>
      <w:r w:rsidRPr="00684503" w:rsidR="007A3F1D">
        <w:rPr>
          <w:rFonts w:eastAsia="Calibri"/>
        </w:rPr>
        <w:t>)</w:t>
      </w:r>
      <w:r w:rsidRPr="00C02E7E" w:rsidR="00C02E7E">
        <w:rPr>
          <w:rFonts w:eastAsia="Calibri"/>
        </w:rPr>
        <w:t xml:space="preserve"> or older who are operating a personal vehicle on the </w:t>
      </w:r>
      <w:r w:rsidR="00423DE0">
        <w:rPr>
          <w:rFonts w:eastAsia="Calibri"/>
        </w:rPr>
        <w:t xml:space="preserve">selected </w:t>
      </w:r>
      <w:r w:rsidRPr="00C02E7E" w:rsidR="00C02E7E">
        <w:rPr>
          <w:rFonts w:eastAsia="Calibri"/>
        </w:rPr>
        <w:t>roadway</w:t>
      </w:r>
      <w:r w:rsidR="00423DE0">
        <w:rPr>
          <w:rFonts w:eastAsia="Calibri"/>
        </w:rPr>
        <w:t>s for data collection</w:t>
      </w:r>
      <w:r w:rsidRPr="00C02E7E" w:rsidR="00C02E7E">
        <w:rPr>
          <w:rFonts w:eastAsia="Calibri"/>
        </w:rPr>
        <w:t xml:space="preserve">. </w:t>
      </w:r>
      <w:r w:rsidR="0032008A">
        <w:rPr>
          <w:rFonts w:eastAsia="Calibri"/>
        </w:rPr>
        <w:t>Additionally,</w:t>
      </w:r>
      <w:r w:rsidR="000C0AC1">
        <w:rPr>
          <w:rFonts w:eastAsia="Calibri"/>
        </w:rPr>
        <w:t xml:space="preserve"> </w:t>
      </w:r>
      <w:r w:rsidR="0032008A">
        <w:rPr>
          <w:rFonts w:eastAsia="Calibri"/>
        </w:rPr>
        <w:t>S</w:t>
      </w:r>
      <w:r w:rsidR="000C0AC1">
        <w:rPr>
          <w:rFonts w:eastAsia="Calibri"/>
        </w:rPr>
        <w:t xml:space="preserve">tudy </w:t>
      </w:r>
      <w:r w:rsidR="0032008A">
        <w:rPr>
          <w:rFonts w:eastAsia="Calibri"/>
        </w:rPr>
        <w:t xml:space="preserve">1 </w:t>
      </w:r>
      <w:r w:rsidR="000C0AC1">
        <w:rPr>
          <w:rFonts w:eastAsia="Calibri"/>
        </w:rPr>
        <w:t xml:space="preserve">will gather information from </w:t>
      </w:r>
      <w:r w:rsidR="007A3F1D">
        <w:rPr>
          <w:rFonts w:eastAsia="Calibri"/>
        </w:rPr>
        <w:t>ORU</w:t>
      </w:r>
      <w:r w:rsidRPr="00C02E7E" w:rsidR="000C0AC1">
        <w:rPr>
          <w:rFonts w:eastAsia="Calibri"/>
        </w:rPr>
        <w:t>s who</w:t>
      </w:r>
      <w:r w:rsidR="000C0AC1">
        <w:rPr>
          <w:rFonts w:eastAsia="Calibri"/>
        </w:rPr>
        <w:t xml:space="preserve"> are traveling </w:t>
      </w:r>
      <w:r w:rsidR="00280050">
        <w:rPr>
          <w:rFonts w:eastAsia="Calibri"/>
        </w:rPr>
        <w:t>around</w:t>
      </w:r>
      <w:r w:rsidR="000C0AC1">
        <w:rPr>
          <w:rFonts w:eastAsia="Calibri"/>
        </w:rPr>
        <w:t xml:space="preserve"> the selected NRS roadways.</w:t>
      </w:r>
      <w:r w:rsidR="00596D3A">
        <w:rPr>
          <w:rFonts w:eastAsia="Calibri"/>
        </w:rPr>
        <w:t xml:space="preserve"> </w:t>
      </w:r>
    </w:p>
    <w:p w:rsidR="00F23594" w:rsidP="00F23594" w14:paraId="2CD8252E" w14:textId="77777777">
      <w:pPr>
        <w:spacing w:line="240" w:lineRule="auto"/>
        <w:rPr>
          <w:rFonts w:eastAsia="Calibri"/>
        </w:rPr>
      </w:pPr>
    </w:p>
    <w:p w:rsidR="00F23594" w:rsidRPr="00684503" w:rsidP="47C812E3" w14:paraId="709C1857" w14:textId="3E0C277D">
      <w:pPr>
        <w:pBdr>
          <w:top w:val="nil"/>
          <w:left w:val="nil"/>
          <w:bottom w:val="nil"/>
          <w:right w:val="nil"/>
          <w:between w:val="nil"/>
        </w:pBdr>
        <w:spacing w:line="240" w:lineRule="auto"/>
        <w:rPr>
          <w:color w:val="000000" w:themeColor="text1"/>
        </w:rPr>
      </w:pPr>
      <w:bookmarkStart w:id="9" w:name="OLE_LINK1"/>
      <w:r w:rsidRPr="47C812E3">
        <w:rPr>
          <w:color w:val="000000" w:themeColor="text1"/>
        </w:rPr>
        <w:t>Logistical considerations for studies such as the NRS require multiple stages of sample selection to ensure that all driv</w:t>
      </w:r>
      <w:r w:rsidRPr="47C812E3" w:rsidR="0074137D">
        <w:rPr>
          <w:color w:val="000000" w:themeColor="text1"/>
        </w:rPr>
        <w:t xml:space="preserve">ers on </w:t>
      </w:r>
      <w:r w:rsidRPr="47C812E3">
        <w:rPr>
          <w:color w:val="000000" w:themeColor="text1"/>
        </w:rPr>
        <w:t>trips</w:t>
      </w:r>
      <w:r w:rsidRPr="47C812E3" w:rsidR="0074137D">
        <w:rPr>
          <w:color w:val="000000" w:themeColor="text1"/>
        </w:rPr>
        <w:t xml:space="preserve"> for the selected days and times</w:t>
      </w:r>
      <w:r w:rsidRPr="47C812E3">
        <w:rPr>
          <w:color w:val="000000" w:themeColor="text1"/>
        </w:rPr>
        <w:t xml:space="preserve"> have representation in the sample. It is not feasible, however, to make a list of all driv</w:t>
      </w:r>
      <w:r w:rsidRPr="47C812E3" w:rsidR="0074137D">
        <w:rPr>
          <w:color w:val="000000" w:themeColor="text1"/>
        </w:rPr>
        <w:t>er</w:t>
      </w:r>
      <w:r w:rsidRPr="47C812E3">
        <w:rPr>
          <w:color w:val="000000" w:themeColor="text1"/>
        </w:rPr>
        <w:t xml:space="preserve"> trips and sample from it. Further, it would not be </w:t>
      </w:r>
      <w:r w:rsidR="00CA1746">
        <w:rPr>
          <w:color w:val="000000" w:themeColor="text1"/>
        </w:rPr>
        <w:t>feasible</w:t>
      </w:r>
      <w:r w:rsidRPr="47C812E3" w:rsidR="00CA1746">
        <w:rPr>
          <w:color w:val="000000" w:themeColor="text1"/>
        </w:rPr>
        <w:t xml:space="preserve"> </w:t>
      </w:r>
      <w:r w:rsidRPr="47C812E3">
        <w:rPr>
          <w:color w:val="000000" w:themeColor="text1"/>
        </w:rPr>
        <w:t>to intercept those driv</w:t>
      </w:r>
      <w:r w:rsidRPr="47C812E3" w:rsidR="00AC5128">
        <w:rPr>
          <w:color w:val="000000" w:themeColor="text1"/>
        </w:rPr>
        <w:t>ers on</w:t>
      </w:r>
      <w:r w:rsidRPr="47C812E3">
        <w:rPr>
          <w:color w:val="000000" w:themeColor="text1"/>
        </w:rPr>
        <w:t xml:space="preserve"> trips because it would require prohibitive staffing levels or travel requirements. Instead, the sample </w:t>
      </w:r>
      <w:r w:rsidR="00CA1746">
        <w:rPr>
          <w:color w:val="000000" w:themeColor="text1"/>
        </w:rPr>
        <w:t>is</w:t>
      </w:r>
      <w:r w:rsidRPr="47C812E3">
        <w:rPr>
          <w:color w:val="000000" w:themeColor="text1"/>
        </w:rPr>
        <w:t xml:space="preserve"> selected in multiple stages, with the first stage consisting of primary sampling units (PSUs) of contiguous and relatively large geographic areas. </w:t>
      </w:r>
      <w:r w:rsidRPr="00684503" w:rsidR="00CA1746">
        <w:rPr>
          <w:color w:val="000000" w:themeColor="text1"/>
        </w:rPr>
        <w:t>Proper selection of PSUs is critical to the representativeness of the study and ensures representativeness of the driver selection strategy used at each location</w:t>
      </w:r>
      <w:r w:rsidRPr="47C812E3" w:rsidR="00CA1746">
        <w:rPr>
          <w:color w:val="000000" w:themeColor="text1"/>
        </w:rPr>
        <w:t xml:space="preserve">. </w:t>
      </w:r>
      <w:r w:rsidR="00647B75">
        <w:rPr>
          <w:color w:val="000000" w:themeColor="text1"/>
        </w:rPr>
        <w:t>Study 1</w:t>
      </w:r>
      <w:r w:rsidR="007900EF">
        <w:rPr>
          <w:color w:val="000000" w:themeColor="text1"/>
        </w:rPr>
        <w:t xml:space="preserve"> </w:t>
      </w:r>
      <w:r w:rsidR="00DB335A">
        <w:rPr>
          <w:color w:val="000000" w:themeColor="text1"/>
        </w:rPr>
        <w:t xml:space="preserve">will </w:t>
      </w:r>
      <w:r w:rsidR="007900EF">
        <w:rPr>
          <w:color w:val="000000" w:themeColor="text1"/>
        </w:rPr>
        <w:t xml:space="preserve">follow procedures </w:t>
      </w:r>
      <w:r w:rsidR="007900EF">
        <w:rPr>
          <w:color w:val="000000" w:themeColor="text1"/>
        </w:rPr>
        <w:t>similar</w:t>
      </w:r>
      <w:r w:rsidR="009724BE">
        <w:rPr>
          <w:color w:val="000000" w:themeColor="text1"/>
        </w:rPr>
        <w:t xml:space="preserve"> to</w:t>
      </w:r>
      <w:r w:rsidR="009724BE">
        <w:rPr>
          <w:color w:val="000000" w:themeColor="text1"/>
        </w:rPr>
        <w:t xml:space="preserve"> those </w:t>
      </w:r>
      <w:r w:rsidR="00E82E2B">
        <w:rPr>
          <w:color w:val="000000" w:themeColor="text1"/>
        </w:rPr>
        <w:t xml:space="preserve">used </w:t>
      </w:r>
      <w:r w:rsidR="009724BE">
        <w:rPr>
          <w:color w:val="000000" w:themeColor="text1"/>
        </w:rPr>
        <w:t xml:space="preserve">in </w:t>
      </w:r>
      <w:r w:rsidRPr="47C812E3" w:rsidR="0064461E">
        <w:rPr>
          <w:color w:val="000000" w:themeColor="text1"/>
        </w:rPr>
        <w:t xml:space="preserve">past NRSs </w:t>
      </w:r>
      <w:r w:rsidR="009724BE">
        <w:rPr>
          <w:color w:val="000000" w:themeColor="text1"/>
        </w:rPr>
        <w:t xml:space="preserve">that </w:t>
      </w:r>
      <w:r w:rsidRPr="47C812E3" w:rsidR="0064461E">
        <w:rPr>
          <w:color w:val="000000" w:themeColor="text1"/>
        </w:rPr>
        <w:t>were designed to reflect the totality of the traffic/roadway experience in the country. PSUs</w:t>
      </w:r>
      <w:r w:rsidR="00E839B5">
        <w:rPr>
          <w:color w:val="000000" w:themeColor="text1"/>
        </w:rPr>
        <w:t xml:space="preserve"> will be</w:t>
      </w:r>
      <w:r w:rsidRPr="47C812E3" w:rsidR="0064461E">
        <w:rPr>
          <w:color w:val="000000" w:themeColor="text1"/>
        </w:rPr>
        <w:t xml:space="preserve"> selected to include all basic geographic regions and various levels of population densities. This </w:t>
      </w:r>
      <w:r w:rsidR="00C96A1A">
        <w:rPr>
          <w:color w:val="000000" w:themeColor="text1"/>
        </w:rPr>
        <w:t>will help</w:t>
      </w:r>
      <w:r w:rsidRPr="47C812E3" w:rsidR="0064461E">
        <w:rPr>
          <w:color w:val="000000" w:themeColor="text1"/>
        </w:rPr>
        <w:t xml:space="preserve"> avoid a bias from selecting drivers from limited geographic and demographic strata. Within PSUs, additional stages of selection</w:t>
      </w:r>
      <w:r w:rsidR="00C96A1A">
        <w:rPr>
          <w:color w:val="000000" w:themeColor="text1"/>
        </w:rPr>
        <w:t xml:space="preserve"> will</w:t>
      </w:r>
      <w:r w:rsidRPr="47C812E3" w:rsidR="0064461E">
        <w:rPr>
          <w:color w:val="000000" w:themeColor="text1"/>
        </w:rPr>
        <w:t xml:space="preserve"> continue until drivers are selected at the final stage and recruited into the </w:t>
      </w:r>
      <w:r w:rsidRPr="47C812E3" w:rsidR="009611EF">
        <w:rPr>
          <w:color w:val="000000" w:themeColor="text1"/>
        </w:rPr>
        <w:t>data collection</w:t>
      </w:r>
      <w:r w:rsidRPr="47C812E3" w:rsidR="0064461E">
        <w:rPr>
          <w:color w:val="000000" w:themeColor="text1"/>
        </w:rPr>
        <w:t xml:space="preserve"> location. </w:t>
      </w:r>
      <w:r w:rsidRPr="47C812E3" w:rsidR="008A7588">
        <w:rPr>
          <w:color w:val="000000" w:themeColor="text1"/>
        </w:rPr>
        <w:t xml:space="preserve">Each of the sampling stages for </w:t>
      </w:r>
      <w:r w:rsidR="0057329F">
        <w:rPr>
          <w:color w:val="000000" w:themeColor="text1"/>
        </w:rPr>
        <w:t xml:space="preserve">Study 1 </w:t>
      </w:r>
      <w:r w:rsidRPr="47C812E3" w:rsidR="008A7588">
        <w:rPr>
          <w:color w:val="000000" w:themeColor="text1"/>
        </w:rPr>
        <w:t xml:space="preserve">are described below. </w:t>
      </w:r>
    </w:p>
    <w:p w:rsidR="00F23594" w:rsidP="47C812E3" w14:paraId="2F5EABA1" w14:textId="77777777">
      <w:pPr>
        <w:pBdr>
          <w:top w:val="nil"/>
          <w:left w:val="nil"/>
          <w:bottom w:val="nil"/>
          <w:right w:val="nil"/>
          <w:between w:val="nil"/>
        </w:pBdr>
        <w:rPr>
          <w:color w:val="000000"/>
        </w:rPr>
      </w:pPr>
    </w:p>
    <w:p w:rsidR="00332FFC" w:rsidRPr="00E3616E" w:rsidP="47C812E3" w14:paraId="1534DC6C" w14:textId="77777777">
      <w:pPr>
        <w:pBdr>
          <w:top w:val="nil"/>
          <w:left w:val="nil"/>
          <w:bottom w:val="nil"/>
          <w:right w:val="nil"/>
          <w:between w:val="nil"/>
        </w:pBdr>
        <w:spacing w:line="240" w:lineRule="auto"/>
        <w:rPr>
          <w:i/>
          <w:iCs/>
          <w:color w:val="000000" w:themeColor="text1"/>
        </w:rPr>
      </w:pPr>
      <w:r w:rsidRPr="00E3616E">
        <w:rPr>
          <w:b/>
          <w:bCs/>
          <w:i/>
          <w:iCs/>
          <w:color w:val="000000" w:themeColor="text1"/>
        </w:rPr>
        <w:t>Stage 1</w:t>
      </w:r>
    </w:p>
    <w:p w:rsidR="00F23594" w:rsidP="47C812E3" w14:paraId="5A176A83" w14:textId="2481B0FB">
      <w:pPr>
        <w:pBdr>
          <w:top w:val="nil"/>
          <w:left w:val="nil"/>
          <w:bottom w:val="nil"/>
          <w:right w:val="nil"/>
          <w:between w:val="nil"/>
        </w:pBdr>
        <w:spacing w:line="240" w:lineRule="auto"/>
        <w:rPr>
          <w:color w:val="000000"/>
        </w:rPr>
      </w:pPr>
      <w:r>
        <w:rPr>
          <w:color w:val="000000" w:themeColor="text1"/>
        </w:rPr>
        <w:t>A</w:t>
      </w:r>
      <w:r w:rsidRPr="47C812E3">
        <w:rPr>
          <w:color w:val="000000" w:themeColor="text1"/>
        </w:rPr>
        <w:t xml:space="preserve"> list of all possible PSUs</w:t>
      </w:r>
      <w:r>
        <w:rPr>
          <w:color w:val="000000" w:themeColor="text1"/>
        </w:rPr>
        <w:t xml:space="preserve"> in the contiguous United States</w:t>
      </w:r>
      <w:r w:rsidRPr="47C812E3">
        <w:rPr>
          <w:color w:val="000000" w:themeColor="text1"/>
        </w:rPr>
        <w:t xml:space="preserve"> is the first-stage sampling frame</w:t>
      </w:r>
      <w:r>
        <w:rPr>
          <w:color w:val="000000" w:themeColor="text1"/>
        </w:rPr>
        <w:t>. It is</w:t>
      </w:r>
      <w:r w:rsidR="00280050">
        <w:rPr>
          <w:color w:val="000000" w:themeColor="text1"/>
        </w:rPr>
        <w:t xml:space="preserve"> </w:t>
      </w:r>
      <w:r w:rsidRPr="47C812E3">
        <w:rPr>
          <w:color w:val="000000" w:themeColor="text1"/>
        </w:rPr>
        <w:t xml:space="preserve">divided into exhaustive, non-overlapping strata. Independent samples of PSUs are drawn from each of the strata. The stratification ensures representation of different types of PSUs with geographic dispersion and different population densities. </w:t>
      </w:r>
      <w:r w:rsidR="00950337">
        <w:rPr>
          <w:color w:val="000000" w:themeColor="text1"/>
        </w:rPr>
        <w:t>F</w:t>
      </w:r>
      <w:r w:rsidRPr="47C812E3">
        <w:rPr>
          <w:color w:val="000000" w:themeColor="text1"/>
        </w:rPr>
        <w:t xml:space="preserve">or past NRSs, NHTSA had the National Automotive Sampling System General Estimates System (NASS GES) as the foundation for PSU selection. This system was designed to identify a nationally representative sample from which crash reports/data could be obtained to aid in the calculation of national crash estimates. Prior NRSs </w:t>
      </w:r>
      <w:r>
        <w:rPr>
          <w:color w:val="000000" w:themeColor="text1"/>
        </w:rPr>
        <w:t xml:space="preserve">used this </w:t>
      </w:r>
      <w:r w:rsidRPr="47C812E3">
        <w:rPr>
          <w:color w:val="000000" w:themeColor="text1"/>
        </w:rPr>
        <w:t xml:space="preserve">selection approach because it was deemed to be representative of driving exposure in the country. </w:t>
      </w:r>
      <w:r w:rsidRPr="47C812E3" w:rsidR="0048713B">
        <w:t xml:space="preserve">The last NRS used 60 PSUs based on the same PSU selection methods used by the NASS GES as the foundation for site selection. </w:t>
      </w:r>
      <w:r w:rsidRPr="47C812E3" w:rsidR="0048713B">
        <w:rPr>
          <w:color w:val="000000" w:themeColor="text1"/>
        </w:rPr>
        <w:t>The NASS GES PSUs were composed of cities, large counties, or groups of counties from within four regions of the country and three levels of population density.</w:t>
      </w:r>
    </w:p>
    <w:p w:rsidR="00F23594" w:rsidP="47C812E3" w14:paraId="4F5E1CAC" w14:textId="77777777">
      <w:pPr>
        <w:pBdr>
          <w:top w:val="nil"/>
          <w:left w:val="nil"/>
          <w:bottom w:val="nil"/>
          <w:right w:val="nil"/>
          <w:between w:val="nil"/>
        </w:pBdr>
        <w:spacing w:line="240" w:lineRule="auto"/>
        <w:rPr>
          <w:color w:val="000000"/>
        </w:rPr>
      </w:pPr>
    </w:p>
    <w:p w:rsidR="00FE3CA5" w:rsidP="00A21F21" w14:paraId="068FD258" w14:textId="7FA09221">
      <w:pPr>
        <w:spacing w:line="240" w:lineRule="auto"/>
        <w:rPr>
          <w:color w:val="000000"/>
        </w:rPr>
      </w:pPr>
      <w:r w:rsidRPr="47C812E3">
        <w:rPr>
          <w:color w:val="000000"/>
        </w:rPr>
        <w:t>Since the last NRS was completed, NHTSA undertook a data modernization effort and replaced NASS GES with the Crash Report Sampling System (CRSS). Zhang et al. (201</w:t>
      </w:r>
      <w:r w:rsidRPr="47C812E3" w:rsidR="006A24C8">
        <w:rPr>
          <w:color w:val="000000"/>
        </w:rPr>
        <w:t>9</w:t>
      </w:r>
      <w:r w:rsidRPr="47C812E3">
        <w:rPr>
          <w:color w:val="000000"/>
        </w:rPr>
        <w:t>)</w:t>
      </w:r>
      <w:r>
        <w:rPr>
          <w:vertAlign w:val="superscript"/>
        </w:rPr>
        <w:footnoteReference w:id="5"/>
      </w:r>
      <w:r w:rsidRPr="47C812E3">
        <w:rPr>
          <w:color w:val="000000"/>
        </w:rPr>
        <w:t xml:space="preserve"> </w:t>
      </w:r>
      <w:r w:rsidRPr="47C812E3" w:rsidR="00FD5CD6">
        <w:rPr>
          <w:color w:val="000000"/>
        </w:rPr>
        <w:t xml:space="preserve">and </w:t>
      </w:r>
    </w:p>
    <w:p w:rsidR="008D6450" w:rsidP="00A21F21" w14:paraId="2BEB97CD" w14:textId="645406A5">
      <w:pPr>
        <w:spacing w:line="240" w:lineRule="auto"/>
        <w:rPr>
          <w:rStyle w:val="fontstyle01"/>
          <w:rFonts w:ascii="Times New Roman" w:hAnsi="Times New Roman"/>
        </w:rPr>
      </w:pPr>
      <w:r w:rsidRPr="47C812E3">
        <w:rPr>
          <w:color w:val="000000"/>
        </w:rPr>
        <w:t>Zhang et al. (2018)</w:t>
      </w:r>
      <w:r>
        <w:rPr>
          <w:rStyle w:val="FootnoteReference"/>
          <w:color w:val="000000"/>
        </w:rPr>
        <w:footnoteReference w:id="6"/>
      </w:r>
      <w:r w:rsidRPr="47C812E3">
        <w:rPr>
          <w:color w:val="000000"/>
        </w:rPr>
        <w:t xml:space="preserve"> </w:t>
      </w:r>
      <w:r w:rsidRPr="47C812E3" w:rsidR="004C537C">
        <w:rPr>
          <w:color w:val="000000"/>
        </w:rPr>
        <w:t xml:space="preserve">provide </w:t>
      </w:r>
      <w:r w:rsidRPr="47C812E3" w:rsidR="001776CA">
        <w:rPr>
          <w:color w:val="000000"/>
        </w:rPr>
        <w:t>detailed description</w:t>
      </w:r>
      <w:r w:rsidRPr="47C812E3" w:rsidR="004A7FC7">
        <w:rPr>
          <w:color w:val="000000"/>
        </w:rPr>
        <w:t>s</w:t>
      </w:r>
      <w:r w:rsidRPr="47C812E3" w:rsidR="004C537C">
        <w:rPr>
          <w:color w:val="000000"/>
        </w:rPr>
        <w:t xml:space="preserve"> of CRSS </w:t>
      </w:r>
      <w:r w:rsidRPr="47C812E3" w:rsidR="001776CA">
        <w:rPr>
          <w:color w:val="000000"/>
        </w:rPr>
        <w:t>and the sampling approach.</w:t>
      </w:r>
      <w:r w:rsidRPr="47C812E3" w:rsidR="005116D8">
        <w:rPr>
          <w:color w:val="000000"/>
        </w:rPr>
        <w:t xml:space="preserve"> </w:t>
      </w:r>
      <w:r w:rsidRPr="47C812E3" w:rsidR="00781AAE">
        <w:rPr>
          <w:color w:val="000000"/>
        </w:rPr>
        <w:t>The most germane</w:t>
      </w:r>
      <w:r w:rsidRPr="47C812E3" w:rsidR="00AB3773">
        <w:rPr>
          <w:color w:val="000000"/>
        </w:rPr>
        <w:t xml:space="preserve"> points from </w:t>
      </w:r>
      <w:r w:rsidRPr="47C812E3">
        <w:rPr>
          <w:color w:val="000000"/>
        </w:rPr>
        <w:t>the two reports</w:t>
      </w:r>
      <w:r w:rsidRPr="47C812E3" w:rsidR="00AB3773">
        <w:rPr>
          <w:color w:val="000000"/>
        </w:rPr>
        <w:t xml:space="preserve"> are </w:t>
      </w:r>
      <w:r w:rsidRPr="47C812E3" w:rsidR="000D718B">
        <w:rPr>
          <w:color w:val="000000"/>
        </w:rPr>
        <w:t>summarized</w:t>
      </w:r>
      <w:r w:rsidRPr="47C812E3" w:rsidR="00AB3773">
        <w:rPr>
          <w:color w:val="000000"/>
        </w:rPr>
        <w:t xml:space="preserve"> here.</w:t>
      </w:r>
      <w:r w:rsidRPr="47C812E3" w:rsidR="00F63E44">
        <w:rPr>
          <w:color w:val="000000"/>
        </w:rPr>
        <w:t xml:space="preserve"> </w:t>
      </w:r>
      <w:r w:rsidRPr="47C812E3" w:rsidR="00924B05">
        <w:rPr>
          <w:rStyle w:val="markedcontent"/>
        </w:rPr>
        <w:t xml:space="preserve">The target population for the CRSS is the same as that for the GES: all police-reported motor vehicle crashes on trafficways. </w:t>
      </w:r>
      <w:r w:rsidRPr="47C812E3" w:rsidR="007476A1">
        <w:rPr>
          <w:color w:val="000000"/>
        </w:rPr>
        <w:t xml:space="preserve">At the </w:t>
      </w:r>
      <w:r w:rsidRPr="47C812E3" w:rsidR="007476A1">
        <w:rPr>
          <w:color w:val="000000"/>
        </w:rPr>
        <w:t xml:space="preserve">first stage of selection, 3,117 counties in the United States were grouped into 707 </w:t>
      </w:r>
      <w:r w:rsidRPr="47C812E3" w:rsidR="009C6192">
        <w:rPr>
          <w:color w:val="000000"/>
        </w:rPr>
        <w:t>PSUs</w:t>
      </w:r>
      <w:r w:rsidRPr="47C812E3" w:rsidR="007476A1">
        <w:rPr>
          <w:color w:val="000000"/>
        </w:rPr>
        <w:t>. A PSU in the CRSS is either a county or a group of counties. U.S. territories, some remote counties in Alaska, and small islands of Hawaii were excluded.</w:t>
      </w:r>
      <w:r w:rsidRPr="47C812E3" w:rsidR="008A49C8">
        <w:rPr>
          <w:color w:val="000000"/>
        </w:rPr>
        <w:t xml:space="preserve"> </w:t>
      </w:r>
      <w:r w:rsidRPr="47C812E3" w:rsidR="007476A1">
        <w:rPr>
          <w:color w:val="000000"/>
        </w:rPr>
        <w:t>The 707 PSUs in the PSU frame (the collection of all PSUs) were stratified into 50 strata by the</w:t>
      </w:r>
      <w:r w:rsidRPr="47C812E3" w:rsidR="008A49C8">
        <w:rPr>
          <w:color w:val="000000"/>
        </w:rPr>
        <w:t xml:space="preserve"> </w:t>
      </w:r>
      <w:r w:rsidRPr="47C812E3" w:rsidR="007476A1">
        <w:rPr>
          <w:color w:val="000000"/>
        </w:rPr>
        <w:t xml:space="preserve">four Census regions, urban/rural, vehicle miles traveled, total number of crashes, total truck miles traveled, and road miles. Each of the 707 PSUs in the frame was assigned a measure of size (MOS) equal to the combination of its estimated nine types of crash counts. First, 101 PSUs were selected by a stratified probability proportional-to-size (PPS) sampling method. Then a sequence of sub-samples was selected from the 101 PSU samples, and in this process the strata </w:t>
      </w:r>
      <w:r w:rsidRPr="47C812E3" w:rsidR="007476A1">
        <w:rPr>
          <w:color w:val="000000"/>
        </w:rPr>
        <w:t>were collapsed</w:t>
      </w:r>
      <w:r w:rsidRPr="47C812E3" w:rsidR="007476A1">
        <w:rPr>
          <w:color w:val="000000"/>
        </w:rPr>
        <w:t xml:space="preserve"> if necessary. This produced a sequence of nested PSU samples with decreasing sample sizes selected from the collapsed strata. These nested PSU samples allow NHTSA to change the PSU sample size without reselecting the sample in the future. Therefore, the final PSU sample was the result of a multiphase sampling, and the PSU sample was selected in such a way that the resulting selection probability was still approximately PPS.</w:t>
      </w:r>
      <w:r w:rsidRPr="47C812E3" w:rsidR="00292E7F">
        <w:rPr>
          <w:color w:val="000000"/>
        </w:rPr>
        <w:t xml:space="preserve"> The final</w:t>
      </w:r>
      <w:r w:rsidRPr="47C812E3">
        <w:rPr>
          <w:rStyle w:val="fontstyle01"/>
          <w:rFonts w:ascii="Times New Roman" w:hAnsi="Times New Roman"/>
        </w:rPr>
        <w:t xml:space="preserve"> probability sample of 60 CRSS PSUs</w:t>
      </w:r>
      <w:r w:rsidRPr="47C812E3" w:rsidR="00292E7F">
        <w:rPr>
          <w:rStyle w:val="fontstyle01"/>
          <w:rFonts w:ascii="Times New Roman" w:hAnsi="Times New Roman"/>
        </w:rPr>
        <w:t xml:space="preserve"> is</w:t>
      </w:r>
      <w:r w:rsidRPr="47C812E3">
        <w:rPr>
          <w:rStyle w:val="fontstyle01"/>
          <w:rFonts w:ascii="Times New Roman" w:hAnsi="Times New Roman"/>
        </w:rPr>
        <w:t xml:space="preserve"> shown on the map in </w:t>
      </w:r>
      <w:r>
        <w:rPr>
          <w:rStyle w:val="fontstyle01"/>
        </w:rPr>
        <w:fldChar w:fldCharType="begin"/>
      </w:r>
      <w:r>
        <w:rPr>
          <w:rStyle w:val="fontstyle01"/>
        </w:rPr>
        <w:instrText xml:space="preserve"> REF _Ref131079283 \r \h </w:instrText>
      </w:r>
      <w:r>
        <w:rPr>
          <w:rStyle w:val="fontstyle01"/>
        </w:rPr>
        <w:fldChar w:fldCharType="separate"/>
      </w:r>
      <w:r w:rsidR="00954824">
        <w:rPr>
          <w:rStyle w:val="fontstyle01"/>
        </w:rPr>
        <w:t>Figure 1</w:t>
      </w:r>
      <w:r>
        <w:rPr>
          <w:rStyle w:val="fontstyle01"/>
        </w:rPr>
        <w:fldChar w:fldCharType="end"/>
      </w:r>
      <w:r w:rsidRPr="47C812E3">
        <w:rPr>
          <w:rStyle w:val="fontstyle01"/>
          <w:rFonts w:ascii="Times New Roman" w:hAnsi="Times New Roman"/>
        </w:rPr>
        <w:t>.</w:t>
      </w:r>
      <w:r>
        <w:rPr>
          <w:rStyle w:val="FootnoteReference"/>
          <w:color w:val="000000"/>
        </w:rPr>
        <w:footnoteReference w:id="7"/>
      </w:r>
      <w:r w:rsidRPr="47C812E3">
        <w:rPr>
          <w:rStyle w:val="fontstyle01"/>
          <w:rFonts w:ascii="Times New Roman" w:hAnsi="Times New Roman"/>
        </w:rPr>
        <w:t xml:space="preserve"> </w:t>
      </w:r>
      <w:r w:rsidR="002B2F80">
        <w:rPr>
          <w:rStyle w:val="fontstyle01"/>
        </w:rPr>
        <w:fldChar w:fldCharType="begin"/>
      </w:r>
      <w:r w:rsidR="002B2F80">
        <w:rPr>
          <w:rStyle w:val="fontstyle01"/>
        </w:rPr>
        <w:instrText xml:space="preserve"> REF _Ref131079296 \r \h </w:instrText>
      </w:r>
      <w:r w:rsidR="002B2F80">
        <w:rPr>
          <w:rStyle w:val="fontstyle01"/>
        </w:rPr>
        <w:fldChar w:fldCharType="separate"/>
      </w:r>
      <w:r w:rsidR="00954824">
        <w:rPr>
          <w:rStyle w:val="fontstyle01"/>
        </w:rPr>
        <w:t>Table 1</w:t>
      </w:r>
      <w:r w:rsidR="002B2F80">
        <w:rPr>
          <w:rStyle w:val="fontstyle01"/>
        </w:rPr>
        <w:fldChar w:fldCharType="end"/>
      </w:r>
      <w:r w:rsidRPr="47C812E3" w:rsidR="002B2F80">
        <w:rPr>
          <w:rStyle w:val="fontstyle01"/>
          <w:rFonts w:ascii="Times New Roman" w:hAnsi="Times New Roman"/>
        </w:rPr>
        <w:t xml:space="preserve"> lists the counties that comp</w:t>
      </w:r>
      <w:r w:rsidRPr="47C812E3" w:rsidR="1477BD40">
        <w:rPr>
          <w:rStyle w:val="fontstyle01"/>
          <w:rFonts w:ascii="Times New Roman" w:hAnsi="Times New Roman"/>
        </w:rPr>
        <w:t>ose</w:t>
      </w:r>
      <w:r w:rsidRPr="47C812E3" w:rsidR="002B2F80">
        <w:rPr>
          <w:rStyle w:val="fontstyle01"/>
          <w:rFonts w:ascii="Times New Roman" w:hAnsi="Times New Roman"/>
        </w:rPr>
        <w:t xml:space="preserve"> each CRSS PSU, ranging from a single county up to 23 counties.</w:t>
      </w:r>
    </w:p>
    <w:p w:rsidR="00905634" w:rsidP="002B2F80" w14:paraId="47562992" w14:textId="77777777">
      <w:pPr>
        <w:spacing w:line="240" w:lineRule="auto"/>
        <w:rPr>
          <w:rStyle w:val="fontstyle01"/>
        </w:rPr>
      </w:pPr>
    </w:p>
    <w:p w:rsidR="008D6450" w:rsidRPr="004B4534" w:rsidP="008D6450" w14:paraId="082B5AE2" w14:textId="77777777">
      <w:pPr>
        <w:jc w:val="center"/>
        <w:rPr>
          <w:rFonts w:ascii="TimesNewRomanPSMT" w:hAnsi="TimesNewRomanPSMT"/>
          <w:color w:val="000000"/>
        </w:rPr>
      </w:pPr>
      <w:r w:rsidRPr="004B4534">
        <w:rPr>
          <w:noProof/>
        </w:rPr>
        <w:drawing>
          <wp:inline distT="0" distB="0" distL="0" distR="0">
            <wp:extent cx="4560965" cy="3533775"/>
            <wp:effectExtent l="0" t="0" r="0" b="0"/>
            <wp:docPr id="221" name="Picture 221" descr="A map of the united states with blue squa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descr="A map of the united states with blue squares&#10;&#10;Description automatically generated with low confidence"/>
                    <pic:cNvPicPr/>
                  </pic:nvPicPr>
                  <pic:blipFill>
                    <a:blip xmlns:r="http://schemas.openxmlformats.org/officeDocument/2006/relationships" r:embed="rId9"/>
                    <a:stretch>
                      <a:fillRect/>
                    </a:stretch>
                  </pic:blipFill>
                  <pic:spPr>
                    <a:xfrm>
                      <a:off x="0" y="0"/>
                      <a:ext cx="4640445" cy="3595355"/>
                    </a:xfrm>
                    <a:prstGeom prst="rect">
                      <a:avLst/>
                    </a:prstGeom>
                  </pic:spPr>
                </pic:pic>
              </a:graphicData>
            </a:graphic>
          </wp:inline>
        </w:drawing>
      </w:r>
    </w:p>
    <w:p w:rsidR="00905634" w:rsidRPr="00905634" w:rsidP="00442098" w14:paraId="55DFFA90" w14:textId="1E371BC3">
      <w:pPr>
        <w:pStyle w:val="Figure"/>
        <w:spacing w:after="0" w:line="240" w:lineRule="auto"/>
      </w:pPr>
      <w:bookmarkStart w:id="10" w:name="_Ref131079283"/>
      <w:bookmarkStart w:id="11" w:name="_Toc132356938"/>
      <w:r w:rsidRPr="008003ED">
        <w:rPr>
          <w:rFonts w:ascii="Times New Roman" w:hAnsi="Times New Roman" w:cs="Times New Roman"/>
          <w:sz w:val="24"/>
          <w:szCs w:val="24"/>
        </w:rPr>
        <w:t>Map of 60 CRSS sites</w:t>
      </w:r>
      <w:bookmarkEnd w:id="10"/>
      <w:bookmarkEnd w:id="11"/>
    </w:p>
    <w:p w:rsidR="002B2F80" w:rsidP="002B2F80" w14:paraId="514019E0" w14:textId="77777777">
      <w:pPr>
        <w:pStyle w:val="Figure"/>
        <w:numPr>
          <w:ilvl w:val="0"/>
          <w:numId w:val="0"/>
        </w:numPr>
        <w:spacing w:after="0" w:line="240" w:lineRule="auto"/>
        <w:jc w:val="left"/>
        <w:rPr>
          <w:rFonts w:ascii="Times New Roman" w:hAnsi="Times New Roman" w:cs="Times New Roman"/>
          <w:sz w:val="24"/>
          <w:szCs w:val="24"/>
        </w:rPr>
        <w:sectPr w:rsidSect="00C57FAE">
          <w:headerReference w:type="default" r:id="rId10"/>
          <w:footerReference w:type="default" r:id="rId11"/>
          <w:pgSz w:w="12240" w:h="15840"/>
          <w:pgMar w:top="1440" w:right="1440" w:bottom="1440" w:left="1440" w:header="720" w:footer="720" w:gutter="0"/>
          <w:pgNumType w:start="1"/>
          <w:cols w:space="720"/>
          <w:docGrid w:linePitch="360"/>
        </w:sectPr>
      </w:pPr>
    </w:p>
    <w:p w:rsidR="008D6450" w:rsidP="008D6450" w14:paraId="3AFC2856" w14:textId="618E7AE5">
      <w:pPr>
        <w:pStyle w:val="Table"/>
      </w:pPr>
      <w:bookmarkStart w:id="12" w:name="_Ref131079296"/>
      <w:bookmarkStart w:id="13" w:name="_Toc132357617"/>
      <w:bookmarkStart w:id="14" w:name="_Toc133322323"/>
      <w:r w:rsidRPr="001237C3">
        <w:t>60 CRSS PSUs</w:t>
      </w:r>
      <w:bookmarkEnd w:id="12"/>
      <w:bookmarkEnd w:id="13"/>
      <w:bookmarkEnd w:id="14"/>
      <w:r w:rsidRPr="001237C3">
        <w:t xml:space="preserve"> </w:t>
      </w:r>
      <w:r w:rsidR="00616688">
        <w:t xml:space="preserve">in 2023 (for use in </w:t>
      </w:r>
      <w:r w:rsidR="006A5782">
        <w:t>2025</w:t>
      </w:r>
      <w:r w:rsidR="00616688">
        <w:t>)</w:t>
      </w:r>
    </w:p>
    <w:tbl>
      <w:tblPr>
        <w:tblW w:w="4968" w:type="pct"/>
        <w:tblLayout w:type="fixed"/>
        <w:tblLook w:val="04A0"/>
      </w:tblPr>
      <w:tblGrid>
        <w:gridCol w:w="691"/>
        <w:gridCol w:w="6136"/>
        <w:gridCol w:w="700"/>
        <w:gridCol w:w="6475"/>
      </w:tblGrid>
      <w:tr w14:paraId="318CE370" w14:textId="77777777" w:rsidTr="002B2F80">
        <w:tblPrEx>
          <w:tblW w:w="4968" w:type="pct"/>
          <w:tblLayout w:type="fixed"/>
          <w:tblLook w:val="04A0"/>
        </w:tblPrEx>
        <w:trPr>
          <w:trHeight w:hRule="exact" w:val="281"/>
        </w:trPr>
        <w:tc>
          <w:tcPr>
            <w:tcW w:w="2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D6450" w:rsidRPr="000500E3" w:rsidP="00280050" w14:paraId="76A44F1E" w14:textId="77777777">
            <w:pPr>
              <w:spacing w:line="240" w:lineRule="auto"/>
              <w:jc w:val="center"/>
              <w:rPr>
                <w:b/>
                <w:bCs/>
                <w:color w:val="000000"/>
                <w:sz w:val="20"/>
                <w:szCs w:val="20"/>
              </w:rPr>
            </w:pPr>
            <w:r w:rsidRPr="000500E3">
              <w:rPr>
                <w:b/>
                <w:bCs/>
                <w:color w:val="000000"/>
                <w:sz w:val="20"/>
                <w:szCs w:val="20"/>
              </w:rPr>
              <w:t>State</w:t>
            </w:r>
          </w:p>
        </w:tc>
        <w:tc>
          <w:tcPr>
            <w:tcW w:w="2191" w:type="pct"/>
            <w:tcBorders>
              <w:top w:val="single" w:sz="8" w:space="0" w:color="auto"/>
              <w:left w:val="nil"/>
              <w:bottom w:val="single" w:sz="8" w:space="0" w:color="auto"/>
              <w:right w:val="single" w:sz="8" w:space="0" w:color="auto"/>
            </w:tcBorders>
            <w:shd w:val="clear" w:color="auto" w:fill="auto"/>
            <w:noWrap/>
            <w:vAlign w:val="bottom"/>
            <w:hideMark/>
          </w:tcPr>
          <w:p w:rsidR="008D6450" w:rsidRPr="000500E3" w:rsidP="00280050" w14:paraId="187C36F9" w14:textId="77777777">
            <w:pPr>
              <w:spacing w:line="240" w:lineRule="auto"/>
              <w:jc w:val="center"/>
              <w:rPr>
                <w:b/>
                <w:bCs/>
                <w:color w:val="000000"/>
                <w:sz w:val="20"/>
                <w:szCs w:val="20"/>
              </w:rPr>
            </w:pPr>
            <w:r w:rsidRPr="000500E3">
              <w:rPr>
                <w:b/>
                <w:bCs/>
                <w:color w:val="000000"/>
                <w:sz w:val="20"/>
                <w:szCs w:val="20"/>
              </w:rPr>
              <w:t>Counties</w:t>
            </w:r>
            <w:r>
              <w:rPr>
                <w:b/>
                <w:bCs/>
                <w:color w:val="000000"/>
                <w:sz w:val="20"/>
                <w:szCs w:val="20"/>
              </w:rPr>
              <w:t xml:space="preserve"> in PSU</w:t>
            </w:r>
          </w:p>
        </w:tc>
        <w:tc>
          <w:tcPr>
            <w:tcW w:w="250" w:type="pct"/>
            <w:tcBorders>
              <w:top w:val="single" w:sz="8" w:space="0" w:color="auto"/>
              <w:left w:val="nil"/>
              <w:bottom w:val="single" w:sz="8" w:space="0" w:color="auto"/>
              <w:right w:val="single" w:sz="8" w:space="0" w:color="auto"/>
            </w:tcBorders>
            <w:shd w:val="clear" w:color="auto" w:fill="auto"/>
            <w:noWrap/>
            <w:vAlign w:val="bottom"/>
            <w:hideMark/>
          </w:tcPr>
          <w:p w:rsidR="008D6450" w:rsidRPr="000500E3" w:rsidP="00280050" w14:paraId="7055B8B5" w14:textId="77777777">
            <w:pPr>
              <w:spacing w:line="240" w:lineRule="auto"/>
              <w:jc w:val="center"/>
              <w:rPr>
                <w:b/>
                <w:bCs/>
                <w:color w:val="000000"/>
                <w:sz w:val="20"/>
                <w:szCs w:val="20"/>
              </w:rPr>
            </w:pPr>
            <w:r w:rsidRPr="000500E3">
              <w:rPr>
                <w:b/>
                <w:bCs/>
                <w:color w:val="000000"/>
                <w:sz w:val="20"/>
                <w:szCs w:val="20"/>
              </w:rPr>
              <w:t>State</w:t>
            </w:r>
          </w:p>
        </w:tc>
        <w:tc>
          <w:tcPr>
            <w:tcW w:w="2312" w:type="pct"/>
            <w:tcBorders>
              <w:top w:val="single" w:sz="8" w:space="0" w:color="auto"/>
              <w:left w:val="nil"/>
              <w:bottom w:val="single" w:sz="8" w:space="0" w:color="auto"/>
              <w:right w:val="single" w:sz="8" w:space="0" w:color="auto"/>
            </w:tcBorders>
            <w:shd w:val="clear" w:color="auto" w:fill="auto"/>
            <w:noWrap/>
            <w:vAlign w:val="bottom"/>
            <w:hideMark/>
          </w:tcPr>
          <w:p w:rsidR="008D6450" w:rsidRPr="000500E3" w:rsidP="00280050" w14:paraId="239BF82F" w14:textId="77777777">
            <w:pPr>
              <w:spacing w:line="240" w:lineRule="auto"/>
              <w:jc w:val="center"/>
              <w:rPr>
                <w:b/>
                <w:bCs/>
                <w:color w:val="000000"/>
                <w:sz w:val="20"/>
                <w:szCs w:val="20"/>
              </w:rPr>
            </w:pPr>
            <w:r w:rsidRPr="000500E3">
              <w:rPr>
                <w:b/>
                <w:bCs/>
                <w:color w:val="000000"/>
                <w:sz w:val="20"/>
                <w:szCs w:val="20"/>
              </w:rPr>
              <w:t>Counties</w:t>
            </w:r>
            <w:r>
              <w:rPr>
                <w:b/>
                <w:bCs/>
                <w:color w:val="000000"/>
                <w:sz w:val="20"/>
                <w:szCs w:val="20"/>
              </w:rPr>
              <w:t xml:space="preserve"> in PSU</w:t>
            </w:r>
          </w:p>
        </w:tc>
      </w:tr>
      <w:tr w14:paraId="6FD91585"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04FE1AA8" w14:textId="77777777">
            <w:pPr>
              <w:spacing w:line="240" w:lineRule="auto"/>
              <w:rPr>
                <w:color w:val="000000"/>
                <w:sz w:val="20"/>
                <w:szCs w:val="20"/>
              </w:rPr>
            </w:pPr>
            <w:r w:rsidRPr="000500E3">
              <w:rPr>
                <w:color w:val="000000"/>
                <w:sz w:val="20"/>
                <w:szCs w:val="20"/>
              </w:rPr>
              <w:t>AL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3513FC7" w14:textId="77777777">
            <w:pPr>
              <w:spacing w:line="240" w:lineRule="auto"/>
              <w:rPr>
                <w:color w:val="000000"/>
                <w:sz w:val="20"/>
                <w:szCs w:val="20"/>
              </w:rPr>
            </w:pPr>
            <w:r w:rsidRPr="000500E3">
              <w:rPr>
                <w:color w:val="000000"/>
                <w:sz w:val="20"/>
                <w:szCs w:val="20"/>
              </w:rPr>
              <w:t>Limestone, Madison</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8D6450" w:rsidRPr="000500E3" w:rsidP="00280050" w14:paraId="7F08773A" w14:textId="77777777">
            <w:pPr>
              <w:spacing w:line="240" w:lineRule="auto"/>
              <w:rPr>
                <w:color w:val="000000"/>
                <w:sz w:val="20"/>
                <w:szCs w:val="20"/>
              </w:rPr>
            </w:pPr>
            <w:r w:rsidRPr="000500E3">
              <w:rPr>
                <w:color w:val="000000"/>
                <w:sz w:val="20"/>
                <w:szCs w:val="20"/>
              </w:rPr>
              <w:t>MI</w:t>
            </w:r>
          </w:p>
        </w:tc>
        <w:tc>
          <w:tcPr>
            <w:tcW w:w="2312" w:type="pct"/>
            <w:tcBorders>
              <w:top w:val="single" w:sz="4" w:space="0" w:color="auto"/>
              <w:left w:val="nil"/>
              <w:bottom w:val="single" w:sz="4" w:space="0" w:color="auto"/>
              <w:right w:val="single" w:sz="4" w:space="0" w:color="auto"/>
            </w:tcBorders>
            <w:shd w:val="clear" w:color="auto" w:fill="auto"/>
            <w:noWrap/>
            <w:vAlign w:val="bottom"/>
            <w:hideMark/>
          </w:tcPr>
          <w:p w:rsidR="008D6450" w:rsidRPr="000500E3" w:rsidP="00280050" w14:paraId="02D2E648" w14:textId="77777777">
            <w:pPr>
              <w:spacing w:line="240" w:lineRule="auto"/>
              <w:rPr>
                <w:color w:val="000000"/>
                <w:sz w:val="20"/>
                <w:szCs w:val="20"/>
              </w:rPr>
            </w:pPr>
            <w:r w:rsidRPr="000500E3">
              <w:rPr>
                <w:color w:val="000000"/>
                <w:sz w:val="20"/>
                <w:szCs w:val="20"/>
              </w:rPr>
              <w:t>Alcona, Arenac, Bay, Huron, Iosco, Oscoda, Sanilac, Tuscola</w:t>
            </w:r>
          </w:p>
        </w:tc>
      </w:tr>
      <w:tr w14:paraId="12C419FA"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761B8674" w14:textId="77777777">
            <w:pPr>
              <w:spacing w:line="240" w:lineRule="auto"/>
              <w:rPr>
                <w:color w:val="000000"/>
                <w:sz w:val="20"/>
                <w:szCs w:val="20"/>
              </w:rPr>
            </w:pPr>
            <w:r w:rsidRPr="000500E3">
              <w:rPr>
                <w:color w:val="000000"/>
                <w:sz w:val="20"/>
                <w:szCs w:val="20"/>
              </w:rPr>
              <w:t>AL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901F9B8" w14:textId="77777777">
            <w:pPr>
              <w:spacing w:line="240" w:lineRule="auto"/>
              <w:rPr>
                <w:color w:val="000000"/>
                <w:sz w:val="20"/>
                <w:szCs w:val="20"/>
              </w:rPr>
            </w:pPr>
            <w:r w:rsidRPr="000500E3">
              <w:rPr>
                <w:color w:val="000000"/>
                <w:sz w:val="20"/>
                <w:szCs w:val="20"/>
              </w:rPr>
              <w:t>Greene, Hale, Perry, Sumter, Tuscaloosa</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BD5B8C5" w14:textId="77777777">
            <w:pPr>
              <w:spacing w:line="240" w:lineRule="auto"/>
              <w:rPr>
                <w:color w:val="000000"/>
                <w:sz w:val="20"/>
                <w:szCs w:val="20"/>
              </w:rPr>
            </w:pPr>
            <w:r w:rsidRPr="000500E3">
              <w:rPr>
                <w:color w:val="000000"/>
                <w:sz w:val="20"/>
                <w:szCs w:val="20"/>
              </w:rPr>
              <w:t>MN</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11E4EDB" w14:textId="77777777">
            <w:pPr>
              <w:spacing w:line="240" w:lineRule="auto"/>
              <w:rPr>
                <w:color w:val="000000"/>
                <w:sz w:val="20"/>
                <w:szCs w:val="20"/>
              </w:rPr>
            </w:pPr>
            <w:r w:rsidRPr="000500E3">
              <w:rPr>
                <w:color w:val="000000"/>
                <w:sz w:val="20"/>
                <w:szCs w:val="20"/>
              </w:rPr>
              <w:t>Chisago, Isanti, Ramsey, Washington</w:t>
            </w:r>
          </w:p>
        </w:tc>
      </w:tr>
      <w:tr w14:paraId="4A31E1D2"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08254D50" w14:textId="77777777">
            <w:pPr>
              <w:spacing w:line="240" w:lineRule="auto"/>
              <w:rPr>
                <w:color w:val="000000"/>
                <w:sz w:val="20"/>
                <w:szCs w:val="20"/>
              </w:rPr>
            </w:pPr>
            <w:r w:rsidRPr="000500E3">
              <w:rPr>
                <w:color w:val="000000"/>
                <w:sz w:val="20"/>
                <w:szCs w:val="20"/>
              </w:rPr>
              <w:t>AZ</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A13A01A" w14:textId="77777777">
            <w:pPr>
              <w:spacing w:line="240" w:lineRule="auto"/>
              <w:rPr>
                <w:color w:val="000000"/>
                <w:sz w:val="20"/>
                <w:szCs w:val="20"/>
              </w:rPr>
            </w:pPr>
            <w:r w:rsidRPr="000500E3">
              <w:rPr>
                <w:color w:val="000000"/>
                <w:sz w:val="20"/>
                <w:szCs w:val="20"/>
              </w:rPr>
              <w:t>Maricopa</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DF1B519" w14:textId="77777777">
            <w:pPr>
              <w:spacing w:line="240" w:lineRule="auto"/>
              <w:rPr>
                <w:color w:val="000000"/>
                <w:sz w:val="20"/>
                <w:szCs w:val="20"/>
              </w:rPr>
            </w:pPr>
            <w:r w:rsidRPr="000500E3">
              <w:rPr>
                <w:color w:val="000000"/>
                <w:sz w:val="20"/>
                <w:szCs w:val="20"/>
              </w:rPr>
              <w:t>NC</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CBD6E01" w14:textId="77777777">
            <w:pPr>
              <w:spacing w:line="240" w:lineRule="auto"/>
              <w:rPr>
                <w:color w:val="000000"/>
                <w:sz w:val="20"/>
                <w:szCs w:val="20"/>
              </w:rPr>
            </w:pPr>
            <w:r w:rsidRPr="000500E3">
              <w:rPr>
                <w:color w:val="000000"/>
                <w:sz w:val="20"/>
                <w:szCs w:val="20"/>
              </w:rPr>
              <w:t>Franklin, Johnston, Wake</w:t>
            </w:r>
          </w:p>
        </w:tc>
      </w:tr>
      <w:tr w14:paraId="4B62667C"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76B11DBC" w14:textId="77777777">
            <w:pPr>
              <w:spacing w:line="240" w:lineRule="auto"/>
              <w:rPr>
                <w:color w:val="000000"/>
                <w:sz w:val="20"/>
                <w:szCs w:val="20"/>
              </w:rPr>
            </w:pPr>
            <w:r w:rsidRPr="000500E3">
              <w:rPr>
                <w:color w:val="000000"/>
                <w:sz w:val="20"/>
                <w:szCs w:val="20"/>
              </w:rPr>
              <w:t>AZ</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3CEBD72" w14:textId="77777777">
            <w:pPr>
              <w:spacing w:line="240" w:lineRule="auto"/>
              <w:rPr>
                <w:color w:val="000000"/>
                <w:sz w:val="20"/>
                <w:szCs w:val="20"/>
              </w:rPr>
            </w:pPr>
            <w:r w:rsidRPr="000500E3">
              <w:rPr>
                <w:color w:val="000000"/>
                <w:sz w:val="20"/>
                <w:szCs w:val="20"/>
              </w:rPr>
              <w:t>La</w:t>
            </w:r>
            <w:r>
              <w:rPr>
                <w:color w:val="000000"/>
                <w:sz w:val="20"/>
                <w:szCs w:val="20"/>
              </w:rPr>
              <w:t xml:space="preserve"> </w:t>
            </w:r>
            <w:r w:rsidRPr="000500E3">
              <w:rPr>
                <w:color w:val="000000"/>
                <w:sz w:val="20"/>
                <w:szCs w:val="20"/>
              </w:rPr>
              <w:t>Paz, Yuma</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D46738A" w14:textId="77777777">
            <w:pPr>
              <w:spacing w:line="240" w:lineRule="auto"/>
              <w:rPr>
                <w:color w:val="000000"/>
                <w:sz w:val="20"/>
                <w:szCs w:val="20"/>
              </w:rPr>
            </w:pPr>
            <w:r w:rsidRPr="000500E3">
              <w:rPr>
                <w:color w:val="000000"/>
                <w:sz w:val="20"/>
                <w:szCs w:val="20"/>
              </w:rPr>
              <w:t>NJ</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2CB46A9" w14:textId="77777777">
            <w:pPr>
              <w:spacing w:line="240" w:lineRule="auto"/>
              <w:rPr>
                <w:color w:val="000000"/>
                <w:sz w:val="20"/>
                <w:szCs w:val="20"/>
              </w:rPr>
            </w:pPr>
            <w:r w:rsidRPr="000500E3">
              <w:rPr>
                <w:color w:val="000000"/>
                <w:sz w:val="20"/>
                <w:szCs w:val="20"/>
              </w:rPr>
              <w:t>Burlington</w:t>
            </w:r>
          </w:p>
        </w:tc>
      </w:tr>
      <w:tr w14:paraId="2BB9EBAB"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19027985" w14:textId="77777777">
            <w:pPr>
              <w:spacing w:line="240" w:lineRule="auto"/>
              <w:rPr>
                <w:color w:val="000000"/>
                <w:sz w:val="20"/>
                <w:szCs w:val="20"/>
              </w:rPr>
            </w:pPr>
            <w:r w:rsidRPr="000500E3">
              <w:rPr>
                <w:color w:val="000000"/>
                <w:sz w:val="20"/>
                <w:szCs w:val="20"/>
              </w:rPr>
              <w:t>CA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EFC9EF6" w14:textId="77777777">
            <w:pPr>
              <w:spacing w:line="240" w:lineRule="auto"/>
              <w:rPr>
                <w:color w:val="000000"/>
                <w:sz w:val="20"/>
                <w:szCs w:val="20"/>
              </w:rPr>
            </w:pPr>
            <w:r w:rsidRPr="000500E3">
              <w:rPr>
                <w:color w:val="000000"/>
                <w:sz w:val="20"/>
                <w:szCs w:val="20"/>
              </w:rPr>
              <w:t>Orange</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C6B0D53" w14:textId="77777777">
            <w:pPr>
              <w:spacing w:line="240" w:lineRule="auto"/>
              <w:rPr>
                <w:color w:val="000000"/>
                <w:sz w:val="20"/>
                <w:szCs w:val="20"/>
              </w:rPr>
            </w:pPr>
            <w:r w:rsidRPr="000500E3">
              <w:rPr>
                <w:color w:val="000000"/>
                <w:sz w:val="20"/>
                <w:szCs w:val="20"/>
              </w:rPr>
              <w:t>NY</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1EAE759" w14:textId="77777777">
            <w:pPr>
              <w:spacing w:line="240" w:lineRule="auto"/>
              <w:rPr>
                <w:color w:val="000000"/>
                <w:sz w:val="20"/>
                <w:szCs w:val="20"/>
              </w:rPr>
            </w:pPr>
            <w:r w:rsidRPr="000500E3">
              <w:rPr>
                <w:color w:val="000000"/>
                <w:sz w:val="20"/>
                <w:szCs w:val="20"/>
              </w:rPr>
              <w:t>Nassau</w:t>
            </w:r>
          </w:p>
        </w:tc>
      </w:tr>
      <w:tr w14:paraId="4FC5E84E"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1692CAA7" w14:textId="77777777">
            <w:pPr>
              <w:spacing w:line="240" w:lineRule="auto"/>
              <w:rPr>
                <w:color w:val="000000"/>
                <w:sz w:val="20"/>
                <w:szCs w:val="20"/>
              </w:rPr>
            </w:pPr>
            <w:r w:rsidRPr="000500E3">
              <w:rPr>
                <w:color w:val="000000"/>
                <w:sz w:val="20"/>
                <w:szCs w:val="20"/>
              </w:rPr>
              <w:t>CA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87536BF" w14:textId="77777777">
            <w:pPr>
              <w:spacing w:line="240" w:lineRule="auto"/>
              <w:rPr>
                <w:color w:val="000000"/>
                <w:sz w:val="20"/>
                <w:szCs w:val="20"/>
              </w:rPr>
            </w:pPr>
            <w:r w:rsidRPr="000500E3">
              <w:rPr>
                <w:color w:val="000000"/>
                <w:sz w:val="20"/>
                <w:szCs w:val="20"/>
              </w:rPr>
              <w:t>Los Angeles</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3C1FB33" w14:textId="77777777">
            <w:pPr>
              <w:spacing w:line="240" w:lineRule="auto"/>
              <w:rPr>
                <w:color w:val="000000"/>
                <w:sz w:val="20"/>
                <w:szCs w:val="20"/>
              </w:rPr>
            </w:pPr>
            <w:r w:rsidRPr="000500E3">
              <w:rPr>
                <w:color w:val="000000"/>
                <w:sz w:val="20"/>
                <w:szCs w:val="20"/>
              </w:rPr>
              <w:t>NY</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3CECE1D" w14:textId="77777777">
            <w:pPr>
              <w:spacing w:line="240" w:lineRule="auto"/>
              <w:rPr>
                <w:color w:val="000000"/>
                <w:sz w:val="20"/>
                <w:szCs w:val="20"/>
              </w:rPr>
            </w:pPr>
            <w:r w:rsidRPr="000500E3">
              <w:rPr>
                <w:color w:val="000000"/>
                <w:sz w:val="20"/>
                <w:szCs w:val="20"/>
              </w:rPr>
              <w:t>Kings</w:t>
            </w:r>
          </w:p>
        </w:tc>
      </w:tr>
      <w:tr w14:paraId="1A69A3C3"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766DD3E5" w14:textId="77777777">
            <w:pPr>
              <w:spacing w:line="240" w:lineRule="auto"/>
              <w:rPr>
                <w:color w:val="000000"/>
                <w:sz w:val="20"/>
                <w:szCs w:val="20"/>
              </w:rPr>
            </w:pPr>
            <w:r w:rsidRPr="000500E3">
              <w:rPr>
                <w:color w:val="000000"/>
                <w:sz w:val="20"/>
                <w:szCs w:val="20"/>
              </w:rPr>
              <w:t>CA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E66F70B" w14:textId="77777777">
            <w:pPr>
              <w:spacing w:line="240" w:lineRule="auto"/>
              <w:rPr>
                <w:color w:val="000000"/>
                <w:sz w:val="20"/>
                <w:szCs w:val="20"/>
              </w:rPr>
            </w:pPr>
            <w:r w:rsidRPr="000500E3">
              <w:rPr>
                <w:color w:val="000000"/>
                <w:sz w:val="20"/>
                <w:szCs w:val="20"/>
              </w:rPr>
              <w:t>San Bernardino</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F204EC3" w14:textId="77777777">
            <w:pPr>
              <w:spacing w:line="240" w:lineRule="auto"/>
              <w:rPr>
                <w:color w:val="000000"/>
                <w:sz w:val="20"/>
                <w:szCs w:val="20"/>
              </w:rPr>
            </w:pPr>
            <w:r w:rsidRPr="000500E3">
              <w:rPr>
                <w:color w:val="000000"/>
                <w:sz w:val="20"/>
                <w:szCs w:val="20"/>
              </w:rPr>
              <w:t>NY</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57A9317" w14:textId="77777777">
            <w:pPr>
              <w:spacing w:line="240" w:lineRule="auto"/>
              <w:rPr>
                <w:color w:val="000000"/>
                <w:sz w:val="20"/>
                <w:szCs w:val="20"/>
              </w:rPr>
            </w:pPr>
            <w:r w:rsidRPr="000500E3">
              <w:rPr>
                <w:color w:val="000000"/>
                <w:sz w:val="20"/>
                <w:szCs w:val="20"/>
              </w:rPr>
              <w:t>New York</w:t>
            </w:r>
          </w:p>
        </w:tc>
      </w:tr>
      <w:tr w14:paraId="2C81BB92"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61BC317A" w14:textId="77777777">
            <w:pPr>
              <w:spacing w:line="240" w:lineRule="auto"/>
              <w:rPr>
                <w:color w:val="000000"/>
                <w:sz w:val="20"/>
                <w:szCs w:val="20"/>
              </w:rPr>
            </w:pPr>
            <w:r w:rsidRPr="000500E3">
              <w:rPr>
                <w:color w:val="000000"/>
                <w:sz w:val="20"/>
                <w:szCs w:val="20"/>
              </w:rPr>
              <w:t>CA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BC2F3A9" w14:textId="77777777">
            <w:pPr>
              <w:spacing w:line="240" w:lineRule="auto"/>
              <w:rPr>
                <w:color w:val="000000"/>
                <w:sz w:val="20"/>
                <w:szCs w:val="20"/>
              </w:rPr>
            </w:pPr>
            <w:r w:rsidRPr="000500E3">
              <w:rPr>
                <w:color w:val="000000"/>
                <w:sz w:val="20"/>
                <w:szCs w:val="20"/>
              </w:rPr>
              <w:t>Santa Clara, San Benito</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10A41CE" w14:textId="77777777">
            <w:pPr>
              <w:spacing w:line="240" w:lineRule="auto"/>
              <w:rPr>
                <w:color w:val="000000"/>
                <w:sz w:val="20"/>
                <w:szCs w:val="20"/>
              </w:rPr>
            </w:pPr>
            <w:r w:rsidRPr="000500E3">
              <w:rPr>
                <w:color w:val="000000"/>
                <w:sz w:val="20"/>
                <w:szCs w:val="20"/>
              </w:rPr>
              <w:t>NY</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18B6A82" w14:textId="77777777">
            <w:pPr>
              <w:spacing w:line="240" w:lineRule="auto"/>
              <w:rPr>
                <w:color w:val="000000"/>
                <w:sz w:val="20"/>
                <w:szCs w:val="20"/>
              </w:rPr>
            </w:pPr>
            <w:r w:rsidRPr="000500E3">
              <w:rPr>
                <w:color w:val="000000"/>
                <w:sz w:val="20"/>
                <w:szCs w:val="20"/>
              </w:rPr>
              <w:t>Suffolk</w:t>
            </w:r>
          </w:p>
        </w:tc>
      </w:tr>
      <w:tr w14:paraId="1F74A115"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08058850" w14:textId="77777777">
            <w:pPr>
              <w:spacing w:line="240" w:lineRule="auto"/>
              <w:rPr>
                <w:color w:val="000000"/>
                <w:sz w:val="20"/>
                <w:szCs w:val="20"/>
              </w:rPr>
            </w:pPr>
            <w:r w:rsidRPr="000500E3">
              <w:rPr>
                <w:color w:val="000000"/>
                <w:sz w:val="20"/>
                <w:szCs w:val="20"/>
              </w:rPr>
              <w:t>CA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74B2859" w14:textId="77777777">
            <w:pPr>
              <w:spacing w:line="240" w:lineRule="auto"/>
              <w:rPr>
                <w:color w:val="000000"/>
                <w:sz w:val="20"/>
                <w:szCs w:val="20"/>
              </w:rPr>
            </w:pPr>
            <w:r w:rsidRPr="000500E3">
              <w:rPr>
                <w:color w:val="000000"/>
                <w:sz w:val="20"/>
                <w:szCs w:val="20"/>
              </w:rPr>
              <w:t>San Joaquin</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957BC84" w14:textId="77777777">
            <w:pPr>
              <w:spacing w:line="240" w:lineRule="auto"/>
              <w:rPr>
                <w:color w:val="000000"/>
                <w:sz w:val="20"/>
                <w:szCs w:val="20"/>
              </w:rPr>
            </w:pPr>
            <w:r w:rsidRPr="000500E3">
              <w:rPr>
                <w:color w:val="000000"/>
                <w:sz w:val="20"/>
                <w:szCs w:val="20"/>
              </w:rPr>
              <w:t>NY</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5E7FA28" w14:textId="77777777">
            <w:pPr>
              <w:spacing w:line="240" w:lineRule="auto"/>
              <w:rPr>
                <w:color w:val="000000"/>
                <w:sz w:val="20"/>
                <w:szCs w:val="20"/>
              </w:rPr>
            </w:pPr>
            <w:r w:rsidRPr="000500E3">
              <w:rPr>
                <w:color w:val="000000"/>
                <w:sz w:val="20"/>
                <w:szCs w:val="20"/>
              </w:rPr>
              <w:t>Livingston, Monroe, Ontario, Wayne</w:t>
            </w:r>
          </w:p>
        </w:tc>
      </w:tr>
      <w:tr w14:paraId="03850A8F"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58546038" w14:textId="77777777">
            <w:pPr>
              <w:spacing w:line="240" w:lineRule="auto"/>
              <w:rPr>
                <w:color w:val="000000"/>
                <w:sz w:val="20"/>
                <w:szCs w:val="20"/>
              </w:rPr>
            </w:pPr>
            <w:r w:rsidRPr="000500E3">
              <w:rPr>
                <w:color w:val="000000"/>
                <w:sz w:val="20"/>
                <w:szCs w:val="20"/>
              </w:rPr>
              <w:t>CA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7FC2A06" w14:textId="77777777">
            <w:pPr>
              <w:spacing w:line="240" w:lineRule="auto"/>
              <w:rPr>
                <w:color w:val="000000"/>
                <w:sz w:val="20"/>
                <w:szCs w:val="20"/>
              </w:rPr>
            </w:pPr>
            <w:r w:rsidRPr="000500E3">
              <w:rPr>
                <w:color w:val="000000"/>
                <w:sz w:val="20"/>
                <w:szCs w:val="20"/>
              </w:rPr>
              <w:t>Sacramento</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FE4EE50" w14:textId="77777777">
            <w:pPr>
              <w:spacing w:line="240" w:lineRule="auto"/>
              <w:rPr>
                <w:color w:val="000000"/>
                <w:sz w:val="20"/>
                <w:szCs w:val="20"/>
              </w:rPr>
            </w:pPr>
            <w:r w:rsidRPr="000500E3">
              <w:rPr>
                <w:color w:val="000000"/>
                <w:sz w:val="20"/>
                <w:szCs w:val="20"/>
              </w:rPr>
              <w:t>NY</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C974D80" w14:textId="77777777">
            <w:pPr>
              <w:spacing w:line="240" w:lineRule="auto"/>
              <w:rPr>
                <w:color w:val="000000"/>
                <w:sz w:val="20"/>
                <w:szCs w:val="20"/>
              </w:rPr>
            </w:pPr>
            <w:r w:rsidRPr="000500E3">
              <w:rPr>
                <w:color w:val="000000"/>
                <w:sz w:val="20"/>
                <w:szCs w:val="20"/>
              </w:rPr>
              <w:t>Cattaraugus, Chautauqua</w:t>
            </w:r>
          </w:p>
        </w:tc>
      </w:tr>
      <w:tr w14:paraId="2302CABA"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21F2C886" w14:textId="77777777">
            <w:pPr>
              <w:spacing w:line="240" w:lineRule="auto"/>
              <w:rPr>
                <w:color w:val="000000"/>
                <w:sz w:val="20"/>
                <w:szCs w:val="20"/>
              </w:rPr>
            </w:pPr>
            <w:r w:rsidRPr="000500E3">
              <w:rPr>
                <w:color w:val="000000"/>
                <w:sz w:val="20"/>
                <w:szCs w:val="20"/>
              </w:rPr>
              <w:t>CO</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A037579" w14:textId="77777777">
            <w:pPr>
              <w:spacing w:line="240" w:lineRule="auto"/>
              <w:rPr>
                <w:color w:val="000000"/>
                <w:sz w:val="20"/>
                <w:szCs w:val="20"/>
              </w:rPr>
            </w:pPr>
            <w:r w:rsidRPr="000500E3">
              <w:rPr>
                <w:color w:val="000000"/>
                <w:sz w:val="20"/>
                <w:szCs w:val="20"/>
              </w:rPr>
              <w:t>Boulder, Clear</w:t>
            </w:r>
            <w:r>
              <w:rPr>
                <w:color w:val="000000"/>
                <w:sz w:val="20"/>
                <w:szCs w:val="20"/>
              </w:rPr>
              <w:t xml:space="preserve"> </w:t>
            </w:r>
            <w:r w:rsidRPr="000500E3">
              <w:rPr>
                <w:color w:val="000000"/>
                <w:sz w:val="20"/>
                <w:szCs w:val="20"/>
              </w:rPr>
              <w:t>Creek, Gilpin, Larimer</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1BE9705" w14:textId="77777777">
            <w:pPr>
              <w:spacing w:line="240" w:lineRule="auto"/>
              <w:rPr>
                <w:color w:val="000000"/>
                <w:sz w:val="20"/>
                <w:szCs w:val="20"/>
              </w:rPr>
            </w:pPr>
            <w:r w:rsidRPr="000500E3">
              <w:rPr>
                <w:color w:val="000000"/>
                <w:sz w:val="20"/>
                <w:szCs w:val="20"/>
              </w:rPr>
              <w:t>OH</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7B48298" w14:textId="77777777">
            <w:pPr>
              <w:spacing w:line="240" w:lineRule="auto"/>
              <w:rPr>
                <w:color w:val="000000"/>
                <w:sz w:val="20"/>
                <w:szCs w:val="20"/>
              </w:rPr>
            </w:pPr>
            <w:r w:rsidRPr="000500E3">
              <w:rPr>
                <w:color w:val="000000"/>
                <w:sz w:val="20"/>
                <w:szCs w:val="20"/>
              </w:rPr>
              <w:t>Franklin</w:t>
            </w:r>
          </w:p>
        </w:tc>
      </w:tr>
      <w:tr w14:paraId="6BFCCC49" w14:textId="77777777" w:rsidTr="002B2F80">
        <w:tblPrEx>
          <w:tblW w:w="4968" w:type="pct"/>
          <w:tblLayout w:type="fixed"/>
          <w:tblLook w:val="04A0"/>
        </w:tblPrEx>
        <w:trPr>
          <w:trHeight w:hRule="exact" w:val="42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3D27FC51" w14:textId="77777777">
            <w:pPr>
              <w:spacing w:line="240" w:lineRule="auto"/>
              <w:rPr>
                <w:color w:val="000000"/>
                <w:sz w:val="20"/>
                <w:szCs w:val="20"/>
              </w:rPr>
            </w:pPr>
            <w:r w:rsidRPr="000500E3">
              <w:rPr>
                <w:color w:val="000000"/>
                <w:sz w:val="20"/>
                <w:szCs w:val="20"/>
              </w:rPr>
              <w:t>CO</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4207727D" w14:textId="77777777">
            <w:pPr>
              <w:spacing w:line="240" w:lineRule="auto"/>
              <w:rPr>
                <w:color w:val="000000"/>
                <w:sz w:val="20"/>
                <w:szCs w:val="20"/>
              </w:rPr>
            </w:pPr>
            <w:r w:rsidRPr="000500E3">
              <w:rPr>
                <w:color w:val="000000"/>
                <w:sz w:val="20"/>
                <w:szCs w:val="20"/>
              </w:rPr>
              <w:t>Baca, Bent, Cheyenne, Crowley, Kiowa, Kit Carson, Lincoln, Otero, Prowers, Pueblo</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2BFEEB1" w14:textId="77777777">
            <w:pPr>
              <w:spacing w:line="240" w:lineRule="auto"/>
              <w:rPr>
                <w:color w:val="000000"/>
                <w:sz w:val="20"/>
                <w:szCs w:val="20"/>
              </w:rPr>
            </w:pPr>
            <w:r w:rsidRPr="000500E3">
              <w:rPr>
                <w:color w:val="000000"/>
                <w:sz w:val="20"/>
                <w:szCs w:val="20"/>
              </w:rPr>
              <w:t>OH</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834C882" w14:textId="77777777">
            <w:pPr>
              <w:spacing w:line="240" w:lineRule="auto"/>
              <w:rPr>
                <w:color w:val="000000"/>
                <w:sz w:val="20"/>
                <w:szCs w:val="20"/>
              </w:rPr>
            </w:pPr>
            <w:r w:rsidRPr="000500E3">
              <w:rPr>
                <w:color w:val="000000"/>
                <w:sz w:val="20"/>
                <w:szCs w:val="20"/>
              </w:rPr>
              <w:t>Carroll, Mahoning, Stark</w:t>
            </w:r>
          </w:p>
        </w:tc>
      </w:tr>
      <w:tr w14:paraId="5A38E5DA"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5C35FB0A" w14:textId="77777777">
            <w:pPr>
              <w:spacing w:line="240" w:lineRule="auto"/>
              <w:rPr>
                <w:color w:val="000000"/>
                <w:sz w:val="20"/>
                <w:szCs w:val="20"/>
              </w:rPr>
            </w:pPr>
            <w:r w:rsidRPr="000500E3">
              <w:rPr>
                <w:color w:val="000000"/>
                <w:sz w:val="20"/>
                <w:szCs w:val="20"/>
              </w:rPr>
              <w:t>FL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DEC857A" w14:textId="77777777">
            <w:pPr>
              <w:spacing w:line="240" w:lineRule="auto"/>
              <w:rPr>
                <w:color w:val="000000"/>
                <w:sz w:val="20"/>
                <w:szCs w:val="20"/>
              </w:rPr>
            </w:pPr>
            <w:r w:rsidRPr="000500E3">
              <w:rPr>
                <w:color w:val="000000"/>
                <w:sz w:val="20"/>
                <w:szCs w:val="20"/>
              </w:rPr>
              <w:t>Miami-Dade</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5C960CE" w14:textId="77777777">
            <w:pPr>
              <w:spacing w:line="240" w:lineRule="auto"/>
              <w:rPr>
                <w:color w:val="000000"/>
                <w:sz w:val="20"/>
                <w:szCs w:val="20"/>
              </w:rPr>
            </w:pPr>
            <w:r w:rsidRPr="000500E3">
              <w:rPr>
                <w:color w:val="000000"/>
                <w:sz w:val="20"/>
                <w:szCs w:val="20"/>
              </w:rPr>
              <w:t>OH</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9937D40" w14:textId="77777777">
            <w:pPr>
              <w:spacing w:line="240" w:lineRule="auto"/>
              <w:rPr>
                <w:color w:val="000000"/>
                <w:sz w:val="20"/>
                <w:szCs w:val="20"/>
              </w:rPr>
            </w:pPr>
            <w:r w:rsidRPr="000500E3">
              <w:rPr>
                <w:color w:val="000000"/>
                <w:sz w:val="20"/>
                <w:szCs w:val="20"/>
              </w:rPr>
              <w:t>Crawford, Hardin, Marion, Wyandot</w:t>
            </w:r>
          </w:p>
        </w:tc>
      </w:tr>
      <w:tr w14:paraId="1D82A87B"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53D6C1B9" w14:textId="77777777">
            <w:pPr>
              <w:spacing w:line="240" w:lineRule="auto"/>
              <w:rPr>
                <w:color w:val="000000"/>
                <w:sz w:val="20"/>
                <w:szCs w:val="20"/>
              </w:rPr>
            </w:pPr>
            <w:r w:rsidRPr="000500E3">
              <w:rPr>
                <w:color w:val="000000"/>
                <w:sz w:val="20"/>
                <w:szCs w:val="20"/>
              </w:rPr>
              <w:t>FL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0D2B4C4" w14:textId="77777777">
            <w:pPr>
              <w:spacing w:line="240" w:lineRule="auto"/>
              <w:rPr>
                <w:color w:val="000000"/>
                <w:sz w:val="20"/>
                <w:szCs w:val="20"/>
              </w:rPr>
            </w:pPr>
            <w:r w:rsidRPr="000500E3">
              <w:rPr>
                <w:color w:val="000000"/>
                <w:sz w:val="20"/>
                <w:szCs w:val="20"/>
              </w:rPr>
              <w:t>Broward</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E6DA5E2" w14:textId="77777777">
            <w:pPr>
              <w:spacing w:line="240" w:lineRule="auto"/>
              <w:rPr>
                <w:color w:val="000000"/>
                <w:sz w:val="20"/>
                <w:szCs w:val="20"/>
              </w:rPr>
            </w:pPr>
            <w:r w:rsidRPr="000500E3">
              <w:rPr>
                <w:color w:val="000000"/>
                <w:sz w:val="20"/>
                <w:szCs w:val="20"/>
              </w:rPr>
              <w:t>OK</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F81B17C" w14:textId="77777777">
            <w:pPr>
              <w:spacing w:line="240" w:lineRule="auto"/>
              <w:rPr>
                <w:color w:val="000000"/>
                <w:sz w:val="20"/>
                <w:szCs w:val="20"/>
              </w:rPr>
            </w:pPr>
            <w:r w:rsidRPr="000500E3">
              <w:rPr>
                <w:color w:val="000000"/>
                <w:sz w:val="20"/>
                <w:szCs w:val="20"/>
              </w:rPr>
              <w:t>Caddo, Comanche, Greer, Harmon, Jackson, Kiowa, Washita</w:t>
            </w:r>
          </w:p>
        </w:tc>
      </w:tr>
      <w:tr w14:paraId="4932E963"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388646A2" w14:textId="77777777">
            <w:pPr>
              <w:spacing w:line="240" w:lineRule="auto"/>
              <w:rPr>
                <w:color w:val="000000"/>
                <w:sz w:val="20"/>
                <w:szCs w:val="20"/>
              </w:rPr>
            </w:pPr>
            <w:r w:rsidRPr="000500E3">
              <w:rPr>
                <w:color w:val="000000"/>
                <w:sz w:val="20"/>
                <w:szCs w:val="20"/>
              </w:rPr>
              <w:t>FL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250876D" w14:textId="77777777">
            <w:pPr>
              <w:spacing w:line="240" w:lineRule="auto"/>
              <w:rPr>
                <w:color w:val="000000"/>
                <w:sz w:val="20"/>
                <w:szCs w:val="20"/>
              </w:rPr>
            </w:pPr>
            <w:r w:rsidRPr="000500E3">
              <w:rPr>
                <w:color w:val="000000"/>
                <w:sz w:val="20"/>
                <w:szCs w:val="20"/>
              </w:rPr>
              <w:t>Collier, Lee</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6681A85" w14:textId="77777777">
            <w:pPr>
              <w:spacing w:line="240" w:lineRule="auto"/>
              <w:rPr>
                <w:color w:val="000000"/>
                <w:sz w:val="20"/>
                <w:szCs w:val="20"/>
              </w:rPr>
            </w:pPr>
            <w:r w:rsidRPr="000500E3">
              <w:rPr>
                <w:color w:val="000000"/>
                <w:sz w:val="20"/>
                <w:szCs w:val="20"/>
              </w:rPr>
              <w:t>OK</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2CE2374" w14:textId="77777777">
            <w:pPr>
              <w:spacing w:line="240" w:lineRule="auto"/>
              <w:rPr>
                <w:color w:val="000000"/>
                <w:sz w:val="20"/>
                <w:szCs w:val="20"/>
              </w:rPr>
            </w:pPr>
            <w:r w:rsidRPr="000500E3">
              <w:rPr>
                <w:color w:val="000000"/>
                <w:sz w:val="20"/>
                <w:szCs w:val="20"/>
              </w:rPr>
              <w:t>Creek, Lincoln, Logan, Okmulgee, Osage, Pawnee, Rogers, Tulsa, Wagoner</w:t>
            </w:r>
          </w:p>
        </w:tc>
      </w:tr>
      <w:tr w14:paraId="3A6FC76D"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41306969" w14:textId="77777777">
            <w:pPr>
              <w:spacing w:line="240" w:lineRule="auto"/>
              <w:rPr>
                <w:color w:val="000000"/>
                <w:sz w:val="20"/>
                <w:szCs w:val="20"/>
              </w:rPr>
            </w:pPr>
            <w:r w:rsidRPr="000500E3">
              <w:rPr>
                <w:color w:val="000000"/>
                <w:sz w:val="20"/>
                <w:szCs w:val="20"/>
              </w:rPr>
              <w:t>FL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948B0F1" w14:textId="77777777">
            <w:pPr>
              <w:spacing w:line="240" w:lineRule="auto"/>
              <w:rPr>
                <w:color w:val="000000"/>
                <w:sz w:val="20"/>
                <w:szCs w:val="20"/>
              </w:rPr>
            </w:pPr>
            <w:r w:rsidRPr="000500E3">
              <w:rPr>
                <w:color w:val="000000"/>
                <w:sz w:val="20"/>
                <w:szCs w:val="20"/>
              </w:rPr>
              <w:t>Hillsborough</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4B8F88C" w14:textId="77777777">
            <w:pPr>
              <w:spacing w:line="240" w:lineRule="auto"/>
              <w:rPr>
                <w:color w:val="000000"/>
                <w:sz w:val="20"/>
                <w:szCs w:val="20"/>
              </w:rPr>
            </w:pPr>
            <w:r w:rsidRPr="000500E3">
              <w:rPr>
                <w:color w:val="000000"/>
                <w:sz w:val="20"/>
                <w:szCs w:val="20"/>
              </w:rPr>
              <w:t>OR</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723FB62" w14:textId="77777777">
            <w:pPr>
              <w:spacing w:line="240" w:lineRule="auto"/>
              <w:rPr>
                <w:color w:val="000000"/>
                <w:sz w:val="20"/>
                <w:szCs w:val="20"/>
              </w:rPr>
            </w:pPr>
            <w:r w:rsidRPr="000500E3">
              <w:rPr>
                <w:color w:val="000000"/>
                <w:sz w:val="20"/>
                <w:szCs w:val="20"/>
              </w:rPr>
              <w:t>Clackamas, Marion, Polk, Yamhill</w:t>
            </w:r>
          </w:p>
        </w:tc>
      </w:tr>
      <w:tr w14:paraId="031CA20F"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6D427EEE" w14:textId="77777777">
            <w:pPr>
              <w:spacing w:line="240" w:lineRule="auto"/>
              <w:rPr>
                <w:color w:val="000000"/>
                <w:sz w:val="20"/>
                <w:szCs w:val="20"/>
              </w:rPr>
            </w:pPr>
            <w:r w:rsidRPr="000500E3">
              <w:rPr>
                <w:color w:val="000000"/>
                <w:sz w:val="20"/>
                <w:szCs w:val="20"/>
              </w:rPr>
              <w:t>GA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B0C649A" w14:textId="77777777">
            <w:pPr>
              <w:spacing w:line="240" w:lineRule="auto"/>
              <w:rPr>
                <w:color w:val="000000"/>
                <w:sz w:val="20"/>
                <w:szCs w:val="20"/>
              </w:rPr>
            </w:pPr>
            <w:r w:rsidRPr="000500E3">
              <w:rPr>
                <w:color w:val="000000"/>
                <w:sz w:val="20"/>
                <w:szCs w:val="20"/>
              </w:rPr>
              <w:t>Catoosa, Dade, Walker</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57C3067" w14:textId="77777777">
            <w:pPr>
              <w:spacing w:line="240" w:lineRule="auto"/>
              <w:rPr>
                <w:color w:val="000000"/>
                <w:sz w:val="20"/>
                <w:szCs w:val="20"/>
              </w:rPr>
            </w:pPr>
            <w:r w:rsidRPr="000500E3">
              <w:rPr>
                <w:color w:val="000000"/>
                <w:sz w:val="20"/>
                <w:szCs w:val="20"/>
              </w:rPr>
              <w:t>PA</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859ABB2" w14:textId="77777777">
            <w:pPr>
              <w:spacing w:line="240" w:lineRule="auto"/>
              <w:rPr>
                <w:color w:val="000000"/>
                <w:sz w:val="20"/>
                <w:szCs w:val="20"/>
              </w:rPr>
            </w:pPr>
            <w:r w:rsidRPr="000500E3">
              <w:rPr>
                <w:color w:val="000000"/>
                <w:sz w:val="20"/>
                <w:szCs w:val="20"/>
              </w:rPr>
              <w:t>Allegheny, Fayette, Washington</w:t>
            </w:r>
          </w:p>
        </w:tc>
      </w:tr>
      <w:tr w14:paraId="432AE02B"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7C81DD7B" w14:textId="77777777">
            <w:pPr>
              <w:spacing w:line="240" w:lineRule="auto"/>
              <w:rPr>
                <w:color w:val="000000"/>
                <w:sz w:val="20"/>
                <w:szCs w:val="20"/>
              </w:rPr>
            </w:pPr>
            <w:r w:rsidRPr="000500E3">
              <w:rPr>
                <w:color w:val="000000"/>
                <w:sz w:val="20"/>
                <w:szCs w:val="20"/>
              </w:rPr>
              <w:t>GA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D1AB531" w14:textId="77777777">
            <w:pPr>
              <w:spacing w:line="240" w:lineRule="auto"/>
              <w:rPr>
                <w:color w:val="000000"/>
                <w:sz w:val="20"/>
                <w:szCs w:val="20"/>
              </w:rPr>
            </w:pPr>
            <w:r w:rsidRPr="000500E3">
              <w:rPr>
                <w:color w:val="000000"/>
                <w:sz w:val="20"/>
                <w:szCs w:val="20"/>
              </w:rPr>
              <w:t>Chattooga, Floyd, Gordon, Polk, Whitfield</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4A5ECCC" w14:textId="77777777">
            <w:pPr>
              <w:spacing w:line="240" w:lineRule="auto"/>
              <w:rPr>
                <w:color w:val="000000"/>
                <w:sz w:val="20"/>
                <w:szCs w:val="20"/>
              </w:rPr>
            </w:pPr>
            <w:r w:rsidRPr="000500E3">
              <w:rPr>
                <w:color w:val="000000"/>
                <w:sz w:val="20"/>
                <w:szCs w:val="20"/>
              </w:rPr>
              <w:t>PA</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C7A1957" w14:textId="77777777">
            <w:pPr>
              <w:spacing w:line="240" w:lineRule="auto"/>
              <w:rPr>
                <w:color w:val="000000"/>
                <w:sz w:val="20"/>
                <w:szCs w:val="20"/>
              </w:rPr>
            </w:pPr>
            <w:r w:rsidRPr="000500E3">
              <w:rPr>
                <w:color w:val="000000"/>
                <w:sz w:val="20"/>
                <w:szCs w:val="20"/>
              </w:rPr>
              <w:t>Bradford, Lycoming, Tioga</w:t>
            </w:r>
          </w:p>
        </w:tc>
      </w:tr>
      <w:tr w14:paraId="48A700DB"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5EE6A8FC" w14:textId="77777777">
            <w:pPr>
              <w:spacing w:line="240" w:lineRule="auto"/>
              <w:rPr>
                <w:color w:val="000000"/>
                <w:sz w:val="20"/>
                <w:szCs w:val="20"/>
              </w:rPr>
            </w:pPr>
            <w:r w:rsidRPr="000500E3">
              <w:rPr>
                <w:color w:val="000000"/>
                <w:sz w:val="20"/>
                <w:szCs w:val="20"/>
              </w:rPr>
              <w:t>GA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1EDC3CE" w14:textId="77777777">
            <w:pPr>
              <w:spacing w:line="240" w:lineRule="auto"/>
              <w:rPr>
                <w:color w:val="000000"/>
                <w:sz w:val="20"/>
                <w:szCs w:val="20"/>
              </w:rPr>
            </w:pPr>
            <w:r w:rsidRPr="000500E3">
              <w:rPr>
                <w:color w:val="000000"/>
                <w:sz w:val="20"/>
                <w:szCs w:val="20"/>
              </w:rPr>
              <w:t>Barrow, Gwinnett</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97DA422" w14:textId="77777777">
            <w:pPr>
              <w:spacing w:line="240" w:lineRule="auto"/>
              <w:rPr>
                <w:color w:val="000000"/>
                <w:sz w:val="20"/>
                <w:szCs w:val="20"/>
              </w:rPr>
            </w:pPr>
            <w:r w:rsidRPr="000500E3">
              <w:rPr>
                <w:color w:val="000000"/>
                <w:sz w:val="20"/>
                <w:szCs w:val="20"/>
              </w:rPr>
              <w:t>PA</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40E6E36" w14:textId="77777777">
            <w:pPr>
              <w:spacing w:line="240" w:lineRule="auto"/>
              <w:rPr>
                <w:color w:val="000000"/>
                <w:sz w:val="20"/>
                <w:szCs w:val="20"/>
              </w:rPr>
            </w:pPr>
            <w:r w:rsidRPr="000500E3">
              <w:rPr>
                <w:color w:val="000000"/>
                <w:sz w:val="20"/>
                <w:szCs w:val="20"/>
              </w:rPr>
              <w:t>Armstrong, Westmoreland</w:t>
            </w:r>
          </w:p>
        </w:tc>
      </w:tr>
      <w:tr w14:paraId="17CAC19B"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49D8B956" w14:textId="77777777">
            <w:pPr>
              <w:spacing w:line="240" w:lineRule="auto"/>
              <w:rPr>
                <w:color w:val="000000"/>
                <w:sz w:val="20"/>
                <w:szCs w:val="20"/>
              </w:rPr>
            </w:pPr>
            <w:r w:rsidRPr="000500E3">
              <w:rPr>
                <w:color w:val="000000"/>
                <w:sz w:val="20"/>
                <w:szCs w:val="20"/>
              </w:rPr>
              <w:t>GA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A4AE1AD" w14:textId="77777777">
            <w:pPr>
              <w:spacing w:line="240" w:lineRule="auto"/>
              <w:rPr>
                <w:color w:val="000000"/>
                <w:sz w:val="20"/>
                <w:szCs w:val="20"/>
              </w:rPr>
            </w:pPr>
            <w:r w:rsidRPr="000500E3">
              <w:rPr>
                <w:color w:val="000000"/>
                <w:sz w:val="20"/>
                <w:szCs w:val="20"/>
              </w:rPr>
              <w:t>Crawford, Macon, Monroe, Peach, Schley, Sumter</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45C05DA0" w14:textId="77777777">
            <w:pPr>
              <w:spacing w:line="240" w:lineRule="auto"/>
              <w:rPr>
                <w:color w:val="000000"/>
                <w:sz w:val="20"/>
                <w:szCs w:val="20"/>
              </w:rPr>
            </w:pPr>
            <w:r w:rsidRPr="000500E3">
              <w:rPr>
                <w:color w:val="000000"/>
                <w:sz w:val="20"/>
                <w:szCs w:val="20"/>
              </w:rPr>
              <w:t>SC</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FD48A4E" w14:textId="77777777">
            <w:pPr>
              <w:spacing w:line="240" w:lineRule="auto"/>
              <w:rPr>
                <w:color w:val="000000"/>
                <w:sz w:val="20"/>
                <w:szCs w:val="20"/>
              </w:rPr>
            </w:pPr>
            <w:r w:rsidRPr="000500E3">
              <w:rPr>
                <w:color w:val="000000"/>
                <w:sz w:val="20"/>
                <w:szCs w:val="20"/>
              </w:rPr>
              <w:t>Greenville, Laurens, Pickens, Spartanburg</w:t>
            </w:r>
          </w:p>
        </w:tc>
      </w:tr>
      <w:tr w14:paraId="16E3FD47" w14:textId="77777777" w:rsidTr="002B2F80">
        <w:tblPrEx>
          <w:tblW w:w="4968" w:type="pct"/>
          <w:tblLayout w:type="fixed"/>
          <w:tblLook w:val="04A0"/>
        </w:tblPrEx>
        <w:trPr>
          <w:trHeight w:hRule="exact" w:val="734"/>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5872271B" w14:textId="77777777">
            <w:pPr>
              <w:spacing w:line="240" w:lineRule="auto"/>
              <w:rPr>
                <w:color w:val="000000"/>
                <w:sz w:val="20"/>
                <w:szCs w:val="20"/>
              </w:rPr>
            </w:pPr>
            <w:r w:rsidRPr="000500E3">
              <w:rPr>
                <w:color w:val="000000"/>
                <w:sz w:val="20"/>
                <w:szCs w:val="20"/>
              </w:rPr>
              <w:t>IA</w:t>
            </w:r>
          </w:p>
        </w:tc>
        <w:tc>
          <w:tcPr>
            <w:tcW w:w="2191" w:type="pct"/>
            <w:tcBorders>
              <w:top w:val="nil"/>
              <w:left w:val="nil"/>
              <w:bottom w:val="single" w:sz="4" w:space="0" w:color="auto"/>
              <w:right w:val="single" w:sz="4" w:space="0" w:color="auto"/>
            </w:tcBorders>
            <w:shd w:val="clear" w:color="auto" w:fill="auto"/>
            <w:vAlign w:val="bottom"/>
            <w:hideMark/>
          </w:tcPr>
          <w:p w:rsidR="008D6450" w:rsidRPr="000500E3" w:rsidP="00280050" w14:paraId="2E5321CF" w14:textId="77777777">
            <w:pPr>
              <w:spacing w:line="240" w:lineRule="auto"/>
              <w:rPr>
                <w:color w:val="000000"/>
                <w:sz w:val="20"/>
                <w:szCs w:val="20"/>
              </w:rPr>
            </w:pPr>
            <w:r w:rsidRPr="000500E3">
              <w:rPr>
                <w:color w:val="000000"/>
                <w:sz w:val="20"/>
                <w:szCs w:val="20"/>
              </w:rPr>
              <w:t>Appanoose, Clarke, Davis, Decatur, Des</w:t>
            </w:r>
            <w:r>
              <w:rPr>
                <w:color w:val="000000"/>
                <w:sz w:val="20"/>
                <w:szCs w:val="20"/>
              </w:rPr>
              <w:t xml:space="preserve"> </w:t>
            </w:r>
            <w:r w:rsidRPr="000500E3">
              <w:rPr>
                <w:color w:val="000000"/>
                <w:sz w:val="20"/>
                <w:szCs w:val="20"/>
              </w:rPr>
              <w:t>Moines, Henry, Jefferson, Lee, Louisa, Lucas, Monroe, Ringgold, Union, Van Buren, Wapello, Wayne</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4644C45C" w14:textId="77777777">
            <w:pPr>
              <w:spacing w:line="240" w:lineRule="auto"/>
              <w:rPr>
                <w:color w:val="000000"/>
                <w:sz w:val="20"/>
                <w:szCs w:val="20"/>
              </w:rPr>
            </w:pPr>
            <w:r w:rsidRPr="000500E3">
              <w:rPr>
                <w:color w:val="000000"/>
                <w:sz w:val="20"/>
                <w:szCs w:val="20"/>
              </w:rPr>
              <w:t>SD</w:t>
            </w:r>
          </w:p>
        </w:tc>
        <w:tc>
          <w:tcPr>
            <w:tcW w:w="2312" w:type="pct"/>
            <w:tcBorders>
              <w:top w:val="nil"/>
              <w:left w:val="nil"/>
              <w:bottom w:val="single" w:sz="4" w:space="0" w:color="auto"/>
              <w:right w:val="single" w:sz="4" w:space="0" w:color="auto"/>
            </w:tcBorders>
            <w:shd w:val="clear" w:color="auto" w:fill="auto"/>
            <w:vAlign w:val="bottom"/>
            <w:hideMark/>
          </w:tcPr>
          <w:p w:rsidR="008D6450" w:rsidRPr="000500E3" w:rsidP="00280050" w14:paraId="572DE62C" w14:textId="77777777">
            <w:pPr>
              <w:spacing w:line="240" w:lineRule="auto"/>
              <w:rPr>
                <w:color w:val="000000"/>
                <w:sz w:val="20"/>
                <w:szCs w:val="20"/>
              </w:rPr>
            </w:pPr>
            <w:r w:rsidRPr="000500E3">
              <w:rPr>
                <w:color w:val="000000"/>
                <w:sz w:val="20"/>
                <w:szCs w:val="20"/>
              </w:rPr>
              <w:t>Bon Homme, Brookings, Clark, Clay, Codington, Day, Deuel, Grant, Hamlin, Hanson, Hutchinson, Kingsbury, Lake, Lincoln, McCook, Marshall, Miner, Minnehaha, Moody, Roberts, Turner, Union, Yankton</w:t>
            </w:r>
          </w:p>
        </w:tc>
      </w:tr>
      <w:tr w14:paraId="55299C44"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437857B9" w14:textId="77777777">
            <w:pPr>
              <w:spacing w:line="240" w:lineRule="auto"/>
              <w:rPr>
                <w:color w:val="000000"/>
                <w:sz w:val="20"/>
                <w:szCs w:val="20"/>
              </w:rPr>
            </w:pPr>
            <w:r w:rsidRPr="000500E3">
              <w:rPr>
                <w:color w:val="000000"/>
                <w:sz w:val="20"/>
                <w:szCs w:val="20"/>
              </w:rPr>
              <w:t>IL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ACA2042" w14:textId="77777777">
            <w:pPr>
              <w:spacing w:line="240" w:lineRule="auto"/>
              <w:rPr>
                <w:color w:val="000000"/>
                <w:sz w:val="20"/>
                <w:szCs w:val="20"/>
              </w:rPr>
            </w:pPr>
            <w:r w:rsidRPr="000500E3">
              <w:rPr>
                <w:color w:val="000000"/>
                <w:sz w:val="20"/>
                <w:szCs w:val="20"/>
              </w:rPr>
              <w:t>Lake</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7446BD4" w14:textId="77777777">
            <w:pPr>
              <w:spacing w:line="240" w:lineRule="auto"/>
              <w:rPr>
                <w:color w:val="000000"/>
                <w:sz w:val="20"/>
                <w:szCs w:val="20"/>
              </w:rPr>
            </w:pPr>
            <w:r w:rsidRPr="000500E3">
              <w:rPr>
                <w:color w:val="000000"/>
                <w:sz w:val="20"/>
                <w:szCs w:val="20"/>
              </w:rPr>
              <w:t>TN</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6E97490" w14:textId="77777777">
            <w:pPr>
              <w:spacing w:line="240" w:lineRule="auto"/>
              <w:rPr>
                <w:color w:val="000000"/>
                <w:sz w:val="20"/>
                <w:szCs w:val="20"/>
              </w:rPr>
            </w:pPr>
            <w:r w:rsidRPr="000500E3">
              <w:rPr>
                <w:color w:val="000000"/>
                <w:sz w:val="20"/>
                <w:szCs w:val="20"/>
              </w:rPr>
              <w:t>Cocke, Jefferson, Sevier</w:t>
            </w:r>
          </w:p>
        </w:tc>
      </w:tr>
      <w:tr w14:paraId="279C2F7C"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385CC262" w14:textId="77777777">
            <w:pPr>
              <w:spacing w:line="240" w:lineRule="auto"/>
              <w:rPr>
                <w:color w:val="000000"/>
                <w:sz w:val="20"/>
                <w:szCs w:val="20"/>
              </w:rPr>
            </w:pPr>
            <w:r w:rsidRPr="000500E3">
              <w:rPr>
                <w:color w:val="000000"/>
                <w:sz w:val="20"/>
                <w:szCs w:val="20"/>
              </w:rPr>
              <w:t>IL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999EFBC" w14:textId="77777777">
            <w:pPr>
              <w:spacing w:line="240" w:lineRule="auto"/>
              <w:rPr>
                <w:color w:val="000000"/>
                <w:sz w:val="20"/>
                <w:szCs w:val="20"/>
              </w:rPr>
            </w:pPr>
            <w:r w:rsidRPr="000500E3">
              <w:rPr>
                <w:color w:val="000000"/>
                <w:sz w:val="20"/>
                <w:szCs w:val="20"/>
              </w:rPr>
              <w:t>Grundy, Will</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018ED9BD" w14:textId="77777777">
            <w:pPr>
              <w:spacing w:line="240" w:lineRule="auto"/>
              <w:rPr>
                <w:color w:val="000000"/>
                <w:sz w:val="20"/>
                <w:szCs w:val="20"/>
              </w:rPr>
            </w:pPr>
            <w:r w:rsidRPr="000500E3">
              <w:rPr>
                <w:color w:val="000000"/>
                <w:sz w:val="20"/>
                <w:szCs w:val="20"/>
              </w:rPr>
              <w:t>TN</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043E45A" w14:textId="77777777">
            <w:pPr>
              <w:spacing w:line="240" w:lineRule="auto"/>
              <w:rPr>
                <w:color w:val="000000"/>
                <w:sz w:val="20"/>
                <w:szCs w:val="20"/>
              </w:rPr>
            </w:pPr>
            <w:r w:rsidRPr="000500E3">
              <w:rPr>
                <w:color w:val="000000"/>
                <w:sz w:val="20"/>
                <w:szCs w:val="20"/>
              </w:rPr>
              <w:t>Cannon, Cheatham, Dickson, Hickman, Robertson, Rutherford, Williamson</w:t>
            </w:r>
          </w:p>
        </w:tc>
      </w:tr>
      <w:tr w14:paraId="0AC7E91F"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2DD65E5F" w14:textId="77777777">
            <w:pPr>
              <w:spacing w:line="240" w:lineRule="auto"/>
              <w:rPr>
                <w:color w:val="000000"/>
                <w:sz w:val="20"/>
                <w:szCs w:val="20"/>
              </w:rPr>
            </w:pPr>
            <w:r w:rsidRPr="000500E3">
              <w:rPr>
                <w:color w:val="000000"/>
                <w:sz w:val="20"/>
                <w:szCs w:val="20"/>
              </w:rPr>
              <w:t>IL</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3EF3071" w14:textId="77777777">
            <w:pPr>
              <w:spacing w:line="240" w:lineRule="auto"/>
              <w:rPr>
                <w:color w:val="000000"/>
                <w:sz w:val="20"/>
                <w:szCs w:val="20"/>
              </w:rPr>
            </w:pPr>
            <w:r w:rsidRPr="000500E3">
              <w:rPr>
                <w:color w:val="000000"/>
                <w:sz w:val="20"/>
                <w:szCs w:val="20"/>
              </w:rPr>
              <w:t>Clark, Coles, Crawford. Edgar, Vermillion</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A220EEE" w14:textId="77777777">
            <w:pPr>
              <w:spacing w:line="240" w:lineRule="auto"/>
              <w:rPr>
                <w:color w:val="000000"/>
                <w:sz w:val="20"/>
                <w:szCs w:val="20"/>
              </w:rPr>
            </w:pPr>
            <w:r w:rsidRPr="000500E3">
              <w:rPr>
                <w:color w:val="000000"/>
                <w:sz w:val="20"/>
                <w:szCs w:val="20"/>
              </w:rPr>
              <w:t>TX</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7A39CEC" w14:textId="77777777">
            <w:pPr>
              <w:spacing w:line="240" w:lineRule="auto"/>
              <w:rPr>
                <w:color w:val="000000"/>
                <w:sz w:val="20"/>
                <w:szCs w:val="20"/>
              </w:rPr>
            </w:pPr>
            <w:r w:rsidRPr="000500E3">
              <w:rPr>
                <w:color w:val="000000"/>
                <w:sz w:val="20"/>
                <w:szCs w:val="20"/>
              </w:rPr>
              <w:t>Dallas, Ellis, Kaufman</w:t>
            </w:r>
          </w:p>
        </w:tc>
      </w:tr>
      <w:tr w14:paraId="1202EF2D"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32470681" w14:textId="77777777">
            <w:pPr>
              <w:spacing w:line="240" w:lineRule="auto"/>
              <w:rPr>
                <w:color w:val="000000"/>
                <w:sz w:val="20"/>
                <w:szCs w:val="20"/>
              </w:rPr>
            </w:pPr>
            <w:r w:rsidRPr="000500E3">
              <w:rPr>
                <w:color w:val="000000"/>
                <w:sz w:val="20"/>
                <w:szCs w:val="20"/>
              </w:rPr>
              <w:t>KY</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9D15E33" w14:textId="77777777">
            <w:pPr>
              <w:spacing w:line="240" w:lineRule="auto"/>
              <w:rPr>
                <w:color w:val="000000"/>
                <w:sz w:val="20"/>
                <w:szCs w:val="20"/>
              </w:rPr>
            </w:pPr>
            <w:r w:rsidRPr="000500E3">
              <w:rPr>
                <w:color w:val="000000"/>
                <w:sz w:val="20"/>
                <w:szCs w:val="20"/>
              </w:rPr>
              <w:t>Jefferson</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017B47A" w14:textId="77777777">
            <w:pPr>
              <w:spacing w:line="240" w:lineRule="auto"/>
              <w:rPr>
                <w:color w:val="000000"/>
                <w:sz w:val="20"/>
                <w:szCs w:val="20"/>
              </w:rPr>
            </w:pPr>
            <w:r w:rsidRPr="000500E3">
              <w:rPr>
                <w:color w:val="000000"/>
                <w:sz w:val="20"/>
                <w:szCs w:val="20"/>
              </w:rPr>
              <w:t>TX</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48738004" w14:textId="77777777">
            <w:pPr>
              <w:spacing w:line="240" w:lineRule="auto"/>
              <w:rPr>
                <w:color w:val="000000"/>
                <w:sz w:val="20"/>
                <w:szCs w:val="20"/>
              </w:rPr>
            </w:pPr>
            <w:r w:rsidRPr="000500E3">
              <w:rPr>
                <w:color w:val="000000"/>
                <w:sz w:val="20"/>
                <w:szCs w:val="20"/>
              </w:rPr>
              <w:t>Cherokee, Gregg, Rusk</w:t>
            </w:r>
          </w:p>
        </w:tc>
      </w:tr>
      <w:tr w14:paraId="0EC6C575"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159E3D09" w14:textId="77777777">
            <w:pPr>
              <w:spacing w:line="240" w:lineRule="auto"/>
              <w:rPr>
                <w:color w:val="000000"/>
                <w:sz w:val="20"/>
                <w:szCs w:val="20"/>
              </w:rPr>
            </w:pPr>
            <w:r w:rsidRPr="000500E3">
              <w:rPr>
                <w:color w:val="000000"/>
                <w:sz w:val="20"/>
                <w:szCs w:val="20"/>
              </w:rPr>
              <w:t>LA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729831C5" w14:textId="77777777">
            <w:pPr>
              <w:spacing w:line="240" w:lineRule="auto"/>
              <w:rPr>
                <w:color w:val="000000"/>
                <w:sz w:val="20"/>
                <w:szCs w:val="20"/>
              </w:rPr>
            </w:pPr>
            <w:r w:rsidRPr="000500E3">
              <w:rPr>
                <w:color w:val="000000"/>
                <w:sz w:val="20"/>
                <w:szCs w:val="20"/>
              </w:rPr>
              <w:t>Acadia, Allen, Beauregard, Evangeline, Jefferson Davis</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3BA58E9" w14:textId="77777777">
            <w:pPr>
              <w:spacing w:line="240" w:lineRule="auto"/>
              <w:rPr>
                <w:color w:val="000000"/>
                <w:sz w:val="20"/>
                <w:szCs w:val="20"/>
              </w:rPr>
            </w:pPr>
            <w:r w:rsidRPr="000500E3">
              <w:rPr>
                <w:color w:val="000000"/>
                <w:sz w:val="20"/>
                <w:szCs w:val="20"/>
              </w:rPr>
              <w:t>UT</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EF1D6B6" w14:textId="77777777">
            <w:pPr>
              <w:spacing w:line="240" w:lineRule="auto"/>
              <w:rPr>
                <w:color w:val="000000"/>
                <w:sz w:val="20"/>
                <w:szCs w:val="20"/>
              </w:rPr>
            </w:pPr>
            <w:r w:rsidRPr="000500E3">
              <w:rPr>
                <w:color w:val="000000"/>
                <w:sz w:val="20"/>
                <w:szCs w:val="20"/>
              </w:rPr>
              <w:t>Box Elder, Cache, Rich</w:t>
            </w:r>
          </w:p>
        </w:tc>
      </w:tr>
      <w:tr w14:paraId="09EABA33"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7A91DBF6" w14:textId="77777777">
            <w:pPr>
              <w:spacing w:line="240" w:lineRule="auto"/>
              <w:rPr>
                <w:color w:val="000000"/>
                <w:sz w:val="20"/>
                <w:szCs w:val="20"/>
              </w:rPr>
            </w:pPr>
            <w:r w:rsidRPr="000500E3">
              <w:rPr>
                <w:color w:val="000000"/>
                <w:sz w:val="20"/>
                <w:szCs w:val="20"/>
              </w:rPr>
              <w:t>LA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48B070FD" w14:textId="77777777">
            <w:pPr>
              <w:spacing w:line="240" w:lineRule="auto"/>
              <w:rPr>
                <w:color w:val="000000"/>
                <w:sz w:val="20"/>
                <w:szCs w:val="20"/>
              </w:rPr>
            </w:pPr>
            <w:r w:rsidRPr="000500E3">
              <w:rPr>
                <w:color w:val="000000"/>
                <w:sz w:val="20"/>
                <w:szCs w:val="20"/>
              </w:rPr>
              <w:t>Jefferson, Orleans, Plaquemines, St. Bernard, St. Tammany</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3EB873B" w14:textId="77777777">
            <w:pPr>
              <w:spacing w:line="240" w:lineRule="auto"/>
              <w:rPr>
                <w:color w:val="000000"/>
                <w:sz w:val="20"/>
                <w:szCs w:val="20"/>
              </w:rPr>
            </w:pPr>
            <w:r w:rsidRPr="000500E3">
              <w:rPr>
                <w:color w:val="000000"/>
                <w:sz w:val="20"/>
                <w:szCs w:val="20"/>
              </w:rPr>
              <w:t>VA</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6DAFBCCB" w14:textId="77777777">
            <w:pPr>
              <w:spacing w:line="240" w:lineRule="auto"/>
              <w:rPr>
                <w:color w:val="000000"/>
                <w:sz w:val="20"/>
                <w:szCs w:val="20"/>
              </w:rPr>
            </w:pPr>
            <w:r w:rsidRPr="000500E3">
              <w:rPr>
                <w:color w:val="000000"/>
                <w:sz w:val="20"/>
                <w:szCs w:val="20"/>
              </w:rPr>
              <w:t>Gloucester, Henrico, King &amp; Queen, King William, New Kent, Richmond City</w:t>
            </w:r>
          </w:p>
        </w:tc>
      </w:tr>
      <w:tr w14:paraId="27856389"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0CF5F326" w14:textId="77777777">
            <w:pPr>
              <w:spacing w:line="240" w:lineRule="auto"/>
              <w:rPr>
                <w:color w:val="000000"/>
                <w:sz w:val="20"/>
                <w:szCs w:val="20"/>
              </w:rPr>
            </w:pPr>
            <w:r w:rsidRPr="000500E3">
              <w:rPr>
                <w:color w:val="000000"/>
                <w:sz w:val="20"/>
                <w:szCs w:val="20"/>
              </w:rPr>
              <w:t>MA</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527DAA42" w14:textId="77777777">
            <w:pPr>
              <w:spacing w:line="240" w:lineRule="auto"/>
              <w:rPr>
                <w:color w:val="000000"/>
                <w:sz w:val="20"/>
                <w:szCs w:val="20"/>
              </w:rPr>
            </w:pPr>
            <w:r w:rsidRPr="000500E3">
              <w:rPr>
                <w:color w:val="000000"/>
                <w:sz w:val="20"/>
                <w:szCs w:val="20"/>
              </w:rPr>
              <w:t>Middlesex</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9F97B52" w14:textId="77777777">
            <w:pPr>
              <w:spacing w:line="240" w:lineRule="auto"/>
              <w:rPr>
                <w:color w:val="000000"/>
                <w:sz w:val="20"/>
                <w:szCs w:val="20"/>
              </w:rPr>
            </w:pPr>
            <w:r w:rsidRPr="000500E3">
              <w:rPr>
                <w:color w:val="000000"/>
                <w:sz w:val="20"/>
                <w:szCs w:val="20"/>
              </w:rPr>
              <w:t>VT</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2FCCE5C" w14:textId="77777777">
            <w:pPr>
              <w:spacing w:line="240" w:lineRule="auto"/>
              <w:rPr>
                <w:color w:val="000000"/>
                <w:sz w:val="20"/>
                <w:szCs w:val="20"/>
              </w:rPr>
            </w:pPr>
            <w:r w:rsidRPr="000500E3">
              <w:rPr>
                <w:color w:val="000000"/>
                <w:sz w:val="20"/>
                <w:szCs w:val="20"/>
              </w:rPr>
              <w:t>Bennington, Rutland, Windham, Windsor</w:t>
            </w:r>
          </w:p>
        </w:tc>
      </w:tr>
      <w:tr w14:paraId="63ACA12A"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43483684" w14:textId="77777777">
            <w:pPr>
              <w:spacing w:line="240" w:lineRule="auto"/>
              <w:rPr>
                <w:color w:val="000000"/>
                <w:sz w:val="20"/>
                <w:szCs w:val="20"/>
              </w:rPr>
            </w:pPr>
            <w:r w:rsidRPr="000500E3">
              <w:rPr>
                <w:color w:val="000000"/>
                <w:sz w:val="20"/>
                <w:szCs w:val="20"/>
              </w:rPr>
              <w:t>MD</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44604530" w14:textId="77777777">
            <w:pPr>
              <w:spacing w:line="240" w:lineRule="auto"/>
              <w:rPr>
                <w:color w:val="000000"/>
                <w:sz w:val="20"/>
                <w:szCs w:val="20"/>
              </w:rPr>
            </w:pPr>
            <w:r w:rsidRPr="000500E3">
              <w:rPr>
                <w:color w:val="000000"/>
                <w:sz w:val="20"/>
                <w:szCs w:val="20"/>
              </w:rPr>
              <w:t>Allegany, Garrett, Washington</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3C4B171B" w14:textId="77777777">
            <w:pPr>
              <w:spacing w:line="240" w:lineRule="auto"/>
              <w:rPr>
                <w:color w:val="000000"/>
                <w:sz w:val="20"/>
                <w:szCs w:val="20"/>
              </w:rPr>
            </w:pPr>
            <w:r w:rsidRPr="000500E3">
              <w:rPr>
                <w:color w:val="000000"/>
                <w:sz w:val="20"/>
                <w:szCs w:val="20"/>
              </w:rPr>
              <w:t>WA</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7C24A64" w14:textId="77777777">
            <w:pPr>
              <w:spacing w:line="240" w:lineRule="auto"/>
              <w:rPr>
                <w:color w:val="000000"/>
                <w:sz w:val="20"/>
                <w:szCs w:val="20"/>
              </w:rPr>
            </w:pPr>
            <w:r w:rsidRPr="000500E3">
              <w:rPr>
                <w:color w:val="000000"/>
                <w:sz w:val="20"/>
                <w:szCs w:val="20"/>
              </w:rPr>
              <w:t>Klickitat, Yakima</w:t>
            </w:r>
          </w:p>
        </w:tc>
      </w:tr>
      <w:tr w14:paraId="1DA6A052" w14:textId="77777777" w:rsidTr="002B2F80">
        <w:tblPrEx>
          <w:tblW w:w="4968" w:type="pct"/>
          <w:tblLayout w:type="fixed"/>
          <w:tblLook w:val="04A0"/>
        </w:tblPrEx>
        <w:trPr>
          <w:trHeight w:hRule="exact" w:val="281"/>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8D6450" w:rsidRPr="000500E3" w:rsidP="00280050" w14:paraId="70AFA2FE" w14:textId="77777777">
            <w:pPr>
              <w:spacing w:line="240" w:lineRule="auto"/>
              <w:rPr>
                <w:color w:val="000000"/>
                <w:sz w:val="20"/>
                <w:szCs w:val="20"/>
              </w:rPr>
            </w:pPr>
            <w:r w:rsidRPr="000500E3">
              <w:rPr>
                <w:color w:val="000000"/>
                <w:sz w:val="20"/>
                <w:szCs w:val="20"/>
              </w:rPr>
              <w:t>ME</w:t>
            </w:r>
          </w:p>
        </w:tc>
        <w:tc>
          <w:tcPr>
            <w:tcW w:w="2191"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D0CE934" w14:textId="77777777">
            <w:pPr>
              <w:spacing w:line="240" w:lineRule="auto"/>
              <w:rPr>
                <w:color w:val="000000"/>
                <w:sz w:val="20"/>
                <w:szCs w:val="20"/>
              </w:rPr>
            </w:pPr>
            <w:r w:rsidRPr="000500E3">
              <w:rPr>
                <w:color w:val="000000"/>
                <w:sz w:val="20"/>
                <w:szCs w:val="20"/>
              </w:rPr>
              <w:t>Franklin, Kennebec, Lincoln</w:t>
            </w:r>
          </w:p>
        </w:tc>
        <w:tc>
          <w:tcPr>
            <w:tcW w:w="250"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135B3E58" w14:textId="77777777">
            <w:pPr>
              <w:spacing w:line="240" w:lineRule="auto"/>
              <w:rPr>
                <w:color w:val="000000"/>
                <w:sz w:val="20"/>
                <w:szCs w:val="20"/>
              </w:rPr>
            </w:pPr>
            <w:r w:rsidRPr="000500E3">
              <w:rPr>
                <w:color w:val="000000"/>
                <w:sz w:val="20"/>
                <w:szCs w:val="20"/>
              </w:rPr>
              <w:t>WI</w:t>
            </w:r>
          </w:p>
        </w:tc>
        <w:tc>
          <w:tcPr>
            <w:tcW w:w="2312" w:type="pct"/>
            <w:tcBorders>
              <w:top w:val="nil"/>
              <w:left w:val="nil"/>
              <w:bottom w:val="single" w:sz="4" w:space="0" w:color="auto"/>
              <w:right w:val="single" w:sz="4" w:space="0" w:color="auto"/>
            </w:tcBorders>
            <w:shd w:val="clear" w:color="auto" w:fill="auto"/>
            <w:noWrap/>
            <w:vAlign w:val="bottom"/>
            <w:hideMark/>
          </w:tcPr>
          <w:p w:rsidR="008D6450" w:rsidRPr="000500E3" w:rsidP="00280050" w14:paraId="2E737044" w14:textId="77777777">
            <w:pPr>
              <w:spacing w:line="240" w:lineRule="auto"/>
              <w:rPr>
                <w:color w:val="000000"/>
                <w:sz w:val="20"/>
                <w:szCs w:val="20"/>
              </w:rPr>
            </w:pPr>
            <w:r w:rsidRPr="000500E3">
              <w:rPr>
                <w:color w:val="000000"/>
                <w:sz w:val="20"/>
                <w:szCs w:val="20"/>
              </w:rPr>
              <w:t>Columbia, Dane, Iowa</w:t>
            </w:r>
          </w:p>
        </w:tc>
      </w:tr>
    </w:tbl>
    <w:p w:rsidR="002B2F80" w:rsidP="007476A1" w14:paraId="571948DA" w14:textId="77777777">
      <w:pPr>
        <w:spacing w:line="240" w:lineRule="auto"/>
        <w:rPr>
          <w:rFonts w:ascii="TimesNewRomanPSMT" w:hAnsi="TimesNewRomanPSMT"/>
          <w:color w:val="000000"/>
        </w:rPr>
        <w:sectPr w:rsidSect="00C57FAE">
          <w:headerReference w:type="default" r:id="rId12"/>
          <w:footerReference w:type="default" r:id="rId13"/>
          <w:pgSz w:w="15840" w:h="12240" w:orient="landscape"/>
          <w:pgMar w:top="864" w:right="864" w:bottom="864" w:left="864" w:header="720" w:footer="720" w:gutter="0"/>
          <w:cols w:space="720"/>
          <w:docGrid w:linePitch="360"/>
        </w:sectPr>
      </w:pPr>
    </w:p>
    <w:p w:rsidR="009D0751" w:rsidP="00063C1E" w14:paraId="04D9352D" w14:textId="461FCEDD">
      <w:pPr>
        <w:spacing w:line="240" w:lineRule="auto"/>
        <w:rPr>
          <w:rStyle w:val="Heading8Char"/>
        </w:rPr>
      </w:pPr>
      <w:bookmarkStart w:id="15" w:name="_Ref520208164"/>
      <w:r>
        <w:rPr>
          <w:rStyle w:val="fontstyle01"/>
          <w:rFonts w:ascii="Times New Roman" w:hAnsi="Times New Roman" w:eastAsiaTheme="minorEastAsia"/>
        </w:rPr>
        <w:t>Study 1</w:t>
      </w:r>
      <w:r w:rsidRPr="24F88664" w:rsidR="004C49BC">
        <w:rPr>
          <w:rStyle w:val="fontstyle01"/>
          <w:rFonts w:ascii="Times New Roman" w:hAnsi="Times New Roman" w:eastAsiaTheme="minorEastAsia"/>
        </w:rPr>
        <w:t xml:space="preserve"> will begin with a base sample consisting of the 60 CRSS PSUs. If there are any issues with participation among the original 60 CRSS PSUs, </w:t>
      </w:r>
      <w:r w:rsidRPr="004243A9" w:rsidR="00786623">
        <w:rPr>
          <w:rStyle w:val="fontstyle01"/>
          <w:rFonts w:ascii="Times New Roman" w:hAnsi="Times New Roman"/>
        </w:rPr>
        <w:t>the study</w:t>
      </w:r>
      <w:r w:rsidRPr="001A7476" w:rsidR="004C49BC">
        <w:rPr>
          <w:rStyle w:val="fontstyle01"/>
          <w:rFonts w:ascii="Times New Roman" w:hAnsi="Times New Roman" w:eastAsiaTheme="minorHAnsi"/>
        </w:rPr>
        <w:t xml:space="preserve"> </w:t>
      </w:r>
      <w:r w:rsidRPr="24F88664" w:rsidR="004C49BC">
        <w:rPr>
          <w:rStyle w:val="fontstyle01"/>
          <w:rFonts w:ascii="Times New Roman" w:hAnsi="Times New Roman" w:eastAsiaTheme="minorEastAsia"/>
        </w:rPr>
        <w:t xml:space="preserve">will expand the sample to include PSUs from the larger set of PSUs (707 in total). The expanded sample would reflect the known stratification and size measures of the larger PSU set and, like the original 60 CRSS PSU sample, would not be a simple random sample. Selecting the expanded sample of PSUs alters the overall selection probabilities because PSUs had more than one opportunity to enter the combined sample. </w:t>
      </w:r>
      <w:r w:rsidRPr="24F88664" w:rsidR="007A3F1D">
        <w:rPr>
          <w:rStyle w:val="fontstyle01"/>
          <w:rFonts w:ascii="Times New Roman" w:hAnsi="Times New Roman" w:eastAsiaTheme="minorEastAsia"/>
        </w:rPr>
        <w:t>The study statisticians will use</w:t>
      </w:r>
      <w:r w:rsidRPr="24F88664" w:rsidR="004C49BC">
        <w:rPr>
          <w:rStyle w:val="fontstyle01"/>
          <w:rFonts w:ascii="Times New Roman" w:hAnsi="Times New Roman" w:eastAsiaTheme="minorEastAsia"/>
        </w:rPr>
        <w:t xml:space="preserve"> standard techniques for dual frame samples to compute the correct selection probabilities</w:t>
      </w:r>
      <w:r>
        <w:rPr>
          <w:rStyle w:val="fontstyle01"/>
        </w:rPr>
        <w:t>.</w:t>
      </w:r>
      <w:r w:rsidRPr="00063C1E" w:rsidR="00063C1E">
        <w:rPr>
          <w:rStyle w:val="Heading8Char"/>
        </w:rPr>
        <w:t xml:space="preserve"> </w:t>
      </w:r>
    </w:p>
    <w:p w:rsidR="009D0751" w:rsidP="00063C1E" w14:paraId="0B716606" w14:textId="77777777">
      <w:pPr>
        <w:spacing w:line="240" w:lineRule="auto"/>
        <w:rPr>
          <w:rStyle w:val="Heading8Char"/>
        </w:rPr>
      </w:pPr>
    </w:p>
    <w:p w:rsidR="00063C1E" w:rsidP="47C812E3" w14:paraId="577252A7" w14:textId="078E3969">
      <w:pPr>
        <w:spacing w:line="240" w:lineRule="auto"/>
        <w:rPr>
          <w:rStyle w:val="fontstyle01"/>
          <w:rFonts w:ascii="Times New Roman" w:hAnsi="Times New Roman"/>
        </w:rPr>
      </w:pPr>
      <w:r w:rsidRPr="47C812E3">
        <w:rPr>
          <w:rStyle w:val="fontstyle01"/>
          <w:rFonts w:ascii="Times New Roman" w:hAnsi="Times New Roman" w:eastAsiaTheme="minorEastAsia"/>
        </w:rPr>
        <w:t>I</w:t>
      </w:r>
      <w:r w:rsidRPr="47C812E3">
        <w:rPr>
          <w:rStyle w:val="fontstyle01"/>
          <w:rFonts w:ascii="Times New Roman" w:hAnsi="Times New Roman" w:eastAsiaTheme="minorEastAsia"/>
        </w:rPr>
        <w:t xml:space="preserve">f a CRSS PSU contains only one county, that county will serve as the </w:t>
      </w:r>
      <w:r w:rsidR="006C49E0">
        <w:rPr>
          <w:rStyle w:val="fontstyle01"/>
          <w:rFonts w:ascii="Times New Roman" w:hAnsi="Times New Roman" w:eastAsiaTheme="minorEastAsia"/>
        </w:rPr>
        <w:t>Study 1</w:t>
      </w:r>
      <w:r w:rsidRPr="47C812E3">
        <w:rPr>
          <w:rStyle w:val="fontstyle01"/>
          <w:rFonts w:ascii="Times New Roman" w:hAnsi="Times New Roman" w:eastAsiaTheme="minorEastAsia"/>
        </w:rPr>
        <w:t xml:space="preserve"> PSU. If the CRSS PSU contains more than one county, the </w:t>
      </w:r>
      <w:r w:rsidR="007F53D1">
        <w:rPr>
          <w:rStyle w:val="fontstyle01"/>
          <w:rFonts w:ascii="Times New Roman" w:hAnsi="Times New Roman" w:eastAsiaTheme="minorEastAsia"/>
        </w:rPr>
        <w:t>study</w:t>
      </w:r>
      <w:r w:rsidRPr="47C812E3">
        <w:rPr>
          <w:rStyle w:val="fontstyle01"/>
          <w:rFonts w:ascii="Times New Roman" w:hAnsi="Times New Roman" w:eastAsiaTheme="minorEastAsia"/>
        </w:rPr>
        <w:t xml:space="preserve"> will randomly select one or more counties to represent the entire PSU</w:t>
      </w:r>
      <w:r w:rsidR="007F53D1">
        <w:rPr>
          <w:rStyle w:val="fontstyle01"/>
          <w:rFonts w:ascii="Times New Roman" w:hAnsi="Times New Roman" w:eastAsiaTheme="minorEastAsia"/>
        </w:rPr>
        <w:t xml:space="preserve"> to reduce travel burden</w:t>
      </w:r>
      <w:r w:rsidRPr="47C812E3">
        <w:rPr>
          <w:rStyle w:val="fontstyle01"/>
          <w:rFonts w:ascii="Times New Roman" w:hAnsi="Times New Roman" w:eastAsiaTheme="minorEastAsia"/>
        </w:rPr>
        <w:t>.</w:t>
      </w:r>
      <w:r w:rsidR="00772C41">
        <w:rPr>
          <w:rStyle w:val="fontstyle01"/>
          <w:rFonts w:ascii="Times New Roman" w:hAnsi="Times New Roman" w:eastAsiaTheme="minorEastAsia"/>
        </w:rPr>
        <w:t xml:space="preserve"> </w:t>
      </w:r>
      <w:r w:rsidR="001F2481">
        <w:rPr>
          <w:rStyle w:val="fontstyle01"/>
          <w:rFonts w:ascii="Times New Roman" w:hAnsi="Times New Roman" w:eastAsiaTheme="minorEastAsia"/>
        </w:rPr>
        <w:t xml:space="preserve">A random number generator will be used to assign each county a value </w:t>
      </w:r>
      <w:r w:rsidR="00A07F61">
        <w:rPr>
          <w:rStyle w:val="fontstyle01"/>
          <w:rFonts w:ascii="Times New Roman" w:hAnsi="Times New Roman" w:eastAsiaTheme="minorEastAsia"/>
        </w:rPr>
        <w:t>between</w:t>
      </w:r>
      <w:r w:rsidR="001F2481">
        <w:rPr>
          <w:rStyle w:val="fontstyle01"/>
          <w:rFonts w:ascii="Times New Roman" w:hAnsi="Times New Roman" w:eastAsiaTheme="minorEastAsia"/>
        </w:rPr>
        <w:t xml:space="preserve"> 1 </w:t>
      </w:r>
      <w:r w:rsidR="00A07F61">
        <w:rPr>
          <w:rStyle w:val="fontstyle01"/>
          <w:rFonts w:ascii="Times New Roman" w:hAnsi="Times New Roman" w:eastAsiaTheme="minorEastAsia"/>
        </w:rPr>
        <w:t>and</w:t>
      </w:r>
      <w:r w:rsidR="001F2481">
        <w:rPr>
          <w:rStyle w:val="fontstyle01"/>
          <w:rFonts w:ascii="Times New Roman" w:hAnsi="Times New Roman" w:eastAsiaTheme="minorEastAsia"/>
        </w:rPr>
        <w:t xml:space="preserve"> X </w:t>
      </w:r>
      <w:r w:rsidR="00CC3D43">
        <w:rPr>
          <w:rStyle w:val="fontstyle01"/>
          <w:rFonts w:ascii="Times New Roman" w:hAnsi="Times New Roman" w:eastAsiaTheme="minorEastAsia"/>
        </w:rPr>
        <w:t>(X = the highest sequential number used for the counties)</w:t>
      </w:r>
      <w:r w:rsidR="001A2D7D">
        <w:rPr>
          <w:rStyle w:val="fontstyle01"/>
          <w:rFonts w:ascii="Times New Roman" w:hAnsi="Times New Roman" w:eastAsiaTheme="minorEastAsia"/>
        </w:rPr>
        <w:t>.</w:t>
      </w:r>
      <w:r w:rsidR="00BE52F7">
        <w:rPr>
          <w:rStyle w:val="fontstyle01"/>
          <w:rFonts w:ascii="Times New Roman" w:hAnsi="Times New Roman" w:eastAsiaTheme="minorEastAsia"/>
        </w:rPr>
        <w:t xml:space="preserve"> </w:t>
      </w:r>
      <w:r w:rsidR="00101AC1">
        <w:rPr>
          <w:rStyle w:val="fontstyle01"/>
          <w:rFonts w:ascii="Times New Roman" w:hAnsi="Times New Roman" w:eastAsiaTheme="minorEastAsia"/>
        </w:rPr>
        <w:t>The county assigned a value of 1 will be selected</w:t>
      </w:r>
      <w:r w:rsidR="004B056A">
        <w:rPr>
          <w:rStyle w:val="fontstyle01"/>
          <w:rFonts w:ascii="Times New Roman" w:hAnsi="Times New Roman" w:eastAsiaTheme="minorEastAsia"/>
        </w:rPr>
        <w:t xml:space="preserve"> for the study</w:t>
      </w:r>
      <w:r w:rsidR="00101AC1">
        <w:rPr>
          <w:rStyle w:val="fontstyle01"/>
          <w:rFonts w:ascii="Times New Roman" w:hAnsi="Times New Roman" w:eastAsiaTheme="minorEastAsia"/>
        </w:rPr>
        <w:t xml:space="preserve">. </w:t>
      </w:r>
      <w:r w:rsidR="004B056A">
        <w:rPr>
          <w:rStyle w:val="fontstyle01"/>
          <w:rFonts w:ascii="Times New Roman" w:hAnsi="Times New Roman" w:eastAsiaTheme="minorEastAsia"/>
        </w:rPr>
        <w:t>If</w:t>
      </w:r>
      <w:r w:rsidR="00101AC1">
        <w:rPr>
          <w:rStyle w:val="fontstyle01"/>
          <w:rFonts w:ascii="Times New Roman" w:hAnsi="Times New Roman" w:eastAsiaTheme="minorEastAsia"/>
        </w:rPr>
        <w:t xml:space="preserve"> </w:t>
      </w:r>
      <w:r w:rsidR="004B056A">
        <w:rPr>
          <w:rStyle w:val="fontstyle01"/>
          <w:rFonts w:ascii="Times New Roman" w:hAnsi="Times New Roman" w:eastAsiaTheme="minorEastAsia"/>
        </w:rPr>
        <w:t xml:space="preserve">that </w:t>
      </w:r>
      <w:r w:rsidR="00101AC1">
        <w:rPr>
          <w:rStyle w:val="fontstyle01"/>
          <w:rFonts w:ascii="Times New Roman" w:hAnsi="Times New Roman" w:eastAsiaTheme="minorEastAsia"/>
        </w:rPr>
        <w:t>county cannot participate, the county assigned the value of 2 will be selected and so forth</w:t>
      </w:r>
      <w:r w:rsidR="00FC3938">
        <w:rPr>
          <w:rStyle w:val="fontstyle01"/>
          <w:rFonts w:ascii="Times New Roman" w:hAnsi="Times New Roman" w:eastAsiaTheme="minorEastAsia"/>
        </w:rPr>
        <w:t xml:space="preserve"> until a viable county is identified</w:t>
      </w:r>
      <w:r w:rsidR="00101AC1">
        <w:rPr>
          <w:rStyle w:val="fontstyle01"/>
          <w:rFonts w:ascii="Times New Roman" w:hAnsi="Times New Roman" w:eastAsiaTheme="minorEastAsia"/>
        </w:rPr>
        <w:t>.</w:t>
      </w:r>
      <w:r w:rsidR="001A2D7D">
        <w:rPr>
          <w:rStyle w:val="fontstyle01"/>
          <w:rFonts w:ascii="Times New Roman" w:hAnsi="Times New Roman" w:eastAsiaTheme="minorEastAsia"/>
        </w:rPr>
        <w:t xml:space="preserve"> </w:t>
      </w:r>
      <w:r w:rsidRPr="47C812E3" w:rsidR="00616688">
        <w:rPr>
          <w:rStyle w:val="fontstyle01"/>
          <w:rFonts w:ascii="Times New Roman" w:hAnsi="Times New Roman" w:eastAsiaTheme="minorEastAsia"/>
        </w:rPr>
        <w:t>Study staff will coordinate with the NHTSA Contracting Officer’s Representative (COR)</w:t>
      </w:r>
      <w:r w:rsidR="00280050">
        <w:rPr>
          <w:rStyle w:val="fontstyle01"/>
          <w:rFonts w:ascii="Times New Roman" w:hAnsi="Times New Roman" w:eastAsiaTheme="minorEastAsia"/>
        </w:rPr>
        <w:t xml:space="preserve"> throughout this process</w:t>
      </w:r>
      <w:r w:rsidR="00ED6B90">
        <w:rPr>
          <w:rStyle w:val="fontstyle01"/>
          <w:rFonts w:ascii="Times New Roman" w:hAnsi="Times New Roman" w:eastAsiaTheme="minorEastAsia"/>
        </w:rPr>
        <w:t xml:space="preserve">. The </w:t>
      </w:r>
      <w:r w:rsidR="006A0C65">
        <w:rPr>
          <w:rStyle w:val="fontstyle01"/>
          <w:rFonts w:ascii="Times New Roman" w:hAnsi="Times New Roman" w:eastAsiaTheme="minorEastAsia"/>
        </w:rPr>
        <w:t>study team</w:t>
      </w:r>
      <w:r w:rsidR="00ED6B90">
        <w:rPr>
          <w:rStyle w:val="fontstyle01"/>
          <w:rFonts w:ascii="Times New Roman" w:hAnsi="Times New Roman" w:eastAsiaTheme="minorEastAsia"/>
        </w:rPr>
        <w:t xml:space="preserve"> will</w:t>
      </w:r>
      <w:r w:rsidRPr="47C812E3" w:rsidR="00616688">
        <w:rPr>
          <w:rStyle w:val="fontstyle01"/>
          <w:rFonts w:ascii="Times New Roman" w:hAnsi="Times New Roman" w:eastAsiaTheme="minorEastAsia"/>
        </w:rPr>
        <w:t xml:space="preserve"> contact officials at the State </w:t>
      </w:r>
      <w:r w:rsidR="00531EE5">
        <w:rPr>
          <w:rStyle w:val="fontstyle01"/>
          <w:rFonts w:ascii="Times New Roman" w:hAnsi="Times New Roman" w:eastAsiaTheme="minorEastAsia"/>
        </w:rPr>
        <w:t>level</w:t>
      </w:r>
      <w:r w:rsidR="000B00A6">
        <w:rPr>
          <w:rStyle w:val="fontstyle01"/>
          <w:rFonts w:ascii="Times New Roman" w:hAnsi="Times New Roman" w:eastAsiaTheme="minorEastAsia"/>
        </w:rPr>
        <w:t>,</w:t>
      </w:r>
      <w:r w:rsidR="00531EE5">
        <w:rPr>
          <w:rStyle w:val="fontstyle01"/>
          <w:rFonts w:ascii="Times New Roman" w:hAnsi="Times New Roman" w:eastAsiaTheme="minorEastAsia"/>
        </w:rPr>
        <w:t xml:space="preserve"> and project staff will </w:t>
      </w:r>
      <w:r w:rsidR="005C0B38">
        <w:rPr>
          <w:rStyle w:val="fontstyle01"/>
          <w:rFonts w:ascii="Times New Roman" w:hAnsi="Times New Roman" w:eastAsiaTheme="minorEastAsia"/>
        </w:rPr>
        <w:t>make contacts at the</w:t>
      </w:r>
      <w:r w:rsidRPr="47C812E3" w:rsidR="00616688">
        <w:rPr>
          <w:rStyle w:val="fontstyle01"/>
          <w:rFonts w:ascii="Times New Roman" w:hAnsi="Times New Roman" w:eastAsiaTheme="minorEastAsia"/>
        </w:rPr>
        <w:t xml:space="preserve"> local level for each selected county</w:t>
      </w:r>
      <w:r w:rsidR="00616688">
        <w:rPr>
          <w:rStyle w:val="fontstyle01"/>
          <w:rFonts w:ascii="Times New Roman" w:hAnsi="Times New Roman" w:eastAsiaTheme="minorEastAsia"/>
        </w:rPr>
        <w:t xml:space="preserve"> to explain the study</w:t>
      </w:r>
      <w:r w:rsidR="00ED6B90">
        <w:rPr>
          <w:rStyle w:val="fontstyle01"/>
          <w:rFonts w:ascii="Times New Roman" w:hAnsi="Times New Roman" w:eastAsiaTheme="minorEastAsia"/>
        </w:rPr>
        <w:t xml:space="preserve"> and invite participation</w:t>
      </w:r>
      <w:r w:rsidR="00684503">
        <w:rPr>
          <w:rStyle w:val="fontstyle01"/>
          <w:rFonts w:ascii="Times New Roman" w:hAnsi="Times New Roman" w:eastAsiaTheme="minorEastAsia"/>
        </w:rPr>
        <w:t>.</w:t>
      </w:r>
      <w:r w:rsidR="00280050">
        <w:rPr>
          <w:rStyle w:val="fontstyle01"/>
          <w:rFonts w:ascii="Times New Roman" w:hAnsi="Times New Roman" w:eastAsiaTheme="minorEastAsia"/>
        </w:rPr>
        <w:t xml:space="preserve"> </w:t>
      </w:r>
      <w:r w:rsidRPr="47C812E3">
        <w:rPr>
          <w:rStyle w:val="fontstyle01"/>
          <w:rFonts w:ascii="Times New Roman" w:hAnsi="Times New Roman" w:eastAsiaTheme="minorEastAsia"/>
        </w:rPr>
        <w:t>If the first county</w:t>
      </w:r>
      <w:r w:rsidR="00616688">
        <w:rPr>
          <w:rStyle w:val="fontstyle01"/>
          <w:rFonts w:ascii="Times New Roman" w:hAnsi="Times New Roman" w:eastAsiaTheme="minorEastAsia"/>
        </w:rPr>
        <w:t>’s representative</w:t>
      </w:r>
      <w:r w:rsidR="00ED6B90">
        <w:rPr>
          <w:rStyle w:val="fontstyle01"/>
          <w:rFonts w:ascii="Times New Roman" w:hAnsi="Times New Roman" w:eastAsiaTheme="minorEastAsia"/>
        </w:rPr>
        <w:t>s</w:t>
      </w:r>
      <w:r w:rsidR="007F53D1">
        <w:rPr>
          <w:rStyle w:val="fontstyle01"/>
          <w:rFonts w:ascii="Times New Roman" w:hAnsi="Times New Roman" w:eastAsiaTheme="minorEastAsia"/>
        </w:rPr>
        <w:t xml:space="preserve"> </w:t>
      </w:r>
      <w:r w:rsidRPr="47C812E3">
        <w:rPr>
          <w:rStyle w:val="fontstyle01"/>
          <w:rFonts w:ascii="Times New Roman" w:hAnsi="Times New Roman" w:eastAsiaTheme="minorEastAsia"/>
        </w:rPr>
        <w:t xml:space="preserve">decline to participate, the second county will be selected, and so on. </w:t>
      </w:r>
      <w:bookmarkStart w:id="16" w:name="OLE_LINK2"/>
      <w:r w:rsidRPr="47C812E3">
        <w:rPr>
          <w:rStyle w:val="fontstyle01"/>
          <w:rFonts w:ascii="Times New Roman" w:hAnsi="Times New Roman" w:eastAsiaTheme="minorEastAsia"/>
        </w:rPr>
        <w:t xml:space="preserve">Characteristics of counties unwilling to participate will be noted for possible nonresponse weighting adjustments. </w:t>
      </w:r>
      <w:bookmarkEnd w:id="16"/>
      <w:r w:rsidRPr="47C812E3">
        <w:rPr>
          <w:rStyle w:val="fontstyle01"/>
          <w:rFonts w:ascii="Times New Roman" w:hAnsi="Times New Roman" w:eastAsiaTheme="minorEastAsia"/>
        </w:rPr>
        <w:t xml:space="preserve">Analysts can make weighting adjustments to account for differential participation. For example, if urban counties are more likely to decline participation than rural counties, the participating urban counties would be underrepresented in NRS data and would need to be upweighted, while rural counties would be overrepresented and would need to </w:t>
      </w:r>
      <w:r w:rsidRPr="47C812E3">
        <w:rPr>
          <w:rStyle w:val="fontstyle01"/>
          <w:rFonts w:ascii="Times New Roman" w:hAnsi="Times New Roman"/>
        </w:rPr>
        <w:t xml:space="preserve">be </w:t>
      </w:r>
      <w:r w:rsidRPr="47C812E3" w:rsidR="00926D1C">
        <w:rPr>
          <w:rStyle w:val="fontstyle01"/>
          <w:rFonts w:ascii="Times New Roman" w:hAnsi="Times New Roman"/>
        </w:rPr>
        <w:t>down</w:t>
      </w:r>
      <w:r w:rsidR="00DB4FA2">
        <w:rPr>
          <w:rStyle w:val="fontstyle01"/>
          <w:rFonts w:ascii="Times New Roman" w:hAnsi="Times New Roman"/>
        </w:rPr>
        <w:t xml:space="preserve"> </w:t>
      </w:r>
      <w:r w:rsidRPr="47C812E3" w:rsidR="00926D1C">
        <w:rPr>
          <w:rStyle w:val="fontstyle01"/>
          <w:rFonts w:ascii="Times New Roman" w:hAnsi="Times New Roman"/>
        </w:rPr>
        <w:t>weighted</w:t>
      </w:r>
      <w:r w:rsidRPr="47C812E3">
        <w:rPr>
          <w:rStyle w:val="fontstyle01"/>
          <w:rFonts w:ascii="Times New Roman" w:hAnsi="Times New Roman"/>
        </w:rPr>
        <w:t xml:space="preserve">. </w:t>
      </w:r>
    </w:p>
    <w:p w:rsidR="00926D1C" w:rsidRPr="00E3616E" w:rsidP="47C812E3" w14:paraId="7E34739A" w14:textId="77777777">
      <w:pPr>
        <w:spacing w:line="240" w:lineRule="auto"/>
        <w:rPr>
          <w:b/>
          <w:bCs/>
          <w:i/>
          <w:iCs/>
        </w:rPr>
      </w:pPr>
      <w:bookmarkStart w:id="17" w:name="_Toc135826174"/>
    </w:p>
    <w:p w:rsidR="00332FFC" w:rsidRPr="00E3616E" w:rsidP="00926D1C" w14:paraId="337B1B30" w14:textId="77777777">
      <w:pPr>
        <w:spacing w:line="240" w:lineRule="auto"/>
        <w:rPr>
          <w:i/>
          <w:iCs/>
        </w:rPr>
      </w:pPr>
      <w:r w:rsidRPr="00E3616E">
        <w:rPr>
          <w:b/>
          <w:bCs/>
          <w:i/>
          <w:iCs/>
        </w:rPr>
        <w:t>Stage 2</w:t>
      </w:r>
    </w:p>
    <w:bookmarkEnd w:id="17"/>
    <w:p w:rsidR="007707E7" w:rsidRPr="00926D1C" w:rsidP="00926D1C" w14:paraId="50FE5692" w14:textId="3D5A1335">
      <w:pPr>
        <w:spacing w:line="240" w:lineRule="auto"/>
      </w:pPr>
      <w:r w:rsidRPr="00926D1C">
        <w:t>The Stage 2 selection process for data collection locations within counties will begin once cooperation has been established at the State and local levels</w:t>
      </w:r>
      <w:r w:rsidR="00ED6B90">
        <w:t>.</w:t>
      </w:r>
      <w:r w:rsidRPr="00926D1C">
        <w:t xml:space="preserve"> Once cooperation is obtained</w:t>
      </w:r>
      <w:r w:rsidR="00ED6B90">
        <w:t xml:space="preserve"> from the local representatives</w:t>
      </w:r>
      <w:r w:rsidRPr="00926D1C">
        <w:t xml:space="preserve">, the study team will begin dissecting the county into one-mile square grids from which a random sample of </w:t>
      </w:r>
      <w:r w:rsidR="00444720">
        <w:t>squares</w:t>
      </w:r>
      <w:r w:rsidRPr="00926D1C">
        <w:t xml:space="preserve"> will be identified (</w:t>
      </w:r>
      <w:r w:rsidR="007A3F1D">
        <w:fldChar w:fldCharType="begin"/>
      </w:r>
      <w:r w:rsidR="007A3F1D">
        <w:instrText xml:space="preserve"> REF _Ref136278287 \r \h </w:instrText>
      </w:r>
      <w:r w:rsidR="007A3F1D">
        <w:fldChar w:fldCharType="separate"/>
      </w:r>
      <w:r w:rsidR="00954824">
        <w:t>Figure 2</w:t>
      </w:r>
      <w:r w:rsidR="007A3F1D">
        <w:fldChar w:fldCharType="end"/>
      </w:r>
      <w:r w:rsidRPr="00926D1C">
        <w:t xml:space="preserve">). Squares with expansive uninhabited areas (e.g., lakes, forests) will be removed from the list before random selection begins. The remaining one-mile squares will be assigned a sequential number starting in the left uppermost corner of the county and then proceeding down until the square in the bottom rightmost corner has been assigned a number. A random number generator will then be used to assign a value between 1 and X (X = the highest sequential number used for the grids) to each square. The list of squares will then be sorted by the randomly generated number values. The locations assigned </w:t>
      </w:r>
      <w:r w:rsidRPr="00926D1C" w:rsidR="0011144F">
        <w:t>randomly</w:t>
      </w:r>
      <w:r w:rsidRPr="00926D1C">
        <w:t xml:space="preserve"> generated numbers 1-5 will then be explored for viable roadside locations using the </w:t>
      </w:r>
      <w:r w:rsidR="00026F57">
        <w:t xml:space="preserve">Stage 3 </w:t>
      </w:r>
      <w:r w:rsidRPr="00926D1C">
        <w:t xml:space="preserve">process described below. Another 25 randomly selected squares will be identified in each PSU in case more locations must be contacted due to property owners or local officials declining to participate.   </w:t>
      </w:r>
    </w:p>
    <w:p w:rsidR="007707E7" w:rsidP="007707E7" w14:paraId="484BF428" w14:textId="77777777">
      <w:r>
        <w:rPr>
          <w:noProof/>
        </w:rPr>
        <w:drawing>
          <wp:inline distT="0" distB="0" distL="0" distR="0">
            <wp:extent cx="6069326" cy="1923898"/>
            <wp:effectExtent l="19050" t="19050" r="27305" b="19685"/>
            <wp:docPr id="444721357" name="Picture 444721357" descr="A picture containing diagram, text, pla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21357" name="Picture 444721357" descr="A picture containing diagram, text, plan, line&#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69326" cy="1923898"/>
                    </a:xfrm>
                    <a:prstGeom prst="rect">
                      <a:avLst/>
                    </a:prstGeom>
                    <a:ln>
                      <a:solidFill>
                        <a:schemeClr val="tx1"/>
                      </a:solidFill>
                    </a:ln>
                  </pic:spPr>
                </pic:pic>
              </a:graphicData>
            </a:graphic>
          </wp:inline>
        </w:drawing>
      </w:r>
    </w:p>
    <w:p w:rsidR="007707E7" w:rsidRPr="00AA5321" w:rsidP="007707E7" w14:paraId="24E2898F" w14:textId="36AD7921">
      <w:pPr>
        <w:pStyle w:val="Figure"/>
        <w:spacing w:after="0" w:line="240" w:lineRule="auto"/>
        <w:rPr>
          <w:rFonts w:ascii="Times New Roman" w:hAnsi="Times New Roman" w:cs="Times New Roman"/>
          <w:sz w:val="24"/>
          <w:szCs w:val="24"/>
        </w:rPr>
      </w:pPr>
      <w:bookmarkStart w:id="18" w:name="_Ref136278287"/>
      <w:r>
        <w:rPr>
          <w:rFonts w:ascii="Times New Roman" w:hAnsi="Times New Roman" w:cs="Times New Roman"/>
          <w:sz w:val="24"/>
          <w:szCs w:val="24"/>
        </w:rPr>
        <w:t xml:space="preserve">Stage 2 and 3 </w:t>
      </w:r>
      <w:r w:rsidR="004F00D2">
        <w:rPr>
          <w:rFonts w:ascii="Times New Roman" w:hAnsi="Times New Roman" w:cs="Times New Roman"/>
          <w:sz w:val="24"/>
          <w:szCs w:val="24"/>
        </w:rPr>
        <w:t>Data Collection Location</w:t>
      </w:r>
      <w:r w:rsidRPr="008003ED">
        <w:rPr>
          <w:rFonts w:ascii="Times New Roman" w:hAnsi="Times New Roman" w:cs="Times New Roman"/>
          <w:sz w:val="24"/>
          <w:szCs w:val="24"/>
        </w:rPr>
        <w:t xml:space="preserve"> Selection</w:t>
      </w:r>
      <w:bookmarkEnd w:id="18"/>
    </w:p>
    <w:p w:rsidR="007707E7" w:rsidP="007707E7" w14:paraId="21C4036D" w14:textId="77777777"/>
    <w:p w:rsidR="00270738" w:rsidRPr="00C41877" w:rsidP="00F04B45" w14:paraId="4BA98224" w14:textId="77777777">
      <w:pPr>
        <w:spacing w:line="240" w:lineRule="auto"/>
        <w:rPr>
          <w:i/>
          <w:iCs/>
        </w:rPr>
      </w:pPr>
      <w:r w:rsidRPr="00C41877">
        <w:rPr>
          <w:b/>
          <w:bCs/>
          <w:i/>
          <w:iCs/>
        </w:rPr>
        <w:t>Stage 3</w:t>
      </w:r>
    </w:p>
    <w:p w:rsidR="007707E7" w:rsidP="00F04B45" w14:paraId="17FF0ABD" w14:textId="5838F101">
      <w:pPr>
        <w:spacing w:line="240" w:lineRule="auto"/>
      </w:pPr>
      <w:r w:rsidRPr="009C02DA">
        <w:t xml:space="preserve">The next step will </w:t>
      </w:r>
      <w:r>
        <w:t>involve</w:t>
      </w:r>
      <w:r w:rsidRPr="009C02DA">
        <w:t xml:space="preserve"> identify</w:t>
      </w:r>
      <w:r>
        <w:t>ing</w:t>
      </w:r>
      <w:r w:rsidRPr="009C02DA">
        <w:t xml:space="preserve"> one roadway segment</w:t>
      </w:r>
      <w:r>
        <w:t xml:space="preserve"> using Google Maps®</w:t>
      </w:r>
      <w:r w:rsidRPr="009C02DA">
        <w:t xml:space="preserve"> in each selected square</w:t>
      </w:r>
      <w:r>
        <w:t xml:space="preserve"> that will be the roadway from which drivers are recruited</w:t>
      </w:r>
      <w:r w:rsidRPr="009C02DA">
        <w:t>.</w:t>
      </w:r>
      <w:r w:rsidR="009A755B">
        <w:t xml:space="preserve"> The study team must then work with local officials </w:t>
      </w:r>
      <w:r w:rsidR="0061004A">
        <w:t>to identify a suitable location for safe collection of data at the roadside.</w:t>
      </w:r>
      <w:r w:rsidRPr="009C02DA">
        <w:t xml:space="preserve"> There must be off-road parking with space for survey bays. The intent is to provide </w:t>
      </w:r>
      <w:r>
        <w:t>the research team and all potential participants</w:t>
      </w:r>
      <w:r w:rsidRPr="009C02DA">
        <w:t xml:space="preserve"> with a safe space to interact. The location needs to provide sufficient viewing distance to allow drivers to see a researcher at the roadside and safely slow down to enter the data collection area. </w:t>
      </w:r>
      <w:r w:rsidRPr="68FA2916">
        <w:t xml:space="preserve">If needed, the </w:t>
      </w:r>
      <w:r>
        <w:t>study team</w:t>
      </w:r>
      <w:r w:rsidRPr="68FA2916">
        <w:t xml:space="preserve"> will check with the property owner</w:t>
      </w:r>
      <w:r>
        <w:t xml:space="preserve"> to acquire permission to use the location</w:t>
      </w:r>
      <w:r w:rsidRPr="68FA2916">
        <w:t xml:space="preserve">. </w:t>
      </w:r>
      <w:r>
        <w:t xml:space="preserve">Alternate locations in each selected square will be identified to the extent they are available in case </w:t>
      </w:r>
      <w:r w:rsidRPr="68FA2916">
        <w:t>there are issues operating</w:t>
      </w:r>
      <w:r>
        <w:t xml:space="preserve"> at a given location. </w:t>
      </w:r>
      <w:r w:rsidRPr="009C02DA">
        <w:t>This roadway review procedure will be repeated for all the potential locations to ensure their suitability.</w:t>
      </w:r>
      <w:r>
        <w:t xml:space="preserve"> </w:t>
      </w:r>
      <w:r w:rsidRPr="009C02DA">
        <w:t xml:space="preserve">If staff are unable to identify a suitable </w:t>
      </w:r>
      <w:r>
        <w:t>data collection</w:t>
      </w:r>
      <w:r w:rsidRPr="009C02DA">
        <w:t xml:space="preserve"> location within a square, </w:t>
      </w:r>
      <w:r>
        <w:t>the next square in the list will be investigated until five locations have been identified in each PSU</w:t>
      </w:r>
      <w:r w:rsidRPr="7FEA2DC2">
        <w:t>/site</w:t>
      </w:r>
      <w:r>
        <w:t xml:space="preserve"> with further backups identified in case data collection is ultimately not possible at a selected location for some reason. </w:t>
      </w:r>
      <w:r w:rsidRPr="0063348B">
        <w:t xml:space="preserve">Characteristics of </w:t>
      </w:r>
      <w:r>
        <w:t xml:space="preserve">selected locations that participate and that do not participate will be compared for possible use in nonresponse adjustment such as that described in Stage 1. </w:t>
      </w:r>
      <w:r w:rsidR="00ED6B90">
        <w:t>Traffic flow at the locations will be examined and to the extent possible, t</w:t>
      </w:r>
      <w:r w:rsidRPr="005137D2">
        <w:t xml:space="preserve">imes for data collection will be randomly assigned to data collection </w:t>
      </w:r>
      <w:r w:rsidR="00F04B45">
        <w:t>locations.</w:t>
      </w:r>
      <w:r w:rsidR="00ED6B90">
        <w:t xml:space="preserve"> Locations with the least amount of traffic may </w:t>
      </w:r>
      <w:r w:rsidR="007F53D1">
        <w:t xml:space="preserve">not </w:t>
      </w:r>
      <w:r w:rsidR="00ED6B90">
        <w:t>be appropriate for the early morning data collection periods.</w:t>
      </w:r>
    </w:p>
    <w:p w:rsidR="00F04B45" w:rsidRPr="00793FAB" w:rsidP="007707E7" w14:paraId="53E59E50" w14:textId="77777777"/>
    <w:p w:rsidR="00270738" w:rsidRPr="00E3616E" w:rsidP="00A63AE2" w14:paraId="1E46451D" w14:textId="77777777">
      <w:pPr>
        <w:spacing w:line="240" w:lineRule="auto"/>
        <w:rPr>
          <w:i/>
          <w:iCs/>
        </w:rPr>
      </w:pPr>
      <w:bookmarkStart w:id="19" w:name="_Toc135826175"/>
      <w:r w:rsidRPr="00E3616E">
        <w:rPr>
          <w:b/>
          <w:bCs/>
          <w:i/>
          <w:iCs/>
        </w:rPr>
        <w:t xml:space="preserve">Stage </w:t>
      </w:r>
      <w:r w:rsidRPr="00E3616E" w:rsidR="00493B89">
        <w:rPr>
          <w:b/>
          <w:bCs/>
          <w:i/>
          <w:iCs/>
        </w:rPr>
        <w:t>4</w:t>
      </w:r>
    </w:p>
    <w:bookmarkEnd w:id="19"/>
    <w:p w:rsidR="00130D09" w:rsidP="00A63AE2" w14:paraId="16820134" w14:textId="1B82900D">
      <w:pPr>
        <w:spacing w:line="240" w:lineRule="auto"/>
      </w:pPr>
      <w:r w:rsidRPr="00F04B45">
        <w:t>The PSU and data collection location selection approach described in Stages 1 and 2 results in clusters of drivers passing by the data collection locations during the specified</w:t>
      </w:r>
      <w:r w:rsidR="00155BED">
        <w:t xml:space="preserve"> days and</w:t>
      </w:r>
      <w:r w:rsidRPr="00F04B45">
        <w:t xml:space="preserve"> time windows of the study. Teams </w:t>
      </w:r>
      <w:r w:rsidR="003357D3">
        <w:t xml:space="preserve">of data collectors </w:t>
      </w:r>
      <w:r w:rsidRPr="00F04B45">
        <w:t xml:space="preserve">will recruit drivers from driver clusters. </w:t>
      </w:r>
      <w:r>
        <w:t>For a study of this type, obtaining as many driver intercepts as possible at each data collection location</w:t>
      </w:r>
      <w:r w:rsidR="00155BED">
        <w:t xml:space="preserve"> while avoiding any systematic bias in selection</w:t>
      </w:r>
      <w:r>
        <w:t xml:space="preserve"> is most important. The number of intercepts that are possible at a location is largely dependent on the size of the data collection team, the time it takes for a participant to complete the study, and the flow rate of passing drivers. At very low flow locations, a data collection team of the size planned for this study </w:t>
      </w:r>
      <w:r w:rsidR="005D3492">
        <w:t>will likely</w:t>
      </w:r>
      <w:r>
        <w:t xml:space="preserve"> be able to collect data from a large proportion of the drivers on the roadway at that location. At a high flow location, the data collection bays will fill quickly at the start of data collection and </w:t>
      </w:r>
      <w:r w:rsidRPr="0CD984E0">
        <w:t>the traffic director will stop actively recruiting drivers until a bay opens.</w:t>
      </w:r>
      <w:r>
        <w:t xml:space="preserve"> Once a bay opens, the traffic director will begin recruiting again until the bays are full. </w:t>
      </w:r>
      <w:r w:rsidR="00302CFF">
        <w:t xml:space="preserve">The goal is to provide all passing </w:t>
      </w:r>
      <w:r w:rsidR="00302CFF">
        <w:t xml:space="preserve">drivers an equal opportunity </w:t>
      </w:r>
      <w:r w:rsidR="000A482F">
        <w:t>to</w:t>
      </w:r>
      <w:r w:rsidR="00302CFF">
        <w:t xml:space="preserve"> participat</w:t>
      </w:r>
      <w:r w:rsidR="000A482F">
        <w:t>e</w:t>
      </w:r>
      <w:r w:rsidR="00302CFF">
        <w:t xml:space="preserve"> when a data collector is available to process a participant. </w:t>
      </w:r>
      <w:r w:rsidRPr="0CD984E0">
        <w:t>The study teams will be trained to avoid any bias in recruiting</w:t>
      </w:r>
      <w:r>
        <w:t xml:space="preserve"> drivers</w:t>
      </w:r>
      <w:r w:rsidR="00926113">
        <w:t xml:space="preserve"> except that the study will make a special effort to recruit all motorcycle riders as this is a </w:t>
      </w:r>
      <w:r w:rsidR="0007613A">
        <w:t>sub-g</w:t>
      </w:r>
      <w:r w:rsidR="00926113">
        <w:t>roup of special interest to NHTSA</w:t>
      </w:r>
      <w:r w:rsidR="00B35C9D">
        <w:t xml:space="preserve"> </w:t>
      </w:r>
      <w:r w:rsidR="003F0839">
        <w:t>because they are</w:t>
      </w:r>
      <w:r w:rsidR="00B35C9D">
        <w:t xml:space="preserve"> relatively rare compared to other vehicle</w:t>
      </w:r>
      <w:r w:rsidR="0007613A">
        <w:t xml:space="preserve"> operator</w:t>
      </w:r>
      <w:r w:rsidR="00B35C9D">
        <w:t xml:space="preserve"> types</w:t>
      </w:r>
      <w:r w:rsidR="00926113">
        <w:t>.</w:t>
      </w:r>
      <w:r w:rsidRPr="0CD984E0">
        <w:t xml:space="preserve"> </w:t>
      </w:r>
    </w:p>
    <w:p w:rsidR="00130D09" w:rsidP="00A63AE2" w14:paraId="625B3375" w14:textId="77777777">
      <w:pPr>
        <w:spacing w:line="240" w:lineRule="auto"/>
      </w:pPr>
    </w:p>
    <w:p w:rsidR="00481C86" w:rsidRPr="00153184" w:rsidP="00481C86" w14:paraId="79913264" w14:textId="7BCD5BE9">
      <w:pPr>
        <w:spacing w:line="240" w:lineRule="auto"/>
      </w:pPr>
      <w:r>
        <w:t>Ove</w:t>
      </w:r>
      <w:r w:rsidR="003B6C6B">
        <w:t>ra</w:t>
      </w:r>
      <w:r>
        <w:t>ll, the strength of this</w:t>
      </w:r>
      <w:r w:rsidR="00971F83">
        <w:t xml:space="preserve"> sampling</w:t>
      </w:r>
      <w:r>
        <w:t xml:space="preserve"> design comes from the Stage 1 and 2 </w:t>
      </w:r>
      <w:r w:rsidR="00B3530A">
        <w:t>PSU/</w:t>
      </w:r>
      <w:r w:rsidR="00926113">
        <w:t xml:space="preserve">site and </w:t>
      </w:r>
      <w:r w:rsidR="00B3530A">
        <w:t xml:space="preserve">data collection </w:t>
      </w:r>
      <w:r w:rsidR="00926113">
        <w:t>location selection procedures</w:t>
      </w:r>
      <w:r w:rsidR="00FF372E">
        <w:t xml:space="preserve">. Stages 3 and 4 are reliant on voluntary participation of </w:t>
      </w:r>
      <w:r w:rsidR="006B285D">
        <w:t xml:space="preserve">drivers. </w:t>
      </w:r>
      <w:r w:rsidRPr="51782EC3">
        <w:t>Because of both logistical constraints on the data collection team</w:t>
      </w:r>
      <w:r w:rsidR="00957802">
        <w:t xml:space="preserve"> for processing participants</w:t>
      </w:r>
      <w:r w:rsidRPr="51782EC3">
        <w:t xml:space="preserve"> and the voluntary nature of participation, the recruited drivers </w:t>
      </w:r>
      <w:r w:rsidR="003F62F1">
        <w:t xml:space="preserve">could be subject to </w:t>
      </w:r>
      <w:r w:rsidR="00957802">
        <w:t>biases that need to be accounted for</w:t>
      </w:r>
      <w:r w:rsidR="008F2D92">
        <w:t xml:space="preserve"> analytically</w:t>
      </w:r>
      <w:r w:rsidRPr="51782EC3">
        <w:t>.</w:t>
      </w:r>
      <w:r w:rsidR="00130D09">
        <w:t xml:space="preserve"> T</w:t>
      </w:r>
      <w:r w:rsidRPr="0CD984E0" w:rsidR="00130D09">
        <w:t xml:space="preserve">he study will gather as much information </w:t>
      </w:r>
      <w:r w:rsidR="00130D09">
        <w:t xml:space="preserve">as possible (e.g., age, sex, race, vehicle type) </w:t>
      </w:r>
      <w:r w:rsidRPr="0CD984E0" w:rsidR="00130D09">
        <w:t xml:space="preserve">on those who pull into the </w:t>
      </w:r>
      <w:r w:rsidR="00130D09">
        <w:t xml:space="preserve">data collection </w:t>
      </w:r>
      <w:r w:rsidRPr="0CD984E0" w:rsidR="00130D09">
        <w:t>location but</w:t>
      </w:r>
      <w:r w:rsidR="008F2D92">
        <w:t xml:space="preserve"> subsequently</w:t>
      </w:r>
      <w:r w:rsidRPr="0CD984E0" w:rsidR="00130D09">
        <w:t xml:space="preserve"> </w:t>
      </w:r>
      <w:r w:rsidR="00130D09">
        <w:t xml:space="preserve">decline to participate. The study also plans to count all vehicles passing by each data location. </w:t>
      </w:r>
      <w:r w:rsidR="002F5070">
        <w:t xml:space="preserve">This will allow the study </w:t>
      </w:r>
      <w:r w:rsidRPr="51782EC3">
        <w:t xml:space="preserve">to make appropriate weighting adjustments such as those described for Stages 1 and 2. With appropriate adjustments, </w:t>
      </w:r>
      <w:r w:rsidR="00FC417E">
        <w:t xml:space="preserve">the </w:t>
      </w:r>
      <w:r w:rsidRPr="51782EC3">
        <w:t>recruited drivers can represent their clusters, selected data collection locations can represent participating counties, and participating counties can represent the nation.</w:t>
      </w:r>
      <w:r w:rsidR="0088773F">
        <w:t xml:space="preserve"> Specifically, the sampling design at Stage 1 and Stage 2 allows for a representative sample of drivers </w:t>
      </w:r>
      <w:r w:rsidR="0028512C">
        <w:t>on trip</w:t>
      </w:r>
      <w:r w:rsidR="00FA0BE8">
        <w:t>s</w:t>
      </w:r>
      <w:r w:rsidR="0028512C">
        <w:t xml:space="preserve"> </w:t>
      </w:r>
      <w:r w:rsidR="0088773F">
        <w:t>to be selected given the known methodological challenges of recruiting an unbiased sample of drivers during data collection at each location.</w:t>
      </w:r>
    </w:p>
    <w:p w:rsidR="007707E7" w:rsidP="00A63AE2" w14:paraId="353B15E3" w14:textId="524717EB">
      <w:pPr>
        <w:spacing w:line="240" w:lineRule="auto"/>
      </w:pPr>
      <w:r>
        <w:t xml:space="preserve"> </w:t>
      </w:r>
    </w:p>
    <w:p w:rsidR="007707E7" w:rsidRPr="00AE17F1" w:rsidP="006408E0" w14:paraId="36C3866C" w14:textId="391C5A0B">
      <w:pPr>
        <w:pStyle w:val="APAHeadingLevel2"/>
        <w:spacing w:line="240" w:lineRule="auto"/>
      </w:pPr>
      <w:bookmarkStart w:id="20" w:name="_Toc135826176"/>
      <w:r w:rsidRPr="00AE17F1">
        <w:t>Convenience Sample of ORUs</w:t>
      </w:r>
      <w:bookmarkEnd w:id="20"/>
    </w:p>
    <w:p w:rsidR="007707E7" w:rsidP="00FE55AD" w14:paraId="0608B8BA" w14:textId="1A723A5D">
      <w:pPr>
        <w:spacing w:line="240" w:lineRule="auto"/>
      </w:pPr>
      <w:r>
        <w:t>In addition to drivers, Study 1</w:t>
      </w:r>
      <w:r w:rsidRPr="51782EC3">
        <w:t xml:space="preserve"> is exploring the feasibility of recruiting a sample of </w:t>
      </w:r>
      <w:r>
        <w:t>ORUs</w:t>
      </w:r>
      <w:r w:rsidRPr="51782EC3">
        <w:t xml:space="preserve"> for participation at the data collection locations</w:t>
      </w:r>
      <w:r w:rsidR="00C8453C">
        <w:t xml:space="preserve"> being used for driver</w:t>
      </w:r>
      <w:r w:rsidR="00917D9B">
        <w:t>s</w:t>
      </w:r>
      <w:r w:rsidRPr="51782EC3">
        <w:t xml:space="preserve">. ORU-related factors will </w:t>
      </w:r>
      <w:r w:rsidR="00B150DC">
        <w:t xml:space="preserve">not </w:t>
      </w:r>
      <w:r w:rsidRPr="51782EC3">
        <w:t xml:space="preserve">have been </w:t>
      </w:r>
      <w:r w:rsidR="00B150DC">
        <w:t>the focus of</w:t>
      </w:r>
      <w:r w:rsidRPr="51782EC3">
        <w:t xml:space="preserve"> the Stage 1 and Stage 2</w:t>
      </w:r>
      <w:r w:rsidR="004539F0">
        <w:t xml:space="preserve"> </w:t>
      </w:r>
      <w:r w:rsidRPr="51782EC3">
        <w:t xml:space="preserve">location selection process. When </w:t>
      </w:r>
      <w:r w:rsidR="0052322F">
        <w:t>a</w:t>
      </w:r>
      <w:r w:rsidRPr="51782EC3">
        <w:t xml:space="preserve"> location looks as if it can support recruitment of ORUs, a recruitment process </w:t>
      </w:r>
      <w:r w:rsidRPr="51782EC3">
        <w:t>similar to</w:t>
      </w:r>
      <w:r w:rsidRPr="51782EC3">
        <w:t xml:space="preserve"> that used for the drivers will be employed. </w:t>
      </w:r>
      <w:r w:rsidR="00A03AB9">
        <w:t>Some locations will likely have no, or very few ORUs available</w:t>
      </w:r>
      <w:r w:rsidR="00BC4D2F">
        <w:t>, especially in the early morning data collection times</w:t>
      </w:r>
      <w:r w:rsidR="00A03AB9">
        <w:t xml:space="preserve">. </w:t>
      </w:r>
      <w:r>
        <w:t>I</w:t>
      </w:r>
      <w:r w:rsidRPr="51782EC3">
        <w:t xml:space="preserve">t is anticipated that only a single </w:t>
      </w:r>
      <w:r>
        <w:t>d</w:t>
      </w:r>
      <w:r w:rsidRPr="51782EC3">
        <w:t xml:space="preserve">ata </w:t>
      </w:r>
      <w:r>
        <w:t>c</w:t>
      </w:r>
      <w:r w:rsidRPr="51782EC3">
        <w:t>ollector will be assigned to ORU data collection at each location</w:t>
      </w:r>
      <w:r>
        <w:t>.</w:t>
      </w:r>
      <w:r w:rsidRPr="51782EC3">
        <w:t xml:space="preserve"> All ORUs at low flow locations will be approached to participate when possible. At high </w:t>
      </w:r>
      <w:r w:rsidR="00D40B4C">
        <w:t xml:space="preserve">ORU </w:t>
      </w:r>
      <w:r w:rsidRPr="51782EC3">
        <w:t>flow locations</w:t>
      </w:r>
      <w:r w:rsidR="008B6568">
        <w:t>,</w:t>
      </w:r>
      <w:r w:rsidRPr="51782EC3">
        <w:t xml:space="preserve"> the assigned</w:t>
      </w:r>
      <w:r>
        <w:t xml:space="preserve"> </w:t>
      </w:r>
      <w:r w:rsidR="00895247">
        <w:t>data collector</w:t>
      </w:r>
      <w:r w:rsidRPr="51782EC3">
        <w:t xml:space="preserve"> will only be able to actively recruit an ORU after they finish collecting data from the current participant </w:t>
      </w:r>
      <w:r>
        <w:t>being surveyed</w:t>
      </w:r>
      <w:r w:rsidRPr="51782EC3">
        <w:t>.</w:t>
      </w:r>
      <w:r w:rsidR="00027A98">
        <w:t xml:space="preserve"> </w:t>
      </w:r>
      <w:r w:rsidR="00D40B4C">
        <w:t xml:space="preserve">This effort is </w:t>
      </w:r>
      <w:r w:rsidR="00833B85">
        <w:t>not designed to provide a statistically valid estimate of drug prevalence among the ORU population</w:t>
      </w:r>
      <w:r w:rsidR="00303C97">
        <w:t xml:space="preserve"> at any level</w:t>
      </w:r>
      <w:r w:rsidR="00833B85">
        <w:t xml:space="preserve">, and </w:t>
      </w:r>
      <w:r w:rsidR="00DC021B">
        <w:t xml:space="preserve">interpretation of results will not be generalized </w:t>
      </w:r>
      <w:r w:rsidR="00303C97">
        <w:t>to the larger population of ORUs</w:t>
      </w:r>
      <w:r w:rsidR="00F07F64">
        <w:t xml:space="preserve"> in any way.</w:t>
      </w:r>
    </w:p>
    <w:p w:rsidR="007707E7" w:rsidRPr="00270738" w:rsidP="00E3616E" w14:paraId="5A8B439F" w14:textId="77777777">
      <w:pPr>
        <w:spacing w:line="240" w:lineRule="auto"/>
        <w:jc w:val="center"/>
        <w:rPr>
          <w:rStyle w:val="fontstyle01"/>
          <w:rFonts w:ascii="Times New Roman" w:hAnsi="Times New Roman"/>
        </w:rPr>
      </w:pPr>
    </w:p>
    <w:p w:rsidR="00ED591F" w:rsidRPr="00E3616E" w:rsidP="00E3616E" w14:paraId="1DC06A3A" w14:textId="7E67064C">
      <w:pPr>
        <w:spacing w:after="240" w:line="240" w:lineRule="auto"/>
        <w:jc w:val="center"/>
        <w:rPr>
          <w:rStyle w:val="fontstyle01"/>
          <w:rFonts w:ascii="Times New Roman" w:hAnsi="Times New Roman"/>
          <w:b/>
          <w:bCs/>
        </w:rPr>
      </w:pPr>
      <w:r w:rsidRPr="00E3616E">
        <w:rPr>
          <w:rStyle w:val="fontstyle01"/>
          <w:rFonts w:ascii="Times New Roman" w:hAnsi="Times New Roman"/>
          <w:b/>
          <w:bCs/>
        </w:rPr>
        <w:t xml:space="preserve">Study 1: </w:t>
      </w:r>
      <w:r w:rsidRPr="00E3616E">
        <w:rPr>
          <w:rStyle w:val="fontstyle01"/>
          <w:rFonts w:ascii="Times New Roman" w:hAnsi="Times New Roman"/>
          <w:b/>
          <w:bCs/>
        </w:rPr>
        <w:t xml:space="preserve">Summary of </w:t>
      </w:r>
      <w:r w:rsidRPr="00E3616E" w:rsidR="0022537F">
        <w:rPr>
          <w:rStyle w:val="fontstyle01"/>
          <w:rFonts w:ascii="Times New Roman" w:hAnsi="Times New Roman"/>
          <w:b/>
          <w:bCs/>
        </w:rPr>
        <w:t xml:space="preserve">NRS Sampling Features and Expected </w:t>
      </w:r>
      <w:r w:rsidRPr="00E3616E" w:rsidR="001540D3">
        <w:rPr>
          <w:rStyle w:val="fontstyle01"/>
          <w:rFonts w:ascii="Times New Roman" w:hAnsi="Times New Roman"/>
          <w:b/>
          <w:bCs/>
        </w:rPr>
        <w:t>P</w:t>
      </w:r>
      <w:r w:rsidRPr="00E3616E" w:rsidR="0022537F">
        <w:rPr>
          <w:rStyle w:val="fontstyle01"/>
          <w:rFonts w:ascii="Times New Roman" w:hAnsi="Times New Roman"/>
          <w:b/>
          <w:bCs/>
        </w:rPr>
        <w:t>articipation Rate</w:t>
      </w:r>
    </w:p>
    <w:p w:rsidR="00845F51" w:rsidP="00063C1E" w14:paraId="7039EF42" w14:textId="23C05448">
      <w:pPr>
        <w:spacing w:line="240" w:lineRule="auto"/>
      </w:pPr>
      <w:r>
        <w:fldChar w:fldCharType="begin"/>
      </w:r>
      <w:r>
        <w:instrText xml:space="preserve"> REF _Ref136163482 \r \h </w:instrText>
      </w:r>
      <w:r>
        <w:fldChar w:fldCharType="separate"/>
      </w:r>
      <w:r w:rsidR="00954824">
        <w:t>Table 2</w:t>
      </w:r>
      <w:r>
        <w:fldChar w:fldCharType="end"/>
      </w:r>
      <w:r>
        <w:t xml:space="preserve"> provides a summary of the </w:t>
      </w:r>
      <w:r w:rsidR="00800ECE">
        <w:t xml:space="preserve">sampling features of </w:t>
      </w:r>
      <w:r w:rsidR="00675F52">
        <w:t>Study 1</w:t>
      </w:r>
      <w:r w:rsidR="00800ECE">
        <w:t xml:space="preserve">. As noted above, this study’s primary target population is </w:t>
      </w:r>
      <w:r w:rsidR="00A94AF8">
        <w:t>drivers of personal vehicles</w:t>
      </w:r>
      <w:r w:rsidR="00B570A3">
        <w:t xml:space="preserve"> on trips</w:t>
      </w:r>
      <w:r w:rsidR="00887A69">
        <w:t xml:space="preserve"> during the selected days of week and times of day. The </w:t>
      </w:r>
      <w:r w:rsidR="00F8481C">
        <w:t xml:space="preserve">highest level of the </w:t>
      </w:r>
      <w:r w:rsidR="007265CC">
        <w:t>sampling frame</w:t>
      </w:r>
      <w:r w:rsidR="00EE0584">
        <w:t xml:space="preserve"> </w:t>
      </w:r>
      <w:r w:rsidR="004446A2">
        <w:t>uses</w:t>
      </w:r>
      <w:r w:rsidR="007265CC">
        <w:t xml:space="preserve"> NHTSA’s CRSS </w:t>
      </w:r>
      <w:r w:rsidR="00EE0584">
        <w:t>PSUs</w:t>
      </w:r>
      <w:r w:rsidR="00EE0584">
        <w:t xml:space="preserve"> and associated</w:t>
      </w:r>
      <w:r w:rsidR="00696D50">
        <w:t xml:space="preserve"> stratification factors shown in the table.</w:t>
      </w:r>
      <w:r w:rsidR="00923E15">
        <w:t xml:space="preserve"> The second stage involves random selection of 1-mile square areas</w:t>
      </w:r>
      <w:r w:rsidR="00B90234">
        <w:t xml:space="preserve"> within each PSU. Study staff then must use mapping software and work with local officials to identify an appropriate roadside site for data collection within each grid. </w:t>
      </w:r>
      <w:r w:rsidR="00CB0F4F">
        <w:t>Finally, all drivers passing by the data collection location will be afforded equal opportunity to volunteer to participate</w:t>
      </w:r>
      <w:r w:rsidR="00895247">
        <w:t xml:space="preserve"> when a data collector is available to process participants</w:t>
      </w:r>
      <w:r w:rsidR="00CB0F4F">
        <w:t>.</w:t>
      </w:r>
      <w:r w:rsidR="00B90234">
        <w:t xml:space="preserve"> </w:t>
      </w:r>
      <w:r w:rsidR="00775596">
        <w:t xml:space="preserve">At a specific data collection location, no special efforts will be made to recruit drivers in any </w:t>
      </w:r>
      <w:r w:rsidR="00775596">
        <w:t>particular strata</w:t>
      </w:r>
      <w:r w:rsidR="00257939">
        <w:t xml:space="preserve"> except that motorcycle riders will be given priority </w:t>
      </w:r>
      <w:r w:rsidR="0088773F">
        <w:t xml:space="preserve">for statistical power </w:t>
      </w:r>
      <w:r w:rsidR="00257939">
        <w:t xml:space="preserve">because of their relatively infrequent nature compared to other </w:t>
      </w:r>
      <w:r w:rsidR="00CB0F4F">
        <w:t xml:space="preserve">vehicle </w:t>
      </w:r>
      <w:r w:rsidR="00257939">
        <w:t>operator</w:t>
      </w:r>
      <w:r w:rsidR="00CB0F4F">
        <w:t xml:space="preserve"> types</w:t>
      </w:r>
      <w:r w:rsidR="00257939">
        <w:t xml:space="preserve">. </w:t>
      </w:r>
      <w:r w:rsidR="00893E2B">
        <w:t xml:space="preserve">ORUs will be included </w:t>
      </w:r>
      <w:r w:rsidR="00B336DE">
        <w:t>when they are readily available at a</w:t>
      </w:r>
      <w:r w:rsidR="0052322F">
        <w:t xml:space="preserve"> </w:t>
      </w:r>
      <w:r w:rsidR="009F5316">
        <w:t>data collection location</w:t>
      </w:r>
      <w:r w:rsidR="00B336DE">
        <w:t xml:space="preserve"> as part of a feasibility effort. All participants will be </w:t>
      </w:r>
      <w:r w:rsidR="00A263C7">
        <w:t xml:space="preserve">recruited </w:t>
      </w:r>
      <w:r w:rsidR="00B336DE">
        <w:t>from live</w:t>
      </w:r>
      <w:r w:rsidR="00D57FEA">
        <w:t xml:space="preserve"> traffic. Each will be asked to complete a breath test for alcohol, provide an oral fluid specimen for </w:t>
      </w:r>
      <w:r w:rsidR="00930CC7">
        <w:t>other</w:t>
      </w:r>
      <w:r w:rsidR="00264532">
        <w:t xml:space="preserve"> </w:t>
      </w:r>
      <w:r w:rsidR="00D57FEA">
        <w:t xml:space="preserve">drug testing, and </w:t>
      </w:r>
      <w:r w:rsidR="009236CE">
        <w:t xml:space="preserve">complete </w:t>
      </w:r>
      <w:r w:rsidR="00930CC7">
        <w:t xml:space="preserve">surveys </w:t>
      </w:r>
      <w:r w:rsidR="009236CE">
        <w:t xml:space="preserve">on a study tablet as described in the procedures section that follows. </w:t>
      </w:r>
    </w:p>
    <w:p w:rsidR="00845F51" w:rsidP="00063C1E" w14:paraId="0B8B38B4" w14:textId="77777777">
      <w:pPr>
        <w:spacing w:line="240" w:lineRule="auto"/>
      </w:pPr>
    </w:p>
    <w:p w:rsidR="007476A1" w:rsidRPr="00C8214E" w:rsidP="00C122DC" w14:paraId="58BC3268" w14:textId="2BE9BFD7">
      <w:pPr>
        <w:pStyle w:val="Table"/>
        <w:keepNext/>
        <w:tabs>
          <w:tab w:val="num" w:pos="900"/>
          <w:tab w:val="clear" w:pos="1440"/>
        </w:tabs>
        <w:spacing w:after="120"/>
        <w:ind w:left="360"/>
      </w:pPr>
      <w:bookmarkStart w:id="21" w:name="_Ref136163482"/>
      <w:r w:rsidRPr="00C8214E">
        <w:t xml:space="preserve">Sampling Features of </w:t>
      </w:r>
      <w:bookmarkEnd w:id="15"/>
      <w:bookmarkEnd w:id="21"/>
      <w:r w:rsidR="002438A5">
        <w:t>Study 1</w:t>
      </w:r>
    </w:p>
    <w:tbl>
      <w:tblPr>
        <w:tblStyle w:val="TableGrid1"/>
        <w:tblW w:w="8743" w:type="dxa"/>
        <w:jc w:val="center"/>
        <w:tblLook w:val="04A0"/>
      </w:tblPr>
      <w:tblGrid>
        <w:gridCol w:w="2515"/>
        <w:gridCol w:w="6228"/>
      </w:tblGrid>
      <w:tr w14:paraId="5B300DAF" w14:textId="77777777" w:rsidTr="0005725B">
        <w:tblPrEx>
          <w:tblW w:w="8743" w:type="dxa"/>
          <w:jc w:val="center"/>
          <w:tblLook w:val="04A0"/>
        </w:tblPrEx>
        <w:trPr>
          <w:trHeight w:val="269"/>
          <w:tblHeader/>
          <w:jc w:val="center"/>
        </w:trPr>
        <w:tc>
          <w:tcPr>
            <w:tcW w:w="2515" w:type="dxa"/>
            <w:shd w:val="clear" w:color="auto" w:fill="auto"/>
            <w:tcMar>
              <w:left w:w="29" w:type="dxa"/>
              <w:right w:w="29" w:type="dxa"/>
            </w:tcMar>
          </w:tcPr>
          <w:p w:rsidR="007476A1" w:rsidRPr="002C74D1" w:rsidP="00280050" w14:paraId="46E6A1DD" w14:textId="77777777">
            <w:pPr>
              <w:keepNext/>
              <w:spacing w:after="120"/>
              <w:jc w:val="center"/>
              <w:rPr>
                <w:rFonts w:ascii="Times New Roman" w:hAnsi="Times New Roman"/>
                <w:b/>
                <w:bCs/>
              </w:rPr>
            </w:pPr>
            <w:r w:rsidRPr="002C74D1">
              <w:rPr>
                <w:rFonts w:ascii="Times New Roman" w:hAnsi="Times New Roman"/>
                <w:b/>
                <w:bCs/>
              </w:rPr>
              <w:t>Feature</w:t>
            </w:r>
          </w:p>
        </w:tc>
        <w:tc>
          <w:tcPr>
            <w:tcW w:w="6228" w:type="dxa"/>
            <w:shd w:val="clear" w:color="auto" w:fill="auto"/>
            <w:tcMar>
              <w:left w:w="29" w:type="dxa"/>
              <w:right w:w="29" w:type="dxa"/>
            </w:tcMar>
            <w:vAlign w:val="center"/>
          </w:tcPr>
          <w:p w:rsidR="007476A1" w:rsidRPr="002C74D1" w:rsidP="00280050" w14:paraId="18DC6C36" w14:textId="41717671">
            <w:pPr>
              <w:keepNext/>
              <w:spacing w:after="120"/>
              <w:jc w:val="center"/>
              <w:rPr>
                <w:rFonts w:ascii="Times New Roman" w:hAnsi="Times New Roman"/>
                <w:b/>
                <w:bCs/>
              </w:rPr>
            </w:pPr>
            <w:r>
              <w:rPr>
                <w:rFonts w:ascii="Times New Roman" w:hAnsi="Times New Roman"/>
                <w:b/>
                <w:bCs/>
              </w:rPr>
              <w:t xml:space="preserve">Study 1 </w:t>
            </w:r>
            <w:r w:rsidRPr="002C74D1">
              <w:rPr>
                <w:rFonts w:ascii="Times New Roman" w:hAnsi="Times New Roman"/>
                <w:b/>
                <w:bCs/>
              </w:rPr>
              <w:t>National Sample</w:t>
            </w:r>
          </w:p>
        </w:tc>
      </w:tr>
      <w:tr w14:paraId="5BAEC9C3" w14:textId="77777777" w:rsidTr="00E01018">
        <w:tblPrEx>
          <w:tblW w:w="8743" w:type="dxa"/>
          <w:jc w:val="center"/>
          <w:tblLook w:val="04A0"/>
        </w:tblPrEx>
        <w:trPr>
          <w:trHeight w:val="811"/>
          <w:jc w:val="center"/>
        </w:trPr>
        <w:tc>
          <w:tcPr>
            <w:tcW w:w="2515" w:type="dxa"/>
            <w:tcMar>
              <w:left w:w="29" w:type="dxa"/>
              <w:right w:w="29" w:type="dxa"/>
            </w:tcMar>
          </w:tcPr>
          <w:p w:rsidR="007476A1" w:rsidRPr="002C74D1" w:rsidP="00280050" w14:paraId="5D89EA02" w14:textId="77777777">
            <w:pPr>
              <w:keepNext/>
              <w:tabs>
                <w:tab w:val="left" w:pos="144"/>
              </w:tabs>
              <w:spacing w:after="120"/>
              <w:rPr>
                <w:rFonts w:ascii="Times New Roman" w:hAnsi="Times New Roman"/>
                <w:color w:val="000000"/>
              </w:rPr>
            </w:pPr>
            <w:r w:rsidRPr="002C74D1">
              <w:rPr>
                <w:rFonts w:ascii="Times New Roman" w:hAnsi="Times New Roman"/>
                <w:color w:val="000000"/>
              </w:rPr>
              <w:t>Target Populations</w:t>
            </w:r>
          </w:p>
        </w:tc>
        <w:tc>
          <w:tcPr>
            <w:tcW w:w="6228" w:type="dxa"/>
            <w:tcMar>
              <w:left w:w="29" w:type="dxa"/>
              <w:right w:w="29" w:type="dxa"/>
            </w:tcMar>
            <w:vAlign w:val="center"/>
          </w:tcPr>
          <w:p w:rsidR="007476A1" w:rsidRPr="002C74D1" w:rsidP="00280050" w14:paraId="0EE33D19" w14:textId="4B1269EB">
            <w:pPr>
              <w:pStyle w:val="ListParagraph"/>
              <w:keepNext/>
              <w:tabs>
                <w:tab w:val="left" w:pos="226"/>
              </w:tabs>
              <w:spacing w:after="120"/>
              <w:ind w:left="0"/>
              <w:rPr>
                <w:rFonts w:ascii="Times New Roman" w:hAnsi="Times New Roman" w:cs="Times New Roman"/>
                <w:color w:val="000000"/>
                <w:sz w:val="24"/>
                <w:szCs w:val="24"/>
              </w:rPr>
            </w:pPr>
            <w:r w:rsidRPr="002C74D1">
              <w:rPr>
                <w:rFonts w:ascii="Times New Roman" w:hAnsi="Times New Roman" w:cs="Times New Roman"/>
                <w:color w:val="000000"/>
                <w:sz w:val="24"/>
                <w:szCs w:val="24"/>
              </w:rPr>
              <w:t xml:space="preserve">Primary Target Population = U.S. </w:t>
            </w:r>
            <w:r w:rsidR="002352DF">
              <w:rPr>
                <w:rFonts w:ascii="Times New Roman" w:hAnsi="Times New Roman" w:cs="Times New Roman"/>
                <w:color w:val="000000"/>
                <w:sz w:val="24"/>
                <w:szCs w:val="24"/>
              </w:rPr>
              <w:t xml:space="preserve">licensed </w:t>
            </w:r>
            <w:r w:rsidRPr="002C74D1">
              <w:rPr>
                <w:rFonts w:ascii="Times New Roman" w:hAnsi="Times New Roman" w:cs="Times New Roman"/>
                <w:color w:val="000000"/>
                <w:sz w:val="24"/>
                <w:szCs w:val="24"/>
              </w:rPr>
              <w:t xml:space="preserve">adults </w:t>
            </w:r>
            <w:r w:rsidRPr="002C74D1" w:rsidR="00595682">
              <w:rPr>
                <w:rFonts w:ascii="Times New Roman" w:hAnsi="Times New Roman" w:cs="Times New Roman"/>
                <w:color w:val="000000"/>
                <w:sz w:val="24"/>
                <w:szCs w:val="24"/>
              </w:rPr>
              <w:t>aged</w:t>
            </w:r>
            <w:r w:rsidRPr="002C74D1">
              <w:rPr>
                <w:rFonts w:ascii="Times New Roman" w:hAnsi="Times New Roman" w:cs="Times New Roman"/>
                <w:color w:val="000000"/>
                <w:sz w:val="24"/>
                <w:szCs w:val="24"/>
              </w:rPr>
              <w:t xml:space="preserve"> 18 </w:t>
            </w:r>
            <w:r w:rsidR="008D7697">
              <w:rPr>
                <w:rFonts w:ascii="Times New Roman" w:hAnsi="Times New Roman" w:cs="Times New Roman"/>
                <w:color w:val="000000"/>
                <w:sz w:val="24"/>
                <w:szCs w:val="24"/>
              </w:rPr>
              <w:t>(16 in States</w:t>
            </w:r>
            <w:r w:rsidR="001E6FC4">
              <w:rPr>
                <w:rFonts w:ascii="Times New Roman" w:hAnsi="Times New Roman" w:cs="Times New Roman"/>
                <w:color w:val="000000"/>
                <w:sz w:val="24"/>
                <w:szCs w:val="24"/>
              </w:rPr>
              <w:t xml:space="preserve"> that allow</w:t>
            </w:r>
            <w:r w:rsidR="00F0758F">
              <w:rPr>
                <w:rFonts w:ascii="Times New Roman" w:hAnsi="Times New Roman" w:cs="Times New Roman"/>
                <w:color w:val="000000"/>
                <w:sz w:val="24"/>
                <w:szCs w:val="24"/>
              </w:rPr>
              <w:t xml:space="preserve"> participation without parental </w:t>
            </w:r>
            <w:r w:rsidR="00EA6E09">
              <w:rPr>
                <w:rFonts w:ascii="Times New Roman" w:hAnsi="Times New Roman" w:cs="Times New Roman"/>
                <w:color w:val="000000"/>
                <w:sz w:val="24"/>
                <w:szCs w:val="24"/>
              </w:rPr>
              <w:t>consent</w:t>
            </w:r>
            <w:r w:rsidR="008D7697">
              <w:rPr>
                <w:rFonts w:ascii="Times New Roman" w:hAnsi="Times New Roman" w:cs="Times New Roman"/>
                <w:color w:val="000000"/>
                <w:sz w:val="24"/>
                <w:szCs w:val="24"/>
              </w:rPr>
              <w:t xml:space="preserve">) </w:t>
            </w:r>
            <w:r w:rsidRPr="002C74D1">
              <w:rPr>
                <w:rFonts w:ascii="Times New Roman" w:hAnsi="Times New Roman" w:cs="Times New Roman"/>
                <w:color w:val="000000"/>
                <w:sz w:val="24"/>
                <w:szCs w:val="24"/>
              </w:rPr>
              <w:t>or older</w:t>
            </w:r>
            <w:r w:rsidR="000B00A6">
              <w:rPr>
                <w:rFonts w:ascii="Times New Roman" w:hAnsi="Times New Roman" w:cs="Times New Roman"/>
                <w:color w:val="000000"/>
                <w:sz w:val="24"/>
                <w:szCs w:val="24"/>
              </w:rPr>
              <w:t xml:space="preserve"> </w:t>
            </w:r>
            <w:r w:rsidRPr="002C74D1">
              <w:rPr>
                <w:rFonts w:ascii="Times New Roman" w:hAnsi="Times New Roman" w:cs="Times New Roman"/>
                <w:color w:val="000000"/>
                <w:sz w:val="24"/>
                <w:szCs w:val="24"/>
              </w:rPr>
              <w:t>who are driving</w:t>
            </w:r>
            <w:r w:rsidRPr="002C74D1" w:rsidR="009466D7">
              <w:rPr>
                <w:rFonts w:ascii="Times New Roman" w:hAnsi="Times New Roman" w:cs="Times New Roman"/>
                <w:color w:val="000000"/>
                <w:sz w:val="24"/>
                <w:szCs w:val="24"/>
              </w:rPr>
              <w:t xml:space="preserve"> </w:t>
            </w:r>
            <w:r w:rsidRPr="002C74D1" w:rsidR="009466D7">
              <w:rPr>
                <w:rFonts w:ascii="Times New Roman" w:hAnsi="Times New Roman" w:cs="Times New Roman"/>
                <w:sz w:val="24"/>
                <w:szCs w:val="24"/>
              </w:rPr>
              <w:t>on</w:t>
            </w:r>
            <w:r w:rsidRPr="002C74D1">
              <w:rPr>
                <w:rFonts w:ascii="Times New Roman" w:hAnsi="Times New Roman" w:cs="Times New Roman"/>
                <w:color w:val="000000"/>
                <w:sz w:val="24"/>
                <w:szCs w:val="24"/>
              </w:rPr>
              <w:t xml:space="preserve"> public </w:t>
            </w:r>
            <w:r w:rsidRPr="002C74D1" w:rsidR="0008050E">
              <w:rPr>
                <w:rFonts w:ascii="Times New Roman" w:hAnsi="Times New Roman" w:cs="Times New Roman"/>
                <w:color w:val="000000"/>
                <w:sz w:val="24"/>
                <w:szCs w:val="24"/>
              </w:rPr>
              <w:t>road</w:t>
            </w:r>
            <w:r w:rsidRPr="002C74D1" w:rsidR="009466D7">
              <w:rPr>
                <w:rFonts w:ascii="Times New Roman" w:hAnsi="Times New Roman" w:cs="Times New Roman"/>
                <w:sz w:val="24"/>
                <w:szCs w:val="24"/>
              </w:rPr>
              <w:t>way</w:t>
            </w:r>
            <w:r w:rsidRPr="002C74D1" w:rsidR="00A94AF8">
              <w:rPr>
                <w:rFonts w:ascii="Times New Roman" w:hAnsi="Times New Roman" w:cs="Times New Roman"/>
                <w:sz w:val="24"/>
                <w:szCs w:val="24"/>
              </w:rPr>
              <w:t>s</w:t>
            </w:r>
            <w:r w:rsidRPr="002C74D1">
              <w:rPr>
                <w:rFonts w:ascii="Times New Roman" w:hAnsi="Times New Roman" w:cs="Times New Roman"/>
                <w:color w:val="000000"/>
                <w:sz w:val="24"/>
                <w:szCs w:val="24"/>
              </w:rPr>
              <w:t xml:space="preserve"> </w:t>
            </w:r>
          </w:p>
          <w:p w:rsidR="007476A1" w:rsidRPr="002C74D1" w:rsidP="00280050" w14:paraId="3EABB0EA" w14:textId="30062EA5">
            <w:pPr>
              <w:pStyle w:val="ListParagraph"/>
              <w:keepNext/>
              <w:tabs>
                <w:tab w:val="left" w:pos="226"/>
              </w:tabs>
              <w:spacing w:after="120"/>
              <w:ind w:left="0"/>
              <w:rPr>
                <w:rFonts w:ascii="Times New Roman" w:hAnsi="Times New Roman" w:cs="Times New Roman"/>
                <w:color w:val="000000"/>
                <w:sz w:val="24"/>
                <w:szCs w:val="24"/>
              </w:rPr>
            </w:pPr>
            <w:r w:rsidRPr="002C74D1">
              <w:rPr>
                <w:rFonts w:ascii="Times New Roman" w:hAnsi="Times New Roman" w:cs="Times New Roman"/>
                <w:color w:val="000000"/>
                <w:sz w:val="24"/>
                <w:szCs w:val="24"/>
              </w:rPr>
              <w:t xml:space="preserve">Secondary Target Population = U.S. adults </w:t>
            </w:r>
            <w:r w:rsidRPr="002C74D1" w:rsidR="00595682">
              <w:rPr>
                <w:rFonts w:ascii="Times New Roman" w:hAnsi="Times New Roman" w:cs="Times New Roman"/>
                <w:color w:val="000000"/>
                <w:sz w:val="24"/>
                <w:szCs w:val="24"/>
              </w:rPr>
              <w:t>aged</w:t>
            </w:r>
            <w:r w:rsidRPr="002C74D1">
              <w:rPr>
                <w:rFonts w:ascii="Times New Roman" w:hAnsi="Times New Roman" w:cs="Times New Roman"/>
                <w:color w:val="000000"/>
                <w:sz w:val="24"/>
                <w:szCs w:val="24"/>
              </w:rPr>
              <w:t xml:space="preserve"> 18 </w:t>
            </w:r>
            <w:r w:rsidR="000B00A6">
              <w:rPr>
                <w:rFonts w:ascii="Times New Roman" w:hAnsi="Times New Roman" w:cs="Times New Roman"/>
                <w:color w:val="000000"/>
                <w:sz w:val="24"/>
                <w:szCs w:val="24"/>
              </w:rPr>
              <w:t xml:space="preserve">(16 in some States) </w:t>
            </w:r>
            <w:r w:rsidRPr="002C74D1">
              <w:rPr>
                <w:rFonts w:ascii="Times New Roman" w:hAnsi="Times New Roman" w:cs="Times New Roman"/>
                <w:color w:val="000000"/>
                <w:sz w:val="24"/>
                <w:szCs w:val="24"/>
              </w:rPr>
              <w:t xml:space="preserve">and older who are traveling on public </w:t>
            </w:r>
            <w:r w:rsidRPr="002C74D1" w:rsidR="0008050E">
              <w:rPr>
                <w:rFonts w:ascii="Times New Roman" w:hAnsi="Times New Roman" w:cs="Times New Roman"/>
                <w:color w:val="000000"/>
                <w:sz w:val="24"/>
                <w:szCs w:val="24"/>
              </w:rPr>
              <w:t>road</w:t>
            </w:r>
            <w:r w:rsidRPr="002C74D1">
              <w:rPr>
                <w:rFonts w:ascii="Times New Roman" w:hAnsi="Times New Roman" w:cs="Times New Roman"/>
                <w:color w:val="000000"/>
                <w:sz w:val="24"/>
                <w:szCs w:val="24"/>
              </w:rPr>
              <w:t>ways by a means other than driving (e.g., pedestrian, bicyclist, scooterist)</w:t>
            </w:r>
          </w:p>
        </w:tc>
      </w:tr>
      <w:tr w14:paraId="58749B9B" w14:textId="77777777" w:rsidTr="00E01018">
        <w:tblPrEx>
          <w:tblW w:w="8743" w:type="dxa"/>
          <w:jc w:val="center"/>
          <w:tblLook w:val="04A0"/>
        </w:tblPrEx>
        <w:trPr>
          <w:trHeight w:val="540"/>
          <w:jc w:val="center"/>
        </w:trPr>
        <w:tc>
          <w:tcPr>
            <w:tcW w:w="2515" w:type="dxa"/>
            <w:tcMar>
              <w:left w:w="29" w:type="dxa"/>
              <w:right w:w="29" w:type="dxa"/>
            </w:tcMar>
          </w:tcPr>
          <w:p w:rsidR="007476A1" w:rsidRPr="002C74D1" w:rsidP="00280050" w14:paraId="5B7F25FD" w14:textId="22672D2C">
            <w:pPr>
              <w:keepNext/>
              <w:tabs>
                <w:tab w:val="left" w:pos="144"/>
              </w:tabs>
              <w:spacing w:after="120"/>
              <w:rPr>
                <w:rFonts w:ascii="Times New Roman" w:hAnsi="Times New Roman"/>
                <w:color w:val="000000"/>
              </w:rPr>
            </w:pPr>
            <w:r w:rsidRPr="002C74D1">
              <w:rPr>
                <w:rFonts w:ascii="Times New Roman" w:hAnsi="Times New Roman"/>
                <w:color w:val="000000"/>
              </w:rPr>
              <w:t xml:space="preserve">Sampling </w:t>
            </w:r>
            <w:r w:rsidR="00962C7A">
              <w:rPr>
                <w:rFonts w:ascii="Times New Roman" w:hAnsi="Times New Roman"/>
                <w:color w:val="000000"/>
              </w:rPr>
              <w:t>Design</w:t>
            </w:r>
          </w:p>
        </w:tc>
        <w:tc>
          <w:tcPr>
            <w:tcW w:w="6228" w:type="dxa"/>
            <w:tcMar>
              <w:left w:w="29" w:type="dxa"/>
              <w:right w:w="29" w:type="dxa"/>
            </w:tcMar>
            <w:vAlign w:val="center"/>
          </w:tcPr>
          <w:p w:rsidR="007476A1" w:rsidRPr="002C74D1" w:rsidP="00D9041E" w14:paraId="4B17138D" w14:textId="314B0B54">
            <w:pPr>
              <w:pStyle w:val="ListParagraph"/>
              <w:keepNext/>
              <w:numPr>
                <w:ilvl w:val="0"/>
                <w:numId w:val="13"/>
              </w:numPr>
              <w:tabs>
                <w:tab w:val="left" w:pos="144"/>
              </w:tabs>
              <w:spacing w:after="120"/>
              <w:ind w:left="397"/>
              <w:rPr>
                <w:rFonts w:ascii="Times New Roman" w:hAnsi="Times New Roman" w:cs="Times New Roman"/>
                <w:color w:val="000000"/>
                <w:sz w:val="24"/>
                <w:szCs w:val="24"/>
              </w:rPr>
            </w:pPr>
            <w:r w:rsidRPr="002C74D1">
              <w:rPr>
                <w:rFonts w:ascii="Times New Roman" w:hAnsi="Times New Roman" w:cs="Times New Roman"/>
                <w:color w:val="000000"/>
                <w:sz w:val="24"/>
                <w:szCs w:val="24"/>
              </w:rPr>
              <w:t xml:space="preserve">PSUs from </w:t>
            </w:r>
            <w:r w:rsidRPr="002C74D1">
              <w:rPr>
                <w:rFonts w:ascii="Times New Roman" w:hAnsi="Times New Roman" w:cs="Times New Roman"/>
                <w:color w:val="000000"/>
                <w:sz w:val="24"/>
                <w:szCs w:val="24"/>
              </w:rPr>
              <w:t>CRSS</w:t>
            </w:r>
            <w:r w:rsidRPr="002C74D1" w:rsidR="00595682">
              <w:rPr>
                <w:rFonts w:ascii="Times New Roman" w:hAnsi="Times New Roman" w:cs="Times New Roman"/>
                <w:color w:val="000000"/>
                <w:sz w:val="24"/>
                <w:szCs w:val="24"/>
              </w:rPr>
              <w:t xml:space="preserve"> </w:t>
            </w:r>
          </w:p>
          <w:p w:rsidR="00143EF1" w:rsidRPr="002C74D1" w:rsidP="00D9041E" w14:paraId="598F35D8" w14:textId="0A777E47">
            <w:pPr>
              <w:pStyle w:val="ListParagraph"/>
              <w:keepNext/>
              <w:numPr>
                <w:ilvl w:val="0"/>
                <w:numId w:val="13"/>
              </w:numPr>
              <w:tabs>
                <w:tab w:val="left" w:pos="144"/>
              </w:tabs>
              <w:spacing w:after="120"/>
              <w:ind w:left="397"/>
              <w:rPr>
                <w:rFonts w:ascii="Times New Roman" w:hAnsi="Times New Roman" w:cs="Times New Roman"/>
                <w:color w:val="000000"/>
                <w:sz w:val="24"/>
                <w:szCs w:val="24"/>
              </w:rPr>
            </w:pPr>
            <w:r w:rsidRPr="002C74D1">
              <w:rPr>
                <w:rFonts w:ascii="Times New Roman" w:hAnsi="Times New Roman" w:cs="Times New Roman"/>
                <w:color w:val="000000"/>
                <w:sz w:val="24"/>
                <w:szCs w:val="24"/>
              </w:rPr>
              <w:t xml:space="preserve">Random selection of </w:t>
            </w:r>
            <w:r w:rsidRPr="002C74D1" w:rsidR="002B6E6B">
              <w:rPr>
                <w:rFonts w:ascii="Times New Roman" w:hAnsi="Times New Roman" w:cs="Times New Roman"/>
                <w:color w:val="000000"/>
                <w:sz w:val="24"/>
                <w:szCs w:val="24"/>
              </w:rPr>
              <w:t xml:space="preserve">1 </w:t>
            </w:r>
            <w:r w:rsidRPr="002C74D1" w:rsidR="005E2B79">
              <w:rPr>
                <w:rFonts w:ascii="Times New Roman" w:hAnsi="Times New Roman" w:cs="Times New Roman"/>
                <w:color w:val="000000"/>
                <w:sz w:val="24"/>
                <w:szCs w:val="24"/>
              </w:rPr>
              <w:t>square mile grid</w:t>
            </w:r>
            <w:r w:rsidRPr="002C74D1" w:rsidR="002B6E6B">
              <w:rPr>
                <w:rFonts w:ascii="Times New Roman" w:hAnsi="Times New Roman" w:cs="Times New Roman"/>
                <w:color w:val="000000"/>
                <w:sz w:val="24"/>
                <w:szCs w:val="24"/>
              </w:rPr>
              <w:t>s (5 grids total)</w:t>
            </w:r>
            <w:r w:rsidRPr="002C74D1" w:rsidR="005E2B79">
              <w:rPr>
                <w:rFonts w:ascii="Times New Roman" w:hAnsi="Times New Roman" w:cs="Times New Roman"/>
                <w:color w:val="000000"/>
                <w:sz w:val="24"/>
                <w:szCs w:val="24"/>
              </w:rPr>
              <w:t xml:space="preserve"> in </w:t>
            </w:r>
            <w:r w:rsidRPr="002C74D1" w:rsidR="00570B12">
              <w:rPr>
                <w:rFonts w:ascii="Times New Roman" w:hAnsi="Times New Roman" w:cs="Times New Roman"/>
                <w:color w:val="000000"/>
                <w:sz w:val="24"/>
                <w:szCs w:val="24"/>
              </w:rPr>
              <w:t xml:space="preserve">each </w:t>
            </w:r>
            <w:r w:rsidRPr="002C74D1" w:rsidR="005E2B79">
              <w:rPr>
                <w:rFonts w:ascii="Times New Roman" w:hAnsi="Times New Roman" w:cs="Times New Roman"/>
                <w:color w:val="000000"/>
                <w:sz w:val="24"/>
                <w:szCs w:val="24"/>
              </w:rPr>
              <w:t>PSU</w:t>
            </w:r>
          </w:p>
          <w:p w:rsidR="005E2B79" w:rsidRPr="002C74D1" w:rsidP="00D9041E" w14:paraId="64ACA3EB" w14:textId="2DBA0EB8">
            <w:pPr>
              <w:pStyle w:val="ListParagraph"/>
              <w:keepNext/>
              <w:numPr>
                <w:ilvl w:val="0"/>
                <w:numId w:val="13"/>
              </w:numPr>
              <w:tabs>
                <w:tab w:val="left" w:pos="144"/>
              </w:tabs>
              <w:spacing w:after="120"/>
              <w:ind w:left="397"/>
              <w:rPr>
                <w:rFonts w:ascii="Times New Roman" w:hAnsi="Times New Roman" w:cs="Times New Roman"/>
                <w:color w:val="000000"/>
                <w:sz w:val="24"/>
                <w:szCs w:val="24"/>
              </w:rPr>
            </w:pPr>
            <w:r w:rsidRPr="002C74D1">
              <w:rPr>
                <w:rFonts w:ascii="Times New Roman" w:hAnsi="Times New Roman" w:cs="Times New Roman"/>
                <w:color w:val="000000"/>
                <w:sz w:val="24"/>
                <w:szCs w:val="24"/>
              </w:rPr>
              <w:t>Identification of a r</w:t>
            </w:r>
            <w:r w:rsidRPr="002C74D1" w:rsidR="00486E8B">
              <w:rPr>
                <w:rFonts w:ascii="Times New Roman" w:hAnsi="Times New Roman" w:cs="Times New Roman"/>
                <w:color w:val="000000"/>
                <w:sz w:val="24"/>
                <w:szCs w:val="24"/>
              </w:rPr>
              <w:t xml:space="preserve">oadside site within </w:t>
            </w:r>
            <w:r w:rsidRPr="002C74D1">
              <w:rPr>
                <w:rFonts w:ascii="Times New Roman" w:hAnsi="Times New Roman" w:cs="Times New Roman"/>
                <w:color w:val="000000"/>
                <w:sz w:val="24"/>
                <w:szCs w:val="24"/>
              </w:rPr>
              <w:t xml:space="preserve">each </w:t>
            </w:r>
            <w:r w:rsidRPr="002C74D1" w:rsidR="00486E8B">
              <w:rPr>
                <w:rFonts w:ascii="Times New Roman" w:hAnsi="Times New Roman" w:cs="Times New Roman"/>
                <w:color w:val="000000"/>
                <w:sz w:val="24"/>
                <w:szCs w:val="24"/>
              </w:rPr>
              <w:t xml:space="preserve">grid that can </w:t>
            </w:r>
            <w:r w:rsidRPr="002C74D1" w:rsidR="0054763F">
              <w:rPr>
                <w:rFonts w:ascii="Times New Roman" w:hAnsi="Times New Roman" w:cs="Times New Roman"/>
                <w:color w:val="000000"/>
                <w:sz w:val="24"/>
                <w:szCs w:val="24"/>
              </w:rPr>
              <w:t>safely host data collection</w:t>
            </w:r>
          </w:p>
          <w:p w:rsidR="0054763F" w:rsidRPr="002C74D1" w:rsidP="00D9041E" w14:paraId="37E1472F" w14:textId="19DD16DC">
            <w:pPr>
              <w:pStyle w:val="ListParagraph"/>
              <w:keepNext/>
              <w:numPr>
                <w:ilvl w:val="0"/>
                <w:numId w:val="13"/>
              </w:numPr>
              <w:tabs>
                <w:tab w:val="left" w:pos="144"/>
              </w:tabs>
              <w:spacing w:after="120"/>
              <w:ind w:left="397"/>
              <w:rPr>
                <w:rFonts w:ascii="Times New Roman" w:hAnsi="Times New Roman" w:cs="Times New Roman"/>
                <w:color w:val="000000"/>
                <w:sz w:val="24"/>
                <w:szCs w:val="24"/>
              </w:rPr>
            </w:pPr>
            <w:r w:rsidRPr="002C74D1">
              <w:rPr>
                <w:rFonts w:ascii="Times New Roman" w:hAnsi="Times New Roman" w:cs="Times New Roman"/>
                <w:color w:val="000000"/>
                <w:sz w:val="24"/>
                <w:szCs w:val="24"/>
              </w:rPr>
              <w:t>Equal opportunity for all passing drivers</w:t>
            </w:r>
            <w:r w:rsidRPr="002C74D1" w:rsidR="00EE70DB">
              <w:rPr>
                <w:rFonts w:ascii="Times New Roman" w:hAnsi="Times New Roman" w:cs="Times New Roman"/>
                <w:color w:val="000000"/>
                <w:sz w:val="24"/>
                <w:szCs w:val="24"/>
              </w:rPr>
              <w:t xml:space="preserve"> at each roadside data collection location </w:t>
            </w:r>
            <w:r w:rsidRPr="002C74D1">
              <w:rPr>
                <w:rFonts w:ascii="Times New Roman" w:hAnsi="Times New Roman" w:cs="Times New Roman"/>
                <w:color w:val="000000"/>
                <w:sz w:val="24"/>
                <w:szCs w:val="24"/>
              </w:rPr>
              <w:t xml:space="preserve">to </w:t>
            </w:r>
            <w:r w:rsidRPr="002C74D1" w:rsidR="00022069">
              <w:rPr>
                <w:rFonts w:ascii="Times New Roman" w:hAnsi="Times New Roman" w:cs="Times New Roman"/>
                <w:color w:val="000000"/>
                <w:sz w:val="24"/>
                <w:szCs w:val="24"/>
              </w:rPr>
              <w:t xml:space="preserve">volunteer to </w:t>
            </w:r>
            <w:r w:rsidRPr="002C74D1">
              <w:rPr>
                <w:rFonts w:ascii="Times New Roman" w:hAnsi="Times New Roman" w:cs="Times New Roman"/>
                <w:color w:val="000000"/>
                <w:sz w:val="24"/>
                <w:szCs w:val="24"/>
              </w:rPr>
              <w:t>participate</w:t>
            </w:r>
          </w:p>
        </w:tc>
      </w:tr>
      <w:tr w14:paraId="31F89439" w14:textId="77777777" w:rsidTr="00E01018">
        <w:tblPrEx>
          <w:tblW w:w="8743" w:type="dxa"/>
          <w:jc w:val="center"/>
          <w:tblLook w:val="04A0"/>
        </w:tblPrEx>
        <w:trPr>
          <w:trHeight w:val="540"/>
          <w:jc w:val="center"/>
        </w:trPr>
        <w:tc>
          <w:tcPr>
            <w:tcW w:w="2515" w:type="dxa"/>
            <w:tcMar>
              <w:left w:w="29" w:type="dxa"/>
              <w:right w:w="29" w:type="dxa"/>
            </w:tcMar>
          </w:tcPr>
          <w:p w:rsidR="00844C69" w:rsidRPr="002C74D1" w:rsidP="00280050" w14:paraId="276C6390" w14:textId="77777777">
            <w:pPr>
              <w:tabs>
                <w:tab w:val="left" w:pos="144"/>
              </w:tabs>
              <w:spacing w:after="120"/>
              <w:rPr>
                <w:rFonts w:ascii="Times New Roman" w:hAnsi="Times New Roman"/>
                <w:color w:val="000000"/>
              </w:rPr>
            </w:pPr>
            <w:r w:rsidRPr="002C74D1">
              <w:rPr>
                <w:rFonts w:ascii="Times New Roman" w:hAnsi="Times New Roman"/>
                <w:color w:val="000000"/>
              </w:rPr>
              <w:t xml:space="preserve">CRSS </w:t>
            </w:r>
            <w:r w:rsidRPr="002C74D1" w:rsidR="00314966">
              <w:rPr>
                <w:rFonts w:ascii="Times New Roman" w:hAnsi="Times New Roman"/>
                <w:color w:val="000000"/>
              </w:rPr>
              <w:t xml:space="preserve">PSU </w:t>
            </w:r>
          </w:p>
          <w:p w:rsidR="007476A1" w:rsidRPr="002C74D1" w:rsidP="00280050" w14:paraId="0C8278BB" w14:textId="09193755">
            <w:pPr>
              <w:tabs>
                <w:tab w:val="left" w:pos="144"/>
              </w:tabs>
              <w:spacing w:after="120"/>
              <w:rPr>
                <w:rFonts w:ascii="Times New Roman" w:hAnsi="Times New Roman"/>
                <w:color w:val="000000"/>
              </w:rPr>
            </w:pPr>
            <w:r w:rsidRPr="002C74D1">
              <w:rPr>
                <w:rFonts w:ascii="Times New Roman" w:hAnsi="Times New Roman"/>
                <w:color w:val="000000"/>
              </w:rPr>
              <w:t>Stratification</w:t>
            </w:r>
          </w:p>
        </w:tc>
        <w:tc>
          <w:tcPr>
            <w:tcW w:w="6228" w:type="dxa"/>
            <w:tcMar>
              <w:left w:w="29" w:type="dxa"/>
              <w:right w:w="29" w:type="dxa"/>
            </w:tcMar>
            <w:vAlign w:val="center"/>
          </w:tcPr>
          <w:p w:rsidR="007476A1" w:rsidRPr="002C74D1" w:rsidP="00280050" w14:paraId="045E553C" w14:textId="77777777">
            <w:pPr>
              <w:tabs>
                <w:tab w:val="left" w:pos="144"/>
              </w:tabs>
              <w:spacing w:after="120"/>
              <w:rPr>
                <w:rFonts w:ascii="Times New Roman" w:hAnsi="Times New Roman"/>
                <w:color w:val="000000"/>
              </w:rPr>
            </w:pPr>
            <w:r w:rsidRPr="002C74D1">
              <w:rPr>
                <w:rFonts w:ascii="Times New Roman" w:hAnsi="Times New Roman"/>
                <w:color w:val="000000"/>
              </w:rPr>
              <w:t>Census region, urban/rural, vehicle miles traveled, total number of crashes, total truck miles traveled, and road miles</w:t>
            </w:r>
          </w:p>
        </w:tc>
      </w:tr>
      <w:tr w14:paraId="2FC0EC3E" w14:textId="77777777" w:rsidTr="00E01018">
        <w:tblPrEx>
          <w:tblW w:w="8743" w:type="dxa"/>
          <w:jc w:val="center"/>
          <w:tblLook w:val="04A0"/>
        </w:tblPrEx>
        <w:trPr>
          <w:trHeight w:val="269"/>
          <w:jc w:val="center"/>
        </w:trPr>
        <w:tc>
          <w:tcPr>
            <w:tcW w:w="2515" w:type="dxa"/>
            <w:tcMar>
              <w:left w:w="29" w:type="dxa"/>
              <w:right w:w="29" w:type="dxa"/>
            </w:tcMar>
            <w:vAlign w:val="center"/>
          </w:tcPr>
          <w:p w:rsidR="007476A1" w:rsidRPr="002C74D1" w:rsidP="00280050" w14:paraId="285B15BE" w14:textId="77777777">
            <w:pPr>
              <w:tabs>
                <w:tab w:val="left" w:pos="144"/>
              </w:tabs>
              <w:spacing w:after="120"/>
              <w:rPr>
                <w:rFonts w:ascii="Times New Roman" w:hAnsi="Times New Roman"/>
                <w:color w:val="000000"/>
              </w:rPr>
            </w:pPr>
            <w:r w:rsidRPr="002C74D1">
              <w:rPr>
                <w:rFonts w:ascii="Times New Roman" w:hAnsi="Times New Roman"/>
                <w:color w:val="000000"/>
              </w:rPr>
              <w:t>Recruitment</w:t>
            </w:r>
          </w:p>
        </w:tc>
        <w:tc>
          <w:tcPr>
            <w:tcW w:w="6228" w:type="dxa"/>
            <w:tcMar>
              <w:left w:w="29" w:type="dxa"/>
              <w:right w:w="29" w:type="dxa"/>
            </w:tcMar>
            <w:vAlign w:val="center"/>
          </w:tcPr>
          <w:p w:rsidR="007476A1" w:rsidRPr="002C74D1" w:rsidP="00280050" w14:paraId="495DD4FE" w14:textId="77777777">
            <w:pPr>
              <w:tabs>
                <w:tab w:val="left" w:pos="144"/>
              </w:tabs>
              <w:spacing w:after="120"/>
              <w:rPr>
                <w:rFonts w:ascii="Times New Roman" w:hAnsi="Times New Roman"/>
                <w:color w:val="000000"/>
              </w:rPr>
            </w:pPr>
            <w:r w:rsidRPr="002C74D1">
              <w:rPr>
                <w:rFonts w:ascii="Times New Roman" w:hAnsi="Times New Roman"/>
                <w:color w:val="000000"/>
              </w:rPr>
              <w:t>Intercept on live roadway</w:t>
            </w:r>
          </w:p>
        </w:tc>
      </w:tr>
      <w:tr w14:paraId="4A6BB519" w14:textId="77777777" w:rsidTr="00E01018">
        <w:tblPrEx>
          <w:tblW w:w="8743" w:type="dxa"/>
          <w:jc w:val="center"/>
          <w:tblLook w:val="04A0"/>
        </w:tblPrEx>
        <w:trPr>
          <w:trHeight w:val="540"/>
          <w:jc w:val="center"/>
        </w:trPr>
        <w:tc>
          <w:tcPr>
            <w:tcW w:w="2515" w:type="dxa"/>
            <w:tcMar>
              <w:left w:w="29" w:type="dxa"/>
              <w:right w:w="29" w:type="dxa"/>
            </w:tcMar>
            <w:vAlign w:val="center"/>
          </w:tcPr>
          <w:p w:rsidR="007476A1" w:rsidRPr="002C74D1" w:rsidP="00280050" w14:paraId="1733C371" w14:textId="77777777">
            <w:pPr>
              <w:tabs>
                <w:tab w:val="left" w:pos="144"/>
              </w:tabs>
              <w:spacing w:after="120"/>
              <w:rPr>
                <w:rFonts w:ascii="Times New Roman" w:hAnsi="Times New Roman"/>
                <w:color w:val="000000"/>
              </w:rPr>
            </w:pPr>
            <w:r w:rsidRPr="002C74D1">
              <w:rPr>
                <w:rFonts w:ascii="Times New Roman" w:hAnsi="Times New Roman"/>
                <w:color w:val="000000"/>
              </w:rPr>
              <w:t>Survey Administration</w:t>
            </w:r>
          </w:p>
        </w:tc>
        <w:tc>
          <w:tcPr>
            <w:tcW w:w="6228" w:type="dxa"/>
            <w:tcMar>
              <w:left w:w="29" w:type="dxa"/>
              <w:right w:w="29" w:type="dxa"/>
            </w:tcMar>
            <w:vAlign w:val="center"/>
          </w:tcPr>
          <w:p w:rsidR="007476A1" w:rsidRPr="002C74D1" w:rsidP="00280050" w14:paraId="37DD9361" w14:textId="77777777">
            <w:pPr>
              <w:tabs>
                <w:tab w:val="left" w:pos="144"/>
              </w:tabs>
              <w:spacing w:after="120"/>
              <w:rPr>
                <w:rFonts w:ascii="Times New Roman" w:hAnsi="Times New Roman"/>
                <w:color w:val="000000"/>
              </w:rPr>
            </w:pPr>
            <w:r w:rsidRPr="002C74D1">
              <w:rPr>
                <w:rFonts w:ascii="Times New Roman" w:hAnsi="Times New Roman"/>
                <w:color w:val="000000"/>
              </w:rPr>
              <w:t>Breath test, oral fluid test, Internet-connected tablet</w:t>
            </w:r>
          </w:p>
        </w:tc>
      </w:tr>
    </w:tbl>
    <w:p w:rsidR="007476A1" w:rsidP="006B532B" w14:paraId="54EC952A" w14:textId="77777777">
      <w:pPr>
        <w:spacing w:line="240" w:lineRule="auto"/>
        <w:rPr>
          <w:rFonts w:ascii="TimesNewRomanPSMT" w:hAnsi="TimesNewRomanPSMT"/>
          <w:color w:val="000000"/>
        </w:rPr>
      </w:pPr>
    </w:p>
    <w:bookmarkEnd w:id="9"/>
    <w:p w:rsidR="00924C8D" w:rsidP="47C812E3" w14:paraId="39E3D780" w14:textId="30759ABA">
      <w:pPr>
        <w:pBdr>
          <w:top w:val="nil"/>
          <w:left w:val="nil"/>
          <w:bottom w:val="nil"/>
          <w:right w:val="nil"/>
          <w:between w:val="nil"/>
        </w:pBdr>
        <w:spacing w:line="240" w:lineRule="auto"/>
      </w:pPr>
      <w:r>
        <w:t>An exact count of the full respondent universe is not known at this time</w:t>
      </w:r>
      <w:r w:rsidR="00AA3AF2">
        <w:t xml:space="preserve"> given the complexities associated with counting drivers on trips during specific days and times</w:t>
      </w:r>
      <w:r w:rsidR="000E787E">
        <w:t xml:space="preserve"> across </w:t>
      </w:r>
      <w:r w:rsidR="000E787E">
        <w:t>a large number of</w:t>
      </w:r>
      <w:r w:rsidR="000E787E">
        <w:t xml:space="preserve"> roadways. The 2013-2014 NRS </w:t>
      </w:r>
      <w:r w:rsidRPr="00211501" w:rsidR="000E787E">
        <w:t xml:space="preserve">serves as the best estimate of the number of </w:t>
      </w:r>
      <w:r w:rsidRPr="00211501" w:rsidR="00355B11">
        <w:t>driver</w:t>
      </w:r>
      <w:r w:rsidRPr="00211501" w:rsidR="00355B11">
        <w:t xml:space="preserve"> encounters that can be expected for </w:t>
      </w:r>
      <w:r w:rsidR="00C85FCB">
        <w:t>Study 1</w:t>
      </w:r>
      <w:r w:rsidR="004433CB">
        <w:t xml:space="preserve"> </w:t>
      </w:r>
      <w:r w:rsidR="009C24C0">
        <w:t>to gather the desired sample size</w:t>
      </w:r>
      <w:r w:rsidRPr="00211501" w:rsidR="009C24C0">
        <w:t>.</w:t>
      </w:r>
      <w:r w:rsidR="009C24C0">
        <w:t xml:space="preserve"> </w:t>
      </w:r>
      <w:r w:rsidR="009C7C23">
        <w:rPr>
          <w:bCs/>
        </w:rPr>
        <w:t>Study 1</w:t>
      </w:r>
      <w:r w:rsidRPr="00894B87" w:rsidR="009C24C0">
        <w:rPr>
          <w:bCs/>
        </w:rPr>
        <w:t xml:space="preserve"> expects to contact approximately 1</w:t>
      </w:r>
      <w:r w:rsidR="009C24C0">
        <w:rPr>
          <w:bCs/>
        </w:rPr>
        <w:t xml:space="preserve">1,750 drivers with 9,000 agreeing to participate. Based on the last NRS results, it is expected 8,000 drivers will fully participate and 1,000 will partially participate (i.e., stops providing information before full data collection is complete). </w:t>
      </w:r>
      <w:r w:rsidR="009E2CF6">
        <w:rPr>
          <w:bCs/>
        </w:rPr>
        <w:t>Study 1</w:t>
      </w:r>
      <w:r w:rsidR="009C24C0">
        <w:rPr>
          <w:bCs/>
        </w:rPr>
        <w:t xml:space="preserve"> also expects to contact 750 ORUs </w:t>
      </w:r>
      <w:r w:rsidRPr="00894B87" w:rsidR="009C24C0">
        <w:rPr>
          <w:bCs/>
        </w:rPr>
        <w:t>at the</w:t>
      </w:r>
      <w:r w:rsidR="009C24C0">
        <w:rPr>
          <w:bCs/>
        </w:rPr>
        <w:t xml:space="preserve"> data collection </w:t>
      </w:r>
      <w:r w:rsidRPr="00894B87" w:rsidR="009C24C0">
        <w:rPr>
          <w:bCs/>
        </w:rPr>
        <w:t>locations</w:t>
      </w:r>
      <w:r w:rsidR="009C24C0">
        <w:rPr>
          <w:bCs/>
        </w:rPr>
        <w:t xml:space="preserve"> with 500 fully participating and 60 partially participating</w:t>
      </w:r>
      <w:r w:rsidRPr="00525D2A" w:rsidR="009C24C0">
        <w:rPr>
          <w:bCs/>
        </w:rPr>
        <w:t>.</w:t>
      </w:r>
      <w:r w:rsidRPr="00211501" w:rsidR="009C24C0">
        <w:t xml:space="preserve"> </w:t>
      </w:r>
      <w:r w:rsidR="009C24C0">
        <w:t xml:space="preserve">Table 3 </w:t>
      </w:r>
      <w:r w:rsidRPr="004F16D9" w:rsidR="009C24C0">
        <w:t xml:space="preserve">provides the demographic distributions obtained in the 2013-2014 NRS and the estimated number of participants in each category </w:t>
      </w:r>
      <w:r w:rsidR="00E04768">
        <w:t>Study 1</w:t>
      </w:r>
      <w:r w:rsidRPr="00211501" w:rsidR="009C24C0">
        <w:t>expects given the sample size goal of 8,000 drivers and 500 ORUs</w:t>
      </w:r>
      <w:r w:rsidR="009C24C0">
        <w:t xml:space="preserve"> fully completing participation</w:t>
      </w:r>
      <w:r w:rsidRPr="00211501" w:rsidR="009C24C0">
        <w:t xml:space="preserve">. </w:t>
      </w:r>
      <w:r w:rsidRPr="004F16D9" w:rsidR="009C24C0">
        <w:t>These values are estimates according to the planned sampling techniques. Actual counts could vary in the final sample.</w:t>
      </w:r>
    </w:p>
    <w:p w:rsidR="006A2F41" w14:paraId="6B7A7743" w14:textId="48F6F7D1">
      <w:pPr>
        <w:spacing w:line="240" w:lineRule="auto"/>
        <w:rPr>
          <w:b/>
          <w:szCs w:val="20"/>
        </w:rPr>
      </w:pPr>
      <w:bookmarkStart w:id="22" w:name="_Ref136164094"/>
    </w:p>
    <w:p w:rsidR="00924C8D" w:rsidRPr="00C8214E" w:rsidP="00924C8D" w14:paraId="46EAF08A" w14:textId="54F29F1C">
      <w:pPr>
        <w:pStyle w:val="Table"/>
        <w:keepNext/>
        <w:spacing w:after="120"/>
      </w:pPr>
      <w:bookmarkStart w:id="23" w:name="_Ref136278691"/>
      <w:bookmarkStart w:id="24" w:name="_Hlk136438138"/>
      <w:r>
        <w:t xml:space="preserve">Study 1 Estimated Completes Based on the </w:t>
      </w:r>
      <w:r w:rsidR="00C122DC">
        <w:t>2013-2014 NRS</w:t>
      </w:r>
      <w:r w:rsidR="007F53D1">
        <w:t xml:space="preserve"> </w:t>
      </w:r>
      <w:r w:rsidR="005F3A5C">
        <w:t xml:space="preserve">         </w:t>
      </w:r>
      <w:r>
        <w:t>Demographic Distribution</w:t>
      </w:r>
      <w:r w:rsidR="00F740A7">
        <w:t>s</w:t>
      </w:r>
      <w:bookmarkEnd w:id="22"/>
      <w:bookmarkEnd w:id="23"/>
    </w:p>
    <w:tbl>
      <w:tblPr>
        <w:tblW w:w="0" w:type="auto"/>
        <w:jc w:val="center"/>
        <w:tblLook w:val="04A0"/>
      </w:tblPr>
      <w:tblGrid>
        <w:gridCol w:w="1830"/>
        <w:gridCol w:w="1956"/>
        <w:gridCol w:w="1470"/>
        <w:gridCol w:w="2396"/>
      </w:tblGrid>
      <w:tr w14:paraId="0FFF879A" w14:textId="77777777" w:rsidTr="00C122DC">
        <w:tblPrEx>
          <w:tblW w:w="0" w:type="auto"/>
          <w:jc w:val="center"/>
          <w:tblLook w:val="04A0"/>
        </w:tblPrEx>
        <w:trPr>
          <w:trHeight w:val="300"/>
          <w:jc w:val="center"/>
        </w:trPr>
        <w:tc>
          <w:tcPr>
            <w:tcW w:w="0" w:type="auto"/>
            <w:tcBorders>
              <w:top w:val="single" w:sz="4" w:space="0" w:color="auto"/>
              <w:bottom w:val="single" w:sz="4" w:space="0" w:color="auto"/>
            </w:tcBorders>
            <w:shd w:val="clear" w:color="auto" w:fill="auto"/>
            <w:noWrap/>
            <w:vAlign w:val="bottom"/>
            <w:hideMark/>
          </w:tcPr>
          <w:bookmarkEnd w:id="24"/>
          <w:p w:rsidR="00924C8D" w:rsidRPr="00E3616E" w:rsidP="00280050" w14:paraId="3E1ABCC5" w14:textId="77777777">
            <w:pPr>
              <w:rPr>
                <w:b/>
                <w:bCs/>
                <w:color w:val="000000"/>
              </w:rPr>
            </w:pPr>
            <w:r w:rsidRPr="00E3616E">
              <w:rPr>
                <w:b/>
                <w:bCs/>
                <w:color w:val="000000"/>
              </w:rPr>
              <w:t>Variable</w:t>
            </w:r>
          </w:p>
        </w:tc>
        <w:tc>
          <w:tcPr>
            <w:tcW w:w="0" w:type="auto"/>
            <w:tcBorders>
              <w:top w:val="single" w:sz="4" w:space="0" w:color="auto"/>
              <w:bottom w:val="single" w:sz="4" w:space="0" w:color="auto"/>
            </w:tcBorders>
            <w:shd w:val="clear" w:color="auto" w:fill="auto"/>
            <w:noWrap/>
            <w:vAlign w:val="bottom"/>
            <w:hideMark/>
          </w:tcPr>
          <w:p w:rsidR="00924C8D" w:rsidRPr="00E3616E" w:rsidP="00280050" w14:paraId="22C894DB" w14:textId="77777777">
            <w:pPr>
              <w:rPr>
                <w:b/>
                <w:bCs/>
                <w:color w:val="000000"/>
              </w:rPr>
            </w:pPr>
            <w:r w:rsidRPr="00E3616E">
              <w:rPr>
                <w:b/>
                <w:bCs/>
                <w:color w:val="000000"/>
              </w:rPr>
              <w:t>Category</w:t>
            </w:r>
          </w:p>
        </w:tc>
        <w:tc>
          <w:tcPr>
            <w:tcW w:w="0" w:type="auto"/>
            <w:tcBorders>
              <w:top w:val="single" w:sz="4" w:space="0" w:color="auto"/>
              <w:bottom w:val="single" w:sz="4" w:space="0" w:color="auto"/>
            </w:tcBorders>
            <w:shd w:val="clear" w:color="auto" w:fill="auto"/>
            <w:noWrap/>
            <w:vAlign w:val="bottom"/>
            <w:hideMark/>
          </w:tcPr>
          <w:p w:rsidR="00924C8D" w:rsidRPr="00E3616E" w:rsidP="00280050" w14:paraId="04034D62" w14:textId="77777777">
            <w:pPr>
              <w:rPr>
                <w:b/>
                <w:bCs/>
                <w:color w:val="000000"/>
              </w:rPr>
            </w:pPr>
            <w:r w:rsidRPr="00E3616E">
              <w:rPr>
                <w:b/>
                <w:bCs/>
                <w:color w:val="000000"/>
              </w:rPr>
              <w:t>Distribution</w:t>
            </w:r>
          </w:p>
        </w:tc>
        <w:tc>
          <w:tcPr>
            <w:tcW w:w="0" w:type="auto"/>
            <w:tcBorders>
              <w:top w:val="single" w:sz="4" w:space="0" w:color="auto"/>
              <w:bottom w:val="single" w:sz="4" w:space="0" w:color="auto"/>
            </w:tcBorders>
            <w:shd w:val="clear" w:color="auto" w:fill="auto"/>
            <w:noWrap/>
            <w:vAlign w:val="bottom"/>
            <w:hideMark/>
          </w:tcPr>
          <w:p w:rsidR="00924C8D" w:rsidRPr="00E3616E" w:rsidP="00280050" w14:paraId="0DBC6872" w14:textId="77777777">
            <w:pPr>
              <w:jc w:val="right"/>
              <w:rPr>
                <w:b/>
                <w:bCs/>
                <w:color w:val="000000"/>
              </w:rPr>
            </w:pPr>
            <w:r w:rsidRPr="00E3616E">
              <w:rPr>
                <w:b/>
                <w:bCs/>
                <w:color w:val="000000"/>
              </w:rPr>
              <w:t>Estimated Completes</w:t>
            </w:r>
          </w:p>
        </w:tc>
      </w:tr>
      <w:tr w14:paraId="0C8F886B" w14:textId="77777777" w:rsidTr="00C122DC">
        <w:tblPrEx>
          <w:tblW w:w="0" w:type="auto"/>
          <w:jc w:val="center"/>
          <w:tblLook w:val="04A0"/>
        </w:tblPrEx>
        <w:trPr>
          <w:trHeight w:val="300"/>
          <w:jc w:val="center"/>
        </w:trPr>
        <w:tc>
          <w:tcPr>
            <w:tcW w:w="0" w:type="auto"/>
            <w:tcBorders>
              <w:top w:val="single" w:sz="4" w:space="0" w:color="auto"/>
            </w:tcBorders>
            <w:shd w:val="clear" w:color="auto" w:fill="auto"/>
            <w:noWrap/>
            <w:vAlign w:val="bottom"/>
          </w:tcPr>
          <w:p w:rsidR="00121ACD" w:rsidRPr="00E3616E" w:rsidP="00280050" w14:paraId="45340B22" w14:textId="607D30B6">
            <w:pPr>
              <w:rPr>
                <w:b/>
                <w:bCs/>
                <w:color w:val="000000"/>
                <w:u w:val="single"/>
              </w:rPr>
            </w:pPr>
            <w:r>
              <w:rPr>
                <w:b/>
                <w:bCs/>
                <w:color w:val="000000"/>
                <w:u w:val="single"/>
              </w:rPr>
              <w:t xml:space="preserve">Study 1 </w:t>
            </w:r>
            <w:r w:rsidRPr="00E3616E">
              <w:rPr>
                <w:b/>
                <w:bCs/>
                <w:color w:val="000000"/>
                <w:u w:val="single"/>
              </w:rPr>
              <w:t>Drivers</w:t>
            </w:r>
          </w:p>
        </w:tc>
        <w:tc>
          <w:tcPr>
            <w:tcW w:w="0" w:type="auto"/>
            <w:tcBorders>
              <w:top w:val="single" w:sz="4" w:space="0" w:color="auto"/>
            </w:tcBorders>
            <w:shd w:val="clear" w:color="auto" w:fill="auto"/>
            <w:noWrap/>
            <w:vAlign w:val="bottom"/>
          </w:tcPr>
          <w:p w:rsidR="00121ACD" w:rsidRPr="00E3616E" w:rsidP="00280050" w14:paraId="789BF0D0" w14:textId="77777777">
            <w:pPr>
              <w:rPr>
                <w:color w:val="000000"/>
              </w:rPr>
            </w:pPr>
          </w:p>
        </w:tc>
        <w:tc>
          <w:tcPr>
            <w:tcW w:w="0" w:type="auto"/>
            <w:tcBorders>
              <w:top w:val="single" w:sz="4" w:space="0" w:color="auto"/>
            </w:tcBorders>
            <w:shd w:val="clear" w:color="auto" w:fill="auto"/>
            <w:noWrap/>
            <w:vAlign w:val="bottom"/>
          </w:tcPr>
          <w:p w:rsidR="00121ACD" w:rsidRPr="00E3616E" w:rsidP="00280050" w14:paraId="1172571F" w14:textId="77777777">
            <w:pPr>
              <w:jc w:val="right"/>
              <w:rPr>
                <w:color w:val="000000"/>
              </w:rPr>
            </w:pPr>
          </w:p>
        </w:tc>
        <w:tc>
          <w:tcPr>
            <w:tcW w:w="0" w:type="auto"/>
            <w:tcBorders>
              <w:top w:val="single" w:sz="4" w:space="0" w:color="auto"/>
            </w:tcBorders>
            <w:shd w:val="clear" w:color="auto" w:fill="auto"/>
            <w:noWrap/>
            <w:vAlign w:val="bottom"/>
          </w:tcPr>
          <w:p w:rsidR="00121ACD" w:rsidRPr="00E3616E" w:rsidP="00280050" w14:paraId="6A8507F7" w14:textId="2D1F8F73">
            <w:pPr>
              <w:jc w:val="right"/>
              <w:rPr>
                <w:b/>
                <w:bCs/>
                <w:color w:val="000000"/>
                <w:u w:val="single"/>
              </w:rPr>
            </w:pPr>
            <w:r w:rsidRPr="00E3616E">
              <w:rPr>
                <w:b/>
                <w:bCs/>
                <w:color w:val="000000"/>
                <w:u w:val="single"/>
              </w:rPr>
              <w:t>N = 8,000</w:t>
            </w:r>
          </w:p>
        </w:tc>
      </w:tr>
      <w:tr w14:paraId="28CC1FB0" w14:textId="77777777" w:rsidTr="00C122DC">
        <w:tblPrEx>
          <w:tblW w:w="0" w:type="auto"/>
          <w:jc w:val="center"/>
          <w:tblLook w:val="04A0"/>
        </w:tblPrEx>
        <w:trPr>
          <w:trHeight w:val="300"/>
          <w:jc w:val="center"/>
        </w:trPr>
        <w:tc>
          <w:tcPr>
            <w:tcW w:w="0" w:type="auto"/>
            <w:shd w:val="clear" w:color="auto" w:fill="auto"/>
            <w:noWrap/>
            <w:vAlign w:val="bottom"/>
            <w:hideMark/>
          </w:tcPr>
          <w:p w:rsidR="004E7EC1" w:rsidRPr="00E3616E" w:rsidP="004E7EC1" w14:paraId="5901DC89" w14:textId="77777777">
            <w:pPr>
              <w:rPr>
                <w:color w:val="000000"/>
              </w:rPr>
            </w:pPr>
            <w:r w:rsidRPr="00E3616E">
              <w:rPr>
                <w:color w:val="000000"/>
              </w:rPr>
              <w:t>Age</w:t>
            </w:r>
          </w:p>
        </w:tc>
        <w:tc>
          <w:tcPr>
            <w:tcW w:w="0" w:type="auto"/>
            <w:shd w:val="clear" w:color="auto" w:fill="auto"/>
            <w:noWrap/>
            <w:vAlign w:val="center"/>
            <w:hideMark/>
          </w:tcPr>
          <w:p w:rsidR="004E7EC1" w:rsidRPr="00E3616E" w:rsidP="004E7EC1" w14:paraId="37765973" w14:textId="7C1EDACA">
            <w:pPr>
              <w:rPr>
                <w:color w:val="000000"/>
              </w:rPr>
            </w:pPr>
            <w:r w:rsidRPr="00E3616E">
              <w:rPr>
                <w:color w:val="000000"/>
              </w:rPr>
              <w:t>16–20</w:t>
            </w:r>
          </w:p>
        </w:tc>
        <w:tc>
          <w:tcPr>
            <w:tcW w:w="0" w:type="auto"/>
            <w:shd w:val="clear" w:color="auto" w:fill="auto"/>
            <w:noWrap/>
            <w:vAlign w:val="bottom"/>
            <w:hideMark/>
          </w:tcPr>
          <w:p w:rsidR="004E7EC1" w:rsidRPr="00E3616E" w:rsidP="004E7EC1" w14:paraId="525256E9" w14:textId="219EFA51">
            <w:pPr>
              <w:jc w:val="right"/>
              <w:rPr>
                <w:color w:val="000000"/>
              </w:rPr>
            </w:pPr>
            <w:r w:rsidRPr="00E3616E">
              <w:rPr>
                <w:color w:val="000000"/>
              </w:rPr>
              <w:t>12.36%</w:t>
            </w:r>
          </w:p>
        </w:tc>
        <w:tc>
          <w:tcPr>
            <w:tcW w:w="0" w:type="auto"/>
            <w:shd w:val="clear" w:color="auto" w:fill="auto"/>
            <w:noWrap/>
            <w:vAlign w:val="bottom"/>
            <w:hideMark/>
          </w:tcPr>
          <w:p w:rsidR="004E7EC1" w:rsidRPr="00E3616E" w:rsidP="004E7EC1" w14:paraId="3BDD0315" w14:textId="67FE1B61">
            <w:pPr>
              <w:jc w:val="right"/>
              <w:rPr>
                <w:color w:val="000000"/>
              </w:rPr>
            </w:pPr>
            <w:r w:rsidRPr="00E3616E">
              <w:rPr>
                <w:color w:val="000000"/>
              </w:rPr>
              <w:t>989</w:t>
            </w:r>
          </w:p>
        </w:tc>
      </w:tr>
      <w:tr w14:paraId="097F0798" w14:textId="77777777" w:rsidTr="00C122DC">
        <w:tblPrEx>
          <w:tblW w:w="0" w:type="auto"/>
          <w:jc w:val="center"/>
          <w:tblLook w:val="04A0"/>
        </w:tblPrEx>
        <w:trPr>
          <w:trHeight w:val="300"/>
          <w:jc w:val="center"/>
        </w:trPr>
        <w:tc>
          <w:tcPr>
            <w:tcW w:w="0" w:type="auto"/>
            <w:tcBorders>
              <w:top w:val="nil"/>
            </w:tcBorders>
            <w:shd w:val="clear" w:color="auto" w:fill="auto"/>
            <w:noWrap/>
            <w:vAlign w:val="bottom"/>
            <w:hideMark/>
          </w:tcPr>
          <w:p w:rsidR="004E7EC1" w:rsidRPr="00E3616E" w:rsidP="004E7EC1" w14:paraId="39E85B5C" w14:textId="77777777">
            <w:pPr>
              <w:rPr>
                <w:color w:val="000000"/>
              </w:rPr>
            </w:pPr>
            <w:r w:rsidRPr="00E3616E">
              <w:rPr>
                <w:color w:val="000000"/>
              </w:rPr>
              <w:t> </w:t>
            </w:r>
          </w:p>
        </w:tc>
        <w:tc>
          <w:tcPr>
            <w:tcW w:w="0" w:type="auto"/>
            <w:tcBorders>
              <w:top w:val="nil"/>
            </w:tcBorders>
            <w:shd w:val="clear" w:color="auto" w:fill="auto"/>
            <w:noWrap/>
            <w:vAlign w:val="center"/>
            <w:hideMark/>
          </w:tcPr>
          <w:p w:rsidR="004E7EC1" w:rsidRPr="00E3616E" w:rsidP="004E7EC1" w14:paraId="2205A9A5" w14:textId="44CF037D">
            <w:pPr>
              <w:rPr>
                <w:color w:val="000000"/>
              </w:rPr>
            </w:pPr>
            <w:r w:rsidRPr="00E3616E">
              <w:rPr>
                <w:color w:val="000000"/>
              </w:rPr>
              <w:t>21–34</w:t>
            </w:r>
          </w:p>
        </w:tc>
        <w:tc>
          <w:tcPr>
            <w:tcW w:w="0" w:type="auto"/>
            <w:tcBorders>
              <w:top w:val="nil"/>
            </w:tcBorders>
            <w:shd w:val="clear" w:color="auto" w:fill="auto"/>
            <w:noWrap/>
            <w:vAlign w:val="bottom"/>
            <w:hideMark/>
          </w:tcPr>
          <w:p w:rsidR="004E7EC1" w:rsidRPr="00E3616E" w:rsidP="004E7EC1" w14:paraId="4E49F4E2" w14:textId="6F09C451">
            <w:pPr>
              <w:jc w:val="right"/>
              <w:rPr>
                <w:color w:val="000000"/>
              </w:rPr>
            </w:pPr>
            <w:r w:rsidRPr="00E3616E">
              <w:rPr>
                <w:color w:val="000000"/>
              </w:rPr>
              <w:t>40.69%</w:t>
            </w:r>
          </w:p>
        </w:tc>
        <w:tc>
          <w:tcPr>
            <w:tcW w:w="0" w:type="auto"/>
            <w:tcBorders>
              <w:top w:val="nil"/>
            </w:tcBorders>
            <w:shd w:val="clear" w:color="auto" w:fill="auto"/>
            <w:noWrap/>
            <w:vAlign w:val="bottom"/>
            <w:hideMark/>
          </w:tcPr>
          <w:p w:rsidR="004E7EC1" w:rsidRPr="00E3616E" w:rsidP="004E7EC1" w14:paraId="0644690F" w14:textId="6C1564B1">
            <w:pPr>
              <w:jc w:val="right"/>
              <w:rPr>
                <w:color w:val="000000"/>
              </w:rPr>
            </w:pPr>
            <w:r w:rsidRPr="00E3616E">
              <w:rPr>
                <w:color w:val="000000"/>
              </w:rPr>
              <w:t>3255</w:t>
            </w:r>
          </w:p>
        </w:tc>
      </w:tr>
      <w:tr w14:paraId="46982DD0" w14:textId="77777777" w:rsidTr="00C122DC">
        <w:tblPrEx>
          <w:tblW w:w="0" w:type="auto"/>
          <w:jc w:val="center"/>
          <w:tblLook w:val="04A0"/>
        </w:tblPrEx>
        <w:trPr>
          <w:trHeight w:val="300"/>
          <w:jc w:val="center"/>
        </w:trPr>
        <w:tc>
          <w:tcPr>
            <w:tcW w:w="0" w:type="auto"/>
            <w:tcBorders>
              <w:top w:val="nil"/>
            </w:tcBorders>
            <w:shd w:val="clear" w:color="auto" w:fill="auto"/>
            <w:noWrap/>
            <w:vAlign w:val="bottom"/>
            <w:hideMark/>
          </w:tcPr>
          <w:p w:rsidR="004E7EC1" w:rsidRPr="00E3616E" w:rsidP="004E7EC1" w14:paraId="69530CF6" w14:textId="77777777">
            <w:pPr>
              <w:rPr>
                <w:color w:val="000000"/>
              </w:rPr>
            </w:pPr>
            <w:r w:rsidRPr="00E3616E">
              <w:rPr>
                <w:color w:val="000000"/>
              </w:rPr>
              <w:t> </w:t>
            </w:r>
          </w:p>
        </w:tc>
        <w:tc>
          <w:tcPr>
            <w:tcW w:w="0" w:type="auto"/>
            <w:tcBorders>
              <w:top w:val="nil"/>
            </w:tcBorders>
            <w:shd w:val="clear" w:color="auto" w:fill="auto"/>
            <w:noWrap/>
            <w:vAlign w:val="center"/>
            <w:hideMark/>
          </w:tcPr>
          <w:p w:rsidR="004E7EC1" w:rsidRPr="00E3616E" w:rsidP="004E7EC1" w14:paraId="322522CB" w14:textId="3BA22520">
            <w:pPr>
              <w:rPr>
                <w:color w:val="000000"/>
              </w:rPr>
            </w:pPr>
            <w:r w:rsidRPr="00E3616E">
              <w:rPr>
                <w:color w:val="000000"/>
              </w:rPr>
              <w:t>35–44</w:t>
            </w:r>
          </w:p>
        </w:tc>
        <w:tc>
          <w:tcPr>
            <w:tcW w:w="0" w:type="auto"/>
            <w:tcBorders>
              <w:top w:val="nil"/>
            </w:tcBorders>
            <w:shd w:val="clear" w:color="auto" w:fill="auto"/>
            <w:noWrap/>
            <w:vAlign w:val="bottom"/>
            <w:hideMark/>
          </w:tcPr>
          <w:p w:rsidR="004E7EC1" w:rsidRPr="00E3616E" w:rsidP="004E7EC1" w14:paraId="55B48F06" w14:textId="4EC08E45">
            <w:pPr>
              <w:jc w:val="right"/>
              <w:rPr>
                <w:color w:val="000000"/>
              </w:rPr>
            </w:pPr>
            <w:r w:rsidRPr="00E3616E">
              <w:rPr>
                <w:color w:val="000000"/>
              </w:rPr>
              <w:t>16.63%</w:t>
            </w:r>
          </w:p>
        </w:tc>
        <w:tc>
          <w:tcPr>
            <w:tcW w:w="0" w:type="auto"/>
            <w:tcBorders>
              <w:top w:val="nil"/>
            </w:tcBorders>
            <w:shd w:val="clear" w:color="auto" w:fill="auto"/>
            <w:noWrap/>
            <w:vAlign w:val="bottom"/>
            <w:hideMark/>
          </w:tcPr>
          <w:p w:rsidR="004E7EC1" w:rsidRPr="00E3616E" w:rsidP="004E7EC1" w14:paraId="0ADFCBC0" w14:textId="1730B8F2">
            <w:pPr>
              <w:jc w:val="right"/>
              <w:rPr>
                <w:color w:val="000000"/>
              </w:rPr>
            </w:pPr>
            <w:r w:rsidRPr="00E3616E">
              <w:rPr>
                <w:color w:val="000000"/>
              </w:rPr>
              <w:t>1330</w:t>
            </w:r>
          </w:p>
        </w:tc>
      </w:tr>
      <w:tr w14:paraId="2BB34FED" w14:textId="77777777" w:rsidTr="00C122DC">
        <w:tblPrEx>
          <w:tblW w:w="0" w:type="auto"/>
          <w:jc w:val="center"/>
          <w:tblLook w:val="04A0"/>
        </w:tblPrEx>
        <w:trPr>
          <w:trHeight w:val="300"/>
          <w:jc w:val="center"/>
        </w:trPr>
        <w:tc>
          <w:tcPr>
            <w:tcW w:w="0" w:type="auto"/>
            <w:tcBorders>
              <w:top w:val="nil"/>
            </w:tcBorders>
            <w:shd w:val="clear" w:color="auto" w:fill="auto"/>
            <w:noWrap/>
            <w:vAlign w:val="bottom"/>
          </w:tcPr>
          <w:p w:rsidR="004E7EC1" w:rsidRPr="00E3616E" w:rsidP="004E7EC1" w14:paraId="394A93A7" w14:textId="77777777">
            <w:pPr>
              <w:rPr>
                <w:color w:val="000000"/>
              </w:rPr>
            </w:pPr>
          </w:p>
        </w:tc>
        <w:tc>
          <w:tcPr>
            <w:tcW w:w="0" w:type="auto"/>
            <w:tcBorders>
              <w:top w:val="nil"/>
            </w:tcBorders>
            <w:shd w:val="clear" w:color="auto" w:fill="auto"/>
            <w:noWrap/>
            <w:vAlign w:val="center"/>
          </w:tcPr>
          <w:p w:rsidR="004E7EC1" w:rsidRPr="00E3616E" w:rsidP="004E7EC1" w14:paraId="7D0F470E" w14:textId="2251F439">
            <w:pPr>
              <w:rPr>
                <w:color w:val="000000"/>
              </w:rPr>
            </w:pPr>
            <w:r w:rsidRPr="00E3616E">
              <w:rPr>
                <w:color w:val="000000"/>
              </w:rPr>
              <w:t xml:space="preserve">45–64 </w:t>
            </w:r>
          </w:p>
        </w:tc>
        <w:tc>
          <w:tcPr>
            <w:tcW w:w="0" w:type="auto"/>
            <w:tcBorders>
              <w:top w:val="nil"/>
            </w:tcBorders>
            <w:shd w:val="clear" w:color="auto" w:fill="auto"/>
            <w:noWrap/>
            <w:vAlign w:val="bottom"/>
          </w:tcPr>
          <w:p w:rsidR="004E7EC1" w:rsidRPr="00E3616E" w:rsidP="004E7EC1" w14:paraId="4E25D8AC" w14:textId="4C1EC807">
            <w:pPr>
              <w:jc w:val="right"/>
              <w:rPr>
                <w:color w:val="000000"/>
              </w:rPr>
            </w:pPr>
            <w:r w:rsidRPr="00E3616E">
              <w:rPr>
                <w:color w:val="000000"/>
              </w:rPr>
              <w:t>24.68%</w:t>
            </w:r>
          </w:p>
        </w:tc>
        <w:tc>
          <w:tcPr>
            <w:tcW w:w="0" w:type="auto"/>
            <w:tcBorders>
              <w:top w:val="nil"/>
            </w:tcBorders>
            <w:shd w:val="clear" w:color="auto" w:fill="auto"/>
            <w:noWrap/>
            <w:vAlign w:val="bottom"/>
          </w:tcPr>
          <w:p w:rsidR="004E7EC1" w:rsidRPr="00E3616E" w:rsidP="004E7EC1" w14:paraId="1CF6309A" w14:textId="4333D05D">
            <w:pPr>
              <w:jc w:val="right"/>
              <w:rPr>
                <w:color w:val="000000"/>
              </w:rPr>
            </w:pPr>
            <w:r w:rsidRPr="00E3616E">
              <w:rPr>
                <w:color w:val="000000"/>
              </w:rPr>
              <w:t>1975</w:t>
            </w:r>
          </w:p>
        </w:tc>
      </w:tr>
      <w:tr w14:paraId="01010A66" w14:textId="77777777" w:rsidTr="00C122DC">
        <w:tblPrEx>
          <w:tblW w:w="0" w:type="auto"/>
          <w:jc w:val="center"/>
          <w:tblLook w:val="04A0"/>
        </w:tblPrEx>
        <w:trPr>
          <w:trHeight w:val="300"/>
          <w:jc w:val="center"/>
        </w:trPr>
        <w:tc>
          <w:tcPr>
            <w:tcW w:w="0" w:type="auto"/>
            <w:tcBorders>
              <w:top w:val="nil"/>
            </w:tcBorders>
            <w:shd w:val="clear" w:color="auto" w:fill="auto"/>
            <w:noWrap/>
            <w:vAlign w:val="bottom"/>
          </w:tcPr>
          <w:p w:rsidR="004E7EC1" w:rsidRPr="00E3616E" w:rsidP="004E7EC1" w14:paraId="190DF19F" w14:textId="77777777">
            <w:pPr>
              <w:rPr>
                <w:color w:val="000000"/>
              </w:rPr>
            </w:pPr>
          </w:p>
        </w:tc>
        <w:tc>
          <w:tcPr>
            <w:tcW w:w="0" w:type="auto"/>
            <w:tcBorders>
              <w:top w:val="nil"/>
            </w:tcBorders>
            <w:shd w:val="clear" w:color="auto" w:fill="auto"/>
            <w:noWrap/>
            <w:vAlign w:val="center"/>
          </w:tcPr>
          <w:p w:rsidR="004E7EC1" w:rsidRPr="00E3616E" w:rsidP="004E7EC1" w14:paraId="46FB0EEB" w14:textId="3021965D">
            <w:pPr>
              <w:rPr>
                <w:color w:val="000000"/>
              </w:rPr>
            </w:pPr>
            <w:r w:rsidRPr="00E3616E">
              <w:rPr>
                <w:color w:val="000000"/>
              </w:rPr>
              <w:t>65+</w:t>
            </w:r>
          </w:p>
        </w:tc>
        <w:tc>
          <w:tcPr>
            <w:tcW w:w="0" w:type="auto"/>
            <w:tcBorders>
              <w:top w:val="nil"/>
            </w:tcBorders>
            <w:shd w:val="clear" w:color="auto" w:fill="auto"/>
            <w:noWrap/>
            <w:vAlign w:val="bottom"/>
          </w:tcPr>
          <w:p w:rsidR="004E7EC1" w:rsidRPr="00E3616E" w:rsidP="004E7EC1" w14:paraId="28782304" w14:textId="53ECA203">
            <w:pPr>
              <w:jc w:val="right"/>
              <w:rPr>
                <w:color w:val="000000"/>
              </w:rPr>
            </w:pPr>
            <w:r w:rsidRPr="00E3616E">
              <w:rPr>
                <w:color w:val="000000"/>
              </w:rPr>
              <w:t>5.64%</w:t>
            </w:r>
          </w:p>
        </w:tc>
        <w:tc>
          <w:tcPr>
            <w:tcW w:w="0" w:type="auto"/>
            <w:tcBorders>
              <w:top w:val="nil"/>
            </w:tcBorders>
            <w:shd w:val="clear" w:color="auto" w:fill="auto"/>
            <w:noWrap/>
            <w:vAlign w:val="bottom"/>
          </w:tcPr>
          <w:p w:rsidR="004E7EC1" w:rsidRPr="00E3616E" w:rsidP="004E7EC1" w14:paraId="23E41B89" w14:textId="35CD5F52">
            <w:pPr>
              <w:jc w:val="right"/>
              <w:rPr>
                <w:color w:val="000000"/>
              </w:rPr>
            </w:pPr>
            <w:r w:rsidRPr="00E3616E">
              <w:rPr>
                <w:color w:val="000000"/>
              </w:rPr>
              <w:t>451</w:t>
            </w:r>
          </w:p>
        </w:tc>
      </w:tr>
      <w:tr w14:paraId="64A0EC24" w14:textId="77777777" w:rsidTr="00C122DC">
        <w:tblPrEx>
          <w:tblW w:w="0" w:type="auto"/>
          <w:jc w:val="center"/>
          <w:tblLook w:val="04A0"/>
        </w:tblPrEx>
        <w:trPr>
          <w:trHeight w:val="300"/>
          <w:jc w:val="center"/>
        </w:trPr>
        <w:tc>
          <w:tcPr>
            <w:tcW w:w="0" w:type="auto"/>
            <w:tcBorders>
              <w:top w:val="nil"/>
            </w:tcBorders>
            <w:shd w:val="clear" w:color="auto" w:fill="auto"/>
            <w:noWrap/>
            <w:vAlign w:val="bottom"/>
            <w:hideMark/>
          </w:tcPr>
          <w:p w:rsidR="00FE52A1" w:rsidRPr="00E3616E" w:rsidP="00FE52A1" w14:paraId="583D5084" w14:textId="77777777">
            <w:pPr>
              <w:rPr>
                <w:color w:val="000000"/>
              </w:rPr>
            </w:pPr>
            <w:r w:rsidRPr="00E3616E">
              <w:rPr>
                <w:color w:val="000000"/>
              </w:rPr>
              <w:t>Race/Ethnicity</w:t>
            </w:r>
          </w:p>
        </w:tc>
        <w:tc>
          <w:tcPr>
            <w:tcW w:w="0" w:type="auto"/>
            <w:tcBorders>
              <w:top w:val="nil"/>
            </w:tcBorders>
            <w:shd w:val="clear" w:color="auto" w:fill="auto"/>
            <w:noWrap/>
            <w:vAlign w:val="center"/>
            <w:hideMark/>
          </w:tcPr>
          <w:p w:rsidR="00FE52A1" w:rsidRPr="00E3616E" w:rsidP="00FE52A1" w14:paraId="4346ABB9" w14:textId="4DB3DB15">
            <w:pPr>
              <w:rPr>
                <w:color w:val="000000"/>
              </w:rPr>
            </w:pPr>
            <w:r w:rsidRPr="00E3616E">
              <w:rPr>
                <w:color w:val="000000"/>
              </w:rPr>
              <w:t>African American</w:t>
            </w:r>
          </w:p>
        </w:tc>
        <w:tc>
          <w:tcPr>
            <w:tcW w:w="0" w:type="auto"/>
            <w:tcBorders>
              <w:top w:val="nil"/>
            </w:tcBorders>
            <w:shd w:val="clear" w:color="auto" w:fill="auto"/>
            <w:noWrap/>
            <w:vAlign w:val="bottom"/>
            <w:hideMark/>
          </w:tcPr>
          <w:p w:rsidR="00FE52A1" w:rsidRPr="00E3616E" w:rsidP="00FE52A1" w14:paraId="0936B4E6" w14:textId="636FE518">
            <w:pPr>
              <w:jc w:val="right"/>
              <w:rPr>
                <w:color w:val="000000"/>
              </w:rPr>
            </w:pPr>
            <w:r w:rsidRPr="00E3616E">
              <w:rPr>
                <w:color w:val="000000"/>
              </w:rPr>
              <w:t>20.23%</w:t>
            </w:r>
          </w:p>
        </w:tc>
        <w:tc>
          <w:tcPr>
            <w:tcW w:w="0" w:type="auto"/>
            <w:tcBorders>
              <w:top w:val="nil"/>
            </w:tcBorders>
            <w:shd w:val="clear" w:color="auto" w:fill="auto"/>
            <w:noWrap/>
            <w:vAlign w:val="bottom"/>
            <w:hideMark/>
          </w:tcPr>
          <w:p w:rsidR="00FE52A1" w:rsidRPr="00E3616E" w:rsidP="00FE52A1" w14:paraId="12C6831F" w14:textId="6148D4C7">
            <w:pPr>
              <w:jc w:val="right"/>
              <w:rPr>
                <w:color w:val="000000"/>
              </w:rPr>
            </w:pPr>
            <w:r w:rsidRPr="00E3616E">
              <w:rPr>
                <w:color w:val="000000"/>
              </w:rPr>
              <w:t>1619</w:t>
            </w:r>
          </w:p>
        </w:tc>
      </w:tr>
      <w:tr w14:paraId="12B22779" w14:textId="77777777" w:rsidTr="00C122DC">
        <w:tblPrEx>
          <w:tblW w:w="0" w:type="auto"/>
          <w:jc w:val="center"/>
          <w:tblLook w:val="04A0"/>
        </w:tblPrEx>
        <w:trPr>
          <w:trHeight w:val="300"/>
          <w:jc w:val="center"/>
        </w:trPr>
        <w:tc>
          <w:tcPr>
            <w:tcW w:w="0" w:type="auto"/>
            <w:tcBorders>
              <w:top w:val="nil"/>
            </w:tcBorders>
            <w:shd w:val="clear" w:color="auto" w:fill="auto"/>
            <w:noWrap/>
            <w:vAlign w:val="bottom"/>
            <w:hideMark/>
          </w:tcPr>
          <w:p w:rsidR="00FE52A1" w:rsidRPr="00E3616E" w:rsidP="00FE52A1" w14:paraId="0C8FFD8B" w14:textId="77777777">
            <w:pPr>
              <w:rPr>
                <w:color w:val="000000"/>
              </w:rPr>
            </w:pPr>
            <w:r w:rsidRPr="00E3616E">
              <w:rPr>
                <w:color w:val="000000"/>
              </w:rPr>
              <w:t> </w:t>
            </w:r>
          </w:p>
        </w:tc>
        <w:tc>
          <w:tcPr>
            <w:tcW w:w="0" w:type="auto"/>
            <w:tcBorders>
              <w:top w:val="nil"/>
            </w:tcBorders>
            <w:shd w:val="clear" w:color="auto" w:fill="auto"/>
            <w:noWrap/>
            <w:vAlign w:val="center"/>
            <w:hideMark/>
          </w:tcPr>
          <w:p w:rsidR="00FE52A1" w:rsidRPr="00E3616E" w:rsidP="00FE52A1" w14:paraId="0AFE7685" w14:textId="7EE24C72">
            <w:pPr>
              <w:rPr>
                <w:color w:val="000000"/>
              </w:rPr>
            </w:pPr>
            <w:r w:rsidRPr="00E3616E">
              <w:rPr>
                <w:color w:val="000000"/>
              </w:rPr>
              <w:t>Asian</w:t>
            </w:r>
          </w:p>
        </w:tc>
        <w:tc>
          <w:tcPr>
            <w:tcW w:w="0" w:type="auto"/>
            <w:tcBorders>
              <w:top w:val="nil"/>
            </w:tcBorders>
            <w:shd w:val="clear" w:color="auto" w:fill="auto"/>
            <w:noWrap/>
            <w:vAlign w:val="bottom"/>
            <w:hideMark/>
          </w:tcPr>
          <w:p w:rsidR="00FE52A1" w:rsidRPr="00E3616E" w:rsidP="00FE52A1" w14:paraId="5F15888F" w14:textId="6CAE22B4">
            <w:pPr>
              <w:jc w:val="right"/>
              <w:rPr>
                <w:color w:val="000000"/>
              </w:rPr>
            </w:pPr>
            <w:r w:rsidRPr="00E3616E">
              <w:rPr>
                <w:color w:val="000000"/>
              </w:rPr>
              <w:t>4.14%</w:t>
            </w:r>
          </w:p>
        </w:tc>
        <w:tc>
          <w:tcPr>
            <w:tcW w:w="0" w:type="auto"/>
            <w:tcBorders>
              <w:top w:val="nil"/>
            </w:tcBorders>
            <w:shd w:val="clear" w:color="auto" w:fill="auto"/>
            <w:noWrap/>
            <w:vAlign w:val="bottom"/>
            <w:hideMark/>
          </w:tcPr>
          <w:p w:rsidR="00FE52A1" w:rsidRPr="00E3616E" w:rsidP="00FE52A1" w14:paraId="5824B149" w14:textId="239E8513">
            <w:pPr>
              <w:jc w:val="right"/>
              <w:rPr>
                <w:color w:val="000000"/>
              </w:rPr>
            </w:pPr>
            <w:r w:rsidRPr="00E3616E">
              <w:rPr>
                <w:color w:val="000000"/>
              </w:rPr>
              <w:t>331</w:t>
            </w:r>
          </w:p>
        </w:tc>
      </w:tr>
      <w:tr w14:paraId="7FCD560F" w14:textId="77777777" w:rsidTr="00C122DC">
        <w:tblPrEx>
          <w:tblW w:w="0" w:type="auto"/>
          <w:jc w:val="center"/>
          <w:tblLook w:val="04A0"/>
        </w:tblPrEx>
        <w:trPr>
          <w:trHeight w:val="300"/>
          <w:jc w:val="center"/>
        </w:trPr>
        <w:tc>
          <w:tcPr>
            <w:tcW w:w="0" w:type="auto"/>
            <w:tcBorders>
              <w:top w:val="nil"/>
            </w:tcBorders>
            <w:shd w:val="clear" w:color="auto" w:fill="auto"/>
            <w:noWrap/>
            <w:vAlign w:val="bottom"/>
            <w:hideMark/>
          </w:tcPr>
          <w:p w:rsidR="00FE52A1" w:rsidRPr="00E3616E" w:rsidP="00FE52A1" w14:paraId="57A0FA4A" w14:textId="77777777">
            <w:pPr>
              <w:rPr>
                <w:color w:val="000000"/>
              </w:rPr>
            </w:pPr>
            <w:r w:rsidRPr="00E3616E">
              <w:rPr>
                <w:color w:val="000000"/>
              </w:rPr>
              <w:t> </w:t>
            </w:r>
          </w:p>
        </w:tc>
        <w:tc>
          <w:tcPr>
            <w:tcW w:w="0" w:type="auto"/>
            <w:tcBorders>
              <w:top w:val="nil"/>
            </w:tcBorders>
            <w:shd w:val="clear" w:color="auto" w:fill="auto"/>
            <w:noWrap/>
            <w:vAlign w:val="center"/>
            <w:hideMark/>
          </w:tcPr>
          <w:p w:rsidR="00FE52A1" w:rsidRPr="00E3616E" w:rsidP="00FE52A1" w14:paraId="55AEBE9A" w14:textId="6C24C641">
            <w:pPr>
              <w:rPr>
                <w:color w:val="000000"/>
              </w:rPr>
            </w:pPr>
            <w:r w:rsidRPr="00E3616E">
              <w:rPr>
                <w:color w:val="000000"/>
              </w:rPr>
              <w:t xml:space="preserve">Hispanic </w:t>
            </w:r>
          </w:p>
        </w:tc>
        <w:tc>
          <w:tcPr>
            <w:tcW w:w="0" w:type="auto"/>
            <w:tcBorders>
              <w:top w:val="nil"/>
            </w:tcBorders>
            <w:shd w:val="clear" w:color="auto" w:fill="auto"/>
            <w:noWrap/>
            <w:vAlign w:val="bottom"/>
            <w:hideMark/>
          </w:tcPr>
          <w:p w:rsidR="00FE52A1" w:rsidRPr="00E3616E" w:rsidP="00FE52A1" w14:paraId="2BD2EBFE" w14:textId="264164B2">
            <w:pPr>
              <w:jc w:val="right"/>
              <w:rPr>
                <w:color w:val="000000"/>
              </w:rPr>
            </w:pPr>
            <w:r w:rsidRPr="00E3616E">
              <w:rPr>
                <w:color w:val="000000"/>
              </w:rPr>
              <w:t>10.85%</w:t>
            </w:r>
          </w:p>
        </w:tc>
        <w:tc>
          <w:tcPr>
            <w:tcW w:w="0" w:type="auto"/>
            <w:tcBorders>
              <w:top w:val="nil"/>
            </w:tcBorders>
            <w:shd w:val="clear" w:color="auto" w:fill="auto"/>
            <w:noWrap/>
            <w:vAlign w:val="bottom"/>
            <w:hideMark/>
          </w:tcPr>
          <w:p w:rsidR="00FE52A1" w:rsidRPr="00E3616E" w:rsidP="00FE52A1" w14:paraId="55B44524" w14:textId="1363F3DC">
            <w:pPr>
              <w:jc w:val="right"/>
              <w:rPr>
                <w:color w:val="000000"/>
              </w:rPr>
            </w:pPr>
            <w:r w:rsidRPr="00E3616E">
              <w:rPr>
                <w:color w:val="000000"/>
              </w:rPr>
              <w:t>868</w:t>
            </w:r>
          </w:p>
        </w:tc>
      </w:tr>
      <w:tr w14:paraId="3BBE229B" w14:textId="77777777" w:rsidTr="00C122DC">
        <w:tblPrEx>
          <w:tblW w:w="0" w:type="auto"/>
          <w:jc w:val="center"/>
          <w:tblLook w:val="04A0"/>
        </w:tblPrEx>
        <w:trPr>
          <w:trHeight w:val="300"/>
          <w:jc w:val="center"/>
        </w:trPr>
        <w:tc>
          <w:tcPr>
            <w:tcW w:w="0" w:type="auto"/>
            <w:tcBorders>
              <w:top w:val="nil"/>
            </w:tcBorders>
            <w:shd w:val="clear" w:color="auto" w:fill="auto"/>
            <w:noWrap/>
            <w:vAlign w:val="bottom"/>
          </w:tcPr>
          <w:p w:rsidR="00FE52A1" w:rsidRPr="00E3616E" w:rsidP="00FE52A1" w14:paraId="454FC5F0" w14:textId="77777777">
            <w:pPr>
              <w:rPr>
                <w:color w:val="000000"/>
              </w:rPr>
            </w:pPr>
          </w:p>
        </w:tc>
        <w:tc>
          <w:tcPr>
            <w:tcW w:w="0" w:type="auto"/>
            <w:tcBorders>
              <w:top w:val="nil"/>
            </w:tcBorders>
            <w:shd w:val="clear" w:color="auto" w:fill="auto"/>
            <w:noWrap/>
            <w:vAlign w:val="center"/>
          </w:tcPr>
          <w:p w:rsidR="00FE52A1" w:rsidRPr="00E3616E" w:rsidP="00FE52A1" w14:paraId="206963D4" w14:textId="1AECEB36">
            <w:pPr>
              <w:rPr>
                <w:color w:val="000000"/>
              </w:rPr>
            </w:pPr>
            <w:r w:rsidRPr="00E3616E">
              <w:rPr>
                <w:color w:val="000000"/>
              </w:rPr>
              <w:t>White</w:t>
            </w:r>
          </w:p>
        </w:tc>
        <w:tc>
          <w:tcPr>
            <w:tcW w:w="0" w:type="auto"/>
            <w:tcBorders>
              <w:top w:val="nil"/>
            </w:tcBorders>
            <w:shd w:val="clear" w:color="auto" w:fill="auto"/>
            <w:noWrap/>
            <w:vAlign w:val="bottom"/>
          </w:tcPr>
          <w:p w:rsidR="00FE52A1" w:rsidRPr="00E3616E" w:rsidP="00FE52A1" w14:paraId="0627751D" w14:textId="35C0CE37">
            <w:pPr>
              <w:jc w:val="right"/>
              <w:rPr>
                <w:color w:val="000000"/>
              </w:rPr>
            </w:pPr>
            <w:r w:rsidRPr="00E3616E">
              <w:rPr>
                <w:color w:val="000000"/>
              </w:rPr>
              <w:t>58.76%</w:t>
            </w:r>
          </w:p>
        </w:tc>
        <w:tc>
          <w:tcPr>
            <w:tcW w:w="0" w:type="auto"/>
            <w:tcBorders>
              <w:top w:val="nil"/>
            </w:tcBorders>
            <w:shd w:val="clear" w:color="auto" w:fill="auto"/>
            <w:noWrap/>
            <w:vAlign w:val="bottom"/>
          </w:tcPr>
          <w:p w:rsidR="00FE52A1" w:rsidRPr="00E3616E" w:rsidP="00FE52A1" w14:paraId="32C49CBF" w14:textId="7C8EFD1C">
            <w:pPr>
              <w:jc w:val="right"/>
              <w:rPr>
                <w:color w:val="000000"/>
              </w:rPr>
            </w:pPr>
            <w:r w:rsidRPr="00E3616E">
              <w:rPr>
                <w:color w:val="000000"/>
              </w:rPr>
              <w:t>4701</w:t>
            </w:r>
          </w:p>
        </w:tc>
      </w:tr>
      <w:tr w14:paraId="03A45EC5" w14:textId="77777777" w:rsidTr="00C122DC">
        <w:tblPrEx>
          <w:tblW w:w="0" w:type="auto"/>
          <w:jc w:val="center"/>
          <w:tblLook w:val="04A0"/>
        </w:tblPrEx>
        <w:trPr>
          <w:trHeight w:val="300"/>
          <w:jc w:val="center"/>
        </w:trPr>
        <w:tc>
          <w:tcPr>
            <w:tcW w:w="0" w:type="auto"/>
            <w:tcBorders>
              <w:top w:val="nil"/>
            </w:tcBorders>
            <w:shd w:val="clear" w:color="auto" w:fill="auto"/>
            <w:noWrap/>
            <w:vAlign w:val="bottom"/>
          </w:tcPr>
          <w:p w:rsidR="00FE52A1" w:rsidRPr="00E3616E" w:rsidP="00FE52A1" w14:paraId="4CA4F073" w14:textId="77777777">
            <w:pPr>
              <w:rPr>
                <w:color w:val="000000"/>
              </w:rPr>
            </w:pPr>
          </w:p>
        </w:tc>
        <w:tc>
          <w:tcPr>
            <w:tcW w:w="0" w:type="auto"/>
            <w:tcBorders>
              <w:top w:val="nil"/>
            </w:tcBorders>
            <w:shd w:val="clear" w:color="auto" w:fill="auto"/>
            <w:noWrap/>
            <w:vAlign w:val="center"/>
          </w:tcPr>
          <w:p w:rsidR="00FE52A1" w:rsidRPr="00E3616E" w:rsidP="00FE52A1" w14:paraId="6EA95413" w14:textId="0E083F87">
            <w:pPr>
              <w:rPr>
                <w:color w:val="000000"/>
              </w:rPr>
            </w:pPr>
            <w:r w:rsidRPr="00E3616E">
              <w:rPr>
                <w:color w:val="000000"/>
              </w:rPr>
              <w:t>Other</w:t>
            </w:r>
          </w:p>
        </w:tc>
        <w:tc>
          <w:tcPr>
            <w:tcW w:w="0" w:type="auto"/>
            <w:tcBorders>
              <w:top w:val="nil"/>
            </w:tcBorders>
            <w:shd w:val="clear" w:color="auto" w:fill="auto"/>
            <w:noWrap/>
            <w:vAlign w:val="bottom"/>
          </w:tcPr>
          <w:p w:rsidR="00FE52A1" w:rsidRPr="00E3616E" w:rsidP="00FE52A1" w14:paraId="710B571C" w14:textId="40B3EDBF">
            <w:pPr>
              <w:jc w:val="right"/>
              <w:rPr>
                <w:color w:val="000000"/>
              </w:rPr>
            </w:pPr>
            <w:r w:rsidRPr="00E3616E">
              <w:rPr>
                <w:color w:val="000000"/>
              </w:rPr>
              <w:t>6.03%</w:t>
            </w:r>
          </w:p>
        </w:tc>
        <w:tc>
          <w:tcPr>
            <w:tcW w:w="0" w:type="auto"/>
            <w:tcBorders>
              <w:top w:val="nil"/>
            </w:tcBorders>
            <w:shd w:val="clear" w:color="auto" w:fill="auto"/>
            <w:noWrap/>
            <w:vAlign w:val="bottom"/>
          </w:tcPr>
          <w:p w:rsidR="00FE52A1" w:rsidRPr="00E3616E" w:rsidP="00FE52A1" w14:paraId="5B19B0E6" w14:textId="1491123C">
            <w:pPr>
              <w:jc w:val="right"/>
              <w:rPr>
                <w:color w:val="000000"/>
              </w:rPr>
            </w:pPr>
            <w:r w:rsidRPr="00E3616E">
              <w:rPr>
                <w:color w:val="000000"/>
              </w:rPr>
              <w:t>482</w:t>
            </w:r>
          </w:p>
        </w:tc>
      </w:tr>
      <w:tr w14:paraId="0FE64B65" w14:textId="77777777" w:rsidTr="00C122DC">
        <w:tblPrEx>
          <w:tblW w:w="0" w:type="auto"/>
          <w:jc w:val="center"/>
          <w:tblLook w:val="04A0"/>
        </w:tblPrEx>
        <w:trPr>
          <w:trHeight w:val="300"/>
          <w:jc w:val="center"/>
        </w:trPr>
        <w:tc>
          <w:tcPr>
            <w:tcW w:w="0" w:type="auto"/>
            <w:tcBorders>
              <w:top w:val="nil"/>
            </w:tcBorders>
            <w:shd w:val="clear" w:color="auto" w:fill="auto"/>
            <w:noWrap/>
            <w:vAlign w:val="bottom"/>
            <w:hideMark/>
          </w:tcPr>
          <w:p w:rsidR="000033D6" w:rsidRPr="00E3616E" w:rsidP="000033D6" w14:paraId="2164E570" w14:textId="7AC015F4">
            <w:pPr>
              <w:rPr>
                <w:color w:val="000000"/>
              </w:rPr>
            </w:pPr>
            <w:r w:rsidRPr="00E3616E">
              <w:rPr>
                <w:color w:val="000000"/>
              </w:rPr>
              <w:t>Sex</w:t>
            </w:r>
          </w:p>
        </w:tc>
        <w:tc>
          <w:tcPr>
            <w:tcW w:w="0" w:type="auto"/>
            <w:tcBorders>
              <w:top w:val="nil"/>
            </w:tcBorders>
            <w:shd w:val="clear" w:color="auto" w:fill="auto"/>
            <w:noWrap/>
            <w:vAlign w:val="bottom"/>
            <w:hideMark/>
          </w:tcPr>
          <w:p w:rsidR="000033D6" w:rsidRPr="00E3616E" w:rsidP="000033D6" w14:paraId="36C2AC6A" w14:textId="77777777">
            <w:pPr>
              <w:rPr>
                <w:color w:val="000000"/>
              </w:rPr>
            </w:pPr>
            <w:r w:rsidRPr="00E3616E">
              <w:rPr>
                <w:color w:val="000000"/>
              </w:rPr>
              <w:t>Male</w:t>
            </w:r>
          </w:p>
        </w:tc>
        <w:tc>
          <w:tcPr>
            <w:tcW w:w="0" w:type="auto"/>
            <w:tcBorders>
              <w:top w:val="nil"/>
            </w:tcBorders>
            <w:shd w:val="clear" w:color="auto" w:fill="auto"/>
            <w:noWrap/>
            <w:vAlign w:val="bottom"/>
            <w:hideMark/>
          </w:tcPr>
          <w:p w:rsidR="000033D6" w:rsidRPr="00E3616E" w:rsidP="000033D6" w14:paraId="655D3739" w14:textId="419976E0">
            <w:pPr>
              <w:jc w:val="right"/>
              <w:rPr>
                <w:color w:val="000000"/>
              </w:rPr>
            </w:pPr>
            <w:r w:rsidRPr="00E3616E">
              <w:rPr>
                <w:color w:val="000000"/>
              </w:rPr>
              <w:t>58.01%</w:t>
            </w:r>
          </w:p>
        </w:tc>
        <w:tc>
          <w:tcPr>
            <w:tcW w:w="0" w:type="auto"/>
            <w:tcBorders>
              <w:top w:val="nil"/>
            </w:tcBorders>
            <w:shd w:val="clear" w:color="auto" w:fill="auto"/>
            <w:noWrap/>
            <w:vAlign w:val="bottom"/>
            <w:hideMark/>
          </w:tcPr>
          <w:p w:rsidR="000033D6" w:rsidRPr="00E3616E" w:rsidP="000033D6" w14:paraId="441C61F2" w14:textId="3430AE85">
            <w:pPr>
              <w:jc w:val="right"/>
              <w:rPr>
                <w:color w:val="000000"/>
              </w:rPr>
            </w:pPr>
            <w:r w:rsidRPr="00E3616E">
              <w:rPr>
                <w:color w:val="000000"/>
              </w:rPr>
              <w:t>4641</w:t>
            </w:r>
          </w:p>
        </w:tc>
      </w:tr>
      <w:tr w14:paraId="768E21DB"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hideMark/>
          </w:tcPr>
          <w:p w:rsidR="000033D6" w:rsidRPr="00E3616E" w:rsidP="000033D6" w14:paraId="10E72A4D" w14:textId="77777777">
            <w:pPr>
              <w:rPr>
                <w:color w:val="000000"/>
              </w:rPr>
            </w:pPr>
            <w:r w:rsidRPr="00E3616E">
              <w:rPr>
                <w:color w:val="000000"/>
              </w:rPr>
              <w:t> </w:t>
            </w:r>
          </w:p>
        </w:tc>
        <w:tc>
          <w:tcPr>
            <w:tcW w:w="0" w:type="auto"/>
            <w:tcBorders>
              <w:top w:val="nil"/>
              <w:bottom w:val="nil"/>
            </w:tcBorders>
            <w:shd w:val="clear" w:color="auto" w:fill="auto"/>
            <w:noWrap/>
            <w:vAlign w:val="bottom"/>
            <w:hideMark/>
          </w:tcPr>
          <w:p w:rsidR="000033D6" w:rsidRPr="00E3616E" w:rsidP="000033D6" w14:paraId="0F4E7FD4" w14:textId="77777777">
            <w:pPr>
              <w:rPr>
                <w:color w:val="000000"/>
              </w:rPr>
            </w:pPr>
            <w:r w:rsidRPr="00E3616E">
              <w:rPr>
                <w:color w:val="000000"/>
              </w:rPr>
              <w:t>Female</w:t>
            </w:r>
          </w:p>
        </w:tc>
        <w:tc>
          <w:tcPr>
            <w:tcW w:w="0" w:type="auto"/>
            <w:tcBorders>
              <w:top w:val="nil"/>
              <w:bottom w:val="nil"/>
            </w:tcBorders>
            <w:shd w:val="clear" w:color="auto" w:fill="auto"/>
            <w:noWrap/>
            <w:vAlign w:val="bottom"/>
            <w:hideMark/>
          </w:tcPr>
          <w:p w:rsidR="000033D6" w:rsidRPr="00E3616E" w:rsidP="000033D6" w14:paraId="518A8FCD" w14:textId="0D51F920">
            <w:pPr>
              <w:jc w:val="right"/>
              <w:rPr>
                <w:color w:val="000000"/>
              </w:rPr>
            </w:pPr>
            <w:r w:rsidRPr="00E3616E">
              <w:rPr>
                <w:color w:val="000000"/>
              </w:rPr>
              <w:t>41.99%</w:t>
            </w:r>
          </w:p>
        </w:tc>
        <w:tc>
          <w:tcPr>
            <w:tcW w:w="0" w:type="auto"/>
            <w:tcBorders>
              <w:top w:val="nil"/>
              <w:bottom w:val="nil"/>
            </w:tcBorders>
            <w:shd w:val="clear" w:color="auto" w:fill="auto"/>
            <w:noWrap/>
            <w:vAlign w:val="bottom"/>
            <w:hideMark/>
          </w:tcPr>
          <w:p w:rsidR="000033D6" w:rsidRPr="00E3616E" w:rsidP="000033D6" w14:paraId="4BBB969F" w14:textId="4A6BDBA2">
            <w:pPr>
              <w:jc w:val="right"/>
              <w:rPr>
                <w:color w:val="000000"/>
              </w:rPr>
            </w:pPr>
            <w:r w:rsidRPr="00E3616E">
              <w:rPr>
                <w:color w:val="000000"/>
              </w:rPr>
              <w:t>3359</w:t>
            </w:r>
          </w:p>
        </w:tc>
      </w:tr>
      <w:tr w14:paraId="0A735816"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0033D6" w:rsidRPr="00E3616E" w:rsidP="00121ACD" w14:paraId="7AAC6A4D" w14:textId="0BB56D5D">
            <w:pPr>
              <w:rPr>
                <w:b/>
                <w:bCs/>
                <w:color w:val="000000"/>
                <w:u w:val="single"/>
              </w:rPr>
            </w:pPr>
            <w:r>
              <w:rPr>
                <w:b/>
                <w:bCs/>
                <w:color w:val="000000"/>
                <w:u w:val="single"/>
              </w:rPr>
              <w:t xml:space="preserve">Study 1 </w:t>
            </w:r>
            <w:r w:rsidRPr="00E3616E">
              <w:rPr>
                <w:b/>
                <w:bCs/>
                <w:color w:val="000000"/>
                <w:u w:val="single"/>
              </w:rPr>
              <w:t>ORUs</w:t>
            </w:r>
            <w:r w:rsidRPr="00E3616E" w:rsidR="001D4F10">
              <w:rPr>
                <w:b/>
                <w:bCs/>
                <w:color w:val="000000"/>
                <w:u w:val="single"/>
              </w:rPr>
              <w:t>*</w:t>
            </w:r>
          </w:p>
        </w:tc>
        <w:tc>
          <w:tcPr>
            <w:tcW w:w="0" w:type="auto"/>
            <w:tcBorders>
              <w:top w:val="nil"/>
              <w:bottom w:val="nil"/>
            </w:tcBorders>
            <w:shd w:val="clear" w:color="auto" w:fill="auto"/>
            <w:noWrap/>
            <w:vAlign w:val="bottom"/>
          </w:tcPr>
          <w:p w:rsidR="000033D6" w:rsidRPr="00E3616E" w:rsidP="00121ACD" w14:paraId="4376F998" w14:textId="77777777">
            <w:pPr>
              <w:rPr>
                <w:color w:val="000000"/>
                <w:u w:val="single"/>
              </w:rPr>
            </w:pPr>
          </w:p>
        </w:tc>
        <w:tc>
          <w:tcPr>
            <w:tcW w:w="0" w:type="auto"/>
            <w:tcBorders>
              <w:top w:val="nil"/>
              <w:bottom w:val="nil"/>
            </w:tcBorders>
            <w:shd w:val="clear" w:color="auto" w:fill="auto"/>
            <w:noWrap/>
            <w:vAlign w:val="bottom"/>
          </w:tcPr>
          <w:p w:rsidR="000033D6" w:rsidRPr="00E3616E" w:rsidP="00121ACD" w14:paraId="46520C2B" w14:textId="77777777">
            <w:pPr>
              <w:jc w:val="right"/>
              <w:rPr>
                <w:color w:val="000000"/>
                <w:u w:val="single"/>
              </w:rPr>
            </w:pPr>
          </w:p>
        </w:tc>
        <w:tc>
          <w:tcPr>
            <w:tcW w:w="0" w:type="auto"/>
            <w:tcBorders>
              <w:top w:val="nil"/>
              <w:bottom w:val="nil"/>
            </w:tcBorders>
            <w:shd w:val="clear" w:color="auto" w:fill="auto"/>
            <w:noWrap/>
            <w:vAlign w:val="bottom"/>
          </w:tcPr>
          <w:p w:rsidR="000033D6" w:rsidRPr="00E3616E" w:rsidP="00121ACD" w14:paraId="54A9A031" w14:textId="4A7BAB6C">
            <w:pPr>
              <w:jc w:val="right"/>
              <w:rPr>
                <w:b/>
                <w:bCs/>
                <w:color w:val="000000"/>
                <w:u w:val="single"/>
              </w:rPr>
            </w:pPr>
            <w:r w:rsidRPr="00E3616E">
              <w:rPr>
                <w:b/>
                <w:bCs/>
                <w:color w:val="000000"/>
                <w:u w:val="single"/>
              </w:rPr>
              <w:t>N = 500</w:t>
            </w:r>
          </w:p>
        </w:tc>
      </w:tr>
      <w:tr w14:paraId="332E5442"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127E62B2" w14:textId="597AB4BB">
            <w:pPr>
              <w:rPr>
                <w:color w:val="000000"/>
              </w:rPr>
            </w:pPr>
            <w:r w:rsidRPr="00E3616E">
              <w:rPr>
                <w:color w:val="000000"/>
              </w:rPr>
              <w:t>Age</w:t>
            </w:r>
          </w:p>
        </w:tc>
        <w:tc>
          <w:tcPr>
            <w:tcW w:w="0" w:type="auto"/>
            <w:tcBorders>
              <w:top w:val="nil"/>
              <w:bottom w:val="nil"/>
            </w:tcBorders>
            <w:shd w:val="clear" w:color="auto" w:fill="auto"/>
            <w:noWrap/>
            <w:vAlign w:val="center"/>
          </w:tcPr>
          <w:p w:rsidR="001D4F10" w:rsidRPr="00E3616E" w:rsidP="001D4F10" w14:paraId="159D13FE" w14:textId="3218E968">
            <w:pPr>
              <w:rPr>
                <w:color w:val="000000"/>
              </w:rPr>
            </w:pPr>
            <w:r w:rsidRPr="00E3616E">
              <w:rPr>
                <w:color w:val="000000"/>
              </w:rPr>
              <w:t>16–20</w:t>
            </w:r>
          </w:p>
        </w:tc>
        <w:tc>
          <w:tcPr>
            <w:tcW w:w="0" w:type="auto"/>
            <w:tcBorders>
              <w:top w:val="nil"/>
              <w:bottom w:val="nil"/>
            </w:tcBorders>
            <w:shd w:val="clear" w:color="auto" w:fill="auto"/>
            <w:noWrap/>
            <w:vAlign w:val="bottom"/>
          </w:tcPr>
          <w:p w:rsidR="001D4F10" w:rsidRPr="00E3616E" w:rsidP="001D4F10" w14:paraId="4614BC22" w14:textId="3E27E231">
            <w:pPr>
              <w:jc w:val="right"/>
              <w:rPr>
                <w:color w:val="000000"/>
              </w:rPr>
            </w:pPr>
            <w:r w:rsidRPr="00E3616E">
              <w:rPr>
                <w:color w:val="000000"/>
              </w:rPr>
              <w:t>12.36%</w:t>
            </w:r>
          </w:p>
        </w:tc>
        <w:tc>
          <w:tcPr>
            <w:tcW w:w="0" w:type="auto"/>
            <w:tcBorders>
              <w:top w:val="nil"/>
              <w:bottom w:val="nil"/>
            </w:tcBorders>
            <w:shd w:val="clear" w:color="auto" w:fill="auto"/>
            <w:noWrap/>
            <w:vAlign w:val="bottom"/>
          </w:tcPr>
          <w:p w:rsidR="001D4F10" w:rsidRPr="00E3616E" w:rsidP="001D4F10" w14:paraId="24823B6C" w14:textId="1E07D724">
            <w:pPr>
              <w:jc w:val="right"/>
              <w:rPr>
                <w:color w:val="000000"/>
              </w:rPr>
            </w:pPr>
            <w:r w:rsidRPr="00E3616E">
              <w:rPr>
                <w:color w:val="000000"/>
              </w:rPr>
              <w:t>62</w:t>
            </w:r>
          </w:p>
        </w:tc>
      </w:tr>
      <w:tr w14:paraId="20882551"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13634065" w14:textId="02ECBC3D">
            <w:pPr>
              <w:rPr>
                <w:color w:val="000000"/>
              </w:rPr>
            </w:pPr>
            <w:r w:rsidRPr="00E3616E">
              <w:rPr>
                <w:color w:val="000000"/>
              </w:rPr>
              <w:t> </w:t>
            </w:r>
          </w:p>
        </w:tc>
        <w:tc>
          <w:tcPr>
            <w:tcW w:w="0" w:type="auto"/>
            <w:tcBorders>
              <w:top w:val="nil"/>
              <w:bottom w:val="nil"/>
            </w:tcBorders>
            <w:shd w:val="clear" w:color="auto" w:fill="auto"/>
            <w:noWrap/>
            <w:vAlign w:val="center"/>
          </w:tcPr>
          <w:p w:rsidR="001D4F10" w:rsidRPr="00E3616E" w:rsidP="001D4F10" w14:paraId="61AA230E" w14:textId="09087A9B">
            <w:pPr>
              <w:rPr>
                <w:color w:val="000000"/>
              </w:rPr>
            </w:pPr>
            <w:r w:rsidRPr="00E3616E">
              <w:rPr>
                <w:color w:val="000000"/>
              </w:rPr>
              <w:t>21–34</w:t>
            </w:r>
          </w:p>
        </w:tc>
        <w:tc>
          <w:tcPr>
            <w:tcW w:w="0" w:type="auto"/>
            <w:tcBorders>
              <w:top w:val="nil"/>
              <w:bottom w:val="nil"/>
            </w:tcBorders>
            <w:shd w:val="clear" w:color="auto" w:fill="auto"/>
            <w:noWrap/>
            <w:vAlign w:val="bottom"/>
          </w:tcPr>
          <w:p w:rsidR="001D4F10" w:rsidRPr="00E3616E" w:rsidP="001D4F10" w14:paraId="570FAB0C" w14:textId="2BACD8DE">
            <w:pPr>
              <w:jc w:val="right"/>
              <w:rPr>
                <w:color w:val="000000"/>
              </w:rPr>
            </w:pPr>
            <w:r w:rsidRPr="00E3616E">
              <w:rPr>
                <w:color w:val="000000"/>
              </w:rPr>
              <w:t>40.69%</w:t>
            </w:r>
          </w:p>
        </w:tc>
        <w:tc>
          <w:tcPr>
            <w:tcW w:w="0" w:type="auto"/>
            <w:tcBorders>
              <w:top w:val="nil"/>
              <w:bottom w:val="nil"/>
            </w:tcBorders>
            <w:shd w:val="clear" w:color="auto" w:fill="auto"/>
            <w:noWrap/>
            <w:vAlign w:val="bottom"/>
          </w:tcPr>
          <w:p w:rsidR="001D4F10" w:rsidRPr="00E3616E" w:rsidP="001D4F10" w14:paraId="0F21D8D5" w14:textId="6A71F15E">
            <w:pPr>
              <w:jc w:val="right"/>
              <w:rPr>
                <w:color w:val="000000"/>
              </w:rPr>
            </w:pPr>
            <w:r w:rsidRPr="00E3616E">
              <w:rPr>
                <w:color w:val="000000"/>
              </w:rPr>
              <w:t>203</w:t>
            </w:r>
          </w:p>
        </w:tc>
      </w:tr>
      <w:tr w14:paraId="251462B2"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220C6846" w14:textId="5ED629D4">
            <w:pPr>
              <w:rPr>
                <w:color w:val="000000"/>
              </w:rPr>
            </w:pPr>
            <w:r w:rsidRPr="00E3616E">
              <w:rPr>
                <w:color w:val="000000"/>
              </w:rPr>
              <w:t> </w:t>
            </w:r>
          </w:p>
        </w:tc>
        <w:tc>
          <w:tcPr>
            <w:tcW w:w="0" w:type="auto"/>
            <w:tcBorders>
              <w:top w:val="nil"/>
              <w:bottom w:val="nil"/>
            </w:tcBorders>
            <w:shd w:val="clear" w:color="auto" w:fill="auto"/>
            <w:noWrap/>
            <w:vAlign w:val="center"/>
          </w:tcPr>
          <w:p w:rsidR="001D4F10" w:rsidRPr="00E3616E" w:rsidP="001D4F10" w14:paraId="510902B8" w14:textId="44956AF8">
            <w:pPr>
              <w:rPr>
                <w:color w:val="000000"/>
              </w:rPr>
            </w:pPr>
            <w:r w:rsidRPr="00E3616E">
              <w:rPr>
                <w:color w:val="000000"/>
              </w:rPr>
              <w:t>35–44</w:t>
            </w:r>
          </w:p>
        </w:tc>
        <w:tc>
          <w:tcPr>
            <w:tcW w:w="0" w:type="auto"/>
            <w:tcBorders>
              <w:top w:val="nil"/>
              <w:bottom w:val="nil"/>
            </w:tcBorders>
            <w:shd w:val="clear" w:color="auto" w:fill="auto"/>
            <w:noWrap/>
            <w:vAlign w:val="bottom"/>
          </w:tcPr>
          <w:p w:rsidR="001D4F10" w:rsidRPr="00E3616E" w:rsidP="001D4F10" w14:paraId="61BA3D02" w14:textId="292BDECE">
            <w:pPr>
              <w:jc w:val="right"/>
              <w:rPr>
                <w:color w:val="000000"/>
              </w:rPr>
            </w:pPr>
            <w:r w:rsidRPr="00E3616E">
              <w:rPr>
                <w:color w:val="000000"/>
              </w:rPr>
              <w:t>16.63%</w:t>
            </w:r>
          </w:p>
        </w:tc>
        <w:tc>
          <w:tcPr>
            <w:tcW w:w="0" w:type="auto"/>
            <w:tcBorders>
              <w:top w:val="nil"/>
              <w:bottom w:val="nil"/>
            </w:tcBorders>
            <w:shd w:val="clear" w:color="auto" w:fill="auto"/>
            <w:noWrap/>
            <w:vAlign w:val="bottom"/>
          </w:tcPr>
          <w:p w:rsidR="001D4F10" w:rsidRPr="00E3616E" w:rsidP="001D4F10" w14:paraId="40C372B5" w14:textId="7670F537">
            <w:pPr>
              <w:jc w:val="right"/>
              <w:rPr>
                <w:color w:val="000000"/>
              </w:rPr>
            </w:pPr>
            <w:r w:rsidRPr="00E3616E">
              <w:rPr>
                <w:color w:val="000000"/>
              </w:rPr>
              <w:t>83</w:t>
            </w:r>
          </w:p>
        </w:tc>
      </w:tr>
      <w:tr w14:paraId="0EE4A5D9"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1A1B1172" w14:textId="39D06ADC">
            <w:pPr>
              <w:rPr>
                <w:color w:val="000000"/>
              </w:rPr>
            </w:pPr>
          </w:p>
        </w:tc>
        <w:tc>
          <w:tcPr>
            <w:tcW w:w="0" w:type="auto"/>
            <w:tcBorders>
              <w:top w:val="nil"/>
              <w:bottom w:val="nil"/>
            </w:tcBorders>
            <w:shd w:val="clear" w:color="auto" w:fill="auto"/>
            <w:noWrap/>
            <w:vAlign w:val="center"/>
          </w:tcPr>
          <w:p w:rsidR="001D4F10" w:rsidRPr="00E3616E" w:rsidP="001D4F10" w14:paraId="1B790088" w14:textId="1F02654D">
            <w:pPr>
              <w:rPr>
                <w:color w:val="000000"/>
              </w:rPr>
            </w:pPr>
            <w:r w:rsidRPr="00E3616E">
              <w:rPr>
                <w:color w:val="000000"/>
              </w:rPr>
              <w:t xml:space="preserve">45–64 </w:t>
            </w:r>
          </w:p>
        </w:tc>
        <w:tc>
          <w:tcPr>
            <w:tcW w:w="0" w:type="auto"/>
            <w:tcBorders>
              <w:top w:val="nil"/>
              <w:bottom w:val="nil"/>
            </w:tcBorders>
            <w:shd w:val="clear" w:color="auto" w:fill="auto"/>
            <w:noWrap/>
            <w:vAlign w:val="bottom"/>
          </w:tcPr>
          <w:p w:rsidR="001D4F10" w:rsidRPr="00E3616E" w:rsidP="001D4F10" w14:paraId="0C162B24" w14:textId="06DC4764">
            <w:pPr>
              <w:jc w:val="right"/>
              <w:rPr>
                <w:color w:val="000000"/>
              </w:rPr>
            </w:pPr>
            <w:r w:rsidRPr="00E3616E">
              <w:rPr>
                <w:color w:val="000000"/>
              </w:rPr>
              <w:t>24.68%</w:t>
            </w:r>
          </w:p>
        </w:tc>
        <w:tc>
          <w:tcPr>
            <w:tcW w:w="0" w:type="auto"/>
            <w:tcBorders>
              <w:top w:val="nil"/>
              <w:bottom w:val="nil"/>
            </w:tcBorders>
            <w:shd w:val="clear" w:color="auto" w:fill="auto"/>
            <w:noWrap/>
            <w:vAlign w:val="bottom"/>
          </w:tcPr>
          <w:p w:rsidR="001D4F10" w:rsidRPr="00E3616E" w:rsidP="001D4F10" w14:paraId="4981AD5D" w14:textId="4609D169">
            <w:pPr>
              <w:jc w:val="right"/>
              <w:rPr>
                <w:color w:val="000000"/>
              </w:rPr>
            </w:pPr>
            <w:r w:rsidRPr="00E3616E">
              <w:rPr>
                <w:color w:val="000000"/>
              </w:rPr>
              <w:t>123</w:t>
            </w:r>
          </w:p>
        </w:tc>
      </w:tr>
      <w:tr w14:paraId="6061401B"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74BB403C" w14:textId="0AB8B7DA">
            <w:pPr>
              <w:rPr>
                <w:color w:val="000000"/>
              </w:rPr>
            </w:pPr>
          </w:p>
        </w:tc>
        <w:tc>
          <w:tcPr>
            <w:tcW w:w="0" w:type="auto"/>
            <w:tcBorders>
              <w:top w:val="nil"/>
              <w:bottom w:val="nil"/>
            </w:tcBorders>
            <w:shd w:val="clear" w:color="auto" w:fill="auto"/>
            <w:noWrap/>
            <w:vAlign w:val="center"/>
          </w:tcPr>
          <w:p w:rsidR="001D4F10" w:rsidRPr="00E3616E" w:rsidP="001D4F10" w14:paraId="4E9C25CC" w14:textId="0811E02C">
            <w:pPr>
              <w:rPr>
                <w:color w:val="000000"/>
              </w:rPr>
            </w:pPr>
            <w:r w:rsidRPr="00E3616E">
              <w:rPr>
                <w:color w:val="000000"/>
              </w:rPr>
              <w:t>65+</w:t>
            </w:r>
          </w:p>
        </w:tc>
        <w:tc>
          <w:tcPr>
            <w:tcW w:w="0" w:type="auto"/>
            <w:tcBorders>
              <w:top w:val="nil"/>
              <w:bottom w:val="nil"/>
            </w:tcBorders>
            <w:shd w:val="clear" w:color="auto" w:fill="auto"/>
            <w:noWrap/>
            <w:vAlign w:val="bottom"/>
          </w:tcPr>
          <w:p w:rsidR="001D4F10" w:rsidRPr="00E3616E" w:rsidP="001D4F10" w14:paraId="5762E171" w14:textId="7569AE05">
            <w:pPr>
              <w:jc w:val="right"/>
              <w:rPr>
                <w:color w:val="000000"/>
              </w:rPr>
            </w:pPr>
            <w:r w:rsidRPr="00E3616E">
              <w:rPr>
                <w:color w:val="000000"/>
              </w:rPr>
              <w:t>5.64%</w:t>
            </w:r>
          </w:p>
        </w:tc>
        <w:tc>
          <w:tcPr>
            <w:tcW w:w="0" w:type="auto"/>
            <w:tcBorders>
              <w:top w:val="nil"/>
              <w:bottom w:val="nil"/>
            </w:tcBorders>
            <w:shd w:val="clear" w:color="auto" w:fill="auto"/>
            <w:noWrap/>
            <w:vAlign w:val="bottom"/>
          </w:tcPr>
          <w:p w:rsidR="001D4F10" w:rsidRPr="00E3616E" w:rsidP="001D4F10" w14:paraId="076FA032" w14:textId="5D6FFDD5">
            <w:pPr>
              <w:jc w:val="right"/>
              <w:rPr>
                <w:color w:val="000000"/>
              </w:rPr>
            </w:pPr>
            <w:r w:rsidRPr="00E3616E">
              <w:rPr>
                <w:color w:val="000000"/>
              </w:rPr>
              <w:t>28</w:t>
            </w:r>
          </w:p>
        </w:tc>
      </w:tr>
      <w:tr w14:paraId="257D17AB"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40E59D1E" w14:textId="786E9E76">
            <w:pPr>
              <w:rPr>
                <w:color w:val="000000"/>
              </w:rPr>
            </w:pPr>
            <w:r w:rsidRPr="00E3616E">
              <w:rPr>
                <w:color w:val="000000"/>
              </w:rPr>
              <w:t>Race/Ethnicity</w:t>
            </w:r>
          </w:p>
        </w:tc>
        <w:tc>
          <w:tcPr>
            <w:tcW w:w="0" w:type="auto"/>
            <w:tcBorders>
              <w:top w:val="nil"/>
              <w:bottom w:val="nil"/>
            </w:tcBorders>
            <w:shd w:val="clear" w:color="auto" w:fill="auto"/>
            <w:noWrap/>
            <w:vAlign w:val="center"/>
          </w:tcPr>
          <w:p w:rsidR="001D4F10" w:rsidRPr="00E3616E" w:rsidP="001D4F10" w14:paraId="43C96BDA" w14:textId="1F6FBCB3">
            <w:pPr>
              <w:rPr>
                <w:color w:val="000000"/>
              </w:rPr>
            </w:pPr>
            <w:r w:rsidRPr="00E3616E">
              <w:rPr>
                <w:color w:val="000000"/>
              </w:rPr>
              <w:t>African American</w:t>
            </w:r>
          </w:p>
        </w:tc>
        <w:tc>
          <w:tcPr>
            <w:tcW w:w="0" w:type="auto"/>
            <w:tcBorders>
              <w:top w:val="nil"/>
              <w:bottom w:val="nil"/>
            </w:tcBorders>
            <w:shd w:val="clear" w:color="auto" w:fill="auto"/>
            <w:noWrap/>
            <w:vAlign w:val="bottom"/>
          </w:tcPr>
          <w:p w:rsidR="001D4F10" w:rsidRPr="00E3616E" w:rsidP="001D4F10" w14:paraId="213B6FE0" w14:textId="47C98651">
            <w:pPr>
              <w:jc w:val="right"/>
              <w:rPr>
                <w:color w:val="000000"/>
              </w:rPr>
            </w:pPr>
            <w:r w:rsidRPr="00E3616E">
              <w:rPr>
                <w:color w:val="000000"/>
              </w:rPr>
              <w:t>20.23%</w:t>
            </w:r>
          </w:p>
        </w:tc>
        <w:tc>
          <w:tcPr>
            <w:tcW w:w="0" w:type="auto"/>
            <w:tcBorders>
              <w:top w:val="nil"/>
              <w:bottom w:val="nil"/>
            </w:tcBorders>
            <w:shd w:val="clear" w:color="auto" w:fill="auto"/>
            <w:noWrap/>
            <w:vAlign w:val="bottom"/>
          </w:tcPr>
          <w:p w:rsidR="001D4F10" w:rsidRPr="00E3616E" w:rsidP="001D4F10" w14:paraId="003FAA83" w14:textId="0FE02FA6">
            <w:pPr>
              <w:jc w:val="right"/>
              <w:rPr>
                <w:color w:val="000000"/>
              </w:rPr>
            </w:pPr>
            <w:r w:rsidRPr="00E3616E">
              <w:rPr>
                <w:color w:val="000000"/>
              </w:rPr>
              <w:t>101</w:t>
            </w:r>
          </w:p>
        </w:tc>
      </w:tr>
      <w:tr w14:paraId="2A1709ED"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4B01B7D0" w14:textId="577A872A">
            <w:pPr>
              <w:rPr>
                <w:color w:val="000000"/>
              </w:rPr>
            </w:pPr>
            <w:r w:rsidRPr="00E3616E">
              <w:rPr>
                <w:color w:val="000000"/>
              </w:rPr>
              <w:t> </w:t>
            </w:r>
          </w:p>
        </w:tc>
        <w:tc>
          <w:tcPr>
            <w:tcW w:w="0" w:type="auto"/>
            <w:tcBorders>
              <w:top w:val="nil"/>
              <w:bottom w:val="nil"/>
            </w:tcBorders>
            <w:shd w:val="clear" w:color="auto" w:fill="auto"/>
            <w:noWrap/>
            <w:vAlign w:val="center"/>
          </w:tcPr>
          <w:p w:rsidR="001D4F10" w:rsidRPr="00E3616E" w:rsidP="001D4F10" w14:paraId="1BF593BC" w14:textId="2792B30C">
            <w:pPr>
              <w:rPr>
                <w:color w:val="000000"/>
              </w:rPr>
            </w:pPr>
            <w:r w:rsidRPr="00E3616E">
              <w:rPr>
                <w:color w:val="000000"/>
              </w:rPr>
              <w:t>Asian</w:t>
            </w:r>
          </w:p>
        </w:tc>
        <w:tc>
          <w:tcPr>
            <w:tcW w:w="0" w:type="auto"/>
            <w:tcBorders>
              <w:top w:val="nil"/>
              <w:bottom w:val="nil"/>
            </w:tcBorders>
            <w:shd w:val="clear" w:color="auto" w:fill="auto"/>
            <w:noWrap/>
            <w:vAlign w:val="bottom"/>
          </w:tcPr>
          <w:p w:rsidR="001D4F10" w:rsidRPr="00E3616E" w:rsidP="001D4F10" w14:paraId="37315FB9" w14:textId="0715E996">
            <w:pPr>
              <w:jc w:val="right"/>
              <w:rPr>
                <w:color w:val="000000"/>
              </w:rPr>
            </w:pPr>
            <w:r w:rsidRPr="00E3616E">
              <w:rPr>
                <w:color w:val="000000"/>
              </w:rPr>
              <w:t>4.14%</w:t>
            </w:r>
          </w:p>
        </w:tc>
        <w:tc>
          <w:tcPr>
            <w:tcW w:w="0" w:type="auto"/>
            <w:tcBorders>
              <w:top w:val="nil"/>
              <w:bottom w:val="nil"/>
            </w:tcBorders>
            <w:shd w:val="clear" w:color="auto" w:fill="auto"/>
            <w:noWrap/>
            <w:vAlign w:val="bottom"/>
          </w:tcPr>
          <w:p w:rsidR="001D4F10" w:rsidRPr="00E3616E" w:rsidP="001D4F10" w14:paraId="7C322088" w14:textId="19D3505E">
            <w:pPr>
              <w:jc w:val="right"/>
              <w:rPr>
                <w:color w:val="000000"/>
              </w:rPr>
            </w:pPr>
            <w:r w:rsidRPr="00E3616E">
              <w:rPr>
                <w:color w:val="000000"/>
              </w:rPr>
              <w:t>21</w:t>
            </w:r>
          </w:p>
        </w:tc>
      </w:tr>
      <w:tr w14:paraId="5F7A93A6"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50E4A123" w14:textId="71E9704E">
            <w:pPr>
              <w:rPr>
                <w:color w:val="000000"/>
              </w:rPr>
            </w:pPr>
            <w:r w:rsidRPr="00E3616E">
              <w:rPr>
                <w:color w:val="000000"/>
              </w:rPr>
              <w:t> </w:t>
            </w:r>
          </w:p>
        </w:tc>
        <w:tc>
          <w:tcPr>
            <w:tcW w:w="0" w:type="auto"/>
            <w:tcBorders>
              <w:top w:val="nil"/>
              <w:bottom w:val="nil"/>
            </w:tcBorders>
            <w:shd w:val="clear" w:color="auto" w:fill="auto"/>
            <w:noWrap/>
            <w:vAlign w:val="center"/>
          </w:tcPr>
          <w:p w:rsidR="001D4F10" w:rsidRPr="00E3616E" w:rsidP="001D4F10" w14:paraId="6E06A5F6" w14:textId="70BA5359">
            <w:pPr>
              <w:rPr>
                <w:color w:val="000000"/>
              </w:rPr>
            </w:pPr>
            <w:r w:rsidRPr="00E3616E">
              <w:rPr>
                <w:color w:val="000000"/>
              </w:rPr>
              <w:t xml:space="preserve">Hispanic </w:t>
            </w:r>
          </w:p>
        </w:tc>
        <w:tc>
          <w:tcPr>
            <w:tcW w:w="0" w:type="auto"/>
            <w:tcBorders>
              <w:top w:val="nil"/>
              <w:bottom w:val="nil"/>
            </w:tcBorders>
            <w:shd w:val="clear" w:color="auto" w:fill="auto"/>
            <w:noWrap/>
            <w:vAlign w:val="bottom"/>
          </w:tcPr>
          <w:p w:rsidR="001D4F10" w:rsidRPr="00E3616E" w:rsidP="001D4F10" w14:paraId="1019BDF0" w14:textId="5A98A77C">
            <w:pPr>
              <w:jc w:val="right"/>
              <w:rPr>
                <w:color w:val="000000"/>
              </w:rPr>
            </w:pPr>
            <w:r w:rsidRPr="00E3616E">
              <w:rPr>
                <w:color w:val="000000"/>
              </w:rPr>
              <w:t>10.85%</w:t>
            </w:r>
          </w:p>
        </w:tc>
        <w:tc>
          <w:tcPr>
            <w:tcW w:w="0" w:type="auto"/>
            <w:tcBorders>
              <w:top w:val="nil"/>
              <w:bottom w:val="nil"/>
            </w:tcBorders>
            <w:shd w:val="clear" w:color="auto" w:fill="auto"/>
            <w:noWrap/>
            <w:vAlign w:val="bottom"/>
          </w:tcPr>
          <w:p w:rsidR="001D4F10" w:rsidRPr="00E3616E" w:rsidP="001D4F10" w14:paraId="4698657F" w14:textId="6B418C29">
            <w:pPr>
              <w:jc w:val="right"/>
              <w:rPr>
                <w:color w:val="000000"/>
              </w:rPr>
            </w:pPr>
            <w:r w:rsidRPr="00E3616E">
              <w:rPr>
                <w:color w:val="000000"/>
              </w:rPr>
              <w:t>54</w:t>
            </w:r>
          </w:p>
        </w:tc>
      </w:tr>
      <w:tr w14:paraId="2B30A404"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25B6A328" w14:textId="77777777">
            <w:pPr>
              <w:rPr>
                <w:color w:val="000000"/>
              </w:rPr>
            </w:pPr>
          </w:p>
        </w:tc>
        <w:tc>
          <w:tcPr>
            <w:tcW w:w="0" w:type="auto"/>
            <w:tcBorders>
              <w:top w:val="nil"/>
              <w:bottom w:val="nil"/>
            </w:tcBorders>
            <w:shd w:val="clear" w:color="auto" w:fill="auto"/>
            <w:noWrap/>
            <w:vAlign w:val="center"/>
          </w:tcPr>
          <w:p w:rsidR="001D4F10" w:rsidRPr="00E3616E" w:rsidP="001D4F10" w14:paraId="6A9DF31F" w14:textId="60381B27">
            <w:pPr>
              <w:rPr>
                <w:color w:val="000000"/>
              </w:rPr>
            </w:pPr>
            <w:r w:rsidRPr="00E3616E">
              <w:rPr>
                <w:color w:val="000000"/>
              </w:rPr>
              <w:t>White</w:t>
            </w:r>
          </w:p>
        </w:tc>
        <w:tc>
          <w:tcPr>
            <w:tcW w:w="0" w:type="auto"/>
            <w:tcBorders>
              <w:top w:val="nil"/>
              <w:bottom w:val="nil"/>
            </w:tcBorders>
            <w:shd w:val="clear" w:color="auto" w:fill="auto"/>
            <w:noWrap/>
            <w:vAlign w:val="bottom"/>
          </w:tcPr>
          <w:p w:rsidR="001D4F10" w:rsidRPr="00E3616E" w:rsidP="001D4F10" w14:paraId="4884D1F0" w14:textId="6376977C">
            <w:pPr>
              <w:jc w:val="right"/>
              <w:rPr>
                <w:color w:val="000000"/>
              </w:rPr>
            </w:pPr>
            <w:r w:rsidRPr="00E3616E">
              <w:rPr>
                <w:color w:val="000000"/>
              </w:rPr>
              <w:t>58.76%</w:t>
            </w:r>
          </w:p>
        </w:tc>
        <w:tc>
          <w:tcPr>
            <w:tcW w:w="0" w:type="auto"/>
            <w:tcBorders>
              <w:top w:val="nil"/>
              <w:bottom w:val="nil"/>
            </w:tcBorders>
            <w:shd w:val="clear" w:color="auto" w:fill="auto"/>
            <w:noWrap/>
            <w:vAlign w:val="bottom"/>
          </w:tcPr>
          <w:p w:rsidR="001D4F10" w:rsidRPr="00E3616E" w:rsidP="001D4F10" w14:paraId="2A76D0AF" w14:textId="531FFE40">
            <w:pPr>
              <w:jc w:val="right"/>
              <w:rPr>
                <w:color w:val="000000"/>
              </w:rPr>
            </w:pPr>
            <w:r w:rsidRPr="00E3616E">
              <w:rPr>
                <w:color w:val="000000"/>
              </w:rPr>
              <w:t>294</w:t>
            </w:r>
          </w:p>
        </w:tc>
      </w:tr>
      <w:tr w14:paraId="50A32D77"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1D4F10" w:rsidRPr="00E3616E" w:rsidP="001D4F10" w14:paraId="0410EA26" w14:textId="77777777">
            <w:pPr>
              <w:rPr>
                <w:color w:val="000000"/>
              </w:rPr>
            </w:pPr>
          </w:p>
        </w:tc>
        <w:tc>
          <w:tcPr>
            <w:tcW w:w="0" w:type="auto"/>
            <w:tcBorders>
              <w:top w:val="nil"/>
              <w:bottom w:val="nil"/>
            </w:tcBorders>
            <w:shd w:val="clear" w:color="auto" w:fill="auto"/>
            <w:noWrap/>
            <w:vAlign w:val="center"/>
          </w:tcPr>
          <w:p w:rsidR="001D4F10" w:rsidRPr="00E3616E" w:rsidP="001D4F10" w14:paraId="17F36C3A" w14:textId="702068A4">
            <w:pPr>
              <w:rPr>
                <w:color w:val="000000"/>
              </w:rPr>
            </w:pPr>
            <w:r w:rsidRPr="00E3616E">
              <w:rPr>
                <w:color w:val="000000"/>
              </w:rPr>
              <w:t>Other</w:t>
            </w:r>
          </w:p>
        </w:tc>
        <w:tc>
          <w:tcPr>
            <w:tcW w:w="0" w:type="auto"/>
            <w:tcBorders>
              <w:top w:val="nil"/>
              <w:bottom w:val="nil"/>
            </w:tcBorders>
            <w:shd w:val="clear" w:color="auto" w:fill="auto"/>
            <w:noWrap/>
            <w:vAlign w:val="bottom"/>
          </w:tcPr>
          <w:p w:rsidR="001D4F10" w:rsidRPr="00E3616E" w:rsidP="001D4F10" w14:paraId="708BBE4A" w14:textId="265B4D79">
            <w:pPr>
              <w:jc w:val="right"/>
              <w:rPr>
                <w:color w:val="000000"/>
              </w:rPr>
            </w:pPr>
            <w:r w:rsidRPr="00E3616E">
              <w:rPr>
                <w:color w:val="000000"/>
              </w:rPr>
              <w:t>6.03%</w:t>
            </w:r>
          </w:p>
        </w:tc>
        <w:tc>
          <w:tcPr>
            <w:tcW w:w="0" w:type="auto"/>
            <w:tcBorders>
              <w:top w:val="nil"/>
              <w:bottom w:val="nil"/>
            </w:tcBorders>
            <w:shd w:val="clear" w:color="auto" w:fill="auto"/>
            <w:noWrap/>
            <w:vAlign w:val="bottom"/>
          </w:tcPr>
          <w:p w:rsidR="001D4F10" w:rsidRPr="00E3616E" w:rsidP="001D4F10" w14:paraId="3C101930" w14:textId="2D314D0D">
            <w:pPr>
              <w:jc w:val="right"/>
              <w:rPr>
                <w:color w:val="000000"/>
              </w:rPr>
            </w:pPr>
            <w:r w:rsidRPr="00E3616E">
              <w:rPr>
                <w:color w:val="000000"/>
              </w:rPr>
              <w:t>30</w:t>
            </w:r>
          </w:p>
        </w:tc>
      </w:tr>
      <w:tr w14:paraId="0DA4FA46" w14:textId="77777777" w:rsidTr="00C122DC">
        <w:tblPrEx>
          <w:tblW w:w="0" w:type="auto"/>
          <w:jc w:val="center"/>
          <w:tblLook w:val="04A0"/>
        </w:tblPrEx>
        <w:trPr>
          <w:trHeight w:val="300"/>
          <w:jc w:val="center"/>
        </w:trPr>
        <w:tc>
          <w:tcPr>
            <w:tcW w:w="0" w:type="auto"/>
            <w:tcBorders>
              <w:top w:val="nil"/>
              <w:bottom w:val="nil"/>
            </w:tcBorders>
            <w:shd w:val="clear" w:color="auto" w:fill="auto"/>
            <w:noWrap/>
            <w:vAlign w:val="bottom"/>
          </w:tcPr>
          <w:p w:rsidR="000033D6" w:rsidRPr="00E3616E" w:rsidP="000033D6" w14:paraId="1F13FEB5" w14:textId="77777777">
            <w:pPr>
              <w:rPr>
                <w:color w:val="000000"/>
              </w:rPr>
            </w:pPr>
          </w:p>
        </w:tc>
        <w:tc>
          <w:tcPr>
            <w:tcW w:w="0" w:type="auto"/>
            <w:tcBorders>
              <w:top w:val="nil"/>
              <w:bottom w:val="nil"/>
            </w:tcBorders>
            <w:shd w:val="clear" w:color="auto" w:fill="auto"/>
            <w:noWrap/>
            <w:vAlign w:val="center"/>
          </w:tcPr>
          <w:p w:rsidR="000033D6" w:rsidRPr="00E3616E" w:rsidP="000033D6" w14:paraId="5D1F1C60" w14:textId="77777777">
            <w:pPr>
              <w:rPr>
                <w:color w:val="000000"/>
              </w:rPr>
            </w:pPr>
          </w:p>
        </w:tc>
        <w:tc>
          <w:tcPr>
            <w:tcW w:w="0" w:type="auto"/>
            <w:tcBorders>
              <w:top w:val="nil"/>
              <w:bottom w:val="nil"/>
            </w:tcBorders>
            <w:shd w:val="clear" w:color="auto" w:fill="auto"/>
            <w:noWrap/>
            <w:vAlign w:val="bottom"/>
          </w:tcPr>
          <w:p w:rsidR="000033D6" w:rsidRPr="00E3616E" w:rsidP="000033D6" w14:paraId="0D9078AD" w14:textId="77777777">
            <w:pPr>
              <w:jc w:val="right"/>
              <w:rPr>
                <w:color w:val="000000"/>
              </w:rPr>
            </w:pPr>
          </w:p>
        </w:tc>
        <w:tc>
          <w:tcPr>
            <w:tcW w:w="0" w:type="auto"/>
            <w:tcBorders>
              <w:top w:val="nil"/>
              <w:bottom w:val="nil"/>
            </w:tcBorders>
            <w:shd w:val="clear" w:color="auto" w:fill="auto"/>
            <w:noWrap/>
            <w:vAlign w:val="bottom"/>
          </w:tcPr>
          <w:p w:rsidR="000033D6" w:rsidRPr="00E3616E" w:rsidP="000033D6" w14:paraId="7A724A9A" w14:textId="77777777">
            <w:pPr>
              <w:jc w:val="right"/>
              <w:rPr>
                <w:color w:val="000000"/>
              </w:rPr>
            </w:pPr>
          </w:p>
        </w:tc>
      </w:tr>
      <w:tr w14:paraId="32E8ACA6" w14:textId="77777777" w:rsidTr="00C122DC">
        <w:tblPrEx>
          <w:tblW w:w="0" w:type="auto"/>
          <w:jc w:val="center"/>
          <w:tblLook w:val="04A0"/>
        </w:tblPrEx>
        <w:trPr>
          <w:trHeight w:val="300"/>
          <w:jc w:val="center"/>
        </w:trPr>
        <w:tc>
          <w:tcPr>
            <w:tcW w:w="0" w:type="auto"/>
            <w:tcBorders>
              <w:top w:val="nil"/>
            </w:tcBorders>
            <w:shd w:val="clear" w:color="auto" w:fill="auto"/>
            <w:noWrap/>
            <w:vAlign w:val="bottom"/>
          </w:tcPr>
          <w:p w:rsidR="00F05288" w:rsidRPr="00E3616E" w:rsidP="00F05288" w14:paraId="0D21FA84" w14:textId="020143CB">
            <w:pPr>
              <w:rPr>
                <w:color w:val="000000"/>
              </w:rPr>
            </w:pPr>
            <w:r w:rsidRPr="00E3616E">
              <w:rPr>
                <w:color w:val="000000"/>
              </w:rPr>
              <w:t>Sex</w:t>
            </w:r>
          </w:p>
        </w:tc>
        <w:tc>
          <w:tcPr>
            <w:tcW w:w="0" w:type="auto"/>
            <w:tcBorders>
              <w:top w:val="nil"/>
            </w:tcBorders>
            <w:shd w:val="clear" w:color="auto" w:fill="auto"/>
            <w:noWrap/>
            <w:vAlign w:val="bottom"/>
          </w:tcPr>
          <w:p w:rsidR="00F05288" w:rsidRPr="00E3616E" w:rsidP="00F05288" w14:paraId="6B945E6F" w14:textId="05926FC8">
            <w:pPr>
              <w:rPr>
                <w:color w:val="000000"/>
              </w:rPr>
            </w:pPr>
            <w:r w:rsidRPr="00E3616E">
              <w:rPr>
                <w:color w:val="000000"/>
              </w:rPr>
              <w:t>Male</w:t>
            </w:r>
          </w:p>
        </w:tc>
        <w:tc>
          <w:tcPr>
            <w:tcW w:w="0" w:type="auto"/>
            <w:tcBorders>
              <w:top w:val="nil"/>
            </w:tcBorders>
            <w:shd w:val="clear" w:color="auto" w:fill="auto"/>
            <w:noWrap/>
            <w:vAlign w:val="bottom"/>
          </w:tcPr>
          <w:p w:rsidR="00F05288" w:rsidRPr="00E3616E" w:rsidP="00F05288" w14:paraId="35F7C947" w14:textId="5DD70580">
            <w:pPr>
              <w:jc w:val="right"/>
              <w:rPr>
                <w:color w:val="000000"/>
              </w:rPr>
            </w:pPr>
            <w:r w:rsidRPr="00E3616E">
              <w:rPr>
                <w:color w:val="000000"/>
              </w:rPr>
              <w:t>58.01%</w:t>
            </w:r>
          </w:p>
        </w:tc>
        <w:tc>
          <w:tcPr>
            <w:tcW w:w="0" w:type="auto"/>
            <w:tcBorders>
              <w:top w:val="nil"/>
            </w:tcBorders>
            <w:shd w:val="clear" w:color="auto" w:fill="auto"/>
            <w:noWrap/>
            <w:vAlign w:val="bottom"/>
          </w:tcPr>
          <w:p w:rsidR="00F05288" w:rsidRPr="00E3616E" w:rsidP="00F05288" w14:paraId="7DF1737E" w14:textId="3AB148BB">
            <w:pPr>
              <w:jc w:val="right"/>
              <w:rPr>
                <w:color w:val="000000"/>
              </w:rPr>
            </w:pPr>
            <w:r w:rsidRPr="00E3616E">
              <w:rPr>
                <w:color w:val="000000"/>
              </w:rPr>
              <w:t>290</w:t>
            </w:r>
          </w:p>
        </w:tc>
      </w:tr>
      <w:tr w14:paraId="0A56CADF" w14:textId="77777777" w:rsidTr="00C122DC">
        <w:tblPrEx>
          <w:tblW w:w="0" w:type="auto"/>
          <w:jc w:val="center"/>
          <w:tblLook w:val="04A0"/>
        </w:tblPrEx>
        <w:trPr>
          <w:trHeight w:val="300"/>
          <w:jc w:val="center"/>
        </w:trPr>
        <w:tc>
          <w:tcPr>
            <w:tcW w:w="0" w:type="auto"/>
            <w:tcBorders>
              <w:top w:val="nil"/>
              <w:bottom w:val="single" w:sz="4" w:space="0" w:color="auto"/>
            </w:tcBorders>
            <w:shd w:val="clear" w:color="auto" w:fill="auto"/>
            <w:noWrap/>
            <w:vAlign w:val="bottom"/>
          </w:tcPr>
          <w:p w:rsidR="00F05288" w:rsidRPr="00E3616E" w:rsidP="00F05288" w14:paraId="23342A28" w14:textId="63303D8F">
            <w:pPr>
              <w:rPr>
                <w:color w:val="000000"/>
              </w:rPr>
            </w:pPr>
            <w:r w:rsidRPr="00E3616E">
              <w:rPr>
                <w:color w:val="000000"/>
              </w:rPr>
              <w:t> </w:t>
            </w:r>
          </w:p>
        </w:tc>
        <w:tc>
          <w:tcPr>
            <w:tcW w:w="0" w:type="auto"/>
            <w:tcBorders>
              <w:top w:val="nil"/>
              <w:bottom w:val="single" w:sz="4" w:space="0" w:color="auto"/>
            </w:tcBorders>
            <w:shd w:val="clear" w:color="auto" w:fill="auto"/>
            <w:noWrap/>
            <w:vAlign w:val="bottom"/>
          </w:tcPr>
          <w:p w:rsidR="00F05288" w:rsidRPr="00E3616E" w:rsidP="00F05288" w14:paraId="23420FCF" w14:textId="4CB683BF">
            <w:pPr>
              <w:rPr>
                <w:color w:val="000000"/>
              </w:rPr>
            </w:pPr>
            <w:r w:rsidRPr="00E3616E">
              <w:rPr>
                <w:color w:val="000000"/>
              </w:rPr>
              <w:t>Female</w:t>
            </w:r>
          </w:p>
        </w:tc>
        <w:tc>
          <w:tcPr>
            <w:tcW w:w="0" w:type="auto"/>
            <w:tcBorders>
              <w:top w:val="nil"/>
              <w:bottom w:val="single" w:sz="4" w:space="0" w:color="auto"/>
            </w:tcBorders>
            <w:shd w:val="clear" w:color="auto" w:fill="auto"/>
            <w:noWrap/>
            <w:vAlign w:val="bottom"/>
          </w:tcPr>
          <w:p w:rsidR="00F05288" w:rsidRPr="00E3616E" w:rsidP="00F05288" w14:paraId="3865326B" w14:textId="10E90657">
            <w:pPr>
              <w:jc w:val="right"/>
              <w:rPr>
                <w:color w:val="000000"/>
              </w:rPr>
            </w:pPr>
            <w:r w:rsidRPr="00E3616E">
              <w:rPr>
                <w:color w:val="000000"/>
              </w:rPr>
              <w:t>41.99%</w:t>
            </w:r>
          </w:p>
        </w:tc>
        <w:tc>
          <w:tcPr>
            <w:tcW w:w="0" w:type="auto"/>
            <w:tcBorders>
              <w:top w:val="nil"/>
              <w:bottom w:val="single" w:sz="4" w:space="0" w:color="auto"/>
            </w:tcBorders>
            <w:shd w:val="clear" w:color="auto" w:fill="auto"/>
            <w:noWrap/>
            <w:vAlign w:val="bottom"/>
          </w:tcPr>
          <w:p w:rsidR="00F05288" w:rsidRPr="00E3616E" w:rsidP="00F05288" w14:paraId="1D4C11E2" w14:textId="38BC3102">
            <w:pPr>
              <w:jc w:val="right"/>
              <w:rPr>
                <w:color w:val="000000"/>
              </w:rPr>
            </w:pPr>
            <w:r w:rsidRPr="00E3616E">
              <w:rPr>
                <w:color w:val="000000"/>
              </w:rPr>
              <w:t>210</w:t>
            </w:r>
          </w:p>
        </w:tc>
      </w:tr>
    </w:tbl>
    <w:p w:rsidR="00924C8D" w:rsidRPr="00C122DC" w:rsidP="00924C8D" w14:paraId="45B5D56E" w14:textId="1E143131">
      <w:pPr>
        <w:rPr>
          <w:sz w:val="20"/>
          <w:szCs w:val="20"/>
        </w:rPr>
      </w:pPr>
      <w:r w:rsidRPr="00C122DC">
        <w:rPr>
          <w:sz w:val="20"/>
          <w:szCs w:val="20"/>
        </w:rPr>
        <w:t xml:space="preserve">*ORU distributions </w:t>
      </w:r>
      <w:r w:rsidRPr="00C122DC" w:rsidR="00AB63C6">
        <w:rPr>
          <w:sz w:val="20"/>
          <w:szCs w:val="20"/>
        </w:rPr>
        <w:t>mirror those of drivers</w:t>
      </w:r>
      <w:r w:rsidRPr="00C122DC" w:rsidR="00BC4D2F">
        <w:rPr>
          <w:sz w:val="20"/>
          <w:szCs w:val="20"/>
        </w:rPr>
        <w:t>,</w:t>
      </w:r>
      <w:r w:rsidRPr="00C122DC" w:rsidR="00AB63C6">
        <w:rPr>
          <w:sz w:val="20"/>
          <w:szCs w:val="20"/>
        </w:rPr>
        <w:t xml:space="preserve"> as no prior studies</w:t>
      </w:r>
      <w:r w:rsidRPr="00C122DC" w:rsidR="009B54AB">
        <w:rPr>
          <w:sz w:val="20"/>
          <w:szCs w:val="20"/>
        </w:rPr>
        <w:t xml:space="preserve"> are available to provide a </w:t>
      </w:r>
      <w:r w:rsidRPr="00C122DC" w:rsidR="00BC4D2F">
        <w:rPr>
          <w:sz w:val="20"/>
          <w:szCs w:val="20"/>
        </w:rPr>
        <w:t>stronger</w:t>
      </w:r>
      <w:r w:rsidRPr="00C122DC" w:rsidR="009B54AB">
        <w:rPr>
          <w:sz w:val="20"/>
          <w:szCs w:val="20"/>
        </w:rPr>
        <w:t xml:space="preserve"> estimate.</w:t>
      </w:r>
    </w:p>
    <w:p w:rsidR="004C12C1" w:rsidP="002E7E08" w14:paraId="02B11470" w14:textId="77777777">
      <w:pPr>
        <w:pStyle w:val="Heading1"/>
      </w:pPr>
      <w:bookmarkStart w:id="25" w:name="_Toc125278833"/>
      <w:bookmarkStart w:id="26" w:name="_Toc125341756"/>
      <w:bookmarkStart w:id="27" w:name="_Toc125447314"/>
      <w:bookmarkStart w:id="28" w:name="_Toc126394141"/>
      <w:bookmarkEnd w:id="25"/>
      <w:bookmarkEnd w:id="26"/>
      <w:bookmarkEnd w:id="27"/>
      <w:bookmarkEnd w:id="28"/>
    </w:p>
    <w:p w:rsidR="00F35758" w:rsidP="00F35758" w14:paraId="6CD6BD16" w14:textId="77777777"/>
    <w:p w:rsidR="00900228" w14:paraId="3368676A" w14:textId="77777777">
      <w:pPr>
        <w:spacing w:line="240" w:lineRule="auto"/>
        <w:rPr>
          <w:rFonts w:eastAsia="Calibri"/>
          <w:b/>
        </w:rPr>
      </w:pPr>
      <w:r>
        <w:rPr>
          <w:rFonts w:eastAsia="Calibri"/>
          <w:b/>
        </w:rPr>
        <w:br w:type="page"/>
      </w:r>
    </w:p>
    <w:p w:rsidR="007E18A9" w:rsidRPr="00270738" w:rsidP="00E3616E" w14:paraId="29FE2422" w14:textId="1A3CB03B">
      <w:pPr>
        <w:spacing w:after="240"/>
        <w:jc w:val="center"/>
        <w:rPr>
          <w:rFonts w:eastAsia="Calibri"/>
          <w:b/>
        </w:rPr>
      </w:pPr>
      <w:r w:rsidRPr="00270738">
        <w:rPr>
          <w:rFonts w:eastAsia="Calibri"/>
          <w:b/>
        </w:rPr>
        <w:t>Study</w:t>
      </w:r>
      <w:r w:rsidRPr="00270738" w:rsidR="00782083">
        <w:rPr>
          <w:rFonts w:eastAsia="Calibri"/>
          <w:b/>
        </w:rPr>
        <w:t xml:space="preserve"> </w:t>
      </w:r>
      <w:r w:rsidRPr="00270738">
        <w:rPr>
          <w:rFonts w:eastAsia="Calibri"/>
          <w:b/>
        </w:rPr>
        <w:t xml:space="preserve">1: </w:t>
      </w:r>
      <w:r w:rsidRPr="00270738" w:rsidR="00342AAD">
        <w:rPr>
          <w:rFonts w:eastAsia="Calibri"/>
          <w:b/>
        </w:rPr>
        <w:t xml:space="preserve">NRS </w:t>
      </w:r>
      <w:r w:rsidRPr="00270738">
        <w:rPr>
          <w:rFonts w:eastAsia="Calibri"/>
          <w:b/>
        </w:rPr>
        <w:t>Sample Size and Statistical Power</w:t>
      </w:r>
    </w:p>
    <w:p w:rsidR="007E18A9" w:rsidRPr="00342AAD" w:rsidP="00571013" w14:paraId="0C4D9DE3" w14:textId="55999BBB">
      <w:pPr>
        <w:spacing w:line="240" w:lineRule="auto"/>
        <w:rPr>
          <w:b/>
        </w:rPr>
      </w:pPr>
      <w:r w:rsidRPr="00342AAD">
        <w:t xml:space="preserve">For a one-time measurement of </w:t>
      </w:r>
      <w:r w:rsidRPr="00342AAD" w:rsidR="00342AAD">
        <w:t xml:space="preserve">alcohol and other </w:t>
      </w:r>
      <w:r w:rsidRPr="00342AAD">
        <w:t xml:space="preserve">drug prevalence, the equation below can be used to calculate the sample size needed for a given prevalence rate at a specific level of statistical confidence and precision. </w:t>
      </w:r>
    </w:p>
    <w:p w:rsidR="007E18A9" w:rsidRPr="00342AAD" w:rsidP="00571013" w14:paraId="18AEBCD2" w14:textId="77777777">
      <w:pPr>
        <w:spacing w:line="240" w:lineRule="auto"/>
        <w:ind w:left="720"/>
        <w:contextualSpacing/>
      </w:pPr>
    </w:p>
    <w:p w:rsidR="007E18A9" w:rsidRPr="00342AAD" w:rsidP="00571013" w14:paraId="028E9657" w14:textId="77777777">
      <w:pPr>
        <w:spacing w:line="240" w:lineRule="auto"/>
        <w:ind w:left="720"/>
        <w:contextualSpacing/>
        <w:rPr>
          <w:u w:val="single"/>
        </w:rPr>
      </w:pPr>
      <w:r w:rsidRPr="00342AAD">
        <w:rPr>
          <w:i/>
        </w:rPr>
        <w:t>n</w:t>
      </w:r>
      <w:r w:rsidRPr="00342AAD">
        <w:t xml:space="preserve"> = </w:t>
      </w:r>
      <w:r w:rsidRPr="00342AAD">
        <w:rPr>
          <w:i/>
          <w:u w:val="single"/>
        </w:rPr>
        <w:t>Z</w:t>
      </w:r>
      <w:r w:rsidRPr="00342AAD">
        <w:rPr>
          <w:u w:val="single"/>
          <w:vertAlign w:val="superscript"/>
        </w:rPr>
        <w:t>2</w:t>
      </w:r>
      <w:r w:rsidRPr="00342AAD">
        <w:rPr>
          <w:i/>
          <w:u w:val="single"/>
        </w:rPr>
        <w:t>P</w:t>
      </w:r>
      <w:r w:rsidRPr="00342AAD">
        <w:rPr>
          <w:u w:val="single"/>
        </w:rPr>
        <w:t xml:space="preserve">(1 – </w:t>
      </w:r>
      <w:r w:rsidRPr="00342AAD">
        <w:rPr>
          <w:i/>
          <w:u w:val="single"/>
        </w:rPr>
        <w:t>P</w:t>
      </w:r>
      <w:r w:rsidRPr="00342AAD">
        <w:rPr>
          <w:u w:val="single"/>
        </w:rPr>
        <w:t>)</w:t>
      </w:r>
      <w:r w:rsidRPr="00342AAD">
        <w:rPr>
          <w:i/>
          <w:u w:val="single"/>
        </w:rPr>
        <w:t xml:space="preserve"> </w:t>
      </w:r>
    </w:p>
    <w:p w:rsidR="007E18A9" w:rsidRPr="00342AAD" w:rsidP="00571013" w14:paraId="332A371C" w14:textId="77777777">
      <w:pPr>
        <w:pStyle w:val="ListParagraph"/>
        <w:spacing w:after="0" w:line="240" w:lineRule="auto"/>
        <w:rPr>
          <w:rFonts w:ascii="Times New Roman" w:hAnsi="Times New Roman" w:cs="Times New Roman"/>
          <w:sz w:val="24"/>
          <w:szCs w:val="24"/>
        </w:rPr>
      </w:pPr>
      <w:r w:rsidRPr="00342AAD">
        <w:rPr>
          <w:rFonts w:ascii="Times New Roman" w:hAnsi="Times New Roman" w:cs="Times New Roman"/>
          <w:sz w:val="24"/>
          <w:szCs w:val="24"/>
        </w:rPr>
        <w:tab/>
      </w:r>
      <w:r w:rsidRPr="00342AAD">
        <w:rPr>
          <w:rFonts w:ascii="Times New Roman" w:hAnsi="Times New Roman" w:cs="Times New Roman"/>
          <w:i/>
          <w:sz w:val="24"/>
          <w:szCs w:val="24"/>
        </w:rPr>
        <w:t>d</w:t>
      </w:r>
      <w:r w:rsidRPr="00342AAD">
        <w:rPr>
          <w:rFonts w:ascii="Times New Roman" w:hAnsi="Times New Roman" w:cs="Times New Roman"/>
          <w:sz w:val="24"/>
          <w:szCs w:val="24"/>
          <w:vertAlign w:val="superscript"/>
        </w:rPr>
        <w:t>2</w:t>
      </w:r>
    </w:p>
    <w:p w:rsidR="007E18A9" w:rsidRPr="00342AAD" w:rsidP="00571013" w14:paraId="75910D28" w14:textId="77777777">
      <w:pPr>
        <w:spacing w:line="240" w:lineRule="auto"/>
        <w:ind w:firstLine="720"/>
      </w:pPr>
      <w:r w:rsidRPr="00342AAD">
        <w:rPr>
          <w:i/>
        </w:rPr>
        <w:t>Z</w:t>
      </w:r>
      <w:r w:rsidRPr="00342AAD">
        <w:t xml:space="preserve"> = Z statistic for a level of confidence (e.g., Z = 1.96 for 95% confidence)</w:t>
      </w:r>
    </w:p>
    <w:p w:rsidR="007E18A9" w:rsidRPr="00342AAD" w:rsidP="00571013" w14:paraId="58B29C29" w14:textId="77777777">
      <w:pPr>
        <w:spacing w:line="240" w:lineRule="auto"/>
        <w:ind w:firstLine="720"/>
      </w:pPr>
      <w:r w:rsidRPr="00342AAD">
        <w:rPr>
          <w:i/>
        </w:rPr>
        <w:t>P</w:t>
      </w:r>
      <w:r w:rsidRPr="00342AAD">
        <w:t xml:space="preserve"> = expected prevalence (e.g., 13% or 0.13 estimated from prior studies)</w:t>
      </w:r>
    </w:p>
    <w:p w:rsidR="007E18A9" w:rsidRPr="00342AAD" w:rsidP="00571013" w14:paraId="571DA8A2" w14:textId="77777777">
      <w:pPr>
        <w:spacing w:line="240" w:lineRule="auto"/>
        <w:ind w:firstLine="720"/>
      </w:pPr>
      <w:r w:rsidRPr="00342AAD">
        <w:rPr>
          <w:i/>
        </w:rPr>
        <w:t>d</w:t>
      </w:r>
      <w:r w:rsidRPr="00342AAD">
        <w:t xml:space="preserve"> = precision (e.g., 3% or 0.03 which provides a margin of error of </w:t>
      </w:r>
      <w:r w:rsidRPr="00342AAD">
        <w:rPr>
          <w:u w:val="single"/>
        </w:rPr>
        <w:t>+</w:t>
      </w:r>
      <w:r w:rsidRPr="00342AAD">
        <w:t>3%)</w:t>
      </w:r>
    </w:p>
    <w:p w:rsidR="007E18A9" w:rsidRPr="00342AAD" w:rsidP="00571013" w14:paraId="27DB4397" w14:textId="77777777">
      <w:pPr>
        <w:spacing w:line="240" w:lineRule="auto"/>
        <w:ind w:firstLine="720"/>
      </w:pPr>
    </w:p>
    <w:p w:rsidR="007E18A9" w:rsidRPr="00342AAD" w:rsidP="00571013" w14:paraId="21BCD18C" w14:textId="77777777">
      <w:pPr>
        <w:spacing w:line="240" w:lineRule="auto"/>
        <w:contextualSpacing/>
      </w:pPr>
      <w:r w:rsidRPr="00342AAD">
        <w:t xml:space="preserve">To have 95% confidence in a prevalence study with an expected individual drug prevalence rate of about 13% and </w:t>
      </w:r>
      <w:r w:rsidRPr="00342AAD">
        <w:rPr>
          <w:u w:val="single"/>
        </w:rPr>
        <w:t>+</w:t>
      </w:r>
      <w:r w:rsidRPr="00342AAD">
        <w:t xml:space="preserve">3% precision, a study only requires 483 participants as seen below. </w:t>
      </w:r>
    </w:p>
    <w:p w:rsidR="00342AAD" w:rsidRPr="00342AAD" w:rsidP="00571013" w14:paraId="16B6B642" w14:textId="77777777">
      <w:pPr>
        <w:spacing w:line="240" w:lineRule="auto"/>
        <w:contextualSpacing/>
      </w:pPr>
    </w:p>
    <w:p w:rsidR="007E18A9" w:rsidRPr="00342AAD" w:rsidP="00571013" w14:paraId="63BFAB98" w14:textId="77777777">
      <w:pPr>
        <w:pStyle w:val="ListParagraph"/>
        <w:keepNext/>
        <w:spacing w:after="0" w:line="240" w:lineRule="auto"/>
        <w:rPr>
          <w:rFonts w:ascii="Times New Roman" w:hAnsi="Times New Roman" w:cs="Times New Roman"/>
          <w:sz w:val="24"/>
          <w:szCs w:val="24"/>
        </w:rPr>
      </w:pPr>
      <w:r w:rsidRPr="00342AAD">
        <w:rPr>
          <w:rFonts w:ascii="Times New Roman" w:hAnsi="Times New Roman" w:cs="Times New Roman"/>
          <w:i/>
          <w:sz w:val="24"/>
          <w:szCs w:val="24"/>
        </w:rPr>
        <w:t>n</w:t>
      </w:r>
      <w:r w:rsidRPr="00342AAD">
        <w:rPr>
          <w:rFonts w:ascii="Times New Roman" w:hAnsi="Times New Roman" w:cs="Times New Roman"/>
          <w:sz w:val="24"/>
          <w:szCs w:val="24"/>
        </w:rPr>
        <w:t xml:space="preserve"> = </w:t>
      </w:r>
      <w:r w:rsidRPr="00342AAD">
        <w:rPr>
          <w:rFonts w:ascii="Times New Roman" w:hAnsi="Times New Roman" w:cs="Times New Roman"/>
          <w:sz w:val="24"/>
          <w:szCs w:val="24"/>
          <w:u w:val="single"/>
        </w:rPr>
        <w:t>(1.96)</w:t>
      </w:r>
      <w:r w:rsidRPr="00342AAD">
        <w:rPr>
          <w:rFonts w:ascii="Times New Roman" w:hAnsi="Times New Roman" w:cs="Times New Roman"/>
          <w:sz w:val="24"/>
          <w:szCs w:val="24"/>
          <w:u w:val="single"/>
          <w:vertAlign w:val="superscript"/>
        </w:rPr>
        <w:t xml:space="preserve">2 </w:t>
      </w:r>
      <w:r w:rsidRPr="00342AAD">
        <w:rPr>
          <w:rFonts w:ascii="Times New Roman" w:hAnsi="Times New Roman" w:cs="Times New Roman"/>
          <w:sz w:val="24"/>
          <w:szCs w:val="24"/>
          <w:u w:val="single"/>
        </w:rPr>
        <w:t xml:space="preserve">(.13)(1 - .13) </w:t>
      </w:r>
      <w:r w:rsidRPr="00342AAD">
        <w:rPr>
          <w:rFonts w:ascii="Times New Roman" w:hAnsi="Times New Roman" w:cs="Times New Roman"/>
          <w:sz w:val="24"/>
          <w:szCs w:val="24"/>
        </w:rPr>
        <w:t xml:space="preserve">= 482.76 or about </w:t>
      </w:r>
      <w:r w:rsidRPr="00342AAD">
        <w:rPr>
          <w:rFonts w:ascii="Times New Roman" w:hAnsi="Times New Roman" w:cs="Times New Roman"/>
          <w:b/>
          <w:sz w:val="24"/>
          <w:szCs w:val="24"/>
          <w:u w:val="single"/>
        </w:rPr>
        <w:t>483</w:t>
      </w:r>
      <w:r w:rsidRPr="00342AAD">
        <w:rPr>
          <w:rFonts w:ascii="Times New Roman" w:hAnsi="Times New Roman" w:cs="Times New Roman"/>
          <w:b/>
          <w:sz w:val="24"/>
          <w:szCs w:val="24"/>
        </w:rPr>
        <w:t xml:space="preserve"> </w:t>
      </w:r>
      <w:r w:rsidRPr="00342AAD">
        <w:rPr>
          <w:rFonts w:ascii="Times New Roman" w:hAnsi="Times New Roman" w:cs="Times New Roman"/>
          <w:sz w:val="24"/>
          <w:szCs w:val="24"/>
        </w:rPr>
        <w:t xml:space="preserve">participants </w:t>
      </w:r>
    </w:p>
    <w:p w:rsidR="007E18A9" w:rsidRPr="00342AAD" w:rsidP="00571013" w14:paraId="4B26C7DA" w14:textId="77777777">
      <w:pPr>
        <w:pStyle w:val="ListParagraph"/>
        <w:keepNext/>
        <w:spacing w:after="0" w:line="240" w:lineRule="auto"/>
        <w:ind w:left="1440"/>
        <w:rPr>
          <w:rFonts w:ascii="Times New Roman" w:hAnsi="Times New Roman" w:cs="Times New Roman"/>
          <w:sz w:val="24"/>
          <w:szCs w:val="24"/>
        </w:rPr>
      </w:pPr>
      <w:r w:rsidRPr="00342AAD">
        <w:rPr>
          <w:rFonts w:ascii="Times New Roman" w:hAnsi="Times New Roman" w:cs="Times New Roman"/>
          <w:sz w:val="24"/>
          <w:szCs w:val="24"/>
        </w:rPr>
        <w:t xml:space="preserve">      (.03)</w:t>
      </w:r>
      <w:r w:rsidRPr="00342AAD">
        <w:rPr>
          <w:rFonts w:ascii="Times New Roman" w:hAnsi="Times New Roman" w:cs="Times New Roman"/>
          <w:sz w:val="24"/>
          <w:szCs w:val="24"/>
          <w:vertAlign w:val="superscript"/>
        </w:rPr>
        <w:t>2</w:t>
      </w:r>
    </w:p>
    <w:p w:rsidR="000E40D4" w:rsidP="00571013" w14:paraId="71665D2B" w14:textId="77777777">
      <w:pPr>
        <w:spacing w:line="240" w:lineRule="auto"/>
      </w:pPr>
    </w:p>
    <w:p w:rsidR="007E18A9" w:rsidRPr="00342AAD" w:rsidP="00571013" w14:paraId="29CDC3AC" w14:textId="371D12C8">
      <w:pPr>
        <w:spacing w:line="240" w:lineRule="auto"/>
      </w:pPr>
      <w:r w:rsidRPr="00342AAD">
        <w:t xml:space="preserve">If greater precision is desired in this example (e.g., </w:t>
      </w:r>
      <w:r w:rsidRPr="00342AAD">
        <w:rPr>
          <w:i/>
          <w:u w:val="single"/>
        </w:rPr>
        <w:t>+</w:t>
      </w:r>
      <w:r w:rsidRPr="00342AAD">
        <w:t>1%) with roughly 13% prevalence observed, 4,345 participants would be needed.</w:t>
      </w:r>
    </w:p>
    <w:p w:rsidR="007E18A9" w:rsidRPr="00342AAD" w:rsidP="00571013" w14:paraId="55D87047" w14:textId="77777777">
      <w:pPr>
        <w:spacing w:line="240" w:lineRule="auto"/>
      </w:pPr>
    </w:p>
    <w:p w:rsidR="007E18A9" w:rsidRPr="00342AAD" w:rsidP="00571013" w14:paraId="6B5848FA" w14:textId="77777777">
      <w:pPr>
        <w:pStyle w:val="ListParagraph"/>
        <w:keepNext/>
        <w:spacing w:after="0" w:line="240" w:lineRule="auto"/>
        <w:rPr>
          <w:rFonts w:ascii="Times New Roman" w:hAnsi="Times New Roman" w:cs="Times New Roman"/>
          <w:sz w:val="24"/>
          <w:szCs w:val="24"/>
        </w:rPr>
      </w:pPr>
      <w:r w:rsidRPr="00342AAD">
        <w:rPr>
          <w:rFonts w:ascii="Times New Roman" w:hAnsi="Times New Roman" w:cs="Times New Roman"/>
          <w:i/>
          <w:sz w:val="24"/>
          <w:szCs w:val="24"/>
        </w:rPr>
        <w:t>n</w:t>
      </w:r>
      <w:r w:rsidRPr="00342AAD">
        <w:rPr>
          <w:rFonts w:ascii="Times New Roman" w:hAnsi="Times New Roman" w:cs="Times New Roman"/>
          <w:sz w:val="24"/>
          <w:szCs w:val="24"/>
        </w:rPr>
        <w:t xml:space="preserve"> = </w:t>
      </w:r>
      <w:r w:rsidRPr="00342AAD">
        <w:rPr>
          <w:rFonts w:ascii="Times New Roman" w:hAnsi="Times New Roman" w:cs="Times New Roman"/>
          <w:sz w:val="24"/>
          <w:szCs w:val="24"/>
          <w:u w:val="single"/>
        </w:rPr>
        <w:t>(1.96)</w:t>
      </w:r>
      <w:r w:rsidRPr="00342AAD">
        <w:rPr>
          <w:rFonts w:ascii="Times New Roman" w:hAnsi="Times New Roman" w:cs="Times New Roman"/>
          <w:sz w:val="24"/>
          <w:szCs w:val="24"/>
          <w:u w:val="single"/>
          <w:vertAlign w:val="superscript"/>
        </w:rPr>
        <w:t xml:space="preserve">2 </w:t>
      </w:r>
      <w:r w:rsidRPr="00342AAD">
        <w:rPr>
          <w:rFonts w:ascii="Times New Roman" w:hAnsi="Times New Roman" w:cs="Times New Roman"/>
          <w:sz w:val="24"/>
          <w:szCs w:val="24"/>
          <w:u w:val="single"/>
        </w:rPr>
        <w:t xml:space="preserve">(.13)(1 - .13) </w:t>
      </w:r>
      <w:r w:rsidRPr="00342AAD">
        <w:rPr>
          <w:rFonts w:ascii="Times New Roman" w:hAnsi="Times New Roman" w:cs="Times New Roman"/>
          <w:sz w:val="24"/>
          <w:szCs w:val="24"/>
        </w:rPr>
        <w:t xml:space="preserve">= 4,344.85 or about </w:t>
      </w:r>
      <w:r w:rsidRPr="00342AAD">
        <w:rPr>
          <w:rFonts w:ascii="Times New Roman" w:hAnsi="Times New Roman" w:cs="Times New Roman"/>
          <w:b/>
          <w:sz w:val="24"/>
          <w:szCs w:val="24"/>
          <w:u w:val="single"/>
        </w:rPr>
        <w:t>4,345</w:t>
      </w:r>
      <w:r w:rsidRPr="00342AAD">
        <w:rPr>
          <w:rFonts w:ascii="Times New Roman" w:hAnsi="Times New Roman" w:cs="Times New Roman"/>
          <w:b/>
          <w:sz w:val="24"/>
          <w:szCs w:val="24"/>
        </w:rPr>
        <w:t xml:space="preserve"> </w:t>
      </w:r>
      <w:r w:rsidRPr="00342AAD">
        <w:rPr>
          <w:rFonts w:ascii="Times New Roman" w:hAnsi="Times New Roman" w:cs="Times New Roman"/>
          <w:sz w:val="24"/>
          <w:szCs w:val="24"/>
        </w:rPr>
        <w:t xml:space="preserve">participants </w:t>
      </w:r>
    </w:p>
    <w:p w:rsidR="007E18A9" w:rsidRPr="00342AAD" w:rsidP="00571013" w14:paraId="34F4A252" w14:textId="77777777">
      <w:pPr>
        <w:pStyle w:val="ListParagraph"/>
        <w:keepNext/>
        <w:spacing w:after="0" w:line="240" w:lineRule="auto"/>
        <w:ind w:left="1440"/>
        <w:rPr>
          <w:rFonts w:ascii="Times New Roman" w:hAnsi="Times New Roman" w:cs="Times New Roman"/>
          <w:sz w:val="24"/>
          <w:szCs w:val="24"/>
        </w:rPr>
      </w:pPr>
      <w:r w:rsidRPr="00342AAD">
        <w:rPr>
          <w:rFonts w:ascii="Times New Roman" w:hAnsi="Times New Roman" w:cs="Times New Roman"/>
          <w:sz w:val="24"/>
          <w:szCs w:val="24"/>
        </w:rPr>
        <w:t xml:space="preserve">      (.01)</w:t>
      </w:r>
      <w:r w:rsidRPr="00342AAD">
        <w:rPr>
          <w:rFonts w:ascii="Times New Roman" w:hAnsi="Times New Roman" w:cs="Times New Roman"/>
          <w:sz w:val="24"/>
          <w:szCs w:val="24"/>
          <w:vertAlign w:val="superscript"/>
        </w:rPr>
        <w:t>2</w:t>
      </w:r>
    </w:p>
    <w:p w:rsidR="007E18A9" w:rsidRPr="00342AAD" w:rsidP="00571013" w14:paraId="2803F53D" w14:textId="77777777">
      <w:pPr>
        <w:pStyle w:val="ListParagraph"/>
        <w:spacing w:after="0" w:line="240" w:lineRule="auto"/>
        <w:rPr>
          <w:rFonts w:ascii="Times New Roman" w:hAnsi="Times New Roman" w:cs="Times New Roman"/>
          <w:sz w:val="24"/>
          <w:szCs w:val="24"/>
        </w:rPr>
      </w:pPr>
    </w:p>
    <w:p w:rsidR="007E18A9" w:rsidRPr="00342AAD" w:rsidP="00571013" w14:paraId="3AE3E9A5" w14:textId="0051ACFA">
      <w:pPr>
        <w:spacing w:line="240" w:lineRule="auto"/>
      </w:pPr>
      <w:bookmarkStart w:id="29" w:name="_Ref533061962"/>
      <w:r w:rsidRPr="00342AAD">
        <w:t xml:space="preserve">Table 1 provides the sample size requirements for a one-time prevalence study at other rates of drug prevalence and precision requirements. The proposed sample size of 8,000 would allow for reliable overall estimates of drugs at low prevalence rates as well as very precise estimates (i.e., </w:t>
      </w:r>
      <w:r w:rsidRPr="00342AAD">
        <w:rPr>
          <w:u w:val="single"/>
        </w:rPr>
        <w:t>+</w:t>
      </w:r>
      <w:r w:rsidRPr="00342AAD">
        <w:t>1%) for higher prevalence drugs. Having 8,000 participants allows the sample to be divided by a variety of factors (e.g., age, sex, time of day) and still have enough participants in each group to provide relatively precise estimates of</w:t>
      </w:r>
      <w:r w:rsidR="00696BC8">
        <w:t xml:space="preserve"> alcohol and other drug </w:t>
      </w:r>
      <w:r w:rsidRPr="00342AAD">
        <w:t>prevalence for each group.</w:t>
      </w:r>
    </w:p>
    <w:p w:rsidR="007E18A9" w:rsidRPr="00342AAD" w:rsidP="007E18A9" w14:paraId="6F00B988" w14:textId="77777777">
      <w:pPr>
        <w:pStyle w:val="Table"/>
        <w:numPr>
          <w:ilvl w:val="0"/>
          <w:numId w:val="0"/>
        </w:numPr>
        <w:jc w:val="left"/>
        <w:rPr>
          <w:b w:val="0"/>
          <w:bCs/>
          <w:i/>
          <w:iCs/>
          <w:szCs w:val="24"/>
        </w:rPr>
      </w:pPr>
    </w:p>
    <w:p w:rsidR="007E18A9" w:rsidRPr="00ED1E08" w:rsidP="00ED1E08" w14:paraId="09DA8BAC" w14:textId="77777777">
      <w:pPr>
        <w:pStyle w:val="Table"/>
        <w:keepNext/>
        <w:spacing w:after="120"/>
      </w:pPr>
      <w:r w:rsidRPr="00ED1E08">
        <w:t>Sample Size Required to Detect Prevalence at One Time Point</w:t>
      </w:r>
      <w:bookmarkEnd w:id="29"/>
    </w:p>
    <w:tbl>
      <w:tblPr>
        <w:tblStyle w:val="TableGrid"/>
        <w:tblW w:w="0" w:type="auto"/>
        <w:jc w:val="center"/>
        <w:tblBorders>
          <w:left w:val="none" w:sz="0" w:space="0" w:color="auto"/>
          <w:right w:val="none" w:sz="0" w:space="0" w:color="auto"/>
          <w:insideV w:val="none" w:sz="0" w:space="0" w:color="auto"/>
        </w:tblBorders>
        <w:tblLook w:val="04A0"/>
      </w:tblPr>
      <w:tblGrid>
        <w:gridCol w:w="1701"/>
        <w:gridCol w:w="1386"/>
        <w:gridCol w:w="2115"/>
        <w:gridCol w:w="1714"/>
        <w:gridCol w:w="1714"/>
      </w:tblGrid>
      <w:tr w14:paraId="1B738477" w14:textId="77777777" w:rsidTr="00280050">
        <w:tblPrEx>
          <w:tblW w:w="0" w:type="auto"/>
          <w:jc w:val="center"/>
          <w:tblBorders>
            <w:left w:val="none" w:sz="0" w:space="0" w:color="auto"/>
            <w:right w:val="none" w:sz="0" w:space="0" w:color="auto"/>
            <w:insideV w:val="none" w:sz="0" w:space="0" w:color="auto"/>
          </w:tblBorders>
          <w:tblLook w:val="04A0"/>
        </w:tblPrEx>
        <w:trPr>
          <w:jc w:val="center"/>
        </w:trPr>
        <w:tc>
          <w:tcPr>
            <w:tcW w:w="1701" w:type="dxa"/>
            <w:vAlign w:val="bottom"/>
          </w:tcPr>
          <w:p w:rsidR="007E18A9" w:rsidRPr="00342AAD" w:rsidP="00280050" w14:paraId="79E47530" w14:textId="77777777"/>
        </w:tc>
        <w:tc>
          <w:tcPr>
            <w:tcW w:w="6929" w:type="dxa"/>
            <w:gridSpan w:val="4"/>
            <w:vAlign w:val="bottom"/>
          </w:tcPr>
          <w:p w:rsidR="007E18A9" w:rsidRPr="00342AAD" w:rsidP="00280050" w14:paraId="4C70B8EF" w14:textId="77777777">
            <w:pPr>
              <w:jc w:val="center"/>
            </w:pPr>
            <w:r w:rsidRPr="00342AAD">
              <w:t xml:space="preserve">Precision </w:t>
            </w:r>
            <w:r w:rsidRPr="00687D09">
              <w:rPr>
                <w:u w:val="single"/>
              </w:rPr>
              <w:t>+</w:t>
            </w:r>
          </w:p>
        </w:tc>
      </w:tr>
      <w:tr w14:paraId="1888EE8F" w14:textId="77777777" w:rsidTr="00280050">
        <w:tblPrEx>
          <w:tblW w:w="0" w:type="auto"/>
          <w:jc w:val="center"/>
          <w:tblLook w:val="04A0"/>
        </w:tblPrEx>
        <w:trPr>
          <w:jc w:val="center"/>
        </w:trPr>
        <w:tc>
          <w:tcPr>
            <w:tcW w:w="1701" w:type="dxa"/>
            <w:vAlign w:val="bottom"/>
          </w:tcPr>
          <w:p w:rsidR="007E18A9" w:rsidRPr="00342AAD" w:rsidP="00280050" w14:paraId="39AD8254" w14:textId="77777777">
            <w:r w:rsidRPr="00342AAD">
              <w:t>Prevalence</w:t>
            </w:r>
          </w:p>
        </w:tc>
        <w:tc>
          <w:tcPr>
            <w:tcW w:w="1386" w:type="dxa"/>
            <w:vAlign w:val="bottom"/>
          </w:tcPr>
          <w:p w:rsidR="007E18A9" w:rsidRPr="00342AAD" w:rsidP="00280050" w14:paraId="506D93BA" w14:textId="77777777">
            <w:pPr>
              <w:jc w:val="center"/>
            </w:pPr>
            <w:r w:rsidRPr="00342AAD">
              <w:t>.01</w:t>
            </w:r>
          </w:p>
        </w:tc>
        <w:tc>
          <w:tcPr>
            <w:tcW w:w="2115" w:type="dxa"/>
            <w:vAlign w:val="bottom"/>
          </w:tcPr>
          <w:p w:rsidR="007E18A9" w:rsidRPr="00342AAD" w:rsidP="00280050" w14:paraId="16C91DCA" w14:textId="77777777">
            <w:pPr>
              <w:jc w:val="center"/>
            </w:pPr>
            <w:r w:rsidRPr="00342AAD">
              <w:t>.02</w:t>
            </w:r>
          </w:p>
        </w:tc>
        <w:tc>
          <w:tcPr>
            <w:tcW w:w="1714" w:type="dxa"/>
            <w:vAlign w:val="bottom"/>
          </w:tcPr>
          <w:p w:rsidR="007E18A9" w:rsidRPr="00342AAD" w:rsidP="00280050" w14:paraId="3C889258" w14:textId="77777777">
            <w:pPr>
              <w:jc w:val="center"/>
            </w:pPr>
            <w:r w:rsidRPr="00342AAD">
              <w:t>.03</w:t>
            </w:r>
          </w:p>
        </w:tc>
        <w:tc>
          <w:tcPr>
            <w:tcW w:w="1714" w:type="dxa"/>
            <w:vAlign w:val="bottom"/>
          </w:tcPr>
          <w:p w:rsidR="007E18A9" w:rsidRPr="00342AAD" w:rsidP="00280050" w14:paraId="5E630A24" w14:textId="77777777">
            <w:pPr>
              <w:jc w:val="center"/>
            </w:pPr>
            <w:r w:rsidRPr="00342AAD">
              <w:t>.05</w:t>
            </w:r>
          </w:p>
        </w:tc>
      </w:tr>
      <w:tr w14:paraId="43573EF5" w14:textId="77777777" w:rsidTr="00280050">
        <w:tblPrEx>
          <w:tblW w:w="0" w:type="auto"/>
          <w:jc w:val="center"/>
          <w:tblLook w:val="04A0"/>
        </w:tblPrEx>
        <w:trPr>
          <w:jc w:val="center"/>
        </w:trPr>
        <w:tc>
          <w:tcPr>
            <w:tcW w:w="1701" w:type="dxa"/>
            <w:tcBorders>
              <w:bottom w:val="nil"/>
            </w:tcBorders>
            <w:vAlign w:val="bottom"/>
          </w:tcPr>
          <w:p w:rsidR="007E18A9" w:rsidRPr="00342AAD" w:rsidP="00280050" w14:paraId="58349181" w14:textId="77777777">
            <w:pPr>
              <w:jc w:val="center"/>
            </w:pPr>
            <w:r w:rsidRPr="00342AAD">
              <w:t>3% (.03)</w:t>
            </w:r>
          </w:p>
        </w:tc>
        <w:tc>
          <w:tcPr>
            <w:tcW w:w="1386" w:type="dxa"/>
            <w:tcBorders>
              <w:bottom w:val="nil"/>
            </w:tcBorders>
            <w:vAlign w:val="bottom"/>
          </w:tcPr>
          <w:p w:rsidR="007E18A9" w:rsidRPr="00342AAD" w:rsidP="00280050" w14:paraId="73BEEC7C" w14:textId="77777777">
            <w:pPr>
              <w:jc w:val="center"/>
            </w:pPr>
            <w:r w:rsidRPr="00342AAD">
              <w:t>1,118</w:t>
            </w:r>
          </w:p>
        </w:tc>
        <w:tc>
          <w:tcPr>
            <w:tcW w:w="2115" w:type="dxa"/>
            <w:tcBorders>
              <w:bottom w:val="nil"/>
            </w:tcBorders>
            <w:vAlign w:val="bottom"/>
          </w:tcPr>
          <w:p w:rsidR="007E18A9" w:rsidRPr="00342AAD" w:rsidP="00280050" w14:paraId="7E833D17" w14:textId="77777777">
            <w:pPr>
              <w:jc w:val="center"/>
            </w:pPr>
            <w:r w:rsidRPr="00342AAD">
              <w:t>NA</w:t>
            </w:r>
          </w:p>
        </w:tc>
        <w:tc>
          <w:tcPr>
            <w:tcW w:w="1714" w:type="dxa"/>
            <w:tcBorders>
              <w:bottom w:val="nil"/>
            </w:tcBorders>
            <w:vAlign w:val="bottom"/>
          </w:tcPr>
          <w:p w:rsidR="007E18A9" w:rsidRPr="00342AAD" w:rsidP="00280050" w14:paraId="0BCB98DD" w14:textId="77777777">
            <w:pPr>
              <w:jc w:val="center"/>
            </w:pPr>
            <w:r w:rsidRPr="00342AAD">
              <w:t>NA</w:t>
            </w:r>
          </w:p>
        </w:tc>
        <w:tc>
          <w:tcPr>
            <w:tcW w:w="1714" w:type="dxa"/>
            <w:tcBorders>
              <w:bottom w:val="nil"/>
            </w:tcBorders>
            <w:vAlign w:val="bottom"/>
          </w:tcPr>
          <w:p w:rsidR="007E18A9" w:rsidRPr="00342AAD" w:rsidP="00280050" w14:paraId="1CB4135B" w14:textId="77777777">
            <w:pPr>
              <w:jc w:val="center"/>
            </w:pPr>
            <w:r w:rsidRPr="00342AAD">
              <w:t>NA</w:t>
            </w:r>
          </w:p>
        </w:tc>
      </w:tr>
      <w:tr w14:paraId="680E9DA2" w14:textId="77777777" w:rsidTr="00280050">
        <w:tblPrEx>
          <w:tblW w:w="0" w:type="auto"/>
          <w:jc w:val="center"/>
          <w:tblLook w:val="04A0"/>
        </w:tblPrEx>
        <w:trPr>
          <w:jc w:val="center"/>
        </w:trPr>
        <w:tc>
          <w:tcPr>
            <w:tcW w:w="1701" w:type="dxa"/>
            <w:tcBorders>
              <w:top w:val="nil"/>
              <w:bottom w:val="nil"/>
            </w:tcBorders>
            <w:vAlign w:val="bottom"/>
          </w:tcPr>
          <w:p w:rsidR="007E18A9" w:rsidRPr="00342AAD" w:rsidP="00280050" w14:paraId="05171FFD" w14:textId="77777777">
            <w:pPr>
              <w:jc w:val="center"/>
            </w:pPr>
            <w:r w:rsidRPr="00342AAD">
              <w:t>5% (.05)</w:t>
            </w:r>
          </w:p>
        </w:tc>
        <w:tc>
          <w:tcPr>
            <w:tcW w:w="1386" w:type="dxa"/>
            <w:tcBorders>
              <w:top w:val="nil"/>
              <w:bottom w:val="nil"/>
            </w:tcBorders>
            <w:vAlign w:val="bottom"/>
          </w:tcPr>
          <w:p w:rsidR="007E18A9" w:rsidRPr="00342AAD" w:rsidP="00280050" w14:paraId="6332DE5C" w14:textId="77777777">
            <w:pPr>
              <w:jc w:val="center"/>
            </w:pPr>
            <w:r w:rsidRPr="00342AAD">
              <w:t>1,825</w:t>
            </w:r>
          </w:p>
        </w:tc>
        <w:tc>
          <w:tcPr>
            <w:tcW w:w="2115" w:type="dxa"/>
            <w:tcBorders>
              <w:top w:val="nil"/>
              <w:bottom w:val="nil"/>
            </w:tcBorders>
            <w:vAlign w:val="bottom"/>
          </w:tcPr>
          <w:p w:rsidR="007E18A9" w:rsidRPr="00342AAD" w:rsidP="00280050" w14:paraId="31896B21" w14:textId="77777777">
            <w:pPr>
              <w:jc w:val="center"/>
            </w:pPr>
            <w:r w:rsidRPr="00342AAD">
              <w:t>457</w:t>
            </w:r>
          </w:p>
        </w:tc>
        <w:tc>
          <w:tcPr>
            <w:tcW w:w="1714" w:type="dxa"/>
            <w:tcBorders>
              <w:top w:val="nil"/>
              <w:bottom w:val="nil"/>
            </w:tcBorders>
            <w:vAlign w:val="bottom"/>
          </w:tcPr>
          <w:p w:rsidR="007E18A9" w:rsidRPr="00342AAD" w:rsidP="00280050" w14:paraId="7FDFA68E" w14:textId="77777777">
            <w:pPr>
              <w:jc w:val="center"/>
            </w:pPr>
            <w:r w:rsidRPr="00342AAD">
              <w:t>203</w:t>
            </w:r>
          </w:p>
        </w:tc>
        <w:tc>
          <w:tcPr>
            <w:tcW w:w="1714" w:type="dxa"/>
            <w:tcBorders>
              <w:top w:val="nil"/>
              <w:bottom w:val="nil"/>
            </w:tcBorders>
            <w:vAlign w:val="bottom"/>
          </w:tcPr>
          <w:p w:rsidR="007E18A9" w:rsidRPr="00342AAD" w:rsidP="00280050" w14:paraId="4205800F" w14:textId="77777777">
            <w:pPr>
              <w:jc w:val="center"/>
            </w:pPr>
            <w:r w:rsidRPr="00342AAD">
              <w:t>NA</w:t>
            </w:r>
          </w:p>
        </w:tc>
      </w:tr>
      <w:tr w14:paraId="2FF1A96F" w14:textId="77777777" w:rsidTr="00280050">
        <w:tblPrEx>
          <w:tblW w:w="0" w:type="auto"/>
          <w:jc w:val="center"/>
          <w:tblLook w:val="04A0"/>
        </w:tblPrEx>
        <w:trPr>
          <w:jc w:val="center"/>
        </w:trPr>
        <w:tc>
          <w:tcPr>
            <w:tcW w:w="1701" w:type="dxa"/>
            <w:tcBorders>
              <w:top w:val="nil"/>
              <w:bottom w:val="nil"/>
            </w:tcBorders>
            <w:vAlign w:val="bottom"/>
          </w:tcPr>
          <w:p w:rsidR="007E18A9" w:rsidRPr="00342AAD" w:rsidP="00280050" w14:paraId="13C2360F" w14:textId="77777777">
            <w:pPr>
              <w:jc w:val="center"/>
            </w:pPr>
            <w:r w:rsidRPr="00342AAD">
              <w:t>10% (.10)</w:t>
            </w:r>
          </w:p>
        </w:tc>
        <w:tc>
          <w:tcPr>
            <w:tcW w:w="1386" w:type="dxa"/>
            <w:tcBorders>
              <w:top w:val="nil"/>
              <w:bottom w:val="nil"/>
            </w:tcBorders>
            <w:vAlign w:val="bottom"/>
          </w:tcPr>
          <w:p w:rsidR="007E18A9" w:rsidRPr="00342AAD" w:rsidP="00280050" w14:paraId="1CA087A3" w14:textId="77777777">
            <w:pPr>
              <w:jc w:val="center"/>
            </w:pPr>
            <w:r w:rsidRPr="00342AAD">
              <w:t>3,458</w:t>
            </w:r>
          </w:p>
        </w:tc>
        <w:tc>
          <w:tcPr>
            <w:tcW w:w="2115" w:type="dxa"/>
            <w:tcBorders>
              <w:top w:val="nil"/>
              <w:bottom w:val="nil"/>
            </w:tcBorders>
            <w:vAlign w:val="bottom"/>
          </w:tcPr>
          <w:p w:rsidR="007E18A9" w:rsidRPr="00342AAD" w:rsidP="00280050" w14:paraId="558035CE" w14:textId="77777777">
            <w:pPr>
              <w:jc w:val="center"/>
            </w:pPr>
            <w:r w:rsidRPr="00342AAD">
              <w:t>865</w:t>
            </w:r>
          </w:p>
        </w:tc>
        <w:tc>
          <w:tcPr>
            <w:tcW w:w="1714" w:type="dxa"/>
            <w:tcBorders>
              <w:top w:val="nil"/>
              <w:bottom w:val="nil"/>
            </w:tcBorders>
            <w:vAlign w:val="bottom"/>
          </w:tcPr>
          <w:p w:rsidR="007E18A9" w:rsidRPr="00342AAD" w:rsidP="00280050" w14:paraId="329D0584" w14:textId="77777777">
            <w:pPr>
              <w:jc w:val="center"/>
            </w:pPr>
            <w:r w:rsidRPr="00342AAD">
              <w:t>385</w:t>
            </w:r>
          </w:p>
        </w:tc>
        <w:tc>
          <w:tcPr>
            <w:tcW w:w="1714" w:type="dxa"/>
            <w:tcBorders>
              <w:top w:val="nil"/>
              <w:bottom w:val="nil"/>
            </w:tcBorders>
            <w:vAlign w:val="bottom"/>
          </w:tcPr>
          <w:p w:rsidR="007E18A9" w:rsidRPr="00342AAD" w:rsidP="00280050" w14:paraId="4CE95F16" w14:textId="77777777">
            <w:pPr>
              <w:jc w:val="center"/>
            </w:pPr>
            <w:r w:rsidRPr="00342AAD">
              <w:t>139</w:t>
            </w:r>
          </w:p>
        </w:tc>
      </w:tr>
      <w:tr w14:paraId="7EE89647" w14:textId="77777777" w:rsidTr="00280050">
        <w:tblPrEx>
          <w:tblW w:w="0" w:type="auto"/>
          <w:jc w:val="center"/>
          <w:tblLook w:val="04A0"/>
        </w:tblPrEx>
        <w:trPr>
          <w:jc w:val="center"/>
        </w:trPr>
        <w:tc>
          <w:tcPr>
            <w:tcW w:w="1701" w:type="dxa"/>
            <w:tcBorders>
              <w:top w:val="nil"/>
              <w:bottom w:val="nil"/>
            </w:tcBorders>
            <w:vAlign w:val="bottom"/>
          </w:tcPr>
          <w:p w:rsidR="007E18A9" w:rsidRPr="00342AAD" w:rsidP="00280050" w14:paraId="64FDC404" w14:textId="77777777">
            <w:pPr>
              <w:jc w:val="center"/>
            </w:pPr>
            <w:r w:rsidRPr="00342AAD">
              <w:t>15% (.15)</w:t>
            </w:r>
          </w:p>
        </w:tc>
        <w:tc>
          <w:tcPr>
            <w:tcW w:w="1386" w:type="dxa"/>
            <w:tcBorders>
              <w:top w:val="nil"/>
              <w:bottom w:val="nil"/>
            </w:tcBorders>
            <w:vAlign w:val="bottom"/>
          </w:tcPr>
          <w:p w:rsidR="007E18A9" w:rsidRPr="00342AAD" w:rsidP="00280050" w14:paraId="7655AC3C" w14:textId="77777777">
            <w:pPr>
              <w:jc w:val="center"/>
            </w:pPr>
            <w:r w:rsidRPr="00342AAD">
              <w:t>4,899</w:t>
            </w:r>
          </w:p>
        </w:tc>
        <w:tc>
          <w:tcPr>
            <w:tcW w:w="2115" w:type="dxa"/>
            <w:tcBorders>
              <w:top w:val="nil"/>
              <w:bottom w:val="nil"/>
            </w:tcBorders>
            <w:vAlign w:val="bottom"/>
          </w:tcPr>
          <w:p w:rsidR="007E18A9" w:rsidRPr="00342AAD" w:rsidP="00280050" w14:paraId="4FBD7162" w14:textId="77777777">
            <w:pPr>
              <w:jc w:val="center"/>
            </w:pPr>
            <w:r w:rsidRPr="00342AAD">
              <w:t>1,225</w:t>
            </w:r>
          </w:p>
        </w:tc>
        <w:tc>
          <w:tcPr>
            <w:tcW w:w="1714" w:type="dxa"/>
            <w:tcBorders>
              <w:top w:val="nil"/>
              <w:bottom w:val="nil"/>
            </w:tcBorders>
            <w:vAlign w:val="bottom"/>
          </w:tcPr>
          <w:p w:rsidR="007E18A9" w:rsidRPr="00342AAD" w:rsidP="00280050" w14:paraId="31B3928C" w14:textId="77777777">
            <w:pPr>
              <w:jc w:val="center"/>
            </w:pPr>
            <w:r w:rsidRPr="00342AAD">
              <w:t>545</w:t>
            </w:r>
          </w:p>
        </w:tc>
        <w:tc>
          <w:tcPr>
            <w:tcW w:w="1714" w:type="dxa"/>
            <w:tcBorders>
              <w:top w:val="nil"/>
              <w:bottom w:val="nil"/>
            </w:tcBorders>
            <w:vAlign w:val="bottom"/>
          </w:tcPr>
          <w:p w:rsidR="007E18A9" w:rsidRPr="00342AAD" w:rsidP="00280050" w14:paraId="5109C572" w14:textId="77777777">
            <w:pPr>
              <w:jc w:val="center"/>
            </w:pPr>
            <w:r w:rsidRPr="00342AAD">
              <w:t>196</w:t>
            </w:r>
          </w:p>
        </w:tc>
      </w:tr>
      <w:tr w14:paraId="40561A64" w14:textId="77777777" w:rsidTr="00280050">
        <w:tblPrEx>
          <w:tblW w:w="0" w:type="auto"/>
          <w:jc w:val="center"/>
          <w:tblLook w:val="04A0"/>
        </w:tblPrEx>
        <w:trPr>
          <w:jc w:val="center"/>
        </w:trPr>
        <w:tc>
          <w:tcPr>
            <w:tcW w:w="1701" w:type="dxa"/>
            <w:tcBorders>
              <w:top w:val="nil"/>
              <w:bottom w:val="nil"/>
            </w:tcBorders>
            <w:vAlign w:val="bottom"/>
          </w:tcPr>
          <w:p w:rsidR="007E18A9" w:rsidRPr="00342AAD" w:rsidP="00280050" w14:paraId="3BDA2944" w14:textId="77777777">
            <w:pPr>
              <w:jc w:val="center"/>
            </w:pPr>
            <w:r w:rsidRPr="00342AAD">
              <w:t>20% (.20)</w:t>
            </w:r>
          </w:p>
        </w:tc>
        <w:tc>
          <w:tcPr>
            <w:tcW w:w="1386" w:type="dxa"/>
            <w:tcBorders>
              <w:top w:val="nil"/>
              <w:bottom w:val="nil"/>
            </w:tcBorders>
            <w:vAlign w:val="bottom"/>
          </w:tcPr>
          <w:p w:rsidR="007E18A9" w:rsidRPr="00342AAD" w:rsidP="00280050" w14:paraId="3B6DD8C4" w14:textId="77777777">
            <w:pPr>
              <w:jc w:val="center"/>
            </w:pPr>
            <w:r w:rsidRPr="00342AAD">
              <w:t>6,146</w:t>
            </w:r>
          </w:p>
        </w:tc>
        <w:tc>
          <w:tcPr>
            <w:tcW w:w="2115" w:type="dxa"/>
            <w:tcBorders>
              <w:top w:val="nil"/>
              <w:bottom w:val="nil"/>
            </w:tcBorders>
            <w:vAlign w:val="bottom"/>
          </w:tcPr>
          <w:p w:rsidR="007E18A9" w:rsidRPr="00342AAD" w:rsidP="00280050" w14:paraId="0021A07D" w14:textId="77777777">
            <w:pPr>
              <w:jc w:val="center"/>
            </w:pPr>
            <w:r w:rsidRPr="00342AAD">
              <w:t>1,537</w:t>
            </w:r>
          </w:p>
        </w:tc>
        <w:tc>
          <w:tcPr>
            <w:tcW w:w="1714" w:type="dxa"/>
            <w:tcBorders>
              <w:top w:val="nil"/>
              <w:bottom w:val="nil"/>
            </w:tcBorders>
            <w:vAlign w:val="bottom"/>
          </w:tcPr>
          <w:p w:rsidR="007E18A9" w:rsidRPr="00342AAD" w:rsidP="00280050" w14:paraId="25168140" w14:textId="77777777">
            <w:pPr>
              <w:jc w:val="center"/>
            </w:pPr>
            <w:r w:rsidRPr="00342AAD">
              <w:t>683</w:t>
            </w:r>
          </w:p>
        </w:tc>
        <w:tc>
          <w:tcPr>
            <w:tcW w:w="1714" w:type="dxa"/>
            <w:tcBorders>
              <w:top w:val="nil"/>
              <w:bottom w:val="nil"/>
            </w:tcBorders>
            <w:vAlign w:val="bottom"/>
          </w:tcPr>
          <w:p w:rsidR="007E18A9" w:rsidRPr="00342AAD" w:rsidP="00280050" w14:paraId="6B6943AC" w14:textId="77777777">
            <w:pPr>
              <w:jc w:val="center"/>
            </w:pPr>
            <w:r w:rsidRPr="00342AAD">
              <w:t>246</w:t>
            </w:r>
          </w:p>
        </w:tc>
      </w:tr>
      <w:tr w14:paraId="39A02A8B" w14:textId="77777777" w:rsidTr="00280050">
        <w:tblPrEx>
          <w:tblW w:w="0" w:type="auto"/>
          <w:jc w:val="center"/>
          <w:tblLook w:val="04A0"/>
        </w:tblPrEx>
        <w:trPr>
          <w:jc w:val="center"/>
        </w:trPr>
        <w:tc>
          <w:tcPr>
            <w:tcW w:w="1701" w:type="dxa"/>
            <w:tcBorders>
              <w:top w:val="nil"/>
            </w:tcBorders>
            <w:vAlign w:val="bottom"/>
          </w:tcPr>
          <w:p w:rsidR="007E18A9" w:rsidRPr="00342AAD" w:rsidP="00280050" w14:paraId="423F4060" w14:textId="77777777">
            <w:pPr>
              <w:jc w:val="center"/>
            </w:pPr>
            <w:r w:rsidRPr="00342AAD">
              <w:t>25% (.25)</w:t>
            </w:r>
          </w:p>
        </w:tc>
        <w:tc>
          <w:tcPr>
            <w:tcW w:w="1386" w:type="dxa"/>
            <w:tcBorders>
              <w:top w:val="nil"/>
            </w:tcBorders>
            <w:vAlign w:val="bottom"/>
          </w:tcPr>
          <w:p w:rsidR="007E18A9" w:rsidRPr="00342AAD" w:rsidP="00280050" w14:paraId="0F9578BF" w14:textId="77777777">
            <w:pPr>
              <w:jc w:val="center"/>
            </w:pPr>
            <w:r w:rsidRPr="00342AAD">
              <w:t>7,203</w:t>
            </w:r>
          </w:p>
        </w:tc>
        <w:tc>
          <w:tcPr>
            <w:tcW w:w="2115" w:type="dxa"/>
            <w:tcBorders>
              <w:top w:val="nil"/>
            </w:tcBorders>
            <w:vAlign w:val="bottom"/>
          </w:tcPr>
          <w:p w:rsidR="007E18A9" w:rsidRPr="00342AAD" w:rsidP="00280050" w14:paraId="7445F101" w14:textId="77777777">
            <w:pPr>
              <w:jc w:val="center"/>
            </w:pPr>
            <w:r w:rsidRPr="00342AAD">
              <w:t>1,801</w:t>
            </w:r>
          </w:p>
        </w:tc>
        <w:tc>
          <w:tcPr>
            <w:tcW w:w="1714" w:type="dxa"/>
            <w:tcBorders>
              <w:top w:val="nil"/>
            </w:tcBorders>
            <w:vAlign w:val="bottom"/>
          </w:tcPr>
          <w:p w:rsidR="007E18A9" w:rsidRPr="00342AAD" w:rsidP="00280050" w14:paraId="3A3BA75A" w14:textId="77777777">
            <w:pPr>
              <w:jc w:val="center"/>
            </w:pPr>
            <w:r w:rsidRPr="00342AAD">
              <w:t>801</w:t>
            </w:r>
          </w:p>
        </w:tc>
        <w:tc>
          <w:tcPr>
            <w:tcW w:w="1714" w:type="dxa"/>
            <w:tcBorders>
              <w:top w:val="nil"/>
            </w:tcBorders>
            <w:vAlign w:val="bottom"/>
          </w:tcPr>
          <w:p w:rsidR="007E18A9" w:rsidRPr="00342AAD" w:rsidP="00280050" w14:paraId="1D90086E" w14:textId="77777777">
            <w:pPr>
              <w:jc w:val="center"/>
            </w:pPr>
            <w:r w:rsidRPr="00342AAD">
              <w:t>289</w:t>
            </w:r>
          </w:p>
        </w:tc>
      </w:tr>
    </w:tbl>
    <w:p w:rsidR="007E18A9" w:rsidRPr="00342AAD" w:rsidP="007E18A9" w14:paraId="508CF461" w14:textId="77777777">
      <w:r w:rsidRPr="00342AAD">
        <w:t xml:space="preserve">        </w:t>
      </w:r>
      <w:r w:rsidRPr="00342AAD">
        <w:rPr>
          <w:i/>
        </w:rPr>
        <w:t>Z</w:t>
      </w:r>
      <w:r w:rsidRPr="00342AAD">
        <w:t xml:space="preserve"> = 1.96.</w:t>
      </w:r>
    </w:p>
    <w:p w:rsidR="007E18A9" w:rsidRPr="00342AAD" w:rsidP="007E18A9" w14:paraId="4A881DEE" w14:textId="77777777">
      <w:pPr>
        <w:tabs>
          <w:tab w:val="left" w:pos="6536"/>
        </w:tabs>
        <w:rPr>
          <w:rFonts w:eastAsia="Calibri"/>
          <w:b/>
        </w:rPr>
      </w:pPr>
    </w:p>
    <w:p w:rsidR="00AC02AD" w14:paraId="1FBBB85E" w14:textId="7C9F80F8">
      <w:pPr>
        <w:spacing w:line="240" w:lineRule="auto"/>
        <w:rPr>
          <w:rFonts w:eastAsia="Calibri"/>
          <w:b/>
        </w:rPr>
      </w:pPr>
      <w:r>
        <w:rPr>
          <w:rFonts w:eastAsia="Calibri"/>
          <w:b/>
        </w:rPr>
        <w:br w:type="page"/>
      </w:r>
    </w:p>
    <w:p w:rsidR="0059298C" w:rsidRPr="0064279C" w:rsidP="00E3616E" w14:paraId="4213133A" w14:textId="268809A2">
      <w:pPr>
        <w:spacing w:after="240"/>
        <w:jc w:val="center"/>
        <w:rPr>
          <w:rFonts w:eastAsia="Calibri"/>
          <w:b/>
        </w:rPr>
      </w:pPr>
      <w:r w:rsidRPr="0064279C">
        <w:rPr>
          <w:rFonts w:eastAsia="Calibri"/>
          <w:b/>
        </w:rPr>
        <w:t xml:space="preserve">Study 1: </w:t>
      </w:r>
      <w:r w:rsidRPr="0064279C" w:rsidR="00AC02AD">
        <w:rPr>
          <w:rFonts w:eastAsia="Calibri"/>
          <w:b/>
        </w:rPr>
        <w:t>Statistical Analysis Plan</w:t>
      </w:r>
    </w:p>
    <w:p w:rsidR="00AC02AD" w:rsidP="006408E0" w14:paraId="1FDDBEEF" w14:textId="096779CB">
      <w:r>
        <w:t>The analyses will focus on drug prevalence (presence/absence</w:t>
      </w:r>
      <w:r w:rsidR="00357EB8">
        <w:t>)</w:t>
      </w:r>
      <w:r>
        <w:t xml:space="preserve">. </w:t>
      </w:r>
      <w:r w:rsidR="00162D50">
        <w:t>P</w:t>
      </w:r>
      <w:r>
        <w:t>revalence of alcohol and other drugs will be</w:t>
      </w:r>
      <w:r w:rsidR="00004A4A">
        <w:t xml:space="preserve"> estimated for the total sample and</w:t>
      </w:r>
      <w:r>
        <w:t xml:space="preserve"> broken out by a variety of variables and combinations of variables</w:t>
      </w:r>
      <w:r w:rsidR="00004A4A">
        <w:t xml:space="preserve"> of interest to NHTSA</w:t>
      </w:r>
      <w:r>
        <w:t>, including but not limited to:</w:t>
      </w:r>
    </w:p>
    <w:p w:rsidR="00AC02AD" w:rsidRPr="00DF6744" w:rsidP="00AC02AD" w14:paraId="18F29937" w14:textId="77777777">
      <w:pPr>
        <w:pStyle w:val="ListParagraph"/>
        <w:numPr>
          <w:ilvl w:val="0"/>
          <w:numId w:val="17"/>
        </w:numPr>
        <w:spacing w:after="0" w:line="240" w:lineRule="auto"/>
        <w:contextualSpacing/>
        <w:rPr>
          <w:rFonts w:ascii="Times New Roman" w:hAnsi="Times New Roman" w:cs="Times New Roman"/>
          <w:color w:val="000000"/>
          <w:sz w:val="24"/>
          <w:szCs w:val="24"/>
        </w:rPr>
      </w:pPr>
      <w:r w:rsidRPr="00DF6744">
        <w:rPr>
          <w:rFonts w:ascii="Times New Roman" w:hAnsi="Times New Roman" w:cs="Times New Roman"/>
          <w:color w:val="000000"/>
          <w:sz w:val="24"/>
          <w:szCs w:val="24"/>
        </w:rPr>
        <w:t>Individual drugs and metabolites</w:t>
      </w:r>
    </w:p>
    <w:p w:rsidR="00AC02AD" w:rsidRPr="00DF6744" w:rsidP="00AC02AD" w14:paraId="2DEC83E9" w14:textId="77777777">
      <w:pPr>
        <w:pStyle w:val="ListParagraph"/>
        <w:numPr>
          <w:ilvl w:val="0"/>
          <w:numId w:val="17"/>
        </w:numPr>
        <w:spacing w:after="0" w:line="240" w:lineRule="auto"/>
        <w:contextualSpacing/>
        <w:rPr>
          <w:rFonts w:ascii="Times New Roman" w:hAnsi="Times New Roman" w:cs="Times New Roman"/>
          <w:color w:val="000000"/>
          <w:sz w:val="24"/>
          <w:szCs w:val="24"/>
        </w:rPr>
      </w:pPr>
      <w:r w:rsidRPr="00DF6744">
        <w:rPr>
          <w:rFonts w:ascii="Times New Roman" w:hAnsi="Times New Roman" w:cs="Times New Roman"/>
          <w:color w:val="000000"/>
          <w:sz w:val="24"/>
          <w:szCs w:val="24"/>
        </w:rPr>
        <w:t xml:space="preserve">Drug class </w:t>
      </w:r>
    </w:p>
    <w:p w:rsidR="00AC02AD" w:rsidRPr="00DF6744" w:rsidP="00AC02AD" w14:paraId="658D4C92" w14:textId="77777777">
      <w:pPr>
        <w:pStyle w:val="ListParagraph"/>
        <w:numPr>
          <w:ilvl w:val="0"/>
          <w:numId w:val="17"/>
        </w:numPr>
        <w:spacing w:after="0" w:line="240" w:lineRule="auto"/>
        <w:contextualSpacing/>
        <w:rPr>
          <w:rFonts w:ascii="Times New Roman" w:hAnsi="Times New Roman" w:cs="Times New Roman"/>
          <w:color w:val="000000"/>
          <w:sz w:val="24"/>
          <w:szCs w:val="24"/>
        </w:rPr>
      </w:pPr>
      <w:r w:rsidRPr="00DF6744">
        <w:rPr>
          <w:rFonts w:ascii="Times New Roman" w:hAnsi="Times New Roman" w:cs="Times New Roman"/>
          <w:color w:val="000000"/>
          <w:sz w:val="24"/>
          <w:szCs w:val="24"/>
        </w:rPr>
        <w:t>Age group</w:t>
      </w:r>
    </w:p>
    <w:p w:rsidR="00AC02AD" w:rsidRPr="00DF6744" w:rsidP="00AC02AD" w14:paraId="78BF6F74" w14:textId="78301DAC">
      <w:pPr>
        <w:pStyle w:val="ListParagraph"/>
        <w:numPr>
          <w:ilvl w:val="0"/>
          <w:numId w:val="17"/>
        </w:numPr>
        <w:spacing w:after="0" w:line="240" w:lineRule="auto"/>
        <w:contextualSpacing/>
        <w:rPr>
          <w:rFonts w:ascii="Times New Roman" w:hAnsi="Times New Roman" w:cs="Times New Roman"/>
          <w:color w:val="000000"/>
          <w:sz w:val="24"/>
          <w:szCs w:val="24"/>
        </w:rPr>
      </w:pPr>
      <w:r w:rsidRPr="00DF6744">
        <w:rPr>
          <w:rFonts w:ascii="Times New Roman" w:hAnsi="Times New Roman" w:cs="Times New Roman"/>
          <w:color w:val="000000"/>
          <w:sz w:val="24"/>
          <w:szCs w:val="24"/>
        </w:rPr>
        <w:t>Sex</w:t>
      </w:r>
    </w:p>
    <w:p w:rsidR="00AC02AD" w:rsidRPr="00DF6744" w:rsidP="00AC02AD" w14:paraId="63239CFD" w14:textId="77777777">
      <w:pPr>
        <w:pStyle w:val="ListParagraph"/>
        <w:numPr>
          <w:ilvl w:val="0"/>
          <w:numId w:val="17"/>
        </w:numPr>
        <w:spacing w:after="0" w:line="240" w:lineRule="auto"/>
        <w:contextualSpacing/>
        <w:rPr>
          <w:rFonts w:ascii="Times New Roman" w:hAnsi="Times New Roman" w:cs="Times New Roman"/>
          <w:color w:val="000000"/>
          <w:sz w:val="24"/>
          <w:szCs w:val="24"/>
        </w:rPr>
      </w:pPr>
      <w:r w:rsidRPr="00DF6744">
        <w:rPr>
          <w:rFonts w:ascii="Times New Roman" w:hAnsi="Times New Roman" w:cs="Times New Roman"/>
          <w:color w:val="000000"/>
          <w:sz w:val="24"/>
          <w:szCs w:val="24"/>
        </w:rPr>
        <w:t>Race/Ethnicity</w:t>
      </w:r>
    </w:p>
    <w:p w:rsidR="00AC02AD" w:rsidRPr="00DF6744" w:rsidP="00AC02AD" w14:paraId="684A8CD2" w14:textId="77777777">
      <w:pPr>
        <w:pStyle w:val="ListParagraph"/>
        <w:numPr>
          <w:ilvl w:val="0"/>
          <w:numId w:val="17"/>
        </w:numPr>
        <w:spacing w:after="0" w:line="240" w:lineRule="auto"/>
        <w:contextualSpacing/>
        <w:rPr>
          <w:rFonts w:ascii="Times New Roman" w:hAnsi="Times New Roman" w:cs="Times New Roman"/>
          <w:color w:val="000000"/>
          <w:sz w:val="24"/>
          <w:szCs w:val="24"/>
        </w:rPr>
      </w:pPr>
      <w:r w:rsidRPr="00DF6744">
        <w:rPr>
          <w:rFonts w:ascii="Times New Roman" w:hAnsi="Times New Roman" w:cs="Times New Roman"/>
          <w:color w:val="000000"/>
          <w:sz w:val="24"/>
          <w:szCs w:val="24"/>
        </w:rPr>
        <w:t>Vehicle Type</w:t>
      </w:r>
    </w:p>
    <w:p w:rsidR="00AC02AD" w:rsidRPr="00DF6744" w:rsidP="00AC02AD" w14:paraId="0F09383F" w14:textId="77777777">
      <w:pPr>
        <w:pStyle w:val="ListParagraph"/>
        <w:numPr>
          <w:ilvl w:val="0"/>
          <w:numId w:val="17"/>
        </w:numPr>
        <w:spacing w:after="0" w:line="240" w:lineRule="auto"/>
        <w:contextualSpacing/>
        <w:rPr>
          <w:rFonts w:ascii="Times New Roman" w:hAnsi="Times New Roman" w:cs="Times New Roman"/>
          <w:color w:val="000000"/>
          <w:sz w:val="24"/>
          <w:szCs w:val="24"/>
        </w:rPr>
      </w:pPr>
      <w:r w:rsidRPr="00DF6744">
        <w:rPr>
          <w:rFonts w:ascii="Times New Roman" w:hAnsi="Times New Roman" w:cs="Times New Roman"/>
          <w:color w:val="000000"/>
          <w:sz w:val="24"/>
          <w:szCs w:val="24"/>
        </w:rPr>
        <w:t>Daytime/Nighttime</w:t>
      </w:r>
    </w:p>
    <w:p w:rsidR="00AC02AD" w:rsidRPr="00D73259" w:rsidP="00AC02AD" w14:paraId="4449AE52" w14:textId="77777777">
      <w:pPr>
        <w:pStyle w:val="ListParagraph"/>
        <w:spacing w:after="0" w:line="240" w:lineRule="auto"/>
        <w:rPr>
          <w:rFonts w:ascii="Times New Roman" w:hAnsi="Times New Roman" w:cs="Times New Roman"/>
          <w:color w:val="000000"/>
          <w:sz w:val="24"/>
          <w:szCs w:val="24"/>
        </w:rPr>
      </w:pPr>
    </w:p>
    <w:p w:rsidR="00AC02AD" w:rsidP="00AC02AD" w14:paraId="792299F4" w14:textId="5F373BB9">
      <w:pPr>
        <w:spacing w:line="240" w:lineRule="auto"/>
      </w:pPr>
      <w:r>
        <w:t xml:space="preserve">Given </w:t>
      </w:r>
      <w:r w:rsidR="00D442E6">
        <w:t>Study 1</w:t>
      </w:r>
      <w:r>
        <w:t xml:space="preserve"> follows a complex sampling design, with stratification, multiple stages of selection (from PSUs to locations within PSUs to road users), and unequal probabilities of selection at different stages, estimation of prevalence will use best statistical practices for the weighted analysis of complex survey data. The complexities of the design must be reflected in the analysis to yield representative national estimates and appropriate measures of uncertainty. Failing to weight survey data often results in biased estimates of population characteristics, because certain areas have been sampled at higher rates and are thus overrepresented in the sample data relative to their presence in the population, while other areas are sampled at lower rates and are underrepresented in the sample data. Thus, the prevalence estimates will be weighted survey ratios, with the weighted </w:t>
      </w:r>
      <w:bookmarkStart w:id="30" w:name="OLE_LINK6"/>
      <w:r>
        <w:t xml:space="preserve">sum of </w:t>
      </w:r>
      <w:r w:rsidRPr="001314FA">
        <w:t>alcohol- and/or drug-positive</w:t>
      </w:r>
      <w:r>
        <w:t xml:space="preserve"> driver</w:t>
      </w:r>
      <w:r w:rsidR="006F6966">
        <w:t>s on</w:t>
      </w:r>
      <w:r>
        <w:t xml:space="preserve"> trips in the numerator and the weighted sum of all driver</w:t>
      </w:r>
      <w:r w:rsidR="006F6966">
        <w:t>s on</w:t>
      </w:r>
      <w:r>
        <w:t xml:space="preserve"> trips in the denominator</w:t>
      </w:r>
      <w:r w:rsidRPr="00DF6744">
        <w:t xml:space="preserve">. </w:t>
      </w:r>
      <w:bookmarkEnd w:id="30"/>
      <w:r w:rsidRPr="00DF6744">
        <w:t>Such ratios can also be computed for subpopulations (by demographic groups, geographic areas, etc.).</w:t>
      </w:r>
      <w:r>
        <w:t xml:space="preserve"> </w:t>
      </w:r>
      <w:r w:rsidRPr="00DF6744">
        <w:t>For example, rural prevalence would be estimated as the weighted sum of alcohol- and/or drug-positive rural driver</w:t>
      </w:r>
      <w:r w:rsidRPr="00DF6744" w:rsidR="005E0A97">
        <w:t xml:space="preserve">s on </w:t>
      </w:r>
      <w:r w:rsidRPr="00DF6744">
        <w:t>trips in the numerator and the weighted sum of all rural driver</w:t>
      </w:r>
      <w:r w:rsidRPr="00DF6744" w:rsidR="005E0A97">
        <w:t>s on</w:t>
      </w:r>
      <w:r w:rsidRPr="00DF6744">
        <w:t xml:space="preserve"> trips in the denominator.</w:t>
      </w:r>
      <w:r>
        <w:t xml:space="preserve"> Software for the analysis of complex survey data will be used to compute the weighted prevalence estimates and standard errors. The standard errors will properly account for the stratification, multiple stages of selection, and unequal inclusion probabilities.</w:t>
      </w:r>
    </w:p>
    <w:p w:rsidR="00AC02AD" w:rsidP="00ED1E08" w14:paraId="0E2394F2" w14:textId="3F790C38">
      <w:pPr>
        <w:spacing w:line="240" w:lineRule="auto"/>
        <w:rPr>
          <w:rFonts w:eastAsia="Calibri"/>
          <w:b/>
        </w:rPr>
      </w:pPr>
    </w:p>
    <w:p w:rsidR="00F9243B" w:rsidP="00F9243B" w14:paraId="7BFAD9E2" w14:textId="0B2BDAFF">
      <w:pPr>
        <w:spacing w:line="240" w:lineRule="auto"/>
      </w:pPr>
      <w:r w:rsidRPr="00DF6744">
        <w:t xml:space="preserve">Descriptive results will be provided for the various demographic </w:t>
      </w:r>
      <w:r w:rsidRPr="00DF6744" w:rsidR="00FD2F54">
        <w:t xml:space="preserve">and questionnaire </w:t>
      </w:r>
      <w:r w:rsidRPr="00DF6744">
        <w:t>information being collected. Minimal statistical analyses comparing groups will be performed to describe whether significant differences in</w:t>
      </w:r>
      <w:r w:rsidRPr="00DF6744" w:rsidR="005B2BD5">
        <w:t xml:space="preserve"> drug</w:t>
      </w:r>
      <w:r w:rsidRPr="00DF6744">
        <w:t xml:space="preserve"> </w:t>
      </w:r>
      <w:r w:rsidRPr="00DF6744" w:rsidR="00FD2F54">
        <w:t>prevalence or self-report</w:t>
      </w:r>
      <w:r w:rsidRPr="00DF6744" w:rsidR="005B2BD5">
        <w:t xml:space="preserve"> measures</w:t>
      </w:r>
      <w:r w:rsidRPr="00DF6744">
        <w:t xml:space="preserve"> exist between major subgroups of the sample (e.g., sex, age</w:t>
      </w:r>
      <w:r>
        <w:t xml:space="preserve">), but the primary focus of sampling remains the acquisition of a nationally representative sample of drivers to provide a stable estimate of </w:t>
      </w:r>
      <w:r w:rsidR="0067766F">
        <w:t>alcohol and other drug prevalence</w:t>
      </w:r>
      <w:r>
        <w:t xml:space="preserve"> at the national level.</w:t>
      </w:r>
    </w:p>
    <w:p w:rsidR="006E06A3" w:rsidP="00F35758" w14:paraId="7BFE0D4C" w14:textId="77777777">
      <w:pPr>
        <w:rPr>
          <w:b/>
          <w:bCs/>
          <w:u w:val="single"/>
        </w:rPr>
      </w:pPr>
    </w:p>
    <w:p w:rsidR="004C20CF" w14:paraId="7555D9DB" w14:textId="77777777">
      <w:pPr>
        <w:spacing w:line="240" w:lineRule="auto"/>
        <w:rPr>
          <w:b/>
          <w:bCs/>
          <w:u w:val="single"/>
        </w:rPr>
      </w:pPr>
      <w:r>
        <w:rPr>
          <w:b/>
          <w:bCs/>
          <w:u w:val="single"/>
        </w:rPr>
        <w:br w:type="page"/>
      </w:r>
    </w:p>
    <w:p w:rsidR="00F35758" w:rsidRPr="00E3616E" w:rsidP="00E3616E" w14:paraId="203E729C" w14:textId="4F6CE8FE">
      <w:pPr>
        <w:spacing w:after="240"/>
        <w:jc w:val="center"/>
        <w:rPr>
          <w:b/>
          <w:bCs/>
        </w:rPr>
      </w:pPr>
      <w:r w:rsidRPr="00E3616E">
        <w:rPr>
          <w:b/>
          <w:bCs/>
        </w:rPr>
        <w:t xml:space="preserve">Study 2: </w:t>
      </w:r>
      <w:r w:rsidRPr="00E3616E" w:rsidR="00475398">
        <w:rPr>
          <w:b/>
          <w:bCs/>
        </w:rPr>
        <w:t>Feasibility</w:t>
      </w:r>
      <w:r w:rsidRPr="00E3616E" w:rsidR="006F26AD">
        <w:rPr>
          <w:b/>
          <w:bCs/>
        </w:rPr>
        <w:t xml:space="preserve"> </w:t>
      </w:r>
      <w:r w:rsidRPr="00E3616E" w:rsidR="00910CB5">
        <w:rPr>
          <w:b/>
          <w:bCs/>
        </w:rPr>
        <w:t xml:space="preserve">Assessment </w:t>
      </w:r>
      <w:r w:rsidRPr="00E3616E" w:rsidR="001146E3">
        <w:rPr>
          <w:b/>
          <w:bCs/>
        </w:rPr>
        <w:t xml:space="preserve">to Determine the </w:t>
      </w:r>
      <w:r w:rsidRPr="00E3616E" w:rsidR="00475398">
        <w:rPr>
          <w:b/>
          <w:bCs/>
        </w:rPr>
        <w:t>V</w:t>
      </w:r>
      <w:r w:rsidRPr="00E3616E" w:rsidR="001146E3">
        <w:rPr>
          <w:b/>
          <w:bCs/>
        </w:rPr>
        <w:t>i</w:t>
      </w:r>
      <w:r w:rsidRPr="00E3616E" w:rsidR="00475398">
        <w:rPr>
          <w:b/>
          <w:bCs/>
        </w:rPr>
        <w:t>a</w:t>
      </w:r>
      <w:r w:rsidRPr="00E3616E" w:rsidR="001146E3">
        <w:rPr>
          <w:b/>
          <w:bCs/>
        </w:rPr>
        <w:t>bility of a</w:t>
      </w:r>
      <w:r w:rsidR="002B0BC6">
        <w:rPr>
          <w:b/>
          <w:bCs/>
        </w:rPr>
        <w:t xml:space="preserve"> </w:t>
      </w:r>
      <w:r w:rsidR="00C41877">
        <w:rPr>
          <w:b/>
          <w:bCs/>
        </w:rPr>
        <w:t xml:space="preserve">                                   </w:t>
      </w:r>
      <w:r w:rsidR="002B0BC6">
        <w:rPr>
          <w:b/>
          <w:bCs/>
        </w:rPr>
        <w:t>Nationwide Roadside Survey</w:t>
      </w:r>
      <w:r w:rsidRPr="00E3616E" w:rsidR="001146E3">
        <w:rPr>
          <w:b/>
          <w:bCs/>
        </w:rPr>
        <w:t xml:space="preserve"> Focusing on </w:t>
      </w:r>
      <w:r w:rsidRPr="00E3616E" w:rsidR="006F26AD">
        <w:rPr>
          <w:b/>
          <w:bCs/>
        </w:rPr>
        <w:t>ORU</w:t>
      </w:r>
      <w:r w:rsidRPr="00E3616E" w:rsidR="001146E3">
        <w:rPr>
          <w:b/>
          <w:bCs/>
        </w:rPr>
        <w:t>s</w:t>
      </w:r>
    </w:p>
    <w:p w:rsidR="003C06F3" w:rsidP="47C812E3" w14:paraId="7815ECCD" w14:textId="0CA8E822">
      <w:pPr>
        <w:spacing w:line="240" w:lineRule="auto"/>
        <w:rPr>
          <w:color w:val="000000"/>
        </w:rPr>
      </w:pPr>
      <w:r>
        <w:rPr>
          <w:color w:val="000000"/>
        </w:rPr>
        <w:t xml:space="preserve">A variety of data collection approaches will be explored to determine which yields the most appropriate data to meet NHTSA’s objectives. </w:t>
      </w:r>
      <w:r>
        <w:rPr>
          <w:color w:val="000000"/>
        </w:rPr>
        <w:t xml:space="preserve">The objective with this </w:t>
      </w:r>
      <w:r w:rsidR="00D17536">
        <w:rPr>
          <w:color w:val="000000"/>
        </w:rPr>
        <w:t xml:space="preserve">Study 2 </w:t>
      </w:r>
      <w:r w:rsidR="000478DC">
        <w:rPr>
          <w:color w:val="000000"/>
        </w:rPr>
        <w:t>feasibility assessment</w:t>
      </w:r>
      <w:r>
        <w:rPr>
          <w:color w:val="000000"/>
        </w:rPr>
        <w:t xml:space="preserve"> is not to obtain a representative sample </w:t>
      </w:r>
      <w:r w:rsidR="00712EFC">
        <w:rPr>
          <w:color w:val="000000"/>
        </w:rPr>
        <w:t>of ORUs in</w:t>
      </w:r>
      <w:r>
        <w:rPr>
          <w:color w:val="000000"/>
        </w:rPr>
        <w:t xml:space="preserve"> the </w:t>
      </w:r>
      <w:r w:rsidR="00712EFC">
        <w:rPr>
          <w:color w:val="000000"/>
        </w:rPr>
        <w:t>United</w:t>
      </w:r>
      <w:r>
        <w:rPr>
          <w:color w:val="000000"/>
        </w:rPr>
        <w:t xml:space="preserve"> States</w:t>
      </w:r>
      <w:r>
        <w:rPr>
          <w:color w:val="000000"/>
        </w:rPr>
        <w:t>, but to explore methodologies that could potentially allow for the collection of such a sample</w:t>
      </w:r>
      <w:r>
        <w:rPr>
          <w:color w:val="000000"/>
        </w:rPr>
        <w:t>.</w:t>
      </w:r>
    </w:p>
    <w:p w:rsidR="003F055A" w:rsidP="47C812E3" w14:paraId="55A494EF" w14:textId="77777777">
      <w:pPr>
        <w:spacing w:line="240" w:lineRule="auto"/>
        <w:rPr>
          <w:color w:val="000000"/>
        </w:rPr>
      </w:pPr>
    </w:p>
    <w:p w:rsidR="00176204" w:rsidP="47C812E3" w14:paraId="2A71AF5F" w14:textId="5A73D1DA">
      <w:pPr>
        <w:spacing w:line="240" w:lineRule="auto"/>
        <w:rPr>
          <w:color w:val="000000"/>
        </w:rPr>
      </w:pPr>
      <w:r>
        <w:rPr>
          <w:color w:val="000000"/>
        </w:rPr>
        <w:t>Study 2</w:t>
      </w:r>
      <w:r w:rsidR="00C862A2">
        <w:rPr>
          <w:color w:val="000000"/>
        </w:rPr>
        <w:t xml:space="preserve"> anticipates</w:t>
      </w:r>
      <w:r w:rsidR="00D23560">
        <w:rPr>
          <w:color w:val="000000"/>
        </w:rPr>
        <w:t xml:space="preserve"> </w:t>
      </w:r>
      <w:r w:rsidR="00A035E2">
        <w:rPr>
          <w:color w:val="000000"/>
        </w:rPr>
        <w:t xml:space="preserve">selecting </w:t>
      </w:r>
      <w:r w:rsidR="000E16BE">
        <w:rPr>
          <w:color w:val="000000"/>
        </w:rPr>
        <w:t xml:space="preserve">20 </w:t>
      </w:r>
      <w:r w:rsidR="00812778">
        <w:rPr>
          <w:color w:val="000000"/>
        </w:rPr>
        <w:t xml:space="preserve">new </w:t>
      </w:r>
      <w:r w:rsidR="000E16BE">
        <w:rPr>
          <w:color w:val="000000"/>
        </w:rPr>
        <w:t>sampling locations</w:t>
      </w:r>
      <w:r w:rsidR="005734EA">
        <w:rPr>
          <w:color w:val="000000"/>
        </w:rPr>
        <w:t xml:space="preserve"> (4 PSUs with 5 locations each)</w:t>
      </w:r>
      <w:r w:rsidR="00D23560">
        <w:rPr>
          <w:color w:val="000000"/>
        </w:rPr>
        <w:t>.</w:t>
      </w:r>
      <w:r w:rsidR="00C40F2F">
        <w:rPr>
          <w:color w:val="000000"/>
        </w:rPr>
        <w:t xml:space="preserve"> </w:t>
      </w:r>
      <w:r w:rsidR="003F055A">
        <w:rPr>
          <w:color w:val="000000"/>
        </w:rPr>
        <w:t>As this is a feasibility study, various strategies will be explored to yield a high number of potential participants. T</w:t>
      </w:r>
      <w:r w:rsidRPr="00981AE4" w:rsidR="00C40F2F">
        <w:rPr>
          <w:color w:val="000000"/>
        </w:rPr>
        <w:t xml:space="preserve">he exact data that will </w:t>
      </w:r>
      <w:r w:rsidRPr="00981AE4" w:rsidR="009E47B6">
        <w:rPr>
          <w:color w:val="000000"/>
        </w:rPr>
        <w:t>inform PSU selection has yet to be determined.</w:t>
      </w:r>
      <w:r w:rsidR="003F055A">
        <w:rPr>
          <w:color w:val="000000"/>
        </w:rPr>
        <w:t xml:space="preserve"> </w:t>
      </w:r>
      <w:r w:rsidR="00D344F9">
        <w:rPr>
          <w:color w:val="000000"/>
        </w:rPr>
        <w:t xml:space="preserve">For example, </w:t>
      </w:r>
      <w:r w:rsidR="00D344F9">
        <w:rPr>
          <w:color w:val="000000"/>
        </w:rPr>
        <w:t>StreetLight</w:t>
      </w:r>
      <w:r w:rsidRPr="00176204">
        <w:rPr>
          <w:color w:val="000000"/>
        </w:rPr>
        <w:t xml:space="preserve"> is a data science firm that tracks and collects mobility data. They have the capability of providing pedestrian</w:t>
      </w:r>
      <w:r>
        <w:rPr>
          <w:rStyle w:val="FootnoteReference"/>
          <w:color w:val="000000"/>
        </w:rPr>
        <w:footnoteReference w:id="8"/>
      </w:r>
      <w:r w:rsidRPr="00176204">
        <w:rPr>
          <w:color w:val="000000"/>
        </w:rPr>
        <w:t xml:space="preserve"> and </w:t>
      </w:r>
      <w:r w:rsidR="00900228">
        <w:rPr>
          <w:color w:val="000000"/>
        </w:rPr>
        <w:t>bi</w:t>
      </w:r>
      <w:r w:rsidRPr="00176204" w:rsidR="00900228">
        <w:rPr>
          <w:color w:val="000000"/>
        </w:rPr>
        <w:t>cyclist</w:t>
      </w:r>
      <w:r>
        <w:rPr>
          <w:rStyle w:val="FootnoteReference"/>
          <w:color w:val="000000"/>
        </w:rPr>
        <w:footnoteReference w:id="9"/>
      </w:r>
      <w:r w:rsidRPr="00176204">
        <w:rPr>
          <w:color w:val="000000"/>
        </w:rPr>
        <w:t xml:space="preserve"> traffic density information separately for daytime and nighttime</w:t>
      </w:r>
      <w:r w:rsidR="00981AE4">
        <w:rPr>
          <w:color w:val="000000"/>
        </w:rPr>
        <w:t xml:space="preserve"> hours</w:t>
      </w:r>
      <w:r w:rsidRPr="00176204">
        <w:rPr>
          <w:color w:val="000000"/>
        </w:rPr>
        <w:t xml:space="preserve"> that could be </w:t>
      </w:r>
      <w:r w:rsidR="00D344F9">
        <w:rPr>
          <w:color w:val="000000"/>
        </w:rPr>
        <w:t>used for selection of sampling locations</w:t>
      </w:r>
      <w:r w:rsidRPr="00176204">
        <w:rPr>
          <w:color w:val="000000"/>
        </w:rPr>
        <w:t xml:space="preserve">. </w:t>
      </w:r>
      <w:r w:rsidR="00D344F9">
        <w:rPr>
          <w:color w:val="000000"/>
        </w:rPr>
        <w:t>Another approach</w:t>
      </w:r>
      <w:r w:rsidRPr="00176204">
        <w:rPr>
          <w:color w:val="000000"/>
        </w:rPr>
        <w:t xml:space="preserve"> involves using data on ORU crashes </w:t>
      </w:r>
      <w:r w:rsidR="00D344F9">
        <w:rPr>
          <w:color w:val="000000"/>
        </w:rPr>
        <w:t xml:space="preserve">from a source such as </w:t>
      </w:r>
      <w:r w:rsidRPr="00176204">
        <w:rPr>
          <w:color w:val="000000"/>
        </w:rPr>
        <w:t xml:space="preserve">NHTSA’s Crash Investigation Sampling System (CISS) </w:t>
      </w:r>
      <w:r w:rsidR="00D344F9">
        <w:rPr>
          <w:color w:val="000000"/>
        </w:rPr>
        <w:t xml:space="preserve">which </w:t>
      </w:r>
      <w:r w:rsidRPr="00176204">
        <w:rPr>
          <w:color w:val="000000"/>
        </w:rPr>
        <w:t xml:space="preserve">contains information on whether </w:t>
      </w:r>
      <w:r w:rsidR="00D344F9">
        <w:rPr>
          <w:color w:val="000000"/>
        </w:rPr>
        <w:t>a vehicle struck</w:t>
      </w:r>
      <w:r w:rsidRPr="00176204">
        <w:rPr>
          <w:color w:val="000000"/>
        </w:rPr>
        <w:t xml:space="preserve"> a pedestrian, </w:t>
      </w:r>
      <w:r w:rsidR="00900228">
        <w:rPr>
          <w:color w:val="000000"/>
        </w:rPr>
        <w:t>bicyclist</w:t>
      </w:r>
      <w:r w:rsidRPr="00176204">
        <w:rPr>
          <w:color w:val="000000"/>
        </w:rPr>
        <w:t xml:space="preserve">, or other non-motorist, as well as GPS coordinates (latitude and longitude). </w:t>
      </w:r>
      <w:r w:rsidR="00981AE4">
        <w:rPr>
          <w:color w:val="000000"/>
        </w:rPr>
        <w:t>A combination of the two types of data will also be explored to see how site selection is affected</w:t>
      </w:r>
      <w:r w:rsidRPr="00176204">
        <w:rPr>
          <w:color w:val="000000"/>
        </w:rPr>
        <w:t>.</w:t>
      </w:r>
    </w:p>
    <w:p w:rsidR="00176204" w:rsidP="47C812E3" w14:paraId="45FC0D64" w14:textId="77777777">
      <w:pPr>
        <w:spacing w:line="240" w:lineRule="auto"/>
        <w:rPr>
          <w:color w:val="000000"/>
        </w:rPr>
      </w:pPr>
    </w:p>
    <w:p w:rsidR="003B436C" w:rsidRPr="001741BE" w:rsidP="47C812E3" w14:paraId="5B1E6F06" w14:textId="3CE96866">
      <w:pPr>
        <w:spacing w:line="240" w:lineRule="auto"/>
      </w:pPr>
      <w:r w:rsidRPr="00981AE4">
        <w:t xml:space="preserve">For convenience of </w:t>
      </w:r>
      <w:r w:rsidR="003911B5">
        <w:t xml:space="preserve">Study 2 </w:t>
      </w:r>
      <w:r w:rsidRPr="00981AE4">
        <w:t>data collection,</w:t>
      </w:r>
      <w:r w:rsidRPr="00981AE4" w:rsidR="00A035E2">
        <w:t xml:space="preserve"> </w:t>
      </w:r>
      <w:r w:rsidRPr="00981AE4" w:rsidR="00323A10">
        <w:t>i</w:t>
      </w:r>
      <w:r w:rsidRPr="00981AE4" w:rsidR="009E47B6">
        <w:t>t is anticipated t</w:t>
      </w:r>
      <w:r w:rsidRPr="00981AE4" w:rsidR="00A035E2">
        <w:t>he</w:t>
      </w:r>
      <w:r w:rsidRPr="00981AE4" w:rsidR="00323A10">
        <w:t xml:space="preserve"> </w:t>
      </w:r>
      <w:r w:rsidR="00E86725">
        <w:t xml:space="preserve">new </w:t>
      </w:r>
      <w:r w:rsidRPr="00981AE4" w:rsidR="00A035E2">
        <w:t xml:space="preserve">PSUs will be counties </w:t>
      </w:r>
      <w:r w:rsidRPr="00981AE4" w:rsidR="00EF5E03">
        <w:t xml:space="preserve">in </w:t>
      </w:r>
      <w:r w:rsidR="00035E3F">
        <w:t xml:space="preserve">a large metropolitan area. </w:t>
      </w:r>
      <w:r w:rsidRPr="001741BE" w:rsidR="00035E3F">
        <w:t>T</w:t>
      </w:r>
      <w:r w:rsidRPr="001741BE" w:rsidR="00302B94">
        <w:t xml:space="preserve">he study </w:t>
      </w:r>
      <w:r w:rsidRPr="001741BE" w:rsidR="009E47B6">
        <w:t>currently plans to</w:t>
      </w:r>
      <w:r w:rsidRPr="001741BE" w:rsidR="00302B94">
        <w:t xml:space="preserve"> select 2 counties</w:t>
      </w:r>
      <w:r w:rsidRPr="001741BE" w:rsidR="00575598">
        <w:t xml:space="preserve"> with</w:t>
      </w:r>
      <w:r w:rsidRPr="001741BE" w:rsidR="009E47B6">
        <w:t xml:space="preserve"> large</w:t>
      </w:r>
      <w:r w:rsidRPr="001741BE" w:rsidR="00575598">
        <w:t xml:space="preserve"> urban populations, 1 county that is mainly suburban, and 1 rural county</w:t>
      </w:r>
      <w:r w:rsidRPr="001741BE" w:rsidR="00F2552D">
        <w:t xml:space="preserve"> to explore the viability of collecting data within each given the expected difference in ORU density by urbanicity.</w:t>
      </w:r>
      <w:r w:rsidRPr="001741BE" w:rsidR="00575598">
        <w:t xml:space="preserve"> </w:t>
      </w:r>
    </w:p>
    <w:p w:rsidR="00F921F5" w:rsidRPr="00981AE4" w:rsidP="47C812E3" w14:paraId="5C6D69EB" w14:textId="7B8E2C92">
      <w:pPr>
        <w:spacing w:line="240" w:lineRule="auto"/>
        <w:rPr>
          <w:rStyle w:val="fontstyle01"/>
          <w:rFonts w:ascii="Times New Roman" w:hAnsi="Times New Roman" w:eastAsiaTheme="minorEastAsia"/>
          <w:color w:val="auto"/>
        </w:rPr>
      </w:pPr>
      <w:r w:rsidRPr="001741BE">
        <w:rPr>
          <w:rFonts w:eastAsia="Calibri"/>
        </w:rPr>
        <w:t>Study 2 will consist of eligible ORUs that are 18 years of age (16 years of age in States where allowed) or older who are traveling around the selected sampling locations.</w:t>
      </w:r>
      <w:r>
        <w:rPr>
          <w:rFonts w:eastAsia="Calibri"/>
        </w:rPr>
        <w:t xml:space="preserve"> </w:t>
      </w:r>
      <w:r w:rsidR="00242A8B">
        <w:t>Study 2</w:t>
      </w:r>
      <w:r w:rsidRPr="00981AE4" w:rsidR="003C06F3">
        <w:t xml:space="preserve"> </w:t>
      </w:r>
      <w:r w:rsidR="00300DC4">
        <w:rPr>
          <w:bCs/>
        </w:rPr>
        <w:t>expects</w:t>
      </w:r>
      <w:r w:rsidRPr="00894B87" w:rsidR="00300DC4">
        <w:rPr>
          <w:bCs/>
        </w:rPr>
        <w:t xml:space="preserve"> to contact </w:t>
      </w:r>
      <w:r w:rsidR="00300DC4">
        <w:rPr>
          <w:bCs/>
        </w:rPr>
        <w:t xml:space="preserve">approximately </w:t>
      </w:r>
      <w:r w:rsidRPr="00894B87" w:rsidR="00300DC4">
        <w:rPr>
          <w:bCs/>
        </w:rPr>
        <w:t xml:space="preserve">750 </w:t>
      </w:r>
      <w:r w:rsidR="00300DC4">
        <w:rPr>
          <w:bCs/>
        </w:rPr>
        <w:t xml:space="preserve">individuals with 500 fully participating and 60 partially participating </w:t>
      </w:r>
      <w:r w:rsidRPr="00981AE4" w:rsidR="00784B5F">
        <w:t xml:space="preserve">across the 4 </w:t>
      </w:r>
      <w:r w:rsidR="007508E2">
        <w:t>PSUs</w:t>
      </w:r>
      <w:r w:rsidRPr="00981AE4" w:rsidR="00784B5F">
        <w:t>.</w:t>
      </w:r>
      <w:r w:rsidRPr="00981AE4" w:rsidR="000C7329">
        <w:t xml:space="preserve"> </w:t>
      </w:r>
      <w:r w:rsidRPr="00981AE4">
        <w:rPr>
          <w:rStyle w:val="fontstyle01"/>
          <w:rFonts w:ascii="Times New Roman" w:hAnsi="Times New Roman" w:eastAsiaTheme="minorEastAsia"/>
          <w:color w:val="auto"/>
        </w:rPr>
        <w:t>Plans will be updated throughout the project as</w:t>
      </w:r>
      <w:bookmarkStart w:id="31" w:name="_Toc531082067"/>
      <w:r w:rsidRPr="00981AE4">
        <w:rPr>
          <w:rStyle w:val="fontstyle01"/>
          <w:rFonts w:ascii="Times New Roman" w:hAnsi="Times New Roman" w:eastAsiaTheme="minorEastAsia"/>
          <w:color w:val="auto"/>
        </w:rPr>
        <w:t xml:space="preserve"> various methods and data collection approaches are tested and the results discussed with NHTSA</w:t>
      </w:r>
      <w:r w:rsidRPr="001741BE">
        <w:rPr>
          <w:rStyle w:val="fontstyle01"/>
          <w:rFonts w:ascii="Times New Roman" w:hAnsi="Times New Roman" w:eastAsiaTheme="minorEastAsia"/>
          <w:color w:val="auto"/>
        </w:rPr>
        <w:t>.</w:t>
      </w:r>
      <w:bookmarkEnd w:id="31"/>
      <w:r w:rsidRPr="001741BE" w:rsidR="00FD2F22">
        <w:rPr>
          <w:rStyle w:val="fontstyle01"/>
          <w:color w:val="auto"/>
        </w:rPr>
        <w:t xml:space="preserve"> </w:t>
      </w:r>
      <w:r w:rsidRPr="001741BE" w:rsidR="00FD2F22">
        <w:rPr>
          <w:rStyle w:val="fontstyle01"/>
          <w:rFonts w:ascii="Times New Roman" w:hAnsi="Times New Roman"/>
          <w:color w:val="auto"/>
        </w:rPr>
        <w:t>Expected demographic distr</w:t>
      </w:r>
      <w:r w:rsidRPr="001741BE" w:rsidR="008B7FE4">
        <w:rPr>
          <w:rStyle w:val="fontstyle01"/>
          <w:rFonts w:ascii="Times New Roman" w:hAnsi="Times New Roman"/>
          <w:color w:val="auto"/>
        </w:rPr>
        <w:t>i</w:t>
      </w:r>
      <w:r w:rsidRPr="001741BE" w:rsidR="00FD2F22">
        <w:rPr>
          <w:rStyle w:val="fontstyle01"/>
          <w:rFonts w:ascii="Times New Roman" w:hAnsi="Times New Roman"/>
          <w:color w:val="auto"/>
        </w:rPr>
        <w:t>butions</w:t>
      </w:r>
      <w:r w:rsidRPr="001741BE" w:rsidR="008B7FE4">
        <w:rPr>
          <w:rStyle w:val="fontstyle01"/>
          <w:rFonts w:ascii="Times New Roman" w:hAnsi="Times New Roman"/>
          <w:color w:val="auto"/>
        </w:rPr>
        <w:t xml:space="preserve"> of the 500 participants are provided in</w:t>
      </w:r>
      <w:r w:rsidRPr="001741BE" w:rsidR="00981AE4">
        <w:rPr>
          <w:rStyle w:val="fontstyle01"/>
          <w:rFonts w:ascii="Times New Roman" w:hAnsi="Times New Roman"/>
          <w:color w:val="auto"/>
        </w:rPr>
        <w:t xml:space="preserve"> Table 5</w:t>
      </w:r>
      <w:r w:rsidRPr="001741BE" w:rsidR="7A254E2A">
        <w:rPr>
          <w:rStyle w:val="fontstyle01"/>
          <w:rFonts w:ascii="Times New Roman" w:hAnsi="Times New Roman"/>
          <w:color w:val="auto"/>
        </w:rPr>
        <w:t>.</w:t>
      </w:r>
    </w:p>
    <w:p w:rsidR="006F26AD" w:rsidP="00F35758" w14:paraId="0BE63E32" w14:textId="2362ACFA"/>
    <w:p w:rsidR="00900228" w14:paraId="5773B8B9" w14:textId="77777777">
      <w:pPr>
        <w:spacing w:line="240" w:lineRule="auto"/>
        <w:rPr>
          <w:b/>
          <w:szCs w:val="20"/>
        </w:rPr>
      </w:pPr>
      <w:r>
        <w:br w:type="page"/>
      </w:r>
    </w:p>
    <w:p w:rsidR="00981AE4" w:rsidRPr="00981AE4" w:rsidP="00981AE4" w14:paraId="76989A0E" w14:textId="17392ACD">
      <w:pPr>
        <w:pStyle w:val="Table"/>
        <w:keepNext/>
      </w:pPr>
      <w:r>
        <w:t xml:space="preserve">Study 2 </w:t>
      </w:r>
      <w:r w:rsidRPr="001741BE">
        <w:t xml:space="preserve">Estimated Completes Based on the </w:t>
      </w:r>
      <w:r w:rsidRPr="001741BE">
        <w:t xml:space="preserve">2013-2014 NRS </w:t>
      </w:r>
      <w:r w:rsidRPr="001741BE" w:rsidR="00D73764">
        <w:t xml:space="preserve">        </w:t>
      </w:r>
      <w:r w:rsidRPr="001741BE">
        <w:t>Demographic Distribution</w:t>
      </w:r>
    </w:p>
    <w:tbl>
      <w:tblPr>
        <w:tblW w:w="7493" w:type="dxa"/>
        <w:jc w:val="center"/>
        <w:tblLook w:val="04A0"/>
      </w:tblPr>
      <w:tblGrid>
        <w:gridCol w:w="2169"/>
        <w:gridCol w:w="2399"/>
        <w:gridCol w:w="1480"/>
        <w:gridCol w:w="1445"/>
      </w:tblGrid>
      <w:tr w14:paraId="05EA4E3E" w14:textId="77777777" w:rsidTr="00D010E7">
        <w:tblPrEx>
          <w:tblW w:w="7493" w:type="dxa"/>
          <w:jc w:val="center"/>
          <w:tblLook w:val="04A0"/>
        </w:tblPrEx>
        <w:trPr>
          <w:trHeight w:val="314"/>
          <w:jc w:val="center"/>
        </w:trPr>
        <w:tc>
          <w:tcPr>
            <w:tcW w:w="2169" w:type="dxa"/>
            <w:tcBorders>
              <w:top w:val="single" w:sz="4" w:space="0" w:color="auto"/>
              <w:bottom w:val="single" w:sz="4" w:space="0" w:color="auto"/>
            </w:tcBorders>
            <w:shd w:val="clear" w:color="auto" w:fill="auto"/>
            <w:noWrap/>
            <w:vAlign w:val="bottom"/>
            <w:hideMark/>
          </w:tcPr>
          <w:p w:rsidR="00551445" w:rsidRPr="00D010E7" w:rsidP="00280050" w14:paraId="3C5B255E" w14:textId="77777777">
            <w:pPr>
              <w:rPr>
                <w:b/>
                <w:bCs/>
                <w:color w:val="000000"/>
              </w:rPr>
            </w:pPr>
            <w:r w:rsidRPr="00D010E7">
              <w:rPr>
                <w:b/>
                <w:bCs/>
                <w:color w:val="000000"/>
              </w:rPr>
              <w:t>Variable</w:t>
            </w:r>
          </w:p>
        </w:tc>
        <w:tc>
          <w:tcPr>
            <w:tcW w:w="2399" w:type="dxa"/>
            <w:tcBorders>
              <w:top w:val="single" w:sz="4" w:space="0" w:color="auto"/>
              <w:bottom w:val="single" w:sz="4" w:space="0" w:color="auto"/>
            </w:tcBorders>
            <w:shd w:val="clear" w:color="auto" w:fill="auto"/>
            <w:noWrap/>
            <w:vAlign w:val="bottom"/>
            <w:hideMark/>
          </w:tcPr>
          <w:p w:rsidR="00551445" w:rsidRPr="00D010E7" w:rsidP="00280050" w14:paraId="0FB56902" w14:textId="77777777">
            <w:pPr>
              <w:rPr>
                <w:b/>
                <w:bCs/>
                <w:color w:val="000000"/>
              </w:rPr>
            </w:pPr>
            <w:r w:rsidRPr="00D010E7">
              <w:rPr>
                <w:b/>
                <w:bCs/>
                <w:color w:val="000000"/>
              </w:rPr>
              <w:t>Category</w:t>
            </w:r>
          </w:p>
        </w:tc>
        <w:tc>
          <w:tcPr>
            <w:tcW w:w="1480" w:type="dxa"/>
            <w:tcBorders>
              <w:top w:val="single" w:sz="4" w:space="0" w:color="auto"/>
              <w:bottom w:val="single" w:sz="4" w:space="0" w:color="auto"/>
            </w:tcBorders>
            <w:shd w:val="clear" w:color="auto" w:fill="auto"/>
            <w:noWrap/>
            <w:vAlign w:val="bottom"/>
            <w:hideMark/>
          </w:tcPr>
          <w:p w:rsidR="00551445" w:rsidRPr="00D010E7" w:rsidP="00280050" w14:paraId="3D8A2DBF" w14:textId="77777777">
            <w:pPr>
              <w:rPr>
                <w:b/>
                <w:bCs/>
                <w:color w:val="000000"/>
              </w:rPr>
            </w:pPr>
            <w:r w:rsidRPr="00D010E7">
              <w:rPr>
                <w:b/>
                <w:bCs/>
                <w:color w:val="000000"/>
              </w:rPr>
              <w:t>Distribution</w:t>
            </w:r>
          </w:p>
        </w:tc>
        <w:tc>
          <w:tcPr>
            <w:tcW w:w="1445" w:type="dxa"/>
            <w:tcBorders>
              <w:top w:val="single" w:sz="4" w:space="0" w:color="auto"/>
              <w:bottom w:val="single" w:sz="4" w:space="0" w:color="auto"/>
            </w:tcBorders>
            <w:shd w:val="clear" w:color="auto" w:fill="auto"/>
            <w:noWrap/>
            <w:vAlign w:val="bottom"/>
            <w:hideMark/>
          </w:tcPr>
          <w:p w:rsidR="00551445" w:rsidRPr="00D010E7" w:rsidP="00280050" w14:paraId="7909BED1" w14:textId="77777777">
            <w:pPr>
              <w:jc w:val="right"/>
              <w:rPr>
                <w:b/>
                <w:bCs/>
                <w:color w:val="000000"/>
              </w:rPr>
            </w:pPr>
            <w:r w:rsidRPr="00D010E7">
              <w:rPr>
                <w:b/>
                <w:bCs/>
                <w:color w:val="000000"/>
              </w:rPr>
              <w:t>Estimated Completes</w:t>
            </w:r>
          </w:p>
        </w:tc>
      </w:tr>
      <w:tr w14:paraId="517DE9ED"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795FACA5" w14:textId="01595ED2">
            <w:pPr>
              <w:rPr>
                <w:b/>
                <w:bCs/>
                <w:color w:val="000000"/>
                <w:u w:val="single"/>
              </w:rPr>
            </w:pPr>
            <w:r>
              <w:rPr>
                <w:b/>
                <w:bCs/>
                <w:color w:val="000000"/>
                <w:u w:val="single"/>
              </w:rPr>
              <w:t xml:space="preserve">Study 2 </w:t>
            </w:r>
            <w:r w:rsidRPr="00D010E7">
              <w:rPr>
                <w:b/>
                <w:bCs/>
                <w:color w:val="000000"/>
                <w:u w:val="single"/>
              </w:rPr>
              <w:t>ORUs*</w:t>
            </w:r>
          </w:p>
        </w:tc>
        <w:tc>
          <w:tcPr>
            <w:tcW w:w="2399" w:type="dxa"/>
            <w:tcBorders>
              <w:top w:val="nil"/>
              <w:bottom w:val="nil"/>
            </w:tcBorders>
            <w:shd w:val="clear" w:color="auto" w:fill="auto"/>
            <w:noWrap/>
            <w:vAlign w:val="bottom"/>
          </w:tcPr>
          <w:p w:rsidR="00551445" w:rsidRPr="00D010E7" w:rsidP="00280050" w14:paraId="666F238F" w14:textId="77777777">
            <w:pPr>
              <w:rPr>
                <w:color w:val="000000"/>
                <w:u w:val="single"/>
              </w:rPr>
            </w:pPr>
          </w:p>
        </w:tc>
        <w:tc>
          <w:tcPr>
            <w:tcW w:w="1480" w:type="dxa"/>
            <w:tcBorders>
              <w:top w:val="nil"/>
              <w:bottom w:val="nil"/>
            </w:tcBorders>
            <w:shd w:val="clear" w:color="auto" w:fill="auto"/>
            <w:noWrap/>
            <w:vAlign w:val="bottom"/>
          </w:tcPr>
          <w:p w:rsidR="00551445" w:rsidRPr="00D010E7" w:rsidP="00280050" w14:paraId="50B41B43" w14:textId="77777777">
            <w:pPr>
              <w:jc w:val="right"/>
              <w:rPr>
                <w:color w:val="000000"/>
                <w:u w:val="single"/>
              </w:rPr>
            </w:pPr>
          </w:p>
        </w:tc>
        <w:tc>
          <w:tcPr>
            <w:tcW w:w="1445" w:type="dxa"/>
            <w:tcBorders>
              <w:top w:val="nil"/>
              <w:bottom w:val="nil"/>
            </w:tcBorders>
            <w:shd w:val="clear" w:color="auto" w:fill="auto"/>
            <w:noWrap/>
            <w:vAlign w:val="bottom"/>
          </w:tcPr>
          <w:p w:rsidR="00551445" w:rsidRPr="00D010E7" w:rsidP="00280050" w14:paraId="2886ABEA" w14:textId="77777777">
            <w:pPr>
              <w:jc w:val="right"/>
              <w:rPr>
                <w:b/>
                <w:bCs/>
                <w:color w:val="000000"/>
                <w:u w:val="single"/>
              </w:rPr>
            </w:pPr>
            <w:r w:rsidRPr="00D010E7">
              <w:rPr>
                <w:b/>
                <w:bCs/>
                <w:color w:val="000000"/>
                <w:u w:val="single"/>
              </w:rPr>
              <w:t>N = 500</w:t>
            </w:r>
          </w:p>
        </w:tc>
      </w:tr>
      <w:tr w14:paraId="2E9ED880"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66841298" w14:textId="77777777">
            <w:pPr>
              <w:rPr>
                <w:color w:val="000000"/>
              </w:rPr>
            </w:pPr>
            <w:r w:rsidRPr="00D010E7">
              <w:rPr>
                <w:color w:val="000000"/>
              </w:rPr>
              <w:t>Age</w:t>
            </w:r>
          </w:p>
        </w:tc>
        <w:tc>
          <w:tcPr>
            <w:tcW w:w="2399" w:type="dxa"/>
            <w:tcBorders>
              <w:top w:val="nil"/>
              <w:bottom w:val="nil"/>
            </w:tcBorders>
            <w:shd w:val="clear" w:color="auto" w:fill="auto"/>
            <w:noWrap/>
            <w:vAlign w:val="center"/>
          </w:tcPr>
          <w:p w:rsidR="00551445" w:rsidRPr="00D010E7" w:rsidP="00280050" w14:paraId="73CA47D4" w14:textId="77777777">
            <w:pPr>
              <w:rPr>
                <w:color w:val="000000"/>
              </w:rPr>
            </w:pPr>
            <w:r w:rsidRPr="00D010E7">
              <w:rPr>
                <w:color w:val="000000"/>
              </w:rPr>
              <w:t>16–20</w:t>
            </w:r>
          </w:p>
        </w:tc>
        <w:tc>
          <w:tcPr>
            <w:tcW w:w="1480" w:type="dxa"/>
            <w:tcBorders>
              <w:top w:val="nil"/>
              <w:bottom w:val="nil"/>
            </w:tcBorders>
            <w:shd w:val="clear" w:color="auto" w:fill="auto"/>
            <w:noWrap/>
            <w:vAlign w:val="bottom"/>
          </w:tcPr>
          <w:p w:rsidR="00551445" w:rsidRPr="00D010E7" w:rsidP="00280050" w14:paraId="32327E76" w14:textId="77777777">
            <w:pPr>
              <w:jc w:val="right"/>
              <w:rPr>
                <w:color w:val="000000"/>
              </w:rPr>
            </w:pPr>
            <w:r w:rsidRPr="00D010E7">
              <w:rPr>
                <w:color w:val="000000"/>
              </w:rPr>
              <w:t>12.36%</w:t>
            </w:r>
          </w:p>
        </w:tc>
        <w:tc>
          <w:tcPr>
            <w:tcW w:w="1445" w:type="dxa"/>
            <w:tcBorders>
              <w:top w:val="nil"/>
              <w:bottom w:val="nil"/>
            </w:tcBorders>
            <w:shd w:val="clear" w:color="auto" w:fill="auto"/>
            <w:noWrap/>
            <w:vAlign w:val="bottom"/>
          </w:tcPr>
          <w:p w:rsidR="00551445" w:rsidRPr="00D010E7" w:rsidP="00280050" w14:paraId="562A44D1" w14:textId="77777777">
            <w:pPr>
              <w:jc w:val="right"/>
              <w:rPr>
                <w:color w:val="000000"/>
              </w:rPr>
            </w:pPr>
            <w:r w:rsidRPr="00D010E7">
              <w:rPr>
                <w:color w:val="000000"/>
              </w:rPr>
              <w:t>62</w:t>
            </w:r>
          </w:p>
        </w:tc>
      </w:tr>
      <w:tr w14:paraId="1F3DB389"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1EE4606C" w14:textId="77777777">
            <w:pPr>
              <w:rPr>
                <w:color w:val="000000"/>
              </w:rPr>
            </w:pPr>
            <w:r w:rsidRPr="00D010E7">
              <w:rPr>
                <w:color w:val="000000"/>
              </w:rPr>
              <w:t> </w:t>
            </w:r>
          </w:p>
        </w:tc>
        <w:tc>
          <w:tcPr>
            <w:tcW w:w="2399" w:type="dxa"/>
            <w:tcBorders>
              <w:top w:val="nil"/>
              <w:bottom w:val="nil"/>
            </w:tcBorders>
            <w:shd w:val="clear" w:color="auto" w:fill="auto"/>
            <w:noWrap/>
            <w:vAlign w:val="center"/>
          </w:tcPr>
          <w:p w:rsidR="00551445" w:rsidRPr="00D010E7" w:rsidP="00280050" w14:paraId="3A53D25F" w14:textId="77777777">
            <w:pPr>
              <w:rPr>
                <w:color w:val="000000"/>
              </w:rPr>
            </w:pPr>
            <w:r w:rsidRPr="00D010E7">
              <w:rPr>
                <w:color w:val="000000"/>
              </w:rPr>
              <w:t>21–34</w:t>
            </w:r>
          </w:p>
        </w:tc>
        <w:tc>
          <w:tcPr>
            <w:tcW w:w="1480" w:type="dxa"/>
            <w:tcBorders>
              <w:top w:val="nil"/>
              <w:bottom w:val="nil"/>
            </w:tcBorders>
            <w:shd w:val="clear" w:color="auto" w:fill="auto"/>
            <w:noWrap/>
            <w:vAlign w:val="bottom"/>
          </w:tcPr>
          <w:p w:rsidR="00551445" w:rsidRPr="00D010E7" w:rsidP="00280050" w14:paraId="3CBA56C3" w14:textId="77777777">
            <w:pPr>
              <w:jc w:val="right"/>
              <w:rPr>
                <w:color w:val="000000"/>
              </w:rPr>
            </w:pPr>
            <w:r w:rsidRPr="00D010E7">
              <w:rPr>
                <w:color w:val="000000"/>
              </w:rPr>
              <w:t>40.69%</w:t>
            </w:r>
          </w:p>
        </w:tc>
        <w:tc>
          <w:tcPr>
            <w:tcW w:w="1445" w:type="dxa"/>
            <w:tcBorders>
              <w:top w:val="nil"/>
              <w:bottom w:val="nil"/>
            </w:tcBorders>
            <w:shd w:val="clear" w:color="auto" w:fill="auto"/>
            <w:noWrap/>
            <w:vAlign w:val="bottom"/>
          </w:tcPr>
          <w:p w:rsidR="00551445" w:rsidRPr="00D010E7" w:rsidP="00280050" w14:paraId="539F3EEC" w14:textId="77777777">
            <w:pPr>
              <w:jc w:val="right"/>
              <w:rPr>
                <w:color w:val="000000"/>
              </w:rPr>
            </w:pPr>
            <w:r w:rsidRPr="00D010E7">
              <w:rPr>
                <w:color w:val="000000"/>
              </w:rPr>
              <w:t>203</w:t>
            </w:r>
          </w:p>
        </w:tc>
      </w:tr>
      <w:tr w14:paraId="681F64A1"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1D1D5368" w14:textId="77777777">
            <w:pPr>
              <w:rPr>
                <w:color w:val="000000"/>
              </w:rPr>
            </w:pPr>
            <w:r w:rsidRPr="00D010E7">
              <w:rPr>
                <w:color w:val="000000"/>
              </w:rPr>
              <w:t> </w:t>
            </w:r>
          </w:p>
        </w:tc>
        <w:tc>
          <w:tcPr>
            <w:tcW w:w="2399" w:type="dxa"/>
            <w:tcBorders>
              <w:top w:val="nil"/>
              <w:bottom w:val="nil"/>
            </w:tcBorders>
            <w:shd w:val="clear" w:color="auto" w:fill="auto"/>
            <w:noWrap/>
            <w:vAlign w:val="center"/>
          </w:tcPr>
          <w:p w:rsidR="00551445" w:rsidRPr="00D010E7" w:rsidP="00280050" w14:paraId="09157EF2" w14:textId="77777777">
            <w:pPr>
              <w:rPr>
                <w:color w:val="000000"/>
              </w:rPr>
            </w:pPr>
            <w:r w:rsidRPr="00D010E7">
              <w:rPr>
                <w:color w:val="000000"/>
              </w:rPr>
              <w:t>35–44</w:t>
            </w:r>
          </w:p>
        </w:tc>
        <w:tc>
          <w:tcPr>
            <w:tcW w:w="1480" w:type="dxa"/>
            <w:tcBorders>
              <w:top w:val="nil"/>
              <w:bottom w:val="nil"/>
            </w:tcBorders>
            <w:shd w:val="clear" w:color="auto" w:fill="auto"/>
            <w:noWrap/>
            <w:vAlign w:val="bottom"/>
          </w:tcPr>
          <w:p w:rsidR="00551445" w:rsidRPr="00D010E7" w:rsidP="00280050" w14:paraId="18B3CC4E" w14:textId="77777777">
            <w:pPr>
              <w:jc w:val="right"/>
              <w:rPr>
                <w:color w:val="000000"/>
              </w:rPr>
            </w:pPr>
            <w:r w:rsidRPr="00D010E7">
              <w:rPr>
                <w:color w:val="000000"/>
              </w:rPr>
              <w:t>16.63%</w:t>
            </w:r>
          </w:p>
        </w:tc>
        <w:tc>
          <w:tcPr>
            <w:tcW w:w="1445" w:type="dxa"/>
            <w:tcBorders>
              <w:top w:val="nil"/>
              <w:bottom w:val="nil"/>
            </w:tcBorders>
            <w:shd w:val="clear" w:color="auto" w:fill="auto"/>
            <w:noWrap/>
            <w:vAlign w:val="bottom"/>
          </w:tcPr>
          <w:p w:rsidR="00551445" w:rsidRPr="00D010E7" w:rsidP="00280050" w14:paraId="44B17D44" w14:textId="77777777">
            <w:pPr>
              <w:jc w:val="right"/>
              <w:rPr>
                <w:color w:val="000000"/>
              </w:rPr>
            </w:pPr>
            <w:r w:rsidRPr="00D010E7">
              <w:rPr>
                <w:color w:val="000000"/>
              </w:rPr>
              <w:t>83</w:t>
            </w:r>
          </w:p>
        </w:tc>
      </w:tr>
      <w:tr w14:paraId="6750154F"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176466E8" w14:textId="77777777">
            <w:pPr>
              <w:rPr>
                <w:color w:val="000000"/>
              </w:rPr>
            </w:pPr>
          </w:p>
        </w:tc>
        <w:tc>
          <w:tcPr>
            <w:tcW w:w="2399" w:type="dxa"/>
            <w:tcBorders>
              <w:top w:val="nil"/>
              <w:bottom w:val="nil"/>
            </w:tcBorders>
            <w:shd w:val="clear" w:color="auto" w:fill="auto"/>
            <w:noWrap/>
            <w:vAlign w:val="center"/>
          </w:tcPr>
          <w:p w:rsidR="00551445" w:rsidRPr="00D010E7" w:rsidP="00280050" w14:paraId="01CC93C6" w14:textId="77777777">
            <w:pPr>
              <w:rPr>
                <w:color w:val="000000"/>
              </w:rPr>
            </w:pPr>
            <w:r w:rsidRPr="00D010E7">
              <w:rPr>
                <w:color w:val="000000"/>
              </w:rPr>
              <w:t xml:space="preserve">45–64 </w:t>
            </w:r>
          </w:p>
        </w:tc>
        <w:tc>
          <w:tcPr>
            <w:tcW w:w="1480" w:type="dxa"/>
            <w:tcBorders>
              <w:top w:val="nil"/>
              <w:bottom w:val="nil"/>
            </w:tcBorders>
            <w:shd w:val="clear" w:color="auto" w:fill="auto"/>
            <w:noWrap/>
            <w:vAlign w:val="bottom"/>
          </w:tcPr>
          <w:p w:rsidR="00551445" w:rsidRPr="00D010E7" w:rsidP="00280050" w14:paraId="204DBCF7" w14:textId="77777777">
            <w:pPr>
              <w:jc w:val="right"/>
              <w:rPr>
                <w:color w:val="000000"/>
              </w:rPr>
            </w:pPr>
            <w:r w:rsidRPr="00D010E7">
              <w:rPr>
                <w:color w:val="000000"/>
              </w:rPr>
              <w:t>24.68%</w:t>
            </w:r>
          </w:p>
        </w:tc>
        <w:tc>
          <w:tcPr>
            <w:tcW w:w="1445" w:type="dxa"/>
            <w:tcBorders>
              <w:top w:val="nil"/>
              <w:bottom w:val="nil"/>
            </w:tcBorders>
            <w:shd w:val="clear" w:color="auto" w:fill="auto"/>
            <w:noWrap/>
            <w:vAlign w:val="bottom"/>
          </w:tcPr>
          <w:p w:rsidR="00551445" w:rsidRPr="00D010E7" w:rsidP="00280050" w14:paraId="615725C0" w14:textId="77777777">
            <w:pPr>
              <w:jc w:val="right"/>
              <w:rPr>
                <w:color w:val="000000"/>
              </w:rPr>
            </w:pPr>
            <w:r w:rsidRPr="00D010E7">
              <w:rPr>
                <w:color w:val="000000"/>
              </w:rPr>
              <w:t>123</w:t>
            </w:r>
          </w:p>
        </w:tc>
      </w:tr>
      <w:tr w14:paraId="3D76AC0E"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064E5A62" w14:textId="77777777">
            <w:pPr>
              <w:rPr>
                <w:color w:val="000000"/>
              </w:rPr>
            </w:pPr>
          </w:p>
        </w:tc>
        <w:tc>
          <w:tcPr>
            <w:tcW w:w="2399" w:type="dxa"/>
            <w:tcBorders>
              <w:top w:val="nil"/>
              <w:bottom w:val="nil"/>
            </w:tcBorders>
            <w:shd w:val="clear" w:color="auto" w:fill="auto"/>
            <w:noWrap/>
            <w:vAlign w:val="center"/>
          </w:tcPr>
          <w:p w:rsidR="00551445" w:rsidRPr="00D010E7" w:rsidP="00280050" w14:paraId="06EE1D8C" w14:textId="77777777">
            <w:pPr>
              <w:rPr>
                <w:color w:val="000000"/>
              </w:rPr>
            </w:pPr>
            <w:r w:rsidRPr="00D010E7">
              <w:rPr>
                <w:color w:val="000000"/>
              </w:rPr>
              <w:t>65+</w:t>
            </w:r>
          </w:p>
        </w:tc>
        <w:tc>
          <w:tcPr>
            <w:tcW w:w="1480" w:type="dxa"/>
            <w:tcBorders>
              <w:top w:val="nil"/>
              <w:bottom w:val="nil"/>
            </w:tcBorders>
            <w:shd w:val="clear" w:color="auto" w:fill="auto"/>
            <w:noWrap/>
            <w:vAlign w:val="bottom"/>
          </w:tcPr>
          <w:p w:rsidR="00551445" w:rsidRPr="00D010E7" w:rsidP="00280050" w14:paraId="77F04352" w14:textId="77777777">
            <w:pPr>
              <w:jc w:val="right"/>
              <w:rPr>
                <w:color w:val="000000"/>
              </w:rPr>
            </w:pPr>
            <w:r w:rsidRPr="00D010E7">
              <w:rPr>
                <w:color w:val="000000"/>
              </w:rPr>
              <w:t>5.64%</w:t>
            </w:r>
          </w:p>
        </w:tc>
        <w:tc>
          <w:tcPr>
            <w:tcW w:w="1445" w:type="dxa"/>
            <w:tcBorders>
              <w:top w:val="nil"/>
              <w:bottom w:val="nil"/>
            </w:tcBorders>
            <w:shd w:val="clear" w:color="auto" w:fill="auto"/>
            <w:noWrap/>
            <w:vAlign w:val="bottom"/>
          </w:tcPr>
          <w:p w:rsidR="00551445" w:rsidRPr="00D010E7" w:rsidP="00280050" w14:paraId="57539B39" w14:textId="77777777">
            <w:pPr>
              <w:jc w:val="right"/>
              <w:rPr>
                <w:color w:val="000000"/>
              </w:rPr>
            </w:pPr>
            <w:r w:rsidRPr="00D010E7">
              <w:rPr>
                <w:color w:val="000000"/>
              </w:rPr>
              <w:t>28</w:t>
            </w:r>
          </w:p>
        </w:tc>
      </w:tr>
      <w:tr w14:paraId="3D50DAF8"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0CB36078" w14:textId="77777777">
            <w:pPr>
              <w:rPr>
                <w:color w:val="000000"/>
              </w:rPr>
            </w:pPr>
            <w:r w:rsidRPr="00D010E7">
              <w:rPr>
                <w:color w:val="000000"/>
              </w:rPr>
              <w:t> </w:t>
            </w:r>
          </w:p>
        </w:tc>
        <w:tc>
          <w:tcPr>
            <w:tcW w:w="2399" w:type="dxa"/>
            <w:tcBorders>
              <w:top w:val="nil"/>
              <w:bottom w:val="nil"/>
            </w:tcBorders>
            <w:shd w:val="clear" w:color="auto" w:fill="auto"/>
            <w:noWrap/>
            <w:vAlign w:val="bottom"/>
          </w:tcPr>
          <w:p w:rsidR="00551445" w:rsidRPr="00D010E7" w:rsidP="00280050" w14:paraId="588884BA" w14:textId="77777777">
            <w:pPr>
              <w:rPr>
                <w:color w:val="000000"/>
              </w:rPr>
            </w:pPr>
            <w:r w:rsidRPr="00D010E7">
              <w:rPr>
                <w:color w:val="000000"/>
              </w:rPr>
              <w:t> </w:t>
            </w:r>
          </w:p>
        </w:tc>
        <w:tc>
          <w:tcPr>
            <w:tcW w:w="1480" w:type="dxa"/>
            <w:tcBorders>
              <w:top w:val="nil"/>
              <w:bottom w:val="nil"/>
            </w:tcBorders>
            <w:shd w:val="clear" w:color="auto" w:fill="auto"/>
            <w:noWrap/>
            <w:vAlign w:val="bottom"/>
          </w:tcPr>
          <w:p w:rsidR="00551445" w:rsidRPr="00D010E7" w:rsidP="00280050" w14:paraId="0858C910" w14:textId="77777777">
            <w:pPr>
              <w:jc w:val="right"/>
              <w:rPr>
                <w:color w:val="000000"/>
              </w:rPr>
            </w:pPr>
            <w:r w:rsidRPr="00D010E7">
              <w:rPr>
                <w:color w:val="000000"/>
              </w:rPr>
              <w:t> </w:t>
            </w:r>
          </w:p>
        </w:tc>
        <w:tc>
          <w:tcPr>
            <w:tcW w:w="1445" w:type="dxa"/>
            <w:tcBorders>
              <w:top w:val="nil"/>
              <w:bottom w:val="nil"/>
            </w:tcBorders>
            <w:shd w:val="clear" w:color="auto" w:fill="auto"/>
            <w:noWrap/>
            <w:vAlign w:val="bottom"/>
          </w:tcPr>
          <w:p w:rsidR="00551445" w:rsidRPr="00D010E7" w:rsidP="00280050" w14:paraId="51261718" w14:textId="77777777">
            <w:pPr>
              <w:jc w:val="right"/>
              <w:rPr>
                <w:color w:val="000000"/>
              </w:rPr>
            </w:pPr>
          </w:p>
        </w:tc>
      </w:tr>
      <w:tr w14:paraId="1DD20EA6"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61ED4178" w14:textId="77777777">
            <w:pPr>
              <w:rPr>
                <w:color w:val="000000"/>
              </w:rPr>
            </w:pPr>
            <w:r w:rsidRPr="00D010E7">
              <w:rPr>
                <w:color w:val="000000"/>
              </w:rPr>
              <w:t>Race/Ethnicity</w:t>
            </w:r>
          </w:p>
        </w:tc>
        <w:tc>
          <w:tcPr>
            <w:tcW w:w="2399" w:type="dxa"/>
            <w:tcBorders>
              <w:top w:val="nil"/>
              <w:bottom w:val="nil"/>
            </w:tcBorders>
            <w:shd w:val="clear" w:color="auto" w:fill="auto"/>
            <w:noWrap/>
            <w:vAlign w:val="center"/>
          </w:tcPr>
          <w:p w:rsidR="00551445" w:rsidRPr="00D010E7" w:rsidP="00280050" w14:paraId="65F58F94" w14:textId="77777777">
            <w:pPr>
              <w:rPr>
                <w:color w:val="000000"/>
              </w:rPr>
            </w:pPr>
            <w:r w:rsidRPr="00D010E7">
              <w:rPr>
                <w:color w:val="000000"/>
              </w:rPr>
              <w:t>African American</w:t>
            </w:r>
          </w:p>
        </w:tc>
        <w:tc>
          <w:tcPr>
            <w:tcW w:w="1480" w:type="dxa"/>
            <w:tcBorders>
              <w:top w:val="nil"/>
              <w:bottom w:val="nil"/>
            </w:tcBorders>
            <w:shd w:val="clear" w:color="auto" w:fill="auto"/>
            <w:noWrap/>
            <w:vAlign w:val="bottom"/>
          </w:tcPr>
          <w:p w:rsidR="00551445" w:rsidRPr="00D010E7" w:rsidP="00280050" w14:paraId="18920BB1" w14:textId="77777777">
            <w:pPr>
              <w:jc w:val="right"/>
              <w:rPr>
                <w:color w:val="000000"/>
              </w:rPr>
            </w:pPr>
            <w:r w:rsidRPr="00D010E7">
              <w:rPr>
                <w:color w:val="000000"/>
              </w:rPr>
              <w:t>20.23%</w:t>
            </w:r>
          </w:p>
        </w:tc>
        <w:tc>
          <w:tcPr>
            <w:tcW w:w="1445" w:type="dxa"/>
            <w:tcBorders>
              <w:top w:val="nil"/>
              <w:bottom w:val="nil"/>
            </w:tcBorders>
            <w:shd w:val="clear" w:color="auto" w:fill="auto"/>
            <w:noWrap/>
            <w:vAlign w:val="bottom"/>
          </w:tcPr>
          <w:p w:rsidR="00551445" w:rsidRPr="00D010E7" w:rsidP="00280050" w14:paraId="35D7407F" w14:textId="77777777">
            <w:pPr>
              <w:jc w:val="right"/>
              <w:rPr>
                <w:color w:val="000000"/>
              </w:rPr>
            </w:pPr>
            <w:r w:rsidRPr="00D010E7">
              <w:rPr>
                <w:color w:val="000000"/>
              </w:rPr>
              <w:t>101</w:t>
            </w:r>
          </w:p>
        </w:tc>
      </w:tr>
      <w:tr w14:paraId="64BB5367"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1E88A6DC" w14:textId="77777777">
            <w:pPr>
              <w:rPr>
                <w:color w:val="000000"/>
              </w:rPr>
            </w:pPr>
            <w:r w:rsidRPr="00D010E7">
              <w:rPr>
                <w:color w:val="000000"/>
              </w:rPr>
              <w:t> </w:t>
            </w:r>
          </w:p>
        </w:tc>
        <w:tc>
          <w:tcPr>
            <w:tcW w:w="2399" w:type="dxa"/>
            <w:tcBorders>
              <w:top w:val="nil"/>
              <w:bottom w:val="nil"/>
            </w:tcBorders>
            <w:shd w:val="clear" w:color="auto" w:fill="auto"/>
            <w:noWrap/>
            <w:vAlign w:val="center"/>
          </w:tcPr>
          <w:p w:rsidR="00551445" w:rsidRPr="00D010E7" w:rsidP="00280050" w14:paraId="7B76145E" w14:textId="77777777">
            <w:pPr>
              <w:rPr>
                <w:color w:val="000000"/>
              </w:rPr>
            </w:pPr>
            <w:r w:rsidRPr="00D010E7">
              <w:rPr>
                <w:color w:val="000000"/>
              </w:rPr>
              <w:t>Asian</w:t>
            </w:r>
          </w:p>
        </w:tc>
        <w:tc>
          <w:tcPr>
            <w:tcW w:w="1480" w:type="dxa"/>
            <w:tcBorders>
              <w:top w:val="nil"/>
              <w:bottom w:val="nil"/>
            </w:tcBorders>
            <w:shd w:val="clear" w:color="auto" w:fill="auto"/>
            <w:noWrap/>
            <w:vAlign w:val="bottom"/>
          </w:tcPr>
          <w:p w:rsidR="00551445" w:rsidRPr="00D010E7" w:rsidP="00280050" w14:paraId="7BF8612A" w14:textId="77777777">
            <w:pPr>
              <w:jc w:val="right"/>
              <w:rPr>
                <w:color w:val="000000"/>
              </w:rPr>
            </w:pPr>
            <w:r w:rsidRPr="00D010E7">
              <w:rPr>
                <w:color w:val="000000"/>
              </w:rPr>
              <w:t>4.14%</w:t>
            </w:r>
          </w:p>
        </w:tc>
        <w:tc>
          <w:tcPr>
            <w:tcW w:w="1445" w:type="dxa"/>
            <w:tcBorders>
              <w:top w:val="nil"/>
              <w:bottom w:val="nil"/>
            </w:tcBorders>
            <w:shd w:val="clear" w:color="auto" w:fill="auto"/>
            <w:noWrap/>
            <w:vAlign w:val="bottom"/>
          </w:tcPr>
          <w:p w:rsidR="00551445" w:rsidRPr="00D010E7" w:rsidP="00280050" w14:paraId="02B494C1" w14:textId="77777777">
            <w:pPr>
              <w:jc w:val="right"/>
              <w:rPr>
                <w:color w:val="000000"/>
              </w:rPr>
            </w:pPr>
            <w:r w:rsidRPr="00D010E7">
              <w:rPr>
                <w:color w:val="000000"/>
              </w:rPr>
              <w:t>21</w:t>
            </w:r>
          </w:p>
        </w:tc>
      </w:tr>
      <w:tr w14:paraId="23955236"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017B8578" w14:textId="77777777">
            <w:pPr>
              <w:rPr>
                <w:color w:val="000000"/>
              </w:rPr>
            </w:pPr>
            <w:r w:rsidRPr="00D010E7">
              <w:rPr>
                <w:color w:val="000000"/>
              </w:rPr>
              <w:t> </w:t>
            </w:r>
          </w:p>
        </w:tc>
        <w:tc>
          <w:tcPr>
            <w:tcW w:w="2399" w:type="dxa"/>
            <w:tcBorders>
              <w:top w:val="nil"/>
              <w:bottom w:val="nil"/>
            </w:tcBorders>
            <w:shd w:val="clear" w:color="auto" w:fill="auto"/>
            <w:noWrap/>
            <w:vAlign w:val="center"/>
          </w:tcPr>
          <w:p w:rsidR="00551445" w:rsidRPr="00D010E7" w:rsidP="00280050" w14:paraId="7ABBF80D" w14:textId="77777777">
            <w:pPr>
              <w:rPr>
                <w:color w:val="000000"/>
              </w:rPr>
            </w:pPr>
            <w:r w:rsidRPr="00D010E7">
              <w:rPr>
                <w:color w:val="000000"/>
              </w:rPr>
              <w:t xml:space="preserve">Hispanic </w:t>
            </w:r>
          </w:p>
        </w:tc>
        <w:tc>
          <w:tcPr>
            <w:tcW w:w="1480" w:type="dxa"/>
            <w:tcBorders>
              <w:top w:val="nil"/>
              <w:bottom w:val="nil"/>
            </w:tcBorders>
            <w:shd w:val="clear" w:color="auto" w:fill="auto"/>
            <w:noWrap/>
            <w:vAlign w:val="bottom"/>
          </w:tcPr>
          <w:p w:rsidR="00551445" w:rsidRPr="00D010E7" w:rsidP="00280050" w14:paraId="1827F20D" w14:textId="77777777">
            <w:pPr>
              <w:jc w:val="right"/>
              <w:rPr>
                <w:color w:val="000000"/>
              </w:rPr>
            </w:pPr>
            <w:r w:rsidRPr="00D010E7">
              <w:rPr>
                <w:color w:val="000000"/>
              </w:rPr>
              <w:t>10.85%</w:t>
            </w:r>
          </w:p>
        </w:tc>
        <w:tc>
          <w:tcPr>
            <w:tcW w:w="1445" w:type="dxa"/>
            <w:tcBorders>
              <w:top w:val="nil"/>
              <w:bottom w:val="nil"/>
            </w:tcBorders>
            <w:shd w:val="clear" w:color="auto" w:fill="auto"/>
            <w:noWrap/>
            <w:vAlign w:val="bottom"/>
          </w:tcPr>
          <w:p w:rsidR="00551445" w:rsidRPr="00D010E7" w:rsidP="00280050" w14:paraId="4F7DAE52" w14:textId="77777777">
            <w:pPr>
              <w:jc w:val="right"/>
              <w:rPr>
                <w:color w:val="000000"/>
              </w:rPr>
            </w:pPr>
            <w:r w:rsidRPr="00D010E7">
              <w:rPr>
                <w:color w:val="000000"/>
              </w:rPr>
              <w:t>54</w:t>
            </w:r>
          </w:p>
        </w:tc>
      </w:tr>
      <w:tr w14:paraId="49544B51"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327FB3F7" w14:textId="77777777">
            <w:pPr>
              <w:rPr>
                <w:color w:val="000000"/>
              </w:rPr>
            </w:pPr>
          </w:p>
        </w:tc>
        <w:tc>
          <w:tcPr>
            <w:tcW w:w="2399" w:type="dxa"/>
            <w:tcBorders>
              <w:top w:val="nil"/>
              <w:bottom w:val="nil"/>
            </w:tcBorders>
            <w:shd w:val="clear" w:color="auto" w:fill="auto"/>
            <w:noWrap/>
            <w:vAlign w:val="center"/>
          </w:tcPr>
          <w:p w:rsidR="00551445" w:rsidRPr="00D010E7" w:rsidP="00280050" w14:paraId="6827D61B" w14:textId="77777777">
            <w:pPr>
              <w:rPr>
                <w:color w:val="000000"/>
              </w:rPr>
            </w:pPr>
            <w:r w:rsidRPr="00D010E7">
              <w:rPr>
                <w:color w:val="000000"/>
              </w:rPr>
              <w:t>White</w:t>
            </w:r>
          </w:p>
        </w:tc>
        <w:tc>
          <w:tcPr>
            <w:tcW w:w="1480" w:type="dxa"/>
            <w:tcBorders>
              <w:top w:val="nil"/>
              <w:bottom w:val="nil"/>
            </w:tcBorders>
            <w:shd w:val="clear" w:color="auto" w:fill="auto"/>
            <w:noWrap/>
            <w:vAlign w:val="bottom"/>
          </w:tcPr>
          <w:p w:rsidR="00551445" w:rsidRPr="00D010E7" w:rsidP="00280050" w14:paraId="5B4DBFAB" w14:textId="77777777">
            <w:pPr>
              <w:jc w:val="right"/>
              <w:rPr>
                <w:color w:val="000000"/>
              </w:rPr>
            </w:pPr>
            <w:r w:rsidRPr="00D010E7">
              <w:rPr>
                <w:color w:val="000000"/>
              </w:rPr>
              <w:t>58.76%</w:t>
            </w:r>
          </w:p>
        </w:tc>
        <w:tc>
          <w:tcPr>
            <w:tcW w:w="1445" w:type="dxa"/>
            <w:tcBorders>
              <w:top w:val="nil"/>
              <w:bottom w:val="nil"/>
            </w:tcBorders>
            <w:shd w:val="clear" w:color="auto" w:fill="auto"/>
            <w:noWrap/>
            <w:vAlign w:val="bottom"/>
          </w:tcPr>
          <w:p w:rsidR="00551445" w:rsidRPr="00D010E7" w:rsidP="00280050" w14:paraId="50BEF89C" w14:textId="77777777">
            <w:pPr>
              <w:jc w:val="right"/>
              <w:rPr>
                <w:color w:val="000000"/>
              </w:rPr>
            </w:pPr>
            <w:r w:rsidRPr="00D010E7">
              <w:rPr>
                <w:color w:val="000000"/>
              </w:rPr>
              <w:t>294</w:t>
            </w:r>
          </w:p>
        </w:tc>
      </w:tr>
      <w:tr w14:paraId="5EB57543"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41DA49AD" w14:textId="77777777">
            <w:pPr>
              <w:rPr>
                <w:color w:val="000000"/>
              </w:rPr>
            </w:pPr>
          </w:p>
        </w:tc>
        <w:tc>
          <w:tcPr>
            <w:tcW w:w="2399" w:type="dxa"/>
            <w:tcBorders>
              <w:top w:val="nil"/>
              <w:bottom w:val="nil"/>
            </w:tcBorders>
            <w:shd w:val="clear" w:color="auto" w:fill="auto"/>
            <w:noWrap/>
            <w:vAlign w:val="center"/>
          </w:tcPr>
          <w:p w:rsidR="00551445" w:rsidRPr="00D010E7" w:rsidP="00280050" w14:paraId="6E495739" w14:textId="77777777">
            <w:pPr>
              <w:rPr>
                <w:color w:val="000000"/>
              </w:rPr>
            </w:pPr>
            <w:r w:rsidRPr="00D010E7">
              <w:rPr>
                <w:color w:val="000000"/>
              </w:rPr>
              <w:t>Other</w:t>
            </w:r>
          </w:p>
        </w:tc>
        <w:tc>
          <w:tcPr>
            <w:tcW w:w="1480" w:type="dxa"/>
            <w:tcBorders>
              <w:top w:val="nil"/>
              <w:bottom w:val="nil"/>
            </w:tcBorders>
            <w:shd w:val="clear" w:color="auto" w:fill="auto"/>
            <w:noWrap/>
            <w:vAlign w:val="bottom"/>
          </w:tcPr>
          <w:p w:rsidR="00551445" w:rsidRPr="00D010E7" w:rsidP="00280050" w14:paraId="0EA41CB2" w14:textId="77777777">
            <w:pPr>
              <w:jc w:val="right"/>
              <w:rPr>
                <w:color w:val="000000"/>
              </w:rPr>
            </w:pPr>
            <w:r w:rsidRPr="00D010E7">
              <w:rPr>
                <w:color w:val="000000"/>
              </w:rPr>
              <w:t>6.03%</w:t>
            </w:r>
          </w:p>
        </w:tc>
        <w:tc>
          <w:tcPr>
            <w:tcW w:w="1445" w:type="dxa"/>
            <w:tcBorders>
              <w:top w:val="nil"/>
              <w:bottom w:val="nil"/>
            </w:tcBorders>
            <w:shd w:val="clear" w:color="auto" w:fill="auto"/>
            <w:noWrap/>
            <w:vAlign w:val="bottom"/>
          </w:tcPr>
          <w:p w:rsidR="00551445" w:rsidRPr="00D010E7" w:rsidP="00280050" w14:paraId="48ED9D39" w14:textId="77777777">
            <w:pPr>
              <w:jc w:val="right"/>
              <w:rPr>
                <w:color w:val="000000"/>
              </w:rPr>
            </w:pPr>
            <w:r w:rsidRPr="00D010E7">
              <w:rPr>
                <w:color w:val="000000"/>
              </w:rPr>
              <w:t>30</w:t>
            </w:r>
          </w:p>
        </w:tc>
      </w:tr>
      <w:tr w14:paraId="6A14FAD9" w14:textId="77777777" w:rsidTr="00D010E7">
        <w:tblPrEx>
          <w:tblW w:w="7493" w:type="dxa"/>
          <w:jc w:val="center"/>
          <w:tblLook w:val="04A0"/>
        </w:tblPrEx>
        <w:trPr>
          <w:trHeight w:val="314"/>
          <w:jc w:val="center"/>
        </w:trPr>
        <w:tc>
          <w:tcPr>
            <w:tcW w:w="2169" w:type="dxa"/>
            <w:tcBorders>
              <w:top w:val="nil"/>
              <w:bottom w:val="nil"/>
            </w:tcBorders>
            <w:shd w:val="clear" w:color="auto" w:fill="auto"/>
            <w:noWrap/>
            <w:vAlign w:val="bottom"/>
          </w:tcPr>
          <w:p w:rsidR="00551445" w:rsidRPr="00D010E7" w:rsidP="00280050" w14:paraId="72607835" w14:textId="77777777">
            <w:pPr>
              <w:rPr>
                <w:color w:val="000000"/>
              </w:rPr>
            </w:pPr>
          </w:p>
        </w:tc>
        <w:tc>
          <w:tcPr>
            <w:tcW w:w="2399" w:type="dxa"/>
            <w:tcBorders>
              <w:top w:val="nil"/>
              <w:bottom w:val="nil"/>
            </w:tcBorders>
            <w:shd w:val="clear" w:color="auto" w:fill="auto"/>
            <w:noWrap/>
            <w:vAlign w:val="center"/>
          </w:tcPr>
          <w:p w:rsidR="00551445" w:rsidRPr="00D010E7" w:rsidP="00280050" w14:paraId="79F08688" w14:textId="77777777">
            <w:pPr>
              <w:rPr>
                <w:color w:val="000000"/>
              </w:rPr>
            </w:pPr>
          </w:p>
        </w:tc>
        <w:tc>
          <w:tcPr>
            <w:tcW w:w="1480" w:type="dxa"/>
            <w:tcBorders>
              <w:top w:val="nil"/>
              <w:bottom w:val="nil"/>
            </w:tcBorders>
            <w:shd w:val="clear" w:color="auto" w:fill="auto"/>
            <w:noWrap/>
            <w:vAlign w:val="bottom"/>
          </w:tcPr>
          <w:p w:rsidR="00551445" w:rsidRPr="00D010E7" w:rsidP="00280050" w14:paraId="1B660439" w14:textId="77777777">
            <w:pPr>
              <w:jc w:val="right"/>
              <w:rPr>
                <w:color w:val="000000"/>
              </w:rPr>
            </w:pPr>
          </w:p>
        </w:tc>
        <w:tc>
          <w:tcPr>
            <w:tcW w:w="1445" w:type="dxa"/>
            <w:tcBorders>
              <w:top w:val="nil"/>
              <w:bottom w:val="nil"/>
            </w:tcBorders>
            <w:shd w:val="clear" w:color="auto" w:fill="auto"/>
            <w:noWrap/>
            <w:vAlign w:val="bottom"/>
          </w:tcPr>
          <w:p w:rsidR="00551445" w:rsidRPr="00D010E7" w:rsidP="00280050" w14:paraId="33BCB914" w14:textId="77777777">
            <w:pPr>
              <w:jc w:val="right"/>
              <w:rPr>
                <w:color w:val="000000"/>
              </w:rPr>
            </w:pPr>
          </w:p>
        </w:tc>
      </w:tr>
      <w:tr w14:paraId="4BE6AD32" w14:textId="77777777" w:rsidTr="00D010E7">
        <w:tblPrEx>
          <w:tblW w:w="7493" w:type="dxa"/>
          <w:jc w:val="center"/>
          <w:tblLook w:val="04A0"/>
        </w:tblPrEx>
        <w:trPr>
          <w:trHeight w:val="314"/>
          <w:jc w:val="center"/>
        </w:trPr>
        <w:tc>
          <w:tcPr>
            <w:tcW w:w="2169" w:type="dxa"/>
            <w:tcBorders>
              <w:top w:val="nil"/>
            </w:tcBorders>
            <w:shd w:val="clear" w:color="auto" w:fill="auto"/>
            <w:noWrap/>
            <w:vAlign w:val="bottom"/>
          </w:tcPr>
          <w:p w:rsidR="00551445" w:rsidRPr="00D010E7" w:rsidP="00280050" w14:paraId="41E834B8" w14:textId="77777777">
            <w:pPr>
              <w:rPr>
                <w:color w:val="000000"/>
              </w:rPr>
            </w:pPr>
            <w:r w:rsidRPr="00D010E7">
              <w:rPr>
                <w:color w:val="000000"/>
              </w:rPr>
              <w:t>Sex</w:t>
            </w:r>
          </w:p>
        </w:tc>
        <w:tc>
          <w:tcPr>
            <w:tcW w:w="2399" w:type="dxa"/>
            <w:tcBorders>
              <w:top w:val="nil"/>
            </w:tcBorders>
            <w:shd w:val="clear" w:color="auto" w:fill="auto"/>
            <w:noWrap/>
            <w:vAlign w:val="bottom"/>
          </w:tcPr>
          <w:p w:rsidR="00551445" w:rsidRPr="00D010E7" w:rsidP="00280050" w14:paraId="043B412D" w14:textId="77777777">
            <w:pPr>
              <w:rPr>
                <w:color w:val="000000"/>
              </w:rPr>
            </w:pPr>
            <w:r w:rsidRPr="00D010E7">
              <w:rPr>
                <w:color w:val="000000"/>
              </w:rPr>
              <w:t>Male</w:t>
            </w:r>
          </w:p>
        </w:tc>
        <w:tc>
          <w:tcPr>
            <w:tcW w:w="1480" w:type="dxa"/>
            <w:tcBorders>
              <w:top w:val="nil"/>
            </w:tcBorders>
            <w:shd w:val="clear" w:color="auto" w:fill="auto"/>
            <w:noWrap/>
            <w:vAlign w:val="bottom"/>
          </w:tcPr>
          <w:p w:rsidR="00551445" w:rsidRPr="00D010E7" w:rsidP="00280050" w14:paraId="70401604" w14:textId="77777777">
            <w:pPr>
              <w:jc w:val="right"/>
              <w:rPr>
                <w:color w:val="000000"/>
              </w:rPr>
            </w:pPr>
            <w:r w:rsidRPr="00D010E7">
              <w:rPr>
                <w:color w:val="000000"/>
              </w:rPr>
              <w:t>58.01%</w:t>
            </w:r>
          </w:p>
        </w:tc>
        <w:tc>
          <w:tcPr>
            <w:tcW w:w="1445" w:type="dxa"/>
            <w:tcBorders>
              <w:top w:val="nil"/>
            </w:tcBorders>
            <w:shd w:val="clear" w:color="auto" w:fill="auto"/>
            <w:noWrap/>
            <w:vAlign w:val="bottom"/>
          </w:tcPr>
          <w:p w:rsidR="00551445" w:rsidRPr="00D010E7" w:rsidP="00280050" w14:paraId="659979E8" w14:textId="77777777">
            <w:pPr>
              <w:jc w:val="right"/>
              <w:rPr>
                <w:color w:val="000000"/>
              </w:rPr>
            </w:pPr>
            <w:r w:rsidRPr="00D010E7">
              <w:rPr>
                <w:color w:val="000000"/>
              </w:rPr>
              <w:t>290</w:t>
            </w:r>
          </w:p>
        </w:tc>
      </w:tr>
      <w:tr w14:paraId="2D3B29E8" w14:textId="77777777" w:rsidTr="00D010E7">
        <w:tblPrEx>
          <w:tblW w:w="7493" w:type="dxa"/>
          <w:jc w:val="center"/>
          <w:tblLook w:val="04A0"/>
        </w:tblPrEx>
        <w:trPr>
          <w:trHeight w:val="314"/>
          <w:jc w:val="center"/>
        </w:trPr>
        <w:tc>
          <w:tcPr>
            <w:tcW w:w="2169" w:type="dxa"/>
            <w:tcBorders>
              <w:top w:val="nil"/>
              <w:bottom w:val="single" w:sz="4" w:space="0" w:color="auto"/>
            </w:tcBorders>
            <w:shd w:val="clear" w:color="auto" w:fill="auto"/>
            <w:noWrap/>
            <w:vAlign w:val="bottom"/>
          </w:tcPr>
          <w:p w:rsidR="00551445" w:rsidRPr="00D010E7" w:rsidP="00280050" w14:paraId="6B8F30ED" w14:textId="77777777">
            <w:pPr>
              <w:rPr>
                <w:color w:val="000000"/>
              </w:rPr>
            </w:pPr>
            <w:r w:rsidRPr="00D010E7">
              <w:rPr>
                <w:color w:val="000000"/>
              </w:rPr>
              <w:t> </w:t>
            </w:r>
          </w:p>
        </w:tc>
        <w:tc>
          <w:tcPr>
            <w:tcW w:w="2399" w:type="dxa"/>
            <w:tcBorders>
              <w:top w:val="nil"/>
              <w:bottom w:val="single" w:sz="4" w:space="0" w:color="auto"/>
            </w:tcBorders>
            <w:shd w:val="clear" w:color="auto" w:fill="auto"/>
            <w:noWrap/>
            <w:vAlign w:val="bottom"/>
          </w:tcPr>
          <w:p w:rsidR="00551445" w:rsidRPr="00D010E7" w:rsidP="00280050" w14:paraId="6F54E529" w14:textId="77777777">
            <w:pPr>
              <w:rPr>
                <w:color w:val="000000"/>
              </w:rPr>
            </w:pPr>
            <w:r w:rsidRPr="00D010E7">
              <w:rPr>
                <w:color w:val="000000"/>
              </w:rPr>
              <w:t>Female</w:t>
            </w:r>
          </w:p>
        </w:tc>
        <w:tc>
          <w:tcPr>
            <w:tcW w:w="1480" w:type="dxa"/>
            <w:tcBorders>
              <w:top w:val="nil"/>
              <w:bottom w:val="single" w:sz="4" w:space="0" w:color="auto"/>
            </w:tcBorders>
            <w:shd w:val="clear" w:color="auto" w:fill="auto"/>
            <w:noWrap/>
            <w:vAlign w:val="bottom"/>
          </w:tcPr>
          <w:p w:rsidR="00551445" w:rsidRPr="00D010E7" w:rsidP="00280050" w14:paraId="26E859D8" w14:textId="77777777">
            <w:pPr>
              <w:jc w:val="right"/>
              <w:rPr>
                <w:color w:val="000000"/>
              </w:rPr>
            </w:pPr>
            <w:r w:rsidRPr="00D010E7">
              <w:rPr>
                <w:color w:val="000000"/>
              </w:rPr>
              <w:t>41.99%</w:t>
            </w:r>
          </w:p>
        </w:tc>
        <w:tc>
          <w:tcPr>
            <w:tcW w:w="1445" w:type="dxa"/>
            <w:tcBorders>
              <w:top w:val="nil"/>
              <w:bottom w:val="single" w:sz="4" w:space="0" w:color="auto"/>
            </w:tcBorders>
            <w:shd w:val="clear" w:color="auto" w:fill="auto"/>
            <w:noWrap/>
            <w:vAlign w:val="bottom"/>
          </w:tcPr>
          <w:p w:rsidR="00551445" w:rsidRPr="00D010E7" w:rsidP="00280050" w14:paraId="3ACB885D" w14:textId="77777777">
            <w:pPr>
              <w:jc w:val="right"/>
              <w:rPr>
                <w:color w:val="000000"/>
              </w:rPr>
            </w:pPr>
            <w:r w:rsidRPr="00D010E7">
              <w:rPr>
                <w:color w:val="000000"/>
              </w:rPr>
              <w:t>210</w:t>
            </w:r>
          </w:p>
        </w:tc>
      </w:tr>
    </w:tbl>
    <w:p w:rsidR="00551445" w:rsidRPr="0088090F" w:rsidP="0088090F" w14:paraId="51C3861E" w14:textId="309DA1E2">
      <w:pPr>
        <w:spacing w:line="240" w:lineRule="auto"/>
        <w:rPr>
          <w:sz w:val="20"/>
          <w:szCs w:val="20"/>
        </w:rPr>
      </w:pPr>
      <w:r w:rsidRPr="0088090F">
        <w:rPr>
          <w:sz w:val="20"/>
          <w:szCs w:val="20"/>
        </w:rPr>
        <w:t xml:space="preserve">*ORU distributions for </w:t>
      </w:r>
      <w:r w:rsidR="00765D2C">
        <w:rPr>
          <w:sz w:val="20"/>
          <w:szCs w:val="20"/>
        </w:rPr>
        <w:t>Study 2</w:t>
      </w:r>
      <w:r w:rsidRPr="0088090F">
        <w:rPr>
          <w:sz w:val="20"/>
          <w:szCs w:val="20"/>
        </w:rPr>
        <w:t xml:space="preserve"> mirror those of drivers and ORUs in </w:t>
      </w:r>
      <w:r w:rsidR="00765D2C">
        <w:rPr>
          <w:sz w:val="20"/>
          <w:szCs w:val="20"/>
        </w:rPr>
        <w:t>Study 1</w:t>
      </w:r>
      <w:r w:rsidRPr="0088090F">
        <w:rPr>
          <w:sz w:val="20"/>
          <w:szCs w:val="20"/>
        </w:rPr>
        <w:t xml:space="preserve"> as no prior studies are available to provide a </w:t>
      </w:r>
      <w:r w:rsidR="00981AE4">
        <w:rPr>
          <w:sz w:val="20"/>
          <w:szCs w:val="20"/>
        </w:rPr>
        <w:t>stronger</w:t>
      </w:r>
      <w:r w:rsidRPr="0088090F">
        <w:rPr>
          <w:sz w:val="20"/>
          <w:szCs w:val="20"/>
        </w:rPr>
        <w:t xml:space="preserve"> estimate.</w:t>
      </w:r>
    </w:p>
    <w:p w:rsidR="0088090F" w:rsidP="0088090F" w14:paraId="53048057" w14:textId="77777777">
      <w:pPr>
        <w:spacing w:line="240" w:lineRule="auto"/>
      </w:pPr>
    </w:p>
    <w:p w:rsidR="006F26AD" w:rsidP="0088090F" w14:paraId="05E664E9" w14:textId="13672513">
      <w:pPr>
        <w:spacing w:line="240" w:lineRule="auto"/>
      </w:pPr>
      <w:r w:rsidRPr="00981AE4">
        <w:t xml:space="preserve">Given the small sample size and </w:t>
      </w:r>
      <w:r w:rsidRPr="00981AE4" w:rsidR="0088090F">
        <w:t>nature of the convenience sample to be obtained</w:t>
      </w:r>
      <w:r w:rsidRPr="00981AE4" w:rsidR="0007191F">
        <w:t>,</w:t>
      </w:r>
      <w:r w:rsidRPr="00981AE4" w:rsidR="0088090F">
        <w:t xml:space="preserve"> </w:t>
      </w:r>
      <w:r w:rsidRPr="00981AE4" w:rsidR="0007191F">
        <w:t>n</w:t>
      </w:r>
      <w:r w:rsidRPr="00981AE4" w:rsidR="0088090F">
        <w:t>o statistical analyses</w:t>
      </w:r>
      <w:r w:rsidRPr="00981AE4" w:rsidR="003C06F3">
        <w:t xml:space="preserve"> other than basic summations and crosstabs</w:t>
      </w:r>
      <w:r w:rsidRPr="00981AE4" w:rsidR="0088090F">
        <w:t xml:space="preserve"> will be conducted for </w:t>
      </w:r>
      <w:r w:rsidR="00765D2C">
        <w:t>Study 2</w:t>
      </w:r>
      <w:r w:rsidR="0088090F">
        <w:t>.</w:t>
      </w:r>
      <w:r w:rsidR="0007191F">
        <w:t xml:space="preserve"> </w:t>
      </w:r>
    </w:p>
    <w:p w:rsidR="0088090F" w:rsidRPr="003E419C" w:rsidP="0088090F" w14:paraId="501CB199" w14:textId="77777777">
      <w:pPr>
        <w:spacing w:line="240" w:lineRule="auto"/>
      </w:pPr>
    </w:p>
    <w:p w:rsidR="005B647F" w:rsidRPr="00C02E7E" w:rsidP="002E7E08" w14:paraId="5B073D21" w14:textId="6CE75B93">
      <w:pPr>
        <w:pStyle w:val="Heading1"/>
      </w:pPr>
      <w:r w:rsidRPr="00C02E7E">
        <w:t>B.2.</w:t>
      </w:r>
      <w:r w:rsidRPr="00C02E7E">
        <w:tab/>
        <w:t>Describe the procedures for the collection of information, including:</w:t>
      </w:r>
    </w:p>
    <w:p w:rsidR="005B647F" w:rsidP="002E7E08" w14:paraId="3FC10277" w14:textId="77777777">
      <w:pPr>
        <w:pStyle w:val="Heading1"/>
      </w:pPr>
      <w:r w:rsidRPr="00C02E7E">
        <w:t>Statistical methodology for stratification and sample selection.</w:t>
      </w:r>
    </w:p>
    <w:p w:rsidR="00E43A56" w:rsidP="00E43A56" w14:paraId="7A9B1881" w14:textId="77777777">
      <w:pPr>
        <w:spacing w:line="240" w:lineRule="auto"/>
        <w:contextualSpacing/>
        <w:rPr>
          <w:color w:val="000000"/>
        </w:rPr>
      </w:pPr>
    </w:p>
    <w:p w:rsidR="00E43A56" w:rsidRPr="00C02E7E" w:rsidP="00E3616E" w14:paraId="2AE01C1B" w14:textId="7D99A2C4">
      <w:pPr>
        <w:spacing w:line="240" w:lineRule="auto"/>
        <w:contextualSpacing/>
        <w:rPr>
          <w:rFonts w:eastAsia="Calibri"/>
          <w:color w:val="000000"/>
          <w:sz w:val="23"/>
          <w:szCs w:val="23"/>
          <w:lang w:eastAsia="zh-TW"/>
        </w:rPr>
      </w:pPr>
      <w:r>
        <w:rPr>
          <w:color w:val="000000"/>
        </w:rPr>
        <w:t>As described above</w:t>
      </w:r>
      <w:r w:rsidR="0073177F">
        <w:rPr>
          <w:color w:val="000000"/>
        </w:rPr>
        <w:t xml:space="preserve"> for Study 1</w:t>
      </w:r>
      <w:r>
        <w:rPr>
          <w:color w:val="000000"/>
        </w:rPr>
        <w:t>, e</w:t>
      </w:r>
      <w:r w:rsidRPr="47C812E3">
        <w:rPr>
          <w:color w:val="000000"/>
        </w:rPr>
        <w:t xml:space="preserve">ach of the 707 PSUs in the frame was assigned a measure of size equal to the combination of its estimated nine types of crash counts. </w:t>
      </w:r>
      <w:r>
        <w:rPr>
          <w:color w:val="000000"/>
        </w:rPr>
        <w:t>From this original set</w:t>
      </w:r>
      <w:r w:rsidRPr="47C812E3">
        <w:rPr>
          <w:color w:val="000000"/>
        </w:rPr>
        <w:t xml:space="preserve"> 101 PSUs were selected by a stratified probability proportional-to-size (PPS) sampling method. Then a sequence of sub-samples was selected from the 101 PSU samples, and in this process the strata </w:t>
      </w:r>
      <w:r w:rsidRPr="47C812E3">
        <w:rPr>
          <w:color w:val="000000"/>
        </w:rPr>
        <w:t>were collapsed</w:t>
      </w:r>
      <w:r w:rsidRPr="47C812E3">
        <w:rPr>
          <w:color w:val="000000"/>
        </w:rPr>
        <w:t xml:space="preserve"> if necessary. This produced a sequence of nested PSU samples with decreasing sample sizes selected from the collapsed strata.</w:t>
      </w:r>
      <w:r>
        <w:rPr>
          <w:color w:val="000000"/>
        </w:rPr>
        <w:t xml:space="preserve"> </w:t>
      </w:r>
      <w:r w:rsidR="00871CDB">
        <w:rPr>
          <w:rStyle w:val="fontstyle01"/>
          <w:rFonts w:ascii="Times New Roman" w:hAnsi="Times New Roman" w:eastAsiaTheme="minorEastAsia"/>
        </w:rPr>
        <w:t>Study 1</w:t>
      </w:r>
      <w:r w:rsidRPr="24F88664">
        <w:rPr>
          <w:rStyle w:val="fontstyle01"/>
          <w:rFonts w:ascii="Times New Roman" w:hAnsi="Times New Roman" w:eastAsiaTheme="minorEastAsia"/>
        </w:rPr>
        <w:t xml:space="preserve"> will begin with </w:t>
      </w:r>
      <w:r>
        <w:rPr>
          <w:rStyle w:val="fontstyle01"/>
          <w:rFonts w:ascii="Times New Roman" w:hAnsi="Times New Roman" w:eastAsiaTheme="minorEastAsia"/>
        </w:rPr>
        <w:t>this</w:t>
      </w:r>
      <w:r w:rsidRPr="24F88664">
        <w:rPr>
          <w:rStyle w:val="fontstyle01"/>
          <w:rFonts w:ascii="Times New Roman" w:hAnsi="Times New Roman" w:eastAsiaTheme="minorEastAsia"/>
        </w:rPr>
        <w:t xml:space="preserve"> base sample of 60 CRSS PSUs</w:t>
      </w:r>
      <w:r>
        <w:rPr>
          <w:rStyle w:val="fontstyle01"/>
          <w:rFonts w:ascii="Times New Roman" w:hAnsi="Times New Roman" w:eastAsiaTheme="minorEastAsia"/>
        </w:rPr>
        <w:t xml:space="preserve">. The sampling itself </w:t>
      </w:r>
      <w:r w:rsidR="00871CDB">
        <w:rPr>
          <w:rStyle w:val="fontstyle01"/>
          <w:rFonts w:ascii="Times New Roman" w:hAnsi="Times New Roman" w:eastAsiaTheme="minorEastAsia"/>
        </w:rPr>
        <w:t xml:space="preserve">for Study 1 </w:t>
      </w:r>
      <w:r>
        <w:rPr>
          <w:rStyle w:val="fontstyle01"/>
          <w:rFonts w:ascii="Times New Roman" w:hAnsi="Times New Roman" w:eastAsiaTheme="minorEastAsia"/>
        </w:rPr>
        <w:t>will be conducted in the four stages described in section B.1.</w:t>
      </w:r>
    </w:p>
    <w:p w:rsidR="00B07F8E" w:rsidP="00B07F8E" w14:paraId="0A93F3D1" w14:textId="7AE28DFE">
      <w:pPr>
        <w:spacing w:after="240"/>
        <w:contextualSpacing/>
        <w:jc w:val="center"/>
        <w:rPr>
          <w:rFonts w:eastAsia="Calibri"/>
          <w:b/>
        </w:rPr>
      </w:pPr>
      <w:r w:rsidRPr="00E3616E">
        <w:rPr>
          <w:rFonts w:eastAsia="Calibri"/>
          <w:b/>
        </w:rPr>
        <w:t xml:space="preserve">Study 1: </w:t>
      </w:r>
      <w:r w:rsidRPr="00E3616E" w:rsidR="003F2B23">
        <w:rPr>
          <w:rFonts w:eastAsia="Calibri"/>
          <w:b/>
        </w:rPr>
        <w:t>Rec</w:t>
      </w:r>
      <w:r w:rsidRPr="00E3616E" w:rsidR="00115B48">
        <w:rPr>
          <w:rFonts w:eastAsia="Calibri"/>
          <w:b/>
        </w:rPr>
        <w:t>r</w:t>
      </w:r>
      <w:r w:rsidRPr="00E3616E" w:rsidR="003F2B23">
        <w:rPr>
          <w:rFonts w:eastAsia="Calibri"/>
          <w:b/>
        </w:rPr>
        <w:t>uitment</w:t>
      </w:r>
      <w:r w:rsidRPr="00E3616E" w:rsidR="00574C4A">
        <w:rPr>
          <w:rFonts w:eastAsia="Calibri"/>
          <w:b/>
        </w:rPr>
        <w:t xml:space="preserve"> Procedures</w:t>
      </w:r>
    </w:p>
    <w:p w:rsidR="00871CDB" w:rsidRPr="00E3616E" w:rsidP="00E3616E" w14:paraId="11FC8D5D" w14:textId="4B2864C3">
      <w:pPr>
        <w:spacing w:before="240"/>
        <w:contextualSpacing/>
        <w:rPr>
          <w:rFonts w:eastAsia="Calibri"/>
          <w:b/>
        </w:rPr>
      </w:pPr>
      <w:r>
        <w:rPr>
          <w:rFonts w:eastAsia="Calibri"/>
          <w:b/>
        </w:rPr>
        <w:t xml:space="preserve">Study 1 </w:t>
      </w:r>
      <w:r w:rsidRPr="00E3616E">
        <w:rPr>
          <w:rFonts w:eastAsia="Calibri"/>
          <w:b/>
        </w:rPr>
        <w:t>Driver Recruitment Procedures</w:t>
      </w:r>
    </w:p>
    <w:p w:rsidR="00D95848" w:rsidRPr="006A594E" w:rsidP="00D95848" w14:paraId="3ED92614" w14:textId="30EE00A9">
      <w:pPr>
        <w:pStyle w:val="BodyText"/>
        <w:spacing w:line="240" w:lineRule="auto"/>
        <w:rPr>
          <w:rFonts w:ascii="Times New Roman" w:hAnsi="Times New Roman" w:cs="Times New Roman"/>
          <w:sz w:val="24"/>
        </w:rPr>
      </w:pPr>
      <w:bookmarkStart w:id="32" w:name="_Toc125278839"/>
      <w:bookmarkStart w:id="33" w:name="_Toc125341762"/>
      <w:bookmarkStart w:id="34" w:name="_Toc125447320"/>
      <w:bookmarkStart w:id="35" w:name="_Toc126394143"/>
      <w:r w:rsidRPr="006A594E">
        <w:rPr>
          <w:rFonts w:ascii="Times New Roman" w:hAnsi="Times New Roman" w:cs="Times New Roman"/>
          <w:sz w:val="24"/>
        </w:rPr>
        <w:t>Large, diamond-shaped signs will be used at each location</w:t>
      </w:r>
      <w:r w:rsidR="006A2871">
        <w:rPr>
          <w:rFonts w:ascii="Times New Roman" w:hAnsi="Times New Roman" w:cs="Times New Roman"/>
          <w:sz w:val="24"/>
        </w:rPr>
        <w:t xml:space="preserve"> to recruit drivers</w:t>
      </w:r>
      <w:r w:rsidR="00115B48">
        <w:rPr>
          <w:rFonts w:ascii="Times New Roman" w:hAnsi="Times New Roman" w:cs="Times New Roman"/>
          <w:sz w:val="24"/>
        </w:rPr>
        <w:t xml:space="preserve"> in combination with a research</w:t>
      </w:r>
      <w:r w:rsidR="00D46F27">
        <w:rPr>
          <w:rFonts w:ascii="Times New Roman" w:hAnsi="Times New Roman" w:cs="Times New Roman"/>
          <w:sz w:val="24"/>
        </w:rPr>
        <w:t>er</w:t>
      </w:r>
      <w:r w:rsidR="00115B48">
        <w:rPr>
          <w:rFonts w:ascii="Times New Roman" w:hAnsi="Times New Roman" w:cs="Times New Roman"/>
          <w:sz w:val="24"/>
        </w:rPr>
        <w:t xml:space="preserve"> acting as a traffic director</w:t>
      </w:r>
      <w:r w:rsidRPr="006A594E">
        <w:rPr>
          <w:rFonts w:ascii="Times New Roman" w:hAnsi="Times New Roman" w:cs="Times New Roman"/>
          <w:sz w:val="24"/>
        </w:rPr>
        <w:t xml:space="preserve">. </w:t>
      </w:r>
      <w:r w:rsidR="00D46F27">
        <w:rPr>
          <w:rFonts w:ascii="Times New Roman" w:hAnsi="Times New Roman" w:cs="Times New Roman"/>
          <w:sz w:val="24"/>
        </w:rPr>
        <w:t>A</w:t>
      </w:r>
      <w:r w:rsidRPr="006A594E">
        <w:rPr>
          <w:rFonts w:ascii="Times New Roman" w:hAnsi="Times New Roman" w:cs="Times New Roman"/>
          <w:sz w:val="24"/>
        </w:rPr>
        <w:t xml:space="preserve"> sign that says “Paid Voluntary Survey Ahead” will be placed about 100 feet, or about a block, from the entrance of the sampling location. The second sign, with a dollar amount listed (e.g., “Make $20 for 10 Minutes”) will be placed about 50 feet, or about half a block, from the entrance of the sampling location. The third sign, “Stop Here to Volunteer,” will be placed at the entrance of the sampling location. Signs will be placed in a safe, </w:t>
      </w:r>
      <w:r w:rsidRPr="006A594E">
        <w:rPr>
          <w:rFonts w:ascii="Times New Roman" w:hAnsi="Times New Roman" w:cs="Times New Roman"/>
          <w:sz w:val="24"/>
        </w:rPr>
        <w:t>visible area. They will not obstruct a driver’s view of the roadway and will not be placed on private property unless permission is granted by the property owner</w:t>
      </w:r>
      <w:r>
        <w:rPr>
          <w:rFonts w:ascii="Times New Roman" w:hAnsi="Times New Roman" w:cs="Times New Roman"/>
          <w:sz w:val="24"/>
        </w:rPr>
        <w:t xml:space="preserve">. </w:t>
      </w:r>
      <w:r w:rsidRPr="006A594E">
        <w:rPr>
          <w:rFonts w:ascii="Times New Roman" w:hAnsi="Times New Roman" w:cs="Times New Roman"/>
          <w:sz w:val="24"/>
        </w:rPr>
        <w:t xml:space="preserve">The signs will be placed face down during the </w:t>
      </w:r>
      <w:r w:rsidR="00D46F27">
        <w:rPr>
          <w:rFonts w:ascii="Times New Roman" w:hAnsi="Times New Roman" w:cs="Times New Roman"/>
          <w:sz w:val="24"/>
        </w:rPr>
        <w:t xml:space="preserve">data collection location </w:t>
      </w:r>
      <w:r w:rsidRPr="006A594E">
        <w:rPr>
          <w:rFonts w:ascii="Times New Roman" w:hAnsi="Times New Roman" w:cs="Times New Roman"/>
          <w:sz w:val="24"/>
        </w:rPr>
        <w:t xml:space="preserve">set-up, otherwise vehicles may begin entering the bay before the </w:t>
      </w:r>
      <w:r w:rsidR="00D46F27">
        <w:rPr>
          <w:rFonts w:ascii="Times New Roman" w:hAnsi="Times New Roman" w:cs="Times New Roman"/>
          <w:sz w:val="24"/>
        </w:rPr>
        <w:t>data collectors</w:t>
      </w:r>
      <w:r w:rsidRPr="006A594E">
        <w:rPr>
          <w:rFonts w:ascii="Times New Roman" w:hAnsi="Times New Roman" w:cs="Times New Roman"/>
          <w:sz w:val="24"/>
        </w:rPr>
        <w:t xml:space="preserve"> are ready to begin. Once every </w:t>
      </w:r>
      <w:r w:rsidR="00B00DE0">
        <w:rPr>
          <w:rFonts w:ascii="Times New Roman" w:hAnsi="Times New Roman" w:cs="Times New Roman"/>
          <w:sz w:val="24"/>
        </w:rPr>
        <w:t xml:space="preserve">study team </w:t>
      </w:r>
      <w:r w:rsidRPr="006A594E">
        <w:rPr>
          <w:rFonts w:ascii="Times New Roman" w:hAnsi="Times New Roman" w:cs="Times New Roman"/>
          <w:sz w:val="24"/>
        </w:rPr>
        <w:t>member is ready and the site is prepared for data collection, the signs will be raised so they are visible to the driving public.</w:t>
      </w:r>
      <w:r>
        <w:rPr>
          <w:rFonts w:ascii="Times New Roman" w:hAnsi="Times New Roman" w:cs="Times New Roman"/>
          <w:sz w:val="24"/>
        </w:rPr>
        <w:t xml:space="preserve"> Changeable message </w:t>
      </w:r>
      <w:r w:rsidRPr="006A594E">
        <w:rPr>
          <w:rFonts w:ascii="Times New Roman" w:hAnsi="Times New Roman" w:cs="Times New Roman"/>
          <w:sz w:val="24"/>
        </w:rPr>
        <w:t>signs</w:t>
      </w:r>
      <w:r>
        <w:rPr>
          <w:rFonts w:ascii="Times New Roman" w:hAnsi="Times New Roman" w:cs="Times New Roman"/>
          <w:sz w:val="24"/>
        </w:rPr>
        <w:t>, if available,</w:t>
      </w:r>
      <w:r w:rsidRPr="006A594E">
        <w:rPr>
          <w:rFonts w:ascii="Times New Roman" w:hAnsi="Times New Roman" w:cs="Times New Roman"/>
          <w:sz w:val="24"/>
        </w:rPr>
        <w:t xml:space="preserve"> </w:t>
      </w:r>
      <w:r w:rsidR="00D46F27">
        <w:rPr>
          <w:rFonts w:ascii="Times New Roman" w:hAnsi="Times New Roman" w:cs="Times New Roman"/>
          <w:sz w:val="24"/>
        </w:rPr>
        <w:t xml:space="preserve">may </w:t>
      </w:r>
      <w:r w:rsidRPr="006A594E">
        <w:rPr>
          <w:rFonts w:ascii="Times New Roman" w:hAnsi="Times New Roman" w:cs="Times New Roman"/>
          <w:sz w:val="24"/>
        </w:rPr>
        <w:t xml:space="preserve">also be used when lighting is poor. </w:t>
      </w:r>
    </w:p>
    <w:p w:rsidR="00D95848" w:rsidRPr="006A594E" w:rsidP="00D95848" w14:paraId="2B96AF6C" w14:textId="77777777">
      <w:pPr>
        <w:pStyle w:val="NoSpacing"/>
        <w:rPr>
          <w:rFonts w:ascii="Times New Roman" w:hAnsi="Times New Roman" w:cs="Times New Roman"/>
          <w:sz w:val="24"/>
          <w:szCs w:val="24"/>
        </w:rPr>
      </w:pPr>
    </w:p>
    <w:p w:rsidR="00D95848" w:rsidRPr="006A594E" w:rsidP="00D95848" w14:paraId="4ED49A20" w14:textId="2A13BD00">
      <w:pPr>
        <w:pStyle w:val="BodyText"/>
        <w:spacing w:line="240" w:lineRule="auto"/>
        <w:rPr>
          <w:rFonts w:ascii="Times New Roman" w:hAnsi="Times New Roman" w:cs="Times New Roman"/>
          <w:sz w:val="24"/>
        </w:rPr>
      </w:pPr>
      <w:r w:rsidRPr="00D95848">
        <w:rPr>
          <w:rFonts w:ascii="Times New Roman" w:hAnsi="Times New Roman" w:cs="Times New Roman"/>
          <w:sz w:val="24"/>
        </w:rPr>
        <w:t xml:space="preserve">One of the </w:t>
      </w:r>
      <w:r w:rsidR="00D46F27">
        <w:rPr>
          <w:rFonts w:ascii="Times New Roman" w:hAnsi="Times New Roman" w:cs="Times New Roman"/>
          <w:sz w:val="24"/>
        </w:rPr>
        <w:t>study team members</w:t>
      </w:r>
      <w:r w:rsidRPr="00D95848">
        <w:rPr>
          <w:rFonts w:ascii="Times New Roman" w:hAnsi="Times New Roman" w:cs="Times New Roman"/>
          <w:sz w:val="24"/>
        </w:rPr>
        <w:t xml:space="preserve"> will be designated to recruit drivers from free-flowing traffic. This traffic director will use traffic wands to alert drivers</w:t>
      </w:r>
      <w:r>
        <w:rPr>
          <w:rFonts w:ascii="Times New Roman" w:hAnsi="Times New Roman" w:cs="Times New Roman"/>
          <w:sz w:val="24"/>
        </w:rPr>
        <w:t xml:space="preserve"> </w:t>
      </w:r>
      <w:r w:rsidRPr="00D95848">
        <w:rPr>
          <w:rFonts w:ascii="Times New Roman" w:hAnsi="Times New Roman" w:cs="Times New Roman"/>
          <w:sz w:val="24"/>
        </w:rPr>
        <w:t xml:space="preserve">in traffic on the roadway to the data collection bay area if they would like to participate. The traffic director may be able to speak to drivers if the location is near a stop sign or traffic light. When traffic flow is high, the traffic director will be instructed to modulate recruiting if all data collection bays are full. Active </w:t>
      </w:r>
      <w:r w:rsidR="003C06F3">
        <w:rPr>
          <w:rFonts w:ascii="Times New Roman" w:hAnsi="Times New Roman" w:cs="Times New Roman"/>
          <w:sz w:val="24"/>
        </w:rPr>
        <w:t xml:space="preserve">recruitment </w:t>
      </w:r>
      <w:r w:rsidRPr="00D95848">
        <w:rPr>
          <w:rFonts w:ascii="Times New Roman" w:hAnsi="Times New Roman" w:cs="Times New Roman"/>
          <w:sz w:val="24"/>
        </w:rPr>
        <w:t>of drivers will stop when all bays are full, but the study signs will remain upright. When a bay opens, the traffic director will begin recruiting again. Overall, researchers will recruit as many drivers as possible during each data collection period.</w:t>
      </w:r>
      <w:r w:rsidRPr="0CD984E0">
        <w:rPr>
          <w:rFonts w:ascii="Times New Roman" w:hAnsi="Times New Roman" w:cs="Times New Roman"/>
          <w:sz w:val="24"/>
        </w:rPr>
        <w:t xml:space="preserve"> </w:t>
      </w:r>
      <w:r w:rsidR="0042060F">
        <w:rPr>
          <w:rFonts w:ascii="Times New Roman" w:hAnsi="Times New Roman" w:cs="Times New Roman"/>
          <w:sz w:val="24"/>
        </w:rPr>
        <w:t>The driver inclusion/exclusion criteria are as follows:</w:t>
      </w:r>
    </w:p>
    <w:p w:rsidR="00115B48" w:rsidP="00B756EA" w14:paraId="6ADA9F56" w14:textId="77777777">
      <w:pPr>
        <w:rPr>
          <w:u w:val="single"/>
        </w:rPr>
      </w:pPr>
    </w:p>
    <w:p w:rsidR="00B756EA" w:rsidRPr="00E3616E" w:rsidP="00B756EA" w14:paraId="2A5A0F34" w14:textId="2F73001C">
      <w:pPr>
        <w:rPr>
          <w:i/>
          <w:iCs/>
          <w:u w:val="single"/>
        </w:rPr>
      </w:pPr>
      <w:r w:rsidRPr="00E3616E">
        <w:rPr>
          <w:i/>
          <w:iCs/>
          <w:u w:val="single"/>
        </w:rPr>
        <w:t xml:space="preserve">Driver </w:t>
      </w:r>
      <w:r w:rsidRPr="00E3616E">
        <w:rPr>
          <w:i/>
          <w:iCs/>
          <w:u w:val="single"/>
        </w:rPr>
        <w:t>Inclusion</w:t>
      </w:r>
    </w:p>
    <w:p w:rsidR="00B756EA" w:rsidRPr="00C02E7E" w:rsidP="004D0D29" w14:paraId="5C06091E" w14:textId="7E6CE2DB">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C02E7E">
        <w:rPr>
          <w:rFonts w:ascii="Times New Roman" w:hAnsi="Times New Roman" w:cs="Times New Roman"/>
          <w:sz w:val="24"/>
          <w:szCs w:val="24"/>
        </w:rPr>
        <w:t xml:space="preserve">perating a personal </w:t>
      </w:r>
      <w:r w:rsidR="00E13154">
        <w:rPr>
          <w:rFonts w:ascii="Times New Roman" w:hAnsi="Times New Roman" w:cs="Times New Roman"/>
          <w:sz w:val="24"/>
          <w:szCs w:val="24"/>
        </w:rPr>
        <w:t xml:space="preserve">motor vehicle </w:t>
      </w:r>
      <w:r w:rsidRPr="00C02E7E">
        <w:rPr>
          <w:rFonts w:ascii="Times New Roman" w:hAnsi="Times New Roman" w:cs="Times New Roman"/>
          <w:sz w:val="24"/>
          <w:szCs w:val="24"/>
        </w:rPr>
        <w:t xml:space="preserve">(e.g., car, pick-up truck, van, SUV, motorcycle) </w:t>
      </w:r>
      <w:r w:rsidR="00CF6F52">
        <w:rPr>
          <w:rFonts w:ascii="Times New Roman" w:hAnsi="Times New Roman" w:cs="Times New Roman"/>
          <w:sz w:val="24"/>
          <w:szCs w:val="24"/>
        </w:rPr>
        <w:t>on the selected roadway</w:t>
      </w:r>
    </w:p>
    <w:p w:rsidR="00B756EA" w:rsidRPr="00C02E7E" w:rsidP="004D0D29" w14:paraId="6E98ABD2" w14:textId="6404373D">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C02E7E">
        <w:rPr>
          <w:rFonts w:ascii="Times New Roman" w:hAnsi="Times New Roman" w:cs="Times New Roman"/>
          <w:sz w:val="24"/>
          <w:szCs w:val="24"/>
        </w:rPr>
        <w:t>t least 18 years old (</w:t>
      </w:r>
      <w:r w:rsidR="004C2DE6">
        <w:rPr>
          <w:rFonts w:ascii="Times New Roman" w:hAnsi="Times New Roman" w:cs="Times New Roman"/>
          <w:sz w:val="24"/>
          <w:szCs w:val="24"/>
        </w:rPr>
        <w:t xml:space="preserve">some </w:t>
      </w:r>
      <w:r w:rsidRPr="00C02E7E">
        <w:rPr>
          <w:rFonts w:ascii="Times New Roman" w:hAnsi="Times New Roman" w:cs="Times New Roman"/>
          <w:sz w:val="24"/>
          <w:szCs w:val="24"/>
        </w:rPr>
        <w:t>States</w:t>
      </w:r>
      <w:r w:rsidR="004C2DE6">
        <w:rPr>
          <w:rFonts w:ascii="Times New Roman" w:hAnsi="Times New Roman" w:cs="Times New Roman"/>
          <w:sz w:val="24"/>
          <w:szCs w:val="24"/>
        </w:rPr>
        <w:t xml:space="preserve"> may allow </w:t>
      </w:r>
      <w:r w:rsidR="00F645D6">
        <w:rPr>
          <w:rFonts w:ascii="Times New Roman" w:hAnsi="Times New Roman" w:cs="Times New Roman"/>
          <w:sz w:val="24"/>
          <w:szCs w:val="24"/>
        </w:rPr>
        <w:t>16-year-olds</w:t>
      </w:r>
      <w:r w:rsidR="004C2DE6">
        <w:rPr>
          <w:rFonts w:ascii="Times New Roman" w:hAnsi="Times New Roman" w:cs="Times New Roman"/>
          <w:sz w:val="24"/>
          <w:szCs w:val="24"/>
        </w:rPr>
        <w:t xml:space="preserve"> to participate</w:t>
      </w:r>
      <w:r w:rsidR="00712EFC">
        <w:rPr>
          <w:rFonts w:ascii="Times New Roman" w:hAnsi="Times New Roman" w:cs="Times New Roman"/>
          <w:sz w:val="24"/>
          <w:szCs w:val="24"/>
        </w:rPr>
        <w:t xml:space="preserve"> without parental </w:t>
      </w:r>
      <w:r w:rsidR="0085325C">
        <w:rPr>
          <w:rFonts w:ascii="Times New Roman" w:hAnsi="Times New Roman" w:cs="Times New Roman"/>
          <w:sz w:val="24"/>
          <w:szCs w:val="24"/>
        </w:rPr>
        <w:t>consent</w:t>
      </w:r>
      <w:r w:rsidRPr="00C02E7E">
        <w:rPr>
          <w:rFonts w:ascii="Times New Roman" w:hAnsi="Times New Roman" w:cs="Times New Roman"/>
          <w:sz w:val="24"/>
          <w:szCs w:val="24"/>
        </w:rPr>
        <w:t>)</w:t>
      </w:r>
    </w:p>
    <w:p w:rsidR="00B756EA" w:rsidRPr="001741BE" w:rsidP="004D0D29" w14:paraId="72049504" w14:textId="78F79379">
      <w:pPr>
        <w:pStyle w:val="ListParagraph"/>
        <w:widowControl w:val="0"/>
        <w:numPr>
          <w:ilvl w:val="0"/>
          <w:numId w:val="2"/>
        </w:numPr>
        <w:spacing w:after="0" w:line="240" w:lineRule="auto"/>
        <w:rPr>
          <w:rFonts w:ascii="Times New Roman" w:hAnsi="Times New Roman" w:cs="Times New Roman"/>
          <w:sz w:val="24"/>
          <w:szCs w:val="24"/>
        </w:rPr>
      </w:pPr>
      <w:r w:rsidRPr="001741BE">
        <w:rPr>
          <w:rFonts w:ascii="Times New Roman" w:hAnsi="Times New Roman" w:cs="Times New Roman"/>
          <w:sz w:val="24"/>
          <w:szCs w:val="24"/>
        </w:rPr>
        <w:t xml:space="preserve">Must comprehend English or other language for which there is a team member fluent in that language and consent forms are available. </w:t>
      </w:r>
      <w:r w:rsidRPr="001741BE" w:rsidR="00707C4C">
        <w:rPr>
          <w:rFonts w:ascii="Times New Roman" w:hAnsi="Times New Roman" w:cs="Times New Roman"/>
          <w:sz w:val="24"/>
          <w:szCs w:val="24"/>
        </w:rPr>
        <w:t xml:space="preserve">The study will have at least one Spanish-speaking team </w:t>
      </w:r>
      <w:r w:rsidRPr="001741BE" w:rsidR="00707C4C">
        <w:rPr>
          <w:rFonts w:ascii="Times New Roman" w:hAnsi="Times New Roman" w:cs="Times New Roman"/>
          <w:sz w:val="24"/>
          <w:szCs w:val="24"/>
        </w:rPr>
        <w:t>member</w:t>
      </w:r>
      <w:r w:rsidRPr="001741BE" w:rsidR="00707C4C">
        <w:rPr>
          <w:rFonts w:ascii="Times New Roman" w:hAnsi="Times New Roman" w:cs="Times New Roman"/>
          <w:sz w:val="24"/>
          <w:szCs w:val="24"/>
        </w:rPr>
        <w:t xml:space="preserve"> and all forms will be available in Spanish.</w:t>
      </w:r>
    </w:p>
    <w:p w:rsidR="00B756EA" w:rsidRPr="00C02E7E" w:rsidP="00B756EA" w14:paraId="34D5B2DD" w14:textId="77777777">
      <w:pPr>
        <w:keepNext/>
        <w:rPr>
          <w:u w:val="single"/>
        </w:rPr>
      </w:pPr>
    </w:p>
    <w:p w:rsidR="00B756EA" w:rsidRPr="00E3616E" w:rsidP="00B756EA" w14:paraId="053B9E3B" w14:textId="04E7821B">
      <w:pPr>
        <w:keepNext/>
        <w:rPr>
          <w:i/>
          <w:iCs/>
          <w:u w:val="single"/>
        </w:rPr>
      </w:pPr>
      <w:r w:rsidRPr="00E3616E">
        <w:rPr>
          <w:i/>
          <w:iCs/>
          <w:u w:val="single"/>
        </w:rPr>
        <w:t xml:space="preserve">Driver </w:t>
      </w:r>
      <w:r w:rsidRPr="00E3616E">
        <w:rPr>
          <w:i/>
          <w:iCs/>
          <w:u w:val="single"/>
        </w:rPr>
        <w:t>Exclusion</w:t>
      </w:r>
    </w:p>
    <w:p w:rsidR="00B756EA" w:rsidRPr="00C02E7E" w:rsidP="004D0D29" w14:paraId="5B31FE05" w14:textId="03091A24">
      <w:pPr>
        <w:pStyle w:val="ListParagraph"/>
        <w:keepNex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Operating a</w:t>
      </w:r>
      <w:r w:rsidRPr="00C02E7E">
        <w:rPr>
          <w:rFonts w:ascii="Times New Roman" w:hAnsi="Times New Roman" w:cs="Times New Roman"/>
          <w:sz w:val="24"/>
          <w:szCs w:val="24"/>
        </w:rPr>
        <w:t xml:space="preserve"> commercial vehicle</w:t>
      </w:r>
      <w:r>
        <w:rPr>
          <w:rFonts w:ascii="Times New Roman" w:hAnsi="Times New Roman" w:cs="Times New Roman"/>
          <w:sz w:val="24"/>
          <w:szCs w:val="24"/>
        </w:rPr>
        <w:t xml:space="preserve"> and is</w:t>
      </w:r>
      <w:r w:rsidRPr="00C02E7E">
        <w:rPr>
          <w:rFonts w:ascii="Times New Roman" w:hAnsi="Times New Roman" w:cs="Times New Roman"/>
          <w:sz w:val="24"/>
          <w:szCs w:val="24"/>
        </w:rPr>
        <w:t xml:space="preserve"> actively working</w:t>
      </w:r>
    </w:p>
    <w:p w:rsidR="00B756EA" w:rsidRPr="00C02E7E" w:rsidP="004D0D29" w14:paraId="27EAF5B0" w14:textId="26CBB389">
      <w:pPr>
        <w:pStyle w:val="ListParagraph"/>
        <w:widowControl w:val="0"/>
        <w:numPr>
          <w:ilvl w:val="0"/>
          <w:numId w:val="2"/>
        </w:numPr>
        <w:spacing w:after="0" w:line="240" w:lineRule="auto"/>
        <w:rPr>
          <w:rFonts w:ascii="Times New Roman" w:hAnsi="Times New Roman" w:cs="Times New Roman"/>
          <w:sz w:val="24"/>
          <w:szCs w:val="24"/>
        </w:rPr>
      </w:pPr>
      <w:r w:rsidRPr="00C02E7E">
        <w:rPr>
          <w:rFonts w:ascii="Times New Roman" w:hAnsi="Times New Roman" w:cs="Times New Roman"/>
          <w:sz w:val="24"/>
          <w:szCs w:val="24"/>
        </w:rPr>
        <w:t xml:space="preserve">Severely intoxicated </w:t>
      </w:r>
      <w:r w:rsidR="00E275CF">
        <w:rPr>
          <w:rFonts w:ascii="Times New Roman" w:hAnsi="Times New Roman" w:cs="Times New Roman"/>
          <w:sz w:val="24"/>
          <w:szCs w:val="24"/>
        </w:rPr>
        <w:t>and</w:t>
      </w:r>
      <w:r w:rsidR="00B273F2">
        <w:rPr>
          <w:rFonts w:ascii="Times New Roman" w:hAnsi="Times New Roman" w:cs="Times New Roman"/>
          <w:sz w:val="24"/>
          <w:szCs w:val="24"/>
        </w:rPr>
        <w:t xml:space="preserve"> those</w:t>
      </w:r>
      <w:r w:rsidRPr="00C02E7E">
        <w:rPr>
          <w:rFonts w:ascii="Times New Roman" w:hAnsi="Times New Roman" w:cs="Times New Roman"/>
          <w:sz w:val="24"/>
          <w:szCs w:val="24"/>
        </w:rPr>
        <w:t xml:space="preserve"> unable to provide consent</w:t>
      </w:r>
      <w:r w:rsidR="003A7D60">
        <w:rPr>
          <w:rFonts w:ascii="Times New Roman" w:hAnsi="Times New Roman" w:cs="Times New Roman"/>
          <w:sz w:val="24"/>
          <w:szCs w:val="24"/>
        </w:rPr>
        <w:t>. The study has an impaired driver protocol in place to assist drivers in getting home or other destination safely if they are deemed too intoxicated to drive.</w:t>
      </w:r>
      <w:r w:rsidRPr="00C02E7E">
        <w:rPr>
          <w:rFonts w:ascii="Times New Roman" w:hAnsi="Times New Roman" w:cs="Times New Roman"/>
          <w:sz w:val="24"/>
          <w:szCs w:val="24"/>
        </w:rPr>
        <w:t xml:space="preserve"> </w:t>
      </w:r>
    </w:p>
    <w:p w:rsidR="00AB4CC9" w:rsidP="00280050" w14:paraId="1ED2E3C9" w14:textId="56724600">
      <w:pPr>
        <w:pStyle w:val="ListParagraph"/>
        <w:widowControl w:val="0"/>
        <w:numPr>
          <w:ilvl w:val="0"/>
          <w:numId w:val="2"/>
        </w:numPr>
        <w:spacing w:after="0" w:line="240" w:lineRule="auto"/>
      </w:pPr>
      <w:r>
        <w:rPr>
          <w:rFonts w:ascii="Times New Roman" w:hAnsi="Times New Roman" w:cs="Times New Roman"/>
          <w:sz w:val="24"/>
          <w:szCs w:val="24"/>
        </w:rPr>
        <w:t>S</w:t>
      </w:r>
      <w:r w:rsidRPr="00C02E7E" w:rsidR="00B756EA">
        <w:rPr>
          <w:rFonts w:ascii="Times New Roman" w:hAnsi="Times New Roman" w:cs="Times New Roman"/>
          <w:sz w:val="24"/>
          <w:szCs w:val="24"/>
        </w:rPr>
        <w:t xml:space="preserve">ought out the survey to participate (e.g., heard about study through friends or relatives who just participated and </w:t>
      </w:r>
      <w:r w:rsidRPr="00C02E7E" w:rsidR="00B756EA">
        <w:rPr>
          <w:rFonts w:ascii="Times New Roman" w:hAnsi="Times New Roman" w:cs="Times New Roman"/>
          <w:sz w:val="24"/>
          <w:szCs w:val="24"/>
        </w:rPr>
        <w:t>want</w:t>
      </w:r>
      <w:r w:rsidR="007F6C41">
        <w:rPr>
          <w:rFonts w:ascii="Times New Roman" w:hAnsi="Times New Roman" w:cs="Times New Roman"/>
          <w:sz w:val="24"/>
          <w:szCs w:val="24"/>
        </w:rPr>
        <w:t>s</w:t>
      </w:r>
      <w:r w:rsidRPr="00C02E7E" w:rsidR="00B756EA">
        <w:rPr>
          <w:rFonts w:ascii="Times New Roman" w:hAnsi="Times New Roman" w:cs="Times New Roman"/>
          <w:sz w:val="24"/>
          <w:szCs w:val="24"/>
        </w:rPr>
        <w:t xml:space="preserve"> the incentive). </w:t>
      </w:r>
    </w:p>
    <w:p w:rsidR="00AB4CC9" w14:paraId="41576507" w14:textId="25AFEEAC">
      <w:pPr>
        <w:spacing w:line="240" w:lineRule="auto"/>
        <w:rPr>
          <w:rFonts w:eastAsia="Calibri"/>
          <w:b/>
          <w:u w:val="single"/>
        </w:rPr>
      </w:pPr>
    </w:p>
    <w:p w:rsidR="00AB4CC9" w:rsidRPr="00E3616E" w:rsidP="00AB4CC9" w14:paraId="44AFD8E2" w14:textId="02F19A6D">
      <w:pPr>
        <w:contextualSpacing/>
        <w:rPr>
          <w:rFonts w:eastAsia="Calibri"/>
          <w:b/>
        </w:rPr>
      </w:pPr>
      <w:r>
        <w:rPr>
          <w:rFonts w:eastAsia="Calibri"/>
          <w:b/>
        </w:rPr>
        <w:t xml:space="preserve">Study 1 </w:t>
      </w:r>
      <w:r w:rsidRPr="00E3616E" w:rsidR="009F021A">
        <w:rPr>
          <w:rFonts w:eastAsia="Calibri"/>
          <w:b/>
        </w:rPr>
        <w:t xml:space="preserve">ORU </w:t>
      </w:r>
      <w:r w:rsidRPr="00E3616E">
        <w:rPr>
          <w:rFonts w:eastAsia="Calibri"/>
          <w:b/>
        </w:rPr>
        <w:t>Recruitment Procedures</w:t>
      </w:r>
    </w:p>
    <w:p w:rsidR="00AB4CC9" w:rsidP="00F645D6" w14:paraId="15DA186B" w14:textId="09BE087D">
      <w:pPr>
        <w:spacing w:line="240" w:lineRule="auto"/>
      </w:pPr>
      <w:r w:rsidRPr="0CD984E0">
        <w:t xml:space="preserve">ORUs who pass </w:t>
      </w:r>
      <w:r w:rsidR="009A2AC0">
        <w:t>nearby the data collection location</w:t>
      </w:r>
      <w:r w:rsidRPr="0CD984E0">
        <w:t xml:space="preserve"> will be approached and greeted by the designated </w:t>
      </w:r>
      <w:r w:rsidR="009A2AC0">
        <w:t>data collector</w:t>
      </w:r>
      <w:r w:rsidRPr="0CD984E0">
        <w:t xml:space="preserve">. The </w:t>
      </w:r>
      <w:r w:rsidR="009A2AC0">
        <w:t>data collector</w:t>
      </w:r>
      <w:r w:rsidRPr="0CD984E0">
        <w:t xml:space="preserve"> will briefly describe the study and request their participation. ORU flow rates could vary greatly depending on the data collection location. The recruitment approach will use the same methods as the driver portion of the study with </w:t>
      </w:r>
      <w:r w:rsidR="00A82834">
        <w:t>as many</w:t>
      </w:r>
      <w:r w:rsidRPr="0CD984E0">
        <w:t xml:space="preserve"> ORU</w:t>
      </w:r>
      <w:r w:rsidR="00A82834">
        <w:t>s as possible</w:t>
      </w:r>
      <w:r w:rsidRPr="0CD984E0">
        <w:t xml:space="preserve"> recruited when a </w:t>
      </w:r>
      <w:r w:rsidR="00A82834">
        <w:t>data collector</w:t>
      </w:r>
      <w:r w:rsidRPr="0CD984E0">
        <w:t xml:space="preserve"> is available. If a group of ORUs is traveling together, all will be </w:t>
      </w:r>
      <w:r w:rsidRPr="0CD984E0" w:rsidR="00F645D6">
        <w:t>presented with</w:t>
      </w:r>
      <w:r w:rsidRPr="0CD984E0">
        <w:t xml:space="preserve"> the opportunity to participate to the extent </w:t>
      </w:r>
      <w:r w:rsidR="00A82834">
        <w:t>a data collector</w:t>
      </w:r>
      <w:r w:rsidRPr="0CD984E0">
        <w:t xml:space="preserve"> can process multiple participants at once</w:t>
      </w:r>
      <w:r w:rsidR="00F645D6">
        <w:t>, or the ORUs are willing to wait</w:t>
      </w:r>
      <w:r w:rsidRPr="0CD984E0">
        <w:t>. A table and folding chairs will be provided to allow ORUs to sit while completing the study activities.</w:t>
      </w:r>
    </w:p>
    <w:p w:rsidR="00825BB0" w:rsidRPr="00F95C6B" w:rsidP="00F645D6" w14:paraId="3A598F20" w14:textId="77777777">
      <w:pPr>
        <w:spacing w:line="240" w:lineRule="auto"/>
      </w:pPr>
    </w:p>
    <w:p w:rsidR="00DB4FA2" w:rsidRPr="00E3616E" w:rsidP="00B756EA" w14:paraId="20EA7632" w14:textId="77777777">
      <w:pPr>
        <w:shd w:val="clear" w:color="auto" w:fill="FFFFFF"/>
        <w:rPr>
          <w:i/>
          <w:iCs/>
        </w:rPr>
      </w:pPr>
    </w:p>
    <w:p w:rsidR="00B756EA" w:rsidRPr="00E3616E" w:rsidP="00E3616E" w14:paraId="11F5588D" w14:textId="73B36F99">
      <w:pPr>
        <w:spacing w:line="240" w:lineRule="auto"/>
        <w:rPr>
          <w:i/>
          <w:iCs/>
          <w:u w:val="single"/>
        </w:rPr>
      </w:pPr>
      <w:r w:rsidRPr="00E3616E">
        <w:rPr>
          <w:i/>
          <w:iCs/>
          <w:u w:val="single"/>
        </w:rPr>
        <w:t xml:space="preserve">ORU </w:t>
      </w:r>
      <w:r w:rsidRPr="00E3616E">
        <w:rPr>
          <w:i/>
          <w:iCs/>
          <w:u w:val="single"/>
        </w:rPr>
        <w:t>Inclusion</w:t>
      </w:r>
    </w:p>
    <w:p w:rsidR="00B756EA" w:rsidRPr="00C02E7E" w:rsidP="004D0D29" w14:paraId="0C52DDA3" w14:textId="4443109A">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C02E7E">
        <w:rPr>
          <w:rFonts w:ascii="Times New Roman" w:hAnsi="Times New Roman" w:cs="Times New Roman"/>
          <w:sz w:val="24"/>
          <w:szCs w:val="24"/>
        </w:rPr>
        <w:t xml:space="preserve">n transit </w:t>
      </w:r>
      <w:r w:rsidR="00BD483D">
        <w:rPr>
          <w:rFonts w:ascii="Times New Roman" w:hAnsi="Times New Roman" w:cs="Times New Roman"/>
          <w:sz w:val="24"/>
          <w:szCs w:val="24"/>
        </w:rPr>
        <w:t xml:space="preserve">on or near </w:t>
      </w:r>
      <w:r w:rsidRPr="00C02E7E">
        <w:rPr>
          <w:rFonts w:ascii="Times New Roman" w:hAnsi="Times New Roman" w:cs="Times New Roman"/>
          <w:sz w:val="24"/>
          <w:szCs w:val="24"/>
        </w:rPr>
        <w:t xml:space="preserve">the </w:t>
      </w:r>
      <w:r w:rsidR="00BD483D">
        <w:rPr>
          <w:rFonts w:ascii="Times New Roman" w:hAnsi="Times New Roman" w:cs="Times New Roman"/>
          <w:sz w:val="24"/>
          <w:szCs w:val="24"/>
        </w:rPr>
        <w:t>selected roadway</w:t>
      </w:r>
      <w:r w:rsidRPr="00C02E7E">
        <w:rPr>
          <w:rFonts w:ascii="Times New Roman" w:hAnsi="Times New Roman" w:cs="Times New Roman"/>
          <w:sz w:val="24"/>
          <w:szCs w:val="24"/>
        </w:rPr>
        <w:t xml:space="preserve"> using some form of transportation </w:t>
      </w:r>
      <w:r w:rsidR="00F645D6">
        <w:rPr>
          <w:rFonts w:ascii="Times New Roman" w:hAnsi="Times New Roman" w:cs="Times New Roman"/>
          <w:sz w:val="24"/>
          <w:szCs w:val="24"/>
        </w:rPr>
        <w:t xml:space="preserve">other than a passenger </w:t>
      </w:r>
      <w:r w:rsidR="00D718C1">
        <w:rPr>
          <w:rFonts w:ascii="Times New Roman" w:hAnsi="Times New Roman" w:cs="Times New Roman"/>
          <w:sz w:val="24"/>
          <w:szCs w:val="24"/>
        </w:rPr>
        <w:t xml:space="preserve">motor </w:t>
      </w:r>
      <w:r w:rsidR="00F645D6">
        <w:rPr>
          <w:rFonts w:ascii="Times New Roman" w:hAnsi="Times New Roman" w:cs="Times New Roman"/>
          <w:sz w:val="24"/>
          <w:szCs w:val="24"/>
        </w:rPr>
        <w:t xml:space="preserve">vehicle </w:t>
      </w:r>
      <w:r w:rsidRPr="00C02E7E">
        <w:rPr>
          <w:rFonts w:ascii="Times New Roman" w:hAnsi="Times New Roman" w:cs="Times New Roman"/>
          <w:sz w:val="24"/>
          <w:szCs w:val="24"/>
        </w:rPr>
        <w:t>as their main mechanism of travel</w:t>
      </w:r>
    </w:p>
    <w:p w:rsidR="00F645D6" w:rsidRPr="00C02E7E" w:rsidP="00F645D6" w14:paraId="70653BC0" w14:textId="6D5ACFA9">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F645D6" w:rsidR="00B756EA">
        <w:rPr>
          <w:rFonts w:ascii="Times New Roman" w:hAnsi="Times New Roman" w:cs="Times New Roman"/>
          <w:sz w:val="24"/>
          <w:szCs w:val="24"/>
        </w:rPr>
        <w:t xml:space="preserve">t least 18 years old </w:t>
      </w:r>
      <w:r w:rsidRPr="00C02E7E">
        <w:rPr>
          <w:rFonts w:ascii="Times New Roman" w:hAnsi="Times New Roman" w:cs="Times New Roman"/>
          <w:sz w:val="24"/>
          <w:szCs w:val="24"/>
        </w:rPr>
        <w:t>(</w:t>
      </w:r>
      <w:r>
        <w:rPr>
          <w:rFonts w:ascii="Times New Roman" w:hAnsi="Times New Roman" w:cs="Times New Roman"/>
          <w:sz w:val="24"/>
          <w:szCs w:val="24"/>
        </w:rPr>
        <w:t xml:space="preserve">some </w:t>
      </w:r>
      <w:r w:rsidRPr="00C02E7E">
        <w:rPr>
          <w:rFonts w:ascii="Times New Roman" w:hAnsi="Times New Roman" w:cs="Times New Roman"/>
          <w:sz w:val="24"/>
          <w:szCs w:val="24"/>
        </w:rPr>
        <w:t>States</w:t>
      </w:r>
      <w:r>
        <w:rPr>
          <w:rFonts w:ascii="Times New Roman" w:hAnsi="Times New Roman" w:cs="Times New Roman"/>
          <w:sz w:val="24"/>
          <w:szCs w:val="24"/>
        </w:rPr>
        <w:t xml:space="preserve"> may allow 16-year-olds to participate</w:t>
      </w:r>
      <w:r w:rsidR="00981AE4">
        <w:rPr>
          <w:rFonts w:ascii="Times New Roman" w:hAnsi="Times New Roman" w:cs="Times New Roman"/>
          <w:sz w:val="24"/>
          <w:szCs w:val="24"/>
        </w:rPr>
        <w:t xml:space="preserve"> without parental assent</w:t>
      </w:r>
      <w:r w:rsidRPr="00C02E7E">
        <w:rPr>
          <w:rFonts w:ascii="Times New Roman" w:hAnsi="Times New Roman" w:cs="Times New Roman"/>
          <w:sz w:val="24"/>
          <w:szCs w:val="24"/>
        </w:rPr>
        <w:t>)</w:t>
      </w:r>
    </w:p>
    <w:p w:rsidR="00B756EA" w:rsidRPr="00F645D6" w:rsidP="00280050" w14:paraId="36ADE7B5" w14:textId="1847EFE5">
      <w:pPr>
        <w:pStyle w:val="ListParagraph"/>
        <w:widowControl w:val="0"/>
        <w:numPr>
          <w:ilvl w:val="0"/>
          <w:numId w:val="2"/>
        </w:numPr>
        <w:spacing w:after="0" w:line="240" w:lineRule="auto"/>
        <w:rPr>
          <w:rFonts w:ascii="Times New Roman" w:hAnsi="Times New Roman" w:cs="Times New Roman"/>
          <w:sz w:val="24"/>
          <w:szCs w:val="24"/>
        </w:rPr>
      </w:pPr>
      <w:r w:rsidRPr="00F645D6">
        <w:rPr>
          <w:rFonts w:ascii="Times New Roman" w:hAnsi="Times New Roman" w:cs="Times New Roman"/>
          <w:sz w:val="24"/>
          <w:szCs w:val="24"/>
        </w:rPr>
        <w:t xml:space="preserve">Must comprehend English or other language for which there is a team member fluent in that language and consent forms are available. </w:t>
      </w:r>
      <w:r w:rsidR="0049221C">
        <w:rPr>
          <w:rFonts w:ascii="Times New Roman" w:hAnsi="Times New Roman" w:cs="Times New Roman"/>
          <w:sz w:val="24"/>
          <w:szCs w:val="24"/>
        </w:rPr>
        <w:t xml:space="preserve">The study will have at least one Spanish-speaking team </w:t>
      </w:r>
      <w:r w:rsidR="0049221C">
        <w:rPr>
          <w:rFonts w:ascii="Times New Roman" w:hAnsi="Times New Roman" w:cs="Times New Roman"/>
          <w:sz w:val="24"/>
          <w:szCs w:val="24"/>
        </w:rPr>
        <w:t>member</w:t>
      </w:r>
      <w:r w:rsidR="0049221C">
        <w:rPr>
          <w:rFonts w:ascii="Times New Roman" w:hAnsi="Times New Roman" w:cs="Times New Roman"/>
          <w:sz w:val="24"/>
          <w:szCs w:val="24"/>
        </w:rPr>
        <w:t xml:space="preserve"> and all forms will be available in Spanish.</w:t>
      </w:r>
    </w:p>
    <w:p w:rsidR="00B756EA" w:rsidRPr="00E3616E" w:rsidP="00B756EA" w14:paraId="489EE0EC" w14:textId="77777777">
      <w:pPr>
        <w:keepNext/>
        <w:rPr>
          <w:i/>
          <w:iCs/>
          <w:u w:val="single"/>
        </w:rPr>
      </w:pPr>
    </w:p>
    <w:p w:rsidR="00B756EA" w:rsidRPr="00E3616E" w:rsidP="00B756EA" w14:paraId="1227933B" w14:textId="6E39A2A9">
      <w:pPr>
        <w:keepNext/>
        <w:rPr>
          <w:i/>
          <w:iCs/>
          <w:u w:val="single"/>
        </w:rPr>
      </w:pPr>
      <w:r w:rsidRPr="00E3616E">
        <w:rPr>
          <w:i/>
          <w:iCs/>
          <w:u w:val="single"/>
        </w:rPr>
        <w:t xml:space="preserve">ORU </w:t>
      </w:r>
      <w:r w:rsidRPr="00E3616E">
        <w:rPr>
          <w:i/>
          <w:iCs/>
          <w:u w:val="single"/>
        </w:rPr>
        <w:t>Exclusion</w:t>
      </w:r>
    </w:p>
    <w:p w:rsidR="003A7D60" w:rsidRPr="00C02E7E" w:rsidP="003A7D60" w14:paraId="391B4553" w14:textId="7570BB18">
      <w:pPr>
        <w:pStyle w:val="ListParagraph"/>
        <w:widowControl w:val="0"/>
        <w:numPr>
          <w:ilvl w:val="0"/>
          <w:numId w:val="2"/>
        </w:numPr>
        <w:spacing w:after="0" w:line="240" w:lineRule="auto"/>
        <w:rPr>
          <w:rFonts w:ascii="Times New Roman" w:hAnsi="Times New Roman" w:cs="Times New Roman"/>
          <w:sz w:val="24"/>
          <w:szCs w:val="24"/>
        </w:rPr>
      </w:pPr>
      <w:r w:rsidRPr="00C02E7E">
        <w:rPr>
          <w:rFonts w:ascii="Times New Roman" w:hAnsi="Times New Roman" w:cs="Times New Roman"/>
          <w:sz w:val="24"/>
          <w:szCs w:val="24"/>
        </w:rPr>
        <w:t xml:space="preserve">Severely intoxicated </w:t>
      </w:r>
      <w:r w:rsidR="007F7A0F">
        <w:rPr>
          <w:rFonts w:ascii="Times New Roman" w:hAnsi="Times New Roman" w:cs="Times New Roman"/>
          <w:sz w:val="24"/>
          <w:szCs w:val="24"/>
        </w:rPr>
        <w:t>and</w:t>
      </w:r>
      <w:r w:rsidRPr="00C02E7E">
        <w:rPr>
          <w:rFonts w:ascii="Times New Roman" w:hAnsi="Times New Roman" w:cs="Times New Roman"/>
          <w:sz w:val="24"/>
          <w:szCs w:val="24"/>
        </w:rPr>
        <w:t xml:space="preserve"> unable to provide consent</w:t>
      </w:r>
      <w:r>
        <w:rPr>
          <w:rFonts w:ascii="Times New Roman" w:hAnsi="Times New Roman" w:cs="Times New Roman"/>
          <w:sz w:val="24"/>
          <w:szCs w:val="24"/>
        </w:rPr>
        <w:t xml:space="preserve">. The study has an impaired ORU protocol in place to assist ORUs in getting home or other destination safely if they are deemed too intoxicated to </w:t>
      </w:r>
      <w:r>
        <w:rPr>
          <w:rFonts w:ascii="Times New Roman" w:hAnsi="Times New Roman" w:cs="Times New Roman"/>
          <w:sz w:val="24"/>
          <w:szCs w:val="24"/>
        </w:rPr>
        <w:t>safety</w:t>
      </w:r>
      <w:r>
        <w:rPr>
          <w:rFonts w:ascii="Times New Roman" w:hAnsi="Times New Roman" w:cs="Times New Roman"/>
          <w:sz w:val="24"/>
          <w:szCs w:val="24"/>
        </w:rPr>
        <w:t xml:space="preserve"> navigate the roadway.</w:t>
      </w:r>
      <w:r w:rsidRPr="00C02E7E">
        <w:rPr>
          <w:rFonts w:ascii="Times New Roman" w:hAnsi="Times New Roman" w:cs="Times New Roman"/>
          <w:sz w:val="24"/>
          <w:szCs w:val="24"/>
        </w:rPr>
        <w:t xml:space="preserve"> </w:t>
      </w:r>
    </w:p>
    <w:p w:rsidR="00B756EA" w:rsidRPr="00C02E7E" w:rsidP="004D0D29" w14:paraId="4B8B18A2" w14:textId="55FA1BFE">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C02E7E">
        <w:rPr>
          <w:rFonts w:ascii="Times New Roman" w:hAnsi="Times New Roman" w:cs="Times New Roman"/>
          <w:sz w:val="24"/>
          <w:szCs w:val="24"/>
        </w:rPr>
        <w:t xml:space="preserve">ought out the survey to participate (e.g., heard about study through friends or relatives who just participated and want the incentive). </w:t>
      </w:r>
    </w:p>
    <w:p w:rsidR="00B756EA" w:rsidRPr="00C02E7E" w:rsidP="00981AE4" w14:paraId="323CDDB6" w14:textId="77777777">
      <w:pPr>
        <w:shd w:val="clear" w:color="auto" w:fill="FFFFFF"/>
        <w:spacing w:line="240" w:lineRule="auto"/>
      </w:pPr>
    </w:p>
    <w:p w:rsidR="0064279C" w:rsidRPr="00C02E7E" w:rsidP="00981AE4" w14:paraId="4B07201F" w14:textId="0BC4D738">
      <w:pPr>
        <w:shd w:val="clear" w:color="auto" w:fill="FFFFFF"/>
        <w:spacing w:line="240" w:lineRule="auto"/>
      </w:pPr>
      <w:r w:rsidRPr="00C02E7E">
        <w:t xml:space="preserve">Once confirmed eligible, </w:t>
      </w:r>
      <w:r w:rsidR="007A3F1D">
        <w:t>ORU</w:t>
      </w:r>
      <w:r w:rsidRPr="00C02E7E">
        <w:t xml:space="preserve">s will provide consent and proceed through the data collection protocol </w:t>
      </w:r>
      <w:r w:rsidR="00A45210">
        <w:t>as described below.</w:t>
      </w:r>
    </w:p>
    <w:p w:rsidR="00C02E7E" w:rsidRPr="0064279C" w:rsidP="00E3616E" w14:paraId="70F93C31" w14:textId="77777777">
      <w:pPr>
        <w:shd w:val="clear" w:color="auto" w:fill="FFFFFF"/>
        <w:spacing w:line="240" w:lineRule="auto"/>
      </w:pPr>
    </w:p>
    <w:p w:rsidR="00D671F7" w:rsidRPr="00E3616E" w:rsidP="00E3616E" w14:paraId="7639E461" w14:textId="0B70A082">
      <w:pPr>
        <w:pStyle w:val="Heading3"/>
        <w:numPr>
          <w:ilvl w:val="0"/>
          <w:numId w:val="0"/>
        </w:numPr>
        <w:spacing w:after="240"/>
        <w:ind w:left="360" w:hanging="360"/>
        <w:jc w:val="center"/>
        <w:rPr>
          <w:b/>
          <w:bCs/>
          <w:u w:val="none"/>
        </w:rPr>
      </w:pPr>
      <w:bookmarkStart w:id="36" w:name="_Toc135826191"/>
      <w:r w:rsidRPr="00E3616E">
        <w:rPr>
          <w:b/>
          <w:bCs/>
          <w:u w:val="none"/>
        </w:rPr>
        <w:t xml:space="preserve">Study 1: </w:t>
      </w:r>
      <w:bookmarkEnd w:id="36"/>
      <w:r w:rsidRPr="00E3616E" w:rsidR="003A7D60">
        <w:rPr>
          <w:b/>
          <w:bCs/>
          <w:u w:val="none"/>
        </w:rPr>
        <w:t>Data Collection Procedures</w:t>
      </w:r>
    </w:p>
    <w:p w:rsidR="00D671F7" w:rsidRPr="006A594E" w:rsidP="00D671F7" w14:paraId="25FB465D" w14:textId="07EC061C">
      <w:pPr>
        <w:pStyle w:val="NoSpacing"/>
        <w:rPr>
          <w:rFonts w:ascii="Times New Roman" w:hAnsi="Times New Roman" w:cs="Times New Roman"/>
          <w:sz w:val="24"/>
          <w:szCs w:val="24"/>
        </w:rPr>
      </w:pPr>
      <w:r w:rsidRPr="006A594E">
        <w:rPr>
          <w:rFonts w:ascii="Times New Roman" w:hAnsi="Times New Roman" w:cs="Times New Roman"/>
          <w:sz w:val="24"/>
          <w:szCs w:val="24"/>
        </w:rPr>
        <w:t xml:space="preserve">Once a driver or ORU has been recruited and enters the data collection area, they will experience a similar flow through the study tasks.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_Ref130479709 \r \h </w:instrText>
      </w:r>
      <w:r>
        <w:rPr>
          <w:rFonts w:ascii="Times New Roman" w:hAnsi="Times New Roman" w:cs="Times New Roman"/>
          <w:sz w:val="24"/>
          <w:szCs w:val="24"/>
        </w:rPr>
        <w:fldChar w:fldCharType="separate"/>
      </w:r>
      <w:r w:rsidR="00954824">
        <w:rPr>
          <w:rFonts w:ascii="Times New Roman" w:hAnsi="Times New Roman" w:cs="Times New Roman"/>
          <w:sz w:val="24"/>
          <w:szCs w:val="24"/>
        </w:rPr>
        <w:t>Figure 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A594E">
        <w:rPr>
          <w:rFonts w:ascii="Times New Roman" w:hAnsi="Times New Roman" w:cs="Times New Roman"/>
          <w:sz w:val="24"/>
          <w:szCs w:val="24"/>
        </w:rPr>
        <w:t>provides a visual of this flow.</w:t>
      </w:r>
    </w:p>
    <w:p w:rsidR="00D671F7" w:rsidRPr="006A594E" w:rsidP="00E3616E" w14:paraId="7BC7D124" w14:textId="4092E609">
      <w:pPr>
        <w:pStyle w:val="NoSpacing"/>
        <w:rPr>
          <w:rFonts w:ascii="Times New Roman" w:hAnsi="Times New Roman" w:cs="Times New Roman"/>
          <w:sz w:val="24"/>
          <w:szCs w:val="24"/>
          <w:highlight w:val="yellow"/>
        </w:rPr>
      </w:pPr>
    </w:p>
    <w:p w:rsidR="00A6040D" w:rsidRPr="00E3616E" w:rsidP="00E3616E" w14:paraId="5B56520F" w14:textId="2A2C24FA">
      <w:pPr>
        <w:pStyle w:val="Figure"/>
        <w:numPr>
          <w:ilvl w:val="0"/>
          <w:numId w:val="0"/>
        </w:numPr>
      </w:pPr>
      <w:bookmarkStart w:id="37" w:name="_Ref130479709"/>
      <w:bookmarkStart w:id="38" w:name="_Toc132356958"/>
      <w:r w:rsidRPr="006C01F5">
        <w:rPr>
          <w:noProof/>
        </w:rPr>
        <w:drawing>
          <wp:inline distT="0" distB="0" distL="0" distR="0">
            <wp:extent cx="4505325" cy="3493071"/>
            <wp:effectExtent l="0" t="0" r="0" b="0"/>
            <wp:docPr id="6460266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26649" name="Picture 1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524434" cy="3507886"/>
                    </a:xfrm>
                    <a:prstGeom prst="rect">
                      <a:avLst/>
                    </a:prstGeom>
                    <a:noFill/>
                    <a:ln>
                      <a:noFill/>
                    </a:ln>
                  </pic:spPr>
                </pic:pic>
              </a:graphicData>
            </a:graphic>
          </wp:inline>
        </w:drawing>
      </w:r>
    </w:p>
    <w:p w:rsidR="00D671F7" w:rsidRPr="00F95C6B" w:rsidP="00D671F7" w14:paraId="3BAF423F" w14:textId="1CCF64AF">
      <w:pPr>
        <w:pStyle w:val="Figure"/>
        <w:spacing w:after="0" w:line="240" w:lineRule="auto"/>
        <w:rPr>
          <w:rFonts w:ascii="Times New Roman" w:hAnsi="Times New Roman" w:cs="Times New Roman"/>
          <w:sz w:val="24"/>
          <w:szCs w:val="24"/>
        </w:rPr>
      </w:pPr>
      <w:r w:rsidRPr="00F95C6B">
        <w:rPr>
          <w:rFonts w:ascii="Times New Roman" w:hAnsi="Times New Roman" w:cs="Times New Roman"/>
          <w:sz w:val="24"/>
          <w:szCs w:val="24"/>
        </w:rPr>
        <w:t>Participant Flow</w:t>
      </w:r>
      <w:bookmarkEnd w:id="37"/>
      <w:bookmarkEnd w:id="38"/>
    </w:p>
    <w:p w:rsidR="00D671F7" w:rsidRPr="00F95C6B" w:rsidP="00D671F7" w14:paraId="4D8D4194" w14:textId="77777777">
      <w:pPr>
        <w:pStyle w:val="NoSpacing"/>
        <w:ind w:firstLine="720"/>
        <w:rPr>
          <w:rFonts w:ascii="Times New Roman" w:hAnsi="Times New Roman" w:cs="Times New Roman"/>
          <w:i/>
          <w:iCs/>
          <w:sz w:val="24"/>
          <w:szCs w:val="24"/>
        </w:rPr>
      </w:pPr>
    </w:p>
    <w:p w:rsidR="00D671F7" w:rsidRPr="003A7D60" w:rsidP="00E84D90" w14:paraId="3F19AAAD" w14:textId="518D76DF">
      <w:pPr>
        <w:spacing w:line="240" w:lineRule="auto"/>
      </w:pPr>
      <w:r w:rsidRPr="003A7D60">
        <w:t xml:space="preserve">Once the driver has parked or the ORU has preliminarily agreed to hear more about the study, the researcher will introduce themselves and ask the potential participant if they would like to voluntarily participate in a research study. If the potential participant agrees to continue, the researcher will provide </w:t>
      </w:r>
      <w:r w:rsidRPr="003A7D60">
        <w:t>a brief summary</w:t>
      </w:r>
      <w:r w:rsidRPr="003A7D60">
        <w:t xml:space="preserve"> of the study, ask the eligibility questions, and answer any questions the participant may have prior to continuing to the consent form</w:t>
      </w:r>
      <w:r w:rsidRPr="001741BE">
        <w:t>.</w:t>
      </w:r>
      <w:r w:rsidRPr="001741BE" w:rsidR="003A7D60">
        <w:t xml:space="preserve"> Each study team will include a Spanish-speaking data </w:t>
      </w:r>
      <w:r w:rsidRPr="001741BE" w:rsidR="003A7D60">
        <w:t>collector</w:t>
      </w:r>
      <w:r w:rsidRPr="001741BE" w:rsidR="003A7D60">
        <w:t xml:space="preserve"> and all forms will be available in Spanish</w:t>
      </w:r>
      <w:r w:rsidRPr="001741BE" w:rsidR="008530B5">
        <w:t xml:space="preserve"> and English</w:t>
      </w:r>
      <w:r w:rsidRPr="001741BE" w:rsidR="003A7D60">
        <w:t>.</w:t>
      </w:r>
      <w:r w:rsidRPr="001741BE">
        <w:t xml:space="preserve"> Each participant will be handed the tablet with consent form for them to read.</w:t>
      </w:r>
      <w:r w:rsidRPr="003A7D60">
        <w:t xml:space="preserve"> The </w:t>
      </w:r>
      <w:r w:rsidRPr="003A7D60" w:rsidR="003A7D60">
        <w:t>data collector</w:t>
      </w:r>
      <w:r w:rsidRPr="003A7D60">
        <w:t xml:space="preserve"> can read the consent aloud if needed and will answer questions the participant may have. If the individual agrees to participate, they will tap the appropriate box on the </w:t>
      </w:r>
      <w:r w:rsidR="002E115A">
        <w:t>tablet</w:t>
      </w:r>
      <w:r w:rsidRPr="003A7D60">
        <w:t xml:space="preserve"> and data collection will begin. </w:t>
      </w:r>
    </w:p>
    <w:p w:rsidR="003A7D60" w:rsidRPr="003A7D60" w:rsidP="00E84D90" w14:paraId="52936325" w14:textId="77777777">
      <w:pPr>
        <w:spacing w:line="240" w:lineRule="auto"/>
        <w:rPr>
          <w:i/>
          <w:iCs/>
          <w:kern w:val="2"/>
          <w14:ligatures w14:val="standardContextual"/>
        </w:rPr>
      </w:pPr>
    </w:p>
    <w:p w:rsidR="00D671F7" w:rsidRPr="003A7D60" w:rsidP="00E84D90" w14:paraId="56B57581" w14:textId="0068D532">
      <w:pPr>
        <w:pStyle w:val="NoSpacing"/>
        <w:rPr>
          <w:rFonts w:ascii="Times New Roman" w:hAnsi="Times New Roman" w:cs="Times New Roman"/>
          <w:sz w:val="24"/>
          <w:szCs w:val="24"/>
        </w:rPr>
      </w:pPr>
      <w:r w:rsidRPr="003A7D60">
        <w:rPr>
          <w:rFonts w:ascii="Times New Roman" w:hAnsi="Times New Roman" w:cs="Times New Roman"/>
          <w:sz w:val="24"/>
          <w:szCs w:val="24"/>
        </w:rPr>
        <w:t>The breath sample will be collected first</w:t>
      </w:r>
      <w:r w:rsidRPr="003A7D60">
        <w:rPr>
          <w:rFonts w:ascii="Times New Roman" w:hAnsi="Times New Roman" w:cs="Times New Roman"/>
          <w:spacing w:val="2"/>
          <w:sz w:val="24"/>
          <w:szCs w:val="24"/>
        </w:rPr>
        <w:t xml:space="preserve">. The </w:t>
      </w:r>
      <w:r w:rsidRPr="003A7D60" w:rsidR="003A7D60">
        <w:rPr>
          <w:rFonts w:ascii="Times New Roman" w:hAnsi="Times New Roman" w:cs="Times New Roman"/>
          <w:sz w:val="24"/>
          <w:szCs w:val="24"/>
        </w:rPr>
        <w:t>data collector</w:t>
      </w:r>
      <w:r w:rsidRPr="003A7D60">
        <w:rPr>
          <w:rFonts w:ascii="Times New Roman" w:hAnsi="Times New Roman" w:cs="Times New Roman"/>
          <w:spacing w:val="2"/>
          <w:sz w:val="24"/>
          <w:szCs w:val="24"/>
        </w:rPr>
        <w:t xml:space="preserve"> will enter the participant ID into </w:t>
      </w:r>
      <w:r w:rsidR="00857F01">
        <w:rPr>
          <w:rFonts w:ascii="Times New Roman" w:hAnsi="Times New Roman" w:cs="Times New Roman"/>
          <w:spacing w:val="2"/>
          <w:sz w:val="24"/>
          <w:szCs w:val="24"/>
        </w:rPr>
        <w:t>a preliminary breath tes</w:t>
      </w:r>
      <w:r w:rsidR="00712EFC">
        <w:rPr>
          <w:rFonts w:ascii="Times New Roman" w:hAnsi="Times New Roman" w:cs="Times New Roman"/>
          <w:spacing w:val="2"/>
          <w:sz w:val="24"/>
          <w:szCs w:val="24"/>
        </w:rPr>
        <w:t>t</w:t>
      </w:r>
      <w:r w:rsidR="00857F01">
        <w:rPr>
          <w:rFonts w:ascii="Times New Roman" w:hAnsi="Times New Roman" w:cs="Times New Roman"/>
          <w:spacing w:val="2"/>
          <w:sz w:val="24"/>
          <w:szCs w:val="24"/>
        </w:rPr>
        <w:t xml:space="preserve"> (</w:t>
      </w:r>
      <w:r w:rsidRPr="003A7D60">
        <w:rPr>
          <w:rFonts w:ascii="Times New Roman" w:hAnsi="Times New Roman" w:cs="Times New Roman"/>
          <w:spacing w:val="2"/>
          <w:sz w:val="24"/>
          <w:szCs w:val="24"/>
        </w:rPr>
        <w:t>PBT</w:t>
      </w:r>
      <w:r w:rsidR="00857F01">
        <w:rPr>
          <w:rFonts w:ascii="Times New Roman" w:hAnsi="Times New Roman" w:cs="Times New Roman"/>
          <w:spacing w:val="2"/>
          <w:sz w:val="24"/>
          <w:szCs w:val="24"/>
        </w:rPr>
        <w:t>)</w:t>
      </w:r>
      <w:r w:rsidR="004F16D9">
        <w:rPr>
          <w:rFonts w:ascii="Times New Roman" w:hAnsi="Times New Roman" w:cs="Times New Roman"/>
          <w:spacing w:val="2"/>
          <w:sz w:val="24"/>
          <w:szCs w:val="24"/>
        </w:rPr>
        <w:t xml:space="preserve"> device</w:t>
      </w:r>
      <w:r w:rsidRPr="003A7D60">
        <w:rPr>
          <w:rFonts w:ascii="Times New Roman" w:hAnsi="Times New Roman" w:cs="Times New Roman"/>
          <w:spacing w:val="2"/>
          <w:sz w:val="24"/>
          <w:szCs w:val="24"/>
        </w:rPr>
        <w:t xml:space="preserve"> and explain to the participant how to properly blow into the </w:t>
      </w:r>
      <w:r w:rsidR="00981AE4">
        <w:rPr>
          <w:rFonts w:ascii="Times New Roman" w:hAnsi="Times New Roman" w:cs="Times New Roman"/>
          <w:spacing w:val="2"/>
          <w:sz w:val="24"/>
          <w:szCs w:val="24"/>
        </w:rPr>
        <w:t>PBT</w:t>
      </w:r>
      <w:r w:rsidRPr="003A7D60">
        <w:rPr>
          <w:rFonts w:ascii="Times New Roman" w:hAnsi="Times New Roman" w:cs="Times New Roman"/>
          <w:spacing w:val="2"/>
          <w:sz w:val="24"/>
          <w:szCs w:val="24"/>
        </w:rPr>
        <w:t xml:space="preserve">. A new breath tube will be opened in front of the participant and inserted. </w:t>
      </w:r>
      <w:r w:rsidRPr="003A7D60">
        <w:rPr>
          <w:rFonts w:ascii="Times New Roman" w:hAnsi="Times New Roman" w:cs="Times New Roman"/>
          <w:sz w:val="24"/>
          <w:szCs w:val="24"/>
        </w:rPr>
        <w:t>The participant will then blow into the device. The results of the test will be masked so neither the researcher nor the participant can see the result during data collection. The masking will be done through firmware</w:t>
      </w:r>
      <w:r w:rsidR="00793650">
        <w:rPr>
          <w:rFonts w:ascii="Times New Roman" w:hAnsi="Times New Roman" w:cs="Times New Roman"/>
          <w:sz w:val="24"/>
          <w:szCs w:val="24"/>
        </w:rPr>
        <w:t xml:space="preserve"> </w:t>
      </w:r>
      <w:r w:rsidRPr="003A7D60">
        <w:rPr>
          <w:rFonts w:ascii="Times New Roman" w:hAnsi="Times New Roman" w:cs="Times New Roman"/>
          <w:sz w:val="24"/>
          <w:szCs w:val="24"/>
        </w:rPr>
        <w:t>that prevents the result from being displayed. The breath tube will be removed from the device and thrown away.</w:t>
      </w:r>
    </w:p>
    <w:p w:rsidR="00D671F7" w:rsidRPr="003A7D60" w:rsidP="00E84D90" w14:paraId="0A69BAB8" w14:textId="77777777">
      <w:pPr>
        <w:pStyle w:val="NoSpacing"/>
        <w:rPr>
          <w:rFonts w:ascii="Times New Roman" w:hAnsi="Times New Roman" w:cs="Times New Roman"/>
          <w:i/>
          <w:iCs/>
          <w:sz w:val="24"/>
          <w:szCs w:val="24"/>
        </w:rPr>
      </w:pPr>
    </w:p>
    <w:p w:rsidR="00D671F7" w:rsidRPr="003A7D60" w:rsidP="00E84D90" w14:paraId="152CEB0E" w14:textId="74C3C6EE">
      <w:pPr>
        <w:pStyle w:val="NoSpacing"/>
        <w:rPr>
          <w:rFonts w:ascii="Times New Roman" w:hAnsi="Times New Roman" w:cs="Times New Roman"/>
          <w:sz w:val="24"/>
          <w:szCs w:val="24"/>
        </w:rPr>
      </w:pPr>
      <w:r w:rsidRPr="003A7D60">
        <w:rPr>
          <w:rFonts w:ascii="Times New Roman" w:hAnsi="Times New Roman" w:cs="Times New Roman"/>
          <w:bCs/>
          <w:sz w:val="24"/>
          <w:szCs w:val="24"/>
        </w:rPr>
        <w:t xml:space="preserve">The </w:t>
      </w:r>
      <w:r w:rsidRPr="003A7D60" w:rsidR="003A7D60">
        <w:rPr>
          <w:rFonts w:ascii="Times New Roman" w:hAnsi="Times New Roman" w:cs="Times New Roman"/>
          <w:sz w:val="24"/>
          <w:szCs w:val="24"/>
        </w:rPr>
        <w:t xml:space="preserve">data </w:t>
      </w:r>
      <w:r w:rsidRPr="00900228" w:rsidR="003A7D60">
        <w:rPr>
          <w:rFonts w:ascii="Times New Roman" w:hAnsi="Times New Roman" w:cs="Times New Roman"/>
          <w:sz w:val="24"/>
          <w:szCs w:val="24"/>
        </w:rPr>
        <w:t>collector</w:t>
      </w:r>
      <w:r w:rsidRPr="00900228">
        <w:rPr>
          <w:rFonts w:ascii="Times New Roman" w:hAnsi="Times New Roman" w:cs="Times New Roman"/>
          <w:bCs/>
          <w:sz w:val="24"/>
          <w:szCs w:val="24"/>
        </w:rPr>
        <w:t xml:space="preserve"> will open an unused oral fluid collection kit. </w:t>
      </w:r>
      <w:r w:rsidRPr="00900228">
        <w:rPr>
          <w:rFonts w:ascii="Times New Roman" w:hAnsi="Times New Roman" w:cs="Times New Roman"/>
          <w:sz w:val="24"/>
          <w:szCs w:val="24"/>
        </w:rPr>
        <w:t xml:space="preserve">The </w:t>
      </w:r>
      <w:r w:rsidRPr="00900228" w:rsidR="003A7D60">
        <w:rPr>
          <w:rFonts w:ascii="Times New Roman" w:hAnsi="Times New Roman" w:cs="Times New Roman"/>
          <w:sz w:val="24"/>
          <w:szCs w:val="24"/>
        </w:rPr>
        <w:t>data collector</w:t>
      </w:r>
      <w:r w:rsidRPr="00900228">
        <w:rPr>
          <w:rFonts w:ascii="Times New Roman" w:hAnsi="Times New Roman" w:cs="Times New Roman"/>
          <w:sz w:val="24"/>
          <w:szCs w:val="24"/>
        </w:rPr>
        <w:t xml:space="preserve"> will then explain to the participant how to place the fluid collection pad in the mouth and that it takes 3 to 5 minutes for the pad to absorb enough saliva. The participant will complete the </w:t>
      </w:r>
      <w:r w:rsidR="00900228">
        <w:rPr>
          <w:rFonts w:ascii="Times New Roman" w:hAnsi="Times New Roman" w:cs="Times New Roman"/>
          <w:sz w:val="24"/>
          <w:szCs w:val="24"/>
        </w:rPr>
        <w:t>surveys</w:t>
      </w:r>
      <w:r w:rsidRPr="00900228">
        <w:rPr>
          <w:rFonts w:ascii="Times New Roman" w:hAnsi="Times New Roman" w:cs="Times New Roman"/>
          <w:sz w:val="24"/>
          <w:szCs w:val="24"/>
        </w:rPr>
        <w:t xml:space="preserve"> </w:t>
      </w:r>
      <w:r w:rsidRPr="00900228" w:rsidR="003A7D60">
        <w:rPr>
          <w:rFonts w:ascii="Times New Roman" w:hAnsi="Times New Roman" w:cs="Times New Roman"/>
          <w:sz w:val="24"/>
          <w:szCs w:val="24"/>
        </w:rPr>
        <w:t xml:space="preserve">on the tablet </w:t>
      </w:r>
      <w:r w:rsidRPr="00900228">
        <w:rPr>
          <w:rFonts w:ascii="Times New Roman" w:hAnsi="Times New Roman" w:cs="Times New Roman"/>
          <w:sz w:val="24"/>
          <w:szCs w:val="24"/>
        </w:rPr>
        <w:t xml:space="preserve">while waiting for the oral fluid specimen to be fully collected. Once the participant is finished, the pad will be sealed in a tube containing a stabilizing buffer solution. The </w:t>
      </w:r>
      <w:r w:rsidRPr="00900228" w:rsidR="003A7D60">
        <w:rPr>
          <w:rFonts w:ascii="Times New Roman" w:hAnsi="Times New Roman" w:cs="Times New Roman"/>
          <w:sz w:val="24"/>
          <w:szCs w:val="24"/>
        </w:rPr>
        <w:t>data collector</w:t>
      </w:r>
      <w:r w:rsidRPr="00900228">
        <w:rPr>
          <w:rFonts w:ascii="Times New Roman" w:hAnsi="Times New Roman" w:cs="Times New Roman"/>
          <w:sz w:val="24"/>
          <w:szCs w:val="24"/>
        </w:rPr>
        <w:t xml:space="preserve"> will scan the barcode on the tube using the tablet once the participant has completed all </w:t>
      </w:r>
      <w:r w:rsidR="00900228">
        <w:rPr>
          <w:rFonts w:ascii="Times New Roman" w:hAnsi="Times New Roman" w:cs="Times New Roman"/>
          <w:sz w:val="24"/>
          <w:szCs w:val="24"/>
        </w:rPr>
        <w:t>surveys</w:t>
      </w:r>
      <w:r w:rsidRPr="00900228">
        <w:rPr>
          <w:rFonts w:ascii="Times New Roman" w:hAnsi="Times New Roman" w:cs="Times New Roman"/>
          <w:sz w:val="24"/>
          <w:szCs w:val="24"/>
        </w:rPr>
        <w:t xml:space="preserve">. The </w:t>
      </w:r>
      <w:r w:rsidRPr="00900228" w:rsidR="003A7D60">
        <w:rPr>
          <w:rFonts w:ascii="Times New Roman" w:hAnsi="Times New Roman" w:cs="Times New Roman"/>
          <w:sz w:val="24"/>
          <w:szCs w:val="24"/>
        </w:rPr>
        <w:t>data collector</w:t>
      </w:r>
      <w:r w:rsidRPr="00900228">
        <w:rPr>
          <w:rFonts w:ascii="Times New Roman" w:hAnsi="Times New Roman" w:cs="Times New Roman"/>
          <w:sz w:val="24"/>
          <w:szCs w:val="24"/>
        </w:rPr>
        <w:t xml:space="preserve"> will place the sample in storage while the participant finishes the </w:t>
      </w:r>
      <w:r w:rsidR="00900228">
        <w:rPr>
          <w:rFonts w:ascii="Times New Roman" w:hAnsi="Times New Roman" w:cs="Times New Roman"/>
          <w:sz w:val="24"/>
          <w:szCs w:val="24"/>
        </w:rPr>
        <w:t>surveys</w:t>
      </w:r>
      <w:r w:rsidRPr="00900228">
        <w:rPr>
          <w:rFonts w:ascii="Times New Roman" w:hAnsi="Times New Roman" w:cs="Times New Roman"/>
          <w:sz w:val="24"/>
          <w:szCs w:val="24"/>
        </w:rPr>
        <w:t xml:space="preserve">. </w:t>
      </w:r>
      <w:r w:rsidRPr="00900228" w:rsidR="00AC2F25">
        <w:rPr>
          <w:rFonts w:ascii="Times New Roman" w:hAnsi="Times New Roman" w:cs="Times New Roman"/>
          <w:sz w:val="24"/>
          <w:szCs w:val="24"/>
        </w:rPr>
        <w:t>It is expected to take up to 10 minutes for a participant to complete all study activities.</w:t>
      </w:r>
    </w:p>
    <w:p w:rsidR="00D671F7" w:rsidP="00D671F7" w14:paraId="0C4EF048" w14:textId="77777777">
      <w:pPr>
        <w:pStyle w:val="NoSpacing"/>
        <w:rPr>
          <w:rFonts w:ascii="Times New Roman" w:hAnsi="Times New Roman" w:cs="Times New Roman"/>
          <w:sz w:val="24"/>
          <w:szCs w:val="24"/>
        </w:rPr>
      </w:pPr>
    </w:p>
    <w:p w:rsidR="00D671F7" w:rsidRPr="006A594E" w:rsidP="00D671F7" w14:paraId="4B64AC5C" w14:textId="1E0C1A9F">
      <w:pPr>
        <w:pStyle w:val="NoSpacing"/>
        <w:rPr>
          <w:rFonts w:ascii="Times New Roman" w:hAnsi="Times New Roman" w:cs="Times New Roman"/>
          <w:sz w:val="24"/>
          <w:szCs w:val="24"/>
        </w:rPr>
      </w:pPr>
      <w:r>
        <w:rPr>
          <w:rFonts w:ascii="Times New Roman" w:hAnsi="Times New Roman" w:cs="Times New Roman"/>
          <w:sz w:val="24"/>
          <w:szCs w:val="24"/>
        </w:rPr>
        <w:t>T</w:t>
      </w:r>
      <w:r w:rsidRPr="006A594E">
        <w:rPr>
          <w:rFonts w:ascii="Times New Roman" w:hAnsi="Times New Roman" w:cs="Times New Roman"/>
          <w:sz w:val="24"/>
          <w:szCs w:val="24"/>
        </w:rPr>
        <w:t>he incentive will be provided</w:t>
      </w:r>
      <w:r>
        <w:rPr>
          <w:rFonts w:ascii="Times New Roman" w:hAnsi="Times New Roman" w:cs="Times New Roman"/>
          <w:sz w:val="24"/>
          <w:szCs w:val="24"/>
        </w:rPr>
        <w:t xml:space="preserve"> once data collection activities are complete</w:t>
      </w:r>
      <w:r w:rsidRPr="006A594E">
        <w:rPr>
          <w:rFonts w:ascii="Times New Roman" w:hAnsi="Times New Roman" w:cs="Times New Roman"/>
          <w:sz w:val="24"/>
          <w:szCs w:val="24"/>
        </w:rPr>
        <w:t>. The</w:t>
      </w:r>
      <w:r>
        <w:rPr>
          <w:rFonts w:ascii="Times New Roman" w:hAnsi="Times New Roman" w:cs="Times New Roman"/>
          <w:sz w:val="24"/>
          <w:szCs w:val="24"/>
        </w:rPr>
        <w:t xml:space="preserve"> participant</w:t>
      </w:r>
      <w:r w:rsidRPr="006A594E">
        <w:rPr>
          <w:rFonts w:ascii="Times New Roman" w:hAnsi="Times New Roman" w:cs="Times New Roman"/>
          <w:sz w:val="24"/>
          <w:szCs w:val="24"/>
        </w:rPr>
        <w:t xml:space="preserve"> will be thanked for their participation and provided with instructions on how to safely leave the data collection location. The information sheet describing the study with contact information will be </w:t>
      </w:r>
      <w:r>
        <w:rPr>
          <w:rFonts w:ascii="Times New Roman" w:hAnsi="Times New Roman" w:cs="Times New Roman"/>
          <w:sz w:val="24"/>
          <w:szCs w:val="24"/>
        </w:rPr>
        <w:t>given</w:t>
      </w:r>
      <w:r w:rsidRPr="006A594E">
        <w:rPr>
          <w:rFonts w:ascii="Times New Roman" w:hAnsi="Times New Roman" w:cs="Times New Roman"/>
          <w:sz w:val="24"/>
          <w:szCs w:val="24"/>
        </w:rPr>
        <w:t xml:space="preserve"> to participants if </w:t>
      </w:r>
      <w:r>
        <w:rPr>
          <w:rFonts w:ascii="Times New Roman" w:hAnsi="Times New Roman" w:cs="Times New Roman"/>
          <w:sz w:val="24"/>
          <w:szCs w:val="24"/>
        </w:rPr>
        <w:t xml:space="preserve">more information is </w:t>
      </w:r>
      <w:r w:rsidRPr="006A594E">
        <w:rPr>
          <w:rFonts w:ascii="Times New Roman" w:hAnsi="Times New Roman" w:cs="Times New Roman"/>
          <w:sz w:val="24"/>
          <w:szCs w:val="24"/>
        </w:rPr>
        <w:t>requested.</w:t>
      </w:r>
    </w:p>
    <w:p w:rsidR="003A7D60" w14:paraId="3B44EB98" w14:textId="77777777">
      <w:pPr>
        <w:spacing w:line="240" w:lineRule="auto"/>
        <w:rPr>
          <w:rFonts w:eastAsia="Calibri"/>
          <w:b/>
        </w:rPr>
      </w:pPr>
    </w:p>
    <w:p w:rsidR="0059298C" w:rsidRPr="00AE17F1" w:rsidP="008D190B" w14:paraId="2BE3BF10" w14:textId="61E4B853">
      <w:pPr>
        <w:spacing w:line="240" w:lineRule="auto"/>
        <w:contextualSpacing/>
        <w:rPr>
          <w:rFonts w:eastAsia="Calibri"/>
          <w:b/>
        </w:rPr>
      </w:pPr>
      <w:r w:rsidRPr="00AE17F1">
        <w:rPr>
          <w:rFonts w:eastAsia="Calibri"/>
          <w:b/>
        </w:rPr>
        <w:t>Conversion Protocol</w:t>
      </w:r>
      <w:r w:rsidRPr="00AE17F1" w:rsidR="00581AD6">
        <w:rPr>
          <w:rFonts w:eastAsia="Calibri"/>
          <w:b/>
        </w:rPr>
        <w:t xml:space="preserve">  </w:t>
      </w:r>
    </w:p>
    <w:p w:rsidR="0059298C" w:rsidP="008D190B" w14:paraId="5B258295" w14:textId="6C53DF46">
      <w:pPr>
        <w:spacing w:line="240" w:lineRule="auto"/>
        <w:contextualSpacing/>
        <w:rPr>
          <w:rFonts w:eastAsia="Calibri"/>
          <w:bCs/>
        </w:rPr>
      </w:pPr>
      <w:r w:rsidRPr="0059298C">
        <w:rPr>
          <w:rFonts w:eastAsia="Calibri"/>
          <w:bCs/>
        </w:rPr>
        <w:t xml:space="preserve">Some potential participants will decline to participate after they enter the data collection area. When this occurs, </w:t>
      </w:r>
      <w:r w:rsidR="008009FD">
        <w:rPr>
          <w:rFonts w:eastAsia="Calibri"/>
          <w:bCs/>
        </w:rPr>
        <w:t>data collectors</w:t>
      </w:r>
      <w:r w:rsidRPr="0059298C">
        <w:rPr>
          <w:rFonts w:eastAsia="Calibri"/>
          <w:bCs/>
        </w:rPr>
        <w:t xml:space="preserve"> will ask drivers and ORUs who initially decline to participate if they would be willing to reconsider their decision by offering the driver an additional $20 incentive (up to $100 total incentive). </w:t>
      </w:r>
      <w:r w:rsidR="00793650">
        <w:rPr>
          <w:rFonts w:eastAsia="Calibri"/>
          <w:bCs/>
        </w:rPr>
        <w:t xml:space="preserve">This approach worked well in the 2013-2014 NRS as roughly 34% of refusals ultimately agreed to participate. </w:t>
      </w:r>
      <w:r w:rsidRPr="0059298C">
        <w:rPr>
          <w:rFonts w:eastAsia="Calibri"/>
          <w:bCs/>
        </w:rPr>
        <w:t>For a participant to be considered a “conversion” and receive the additional incentive, the participant must provide breath and oral fluid samples. Participants who still decline to participate after being offered the additional incentive will be directed out of the data collection area. A study information sheet will be provided.</w:t>
      </w:r>
    </w:p>
    <w:p w:rsidR="006408E0" w:rsidP="0059298C" w14:paraId="7C085481" w14:textId="77777777">
      <w:pPr>
        <w:spacing w:line="240" w:lineRule="auto"/>
        <w:contextualSpacing/>
        <w:rPr>
          <w:rFonts w:eastAsia="Calibri"/>
          <w:bCs/>
        </w:rPr>
      </w:pPr>
    </w:p>
    <w:p w:rsidR="009F3B7A" w14:paraId="5FE8B340" w14:textId="77777777">
      <w:pPr>
        <w:spacing w:line="240" w:lineRule="auto"/>
        <w:rPr>
          <w:rFonts w:eastAsia="Calibri"/>
          <w:b/>
        </w:rPr>
      </w:pPr>
      <w:r>
        <w:rPr>
          <w:rFonts w:eastAsia="Calibri"/>
          <w:b/>
        </w:rPr>
        <w:br w:type="page"/>
      </w:r>
    </w:p>
    <w:p w:rsidR="008D190B" w:rsidRPr="00AE17F1" w:rsidP="0059298C" w14:paraId="256D3452" w14:textId="6D1F2C05">
      <w:pPr>
        <w:spacing w:line="240" w:lineRule="auto"/>
        <w:rPr>
          <w:rFonts w:eastAsia="Calibri"/>
          <w:b/>
        </w:rPr>
      </w:pPr>
      <w:r w:rsidRPr="00AE17F1">
        <w:rPr>
          <w:rFonts w:eastAsia="Calibri"/>
          <w:b/>
        </w:rPr>
        <w:t>Impaired Driver/</w:t>
      </w:r>
      <w:r w:rsidRPr="00AE17F1" w:rsidR="00ED3171">
        <w:rPr>
          <w:rFonts w:eastAsia="Calibri"/>
          <w:b/>
        </w:rPr>
        <w:t xml:space="preserve">Person </w:t>
      </w:r>
      <w:r w:rsidRPr="00AE17F1">
        <w:rPr>
          <w:rFonts w:eastAsia="Calibri"/>
          <w:b/>
        </w:rPr>
        <w:t>Protocol (IDP</w:t>
      </w:r>
      <w:r w:rsidRPr="00AE17F1" w:rsidR="00ED3171">
        <w:rPr>
          <w:rFonts w:eastAsia="Calibri"/>
          <w:b/>
        </w:rPr>
        <w:t>/IPP</w:t>
      </w:r>
      <w:r w:rsidRPr="00AE17F1">
        <w:rPr>
          <w:rFonts w:eastAsia="Calibri"/>
          <w:b/>
        </w:rPr>
        <w:t>)</w:t>
      </w:r>
    </w:p>
    <w:p w:rsidR="0059298C" w:rsidRPr="0059298C" w:rsidP="0059298C" w14:paraId="14E6CA47" w14:textId="64AA3584">
      <w:pPr>
        <w:spacing w:line="240" w:lineRule="auto"/>
        <w:contextualSpacing/>
        <w:rPr>
          <w:rFonts w:eastAsia="Calibri"/>
          <w:bCs/>
        </w:rPr>
      </w:pPr>
      <w:r w:rsidRPr="0059298C">
        <w:rPr>
          <w:rFonts w:eastAsia="Calibri"/>
          <w:bCs/>
        </w:rPr>
        <w:t xml:space="preserve">There will be times when a participant is deemed too impaired to participate (i.e., cannot provide consent because they are too intoxicated to understand the risks and benefits of participation) or the </w:t>
      </w:r>
      <w:r w:rsidR="008D190B">
        <w:rPr>
          <w:rFonts w:eastAsia="Calibri"/>
          <w:bCs/>
        </w:rPr>
        <w:t>data collector</w:t>
      </w:r>
      <w:r w:rsidRPr="0059298C">
        <w:rPr>
          <w:rFonts w:eastAsia="Calibri"/>
          <w:bCs/>
        </w:rPr>
        <w:t xml:space="preserve"> is concerned the person may represent a hazard on the roadway even if they are able to participate in the study. In these instances, the </w:t>
      </w:r>
      <w:r w:rsidR="008D190B">
        <w:rPr>
          <w:rFonts w:eastAsia="Calibri"/>
          <w:bCs/>
        </w:rPr>
        <w:t>data collector</w:t>
      </w:r>
      <w:r w:rsidRPr="0059298C">
        <w:rPr>
          <w:rFonts w:eastAsia="Calibri"/>
          <w:bCs/>
        </w:rPr>
        <w:t xml:space="preserve"> will call over the </w:t>
      </w:r>
      <w:r w:rsidR="008D190B">
        <w:rPr>
          <w:rFonts w:eastAsia="Calibri"/>
          <w:bCs/>
        </w:rPr>
        <w:t>survey manager</w:t>
      </w:r>
      <w:r w:rsidRPr="0059298C">
        <w:rPr>
          <w:rFonts w:eastAsia="Calibri"/>
          <w:bCs/>
        </w:rPr>
        <w:t xml:space="preserve"> to assist with determining whether the IDP</w:t>
      </w:r>
      <w:r w:rsidR="0064279C">
        <w:rPr>
          <w:rFonts w:eastAsia="Calibri"/>
          <w:bCs/>
        </w:rPr>
        <w:t>/IPP</w:t>
      </w:r>
      <w:r w:rsidRPr="0059298C">
        <w:rPr>
          <w:rFonts w:eastAsia="Calibri"/>
          <w:bCs/>
        </w:rPr>
        <w:t xml:space="preserve"> should be implemented. The study team will closely follow the IDP</w:t>
      </w:r>
      <w:r w:rsidR="0064279C">
        <w:rPr>
          <w:rFonts w:eastAsia="Calibri"/>
          <w:bCs/>
        </w:rPr>
        <w:t>/IPP</w:t>
      </w:r>
      <w:r w:rsidRPr="0059298C">
        <w:rPr>
          <w:rFonts w:eastAsia="Calibri"/>
          <w:bCs/>
        </w:rPr>
        <w:t xml:space="preserve"> to make sure the participant gets to their next location safely. This applies to drivers and ORUs. The data collection team will offer safe transportation alternatives to the next destination for any individual who shows obvious signs of impairment and is deemed unsafe to drive or use their other mode of transportation.</w:t>
      </w:r>
    </w:p>
    <w:p w:rsidR="008D190B" w:rsidRPr="00AE17F1" w:rsidP="0059298C" w14:paraId="5CE2D6B7" w14:textId="77777777">
      <w:pPr>
        <w:spacing w:line="240" w:lineRule="auto"/>
        <w:contextualSpacing/>
        <w:rPr>
          <w:rFonts w:eastAsia="Calibri"/>
          <w:bCs/>
        </w:rPr>
      </w:pPr>
    </w:p>
    <w:p w:rsidR="00E01EAC" w:rsidRPr="00AE17F1" w:rsidP="00E01EAC" w14:paraId="0471923B" w14:textId="70385CFE">
      <w:pPr>
        <w:rPr>
          <w:b/>
          <w:bCs/>
        </w:rPr>
      </w:pPr>
      <w:r w:rsidRPr="00AE17F1">
        <w:rPr>
          <w:b/>
          <w:bCs/>
        </w:rPr>
        <w:t>Traffic Count</w:t>
      </w:r>
      <w:r w:rsidRPr="00AE17F1" w:rsidR="00976E4E">
        <w:rPr>
          <w:b/>
          <w:bCs/>
        </w:rPr>
        <w:t>s</w:t>
      </w:r>
    </w:p>
    <w:p w:rsidR="00E01EAC" w:rsidRPr="00E660C1" w:rsidP="00976E4E" w14:paraId="50D3636D" w14:textId="5DAEA260">
      <w:pPr>
        <w:spacing w:line="240" w:lineRule="auto"/>
        <w:rPr>
          <w:bCs/>
        </w:rPr>
      </w:pPr>
      <w:r>
        <w:rPr>
          <w:bCs/>
        </w:rPr>
        <w:t>T</w:t>
      </w:r>
      <w:r w:rsidRPr="00E660C1">
        <w:rPr>
          <w:bCs/>
        </w:rPr>
        <w:t>he study will use a video camera</w:t>
      </w:r>
      <w:r w:rsidR="00D36359">
        <w:rPr>
          <w:bCs/>
        </w:rPr>
        <w:t xml:space="preserve"> or other traffic counting device</w:t>
      </w:r>
      <w:r w:rsidRPr="00E660C1">
        <w:rPr>
          <w:bCs/>
        </w:rPr>
        <w:t xml:space="preserve"> to record vehicles passing by the data collection locations</w:t>
      </w:r>
      <w:r w:rsidR="00C77A4C">
        <w:rPr>
          <w:bCs/>
        </w:rPr>
        <w:t xml:space="preserve"> for the entirety of the data collection period</w:t>
      </w:r>
      <w:r w:rsidRPr="00E660C1">
        <w:rPr>
          <w:bCs/>
        </w:rPr>
        <w:t xml:space="preserve">. The </w:t>
      </w:r>
      <w:r w:rsidR="00854F0A">
        <w:rPr>
          <w:bCs/>
        </w:rPr>
        <w:t>device</w:t>
      </w:r>
      <w:r w:rsidRPr="00E660C1">
        <w:rPr>
          <w:bCs/>
        </w:rPr>
        <w:t xml:space="preserve"> will be placed on a tripod or other mount in a manner that will record multiple lanes of traffic for later processing. The </w:t>
      </w:r>
      <w:r w:rsidR="00854F0A">
        <w:rPr>
          <w:bCs/>
        </w:rPr>
        <w:t>device</w:t>
      </w:r>
      <w:r w:rsidRPr="00E660C1">
        <w:rPr>
          <w:bCs/>
        </w:rPr>
        <w:t xml:space="preserve"> will be placed well before the entry to the data collection site to avoid recording the drivers who participate. The device will only be used for counting vehicles – no identifying information such as license plate numbers will be recorded</w:t>
      </w:r>
      <w:r>
        <w:rPr>
          <w:bCs/>
        </w:rPr>
        <w:t xml:space="preserve"> in the study database</w:t>
      </w:r>
      <w:r w:rsidRPr="00E660C1">
        <w:rPr>
          <w:bCs/>
        </w:rPr>
        <w:t xml:space="preserve">. </w:t>
      </w:r>
      <w:r w:rsidR="00757BB5">
        <w:rPr>
          <w:bCs/>
        </w:rPr>
        <w:t xml:space="preserve">The traffic counts will be used </w:t>
      </w:r>
      <w:r w:rsidR="00EC73CC">
        <w:rPr>
          <w:bCs/>
        </w:rPr>
        <w:t xml:space="preserve">as part of the </w:t>
      </w:r>
      <w:r w:rsidR="00757BB5">
        <w:rPr>
          <w:bCs/>
        </w:rPr>
        <w:t>weighting of prevalence data</w:t>
      </w:r>
      <w:r w:rsidR="00EC73CC">
        <w:rPr>
          <w:bCs/>
        </w:rPr>
        <w:t>.</w:t>
      </w:r>
    </w:p>
    <w:p w:rsidR="00E01EAC" w:rsidP="008D190B" w14:paraId="4E8148D1" w14:textId="77777777">
      <w:pPr>
        <w:pStyle w:val="Heading3"/>
        <w:numPr>
          <w:ilvl w:val="0"/>
          <w:numId w:val="0"/>
        </w:numPr>
        <w:ind w:left="360" w:hanging="360"/>
        <w:rPr>
          <w:b/>
          <w:bCs/>
        </w:rPr>
      </w:pPr>
    </w:p>
    <w:p w:rsidR="003A7D60" w:rsidRPr="00E3616E" w:rsidP="00E3616E" w14:paraId="5E0EE801" w14:textId="4949BF5D">
      <w:pPr>
        <w:pStyle w:val="Heading3"/>
        <w:numPr>
          <w:ilvl w:val="0"/>
          <w:numId w:val="0"/>
        </w:numPr>
        <w:spacing w:after="240"/>
        <w:ind w:left="360" w:hanging="360"/>
        <w:jc w:val="center"/>
        <w:rPr>
          <w:b/>
          <w:bCs/>
          <w:u w:val="none"/>
        </w:rPr>
      </w:pPr>
      <w:r w:rsidRPr="00E3616E">
        <w:rPr>
          <w:b/>
          <w:bCs/>
          <w:u w:val="none"/>
        </w:rPr>
        <w:t xml:space="preserve">Study 2: </w:t>
      </w:r>
      <w:r w:rsidR="001335BB">
        <w:rPr>
          <w:b/>
          <w:bCs/>
          <w:u w:val="none"/>
        </w:rPr>
        <w:t>Feasibility Assessment</w:t>
      </w:r>
      <w:r w:rsidRPr="00E3616E">
        <w:rPr>
          <w:b/>
          <w:bCs/>
          <w:u w:val="none"/>
        </w:rPr>
        <w:t xml:space="preserve"> ORU Recruitment Procedures</w:t>
      </w:r>
    </w:p>
    <w:p w:rsidR="003A7D60" w:rsidRPr="003A7D60" w:rsidP="003A7D60" w14:paraId="4976E6BA" w14:textId="2D3F39AA">
      <w:pPr>
        <w:pStyle w:val="NoSpacing"/>
        <w:rPr>
          <w:rFonts w:ascii="Times New Roman" w:hAnsi="Times New Roman" w:cs="Times New Roman"/>
          <w:bCs/>
          <w:sz w:val="24"/>
          <w:szCs w:val="24"/>
        </w:rPr>
      </w:pPr>
      <w:r w:rsidRPr="003A7D60">
        <w:rPr>
          <w:rFonts w:ascii="Times New Roman" w:hAnsi="Times New Roman" w:cs="Times New Roman"/>
          <w:bCs/>
          <w:sz w:val="24"/>
          <w:szCs w:val="24"/>
        </w:rPr>
        <w:t>Given the exploratory nature of this study, a variety of recruitment approaches will be tested</w:t>
      </w:r>
      <w:r>
        <w:rPr>
          <w:rFonts w:ascii="Times New Roman" w:hAnsi="Times New Roman" w:cs="Times New Roman"/>
          <w:bCs/>
          <w:sz w:val="24"/>
          <w:szCs w:val="24"/>
        </w:rPr>
        <w:t xml:space="preserve"> to determine which protocol results in optimal recruitment of participants. The research team will use various combinations of fixed locations </w:t>
      </w:r>
      <w:r>
        <w:rPr>
          <w:rFonts w:ascii="Times New Roman" w:hAnsi="Times New Roman" w:cs="Times New Roman"/>
          <w:bCs/>
          <w:sz w:val="24"/>
          <w:szCs w:val="24"/>
        </w:rPr>
        <w:t>similar to</w:t>
      </w:r>
      <w:r>
        <w:rPr>
          <w:rFonts w:ascii="Times New Roman" w:hAnsi="Times New Roman" w:cs="Times New Roman"/>
          <w:bCs/>
          <w:sz w:val="24"/>
          <w:szCs w:val="24"/>
        </w:rPr>
        <w:t xml:space="preserve"> the driver</w:t>
      </w:r>
      <w:r w:rsidR="00E31985">
        <w:rPr>
          <w:rFonts w:ascii="Times New Roman" w:hAnsi="Times New Roman" w:cs="Times New Roman"/>
          <w:bCs/>
          <w:sz w:val="24"/>
          <w:szCs w:val="24"/>
        </w:rPr>
        <w:t xml:space="preserve"> recruitment in Study 1</w:t>
      </w:r>
      <w:r>
        <w:rPr>
          <w:rFonts w:ascii="Times New Roman" w:hAnsi="Times New Roman" w:cs="Times New Roman"/>
          <w:bCs/>
          <w:sz w:val="24"/>
          <w:szCs w:val="24"/>
        </w:rPr>
        <w:t>, roaming data collectors within a “zone</w:t>
      </w:r>
      <w:r w:rsidR="000F7F08">
        <w:rPr>
          <w:rFonts w:ascii="Times New Roman" w:hAnsi="Times New Roman" w:cs="Times New Roman"/>
          <w:bCs/>
          <w:sz w:val="24"/>
          <w:szCs w:val="24"/>
        </w:rPr>
        <w:t>,</w:t>
      </w:r>
      <w:r>
        <w:rPr>
          <w:rFonts w:ascii="Times New Roman" w:hAnsi="Times New Roman" w:cs="Times New Roman"/>
          <w:bCs/>
          <w:sz w:val="24"/>
          <w:szCs w:val="24"/>
        </w:rPr>
        <w:t xml:space="preserve">” and a variety of study team sizes depending on flow rates. Various signage types, flyers, and verbal recruitment approaches will be tested. </w:t>
      </w:r>
    </w:p>
    <w:p w:rsidR="003A7D60" w14:paraId="599A1655" w14:textId="77777777">
      <w:pPr>
        <w:spacing w:line="240" w:lineRule="auto"/>
        <w:rPr>
          <w:rFonts w:eastAsia="Calibri"/>
          <w:b/>
        </w:rPr>
      </w:pPr>
    </w:p>
    <w:p w:rsidR="003A7D60" w:rsidRPr="00E3616E" w:rsidP="00E3616E" w14:paraId="16544792" w14:textId="6D93F14B">
      <w:pPr>
        <w:pStyle w:val="Heading3"/>
        <w:numPr>
          <w:ilvl w:val="0"/>
          <w:numId w:val="0"/>
        </w:numPr>
        <w:spacing w:after="240"/>
        <w:ind w:left="360" w:hanging="360"/>
        <w:jc w:val="center"/>
        <w:rPr>
          <w:b/>
          <w:bCs/>
          <w:u w:val="none"/>
        </w:rPr>
      </w:pPr>
      <w:r w:rsidRPr="00E3616E">
        <w:rPr>
          <w:b/>
          <w:bCs/>
          <w:u w:val="none"/>
        </w:rPr>
        <w:t xml:space="preserve">Study 2: </w:t>
      </w:r>
      <w:r w:rsidR="004C6F8C">
        <w:rPr>
          <w:b/>
          <w:bCs/>
          <w:u w:val="none"/>
        </w:rPr>
        <w:t>Feasibility Assessment</w:t>
      </w:r>
      <w:r w:rsidRPr="00E3616E">
        <w:rPr>
          <w:b/>
          <w:bCs/>
          <w:u w:val="none"/>
        </w:rPr>
        <w:t xml:space="preserve"> ORU Data Collection Procedures</w:t>
      </w:r>
    </w:p>
    <w:p w:rsidR="00AC2F25" w:rsidRPr="00AC2F25" w:rsidP="00AC2F25" w14:paraId="25B3F065" w14:textId="19049E16">
      <w:pPr>
        <w:pStyle w:val="NoSpacing"/>
        <w:rPr>
          <w:rFonts w:ascii="Times New Roman" w:hAnsi="Times New Roman" w:cs="Times New Roman"/>
          <w:bCs/>
          <w:sz w:val="24"/>
          <w:szCs w:val="24"/>
        </w:rPr>
      </w:pPr>
      <w:r w:rsidRPr="00AC2F25">
        <w:rPr>
          <w:rFonts w:ascii="Times New Roman" w:hAnsi="Times New Roman" w:cs="Times New Roman"/>
          <w:bCs/>
          <w:sz w:val="24"/>
          <w:szCs w:val="24"/>
        </w:rPr>
        <w:t xml:space="preserve">Once an ORU has been recruited, it is anticipated the data collection procedures will mirror those of the ORU data collection for </w:t>
      </w:r>
      <w:r w:rsidR="004C6F8C">
        <w:rPr>
          <w:rFonts w:ascii="Times New Roman" w:hAnsi="Times New Roman" w:cs="Times New Roman"/>
          <w:bCs/>
          <w:sz w:val="24"/>
          <w:szCs w:val="24"/>
        </w:rPr>
        <w:t>Study 1</w:t>
      </w:r>
      <w:r w:rsidRPr="00AC2F25">
        <w:rPr>
          <w:rFonts w:ascii="Times New Roman" w:hAnsi="Times New Roman" w:cs="Times New Roman"/>
          <w:bCs/>
          <w:sz w:val="24"/>
          <w:szCs w:val="24"/>
        </w:rPr>
        <w:t xml:space="preserve"> described above. ORUs will complete the consent process, provide a breath specimen, provide an oral fluid specimen, and receive compensation. </w:t>
      </w:r>
      <w:r w:rsidRPr="00AC2F25" w:rsidR="00C45034">
        <w:rPr>
          <w:rFonts w:ascii="Times New Roman" w:hAnsi="Times New Roman" w:cs="Times New Roman"/>
          <w:bCs/>
          <w:sz w:val="24"/>
          <w:szCs w:val="24"/>
        </w:rPr>
        <w:t>The</w:t>
      </w:r>
      <w:r w:rsidRPr="00AC2F25" w:rsidR="00A10BA0">
        <w:rPr>
          <w:rFonts w:ascii="Times New Roman" w:hAnsi="Times New Roman" w:cs="Times New Roman"/>
          <w:bCs/>
          <w:sz w:val="24"/>
          <w:szCs w:val="24"/>
        </w:rPr>
        <w:t xml:space="preserve"> same conversion protocols and </w:t>
      </w:r>
      <w:r w:rsidR="00F76C44">
        <w:rPr>
          <w:rFonts w:ascii="Times New Roman" w:hAnsi="Times New Roman" w:cs="Times New Roman"/>
          <w:bCs/>
          <w:sz w:val="24"/>
          <w:szCs w:val="24"/>
        </w:rPr>
        <w:t xml:space="preserve">IPPs </w:t>
      </w:r>
      <w:r w:rsidRPr="00AC2F25" w:rsidR="00A10BA0">
        <w:rPr>
          <w:rFonts w:ascii="Times New Roman" w:hAnsi="Times New Roman" w:cs="Times New Roman"/>
          <w:bCs/>
          <w:sz w:val="24"/>
          <w:szCs w:val="24"/>
        </w:rPr>
        <w:t xml:space="preserve">will be in place. The study will explore a variety of possibilities for counting </w:t>
      </w:r>
      <w:r w:rsidRPr="00AC2F25" w:rsidR="002D1D5A">
        <w:rPr>
          <w:rFonts w:ascii="Times New Roman" w:hAnsi="Times New Roman" w:cs="Times New Roman"/>
          <w:bCs/>
          <w:sz w:val="24"/>
          <w:szCs w:val="24"/>
        </w:rPr>
        <w:t xml:space="preserve">ORUs to determine the best method for gathering accurate counts to be used in </w:t>
      </w:r>
      <w:r w:rsidRPr="00AC2F25" w:rsidR="00546671">
        <w:rPr>
          <w:rFonts w:ascii="Times New Roman" w:hAnsi="Times New Roman" w:cs="Times New Roman"/>
          <w:bCs/>
          <w:sz w:val="24"/>
          <w:szCs w:val="24"/>
        </w:rPr>
        <w:t>the weighting of prevalence data if a large-scale national study were to be deemed feasible.</w:t>
      </w:r>
      <w:r w:rsidRPr="00AC2F25">
        <w:rPr>
          <w:rFonts w:ascii="Times New Roman" w:hAnsi="Times New Roman" w:cs="Times New Roman"/>
          <w:bCs/>
          <w:sz w:val="24"/>
          <w:szCs w:val="24"/>
        </w:rPr>
        <w:t xml:space="preserve"> It is expected to take up to 10 minutes for a participant to complete all study activities.</w:t>
      </w:r>
    </w:p>
    <w:p w:rsidR="00C82EEF" w:rsidRPr="008E62B5" w:rsidP="004D2071" w14:paraId="1E587157" w14:textId="77777777">
      <w:pPr>
        <w:spacing w:before="240"/>
      </w:pPr>
      <w:r w:rsidRPr="008E62B5">
        <w:rPr>
          <w:b/>
          <w:bCs/>
        </w:rPr>
        <w:t xml:space="preserve">B.3 </w:t>
      </w:r>
      <w:r w:rsidRPr="008E62B5">
        <w:rPr>
          <w:b/>
          <w:bCs/>
        </w:rPr>
        <w:tab/>
        <w:t>Describe methods to maximize response rates and to deal with issues of nonresponse.</w:t>
      </w:r>
      <w:r w:rsidRPr="008E62B5">
        <w:t xml:space="preserve"> </w:t>
      </w:r>
    </w:p>
    <w:p w:rsidR="00457256" w:rsidP="00161F09" w14:paraId="4EAF6249" w14:textId="3F239772">
      <w:pPr>
        <w:pStyle w:val="BodyText"/>
        <w:spacing w:line="240" w:lineRule="auto"/>
        <w:rPr>
          <w:rFonts w:ascii="Times New Roman" w:hAnsi="Times New Roman" w:cs="Times New Roman"/>
          <w:sz w:val="24"/>
        </w:rPr>
      </w:pPr>
      <w:bookmarkStart w:id="39" w:name="_Hlk74566327"/>
      <w:bookmarkEnd w:id="32"/>
      <w:bookmarkEnd w:id="33"/>
      <w:bookmarkEnd w:id="34"/>
      <w:bookmarkEnd w:id="35"/>
      <w:r>
        <w:rPr>
          <w:rFonts w:ascii="Times New Roman" w:hAnsi="Times New Roman" w:cs="Times New Roman"/>
          <w:sz w:val="24"/>
        </w:rPr>
        <w:t>T</w:t>
      </w:r>
      <w:r w:rsidRPr="008E62B5" w:rsidR="00B756EA">
        <w:rPr>
          <w:rFonts w:ascii="Times New Roman" w:hAnsi="Times New Roman" w:cs="Times New Roman"/>
          <w:sz w:val="24"/>
        </w:rPr>
        <w:t>h</w:t>
      </w:r>
      <w:r w:rsidR="009F021A">
        <w:rPr>
          <w:rFonts w:ascii="Times New Roman" w:hAnsi="Times New Roman" w:cs="Times New Roman"/>
          <w:sz w:val="24"/>
        </w:rPr>
        <w:t xml:space="preserve">e </w:t>
      </w:r>
      <w:r w:rsidR="00900228">
        <w:rPr>
          <w:rFonts w:ascii="Times New Roman" w:hAnsi="Times New Roman" w:cs="Times New Roman"/>
          <w:sz w:val="24"/>
        </w:rPr>
        <w:t>two</w:t>
      </w:r>
      <w:r w:rsidR="009F021A">
        <w:rPr>
          <w:rFonts w:ascii="Times New Roman" w:hAnsi="Times New Roman" w:cs="Times New Roman"/>
          <w:sz w:val="24"/>
        </w:rPr>
        <w:t xml:space="preserve"> studies</w:t>
      </w:r>
      <w:r w:rsidRPr="008E62B5" w:rsidR="00B756EA">
        <w:rPr>
          <w:rFonts w:ascii="Times New Roman" w:hAnsi="Times New Roman" w:cs="Times New Roman"/>
          <w:sz w:val="24"/>
        </w:rPr>
        <w:t xml:space="preserve"> will use highly</w:t>
      </w:r>
      <w:r w:rsidRPr="008E62B5" w:rsidR="00D87CCD">
        <w:rPr>
          <w:rFonts w:ascii="Times New Roman" w:hAnsi="Times New Roman" w:cs="Times New Roman"/>
          <w:sz w:val="24"/>
        </w:rPr>
        <w:t xml:space="preserve"> </w:t>
      </w:r>
      <w:r w:rsidRPr="008E62B5" w:rsidR="00B756EA">
        <w:rPr>
          <w:rFonts w:ascii="Times New Roman" w:hAnsi="Times New Roman" w:cs="Times New Roman"/>
          <w:sz w:val="24"/>
        </w:rPr>
        <w:t xml:space="preserve">trained </w:t>
      </w:r>
      <w:r>
        <w:rPr>
          <w:rFonts w:ascii="Times New Roman" w:hAnsi="Times New Roman" w:cs="Times New Roman"/>
          <w:sz w:val="24"/>
        </w:rPr>
        <w:t>teams of data collectors</w:t>
      </w:r>
      <w:r w:rsidR="00005AD5">
        <w:rPr>
          <w:rFonts w:ascii="Times New Roman" w:hAnsi="Times New Roman" w:cs="Times New Roman"/>
          <w:sz w:val="24"/>
        </w:rPr>
        <w:t xml:space="preserve"> to implement the recruitment procedures described above. The </w:t>
      </w:r>
      <w:r w:rsidR="003E0897">
        <w:rPr>
          <w:rFonts w:ascii="Times New Roman" w:hAnsi="Times New Roman" w:cs="Times New Roman"/>
          <w:sz w:val="24"/>
        </w:rPr>
        <w:t xml:space="preserve">recruiting procedures have been used with great success in past NRSs. </w:t>
      </w:r>
      <w:bookmarkEnd w:id="39"/>
      <w:r w:rsidRPr="008E62B5" w:rsidR="00B756EA">
        <w:rPr>
          <w:rFonts w:ascii="Times New Roman" w:hAnsi="Times New Roman" w:cs="Times New Roman"/>
          <w:sz w:val="24"/>
        </w:rPr>
        <w:t>The study will offer financial incentives for participation. The stud</w:t>
      </w:r>
      <w:r w:rsidR="009F021A">
        <w:rPr>
          <w:rFonts w:ascii="Times New Roman" w:hAnsi="Times New Roman" w:cs="Times New Roman"/>
          <w:sz w:val="24"/>
        </w:rPr>
        <w:t>ies</w:t>
      </w:r>
      <w:r w:rsidRPr="008E62B5" w:rsidR="00B756EA">
        <w:rPr>
          <w:rFonts w:ascii="Times New Roman" w:hAnsi="Times New Roman" w:cs="Times New Roman"/>
          <w:sz w:val="24"/>
        </w:rPr>
        <w:t xml:space="preserve"> plan to pay $20 </w:t>
      </w:r>
      <w:r w:rsidR="003E0897">
        <w:rPr>
          <w:rFonts w:ascii="Times New Roman" w:hAnsi="Times New Roman" w:cs="Times New Roman"/>
          <w:sz w:val="24"/>
        </w:rPr>
        <w:t>to participants who complete all data collection activities</w:t>
      </w:r>
      <w:r w:rsidR="007B4419">
        <w:rPr>
          <w:rFonts w:ascii="Times New Roman" w:hAnsi="Times New Roman" w:cs="Times New Roman"/>
          <w:sz w:val="24"/>
        </w:rPr>
        <w:t xml:space="preserve">. </w:t>
      </w:r>
      <w:r>
        <w:rPr>
          <w:rFonts w:ascii="Times New Roman" w:hAnsi="Times New Roman" w:cs="Times New Roman"/>
          <w:sz w:val="24"/>
        </w:rPr>
        <w:t>The stud</w:t>
      </w:r>
      <w:r w:rsidR="009F021A">
        <w:rPr>
          <w:rFonts w:ascii="Times New Roman" w:hAnsi="Times New Roman" w:cs="Times New Roman"/>
          <w:sz w:val="24"/>
        </w:rPr>
        <w:t>ies</w:t>
      </w:r>
      <w:r>
        <w:rPr>
          <w:rFonts w:ascii="Times New Roman" w:hAnsi="Times New Roman" w:cs="Times New Roman"/>
          <w:sz w:val="24"/>
        </w:rPr>
        <w:t xml:space="preserve"> plan to utilize the conversion protocol described earlier </w:t>
      </w:r>
      <w:r w:rsidR="00794F53">
        <w:rPr>
          <w:rFonts w:ascii="Times New Roman" w:hAnsi="Times New Roman" w:cs="Times New Roman"/>
          <w:sz w:val="24"/>
        </w:rPr>
        <w:t xml:space="preserve">when a potential participant enters a data collection area, but initially declines to participate. </w:t>
      </w:r>
      <w:r w:rsidRPr="000F7F08" w:rsidR="00794F53">
        <w:rPr>
          <w:rFonts w:ascii="Times New Roman" w:hAnsi="Times New Roman" w:cs="Times New Roman"/>
          <w:sz w:val="24"/>
        </w:rPr>
        <w:t>The incentive will be increased up to $100</w:t>
      </w:r>
      <w:r w:rsidRPr="000F7F08" w:rsidR="00B7065B">
        <w:rPr>
          <w:rFonts w:ascii="Times New Roman" w:hAnsi="Times New Roman" w:cs="Times New Roman"/>
          <w:sz w:val="24"/>
        </w:rPr>
        <w:t xml:space="preserve"> in increments of $20</w:t>
      </w:r>
      <w:r w:rsidR="00882D6D">
        <w:rPr>
          <w:rFonts w:ascii="Times New Roman" w:hAnsi="Times New Roman" w:cs="Times New Roman"/>
          <w:sz w:val="24"/>
        </w:rPr>
        <w:t xml:space="preserve">. If a </w:t>
      </w:r>
      <w:r w:rsidR="000F7F08">
        <w:rPr>
          <w:rFonts w:ascii="Times New Roman" w:hAnsi="Times New Roman" w:cs="Times New Roman"/>
          <w:sz w:val="24"/>
        </w:rPr>
        <w:t>driver or ORU</w:t>
      </w:r>
      <w:r w:rsidR="00882D6D">
        <w:rPr>
          <w:rFonts w:ascii="Times New Roman" w:hAnsi="Times New Roman" w:cs="Times New Roman"/>
          <w:sz w:val="24"/>
        </w:rPr>
        <w:t xml:space="preserve"> still declines to participate, the data collector will </w:t>
      </w:r>
      <w:r w:rsidR="00B7065B">
        <w:rPr>
          <w:rFonts w:ascii="Times New Roman" w:hAnsi="Times New Roman" w:cs="Times New Roman"/>
          <w:sz w:val="24"/>
        </w:rPr>
        <w:t xml:space="preserve">observe and </w:t>
      </w:r>
      <w:r w:rsidR="00882D6D">
        <w:rPr>
          <w:rFonts w:ascii="Times New Roman" w:hAnsi="Times New Roman" w:cs="Times New Roman"/>
          <w:sz w:val="24"/>
        </w:rPr>
        <w:t>record</w:t>
      </w:r>
      <w:r w:rsidR="00B7065B">
        <w:rPr>
          <w:rFonts w:ascii="Times New Roman" w:hAnsi="Times New Roman" w:cs="Times New Roman"/>
          <w:sz w:val="24"/>
        </w:rPr>
        <w:t xml:space="preserve"> their best estimate of </w:t>
      </w:r>
      <w:r w:rsidR="00841B17">
        <w:rPr>
          <w:rFonts w:ascii="Times New Roman" w:hAnsi="Times New Roman" w:cs="Times New Roman"/>
          <w:sz w:val="24"/>
        </w:rPr>
        <w:t xml:space="preserve">the person’s </w:t>
      </w:r>
      <w:r w:rsidRPr="001741BE" w:rsidR="00841B17">
        <w:rPr>
          <w:rFonts w:ascii="Times New Roman" w:hAnsi="Times New Roman" w:cs="Times New Roman"/>
          <w:sz w:val="24"/>
        </w:rPr>
        <w:t>age, sex, race, and vehicle type</w:t>
      </w:r>
      <w:r w:rsidRPr="001741BE" w:rsidR="000F7F08">
        <w:rPr>
          <w:rFonts w:ascii="Times New Roman" w:hAnsi="Times New Roman" w:cs="Times New Roman"/>
          <w:sz w:val="24"/>
        </w:rPr>
        <w:t>/method of transport</w:t>
      </w:r>
      <w:r w:rsidR="00841B17">
        <w:rPr>
          <w:rFonts w:ascii="Times New Roman" w:hAnsi="Times New Roman" w:cs="Times New Roman"/>
          <w:sz w:val="24"/>
        </w:rPr>
        <w:t xml:space="preserve">. </w:t>
      </w:r>
      <w:r w:rsidRPr="00900228" w:rsidR="00900228">
        <w:rPr>
          <w:rFonts w:ascii="Times New Roman" w:hAnsi="Times New Roman" w:cs="Times New Roman"/>
          <w:sz w:val="24"/>
        </w:rPr>
        <w:t>As previously noted, information collected for participants and nonparticipants at each stage of selection will be used to assess potential biases due to differential participation, and to make appropriate weighting adjustments if necessary.</w:t>
      </w:r>
    </w:p>
    <w:p w:rsidR="004A76B7" w:rsidP="00161F09" w14:paraId="098FCC37" w14:textId="77777777">
      <w:pPr>
        <w:pStyle w:val="BodyText"/>
        <w:spacing w:line="240" w:lineRule="auto"/>
        <w:rPr>
          <w:rFonts w:ascii="Times New Roman" w:hAnsi="Times New Roman" w:cs="Times New Roman"/>
          <w:sz w:val="24"/>
        </w:rPr>
      </w:pPr>
    </w:p>
    <w:p w:rsidR="00B749EC" w:rsidRPr="00D76246" w:rsidP="00161F09" w14:paraId="66BF103C" w14:textId="395A6256">
      <w:pPr>
        <w:pStyle w:val="BodyText"/>
        <w:spacing w:line="240" w:lineRule="auto"/>
        <w:rPr>
          <w:rFonts w:ascii="Times New Roman" w:hAnsi="Times New Roman" w:cs="Times New Roman"/>
          <w:sz w:val="24"/>
          <w:vertAlign w:val="superscript"/>
        </w:rPr>
      </w:pPr>
      <w:r w:rsidRPr="008E62B5">
        <w:rPr>
          <w:rFonts w:ascii="Times New Roman" w:hAnsi="Times New Roman" w:cs="Times New Roman"/>
          <w:sz w:val="24"/>
        </w:rPr>
        <w:t xml:space="preserve">Additionally, the researchers will provide assurances of </w:t>
      </w:r>
      <w:r w:rsidR="00AE6A57">
        <w:rPr>
          <w:rFonts w:ascii="Times New Roman" w:hAnsi="Times New Roman" w:cs="Times New Roman"/>
          <w:sz w:val="24"/>
        </w:rPr>
        <w:t>confidentiality</w:t>
      </w:r>
      <w:r w:rsidRPr="008E62B5">
        <w:rPr>
          <w:rFonts w:ascii="Times New Roman" w:hAnsi="Times New Roman" w:cs="Times New Roman"/>
          <w:sz w:val="24"/>
        </w:rPr>
        <w:t xml:space="preserve"> in the informed consent process by indicating that no identifying information will be </w:t>
      </w:r>
      <w:r w:rsidR="00AE6A57">
        <w:rPr>
          <w:rFonts w:ascii="Times New Roman" w:hAnsi="Times New Roman" w:cs="Times New Roman"/>
          <w:sz w:val="24"/>
        </w:rPr>
        <w:t>recorded</w:t>
      </w:r>
      <w:r w:rsidRPr="008E62B5">
        <w:rPr>
          <w:rFonts w:ascii="Times New Roman" w:hAnsi="Times New Roman" w:cs="Times New Roman"/>
          <w:sz w:val="24"/>
        </w:rPr>
        <w:t xml:space="preserve"> by the project.</w:t>
      </w:r>
      <w:r w:rsidR="00AE6A57">
        <w:rPr>
          <w:rFonts w:ascii="Times New Roman" w:hAnsi="Times New Roman" w:cs="Times New Roman"/>
          <w:sz w:val="24"/>
        </w:rPr>
        <w:t xml:space="preserve"> </w:t>
      </w:r>
      <w:r w:rsidRPr="001741BE" w:rsidR="00AE6A57">
        <w:rPr>
          <w:rFonts w:ascii="Times New Roman" w:hAnsi="Times New Roman" w:cs="Times New Roman"/>
          <w:sz w:val="24"/>
        </w:rPr>
        <w:t>The study plans to seek a Certificate of Confidentiality from the National Institutes of Health to provide further assurances to participants.</w:t>
      </w:r>
    </w:p>
    <w:p w:rsidR="00B749EC" w:rsidRPr="008E62B5" w:rsidP="00B749EC" w14:paraId="5BE8BD57" w14:textId="77777777"/>
    <w:p w:rsidR="00C82EEF" w:rsidRPr="008E62B5" w:rsidP="005B647F" w14:paraId="36BF31FD" w14:textId="24081FF7">
      <w:pPr>
        <w:pStyle w:val="Heading1"/>
      </w:pPr>
      <w:r w:rsidRPr="008E62B5">
        <w:t>B.4.</w:t>
      </w:r>
      <w:r w:rsidRPr="008E62B5">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C02E7E" w:rsidRPr="008E62B5" w:rsidP="00C02E7E" w14:paraId="016BD5B5" w14:textId="77777777"/>
    <w:p w:rsidR="00B749EC" w:rsidP="004156CC" w14:paraId="21678C12" w14:textId="0AD331C9">
      <w:pPr>
        <w:spacing w:line="240" w:lineRule="auto"/>
      </w:pPr>
      <w:r>
        <w:t xml:space="preserve">The </w:t>
      </w:r>
      <w:r w:rsidR="00E415CF">
        <w:t>protocols</w:t>
      </w:r>
      <w:r w:rsidR="001F47F6">
        <w:t xml:space="preserve"> for recruiting </w:t>
      </w:r>
      <w:r w:rsidR="009D3AE7">
        <w:t>drivers and collecting information</w:t>
      </w:r>
      <w:r w:rsidR="00E415CF">
        <w:t xml:space="preserve"> have proven effective in past NRSs</w:t>
      </w:r>
      <w:r w:rsidR="00FF0652">
        <w:t xml:space="preserve"> and are expected to perform well in </w:t>
      </w:r>
      <w:r w:rsidR="00250A70">
        <w:t>Study 1</w:t>
      </w:r>
      <w:r w:rsidR="00FF0652">
        <w:t xml:space="preserve">. </w:t>
      </w:r>
      <w:r w:rsidR="00EB3AE4">
        <w:t xml:space="preserve">Adding ORU recruitment to </w:t>
      </w:r>
      <w:r w:rsidR="00250A70">
        <w:t>Study 1</w:t>
      </w:r>
      <w:r w:rsidR="00EB3AE4">
        <w:t xml:space="preserve"> will require some minor modifications that will need to be tested to make sure the study teams can implement them as intended. </w:t>
      </w:r>
      <w:r w:rsidRPr="008E62B5" w:rsidR="00C02E7E">
        <w:t xml:space="preserve">The study will provide training to all data collectors and pilot test all protocols for data collection. Pilot test results will be used to identify potential improvements to the protocol prior to beginning actual data collection. </w:t>
      </w:r>
    </w:p>
    <w:p w:rsidR="00F81A17" w:rsidP="004156CC" w14:paraId="2C2CF5B0" w14:textId="77777777">
      <w:pPr>
        <w:spacing w:line="240" w:lineRule="auto"/>
      </w:pPr>
    </w:p>
    <w:p w:rsidR="00F81A17" w:rsidRPr="008E62B5" w:rsidP="004156CC" w14:paraId="755E5DDA" w14:textId="374E3A3D">
      <w:pPr>
        <w:spacing w:line="240" w:lineRule="auto"/>
        <w:rPr>
          <w:b/>
          <w:color w:val="000000"/>
        </w:rPr>
      </w:pPr>
      <w:r>
        <w:t>Study 2</w:t>
      </w:r>
      <w:r>
        <w:t xml:space="preserve"> exploring the feasibility of conducting </w:t>
      </w:r>
      <w:r w:rsidR="00FC0920">
        <w:t>a roadside survey</w:t>
      </w:r>
      <w:r>
        <w:t xml:space="preserve"> focusing solely on ORUs </w:t>
      </w:r>
      <w:r w:rsidR="001105E3">
        <w:t>will test a variety of procedures to find the optimal approach</w:t>
      </w:r>
      <w:r w:rsidR="0061737E">
        <w:t xml:space="preserve"> for conducting a study of this type. </w:t>
      </w:r>
      <w:r w:rsidR="001B7B5F">
        <w:t xml:space="preserve">A description of the success or failure of each protocol will be provided to NHTSA to help the agency decide whether </w:t>
      </w:r>
      <w:r w:rsidR="00BD5FEA">
        <w:t>a</w:t>
      </w:r>
      <w:r w:rsidR="00D21B9A">
        <w:t xml:space="preserve"> roadside survey </w:t>
      </w:r>
      <w:r w:rsidR="00BD5FEA">
        <w:t xml:space="preserve">of </w:t>
      </w:r>
      <w:r w:rsidR="001539E3">
        <w:t>only</w:t>
      </w:r>
      <w:r w:rsidR="00BD5FEA">
        <w:t xml:space="preserve"> ORUs is worth pursuing in the future.</w:t>
      </w:r>
    </w:p>
    <w:p w:rsidR="004D2071" w:rsidRPr="00C02E7E" w:rsidP="004D2071" w14:paraId="4AAD85F5" w14:textId="77777777">
      <w:pPr>
        <w:pStyle w:val="ICRQuestion"/>
      </w:pPr>
      <w:r w:rsidRPr="00C02E7E">
        <w:t>B.5.</w:t>
      </w:r>
      <w:r w:rsidRPr="00C02E7E">
        <w:tab/>
        <w:t>Provide the names and telephone numbers of individuals consulted on statistical aspects of the design.</w:t>
      </w:r>
    </w:p>
    <w:p w:rsidR="004D2071" w:rsidRPr="00C02E7E" w:rsidP="00E3040B" w14:paraId="7DF8E895" w14:textId="1CCF89CE">
      <w:pPr>
        <w:pStyle w:val="BodyText"/>
        <w:spacing w:after="120"/>
        <w:rPr>
          <w:rFonts w:ascii="Times New Roman" w:hAnsi="Times New Roman" w:cs="Times New Roman"/>
          <w:sz w:val="24"/>
        </w:rPr>
      </w:pPr>
      <w:r w:rsidRPr="00C02E7E">
        <w:rPr>
          <w:rFonts w:ascii="Times New Roman" w:hAnsi="Times New Roman" w:cs="Times New Roman"/>
          <w:sz w:val="24"/>
        </w:rPr>
        <w:t>The following individuals have reviewed technical aspects of this research plan:</w:t>
      </w:r>
    </w:p>
    <w:p w:rsidR="004D2071" w:rsidRPr="00C02E7E" w:rsidP="00AF4C03" w14:paraId="50FFA180" w14:textId="7A95FE00">
      <w:pPr>
        <w:pStyle w:val="BodyText"/>
        <w:ind w:firstLine="360"/>
        <w:rPr>
          <w:rFonts w:ascii="Times New Roman" w:hAnsi="Times New Roman" w:cs="Times New Roman"/>
          <w:sz w:val="24"/>
        </w:rPr>
      </w:pPr>
      <w:r w:rsidRPr="00C02E7E">
        <w:rPr>
          <w:rFonts w:ascii="Times New Roman" w:hAnsi="Times New Roman" w:cs="Times New Roman"/>
          <w:sz w:val="24"/>
        </w:rPr>
        <w:t>Amy Berning</w:t>
      </w:r>
      <w:r w:rsidR="009F021A">
        <w:rPr>
          <w:rFonts w:ascii="Times New Roman" w:hAnsi="Times New Roman" w:cs="Times New Roman"/>
          <w:sz w:val="24"/>
        </w:rPr>
        <w:t>, MA</w:t>
      </w:r>
    </w:p>
    <w:p w:rsidR="00E3040B" w:rsidRPr="00C02E7E" w:rsidP="00E3040B" w14:paraId="2A569712" w14:textId="77777777">
      <w:pPr>
        <w:pStyle w:val="BodyText"/>
        <w:ind w:firstLine="360"/>
        <w:rPr>
          <w:rFonts w:ascii="Times New Roman" w:hAnsi="Times New Roman" w:cs="Times New Roman"/>
          <w:sz w:val="24"/>
        </w:rPr>
      </w:pPr>
      <w:r w:rsidRPr="00C02E7E">
        <w:rPr>
          <w:rFonts w:ascii="Times New Roman" w:hAnsi="Times New Roman" w:cs="Times New Roman"/>
          <w:sz w:val="24"/>
        </w:rPr>
        <w:t>National Highway Traffic Safety Administration</w:t>
      </w:r>
    </w:p>
    <w:p w:rsidR="00E3040B" w:rsidRPr="00C02E7E" w:rsidP="00E3040B" w14:paraId="56EE4F66" w14:textId="77777777">
      <w:pPr>
        <w:pStyle w:val="BodyText"/>
        <w:ind w:firstLine="360"/>
        <w:rPr>
          <w:rFonts w:ascii="Times New Roman" w:hAnsi="Times New Roman" w:cs="Times New Roman"/>
          <w:sz w:val="24"/>
        </w:rPr>
      </w:pPr>
      <w:r w:rsidRPr="00C02E7E">
        <w:rPr>
          <w:rFonts w:ascii="Times New Roman" w:hAnsi="Times New Roman" w:cs="Times New Roman"/>
          <w:sz w:val="24"/>
        </w:rPr>
        <w:t>Department of Transportation</w:t>
      </w:r>
    </w:p>
    <w:p w:rsidR="00E3040B" w:rsidRPr="00C02E7E" w:rsidP="00E3040B" w14:paraId="0F68EF4C" w14:textId="77777777">
      <w:pPr>
        <w:pStyle w:val="BodyText"/>
        <w:ind w:firstLine="360"/>
        <w:rPr>
          <w:rFonts w:ascii="Times New Roman" w:hAnsi="Times New Roman" w:cs="Times New Roman"/>
          <w:sz w:val="24"/>
        </w:rPr>
      </w:pPr>
      <w:r w:rsidRPr="00C02E7E">
        <w:rPr>
          <w:rFonts w:ascii="Times New Roman" w:hAnsi="Times New Roman" w:cs="Times New Roman"/>
          <w:sz w:val="24"/>
        </w:rPr>
        <w:t>1200 New Jersey Avenue SE. Washington, DC 20590</w:t>
      </w:r>
    </w:p>
    <w:p w:rsidR="004D2071" w:rsidRPr="00C02E7E" w:rsidP="00AF4C03" w14:paraId="47B0F806" w14:textId="77777777">
      <w:pPr>
        <w:pStyle w:val="BodyText"/>
        <w:ind w:firstLine="360"/>
        <w:rPr>
          <w:rFonts w:ascii="Times New Roman" w:hAnsi="Times New Roman" w:cs="Times New Roman"/>
          <w:sz w:val="24"/>
        </w:rPr>
      </w:pPr>
      <w:r w:rsidRPr="00C02E7E">
        <w:rPr>
          <w:rFonts w:ascii="Times New Roman" w:hAnsi="Times New Roman" w:cs="Times New Roman"/>
          <w:sz w:val="24"/>
        </w:rPr>
        <w:t xml:space="preserve">Office: </w:t>
      </w:r>
      <w:r w:rsidRPr="00C02E7E">
        <w:rPr>
          <w:rFonts w:ascii="Times New Roman" w:hAnsi="Times New Roman" w:cs="Times New Roman"/>
          <w:sz w:val="24"/>
        </w:rPr>
        <w:t>202-366-</w:t>
      </w:r>
      <w:r w:rsidRPr="00C02E7E" w:rsidR="00AA28FD">
        <w:rPr>
          <w:rFonts w:ascii="Times New Roman" w:hAnsi="Times New Roman" w:cs="Times New Roman"/>
          <w:sz w:val="24"/>
        </w:rPr>
        <w:t>5587</w:t>
      </w:r>
    </w:p>
    <w:p w:rsidR="00730598" w:rsidP="00B82A78" w14:paraId="45B9A3DD" w14:textId="77777777">
      <w:pPr>
        <w:pStyle w:val="BodyText"/>
        <w:ind w:firstLine="360"/>
        <w:rPr>
          <w:rFonts w:ascii="Times New Roman" w:hAnsi="Times New Roman" w:cs="Times New Roman"/>
          <w:sz w:val="24"/>
        </w:rPr>
      </w:pPr>
    </w:p>
    <w:p w:rsidR="00B82A78" w:rsidRPr="00C02E7E" w:rsidP="00B82A78" w14:paraId="702185CF" w14:textId="6E120E40">
      <w:pPr>
        <w:pStyle w:val="BodyText"/>
        <w:ind w:firstLine="360"/>
        <w:rPr>
          <w:rFonts w:ascii="Times New Roman" w:hAnsi="Times New Roman" w:cs="Times New Roman"/>
          <w:sz w:val="24"/>
        </w:rPr>
      </w:pPr>
      <w:r w:rsidRPr="00C02E7E">
        <w:rPr>
          <w:rFonts w:ascii="Times New Roman" w:hAnsi="Times New Roman" w:cs="Times New Roman"/>
          <w:sz w:val="24"/>
        </w:rPr>
        <w:t>Randolph Atkins</w:t>
      </w:r>
      <w:r w:rsidRPr="00C02E7E">
        <w:rPr>
          <w:rFonts w:ascii="Times New Roman" w:hAnsi="Times New Roman" w:cs="Times New Roman"/>
          <w:sz w:val="24"/>
        </w:rPr>
        <w:t>, PhD</w:t>
      </w:r>
    </w:p>
    <w:p w:rsidR="00B82A78" w:rsidRPr="00C02E7E" w:rsidP="00B82A78" w14:paraId="04919F3E" w14:textId="77777777">
      <w:pPr>
        <w:pStyle w:val="BodyText"/>
        <w:ind w:firstLine="360"/>
        <w:rPr>
          <w:rFonts w:ascii="Times New Roman" w:hAnsi="Times New Roman" w:cs="Times New Roman"/>
          <w:sz w:val="24"/>
        </w:rPr>
      </w:pPr>
      <w:r w:rsidRPr="00C02E7E">
        <w:rPr>
          <w:rFonts w:ascii="Times New Roman" w:hAnsi="Times New Roman" w:cs="Times New Roman"/>
          <w:sz w:val="24"/>
        </w:rPr>
        <w:t>National Highway Traffic Safety Administration</w:t>
      </w:r>
    </w:p>
    <w:p w:rsidR="00E3040B" w:rsidRPr="00C02E7E" w:rsidP="00E3040B" w14:paraId="6196B9BB" w14:textId="77777777">
      <w:pPr>
        <w:pStyle w:val="BodyText"/>
        <w:ind w:firstLine="360"/>
        <w:rPr>
          <w:rFonts w:ascii="Times New Roman" w:hAnsi="Times New Roman" w:cs="Times New Roman"/>
          <w:sz w:val="24"/>
        </w:rPr>
      </w:pPr>
      <w:r w:rsidRPr="00C02E7E">
        <w:rPr>
          <w:rFonts w:ascii="Times New Roman" w:hAnsi="Times New Roman" w:cs="Times New Roman"/>
          <w:sz w:val="24"/>
        </w:rPr>
        <w:t>Department of Transportation</w:t>
      </w:r>
    </w:p>
    <w:p w:rsidR="00B82A78" w:rsidRPr="00C02E7E" w:rsidP="00B82A78" w14:paraId="6E601B37" w14:textId="77777777">
      <w:pPr>
        <w:pStyle w:val="BodyText"/>
        <w:ind w:firstLine="360"/>
        <w:rPr>
          <w:rFonts w:ascii="Times New Roman" w:hAnsi="Times New Roman" w:cs="Times New Roman"/>
          <w:sz w:val="24"/>
        </w:rPr>
      </w:pPr>
      <w:r w:rsidRPr="00C02E7E">
        <w:rPr>
          <w:rFonts w:ascii="Times New Roman" w:hAnsi="Times New Roman" w:cs="Times New Roman"/>
          <w:sz w:val="24"/>
        </w:rPr>
        <w:t>1200 New Jersey Avenue SE, Washington, DC 20590</w:t>
      </w:r>
    </w:p>
    <w:p w:rsidR="00B82A78" w:rsidRPr="00C02E7E" w:rsidP="00B82A78" w14:paraId="7800F67A" w14:textId="55F88D05">
      <w:pPr>
        <w:pStyle w:val="BodyText"/>
        <w:ind w:firstLine="360"/>
        <w:rPr>
          <w:rFonts w:ascii="Times New Roman" w:hAnsi="Times New Roman" w:cs="Times New Roman"/>
          <w:sz w:val="24"/>
        </w:rPr>
      </w:pPr>
      <w:r w:rsidRPr="00C02E7E">
        <w:rPr>
          <w:rFonts w:ascii="Times New Roman" w:hAnsi="Times New Roman" w:cs="Times New Roman"/>
          <w:sz w:val="24"/>
        </w:rPr>
        <w:t>Office: 202-366-</w:t>
      </w:r>
      <w:r w:rsidRPr="00C02E7E" w:rsidR="00A24057">
        <w:rPr>
          <w:rFonts w:ascii="Times New Roman" w:hAnsi="Times New Roman" w:cs="Times New Roman"/>
          <w:sz w:val="24"/>
        </w:rPr>
        <w:t>5597</w:t>
      </w:r>
    </w:p>
    <w:p w:rsidR="00AB2FB7" w:rsidP="00AB2FB7" w14:paraId="6F9BD5C8" w14:textId="77777777">
      <w:pPr>
        <w:pStyle w:val="BodyText"/>
        <w:ind w:firstLine="360"/>
        <w:rPr>
          <w:rFonts w:ascii="Times New Roman" w:hAnsi="Times New Roman" w:cs="Times New Roman"/>
          <w:sz w:val="24"/>
        </w:rPr>
      </w:pPr>
    </w:p>
    <w:p w:rsidR="00AB2FB7" w:rsidRPr="00C02E7E" w:rsidP="00AB2FB7" w14:paraId="53811EB5" w14:textId="2A2BDBCB">
      <w:pPr>
        <w:pStyle w:val="BodyText"/>
        <w:ind w:firstLine="360"/>
        <w:rPr>
          <w:rFonts w:ascii="Times New Roman" w:hAnsi="Times New Roman" w:cs="Times New Roman"/>
          <w:sz w:val="24"/>
        </w:rPr>
      </w:pPr>
      <w:r w:rsidRPr="00C02E7E">
        <w:rPr>
          <w:rFonts w:ascii="Times New Roman" w:hAnsi="Times New Roman" w:cs="Times New Roman"/>
          <w:sz w:val="24"/>
        </w:rPr>
        <w:t>Kraig Finstad, MA, PhD</w:t>
      </w:r>
    </w:p>
    <w:p w:rsidR="00AB2FB7" w:rsidP="00AB2FB7" w14:paraId="1B83F553" w14:textId="77777777">
      <w:pPr>
        <w:pStyle w:val="BodyText"/>
        <w:ind w:firstLine="360"/>
        <w:rPr>
          <w:rFonts w:ascii="Times New Roman" w:hAnsi="Times New Roman" w:cs="Times New Roman"/>
          <w:sz w:val="24"/>
        </w:rPr>
      </w:pPr>
      <w:r w:rsidRPr="00C02E7E">
        <w:rPr>
          <w:rFonts w:ascii="Times New Roman" w:hAnsi="Times New Roman" w:cs="Times New Roman"/>
          <w:sz w:val="24"/>
        </w:rPr>
        <w:t>Dunlap and Associates, Inc.</w:t>
      </w:r>
    </w:p>
    <w:p w:rsidR="00AB2FB7" w:rsidP="00AB2FB7" w14:paraId="30673663" w14:textId="77777777">
      <w:pPr>
        <w:pStyle w:val="BodyText"/>
        <w:ind w:firstLine="360"/>
        <w:rPr>
          <w:rFonts w:ascii="Times New Roman" w:hAnsi="Times New Roman" w:cs="Times New Roman"/>
          <w:sz w:val="24"/>
        </w:rPr>
      </w:pPr>
      <w:r w:rsidRPr="00C02E7E">
        <w:rPr>
          <w:rFonts w:ascii="Times New Roman" w:hAnsi="Times New Roman" w:cs="Times New Roman"/>
          <w:sz w:val="24"/>
        </w:rPr>
        <w:t>125 Edinburgh South Drive, Suite 111</w:t>
      </w:r>
      <w:r>
        <w:rPr>
          <w:rFonts w:ascii="Times New Roman" w:hAnsi="Times New Roman" w:cs="Times New Roman"/>
          <w:sz w:val="24"/>
        </w:rPr>
        <w:t>, Cary, NC 27511</w:t>
      </w:r>
    </w:p>
    <w:p w:rsidR="000F7F08" w:rsidRPr="00C02E7E" w:rsidP="00AB2FB7" w14:paraId="30CF0B44" w14:textId="25C410B2">
      <w:pPr>
        <w:pStyle w:val="BodyText"/>
        <w:ind w:firstLine="360"/>
        <w:rPr>
          <w:rFonts w:ascii="Times New Roman" w:hAnsi="Times New Roman" w:cs="Times New Roman"/>
          <w:sz w:val="24"/>
        </w:rPr>
      </w:pPr>
      <w:r>
        <w:rPr>
          <w:rFonts w:ascii="Times New Roman" w:hAnsi="Times New Roman" w:cs="Times New Roman"/>
          <w:sz w:val="24"/>
        </w:rPr>
        <w:t xml:space="preserve">Office: </w:t>
      </w:r>
      <w:r>
        <w:rPr>
          <w:rFonts w:ascii="Times New Roman" w:hAnsi="Times New Roman" w:cs="Times New Roman"/>
          <w:sz w:val="24"/>
        </w:rPr>
        <w:t>203</w:t>
      </w:r>
      <w:r>
        <w:rPr>
          <w:rFonts w:ascii="Times New Roman" w:hAnsi="Times New Roman" w:cs="Times New Roman"/>
          <w:sz w:val="24"/>
        </w:rPr>
        <w:t>-</w:t>
      </w:r>
      <w:r>
        <w:rPr>
          <w:rFonts w:ascii="Times New Roman" w:hAnsi="Times New Roman" w:cs="Times New Roman"/>
          <w:sz w:val="24"/>
        </w:rPr>
        <w:t>323-8464</w:t>
      </w:r>
    </w:p>
    <w:p w:rsidR="00B82A78" w:rsidP="00AF4C03" w14:paraId="57FC9CEE" w14:textId="77777777">
      <w:pPr>
        <w:pStyle w:val="BodyText"/>
        <w:ind w:firstLine="360"/>
        <w:rPr>
          <w:rFonts w:ascii="Times New Roman" w:hAnsi="Times New Roman" w:cs="Times New Roman"/>
          <w:sz w:val="24"/>
        </w:rPr>
      </w:pPr>
    </w:p>
    <w:p w:rsidR="009F021A" w:rsidRPr="009F021A" w:rsidP="000F7F08" w14:paraId="7CD0F90C" w14:textId="77777777">
      <w:pPr>
        <w:pStyle w:val="BodyText"/>
        <w:spacing w:line="240" w:lineRule="auto"/>
        <w:ind w:firstLine="360"/>
        <w:rPr>
          <w:rFonts w:ascii="Times New Roman" w:hAnsi="Times New Roman" w:cs="Times New Roman"/>
          <w:sz w:val="24"/>
        </w:rPr>
      </w:pPr>
      <w:r w:rsidRPr="009F021A">
        <w:rPr>
          <w:rFonts w:ascii="Times New Roman" w:hAnsi="Times New Roman" w:cs="Times New Roman"/>
          <w:sz w:val="24"/>
        </w:rPr>
        <w:t>A. Scott Tippetts</w:t>
      </w:r>
    </w:p>
    <w:p w:rsidR="009F021A" w:rsidRPr="009F021A" w:rsidP="000F7F08" w14:paraId="31905907" w14:textId="77777777">
      <w:pPr>
        <w:pStyle w:val="BodyText"/>
        <w:spacing w:line="240" w:lineRule="auto"/>
        <w:ind w:firstLine="360"/>
        <w:rPr>
          <w:rFonts w:ascii="Times New Roman" w:hAnsi="Times New Roman" w:cs="Times New Roman"/>
          <w:sz w:val="24"/>
        </w:rPr>
      </w:pPr>
      <w:r w:rsidRPr="009F021A">
        <w:rPr>
          <w:rFonts w:ascii="Times New Roman" w:hAnsi="Times New Roman" w:cs="Times New Roman"/>
          <w:sz w:val="24"/>
        </w:rPr>
        <w:t>Pacific Institute for Research and Evaluation (PIRE) – National Capital Region</w:t>
      </w:r>
    </w:p>
    <w:p w:rsidR="009F021A" w:rsidRPr="009F021A" w:rsidP="000F7F08" w14:paraId="60B902E5" w14:textId="77777777">
      <w:pPr>
        <w:pStyle w:val="BodyText"/>
        <w:spacing w:line="240" w:lineRule="auto"/>
        <w:ind w:firstLine="360"/>
        <w:rPr>
          <w:rFonts w:ascii="Times New Roman" w:hAnsi="Times New Roman" w:cs="Times New Roman"/>
          <w:sz w:val="24"/>
        </w:rPr>
      </w:pPr>
      <w:r w:rsidRPr="009F021A">
        <w:rPr>
          <w:rFonts w:ascii="Times New Roman" w:hAnsi="Times New Roman" w:cs="Times New Roman"/>
          <w:sz w:val="24"/>
        </w:rPr>
        <w:t>4061 Powder Mill Road, Suite 350; Beltsville, Maryland 20705-3113</w:t>
      </w:r>
    </w:p>
    <w:p w:rsidR="008A59E5" w:rsidP="000F7F08" w14:paraId="3643B46E" w14:textId="2E0E080B">
      <w:pPr>
        <w:pStyle w:val="BodyText"/>
        <w:spacing w:line="240" w:lineRule="auto"/>
        <w:ind w:firstLine="360"/>
        <w:rPr>
          <w:rFonts w:ascii="Times New Roman" w:hAnsi="Times New Roman" w:cs="Times New Roman"/>
          <w:sz w:val="24"/>
        </w:rPr>
      </w:pPr>
      <w:r w:rsidRPr="009F021A">
        <w:rPr>
          <w:rFonts w:ascii="Times New Roman" w:hAnsi="Times New Roman" w:cs="Times New Roman"/>
          <w:sz w:val="24"/>
        </w:rPr>
        <w:t>Office: 470-326-8267</w:t>
      </w:r>
    </w:p>
    <w:p w:rsidR="009F021A" w14:paraId="53652FC7" w14:textId="578C2635">
      <w:pPr>
        <w:spacing w:line="240" w:lineRule="auto"/>
      </w:pPr>
    </w:p>
    <w:p w:rsidR="00B36710" w:rsidP="00B36710" w14:paraId="528D9E57" w14:textId="0AD2C892">
      <w:pPr>
        <w:pStyle w:val="BodyText"/>
        <w:ind w:firstLine="360"/>
        <w:rPr>
          <w:rFonts w:ascii="Times New Roman" w:hAnsi="Times New Roman" w:cs="Times New Roman"/>
          <w:sz w:val="24"/>
        </w:rPr>
      </w:pPr>
      <w:r>
        <w:rPr>
          <w:rFonts w:ascii="Times New Roman" w:hAnsi="Times New Roman" w:cs="Times New Roman"/>
          <w:sz w:val="24"/>
        </w:rPr>
        <w:t xml:space="preserve">Jay </w:t>
      </w:r>
      <w:r>
        <w:rPr>
          <w:rFonts w:ascii="Times New Roman" w:hAnsi="Times New Roman" w:cs="Times New Roman"/>
          <w:sz w:val="24"/>
        </w:rPr>
        <w:t>Breidt</w:t>
      </w:r>
      <w:r>
        <w:rPr>
          <w:rFonts w:ascii="Times New Roman" w:hAnsi="Times New Roman" w:cs="Times New Roman"/>
          <w:sz w:val="24"/>
        </w:rPr>
        <w:t>, MS, PhD</w:t>
      </w:r>
    </w:p>
    <w:p w:rsidR="00B36710" w:rsidP="009F021A" w14:paraId="3325F751" w14:textId="61BA6995">
      <w:pPr>
        <w:pStyle w:val="BodyText"/>
        <w:ind w:firstLine="360"/>
        <w:rPr>
          <w:rFonts w:ascii="Times New Roman" w:hAnsi="Times New Roman" w:cs="Times New Roman"/>
          <w:sz w:val="24"/>
        </w:rPr>
      </w:pPr>
      <w:r w:rsidRPr="009F021A">
        <w:rPr>
          <w:rFonts w:ascii="Times New Roman" w:hAnsi="Times New Roman" w:cs="Times New Roman"/>
          <w:sz w:val="24"/>
        </w:rPr>
        <w:t>National Opinion Research Center at the University of Chicago</w:t>
      </w:r>
    </w:p>
    <w:p w:rsidR="00900228" w:rsidP="00730598" w14:paraId="7E503AD5" w14:textId="308991EC">
      <w:pPr>
        <w:pStyle w:val="BodyText"/>
        <w:ind w:firstLine="360"/>
        <w:rPr>
          <w:rFonts w:ascii="Times New Roman" w:hAnsi="Times New Roman" w:cs="Times New Roman"/>
          <w:sz w:val="24"/>
        </w:rPr>
      </w:pPr>
      <w:r>
        <w:rPr>
          <w:rFonts w:ascii="Times New Roman" w:hAnsi="Times New Roman" w:cs="Times New Roman"/>
          <w:sz w:val="24"/>
        </w:rPr>
        <w:t>Department of Statistics and Data Science</w:t>
      </w:r>
    </w:p>
    <w:p w:rsidR="00730598" w:rsidRPr="00730598" w:rsidP="00730598" w14:paraId="10C57EAC" w14:textId="11BC4282">
      <w:pPr>
        <w:pStyle w:val="BodyText"/>
        <w:ind w:firstLine="360"/>
        <w:rPr>
          <w:rFonts w:ascii="Times New Roman" w:hAnsi="Times New Roman" w:cs="Times New Roman"/>
          <w:sz w:val="24"/>
        </w:rPr>
      </w:pPr>
      <w:r w:rsidRPr="00730598">
        <w:rPr>
          <w:rFonts w:ascii="Times New Roman" w:hAnsi="Times New Roman" w:cs="Times New Roman"/>
          <w:sz w:val="24"/>
        </w:rPr>
        <w:t>4350 East-West Hwy, 8th Floor</w:t>
      </w:r>
    </w:p>
    <w:p w:rsidR="00730598" w:rsidP="00730598" w14:paraId="34064ED2" w14:textId="286B7B39">
      <w:pPr>
        <w:pStyle w:val="BodyText"/>
        <w:ind w:firstLine="360"/>
        <w:rPr>
          <w:rFonts w:ascii="Times New Roman" w:hAnsi="Times New Roman" w:cs="Times New Roman"/>
          <w:sz w:val="24"/>
        </w:rPr>
      </w:pPr>
      <w:r w:rsidRPr="00730598">
        <w:rPr>
          <w:rFonts w:ascii="Times New Roman" w:hAnsi="Times New Roman" w:cs="Times New Roman"/>
          <w:sz w:val="24"/>
        </w:rPr>
        <w:t>Bethesda, MD 20814</w:t>
      </w:r>
    </w:p>
    <w:p w:rsidR="00B36710" w:rsidP="00AF4C03" w14:paraId="72A99171" w14:textId="7AE2E903">
      <w:pPr>
        <w:pStyle w:val="BodyText"/>
        <w:ind w:firstLine="360"/>
        <w:rPr>
          <w:rFonts w:ascii="Times New Roman" w:hAnsi="Times New Roman" w:cs="Times New Roman"/>
          <w:sz w:val="24"/>
        </w:rPr>
      </w:pPr>
      <w:r>
        <w:rPr>
          <w:rFonts w:ascii="Times New Roman" w:hAnsi="Times New Roman" w:cs="Times New Roman"/>
          <w:sz w:val="24"/>
        </w:rPr>
        <w:t>Office: 970-214-7171</w:t>
      </w:r>
    </w:p>
    <w:p w:rsidR="00B36710" w:rsidRPr="00C02E7E" w:rsidP="00AF4C03" w14:paraId="4ABA714A" w14:textId="77777777">
      <w:pPr>
        <w:pStyle w:val="BodyText"/>
        <w:ind w:firstLine="360"/>
        <w:rPr>
          <w:rFonts w:ascii="Times New Roman" w:hAnsi="Times New Roman" w:cs="Times New Roman"/>
          <w:sz w:val="24"/>
        </w:rPr>
      </w:pPr>
    </w:p>
    <w:p w:rsidR="00AA28FD" w:rsidRPr="00C02E7E" w:rsidP="00A556A2" w14:paraId="2AEC27F4" w14:textId="667E0840">
      <w:pPr>
        <w:pStyle w:val="BodyText"/>
        <w:ind w:firstLine="360"/>
        <w:rPr>
          <w:rFonts w:ascii="Times New Roman" w:hAnsi="Times New Roman" w:cs="Times New Roman"/>
          <w:sz w:val="24"/>
        </w:rPr>
      </w:pPr>
      <w:r w:rsidRPr="00C02E7E">
        <w:rPr>
          <w:rFonts w:ascii="Times New Roman" w:hAnsi="Times New Roman" w:cs="Times New Roman"/>
          <w:sz w:val="24"/>
        </w:rPr>
        <w:t>F. Dennis Thomas</w:t>
      </w:r>
      <w:r w:rsidR="00C27CAC">
        <w:rPr>
          <w:rFonts w:ascii="Times New Roman" w:hAnsi="Times New Roman" w:cs="Times New Roman"/>
          <w:sz w:val="24"/>
        </w:rPr>
        <w:t>, MA, PhD</w:t>
      </w:r>
    </w:p>
    <w:p w:rsidR="00AA28FD" w:rsidRPr="00C02E7E" w:rsidP="00A556A2" w14:paraId="40C57C27" w14:textId="4E23B8F3">
      <w:pPr>
        <w:pStyle w:val="BodyText"/>
        <w:ind w:firstLine="360"/>
        <w:rPr>
          <w:rFonts w:ascii="Times New Roman" w:hAnsi="Times New Roman" w:cs="Times New Roman"/>
          <w:sz w:val="24"/>
        </w:rPr>
      </w:pPr>
      <w:r w:rsidRPr="00C02E7E">
        <w:rPr>
          <w:rFonts w:ascii="Times New Roman" w:hAnsi="Times New Roman" w:cs="Times New Roman"/>
          <w:sz w:val="24"/>
        </w:rPr>
        <w:t xml:space="preserve">Dunlap and Associates, Inc. </w:t>
      </w:r>
    </w:p>
    <w:p w:rsidR="00AA28FD" w:rsidRPr="00C02E7E" w:rsidP="00A556A2" w14:paraId="651FEA67" w14:textId="5E6CB37F">
      <w:pPr>
        <w:pStyle w:val="BodyText"/>
        <w:ind w:firstLine="360"/>
        <w:rPr>
          <w:rFonts w:ascii="Times New Roman" w:hAnsi="Times New Roman" w:cs="Times New Roman"/>
          <w:sz w:val="24"/>
        </w:rPr>
      </w:pPr>
      <w:r w:rsidRPr="00C02E7E">
        <w:rPr>
          <w:rFonts w:ascii="Times New Roman" w:hAnsi="Times New Roman" w:cs="Times New Roman"/>
          <w:sz w:val="24"/>
        </w:rPr>
        <w:t>125 Edinburgh South Drive, Suite 111</w:t>
      </w:r>
      <w:r w:rsidR="00C27CAC">
        <w:rPr>
          <w:rFonts w:ascii="Times New Roman" w:hAnsi="Times New Roman" w:cs="Times New Roman"/>
          <w:sz w:val="24"/>
        </w:rPr>
        <w:t>, Cary, NC 27511</w:t>
      </w:r>
    </w:p>
    <w:p w:rsidR="00AA28FD" w:rsidRPr="00C02E7E" w:rsidP="00A556A2" w14:paraId="14705A8C" w14:textId="327AFA26">
      <w:pPr>
        <w:pStyle w:val="BodyText"/>
        <w:ind w:firstLine="360"/>
        <w:rPr>
          <w:rFonts w:ascii="Times New Roman" w:hAnsi="Times New Roman" w:cs="Times New Roman"/>
          <w:sz w:val="24"/>
        </w:rPr>
      </w:pPr>
      <w:r w:rsidRPr="00C02E7E">
        <w:rPr>
          <w:rFonts w:ascii="Times New Roman" w:hAnsi="Times New Roman" w:cs="Times New Roman"/>
          <w:sz w:val="24"/>
        </w:rPr>
        <w:t xml:space="preserve">Office: </w:t>
      </w:r>
      <w:r w:rsidRPr="00C02E7E" w:rsidR="00B756EA">
        <w:rPr>
          <w:rFonts w:ascii="Times New Roman" w:hAnsi="Times New Roman" w:cs="Times New Roman"/>
          <w:sz w:val="24"/>
        </w:rPr>
        <w:t>203-215-2948</w:t>
      </w:r>
    </w:p>
    <w:p w:rsidR="00B756EA" w:rsidRPr="00C02E7E" w:rsidP="004C12C1" w14:paraId="74A9F72B" w14:textId="77777777">
      <w:pPr>
        <w:ind w:left="360"/>
      </w:pPr>
    </w:p>
    <w:p w:rsidR="00B756EA" w:rsidP="00B756EA" w14:paraId="1F5C0B49" w14:textId="78290DFB">
      <w:pPr>
        <w:pStyle w:val="BodyText"/>
        <w:ind w:left="360"/>
        <w:rPr>
          <w:rFonts w:ascii="Times New Roman" w:hAnsi="Times New Roman" w:cs="Times New Roman"/>
          <w:sz w:val="24"/>
        </w:rPr>
      </w:pPr>
      <w:r w:rsidRPr="00C02E7E">
        <w:rPr>
          <w:rFonts w:ascii="Times New Roman" w:hAnsi="Times New Roman" w:cs="Times New Roman"/>
          <w:sz w:val="24"/>
        </w:rPr>
        <w:t>Jenna Darrah, MS</w:t>
      </w:r>
      <w:r w:rsidRPr="00C02E7E">
        <w:rPr>
          <w:rFonts w:ascii="Times New Roman" w:hAnsi="Times New Roman" w:cs="Times New Roman"/>
          <w:sz w:val="24"/>
        </w:rPr>
        <w:br/>
        <w:t>Dunlap and Associates, Inc.</w:t>
      </w:r>
    </w:p>
    <w:p w:rsidR="00C27CAC" w:rsidRPr="00C02E7E" w:rsidP="00C27CAC" w14:paraId="58FEB65A" w14:textId="21731315">
      <w:pPr>
        <w:pStyle w:val="BodyText"/>
        <w:ind w:firstLine="360"/>
        <w:rPr>
          <w:rFonts w:ascii="Times New Roman" w:hAnsi="Times New Roman" w:cs="Times New Roman"/>
          <w:sz w:val="24"/>
        </w:rPr>
      </w:pPr>
      <w:r w:rsidRPr="00C02E7E">
        <w:rPr>
          <w:rFonts w:ascii="Times New Roman" w:hAnsi="Times New Roman" w:cs="Times New Roman"/>
          <w:sz w:val="24"/>
        </w:rPr>
        <w:t>125 Edinburgh South Drive, Suite 111</w:t>
      </w:r>
      <w:r>
        <w:rPr>
          <w:rFonts w:ascii="Times New Roman" w:hAnsi="Times New Roman" w:cs="Times New Roman"/>
          <w:sz w:val="24"/>
        </w:rPr>
        <w:t>, Cary, NC 27511</w:t>
      </w:r>
    </w:p>
    <w:p w:rsidR="00730598" w:rsidRPr="00C02E7E" w:rsidP="00730598" w14:paraId="3D6F38F9" w14:textId="1DCD67A1">
      <w:pPr>
        <w:pStyle w:val="BodyText"/>
        <w:ind w:firstLine="360"/>
        <w:rPr>
          <w:rFonts w:ascii="Times New Roman" w:hAnsi="Times New Roman" w:cs="Times New Roman"/>
          <w:sz w:val="24"/>
        </w:rPr>
      </w:pPr>
      <w:r>
        <w:rPr>
          <w:rFonts w:ascii="Times New Roman" w:hAnsi="Times New Roman" w:cs="Times New Roman"/>
          <w:sz w:val="24"/>
        </w:rPr>
        <w:t xml:space="preserve">Office: </w:t>
      </w:r>
      <w:r w:rsidR="0044157B">
        <w:rPr>
          <w:rFonts w:ascii="Times New Roman" w:hAnsi="Times New Roman" w:cs="Times New Roman"/>
          <w:sz w:val="24"/>
        </w:rPr>
        <w:t>412-965-9889</w:t>
      </w:r>
    </w:p>
    <w:p w:rsidR="00B756EA" w:rsidRPr="00C02E7E" w:rsidP="00B756EA" w14:paraId="2929BAAD" w14:textId="78240713">
      <w:pPr>
        <w:pStyle w:val="BodyText"/>
        <w:ind w:firstLine="360"/>
        <w:rPr>
          <w:rFonts w:ascii="Times New Roman" w:hAnsi="Times New Roman" w:cs="Times New Roman"/>
          <w:sz w:val="24"/>
        </w:rPr>
      </w:pPr>
    </w:p>
    <w:p w:rsidR="00B756EA" w:rsidRPr="00C02E7E" w:rsidP="00B756EA" w14:paraId="40EB3971" w14:textId="77777777">
      <w:pPr>
        <w:pStyle w:val="BodyText"/>
        <w:ind w:firstLine="360"/>
        <w:rPr>
          <w:rFonts w:ascii="Times New Roman" w:hAnsi="Times New Roman" w:cs="Times New Roman"/>
          <w:sz w:val="24"/>
        </w:rPr>
      </w:pPr>
    </w:p>
    <w:p w:rsidR="00B756EA" w:rsidRPr="00C27CAC" w:rsidP="00B756EA" w14:paraId="7327B583" w14:textId="77777777">
      <w:pPr>
        <w:pStyle w:val="BodyText"/>
        <w:ind w:firstLine="360"/>
        <w:rPr>
          <w:rFonts w:ascii="Times New Roman" w:hAnsi="Times New Roman" w:cs="Times New Roman"/>
          <w:sz w:val="24"/>
        </w:rPr>
      </w:pPr>
    </w:p>
    <w:p w:rsidR="003420B8" w:rsidP="00B756EA" w14:paraId="15468BF6" w14:textId="77777777">
      <w:pPr>
        <w:pStyle w:val="BodyText"/>
        <w:ind w:firstLine="360"/>
        <w:rPr>
          <w:rFonts w:ascii="Times New Roman" w:hAnsi="Times New Roman" w:cs="Times New Roman"/>
          <w:sz w:val="24"/>
        </w:rPr>
      </w:pPr>
    </w:p>
    <w:p w:rsidR="003420B8" w:rsidP="00B756EA" w14:paraId="571A716C" w14:textId="1DCEF032">
      <w:pPr>
        <w:pStyle w:val="BodyText"/>
        <w:ind w:firstLine="360"/>
        <w:rPr>
          <w:rFonts w:ascii="Times New Roman" w:hAnsi="Times New Roman" w:cs="Times New Roman"/>
          <w:sz w:val="24"/>
        </w:rPr>
      </w:pPr>
    </w:p>
    <w:p w:rsidR="00B756EA" w:rsidP="004C12C1" w14:paraId="756ADAE2" w14:textId="77777777">
      <w:pPr>
        <w:ind w:left="360"/>
      </w:pPr>
    </w:p>
    <w:sectPr w:rsidSect="00C57FAE">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548237"/>
      <w:docPartObj>
        <w:docPartGallery w:val="Page Numbers (Bottom of Page)"/>
        <w:docPartUnique/>
      </w:docPartObj>
    </w:sdtPr>
    <w:sdtEndPr>
      <w:rPr>
        <w:noProof/>
      </w:rPr>
    </w:sdtEndPr>
    <w:sdtContent>
      <w:p w:rsidR="00280050" w14:paraId="132EEAB3" w14:textId="7777777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3575340"/>
      <w:docPartObj>
        <w:docPartGallery w:val="Page Numbers (Bottom of Page)"/>
        <w:docPartUnique/>
      </w:docPartObj>
    </w:sdtPr>
    <w:sdtEndPr>
      <w:rPr>
        <w:noProof/>
      </w:rPr>
    </w:sdtEndPr>
    <w:sdtContent>
      <w:p w:rsidR="00280050" w14:paraId="21B598A8" w14:textId="7777777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50" w:rsidRPr="008F6AE1" w:rsidP="00621503" w14:paraId="442A55AB" w14:textId="4D24F470">
    <w:pPr>
      <w:pStyle w:val="Footer"/>
      <w:tabs>
        <w:tab w:val="clear" w:pos="4320"/>
        <w:tab w:val="center" w:pos="6210"/>
        <w:tab w:val="clear" w:pos="8640"/>
        <w:tab w:val="right" w:pos="9360"/>
      </w:tabs>
      <w:jc w:val="center"/>
      <w:rPr>
        <w:sz w:val="20"/>
        <w:szCs w:val="20"/>
      </w:rPr>
    </w:pPr>
    <w:r w:rsidRPr="00A37B4D">
      <w:rPr>
        <w:sz w:val="20"/>
        <w:szCs w:val="20"/>
      </w:rPr>
      <w:t xml:space="preserve">Page </w:t>
    </w:r>
    <w:r w:rsidRPr="00A37B4D">
      <w:rPr>
        <w:b/>
        <w:bCs/>
        <w:sz w:val="20"/>
        <w:szCs w:val="20"/>
      </w:rPr>
      <w:fldChar w:fldCharType="begin"/>
    </w:r>
    <w:r w:rsidRPr="00A37B4D">
      <w:rPr>
        <w:b/>
        <w:bCs/>
        <w:sz w:val="20"/>
        <w:szCs w:val="20"/>
      </w:rPr>
      <w:instrText xml:space="preserve"> PAGE  \* Arabic  \* MERGEFORMAT </w:instrText>
    </w:r>
    <w:r w:rsidRPr="00A37B4D">
      <w:rPr>
        <w:b/>
        <w:bCs/>
        <w:sz w:val="20"/>
        <w:szCs w:val="20"/>
      </w:rPr>
      <w:fldChar w:fldCharType="separate"/>
    </w:r>
    <w:r>
      <w:rPr>
        <w:b/>
        <w:bCs/>
        <w:noProof/>
        <w:sz w:val="20"/>
        <w:szCs w:val="20"/>
      </w:rPr>
      <w:t>15</w:t>
    </w:r>
    <w:r w:rsidRPr="00A37B4D">
      <w:rPr>
        <w:b/>
        <w:bCs/>
        <w:sz w:val="20"/>
        <w:szCs w:val="20"/>
      </w:rPr>
      <w:fldChar w:fldCharType="end"/>
    </w:r>
    <w:r w:rsidRPr="00A37B4D">
      <w:rPr>
        <w:sz w:val="20"/>
        <w:szCs w:val="20"/>
      </w:rPr>
      <w:t xml:space="preserve"> of </w:t>
    </w:r>
    <w:r w:rsidRPr="00A37B4D">
      <w:rPr>
        <w:b/>
        <w:bCs/>
        <w:sz w:val="20"/>
        <w:szCs w:val="20"/>
      </w:rPr>
      <w:fldChar w:fldCharType="begin"/>
    </w:r>
    <w:r w:rsidRPr="00A37B4D">
      <w:rPr>
        <w:b/>
        <w:bCs/>
        <w:sz w:val="20"/>
        <w:szCs w:val="20"/>
      </w:rPr>
      <w:instrText xml:space="preserve"> NUMPAGES  \* Arabic  \* MERGEFORMAT </w:instrText>
    </w:r>
    <w:r w:rsidRPr="00A37B4D">
      <w:rPr>
        <w:b/>
        <w:bCs/>
        <w:sz w:val="20"/>
        <w:szCs w:val="20"/>
      </w:rPr>
      <w:fldChar w:fldCharType="separate"/>
    </w:r>
    <w:r>
      <w:rPr>
        <w:b/>
        <w:bCs/>
        <w:noProof/>
        <w:sz w:val="20"/>
        <w:szCs w:val="20"/>
      </w:rPr>
      <w:t>16</w:t>
    </w:r>
    <w:r w:rsidRPr="00A37B4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2D3C" w14:paraId="131F3965" w14:textId="77777777">
      <w:r>
        <w:separator/>
      </w:r>
    </w:p>
  </w:footnote>
  <w:footnote w:type="continuationSeparator" w:id="1">
    <w:p w:rsidR="00E62D3C" w14:paraId="2EAC355D" w14:textId="77777777">
      <w:r>
        <w:continuationSeparator/>
      </w:r>
    </w:p>
  </w:footnote>
  <w:footnote w:type="continuationNotice" w:id="2">
    <w:p w:rsidR="00E62D3C" w14:paraId="3CB6DFB8" w14:textId="77777777">
      <w:pPr>
        <w:spacing w:line="240" w:lineRule="auto"/>
      </w:pPr>
    </w:p>
  </w:footnote>
  <w:footnote w:id="3">
    <w:p w:rsidR="007D70F1" w14:paraId="029D6A9D" w14:textId="1EB9BA8D">
      <w:pPr>
        <w:pStyle w:val="FootnoteText"/>
      </w:pPr>
      <w:r>
        <w:rPr>
          <w:rStyle w:val="FootnoteReference"/>
        </w:rPr>
        <w:footnoteRef/>
      </w:r>
      <w:r>
        <w:t xml:space="preserve"> </w:t>
      </w:r>
      <w:r w:rsidRPr="0039208F" w:rsidR="006E0ED1">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580E33" w:rsidR="006E0ED1">
        <w:t xml:space="preserve"> if the information collection involves approval by an institutional review board, include a statement to that effect;</w:t>
      </w:r>
      <w:r w:rsidR="006E0ED1">
        <w:t xml:space="preserve"> (8)</w:t>
      </w:r>
      <w:r w:rsidRPr="0039208F" w:rsidR="006E0ED1">
        <w:t xml:space="preserve"> the purpose of the collection; and (</w:t>
      </w:r>
      <w:r w:rsidR="006E0ED1">
        <w:t>9</w:t>
      </w:r>
      <w:r w:rsidRPr="0039208F" w:rsidR="006E0ED1">
        <w:t>) if a revision, a description of the revision and the change in burden.</w:t>
      </w:r>
    </w:p>
  </w:footnote>
  <w:footnote w:id="4">
    <w:p w:rsidR="00520410" w:rsidP="00520410" w14:paraId="65179878" w14:textId="77777777">
      <w:pPr>
        <w:pStyle w:val="FootnoteText"/>
      </w:pPr>
      <w:r>
        <w:rPr>
          <w:rStyle w:val="FootnoteReference"/>
        </w:rPr>
        <w:footnoteRef/>
      </w:r>
      <w:r>
        <w:t xml:space="preserve"> </w:t>
      </w:r>
      <w:r w:rsidRPr="00A53299">
        <w:t>Wolfe, A. C. (1974). 1973 U.S. National Roadside Breath Testing Survey: Procedures and results. Ann Arbor, MI: University of Michigan Safety Research Institute.</w:t>
      </w:r>
    </w:p>
  </w:footnote>
  <w:footnote w:id="5">
    <w:p w:rsidR="00280050" w:rsidP="00FD5CD6" w14:paraId="266CEACE" w14:textId="66CAA879">
      <w:pPr>
        <w:pStyle w:val="FootnoteText"/>
        <w:spacing w:line="240" w:lineRule="auto"/>
      </w:pPr>
      <w:r>
        <w:rPr>
          <w:rStyle w:val="FootnoteReference"/>
        </w:rPr>
        <w:footnoteRef/>
      </w:r>
      <w:r>
        <w:t xml:space="preserve"> Zhang, F., Noh, E. Y., Subramanian, R., &amp; Chen, C.-L. (2019, May). Crash Report Sampling System: Sample design and weighting (Report No. DOT HS 812 706). Washington, DC: National Highway Traffic Safety Administration</w:t>
      </w:r>
    </w:p>
  </w:footnote>
  <w:footnote w:id="6">
    <w:p w:rsidR="00280050" w:rsidP="00FD5CD6" w14:paraId="64DCF2DC" w14:textId="087452F8">
      <w:pPr>
        <w:pStyle w:val="FootnoteText"/>
        <w:spacing w:line="240" w:lineRule="auto"/>
      </w:pPr>
      <w:r>
        <w:rPr>
          <w:rStyle w:val="FootnoteReference"/>
        </w:rPr>
        <w:footnoteRef/>
      </w:r>
      <w:r>
        <w:t xml:space="preserve"> </w:t>
      </w:r>
      <w:r w:rsidRPr="00FD5CD6">
        <w:t>Zhang, F., Subramanian, R., Chen, C.-L., &amp; Noh, E. Y.  (2018, March). Crash Report Sampling System: Design overview, analytic guidance, and FAQs (Report No. DOT HS 812 509). Washington, DC: National Highway Traffic Safety Administration.</w:t>
      </w:r>
    </w:p>
  </w:footnote>
  <w:footnote w:id="7">
    <w:p w:rsidR="00280050" w14:paraId="4702DF8A" w14:textId="468D4C7B">
      <w:pPr>
        <w:pStyle w:val="FootnoteText"/>
      </w:pPr>
      <w:r>
        <w:rPr>
          <w:rStyle w:val="FootnoteReference"/>
        </w:rPr>
        <w:footnoteRef/>
      </w:r>
      <w:r>
        <w:t xml:space="preserve"> National Center for Statistics and Analysis. (2018, March). Police-reported motor vehicle traffic crashes in 2016. (Research Note Report No. DOT HS 812 501). Washington, DC: National Highway Traffic Safety Administration.</w:t>
      </w:r>
    </w:p>
  </w:footnote>
  <w:footnote w:id="8">
    <w:p w:rsidR="00D344F9" w:rsidP="00900228" w14:paraId="05D0C6A7" w14:textId="3B35F982">
      <w:pPr>
        <w:pStyle w:val="FootnoteText"/>
        <w:spacing w:line="240" w:lineRule="auto"/>
      </w:pPr>
      <w:r>
        <w:rPr>
          <w:rStyle w:val="FootnoteReference"/>
        </w:rPr>
        <w:footnoteRef/>
      </w:r>
      <w:r>
        <w:t xml:space="preserve"> </w:t>
      </w:r>
      <w:r w:rsidRPr="00D344F9">
        <w:t>Streetlight Data (2022b)</w:t>
      </w:r>
      <w:r w:rsidR="005365FB">
        <w:t>.</w:t>
      </w:r>
      <w:r w:rsidRPr="00D344F9">
        <w:t xml:space="preserve"> </w:t>
      </w:r>
      <w:r w:rsidRPr="00D344F9">
        <w:t>StreetLight</w:t>
      </w:r>
      <w:r w:rsidRPr="00D344F9">
        <w:t xml:space="preserve"> Pedestrian Volume Methodology and Validation. White Paper. https://learn.streetlightdata.com/hubfs/White Papers/Ped Metrics Methodology, Data Sources, and Validation/</w:t>
      </w:r>
      <w:r w:rsidRPr="00D344F9">
        <w:t>StreetLight</w:t>
      </w:r>
      <w:r w:rsidRPr="00D344F9">
        <w:t xml:space="preserve"> Pedestrian Volume Methodology and Validation White Paper - June 2022.pdf</w:t>
      </w:r>
    </w:p>
  </w:footnote>
  <w:footnote w:id="9">
    <w:p w:rsidR="00D344F9" w:rsidP="00900228" w14:paraId="5197EC9E" w14:textId="2A54C9B8">
      <w:pPr>
        <w:pStyle w:val="FootnoteText"/>
        <w:spacing w:line="240" w:lineRule="auto"/>
      </w:pPr>
      <w:r>
        <w:rPr>
          <w:rStyle w:val="FootnoteReference"/>
        </w:rPr>
        <w:footnoteRef/>
      </w:r>
      <w:r>
        <w:t xml:space="preserve"> </w:t>
      </w:r>
      <w:r w:rsidRPr="00D344F9">
        <w:t>Streetlight Data (2022a). Bike Metrics Methodology, Data Sources, and Validation. White Paper. https://learn.streetlightdata.com/hubfs/White Papers/Bike Metrics Methodology, Data Sources, and Validation/</w:t>
      </w:r>
      <w:r w:rsidRPr="00D344F9">
        <w:t>StreetLight</w:t>
      </w:r>
      <w:r w:rsidRPr="00D344F9">
        <w:t xml:space="preserve"> Bicycle Volume Methodology and Validation White Paper - June 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50" w:rsidP="007F2C7B" w14:paraId="5B5F4282" w14:textId="4D8C9581">
    <w:pPr>
      <w:pStyle w:val="Footer"/>
      <w:tabs>
        <w:tab w:val="center" w:pos="3420"/>
        <w:tab w:val="clear" w:pos="4320"/>
        <w:tab w:val="clear" w:pos="8640"/>
        <w:tab w:val="right" w:pos="9360"/>
      </w:tabs>
      <w:rPr>
        <w:sz w:val="18"/>
        <w:szCs w:val="18"/>
      </w:rPr>
    </w:pPr>
    <w:r w:rsidRPr="0010164A">
      <w:rPr>
        <w:sz w:val="18"/>
        <w:szCs w:val="18"/>
      </w:rPr>
      <w:t xml:space="preserve">National Roadside Survey of Alcohol and Drug Prevalence of Road Users: </w:t>
    </w:r>
    <w:r w:rsidR="006A5782">
      <w:rPr>
        <w:sz w:val="18"/>
        <w:szCs w:val="18"/>
      </w:rPr>
      <w:t>2025</w:t>
    </w:r>
  </w:p>
  <w:p w:rsidR="00280050" w:rsidRPr="007F2C7B" w:rsidP="007F2C7B" w14:paraId="708759B4" w14:textId="77777777">
    <w:pPr>
      <w:pStyle w:val="Footer"/>
      <w:tabs>
        <w:tab w:val="center" w:pos="3420"/>
        <w:tab w:val="clear" w:pos="4320"/>
        <w:tab w:val="clear" w:pos="8640"/>
        <w:tab w:val="right" w:pos="9360"/>
      </w:tabs>
      <w:rPr>
        <w:sz w:val="18"/>
        <w:szCs w:val="18"/>
      </w:rPr>
    </w:pPr>
    <w:r w:rsidRPr="005A799F">
      <w:rPr>
        <w:sz w:val="18"/>
        <w:szCs w:val="18"/>
      </w:rPr>
      <w:t xml:space="preserve">Supporting Statement Part </w:t>
    </w:r>
    <w:r>
      <w:rPr>
        <w:sz w:val="18"/>
        <w:szCs w:val="18"/>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50" w:rsidP="007F2C7B" w14:paraId="0C2F4A3D" w14:textId="202C7B89">
    <w:pPr>
      <w:pStyle w:val="Footer"/>
      <w:tabs>
        <w:tab w:val="center" w:pos="3420"/>
        <w:tab w:val="clear" w:pos="4320"/>
        <w:tab w:val="clear" w:pos="8640"/>
        <w:tab w:val="right" w:pos="9360"/>
      </w:tabs>
      <w:rPr>
        <w:sz w:val="18"/>
        <w:szCs w:val="18"/>
      </w:rPr>
    </w:pPr>
    <w:r w:rsidRPr="0010164A">
      <w:rPr>
        <w:sz w:val="18"/>
        <w:szCs w:val="18"/>
      </w:rPr>
      <w:t xml:space="preserve">National Roadside Survey of Alcohol and Drug Prevalence of Road Users: </w:t>
    </w:r>
    <w:r w:rsidR="00C76B49">
      <w:rPr>
        <w:sz w:val="18"/>
        <w:szCs w:val="18"/>
      </w:rPr>
      <w:t>2025</w:t>
    </w:r>
  </w:p>
  <w:p w:rsidR="00280050" w:rsidRPr="007F2C7B" w:rsidP="007F2C7B" w14:paraId="2A336CDC" w14:textId="71F9834E">
    <w:pPr>
      <w:pStyle w:val="Footer"/>
      <w:tabs>
        <w:tab w:val="center" w:pos="3420"/>
        <w:tab w:val="clear" w:pos="4320"/>
        <w:tab w:val="clear" w:pos="8640"/>
        <w:tab w:val="right" w:pos="9360"/>
      </w:tabs>
      <w:rPr>
        <w:sz w:val="18"/>
        <w:szCs w:val="18"/>
      </w:rPr>
    </w:pPr>
    <w:r w:rsidRPr="005A799F">
      <w:rPr>
        <w:sz w:val="18"/>
        <w:szCs w:val="18"/>
      </w:rPr>
      <w:t xml:space="preserve">Supporting Statement Part </w:t>
    </w:r>
    <w:r>
      <w:rPr>
        <w:sz w:val="18"/>
        <w:szCs w:val="18"/>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B49" w:rsidP="00C76B49" w14:paraId="3C5A5FE7" w14:textId="34E9B237">
    <w:pPr>
      <w:pStyle w:val="Footer"/>
      <w:tabs>
        <w:tab w:val="center" w:pos="3420"/>
        <w:tab w:val="clear" w:pos="4320"/>
        <w:tab w:val="clear" w:pos="8640"/>
        <w:tab w:val="right" w:pos="9360"/>
      </w:tabs>
      <w:rPr>
        <w:sz w:val="18"/>
        <w:szCs w:val="18"/>
      </w:rPr>
    </w:pPr>
    <w:r w:rsidRPr="0010164A">
      <w:rPr>
        <w:sz w:val="18"/>
        <w:szCs w:val="18"/>
      </w:rPr>
      <w:t xml:space="preserve">National Roadside Survey of Alcohol and Drug Prevalence of Road Users: </w:t>
    </w:r>
    <w:r>
      <w:rPr>
        <w:sz w:val="18"/>
        <w:szCs w:val="18"/>
      </w:rPr>
      <w:t>2025</w:t>
    </w:r>
  </w:p>
  <w:p w:rsidR="00280050" w:rsidRPr="00C76B49" w:rsidP="00C76B49" w14:paraId="3BBB7291" w14:textId="5EADA88A">
    <w:pPr>
      <w:pStyle w:val="Footer"/>
      <w:tabs>
        <w:tab w:val="center" w:pos="3420"/>
        <w:tab w:val="clear" w:pos="4320"/>
        <w:tab w:val="clear" w:pos="8640"/>
        <w:tab w:val="right" w:pos="9360"/>
      </w:tabs>
      <w:rPr>
        <w:sz w:val="18"/>
        <w:szCs w:val="18"/>
      </w:rPr>
    </w:pPr>
    <w:r w:rsidRPr="005A799F">
      <w:rPr>
        <w:sz w:val="18"/>
        <w:szCs w:val="18"/>
      </w:rPr>
      <w:t xml:space="preserve">Supporting Statement Part </w:t>
    </w:r>
    <w:r>
      <w:rPr>
        <w:sz w:val="18"/>
        <w:szCs w:val="18"/>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B0BB5"/>
    <w:multiLevelType w:val="hybridMultilevel"/>
    <w:tmpl w:val="8C22612A"/>
    <w:lvl w:ilvl="0">
      <w:start w:val="1"/>
      <w:numFmt w:val="upperLetter"/>
      <w:pStyle w:val="Heading3"/>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91613F"/>
    <w:multiLevelType w:val="hybridMultilevel"/>
    <w:tmpl w:val="EEA26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14838"/>
    <w:multiLevelType w:val="hybridMultilevel"/>
    <w:tmpl w:val="8CFAF1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E0146E"/>
    <w:multiLevelType w:val="hybridMultilevel"/>
    <w:tmpl w:val="71C40B78"/>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A7519F"/>
    <w:multiLevelType w:val="multilevel"/>
    <w:tmpl w:val="06986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541AC4"/>
    <w:multiLevelType w:val="hybridMultilevel"/>
    <w:tmpl w:val="3E5EEB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67485F"/>
    <w:multiLevelType w:val="hybridMultilevel"/>
    <w:tmpl w:val="3E70DE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6A003E"/>
    <w:multiLevelType w:val="hybridMultilevel"/>
    <w:tmpl w:val="4BFC81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DC655A"/>
    <w:multiLevelType w:val="multilevel"/>
    <w:tmpl w:val="2FC642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E2035A0"/>
    <w:multiLevelType w:val="hybridMultilevel"/>
    <w:tmpl w:val="23F6FE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DB3B36"/>
    <w:multiLevelType w:val="hybridMultilevel"/>
    <w:tmpl w:val="ABC2A5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DA64E20"/>
    <w:multiLevelType w:val="hybridMultilevel"/>
    <w:tmpl w:val="1902E0A2"/>
    <w:lvl w:ilvl="0">
      <w:start w:val="1"/>
      <w:numFmt w:val="decimal"/>
      <w:pStyle w:val="Figure"/>
      <w:lvlText w:val="Figure %1."/>
      <w:lvlJc w:val="left"/>
      <w:pPr>
        <w:tabs>
          <w:tab w:val="num" w:pos="4680"/>
        </w:tabs>
        <w:ind w:left="396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05A28ED"/>
    <w:multiLevelType w:val="hybridMultilevel"/>
    <w:tmpl w:val="859631E6"/>
    <w:lvl w:ilvl="0">
      <w:start w:val="1"/>
      <w:numFmt w:val="decimal"/>
      <w:pStyle w:val="Table"/>
      <w:lvlText w:val="Table %1."/>
      <w:lvlJc w:val="left"/>
      <w:pPr>
        <w:tabs>
          <w:tab w:val="num" w:pos="6480"/>
        </w:tabs>
        <w:ind w:left="5760" w:hanging="36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3724928"/>
    <w:multiLevelType w:val="hybridMultilevel"/>
    <w:tmpl w:val="760E79C8"/>
    <w:lvl w:ilvl="0">
      <w:start w:val="1"/>
      <w:numFmt w:val="decimal"/>
      <w:lvlText w:val="Figure %1."/>
      <w:lvlJc w:val="left"/>
      <w:pPr>
        <w:ind w:left="1080" w:hanging="360"/>
      </w:pPr>
      <w:rPr>
        <w:rFonts w:ascii="Times New Roman" w:hAnsi="Times New Roman" w:hint="default"/>
        <w:b/>
        <w:i w:val="0"/>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BA01DD6"/>
    <w:multiLevelType w:val="hybridMultilevel"/>
    <w:tmpl w:val="A9606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1451475">
    <w:abstractNumId w:val="0"/>
  </w:num>
  <w:num w:numId="2" w16cid:durableId="982075380">
    <w:abstractNumId w:val="1"/>
  </w:num>
  <w:num w:numId="3" w16cid:durableId="1413968591">
    <w:abstractNumId w:val="12"/>
  </w:num>
  <w:num w:numId="4" w16cid:durableId="1896699011">
    <w:abstractNumId w:val="11"/>
  </w:num>
  <w:num w:numId="5" w16cid:durableId="2055037777">
    <w:abstractNumId w:val="10"/>
  </w:num>
  <w:num w:numId="6" w16cid:durableId="51395350">
    <w:abstractNumId w:val="2"/>
  </w:num>
  <w:num w:numId="7" w16cid:durableId="1891335088">
    <w:abstractNumId w:val="6"/>
  </w:num>
  <w:num w:numId="8" w16cid:durableId="573466245">
    <w:abstractNumId w:val="13"/>
  </w:num>
  <w:num w:numId="9" w16cid:durableId="1180579477">
    <w:abstractNumId w:val="5"/>
  </w:num>
  <w:num w:numId="10" w16cid:durableId="1615399998">
    <w:abstractNumId w:val="3"/>
  </w:num>
  <w:num w:numId="11" w16cid:durableId="1811358120">
    <w:abstractNumId w:val="4"/>
  </w:num>
  <w:num w:numId="12" w16cid:durableId="1373656504">
    <w:abstractNumId w:val="7"/>
  </w:num>
  <w:num w:numId="13" w16cid:durableId="141966455">
    <w:abstractNumId w:val="9"/>
  </w:num>
  <w:num w:numId="14" w16cid:durableId="667905110">
    <w:abstractNumId w:val="12"/>
    <w:lvlOverride w:ilvl="0">
      <w:startOverride w:val="1"/>
    </w:lvlOverride>
  </w:num>
  <w:num w:numId="15" w16cid:durableId="1706251463">
    <w:abstractNumId w:val="12"/>
  </w:num>
  <w:num w:numId="16" w16cid:durableId="676814317">
    <w:abstractNumId w:val="12"/>
  </w:num>
  <w:num w:numId="17" w16cid:durableId="793788145">
    <w:abstractNumId w:val="14"/>
  </w:num>
  <w:num w:numId="18" w16cid:durableId="904878485">
    <w:abstractNumId w:val="8"/>
  </w:num>
  <w:num w:numId="19" w16cid:durableId="18217290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ED"/>
    <w:rsid w:val="000008A3"/>
    <w:rsid w:val="000019C6"/>
    <w:rsid w:val="00002286"/>
    <w:rsid w:val="0000277E"/>
    <w:rsid w:val="000033D6"/>
    <w:rsid w:val="00004A4A"/>
    <w:rsid w:val="000058C2"/>
    <w:rsid w:val="00005AD5"/>
    <w:rsid w:val="00005E5B"/>
    <w:rsid w:val="000064B2"/>
    <w:rsid w:val="000064B7"/>
    <w:rsid w:val="000067A7"/>
    <w:rsid w:val="00007C9D"/>
    <w:rsid w:val="00007E0A"/>
    <w:rsid w:val="00007F10"/>
    <w:rsid w:val="00011C40"/>
    <w:rsid w:val="00011D15"/>
    <w:rsid w:val="00012394"/>
    <w:rsid w:val="00013B57"/>
    <w:rsid w:val="000142B0"/>
    <w:rsid w:val="00017048"/>
    <w:rsid w:val="00020BE5"/>
    <w:rsid w:val="00021E7D"/>
    <w:rsid w:val="00022069"/>
    <w:rsid w:val="0002396B"/>
    <w:rsid w:val="00024252"/>
    <w:rsid w:val="0002438C"/>
    <w:rsid w:val="00025113"/>
    <w:rsid w:val="000259E3"/>
    <w:rsid w:val="00025F1A"/>
    <w:rsid w:val="00026764"/>
    <w:rsid w:val="00026F57"/>
    <w:rsid w:val="0002708F"/>
    <w:rsid w:val="00027A98"/>
    <w:rsid w:val="000300D2"/>
    <w:rsid w:val="000306BC"/>
    <w:rsid w:val="000327D2"/>
    <w:rsid w:val="00032FBC"/>
    <w:rsid w:val="000332F0"/>
    <w:rsid w:val="00033FBB"/>
    <w:rsid w:val="00034010"/>
    <w:rsid w:val="0003484A"/>
    <w:rsid w:val="00035ABF"/>
    <w:rsid w:val="00035E3F"/>
    <w:rsid w:val="0003647C"/>
    <w:rsid w:val="00040A44"/>
    <w:rsid w:val="0004149D"/>
    <w:rsid w:val="00041B06"/>
    <w:rsid w:val="0004289F"/>
    <w:rsid w:val="000437E8"/>
    <w:rsid w:val="00043D97"/>
    <w:rsid w:val="0004571C"/>
    <w:rsid w:val="00045EDB"/>
    <w:rsid w:val="000478DC"/>
    <w:rsid w:val="00047FED"/>
    <w:rsid w:val="000500E3"/>
    <w:rsid w:val="000509FA"/>
    <w:rsid w:val="000524F1"/>
    <w:rsid w:val="000532AF"/>
    <w:rsid w:val="0005725B"/>
    <w:rsid w:val="00057FF5"/>
    <w:rsid w:val="00060174"/>
    <w:rsid w:val="00060253"/>
    <w:rsid w:val="00060E35"/>
    <w:rsid w:val="00061B98"/>
    <w:rsid w:val="00063A91"/>
    <w:rsid w:val="00063B1D"/>
    <w:rsid w:val="00063C1E"/>
    <w:rsid w:val="000665A4"/>
    <w:rsid w:val="00066EA1"/>
    <w:rsid w:val="000671E1"/>
    <w:rsid w:val="00067E49"/>
    <w:rsid w:val="00067EE2"/>
    <w:rsid w:val="0007191F"/>
    <w:rsid w:val="00071A51"/>
    <w:rsid w:val="00071A9A"/>
    <w:rsid w:val="00071B1C"/>
    <w:rsid w:val="000720A5"/>
    <w:rsid w:val="00073A9B"/>
    <w:rsid w:val="00074D91"/>
    <w:rsid w:val="0007613A"/>
    <w:rsid w:val="00076688"/>
    <w:rsid w:val="00077EA6"/>
    <w:rsid w:val="0008050E"/>
    <w:rsid w:val="00081633"/>
    <w:rsid w:val="00082DE5"/>
    <w:rsid w:val="00083B91"/>
    <w:rsid w:val="0008408B"/>
    <w:rsid w:val="000843B7"/>
    <w:rsid w:val="00085D51"/>
    <w:rsid w:val="00091A5C"/>
    <w:rsid w:val="00091FD6"/>
    <w:rsid w:val="000935CF"/>
    <w:rsid w:val="000936FE"/>
    <w:rsid w:val="0009439E"/>
    <w:rsid w:val="000949D8"/>
    <w:rsid w:val="000A082D"/>
    <w:rsid w:val="000A1001"/>
    <w:rsid w:val="000A1190"/>
    <w:rsid w:val="000A20A3"/>
    <w:rsid w:val="000A265E"/>
    <w:rsid w:val="000A38D6"/>
    <w:rsid w:val="000A3B29"/>
    <w:rsid w:val="000A482F"/>
    <w:rsid w:val="000A4943"/>
    <w:rsid w:val="000A4992"/>
    <w:rsid w:val="000B0071"/>
    <w:rsid w:val="000B00A6"/>
    <w:rsid w:val="000B0BA8"/>
    <w:rsid w:val="000B0F1D"/>
    <w:rsid w:val="000B233C"/>
    <w:rsid w:val="000B3E51"/>
    <w:rsid w:val="000B5294"/>
    <w:rsid w:val="000B6780"/>
    <w:rsid w:val="000C019C"/>
    <w:rsid w:val="000C0AC1"/>
    <w:rsid w:val="000C1433"/>
    <w:rsid w:val="000C1E0F"/>
    <w:rsid w:val="000C30DB"/>
    <w:rsid w:val="000C3A05"/>
    <w:rsid w:val="000C3A5D"/>
    <w:rsid w:val="000C3F24"/>
    <w:rsid w:val="000C43F0"/>
    <w:rsid w:val="000C609E"/>
    <w:rsid w:val="000C7329"/>
    <w:rsid w:val="000D1D93"/>
    <w:rsid w:val="000D20F0"/>
    <w:rsid w:val="000D22D5"/>
    <w:rsid w:val="000D370B"/>
    <w:rsid w:val="000D5A3E"/>
    <w:rsid w:val="000D5ED2"/>
    <w:rsid w:val="000D718B"/>
    <w:rsid w:val="000D7E78"/>
    <w:rsid w:val="000E16BE"/>
    <w:rsid w:val="000E1915"/>
    <w:rsid w:val="000E40D4"/>
    <w:rsid w:val="000E5708"/>
    <w:rsid w:val="000E5AA3"/>
    <w:rsid w:val="000E5B74"/>
    <w:rsid w:val="000E5C4D"/>
    <w:rsid w:val="000E6789"/>
    <w:rsid w:val="000E682C"/>
    <w:rsid w:val="000E6A30"/>
    <w:rsid w:val="000E6C11"/>
    <w:rsid w:val="000E6F8B"/>
    <w:rsid w:val="000E787E"/>
    <w:rsid w:val="000F0B8B"/>
    <w:rsid w:val="000F0EC5"/>
    <w:rsid w:val="000F1DE9"/>
    <w:rsid w:val="000F297D"/>
    <w:rsid w:val="000F341A"/>
    <w:rsid w:val="000F35BE"/>
    <w:rsid w:val="000F4BCF"/>
    <w:rsid w:val="000F5AA0"/>
    <w:rsid w:val="000F5EC7"/>
    <w:rsid w:val="000F6273"/>
    <w:rsid w:val="000F6CBC"/>
    <w:rsid w:val="000F7F08"/>
    <w:rsid w:val="00100682"/>
    <w:rsid w:val="00100E78"/>
    <w:rsid w:val="0010164A"/>
    <w:rsid w:val="00101671"/>
    <w:rsid w:val="00101AC1"/>
    <w:rsid w:val="00102877"/>
    <w:rsid w:val="00102A61"/>
    <w:rsid w:val="00102C68"/>
    <w:rsid w:val="001032CC"/>
    <w:rsid w:val="001041ED"/>
    <w:rsid w:val="00104C79"/>
    <w:rsid w:val="00104F04"/>
    <w:rsid w:val="00105A04"/>
    <w:rsid w:val="00105C91"/>
    <w:rsid w:val="00106763"/>
    <w:rsid w:val="00106960"/>
    <w:rsid w:val="001105E3"/>
    <w:rsid w:val="00110ED1"/>
    <w:rsid w:val="0011144F"/>
    <w:rsid w:val="00111FE7"/>
    <w:rsid w:val="001120CF"/>
    <w:rsid w:val="001127D8"/>
    <w:rsid w:val="0011362B"/>
    <w:rsid w:val="00113C3B"/>
    <w:rsid w:val="00113DEE"/>
    <w:rsid w:val="00113F5B"/>
    <w:rsid w:val="00114541"/>
    <w:rsid w:val="001146E3"/>
    <w:rsid w:val="001159C0"/>
    <w:rsid w:val="00115B48"/>
    <w:rsid w:val="001171C5"/>
    <w:rsid w:val="00117AB9"/>
    <w:rsid w:val="001218DC"/>
    <w:rsid w:val="00121ACD"/>
    <w:rsid w:val="00122C95"/>
    <w:rsid w:val="001237C3"/>
    <w:rsid w:val="0012658C"/>
    <w:rsid w:val="00130D09"/>
    <w:rsid w:val="00130F76"/>
    <w:rsid w:val="001313D3"/>
    <w:rsid w:val="001314FA"/>
    <w:rsid w:val="001315F9"/>
    <w:rsid w:val="00131FF4"/>
    <w:rsid w:val="0013230A"/>
    <w:rsid w:val="001330D2"/>
    <w:rsid w:val="001335BB"/>
    <w:rsid w:val="00133D01"/>
    <w:rsid w:val="00135FF5"/>
    <w:rsid w:val="00136E7E"/>
    <w:rsid w:val="001409D9"/>
    <w:rsid w:val="00141A29"/>
    <w:rsid w:val="00141A79"/>
    <w:rsid w:val="0014299B"/>
    <w:rsid w:val="00143EF1"/>
    <w:rsid w:val="00144386"/>
    <w:rsid w:val="00145067"/>
    <w:rsid w:val="00145771"/>
    <w:rsid w:val="00146204"/>
    <w:rsid w:val="00147987"/>
    <w:rsid w:val="00150D52"/>
    <w:rsid w:val="00151B40"/>
    <w:rsid w:val="0015213D"/>
    <w:rsid w:val="00152CE0"/>
    <w:rsid w:val="00152E5C"/>
    <w:rsid w:val="00153184"/>
    <w:rsid w:val="001539E3"/>
    <w:rsid w:val="001540D3"/>
    <w:rsid w:val="001545EB"/>
    <w:rsid w:val="0015482E"/>
    <w:rsid w:val="00154848"/>
    <w:rsid w:val="00154AB7"/>
    <w:rsid w:val="001553F1"/>
    <w:rsid w:val="001559F8"/>
    <w:rsid w:val="00155BED"/>
    <w:rsid w:val="00156FFF"/>
    <w:rsid w:val="00157439"/>
    <w:rsid w:val="00160103"/>
    <w:rsid w:val="00160B3D"/>
    <w:rsid w:val="00160EDB"/>
    <w:rsid w:val="00161F09"/>
    <w:rsid w:val="00162D50"/>
    <w:rsid w:val="00163370"/>
    <w:rsid w:val="00164AD1"/>
    <w:rsid w:val="00164ADA"/>
    <w:rsid w:val="00166C85"/>
    <w:rsid w:val="00167A56"/>
    <w:rsid w:val="0017221C"/>
    <w:rsid w:val="00172794"/>
    <w:rsid w:val="00173EC7"/>
    <w:rsid w:val="001741BE"/>
    <w:rsid w:val="00175AD6"/>
    <w:rsid w:val="00176204"/>
    <w:rsid w:val="00176566"/>
    <w:rsid w:val="001771DF"/>
    <w:rsid w:val="001774F2"/>
    <w:rsid w:val="001776CA"/>
    <w:rsid w:val="00180D27"/>
    <w:rsid w:val="0018231C"/>
    <w:rsid w:val="00183A60"/>
    <w:rsid w:val="00190B70"/>
    <w:rsid w:val="001931F0"/>
    <w:rsid w:val="00196690"/>
    <w:rsid w:val="0019778F"/>
    <w:rsid w:val="001A1B02"/>
    <w:rsid w:val="001A2560"/>
    <w:rsid w:val="001A2D7D"/>
    <w:rsid w:val="001A30BA"/>
    <w:rsid w:val="001A3C31"/>
    <w:rsid w:val="001A51FA"/>
    <w:rsid w:val="001A5F3A"/>
    <w:rsid w:val="001A6ED5"/>
    <w:rsid w:val="001A6F1F"/>
    <w:rsid w:val="001A7476"/>
    <w:rsid w:val="001B0E42"/>
    <w:rsid w:val="001B12D5"/>
    <w:rsid w:val="001B3588"/>
    <w:rsid w:val="001B368A"/>
    <w:rsid w:val="001B3CFA"/>
    <w:rsid w:val="001B4EE4"/>
    <w:rsid w:val="001B5B10"/>
    <w:rsid w:val="001B5F6A"/>
    <w:rsid w:val="001B6858"/>
    <w:rsid w:val="001B7B5F"/>
    <w:rsid w:val="001C0617"/>
    <w:rsid w:val="001C1568"/>
    <w:rsid w:val="001C19FA"/>
    <w:rsid w:val="001C300D"/>
    <w:rsid w:val="001C323B"/>
    <w:rsid w:val="001C34B8"/>
    <w:rsid w:val="001C37A5"/>
    <w:rsid w:val="001C4261"/>
    <w:rsid w:val="001C703C"/>
    <w:rsid w:val="001C7C3A"/>
    <w:rsid w:val="001D1F6F"/>
    <w:rsid w:val="001D299C"/>
    <w:rsid w:val="001D3CBE"/>
    <w:rsid w:val="001D41A0"/>
    <w:rsid w:val="001D4221"/>
    <w:rsid w:val="001D4F10"/>
    <w:rsid w:val="001D55B5"/>
    <w:rsid w:val="001D5DC9"/>
    <w:rsid w:val="001D6203"/>
    <w:rsid w:val="001D7F7B"/>
    <w:rsid w:val="001E3C17"/>
    <w:rsid w:val="001E3C28"/>
    <w:rsid w:val="001E4FF4"/>
    <w:rsid w:val="001E6FC4"/>
    <w:rsid w:val="001E7534"/>
    <w:rsid w:val="001F0A0C"/>
    <w:rsid w:val="001F0AF5"/>
    <w:rsid w:val="001F18FD"/>
    <w:rsid w:val="001F2481"/>
    <w:rsid w:val="001F41E6"/>
    <w:rsid w:val="001F47F6"/>
    <w:rsid w:val="001F513B"/>
    <w:rsid w:val="002009ED"/>
    <w:rsid w:val="002026D4"/>
    <w:rsid w:val="00207029"/>
    <w:rsid w:val="002109F0"/>
    <w:rsid w:val="00211501"/>
    <w:rsid w:val="002118DA"/>
    <w:rsid w:val="00211A04"/>
    <w:rsid w:val="00211B0B"/>
    <w:rsid w:val="00212E32"/>
    <w:rsid w:val="00212ECB"/>
    <w:rsid w:val="0021653D"/>
    <w:rsid w:val="0021689E"/>
    <w:rsid w:val="00217C7F"/>
    <w:rsid w:val="00222DD3"/>
    <w:rsid w:val="002236C9"/>
    <w:rsid w:val="00223C69"/>
    <w:rsid w:val="002249F7"/>
    <w:rsid w:val="00224BBA"/>
    <w:rsid w:val="0022537F"/>
    <w:rsid w:val="0022551F"/>
    <w:rsid w:val="00226B8C"/>
    <w:rsid w:val="0022783E"/>
    <w:rsid w:val="002302B7"/>
    <w:rsid w:val="00230727"/>
    <w:rsid w:val="002313C1"/>
    <w:rsid w:val="002313DB"/>
    <w:rsid w:val="00231B92"/>
    <w:rsid w:val="00232B40"/>
    <w:rsid w:val="00232D70"/>
    <w:rsid w:val="00234C1B"/>
    <w:rsid w:val="00234E8B"/>
    <w:rsid w:val="002352DF"/>
    <w:rsid w:val="0023558A"/>
    <w:rsid w:val="00236244"/>
    <w:rsid w:val="0023787F"/>
    <w:rsid w:val="002379E6"/>
    <w:rsid w:val="00242A8B"/>
    <w:rsid w:val="002438A5"/>
    <w:rsid w:val="00243A8C"/>
    <w:rsid w:val="00244C78"/>
    <w:rsid w:val="002457BF"/>
    <w:rsid w:val="002467C5"/>
    <w:rsid w:val="00246D69"/>
    <w:rsid w:val="002501E3"/>
    <w:rsid w:val="00250A70"/>
    <w:rsid w:val="00250D24"/>
    <w:rsid w:val="00251258"/>
    <w:rsid w:val="002518F8"/>
    <w:rsid w:val="00251F43"/>
    <w:rsid w:val="00253135"/>
    <w:rsid w:val="00255816"/>
    <w:rsid w:val="0025778C"/>
    <w:rsid w:val="00257930"/>
    <w:rsid w:val="00257939"/>
    <w:rsid w:val="00264532"/>
    <w:rsid w:val="00266448"/>
    <w:rsid w:val="002679B7"/>
    <w:rsid w:val="00270107"/>
    <w:rsid w:val="00270738"/>
    <w:rsid w:val="00271B0C"/>
    <w:rsid w:val="002722EF"/>
    <w:rsid w:val="00273246"/>
    <w:rsid w:val="00273815"/>
    <w:rsid w:val="00274FF5"/>
    <w:rsid w:val="002762C7"/>
    <w:rsid w:val="00280050"/>
    <w:rsid w:val="00280951"/>
    <w:rsid w:val="0028097E"/>
    <w:rsid w:val="00281049"/>
    <w:rsid w:val="00281932"/>
    <w:rsid w:val="00282AC1"/>
    <w:rsid w:val="00283BF9"/>
    <w:rsid w:val="002842B6"/>
    <w:rsid w:val="0028512C"/>
    <w:rsid w:val="00285D5D"/>
    <w:rsid w:val="00286FCB"/>
    <w:rsid w:val="00290B32"/>
    <w:rsid w:val="00292E7F"/>
    <w:rsid w:val="00293426"/>
    <w:rsid w:val="00293945"/>
    <w:rsid w:val="0029554E"/>
    <w:rsid w:val="002963BC"/>
    <w:rsid w:val="002975C4"/>
    <w:rsid w:val="00297BB9"/>
    <w:rsid w:val="00297C10"/>
    <w:rsid w:val="002A10A9"/>
    <w:rsid w:val="002A1A37"/>
    <w:rsid w:val="002A1D0C"/>
    <w:rsid w:val="002A2446"/>
    <w:rsid w:val="002A2967"/>
    <w:rsid w:val="002A2F35"/>
    <w:rsid w:val="002A4213"/>
    <w:rsid w:val="002A4B0B"/>
    <w:rsid w:val="002A64A5"/>
    <w:rsid w:val="002A670A"/>
    <w:rsid w:val="002B05F5"/>
    <w:rsid w:val="002B0BC6"/>
    <w:rsid w:val="002B0E4F"/>
    <w:rsid w:val="002B157A"/>
    <w:rsid w:val="002B1A76"/>
    <w:rsid w:val="002B238F"/>
    <w:rsid w:val="002B2E0B"/>
    <w:rsid w:val="002B2F80"/>
    <w:rsid w:val="002B3DD3"/>
    <w:rsid w:val="002B3E6A"/>
    <w:rsid w:val="002B4AD5"/>
    <w:rsid w:val="002B4D90"/>
    <w:rsid w:val="002B51C8"/>
    <w:rsid w:val="002B67E0"/>
    <w:rsid w:val="002B6E6B"/>
    <w:rsid w:val="002B741E"/>
    <w:rsid w:val="002B7BC3"/>
    <w:rsid w:val="002C14C2"/>
    <w:rsid w:val="002C216A"/>
    <w:rsid w:val="002C33B5"/>
    <w:rsid w:val="002C381A"/>
    <w:rsid w:val="002C3911"/>
    <w:rsid w:val="002C4EB6"/>
    <w:rsid w:val="002C5381"/>
    <w:rsid w:val="002C74D1"/>
    <w:rsid w:val="002C7643"/>
    <w:rsid w:val="002D08BE"/>
    <w:rsid w:val="002D1D5A"/>
    <w:rsid w:val="002D2F31"/>
    <w:rsid w:val="002D33B5"/>
    <w:rsid w:val="002D361C"/>
    <w:rsid w:val="002D3E53"/>
    <w:rsid w:val="002D4B80"/>
    <w:rsid w:val="002D71D3"/>
    <w:rsid w:val="002D797E"/>
    <w:rsid w:val="002D7BBC"/>
    <w:rsid w:val="002E115A"/>
    <w:rsid w:val="002E23AA"/>
    <w:rsid w:val="002E27F2"/>
    <w:rsid w:val="002E2E34"/>
    <w:rsid w:val="002E32FF"/>
    <w:rsid w:val="002E363C"/>
    <w:rsid w:val="002E47B6"/>
    <w:rsid w:val="002E4FDB"/>
    <w:rsid w:val="002E7E08"/>
    <w:rsid w:val="002F0476"/>
    <w:rsid w:val="002F054C"/>
    <w:rsid w:val="002F062C"/>
    <w:rsid w:val="002F0C93"/>
    <w:rsid w:val="002F3AAB"/>
    <w:rsid w:val="002F3FB1"/>
    <w:rsid w:val="002F4163"/>
    <w:rsid w:val="002F496A"/>
    <w:rsid w:val="002F4C9C"/>
    <w:rsid w:val="002F5070"/>
    <w:rsid w:val="002F5F6C"/>
    <w:rsid w:val="002F69FF"/>
    <w:rsid w:val="002F6A26"/>
    <w:rsid w:val="002F6BC8"/>
    <w:rsid w:val="002F7221"/>
    <w:rsid w:val="002F78D9"/>
    <w:rsid w:val="00300DC4"/>
    <w:rsid w:val="003017EB"/>
    <w:rsid w:val="00301EC1"/>
    <w:rsid w:val="003029A4"/>
    <w:rsid w:val="00302B94"/>
    <w:rsid w:val="00302CFF"/>
    <w:rsid w:val="00303C97"/>
    <w:rsid w:val="003061A1"/>
    <w:rsid w:val="00307D41"/>
    <w:rsid w:val="00310160"/>
    <w:rsid w:val="00310DE6"/>
    <w:rsid w:val="00311913"/>
    <w:rsid w:val="0031228D"/>
    <w:rsid w:val="00312DC6"/>
    <w:rsid w:val="00313D5A"/>
    <w:rsid w:val="0031476A"/>
    <w:rsid w:val="00314966"/>
    <w:rsid w:val="00315A8E"/>
    <w:rsid w:val="00316982"/>
    <w:rsid w:val="00316A2D"/>
    <w:rsid w:val="0032008A"/>
    <w:rsid w:val="00320DBE"/>
    <w:rsid w:val="00322E88"/>
    <w:rsid w:val="00323494"/>
    <w:rsid w:val="00323A10"/>
    <w:rsid w:val="00323A6D"/>
    <w:rsid w:val="0032507B"/>
    <w:rsid w:val="00325260"/>
    <w:rsid w:val="003256D7"/>
    <w:rsid w:val="003258B6"/>
    <w:rsid w:val="003274A9"/>
    <w:rsid w:val="00330769"/>
    <w:rsid w:val="00331B88"/>
    <w:rsid w:val="00331F4D"/>
    <w:rsid w:val="00332FFC"/>
    <w:rsid w:val="003349F4"/>
    <w:rsid w:val="00335191"/>
    <w:rsid w:val="003357D3"/>
    <w:rsid w:val="00336DB5"/>
    <w:rsid w:val="00340246"/>
    <w:rsid w:val="003410C1"/>
    <w:rsid w:val="00341CC4"/>
    <w:rsid w:val="003420B8"/>
    <w:rsid w:val="00342AAD"/>
    <w:rsid w:val="003442B1"/>
    <w:rsid w:val="00346854"/>
    <w:rsid w:val="00347306"/>
    <w:rsid w:val="003502A1"/>
    <w:rsid w:val="0035363C"/>
    <w:rsid w:val="00353BEF"/>
    <w:rsid w:val="00354232"/>
    <w:rsid w:val="003542E4"/>
    <w:rsid w:val="00354ABC"/>
    <w:rsid w:val="00354DA9"/>
    <w:rsid w:val="00355B11"/>
    <w:rsid w:val="00356554"/>
    <w:rsid w:val="00357EB8"/>
    <w:rsid w:val="00357ED2"/>
    <w:rsid w:val="00360A52"/>
    <w:rsid w:val="00362D71"/>
    <w:rsid w:val="00364B3F"/>
    <w:rsid w:val="00364C3C"/>
    <w:rsid w:val="00364CEE"/>
    <w:rsid w:val="003654C4"/>
    <w:rsid w:val="0036588B"/>
    <w:rsid w:val="003707E1"/>
    <w:rsid w:val="003735BF"/>
    <w:rsid w:val="00373B29"/>
    <w:rsid w:val="00375A4C"/>
    <w:rsid w:val="00375F6D"/>
    <w:rsid w:val="003773D1"/>
    <w:rsid w:val="00377499"/>
    <w:rsid w:val="003775B5"/>
    <w:rsid w:val="00380D9E"/>
    <w:rsid w:val="00381D75"/>
    <w:rsid w:val="00382620"/>
    <w:rsid w:val="00382E1A"/>
    <w:rsid w:val="00383055"/>
    <w:rsid w:val="003832F7"/>
    <w:rsid w:val="0038401D"/>
    <w:rsid w:val="00385A37"/>
    <w:rsid w:val="00386212"/>
    <w:rsid w:val="00387F7C"/>
    <w:rsid w:val="00387FBE"/>
    <w:rsid w:val="003911B5"/>
    <w:rsid w:val="00391853"/>
    <w:rsid w:val="00391BE0"/>
    <w:rsid w:val="00391C1E"/>
    <w:rsid w:val="0039208F"/>
    <w:rsid w:val="0039366A"/>
    <w:rsid w:val="00394AD5"/>
    <w:rsid w:val="00395E04"/>
    <w:rsid w:val="00396674"/>
    <w:rsid w:val="003967DE"/>
    <w:rsid w:val="00397FB3"/>
    <w:rsid w:val="003A03DF"/>
    <w:rsid w:val="003A1A27"/>
    <w:rsid w:val="003A2105"/>
    <w:rsid w:val="003A2DAB"/>
    <w:rsid w:val="003A31A8"/>
    <w:rsid w:val="003A3C05"/>
    <w:rsid w:val="003A5469"/>
    <w:rsid w:val="003A54B9"/>
    <w:rsid w:val="003A5B73"/>
    <w:rsid w:val="003A670F"/>
    <w:rsid w:val="003A6BFF"/>
    <w:rsid w:val="003A710E"/>
    <w:rsid w:val="003A78F6"/>
    <w:rsid w:val="003A7D60"/>
    <w:rsid w:val="003B1204"/>
    <w:rsid w:val="003B2277"/>
    <w:rsid w:val="003B2451"/>
    <w:rsid w:val="003B3B46"/>
    <w:rsid w:val="003B400A"/>
    <w:rsid w:val="003B436C"/>
    <w:rsid w:val="003B461D"/>
    <w:rsid w:val="003B6432"/>
    <w:rsid w:val="003B6833"/>
    <w:rsid w:val="003B6A9D"/>
    <w:rsid w:val="003B6C6B"/>
    <w:rsid w:val="003B74CC"/>
    <w:rsid w:val="003C06F3"/>
    <w:rsid w:val="003C1380"/>
    <w:rsid w:val="003C309C"/>
    <w:rsid w:val="003C343C"/>
    <w:rsid w:val="003C3F18"/>
    <w:rsid w:val="003C4741"/>
    <w:rsid w:val="003C51AC"/>
    <w:rsid w:val="003C5893"/>
    <w:rsid w:val="003C605A"/>
    <w:rsid w:val="003C7782"/>
    <w:rsid w:val="003C77EA"/>
    <w:rsid w:val="003D07D3"/>
    <w:rsid w:val="003D4E80"/>
    <w:rsid w:val="003D50A2"/>
    <w:rsid w:val="003D5608"/>
    <w:rsid w:val="003D66AF"/>
    <w:rsid w:val="003D73AA"/>
    <w:rsid w:val="003D7778"/>
    <w:rsid w:val="003D79CA"/>
    <w:rsid w:val="003D7BE8"/>
    <w:rsid w:val="003E0897"/>
    <w:rsid w:val="003E27DF"/>
    <w:rsid w:val="003E3828"/>
    <w:rsid w:val="003E3C45"/>
    <w:rsid w:val="003E419C"/>
    <w:rsid w:val="003E482C"/>
    <w:rsid w:val="003E5EEE"/>
    <w:rsid w:val="003E5F0F"/>
    <w:rsid w:val="003E610F"/>
    <w:rsid w:val="003E678D"/>
    <w:rsid w:val="003E76F8"/>
    <w:rsid w:val="003F055A"/>
    <w:rsid w:val="003F0839"/>
    <w:rsid w:val="003F2B23"/>
    <w:rsid w:val="003F33F8"/>
    <w:rsid w:val="003F40B6"/>
    <w:rsid w:val="003F4E52"/>
    <w:rsid w:val="003F617C"/>
    <w:rsid w:val="003F629B"/>
    <w:rsid w:val="003F62F1"/>
    <w:rsid w:val="003F7079"/>
    <w:rsid w:val="003F7F12"/>
    <w:rsid w:val="00400070"/>
    <w:rsid w:val="00400D40"/>
    <w:rsid w:val="0040107B"/>
    <w:rsid w:val="00401328"/>
    <w:rsid w:val="00402525"/>
    <w:rsid w:val="004058C8"/>
    <w:rsid w:val="00405ADB"/>
    <w:rsid w:val="004065DA"/>
    <w:rsid w:val="0040703D"/>
    <w:rsid w:val="00410962"/>
    <w:rsid w:val="00410ED3"/>
    <w:rsid w:val="00411606"/>
    <w:rsid w:val="0041291B"/>
    <w:rsid w:val="004156CC"/>
    <w:rsid w:val="00416C2C"/>
    <w:rsid w:val="00417230"/>
    <w:rsid w:val="00417E2B"/>
    <w:rsid w:val="0042060F"/>
    <w:rsid w:val="00423DE0"/>
    <w:rsid w:val="004243A9"/>
    <w:rsid w:val="00425ECF"/>
    <w:rsid w:val="00425F25"/>
    <w:rsid w:val="0042673A"/>
    <w:rsid w:val="00430BAD"/>
    <w:rsid w:val="0043130B"/>
    <w:rsid w:val="004314A7"/>
    <w:rsid w:val="004320FC"/>
    <w:rsid w:val="00432BBC"/>
    <w:rsid w:val="00432D98"/>
    <w:rsid w:val="00432F47"/>
    <w:rsid w:val="00433A08"/>
    <w:rsid w:val="00436458"/>
    <w:rsid w:val="00440CDD"/>
    <w:rsid w:val="00441165"/>
    <w:rsid w:val="0044157B"/>
    <w:rsid w:val="00441F89"/>
    <w:rsid w:val="00442098"/>
    <w:rsid w:val="00442881"/>
    <w:rsid w:val="00442E5D"/>
    <w:rsid w:val="00443243"/>
    <w:rsid w:val="004433CB"/>
    <w:rsid w:val="00444162"/>
    <w:rsid w:val="004446A2"/>
    <w:rsid w:val="00444720"/>
    <w:rsid w:val="00444CBC"/>
    <w:rsid w:val="00444D71"/>
    <w:rsid w:val="00445377"/>
    <w:rsid w:val="00445602"/>
    <w:rsid w:val="004458FA"/>
    <w:rsid w:val="004461D4"/>
    <w:rsid w:val="00446539"/>
    <w:rsid w:val="00446834"/>
    <w:rsid w:val="00447A19"/>
    <w:rsid w:val="004509B1"/>
    <w:rsid w:val="0045357D"/>
    <w:rsid w:val="0045394F"/>
    <w:rsid w:val="004539F0"/>
    <w:rsid w:val="00453F6D"/>
    <w:rsid w:val="00455239"/>
    <w:rsid w:val="00457256"/>
    <w:rsid w:val="00460485"/>
    <w:rsid w:val="0046094B"/>
    <w:rsid w:val="004619A7"/>
    <w:rsid w:val="004636E4"/>
    <w:rsid w:val="00464F96"/>
    <w:rsid w:val="00465257"/>
    <w:rsid w:val="00465D3C"/>
    <w:rsid w:val="00467AE0"/>
    <w:rsid w:val="00467D4E"/>
    <w:rsid w:val="00470E27"/>
    <w:rsid w:val="00470EC1"/>
    <w:rsid w:val="00471431"/>
    <w:rsid w:val="00472092"/>
    <w:rsid w:val="00472380"/>
    <w:rsid w:val="00475398"/>
    <w:rsid w:val="004754C5"/>
    <w:rsid w:val="00476DD5"/>
    <w:rsid w:val="00477134"/>
    <w:rsid w:val="004802F1"/>
    <w:rsid w:val="004805D8"/>
    <w:rsid w:val="004812A4"/>
    <w:rsid w:val="004812C4"/>
    <w:rsid w:val="00481964"/>
    <w:rsid w:val="00481C86"/>
    <w:rsid w:val="0048351E"/>
    <w:rsid w:val="004848EF"/>
    <w:rsid w:val="00486E8B"/>
    <w:rsid w:val="0048713B"/>
    <w:rsid w:val="00487D58"/>
    <w:rsid w:val="004918A2"/>
    <w:rsid w:val="0049198A"/>
    <w:rsid w:val="0049221C"/>
    <w:rsid w:val="00492C61"/>
    <w:rsid w:val="00493B89"/>
    <w:rsid w:val="0049494E"/>
    <w:rsid w:val="00494AEE"/>
    <w:rsid w:val="004A07F5"/>
    <w:rsid w:val="004A18E7"/>
    <w:rsid w:val="004A3903"/>
    <w:rsid w:val="004A6248"/>
    <w:rsid w:val="004A76B7"/>
    <w:rsid w:val="004A78A4"/>
    <w:rsid w:val="004A7FC7"/>
    <w:rsid w:val="004B056A"/>
    <w:rsid w:val="004B07D8"/>
    <w:rsid w:val="004B093E"/>
    <w:rsid w:val="004B0A03"/>
    <w:rsid w:val="004B2260"/>
    <w:rsid w:val="004B2B9D"/>
    <w:rsid w:val="004B2DC5"/>
    <w:rsid w:val="004B378F"/>
    <w:rsid w:val="004B4534"/>
    <w:rsid w:val="004B465F"/>
    <w:rsid w:val="004B6910"/>
    <w:rsid w:val="004B7BE4"/>
    <w:rsid w:val="004C0312"/>
    <w:rsid w:val="004C0EF9"/>
    <w:rsid w:val="004C118E"/>
    <w:rsid w:val="004C12C1"/>
    <w:rsid w:val="004C20CF"/>
    <w:rsid w:val="004C29D8"/>
    <w:rsid w:val="004C2DE6"/>
    <w:rsid w:val="004C49BC"/>
    <w:rsid w:val="004C537C"/>
    <w:rsid w:val="004C5FAA"/>
    <w:rsid w:val="004C68DB"/>
    <w:rsid w:val="004C6E93"/>
    <w:rsid w:val="004C6F8C"/>
    <w:rsid w:val="004D0D29"/>
    <w:rsid w:val="004D1160"/>
    <w:rsid w:val="004D1350"/>
    <w:rsid w:val="004D16D1"/>
    <w:rsid w:val="004D2071"/>
    <w:rsid w:val="004D2988"/>
    <w:rsid w:val="004D5593"/>
    <w:rsid w:val="004D58B2"/>
    <w:rsid w:val="004D6A75"/>
    <w:rsid w:val="004D7F24"/>
    <w:rsid w:val="004E0DDD"/>
    <w:rsid w:val="004E1146"/>
    <w:rsid w:val="004E1B6E"/>
    <w:rsid w:val="004E1D6E"/>
    <w:rsid w:val="004E2662"/>
    <w:rsid w:val="004E27B9"/>
    <w:rsid w:val="004E285E"/>
    <w:rsid w:val="004E4510"/>
    <w:rsid w:val="004E5766"/>
    <w:rsid w:val="004E58AE"/>
    <w:rsid w:val="004E6775"/>
    <w:rsid w:val="004E69A3"/>
    <w:rsid w:val="004E7EC1"/>
    <w:rsid w:val="004F003B"/>
    <w:rsid w:val="004F00D2"/>
    <w:rsid w:val="004F0A1B"/>
    <w:rsid w:val="004F15DB"/>
    <w:rsid w:val="004F16D9"/>
    <w:rsid w:val="004F1D59"/>
    <w:rsid w:val="004F29DA"/>
    <w:rsid w:val="004F2CE5"/>
    <w:rsid w:val="004F3B1A"/>
    <w:rsid w:val="004F3BEA"/>
    <w:rsid w:val="004F54C1"/>
    <w:rsid w:val="004F6B7E"/>
    <w:rsid w:val="004F739F"/>
    <w:rsid w:val="004F79B8"/>
    <w:rsid w:val="005009C2"/>
    <w:rsid w:val="0050410D"/>
    <w:rsid w:val="005042B5"/>
    <w:rsid w:val="00504CE0"/>
    <w:rsid w:val="0050544E"/>
    <w:rsid w:val="005058FE"/>
    <w:rsid w:val="00506637"/>
    <w:rsid w:val="00506FBF"/>
    <w:rsid w:val="0051038B"/>
    <w:rsid w:val="00510B32"/>
    <w:rsid w:val="005110D3"/>
    <w:rsid w:val="005116D8"/>
    <w:rsid w:val="005137D2"/>
    <w:rsid w:val="00516198"/>
    <w:rsid w:val="005166C5"/>
    <w:rsid w:val="00517F43"/>
    <w:rsid w:val="00520410"/>
    <w:rsid w:val="00522F12"/>
    <w:rsid w:val="00522FC8"/>
    <w:rsid w:val="0052322F"/>
    <w:rsid w:val="00524026"/>
    <w:rsid w:val="0052559B"/>
    <w:rsid w:val="005256C0"/>
    <w:rsid w:val="00525D2A"/>
    <w:rsid w:val="00526917"/>
    <w:rsid w:val="005271C5"/>
    <w:rsid w:val="0052742E"/>
    <w:rsid w:val="005306E1"/>
    <w:rsid w:val="005317AE"/>
    <w:rsid w:val="00531EE5"/>
    <w:rsid w:val="00533099"/>
    <w:rsid w:val="005333A1"/>
    <w:rsid w:val="00535096"/>
    <w:rsid w:val="005356B0"/>
    <w:rsid w:val="005365FB"/>
    <w:rsid w:val="005378B3"/>
    <w:rsid w:val="00537A82"/>
    <w:rsid w:val="00541307"/>
    <w:rsid w:val="005415B6"/>
    <w:rsid w:val="00541828"/>
    <w:rsid w:val="00542703"/>
    <w:rsid w:val="005439C3"/>
    <w:rsid w:val="00543F15"/>
    <w:rsid w:val="00545E7D"/>
    <w:rsid w:val="00545F0D"/>
    <w:rsid w:val="00546671"/>
    <w:rsid w:val="0054763F"/>
    <w:rsid w:val="005505B3"/>
    <w:rsid w:val="00551445"/>
    <w:rsid w:val="00553B68"/>
    <w:rsid w:val="0055573C"/>
    <w:rsid w:val="00557A13"/>
    <w:rsid w:val="005600CA"/>
    <w:rsid w:val="0056074E"/>
    <w:rsid w:val="00561933"/>
    <w:rsid w:val="00561FCC"/>
    <w:rsid w:val="00562097"/>
    <w:rsid w:val="00562492"/>
    <w:rsid w:val="00562D03"/>
    <w:rsid w:val="00564172"/>
    <w:rsid w:val="00565419"/>
    <w:rsid w:val="00567369"/>
    <w:rsid w:val="00570016"/>
    <w:rsid w:val="00570B12"/>
    <w:rsid w:val="00571013"/>
    <w:rsid w:val="00571D7F"/>
    <w:rsid w:val="005720E8"/>
    <w:rsid w:val="005724CF"/>
    <w:rsid w:val="00573247"/>
    <w:rsid w:val="0057329F"/>
    <w:rsid w:val="005734EA"/>
    <w:rsid w:val="0057392D"/>
    <w:rsid w:val="005746E3"/>
    <w:rsid w:val="00574C4A"/>
    <w:rsid w:val="00575598"/>
    <w:rsid w:val="00576E6D"/>
    <w:rsid w:val="00577102"/>
    <w:rsid w:val="0058098A"/>
    <w:rsid w:val="00580C14"/>
    <w:rsid w:val="00580E33"/>
    <w:rsid w:val="00581AD6"/>
    <w:rsid w:val="00581F2F"/>
    <w:rsid w:val="00582663"/>
    <w:rsid w:val="0058299E"/>
    <w:rsid w:val="00582B95"/>
    <w:rsid w:val="0058307D"/>
    <w:rsid w:val="005834A6"/>
    <w:rsid w:val="00585C58"/>
    <w:rsid w:val="00590C77"/>
    <w:rsid w:val="0059298C"/>
    <w:rsid w:val="00592B42"/>
    <w:rsid w:val="00593C72"/>
    <w:rsid w:val="00593E41"/>
    <w:rsid w:val="00594200"/>
    <w:rsid w:val="00594A27"/>
    <w:rsid w:val="00595682"/>
    <w:rsid w:val="00596CB2"/>
    <w:rsid w:val="00596D3A"/>
    <w:rsid w:val="00597231"/>
    <w:rsid w:val="005976EE"/>
    <w:rsid w:val="005A03C6"/>
    <w:rsid w:val="005A1D16"/>
    <w:rsid w:val="005A1E92"/>
    <w:rsid w:val="005A1FD8"/>
    <w:rsid w:val="005A28E9"/>
    <w:rsid w:val="005A4B70"/>
    <w:rsid w:val="005A5441"/>
    <w:rsid w:val="005A6246"/>
    <w:rsid w:val="005A6CE1"/>
    <w:rsid w:val="005A73F7"/>
    <w:rsid w:val="005A799F"/>
    <w:rsid w:val="005B0E45"/>
    <w:rsid w:val="005B2138"/>
    <w:rsid w:val="005B2BD5"/>
    <w:rsid w:val="005B3200"/>
    <w:rsid w:val="005B37DD"/>
    <w:rsid w:val="005B3FB4"/>
    <w:rsid w:val="005B5760"/>
    <w:rsid w:val="005B647F"/>
    <w:rsid w:val="005C051C"/>
    <w:rsid w:val="005C07A8"/>
    <w:rsid w:val="005C0B38"/>
    <w:rsid w:val="005C0C31"/>
    <w:rsid w:val="005C1771"/>
    <w:rsid w:val="005C1D81"/>
    <w:rsid w:val="005C3C16"/>
    <w:rsid w:val="005C4685"/>
    <w:rsid w:val="005C7E99"/>
    <w:rsid w:val="005D0446"/>
    <w:rsid w:val="005D0CA7"/>
    <w:rsid w:val="005D1447"/>
    <w:rsid w:val="005D1564"/>
    <w:rsid w:val="005D184A"/>
    <w:rsid w:val="005D18F6"/>
    <w:rsid w:val="005D2045"/>
    <w:rsid w:val="005D3492"/>
    <w:rsid w:val="005D3ADA"/>
    <w:rsid w:val="005D4DDD"/>
    <w:rsid w:val="005D5548"/>
    <w:rsid w:val="005D5F2C"/>
    <w:rsid w:val="005D72A6"/>
    <w:rsid w:val="005D7F97"/>
    <w:rsid w:val="005E0A97"/>
    <w:rsid w:val="005E20FE"/>
    <w:rsid w:val="005E2B79"/>
    <w:rsid w:val="005E59DD"/>
    <w:rsid w:val="005E6170"/>
    <w:rsid w:val="005E77F3"/>
    <w:rsid w:val="005F138B"/>
    <w:rsid w:val="005F13ED"/>
    <w:rsid w:val="005F3A5C"/>
    <w:rsid w:val="005F408C"/>
    <w:rsid w:val="005F530B"/>
    <w:rsid w:val="005F55E6"/>
    <w:rsid w:val="005F617A"/>
    <w:rsid w:val="005F6FC7"/>
    <w:rsid w:val="005F7212"/>
    <w:rsid w:val="005F7F4C"/>
    <w:rsid w:val="00601194"/>
    <w:rsid w:val="0060158E"/>
    <w:rsid w:val="006016DF"/>
    <w:rsid w:val="00601793"/>
    <w:rsid w:val="00603A46"/>
    <w:rsid w:val="00603CCB"/>
    <w:rsid w:val="00604072"/>
    <w:rsid w:val="006042B3"/>
    <w:rsid w:val="0060560F"/>
    <w:rsid w:val="00605BB7"/>
    <w:rsid w:val="006078E5"/>
    <w:rsid w:val="0061000B"/>
    <w:rsid w:val="0061004A"/>
    <w:rsid w:val="0061122E"/>
    <w:rsid w:val="0061299B"/>
    <w:rsid w:val="00612CDD"/>
    <w:rsid w:val="00612DC2"/>
    <w:rsid w:val="0061348C"/>
    <w:rsid w:val="006150B3"/>
    <w:rsid w:val="006162DF"/>
    <w:rsid w:val="00616688"/>
    <w:rsid w:val="0061737E"/>
    <w:rsid w:val="00617C01"/>
    <w:rsid w:val="00621503"/>
    <w:rsid w:val="006222A0"/>
    <w:rsid w:val="006224FE"/>
    <w:rsid w:val="00623472"/>
    <w:rsid w:val="00626D90"/>
    <w:rsid w:val="006316B4"/>
    <w:rsid w:val="006322F0"/>
    <w:rsid w:val="006324CA"/>
    <w:rsid w:val="00632B3C"/>
    <w:rsid w:val="0063348B"/>
    <w:rsid w:val="00633FF5"/>
    <w:rsid w:val="006360F2"/>
    <w:rsid w:val="0063670C"/>
    <w:rsid w:val="006373BE"/>
    <w:rsid w:val="006408E0"/>
    <w:rsid w:val="0064094A"/>
    <w:rsid w:val="00641716"/>
    <w:rsid w:val="00641ABD"/>
    <w:rsid w:val="00641CD0"/>
    <w:rsid w:val="0064279C"/>
    <w:rsid w:val="00642995"/>
    <w:rsid w:val="00642FB2"/>
    <w:rsid w:val="0064461E"/>
    <w:rsid w:val="00644E05"/>
    <w:rsid w:val="00645532"/>
    <w:rsid w:val="00645AC8"/>
    <w:rsid w:val="00645E58"/>
    <w:rsid w:val="00646A73"/>
    <w:rsid w:val="00647B1B"/>
    <w:rsid w:val="00647B75"/>
    <w:rsid w:val="00647F0C"/>
    <w:rsid w:val="00650013"/>
    <w:rsid w:val="006504D5"/>
    <w:rsid w:val="0065084D"/>
    <w:rsid w:val="0065151D"/>
    <w:rsid w:val="00651877"/>
    <w:rsid w:val="00652018"/>
    <w:rsid w:val="00652F12"/>
    <w:rsid w:val="00652F6C"/>
    <w:rsid w:val="006546F2"/>
    <w:rsid w:val="00654CCC"/>
    <w:rsid w:val="00655C18"/>
    <w:rsid w:val="00656EB6"/>
    <w:rsid w:val="006607E3"/>
    <w:rsid w:val="00661B93"/>
    <w:rsid w:val="00662682"/>
    <w:rsid w:val="006636F6"/>
    <w:rsid w:val="006637E2"/>
    <w:rsid w:val="0066637C"/>
    <w:rsid w:val="006668BB"/>
    <w:rsid w:val="00666BAA"/>
    <w:rsid w:val="0066729D"/>
    <w:rsid w:val="0066798F"/>
    <w:rsid w:val="00667B06"/>
    <w:rsid w:val="00670A06"/>
    <w:rsid w:val="00671C37"/>
    <w:rsid w:val="0067347D"/>
    <w:rsid w:val="006753D7"/>
    <w:rsid w:val="006756E4"/>
    <w:rsid w:val="00675F52"/>
    <w:rsid w:val="00676548"/>
    <w:rsid w:val="0067766F"/>
    <w:rsid w:val="00680211"/>
    <w:rsid w:val="00680328"/>
    <w:rsid w:val="006808B5"/>
    <w:rsid w:val="00680A74"/>
    <w:rsid w:val="00682869"/>
    <w:rsid w:val="00684503"/>
    <w:rsid w:val="00684C56"/>
    <w:rsid w:val="00685221"/>
    <w:rsid w:val="006867F1"/>
    <w:rsid w:val="00686C42"/>
    <w:rsid w:val="00687D09"/>
    <w:rsid w:val="00690284"/>
    <w:rsid w:val="006911D7"/>
    <w:rsid w:val="006920A4"/>
    <w:rsid w:val="006923A7"/>
    <w:rsid w:val="00693061"/>
    <w:rsid w:val="0069375D"/>
    <w:rsid w:val="0069409E"/>
    <w:rsid w:val="006946A1"/>
    <w:rsid w:val="00695043"/>
    <w:rsid w:val="00695A2F"/>
    <w:rsid w:val="00696AAE"/>
    <w:rsid w:val="00696BC8"/>
    <w:rsid w:val="00696D50"/>
    <w:rsid w:val="006A0C65"/>
    <w:rsid w:val="006A19D3"/>
    <w:rsid w:val="006A24C8"/>
    <w:rsid w:val="006A2871"/>
    <w:rsid w:val="006A2E67"/>
    <w:rsid w:val="006A2F41"/>
    <w:rsid w:val="006A328C"/>
    <w:rsid w:val="006A5657"/>
    <w:rsid w:val="006A5782"/>
    <w:rsid w:val="006A594E"/>
    <w:rsid w:val="006A68CE"/>
    <w:rsid w:val="006A6F95"/>
    <w:rsid w:val="006A74A7"/>
    <w:rsid w:val="006A7C3A"/>
    <w:rsid w:val="006B0D3B"/>
    <w:rsid w:val="006B285D"/>
    <w:rsid w:val="006B44BA"/>
    <w:rsid w:val="006B532B"/>
    <w:rsid w:val="006B57CA"/>
    <w:rsid w:val="006B5DDC"/>
    <w:rsid w:val="006B7929"/>
    <w:rsid w:val="006C01F5"/>
    <w:rsid w:val="006C0672"/>
    <w:rsid w:val="006C0775"/>
    <w:rsid w:val="006C2B48"/>
    <w:rsid w:val="006C337A"/>
    <w:rsid w:val="006C49E0"/>
    <w:rsid w:val="006C6370"/>
    <w:rsid w:val="006C6405"/>
    <w:rsid w:val="006C6596"/>
    <w:rsid w:val="006C7E19"/>
    <w:rsid w:val="006C7F3B"/>
    <w:rsid w:val="006D03D7"/>
    <w:rsid w:val="006D20D2"/>
    <w:rsid w:val="006D2A8D"/>
    <w:rsid w:val="006D2CEF"/>
    <w:rsid w:val="006D34CD"/>
    <w:rsid w:val="006D3830"/>
    <w:rsid w:val="006D732D"/>
    <w:rsid w:val="006E06A3"/>
    <w:rsid w:val="006E0A92"/>
    <w:rsid w:val="006E0ED1"/>
    <w:rsid w:val="006E169E"/>
    <w:rsid w:val="006E1777"/>
    <w:rsid w:val="006E597C"/>
    <w:rsid w:val="006E6D99"/>
    <w:rsid w:val="006E6F18"/>
    <w:rsid w:val="006E71A1"/>
    <w:rsid w:val="006E75A2"/>
    <w:rsid w:val="006F26AD"/>
    <w:rsid w:val="006F2FA4"/>
    <w:rsid w:val="006F5EB8"/>
    <w:rsid w:val="006F6480"/>
    <w:rsid w:val="006F6966"/>
    <w:rsid w:val="00700CDC"/>
    <w:rsid w:val="00701ED1"/>
    <w:rsid w:val="00702307"/>
    <w:rsid w:val="00702770"/>
    <w:rsid w:val="007036A2"/>
    <w:rsid w:val="00704736"/>
    <w:rsid w:val="00705303"/>
    <w:rsid w:val="007065AC"/>
    <w:rsid w:val="00706737"/>
    <w:rsid w:val="00707A0C"/>
    <w:rsid w:val="00707C4C"/>
    <w:rsid w:val="007105B9"/>
    <w:rsid w:val="00711465"/>
    <w:rsid w:val="00711487"/>
    <w:rsid w:val="007128F3"/>
    <w:rsid w:val="00712EFC"/>
    <w:rsid w:val="00714040"/>
    <w:rsid w:val="00714C8D"/>
    <w:rsid w:val="0071537E"/>
    <w:rsid w:val="00715F27"/>
    <w:rsid w:val="00717D91"/>
    <w:rsid w:val="00721A2A"/>
    <w:rsid w:val="00721B65"/>
    <w:rsid w:val="00721EAA"/>
    <w:rsid w:val="007229FD"/>
    <w:rsid w:val="00724B37"/>
    <w:rsid w:val="007253CD"/>
    <w:rsid w:val="007265CC"/>
    <w:rsid w:val="00727927"/>
    <w:rsid w:val="00727F4E"/>
    <w:rsid w:val="0073013B"/>
    <w:rsid w:val="0073030D"/>
    <w:rsid w:val="00730598"/>
    <w:rsid w:val="00730696"/>
    <w:rsid w:val="0073137B"/>
    <w:rsid w:val="0073177F"/>
    <w:rsid w:val="007329AB"/>
    <w:rsid w:val="007342DD"/>
    <w:rsid w:val="007346E4"/>
    <w:rsid w:val="00735B0F"/>
    <w:rsid w:val="00735DA4"/>
    <w:rsid w:val="007407B9"/>
    <w:rsid w:val="0074137D"/>
    <w:rsid w:val="007416BF"/>
    <w:rsid w:val="00742AF8"/>
    <w:rsid w:val="00742B24"/>
    <w:rsid w:val="007434E1"/>
    <w:rsid w:val="00745C9C"/>
    <w:rsid w:val="00746937"/>
    <w:rsid w:val="007474D1"/>
    <w:rsid w:val="007476A1"/>
    <w:rsid w:val="00750627"/>
    <w:rsid w:val="007508E2"/>
    <w:rsid w:val="007523F5"/>
    <w:rsid w:val="00752989"/>
    <w:rsid w:val="00755772"/>
    <w:rsid w:val="007564E2"/>
    <w:rsid w:val="00757A3D"/>
    <w:rsid w:val="00757BB5"/>
    <w:rsid w:val="00760AAB"/>
    <w:rsid w:val="00761541"/>
    <w:rsid w:val="00761565"/>
    <w:rsid w:val="00761A02"/>
    <w:rsid w:val="007656DF"/>
    <w:rsid w:val="00765D2C"/>
    <w:rsid w:val="00766701"/>
    <w:rsid w:val="00767170"/>
    <w:rsid w:val="0076754E"/>
    <w:rsid w:val="0077065E"/>
    <w:rsid w:val="007707E7"/>
    <w:rsid w:val="00771283"/>
    <w:rsid w:val="007724C8"/>
    <w:rsid w:val="00772C41"/>
    <w:rsid w:val="00773A4D"/>
    <w:rsid w:val="00774E8E"/>
    <w:rsid w:val="00775596"/>
    <w:rsid w:val="00777283"/>
    <w:rsid w:val="007773B9"/>
    <w:rsid w:val="00780BBD"/>
    <w:rsid w:val="007813B4"/>
    <w:rsid w:val="00781AAE"/>
    <w:rsid w:val="00782083"/>
    <w:rsid w:val="007842BF"/>
    <w:rsid w:val="00784680"/>
    <w:rsid w:val="00784B5F"/>
    <w:rsid w:val="00785F5F"/>
    <w:rsid w:val="007863F6"/>
    <w:rsid w:val="00786623"/>
    <w:rsid w:val="007868DF"/>
    <w:rsid w:val="00787E03"/>
    <w:rsid w:val="007900EF"/>
    <w:rsid w:val="00790113"/>
    <w:rsid w:val="00792503"/>
    <w:rsid w:val="0079289A"/>
    <w:rsid w:val="00792BD5"/>
    <w:rsid w:val="00793650"/>
    <w:rsid w:val="00793B31"/>
    <w:rsid w:val="00793FAB"/>
    <w:rsid w:val="007946D6"/>
    <w:rsid w:val="00794F53"/>
    <w:rsid w:val="0079586E"/>
    <w:rsid w:val="00795E02"/>
    <w:rsid w:val="00796304"/>
    <w:rsid w:val="00796432"/>
    <w:rsid w:val="007A0C46"/>
    <w:rsid w:val="007A159B"/>
    <w:rsid w:val="007A1A1C"/>
    <w:rsid w:val="007A298B"/>
    <w:rsid w:val="007A3F1D"/>
    <w:rsid w:val="007A502E"/>
    <w:rsid w:val="007A521A"/>
    <w:rsid w:val="007A7842"/>
    <w:rsid w:val="007B14A1"/>
    <w:rsid w:val="007B362F"/>
    <w:rsid w:val="007B37F3"/>
    <w:rsid w:val="007B4419"/>
    <w:rsid w:val="007B5553"/>
    <w:rsid w:val="007B5E7F"/>
    <w:rsid w:val="007B6FE8"/>
    <w:rsid w:val="007C0C9A"/>
    <w:rsid w:val="007C1744"/>
    <w:rsid w:val="007C2F1A"/>
    <w:rsid w:val="007C4450"/>
    <w:rsid w:val="007C5402"/>
    <w:rsid w:val="007C7E86"/>
    <w:rsid w:val="007D04A3"/>
    <w:rsid w:val="007D20D8"/>
    <w:rsid w:val="007D4602"/>
    <w:rsid w:val="007D525A"/>
    <w:rsid w:val="007D5A75"/>
    <w:rsid w:val="007D5D1B"/>
    <w:rsid w:val="007D672F"/>
    <w:rsid w:val="007D6BA4"/>
    <w:rsid w:val="007D6EAF"/>
    <w:rsid w:val="007D70F1"/>
    <w:rsid w:val="007D70F6"/>
    <w:rsid w:val="007D7BAC"/>
    <w:rsid w:val="007E03F7"/>
    <w:rsid w:val="007E06BA"/>
    <w:rsid w:val="007E1025"/>
    <w:rsid w:val="007E175C"/>
    <w:rsid w:val="007E178D"/>
    <w:rsid w:val="007E18A9"/>
    <w:rsid w:val="007E1C8F"/>
    <w:rsid w:val="007E1DAA"/>
    <w:rsid w:val="007E2C52"/>
    <w:rsid w:val="007E34BD"/>
    <w:rsid w:val="007E35B9"/>
    <w:rsid w:val="007E3796"/>
    <w:rsid w:val="007E3E1C"/>
    <w:rsid w:val="007E4CE4"/>
    <w:rsid w:val="007E5179"/>
    <w:rsid w:val="007E55D1"/>
    <w:rsid w:val="007F03F9"/>
    <w:rsid w:val="007F10FC"/>
    <w:rsid w:val="007F1A24"/>
    <w:rsid w:val="007F2C7B"/>
    <w:rsid w:val="007F3D8B"/>
    <w:rsid w:val="007F43F5"/>
    <w:rsid w:val="007F538E"/>
    <w:rsid w:val="007F53D1"/>
    <w:rsid w:val="007F6C41"/>
    <w:rsid w:val="007F7A0F"/>
    <w:rsid w:val="00800018"/>
    <w:rsid w:val="008003ED"/>
    <w:rsid w:val="008009FD"/>
    <w:rsid w:val="00800ECE"/>
    <w:rsid w:val="00801FF6"/>
    <w:rsid w:val="00804CBC"/>
    <w:rsid w:val="00805B65"/>
    <w:rsid w:val="00806124"/>
    <w:rsid w:val="00807B49"/>
    <w:rsid w:val="00810E51"/>
    <w:rsid w:val="00811217"/>
    <w:rsid w:val="008124BF"/>
    <w:rsid w:val="00812778"/>
    <w:rsid w:val="00812B48"/>
    <w:rsid w:val="00812C05"/>
    <w:rsid w:val="0081390B"/>
    <w:rsid w:val="0081392C"/>
    <w:rsid w:val="00813F99"/>
    <w:rsid w:val="00814998"/>
    <w:rsid w:val="008150D9"/>
    <w:rsid w:val="00815166"/>
    <w:rsid w:val="0081525D"/>
    <w:rsid w:val="00815329"/>
    <w:rsid w:val="00815DE5"/>
    <w:rsid w:val="00815FD9"/>
    <w:rsid w:val="008177DA"/>
    <w:rsid w:val="00817A5E"/>
    <w:rsid w:val="00820B74"/>
    <w:rsid w:val="00820FA7"/>
    <w:rsid w:val="00822401"/>
    <w:rsid w:val="00822602"/>
    <w:rsid w:val="00822865"/>
    <w:rsid w:val="00822B6C"/>
    <w:rsid w:val="0082418F"/>
    <w:rsid w:val="00825AD2"/>
    <w:rsid w:val="00825BB0"/>
    <w:rsid w:val="00825FB5"/>
    <w:rsid w:val="00830753"/>
    <w:rsid w:val="008320BF"/>
    <w:rsid w:val="0083276C"/>
    <w:rsid w:val="008329A7"/>
    <w:rsid w:val="00832F7A"/>
    <w:rsid w:val="00833B85"/>
    <w:rsid w:val="0083466A"/>
    <w:rsid w:val="00834A80"/>
    <w:rsid w:val="00834BCD"/>
    <w:rsid w:val="00836251"/>
    <w:rsid w:val="00837CE4"/>
    <w:rsid w:val="00837EEF"/>
    <w:rsid w:val="00841123"/>
    <w:rsid w:val="00841B17"/>
    <w:rsid w:val="00841D6B"/>
    <w:rsid w:val="00842B57"/>
    <w:rsid w:val="00844C69"/>
    <w:rsid w:val="00845698"/>
    <w:rsid w:val="00845F51"/>
    <w:rsid w:val="008462E2"/>
    <w:rsid w:val="008465AA"/>
    <w:rsid w:val="00846653"/>
    <w:rsid w:val="0085071D"/>
    <w:rsid w:val="00850956"/>
    <w:rsid w:val="00850D74"/>
    <w:rsid w:val="00851B68"/>
    <w:rsid w:val="008528DD"/>
    <w:rsid w:val="00852D86"/>
    <w:rsid w:val="008530B5"/>
    <w:rsid w:val="0085325C"/>
    <w:rsid w:val="00854F0A"/>
    <w:rsid w:val="00857F01"/>
    <w:rsid w:val="00860C7B"/>
    <w:rsid w:val="00860E09"/>
    <w:rsid w:val="00861BD4"/>
    <w:rsid w:val="00863FD5"/>
    <w:rsid w:val="008665BF"/>
    <w:rsid w:val="00867F6E"/>
    <w:rsid w:val="00870646"/>
    <w:rsid w:val="00870A0D"/>
    <w:rsid w:val="00871596"/>
    <w:rsid w:val="00871CDB"/>
    <w:rsid w:val="00874A0E"/>
    <w:rsid w:val="00874A3D"/>
    <w:rsid w:val="00874EA5"/>
    <w:rsid w:val="008770E4"/>
    <w:rsid w:val="008772CE"/>
    <w:rsid w:val="00877363"/>
    <w:rsid w:val="0088090F"/>
    <w:rsid w:val="0088165C"/>
    <w:rsid w:val="00881BB7"/>
    <w:rsid w:val="00882122"/>
    <w:rsid w:val="008827A4"/>
    <w:rsid w:val="00882C5A"/>
    <w:rsid w:val="00882D6D"/>
    <w:rsid w:val="008830D7"/>
    <w:rsid w:val="008844A0"/>
    <w:rsid w:val="00884C62"/>
    <w:rsid w:val="00885F49"/>
    <w:rsid w:val="00886416"/>
    <w:rsid w:val="00887700"/>
    <w:rsid w:val="0088773F"/>
    <w:rsid w:val="00887A69"/>
    <w:rsid w:val="00887F58"/>
    <w:rsid w:val="008903BC"/>
    <w:rsid w:val="008907C7"/>
    <w:rsid w:val="0089104E"/>
    <w:rsid w:val="008910DA"/>
    <w:rsid w:val="0089180C"/>
    <w:rsid w:val="00891CC6"/>
    <w:rsid w:val="00892C49"/>
    <w:rsid w:val="00893E2B"/>
    <w:rsid w:val="0089412B"/>
    <w:rsid w:val="0089426B"/>
    <w:rsid w:val="00894A1E"/>
    <w:rsid w:val="00894B87"/>
    <w:rsid w:val="00895247"/>
    <w:rsid w:val="008964A7"/>
    <w:rsid w:val="00896617"/>
    <w:rsid w:val="008A0A9A"/>
    <w:rsid w:val="008A1D90"/>
    <w:rsid w:val="008A27E7"/>
    <w:rsid w:val="008A49C8"/>
    <w:rsid w:val="008A4A53"/>
    <w:rsid w:val="008A4B24"/>
    <w:rsid w:val="008A599D"/>
    <w:rsid w:val="008A59E5"/>
    <w:rsid w:val="008A5CE6"/>
    <w:rsid w:val="008A6180"/>
    <w:rsid w:val="008A6B7E"/>
    <w:rsid w:val="008A6D54"/>
    <w:rsid w:val="008A74E4"/>
    <w:rsid w:val="008A7588"/>
    <w:rsid w:val="008B06EC"/>
    <w:rsid w:val="008B1DB9"/>
    <w:rsid w:val="008B235A"/>
    <w:rsid w:val="008B31C2"/>
    <w:rsid w:val="008B321A"/>
    <w:rsid w:val="008B580D"/>
    <w:rsid w:val="008B5AAC"/>
    <w:rsid w:val="008B5C2B"/>
    <w:rsid w:val="008B6568"/>
    <w:rsid w:val="008B68FC"/>
    <w:rsid w:val="008B7033"/>
    <w:rsid w:val="008B7A0B"/>
    <w:rsid w:val="008B7FA9"/>
    <w:rsid w:val="008B7FE4"/>
    <w:rsid w:val="008C14F4"/>
    <w:rsid w:val="008C2BCE"/>
    <w:rsid w:val="008C3A81"/>
    <w:rsid w:val="008C3B31"/>
    <w:rsid w:val="008C4455"/>
    <w:rsid w:val="008C6910"/>
    <w:rsid w:val="008C6B50"/>
    <w:rsid w:val="008C6DBF"/>
    <w:rsid w:val="008C744F"/>
    <w:rsid w:val="008C7CCB"/>
    <w:rsid w:val="008D0D1C"/>
    <w:rsid w:val="008D190B"/>
    <w:rsid w:val="008D1F8D"/>
    <w:rsid w:val="008D2904"/>
    <w:rsid w:val="008D3E05"/>
    <w:rsid w:val="008D40C3"/>
    <w:rsid w:val="008D44E0"/>
    <w:rsid w:val="008D4B9A"/>
    <w:rsid w:val="008D6450"/>
    <w:rsid w:val="008D7697"/>
    <w:rsid w:val="008E2329"/>
    <w:rsid w:val="008E234A"/>
    <w:rsid w:val="008E291C"/>
    <w:rsid w:val="008E39A2"/>
    <w:rsid w:val="008E5088"/>
    <w:rsid w:val="008E62B5"/>
    <w:rsid w:val="008E726F"/>
    <w:rsid w:val="008F1700"/>
    <w:rsid w:val="008F2903"/>
    <w:rsid w:val="008F2D92"/>
    <w:rsid w:val="008F3841"/>
    <w:rsid w:val="008F4D34"/>
    <w:rsid w:val="008F4D7D"/>
    <w:rsid w:val="008F51C9"/>
    <w:rsid w:val="008F5B6D"/>
    <w:rsid w:val="008F6AE1"/>
    <w:rsid w:val="008F6E7A"/>
    <w:rsid w:val="00900228"/>
    <w:rsid w:val="00900D51"/>
    <w:rsid w:val="00902AD8"/>
    <w:rsid w:val="00904D80"/>
    <w:rsid w:val="0090545D"/>
    <w:rsid w:val="00905634"/>
    <w:rsid w:val="009064C6"/>
    <w:rsid w:val="009065E9"/>
    <w:rsid w:val="00907D56"/>
    <w:rsid w:val="00910CB5"/>
    <w:rsid w:val="00910D84"/>
    <w:rsid w:val="0091299F"/>
    <w:rsid w:val="00916C11"/>
    <w:rsid w:val="00917D9B"/>
    <w:rsid w:val="009207C0"/>
    <w:rsid w:val="00920A1A"/>
    <w:rsid w:val="00922814"/>
    <w:rsid w:val="009236CE"/>
    <w:rsid w:val="00923E15"/>
    <w:rsid w:val="00923E5D"/>
    <w:rsid w:val="0092410C"/>
    <w:rsid w:val="00924B05"/>
    <w:rsid w:val="00924C8D"/>
    <w:rsid w:val="0092528C"/>
    <w:rsid w:val="00925649"/>
    <w:rsid w:val="00926113"/>
    <w:rsid w:val="00926D1C"/>
    <w:rsid w:val="00926E0B"/>
    <w:rsid w:val="00927617"/>
    <w:rsid w:val="00927650"/>
    <w:rsid w:val="0093044E"/>
    <w:rsid w:val="00930CC7"/>
    <w:rsid w:val="009312E7"/>
    <w:rsid w:val="00933111"/>
    <w:rsid w:val="0093518C"/>
    <w:rsid w:val="00936643"/>
    <w:rsid w:val="009377B5"/>
    <w:rsid w:val="0094002C"/>
    <w:rsid w:val="009406A0"/>
    <w:rsid w:val="00940FF7"/>
    <w:rsid w:val="00942AB5"/>
    <w:rsid w:val="009432F0"/>
    <w:rsid w:val="00944E7F"/>
    <w:rsid w:val="009466D7"/>
    <w:rsid w:val="00946807"/>
    <w:rsid w:val="00950337"/>
    <w:rsid w:val="009507DD"/>
    <w:rsid w:val="0095271E"/>
    <w:rsid w:val="009528B1"/>
    <w:rsid w:val="009539BF"/>
    <w:rsid w:val="009545F2"/>
    <w:rsid w:val="00954824"/>
    <w:rsid w:val="00954B5D"/>
    <w:rsid w:val="00954DE8"/>
    <w:rsid w:val="00957802"/>
    <w:rsid w:val="00957C3D"/>
    <w:rsid w:val="00960298"/>
    <w:rsid w:val="009611EF"/>
    <w:rsid w:val="00961C29"/>
    <w:rsid w:val="00962062"/>
    <w:rsid w:val="00962C7A"/>
    <w:rsid w:val="00963294"/>
    <w:rsid w:val="009632CA"/>
    <w:rsid w:val="009633A4"/>
    <w:rsid w:val="009656CE"/>
    <w:rsid w:val="009656D7"/>
    <w:rsid w:val="00966CEB"/>
    <w:rsid w:val="0096700C"/>
    <w:rsid w:val="00967C5A"/>
    <w:rsid w:val="00967E18"/>
    <w:rsid w:val="009702DD"/>
    <w:rsid w:val="00970DF8"/>
    <w:rsid w:val="0097165E"/>
    <w:rsid w:val="00971F83"/>
    <w:rsid w:val="009724BE"/>
    <w:rsid w:val="009727B7"/>
    <w:rsid w:val="0097375C"/>
    <w:rsid w:val="00973B52"/>
    <w:rsid w:val="00974018"/>
    <w:rsid w:val="00974519"/>
    <w:rsid w:val="0097472B"/>
    <w:rsid w:val="00976B41"/>
    <w:rsid w:val="00976E4E"/>
    <w:rsid w:val="00977139"/>
    <w:rsid w:val="00977475"/>
    <w:rsid w:val="009805EC"/>
    <w:rsid w:val="009807F0"/>
    <w:rsid w:val="00980B6B"/>
    <w:rsid w:val="00981AE4"/>
    <w:rsid w:val="00981FDC"/>
    <w:rsid w:val="009848F0"/>
    <w:rsid w:val="00985ABD"/>
    <w:rsid w:val="009870E6"/>
    <w:rsid w:val="0099453B"/>
    <w:rsid w:val="00995717"/>
    <w:rsid w:val="00996747"/>
    <w:rsid w:val="00997D6D"/>
    <w:rsid w:val="009A00C7"/>
    <w:rsid w:val="009A10BD"/>
    <w:rsid w:val="009A1739"/>
    <w:rsid w:val="009A1E98"/>
    <w:rsid w:val="009A2AC0"/>
    <w:rsid w:val="009A2B69"/>
    <w:rsid w:val="009A31F1"/>
    <w:rsid w:val="009A396C"/>
    <w:rsid w:val="009A470A"/>
    <w:rsid w:val="009A5632"/>
    <w:rsid w:val="009A600F"/>
    <w:rsid w:val="009A611C"/>
    <w:rsid w:val="009A755B"/>
    <w:rsid w:val="009B0644"/>
    <w:rsid w:val="009B399A"/>
    <w:rsid w:val="009B3E00"/>
    <w:rsid w:val="009B446D"/>
    <w:rsid w:val="009B5447"/>
    <w:rsid w:val="009B54AB"/>
    <w:rsid w:val="009B5523"/>
    <w:rsid w:val="009B5893"/>
    <w:rsid w:val="009B5D20"/>
    <w:rsid w:val="009B685A"/>
    <w:rsid w:val="009B7101"/>
    <w:rsid w:val="009C00E4"/>
    <w:rsid w:val="009C02DA"/>
    <w:rsid w:val="009C03F7"/>
    <w:rsid w:val="009C16EE"/>
    <w:rsid w:val="009C18F5"/>
    <w:rsid w:val="009C1EB5"/>
    <w:rsid w:val="009C1FD2"/>
    <w:rsid w:val="009C21B0"/>
    <w:rsid w:val="009C24C0"/>
    <w:rsid w:val="009C29F7"/>
    <w:rsid w:val="009C2B34"/>
    <w:rsid w:val="009C400A"/>
    <w:rsid w:val="009C45F0"/>
    <w:rsid w:val="009C6192"/>
    <w:rsid w:val="009C6454"/>
    <w:rsid w:val="009C6A3C"/>
    <w:rsid w:val="009C746A"/>
    <w:rsid w:val="009C76B6"/>
    <w:rsid w:val="009C7C23"/>
    <w:rsid w:val="009C7EA9"/>
    <w:rsid w:val="009D0751"/>
    <w:rsid w:val="009D1933"/>
    <w:rsid w:val="009D1C79"/>
    <w:rsid w:val="009D1CCC"/>
    <w:rsid w:val="009D316F"/>
    <w:rsid w:val="009D3AE7"/>
    <w:rsid w:val="009D457E"/>
    <w:rsid w:val="009D4FE8"/>
    <w:rsid w:val="009D5AAB"/>
    <w:rsid w:val="009D624A"/>
    <w:rsid w:val="009D765B"/>
    <w:rsid w:val="009E28E5"/>
    <w:rsid w:val="009E2C26"/>
    <w:rsid w:val="009E2CF6"/>
    <w:rsid w:val="009E39A1"/>
    <w:rsid w:val="009E3A45"/>
    <w:rsid w:val="009E47B6"/>
    <w:rsid w:val="009E4E1B"/>
    <w:rsid w:val="009E65D0"/>
    <w:rsid w:val="009E73CA"/>
    <w:rsid w:val="009F021A"/>
    <w:rsid w:val="009F0385"/>
    <w:rsid w:val="009F2608"/>
    <w:rsid w:val="009F285E"/>
    <w:rsid w:val="009F2FAF"/>
    <w:rsid w:val="009F31A8"/>
    <w:rsid w:val="009F3B7A"/>
    <w:rsid w:val="009F5316"/>
    <w:rsid w:val="009F6C1A"/>
    <w:rsid w:val="009F7123"/>
    <w:rsid w:val="009F7D01"/>
    <w:rsid w:val="00A03519"/>
    <w:rsid w:val="00A035E2"/>
    <w:rsid w:val="00A03AB9"/>
    <w:rsid w:val="00A03BB7"/>
    <w:rsid w:val="00A03D8C"/>
    <w:rsid w:val="00A03E67"/>
    <w:rsid w:val="00A042BA"/>
    <w:rsid w:val="00A05EE4"/>
    <w:rsid w:val="00A06F3B"/>
    <w:rsid w:val="00A0748D"/>
    <w:rsid w:val="00A077DD"/>
    <w:rsid w:val="00A07C4A"/>
    <w:rsid w:val="00A07F61"/>
    <w:rsid w:val="00A10532"/>
    <w:rsid w:val="00A10BA0"/>
    <w:rsid w:val="00A12216"/>
    <w:rsid w:val="00A143E7"/>
    <w:rsid w:val="00A15508"/>
    <w:rsid w:val="00A16B91"/>
    <w:rsid w:val="00A1710C"/>
    <w:rsid w:val="00A1766F"/>
    <w:rsid w:val="00A17B70"/>
    <w:rsid w:val="00A20AC9"/>
    <w:rsid w:val="00A214D9"/>
    <w:rsid w:val="00A21CE0"/>
    <w:rsid w:val="00A21F21"/>
    <w:rsid w:val="00A22715"/>
    <w:rsid w:val="00A24057"/>
    <w:rsid w:val="00A25703"/>
    <w:rsid w:val="00A263C7"/>
    <w:rsid w:val="00A321F2"/>
    <w:rsid w:val="00A32790"/>
    <w:rsid w:val="00A327B5"/>
    <w:rsid w:val="00A32AB4"/>
    <w:rsid w:val="00A3540F"/>
    <w:rsid w:val="00A3580A"/>
    <w:rsid w:val="00A35AF3"/>
    <w:rsid w:val="00A35C67"/>
    <w:rsid w:val="00A368E8"/>
    <w:rsid w:val="00A36A84"/>
    <w:rsid w:val="00A37B4D"/>
    <w:rsid w:val="00A40806"/>
    <w:rsid w:val="00A40C80"/>
    <w:rsid w:val="00A41F94"/>
    <w:rsid w:val="00A42B7F"/>
    <w:rsid w:val="00A43DCC"/>
    <w:rsid w:val="00A44913"/>
    <w:rsid w:val="00A44F8F"/>
    <w:rsid w:val="00A45210"/>
    <w:rsid w:val="00A472FA"/>
    <w:rsid w:val="00A50660"/>
    <w:rsid w:val="00A5181E"/>
    <w:rsid w:val="00A52212"/>
    <w:rsid w:val="00A52887"/>
    <w:rsid w:val="00A53231"/>
    <w:rsid w:val="00A53299"/>
    <w:rsid w:val="00A53300"/>
    <w:rsid w:val="00A548E2"/>
    <w:rsid w:val="00A556A2"/>
    <w:rsid w:val="00A559B1"/>
    <w:rsid w:val="00A5682B"/>
    <w:rsid w:val="00A57E95"/>
    <w:rsid w:val="00A6040D"/>
    <w:rsid w:val="00A604DF"/>
    <w:rsid w:val="00A607F7"/>
    <w:rsid w:val="00A60EF5"/>
    <w:rsid w:val="00A610A4"/>
    <w:rsid w:val="00A627E9"/>
    <w:rsid w:val="00A62C69"/>
    <w:rsid w:val="00A6303F"/>
    <w:rsid w:val="00A63AE2"/>
    <w:rsid w:val="00A64D80"/>
    <w:rsid w:val="00A6536B"/>
    <w:rsid w:val="00A65A03"/>
    <w:rsid w:val="00A665B7"/>
    <w:rsid w:val="00A6713D"/>
    <w:rsid w:val="00A67447"/>
    <w:rsid w:val="00A7079E"/>
    <w:rsid w:val="00A72699"/>
    <w:rsid w:val="00A72A66"/>
    <w:rsid w:val="00A73292"/>
    <w:rsid w:val="00A735F8"/>
    <w:rsid w:val="00A73F1F"/>
    <w:rsid w:val="00A7529F"/>
    <w:rsid w:val="00A75977"/>
    <w:rsid w:val="00A7631A"/>
    <w:rsid w:val="00A76A37"/>
    <w:rsid w:val="00A77D25"/>
    <w:rsid w:val="00A80434"/>
    <w:rsid w:val="00A809B4"/>
    <w:rsid w:val="00A80C66"/>
    <w:rsid w:val="00A80D85"/>
    <w:rsid w:val="00A817A5"/>
    <w:rsid w:val="00A821F4"/>
    <w:rsid w:val="00A82834"/>
    <w:rsid w:val="00A83A56"/>
    <w:rsid w:val="00A83E6F"/>
    <w:rsid w:val="00A9242C"/>
    <w:rsid w:val="00A92C3E"/>
    <w:rsid w:val="00A92E40"/>
    <w:rsid w:val="00A94AF8"/>
    <w:rsid w:val="00A9676D"/>
    <w:rsid w:val="00A96A38"/>
    <w:rsid w:val="00A970A2"/>
    <w:rsid w:val="00AA28FD"/>
    <w:rsid w:val="00AA356E"/>
    <w:rsid w:val="00AA3AF2"/>
    <w:rsid w:val="00AA4889"/>
    <w:rsid w:val="00AA4B70"/>
    <w:rsid w:val="00AA50C7"/>
    <w:rsid w:val="00AA5321"/>
    <w:rsid w:val="00AA6790"/>
    <w:rsid w:val="00AA74EE"/>
    <w:rsid w:val="00AB06B1"/>
    <w:rsid w:val="00AB14AE"/>
    <w:rsid w:val="00AB17CD"/>
    <w:rsid w:val="00AB1C58"/>
    <w:rsid w:val="00AB2EAD"/>
    <w:rsid w:val="00AB2EF6"/>
    <w:rsid w:val="00AB2FB7"/>
    <w:rsid w:val="00AB349A"/>
    <w:rsid w:val="00AB36BD"/>
    <w:rsid w:val="00AB3773"/>
    <w:rsid w:val="00AB44A3"/>
    <w:rsid w:val="00AB4CC9"/>
    <w:rsid w:val="00AB4DBF"/>
    <w:rsid w:val="00AB5161"/>
    <w:rsid w:val="00AB52BB"/>
    <w:rsid w:val="00AB63C6"/>
    <w:rsid w:val="00AB647C"/>
    <w:rsid w:val="00AB6698"/>
    <w:rsid w:val="00AB7279"/>
    <w:rsid w:val="00AB79DD"/>
    <w:rsid w:val="00AB7AF6"/>
    <w:rsid w:val="00AC02AD"/>
    <w:rsid w:val="00AC153B"/>
    <w:rsid w:val="00AC2F25"/>
    <w:rsid w:val="00AC302F"/>
    <w:rsid w:val="00AC367F"/>
    <w:rsid w:val="00AC3F2C"/>
    <w:rsid w:val="00AC40DB"/>
    <w:rsid w:val="00AC5128"/>
    <w:rsid w:val="00AC54BD"/>
    <w:rsid w:val="00AC6A12"/>
    <w:rsid w:val="00AC72B3"/>
    <w:rsid w:val="00AC7C44"/>
    <w:rsid w:val="00AC7F07"/>
    <w:rsid w:val="00AD034D"/>
    <w:rsid w:val="00AD2C21"/>
    <w:rsid w:val="00AD4D98"/>
    <w:rsid w:val="00AD5123"/>
    <w:rsid w:val="00AD5869"/>
    <w:rsid w:val="00AD5CF5"/>
    <w:rsid w:val="00AD61B5"/>
    <w:rsid w:val="00AD6DFE"/>
    <w:rsid w:val="00AD6E4B"/>
    <w:rsid w:val="00AD7D56"/>
    <w:rsid w:val="00AE037C"/>
    <w:rsid w:val="00AE058F"/>
    <w:rsid w:val="00AE1426"/>
    <w:rsid w:val="00AE17F1"/>
    <w:rsid w:val="00AE2B58"/>
    <w:rsid w:val="00AE3CDE"/>
    <w:rsid w:val="00AE3D9C"/>
    <w:rsid w:val="00AE69CB"/>
    <w:rsid w:val="00AE6A57"/>
    <w:rsid w:val="00AF0246"/>
    <w:rsid w:val="00AF1170"/>
    <w:rsid w:val="00AF1B41"/>
    <w:rsid w:val="00AF1F29"/>
    <w:rsid w:val="00AF3239"/>
    <w:rsid w:val="00AF4C03"/>
    <w:rsid w:val="00AF4C91"/>
    <w:rsid w:val="00AF4F4D"/>
    <w:rsid w:val="00AF52FB"/>
    <w:rsid w:val="00AF6BDC"/>
    <w:rsid w:val="00AF6BE0"/>
    <w:rsid w:val="00AF6E2B"/>
    <w:rsid w:val="00AF7489"/>
    <w:rsid w:val="00B003B2"/>
    <w:rsid w:val="00B00DE0"/>
    <w:rsid w:val="00B01031"/>
    <w:rsid w:val="00B02E34"/>
    <w:rsid w:val="00B03218"/>
    <w:rsid w:val="00B03550"/>
    <w:rsid w:val="00B04325"/>
    <w:rsid w:val="00B04F7F"/>
    <w:rsid w:val="00B05E51"/>
    <w:rsid w:val="00B07F8E"/>
    <w:rsid w:val="00B1013F"/>
    <w:rsid w:val="00B10845"/>
    <w:rsid w:val="00B10A9D"/>
    <w:rsid w:val="00B115AB"/>
    <w:rsid w:val="00B12A28"/>
    <w:rsid w:val="00B1313E"/>
    <w:rsid w:val="00B1395F"/>
    <w:rsid w:val="00B13BD5"/>
    <w:rsid w:val="00B144CE"/>
    <w:rsid w:val="00B14E06"/>
    <w:rsid w:val="00B150DC"/>
    <w:rsid w:val="00B1556E"/>
    <w:rsid w:val="00B15A1D"/>
    <w:rsid w:val="00B1665B"/>
    <w:rsid w:val="00B16B17"/>
    <w:rsid w:val="00B17B93"/>
    <w:rsid w:val="00B17EF7"/>
    <w:rsid w:val="00B22559"/>
    <w:rsid w:val="00B236BC"/>
    <w:rsid w:val="00B25CD7"/>
    <w:rsid w:val="00B25DA7"/>
    <w:rsid w:val="00B273E2"/>
    <w:rsid w:val="00B273F2"/>
    <w:rsid w:val="00B2775A"/>
    <w:rsid w:val="00B30411"/>
    <w:rsid w:val="00B30C87"/>
    <w:rsid w:val="00B316F1"/>
    <w:rsid w:val="00B31B20"/>
    <w:rsid w:val="00B31B52"/>
    <w:rsid w:val="00B336DE"/>
    <w:rsid w:val="00B33DA4"/>
    <w:rsid w:val="00B34A57"/>
    <w:rsid w:val="00B350E5"/>
    <w:rsid w:val="00B3530A"/>
    <w:rsid w:val="00B3546C"/>
    <w:rsid w:val="00B35C9D"/>
    <w:rsid w:val="00B36710"/>
    <w:rsid w:val="00B36F27"/>
    <w:rsid w:val="00B412FE"/>
    <w:rsid w:val="00B41A7B"/>
    <w:rsid w:val="00B426E8"/>
    <w:rsid w:val="00B43789"/>
    <w:rsid w:val="00B44983"/>
    <w:rsid w:val="00B44C15"/>
    <w:rsid w:val="00B455E1"/>
    <w:rsid w:val="00B4696F"/>
    <w:rsid w:val="00B513F0"/>
    <w:rsid w:val="00B555AB"/>
    <w:rsid w:val="00B570A3"/>
    <w:rsid w:val="00B570FA"/>
    <w:rsid w:val="00B573AB"/>
    <w:rsid w:val="00B57AB3"/>
    <w:rsid w:val="00B612CC"/>
    <w:rsid w:val="00B6305E"/>
    <w:rsid w:val="00B643B2"/>
    <w:rsid w:val="00B648BF"/>
    <w:rsid w:val="00B65496"/>
    <w:rsid w:val="00B65616"/>
    <w:rsid w:val="00B65796"/>
    <w:rsid w:val="00B65916"/>
    <w:rsid w:val="00B65D0F"/>
    <w:rsid w:val="00B66A97"/>
    <w:rsid w:val="00B674F3"/>
    <w:rsid w:val="00B7065B"/>
    <w:rsid w:val="00B7111D"/>
    <w:rsid w:val="00B71E01"/>
    <w:rsid w:val="00B71FEE"/>
    <w:rsid w:val="00B72C4F"/>
    <w:rsid w:val="00B72D1C"/>
    <w:rsid w:val="00B733FC"/>
    <w:rsid w:val="00B73CB7"/>
    <w:rsid w:val="00B74971"/>
    <w:rsid w:val="00B749EC"/>
    <w:rsid w:val="00B74F45"/>
    <w:rsid w:val="00B756EA"/>
    <w:rsid w:val="00B76740"/>
    <w:rsid w:val="00B77017"/>
    <w:rsid w:val="00B77B44"/>
    <w:rsid w:val="00B8296A"/>
    <w:rsid w:val="00B82A78"/>
    <w:rsid w:val="00B84163"/>
    <w:rsid w:val="00B84F4D"/>
    <w:rsid w:val="00B851D8"/>
    <w:rsid w:val="00B87A7B"/>
    <w:rsid w:val="00B90234"/>
    <w:rsid w:val="00B90ED5"/>
    <w:rsid w:val="00B92F73"/>
    <w:rsid w:val="00B930FC"/>
    <w:rsid w:val="00B933C0"/>
    <w:rsid w:val="00B935CB"/>
    <w:rsid w:val="00B93BB2"/>
    <w:rsid w:val="00B94494"/>
    <w:rsid w:val="00B947D2"/>
    <w:rsid w:val="00B9491F"/>
    <w:rsid w:val="00B957E3"/>
    <w:rsid w:val="00B95C57"/>
    <w:rsid w:val="00B95E1E"/>
    <w:rsid w:val="00B97516"/>
    <w:rsid w:val="00BA09D6"/>
    <w:rsid w:val="00BA1C41"/>
    <w:rsid w:val="00BA1F50"/>
    <w:rsid w:val="00BA2017"/>
    <w:rsid w:val="00BA3274"/>
    <w:rsid w:val="00BA68E2"/>
    <w:rsid w:val="00BA6B05"/>
    <w:rsid w:val="00BB02F1"/>
    <w:rsid w:val="00BB15A5"/>
    <w:rsid w:val="00BB3A3A"/>
    <w:rsid w:val="00BB406F"/>
    <w:rsid w:val="00BB4FD8"/>
    <w:rsid w:val="00BB73F9"/>
    <w:rsid w:val="00BC01CD"/>
    <w:rsid w:val="00BC3EFE"/>
    <w:rsid w:val="00BC4D2F"/>
    <w:rsid w:val="00BC6677"/>
    <w:rsid w:val="00BC7E0F"/>
    <w:rsid w:val="00BD16FA"/>
    <w:rsid w:val="00BD29A6"/>
    <w:rsid w:val="00BD3A0C"/>
    <w:rsid w:val="00BD3AC9"/>
    <w:rsid w:val="00BD40C2"/>
    <w:rsid w:val="00BD483D"/>
    <w:rsid w:val="00BD4BB2"/>
    <w:rsid w:val="00BD519C"/>
    <w:rsid w:val="00BD5BDD"/>
    <w:rsid w:val="00BD5FEA"/>
    <w:rsid w:val="00BD6802"/>
    <w:rsid w:val="00BD6D94"/>
    <w:rsid w:val="00BE19E4"/>
    <w:rsid w:val="00BE1A45"/>
    <w:rsid w:val="00BE2A7D"/>
    <w:rsid w:val="00BE34CA"/>
    <w:rsid w:val="00BE468E"/>
    <w:rsid w:val="00BE52F7"/>
    <w:rsid w:val="00BE72A0"/>
    <w:rsid w:val="00BE7322"/>
    <w:rsid w:val="00BF14C8"/>
    <w:rsid w:val="00BF18C0"/>
    <w:rsid w:val="00BF1DB0"/>
    <w:rsid w:val="00BF550B"/>
    <w:rsid w:val="00BF63EF"/>
    <w:rsid w:val="00BF6A0D"/>
    <w:rsid w:val="00BF7039"/>
    <w:rsid w:val="00BF774A"/>
    <w:rsid w:val="00C00163"/>
    <w:rsid w:val="00C008A1"/>
    <w:rsid w:val="00C02721"/>
    <w:rsid w:val="00C02AD7"/>
    <w:rsid w:val="00C02BA0"/>
    <w:rsid w:val="00C02E7E"/>
    <w:rsid w:val="00C053BC"/>
    <w:rsid w:val="00C05A49"/>
    <w:rsid w:val="00C0660F"/>
    <w:rsid w:val="00C076E3"/>
    <w:rsid w:val="00C1049A"/>
    <w:rsid w:val="00C105EA"/>
    <w:rsid w:val="00C10F2C"/>
    <w:rsid w:val="00C122DC"/>
    <w:rsid w:val="00C12C51"/>
    <w:rsid w:val="00C13E95"/>
    <w:rsid w:val="00C15D28"/>
    <w:rsid w:val="00C16407"/>
    <w:rsid w:val="00C1664F"/>
    <w:rsid w:val="00C20C39"/>
    <w:rsid w:val="00C22255"/>
    <w:rsid w:val="00C24BA3"/>
    <w:rsid w:val="00C25DA3"/>
    <w:rsid w:val="00C274B0"/>
    <w:rsid w:val="00C27CAC"/>
    <w:rsid w:val="00C30426"/>
    <w:rsid w:val="00C30B4C"/>
    <w:rsid w:val="00C313D0"/>
    <w:rsid w:val="00C31FD2"/>
    <w:rsid w:val="00C33072"/>
    <w:rsid w:val="00C344A1"/>
    <w:rsid w:val="00C3482F"/>
    <w:rsid w:val="00C40367"/>
    <w:rsid w:val="00C406EA"/>
    <w:rsid w:val="00C408CD"/>
    <w:rsid w:val="00C40CD6"/>
    <w:rsid w:val="00C40F2F"/>
    <w:rsid w:val="00C41877"/>
    <w:rsid w:val="00C41886"/>
    <w:rsid w:val="00C42AAD"/>
    <w:rsid w:val="00C44B4B"/>
    <w:rsid w:val="00C44D01"/>
    <w:rsid w:val="00C45034"/>
    <w:rsid w:val="00C4511F"/>
    <w:rsid w:val="00C466BE"/>
    <w:rsid w:val="00C473A3"/>
    <w:rsid w:val="00C54B07"/>
    <w:rsid w:val="00C5553B"/>
    <w:rsid w:val="00C57620"/>
    <w:rsid w:val="00C57838"/>
    <w:rsid w:val="00C578E1"/>
    <w:rsid w:val="00C57FAE"/>
    <w:rsid w:val="00C61104"/>
    <w:rsid w:val="00C61A31"/>
    <w:rsid w:val="00C61D54"/>
    <w:rsid w:val="00C62DAD"/>
    <w:rsid w:val="00C635BF"/>
    <w:rsid w:val="00C63FFF"/>
    <w:rsid w:val="00C6414D"/>
    <w:rsid w:val="00C6529A"/>
    <w:rsid w:val="00C65DF5"/>
    <w:rsid w:val="00C65FCD"/>
    <w:rsid w:val="00C6633D"/>
    <w:rsid w:val="00C66AB3"/>
    <w:rsid w:val="00C66AFC"/>
    <w:rsid w:val="00C66D59"/>
    <w:rsid w:val="00C71985"/>
    <w:rsid w:val="00C727FD"/>
    <w:rsid w:val="00C72CE3"/>
    <w:rsid w:val="00C73E40"/>
    <w:rsid w:val="00C73F91"/>
    <w:rsid w:val="00C740D1"/>
    <w:rsid w:val="00C74392"/>
    <w:rsid w:val="00C74A13"/>
    <w:rsid w:val="00C754C8"/>
    <w:rsid w:val="00C76A25"/>
    <w:rsid w:val="00C76B49"/>
    <w:rsid w:val="00C76E67"/>
    <w:rsid w:val="00C76FFD"/>
    <w:rsid w:val="00C771DF"/>
    <w:rsid w:val="00C777E4"/>
    <w:rsid w:val="00C77A4C"/>
    <w:rsid w:val="00C77B69"/>
    <w:rsid w:val="00C8008B"/>
    <w:rsid w:val="00C800ED"/>
    <w:rsid w:val="00C8193A"/>
    <w:rsid w:val="00C8214E"/>
    <w:rsid w:val="00C82EEF"/>
    <w:rsid w:val="00C835E3"/>
    <w:rsid w:val="00C83AB4"/>
    <w:rsid w:val="00C8453C"/>
    <w:rsid w:val="00C84D33"/>
    <w:rsid w:val="00C85070"/>
    <w:rsid w:val="00C857FB"/>
    <w:rsid w:val="00C85FCB"/>
    <w:rsid w:val="00C86082"/>
    <w:rsid w:val="00C862A2"/>
    <w:rsid w:val="00C866FE"/>
    <w:rsid w:val="00C86BE5"/>
    <w:rsid w:val="00C913E3"/>
    <w:rsid w:val="00C91967"/>
    <w:rsid w:val="00C92505"/>
    <w:rsid w:val="00C9442F"/>
    <w:rsid w:val="00C96A1A"/>
    <w:rsid w:val="00C96F4B"/>
    <w:rsid w:val="00CA0AB3"/>
    <w:rsid w:val="00CA1746"/>
    <w:rsid w:val="00CA2632"/>
    <w:rsid w:val="00CA2B39"/>
    <w:rsid w:val="00CA2C59"/>
    <w:rsid w:val="00CA3105"/>
    <w:rsid w:val="00CA37AF"/>
    <w:rsid w:val="00CA4464"/>
    <w:rsid w:val="00CA4A14"/>
    <w:rsid w:val="00CA4A49"/>
    <w:rsid w:val="00CA552B"/>
    <w:rsid w:val="00CA67DB"/>
    <w:rsid w:val="00CA765C"/>
    <w:rsid w:val="00CA7874"/>
    <w:rsid w:val="00CA7A77"/>
    <w:rsid w:val="00CA7D6D"/>
    <w:rsid w:val="00CB0F4F"/>
    <w:rsid w:val="00CB0FC8"/>
    <w:rsid w:val="00CB136F"/>
    <w:rsid w:val="00CB147D"/>
    <w:rsid w:val="00CB17A0"/>
    <w:rsid w:val="00CB2E68"/>
    <w:rsid w:val="00CB3247"/>
    <w:rsid w:val="00CB3C64"/>
    <w:rsid w:val="00CB3E58"/>
    <w:rsid w:val="00CB41F1"/>
    <w:rsid w:val="00CB6913"/>
    <w:rsid w:val="00CC0DC4"/>
    <w:rsid w:val="00CC0ED8"/>
    <w:rsid w:val="00CC15DE"/>
    <w:rsid w:val="00CC3331"/>
    <w:rsid w:val="00CC3343"/>
    <w:rsid w:val="00CC3D43"/>
    <w:rsid w:val="00CC456F"/>
    <w:rsid w:val="00CC51B0"/>
    <w:rsid w:val="00CC6C5D"/>
    <w:rsid w:val="00CC7DB8"/>
    <w:rsid w:val="00CC7F11"/>
    <w:rsid w:val="00CD2D9F"/>
    <w:rsid w:val="00CD3080"/>
    <w:rsid w:val="00CD55D4"/>
    <w:rsid w:val="00CD6B67"/>
    <w:rsid w:val="00CE0111"/>
    <w:rsid w:val="00CE0CBE"/>
    <w:rsid w:val="00CE2EA9"/>
    <w:rsid w:val="00CE3C0F"/>
    <w:rsid w:val="00CE476F"/>
    <w:rsid w:val="00CE666B"/>
    <w:rsid w:val="00CE7939"/>
    <w:rsid w:val="00CF01B4"/>
    <w:rsid w:val="00CF0AF4"/>
    <w:rsid w:val="00CF2357"/>
    <w:rsid w:val="00CF280D"/>
    <w:rsid w:val="00CF45A0"/>
    <w:rsid w:val="00CF6F52"/>
    <w:rsid w:val="00CF7FC7"/>
    <w:rsid w:val="00D0048F"/>
    <w:rsid w:val="00D010E7"/>
    <w:rsid w:val="00D0304D"/>
    <w:rsid w:val="00D046B1"/>
    <w:rsid w:val="00D07430"/>
    <w:rsid w:val="00D10051"/>
    <w:rsid w:val="00D10F89"/>
    <w:rsid w:val="00D13581"/>
    <w:rsid w:val="00D13B21"/>
    <w:rsid w:val="00D1444F"/>
    <w:rsid w:val="00D171D1"/>
    <w:rsid w:val="00D17536"/>
    <w:rsid w:val="00D2137D"/>
    <w:rsid w:val="00D21B9A"/>
    <w:rsid w:val="00D22D96"/>
    <w:rsid w:val="00D23560"/>
    <w:rsid w:val="00D2390D"/>
    <w:rsid w:val="00D23D42"/>
    <w:rsid w:val="00D25AA7"/>
    <w:rsid w:val="00D264E4"/>
    <w:rsid w:val="00D26753"/>
    <w:rsid w:val="00D2682D"/>
    <w:rsid w:val="00D2704E"/>
    <w:rsid w:val="00D309A9"/>
    <w:rsid w:val="00D30DDB"/>
    <w:rsid w:val="00D31BBE"/>
    <w:rsid w:val="00D344F9"/>
    <w:rsid w:val="00D347F3"/>
    <w:rsid w:val="00D357EF"/>
    <w:rsid w:val="00D36359"/>
    <w:rsid w:val="00D40B4C"/>
    <w:rsid w:val="00D40BA1"/>
    <w:rsid w:val="00D4165E"/>
    <w:rsid w:val="00D4188C"/>
    <w:rsid w:val="00D41D45"/>
    <w:rsid w:val="00D41D6F"/>
    <w:rsid w:val="00D42379"/>
    <w:rsid w:val="00D42A5F"/>
    <w:rsid w:val="00D42B49"/>
    <w:rsid w:val="00D442E6"/>
    <w:rsid w:val="00D45A1C"/>
    <w:rsid w:val="00D45B98"/>
    <w:rsid w:val="00D45EF2"/>
    <w:rsid w:val="00D46559"/>
    <w:rsid w:val="00D4661D"/>
    <w:rsid w:val="00D46F27"/>
    <w:rsid w:val="00D47231"/>
    <w:rsid w:val="00D50D38"/>
    <w:rsid w:val="00D50F82"/>
    <w:rsid w:val="00D50FA0"/>
    <w:rsid w:val="00D52275"/>
    <w:rsid w:val="00D5242D"/>
    <w:rsid w:val="00D52D68"/>
    <w:rsid w:val="00D536C8"/>
    <w:rsid w:val="00D56894"/>
    <w:rsid w:val="00D573FC"/>
    <w:rsid w:val="00D57F18"/>
    <w:rsid w:val="00D57FEA"/>
    <w:rsid w:val="00D6077E"/>
    <w:rsid w:val="00D61B05"/>
    <w:rsid w:val="00D62A78"/>
    <w:rsid w:val="00D6437B"/>
    <w:rsid w:val="00D64EFD"/>
    <w:rsid w:val="00D66021"/>
    <w:rsid w:val="00D6673A"/>
    <w:rsid w:val="00D66A25"/>
    <w:rsid w:val="00D671F7"/>
    <w:rsid w:val="00D671FC"/>
    <w:rsid w:val="00D707CC"/>
    <w:rsid w:val="00D718C1"/>
    <w:rsid w:val="00D724FF"/>
    <w:rsid w:val="00D73259"/>
    <w:rsid w:val="00D73764"/>
    <w:rsid w:val="00D73D6C"/>
    <w:rsid w:val="00D75E82"/>
    <w:rsid w:val="00D76246"/>
    <w:rsid w:val="00D77B13"/>
    <w:rsid w:val="00D80441"/>
    <w:rsid w:val="00D80442"/>
    <w:rsid w:val="00D82BA0"/>
    <w:rsid w:val="00D82D73"/>
    <w:rsid w:val="00D83C60"/>
    <w:rsid w:val="00D8530E"/>
    <w:rsid w:val="00D85389"/>
    <w:rsid w:val="00D868D7"/>
    <w:rsid w:val="00D87CCD"/>
    <w:rsid w:val="00D9041E"/>
    <w:rsid w:val="00D9085E"/>
    <w:rsid w:val="00D90CA0"/>
    <w:rsid w:val="00D91077"/>
    <w:rsid w:val="00D913DA"/>
    <w:rsid w:val="00D915A0"/>
    <w:rsid w:val="00D9165C"/>
    <w:rsid w:val="00D91983"/>
    <w:rsid w:val="00D93C42"/>
    <w:rsid w:val="00D95848"/>
    <w:rsid w:val="00D9786C"/>
    <w:rsid w:val="00D97AB3"/>
    <w:rsid w:val="00DA06B7"/>
    <w:rsid w:val="00DA0BF7"/>
    <w:rsid w:val="00DA186A"/>
    <w:rsid w:val="00DA2A84"/>
    <w:rsid w:val="00DA2FC4"/>
    <w:rsid w:val="00DA3DD3"/>
    <w:rsid w:val="00DA4941"/>
    <w:rsid w:val="00DA49A8"/>
    <w:rsid w:val="00DA4A29"/>
    <w:rsid w:val="00DB093F"/>
    <w:rsid w:val="00DB0F62"/>
    <w:rsid w:val="00DB1549"/>
    <w:rsid w:val="00DB1B30"/>
    <w:rsid w:val="00DB25DC"/>
    <w:rsid w:val="00DB335A"/>
    <w:rsid w:val="00DB4FA2"/>
    <w:rsid w:val="00DB546B"/>
    <w:rsid w:val="00DB54AC"/>
    <w:rsid w:val="00DB6068"/>
    <w:rsid w:val="00DB6671"/>
    <w:rsid w:val="00DB71C7"/>
    <w:rsid w:val="00DB7D40"/>
    <w:rsid w:val="00DC021B"/>
    <w:rsid w:val="00DC3B51"/>
    <w:rsid w:val="00DC4400"/>
    <w:rsid w:val="00DC6243"/>
    <w:rsid w:val="00DC68FA"/>
    <w:rsid w:val="00DC7554"/>
    <w:rsid w:val="00DD0C65"/>
    <w:rsid w:val="00DD1816"/>
    <w:rsid w:val="00DD18B3"/>
    <w:rsid w:val="00DD1B54"/>
    <w:rsid w:val="00DD342B"/>
    <w:rsid w:val="00DD3943"/>
    <w:rsid w:val="00DD5F4B"/>
    <w:rsid w:val="00DD71F8"/>
    <w:rsid w:val="00DD7809"/>
    <w:rsid w:val="00DE0456"/>
    <w:rsid w:val="00DE0ED8"/>
    <w:rsid w:val="00DE135A"/>
    <w:rsid w:val="00DE1897"/>
    <w:rsid w:val="00DE3406"/>
    <w:rsid w:val="00DE43EB"/>
    <w:rsid w:val="00DE5198"/>
    <w:rsid w:val="00DE540E"/>
    <w:rsid w:val="00DE631D"/>
    <w:rsid w:val="00DE6F5C"/>
    <w:rsid w:val="00DE6FE3"/>
    <w:rsid w:val="00DF01B4"/>
    <w:rsid w:val="00DF02F4"/>
    <w:rsid w:val="00DF087A"/>
    <w:rsid w:val="00DF35B0"/>
    <w:rsid w:val="00DF5E0C"/>
    <w:rsid w:val="00DF64D1"/>
    <w:rsid w:val="00DF6744"/>
    <w:rsid w:val="00DF7763"/>
    <w:rsid w:val="00DF7794"/>
    <w:rsid w:val="00DF7AF6"/>
    <w:rsid w:val="00E01018"/>
    <w:rsid w:val="00E0136B"/>
    <w:rsid w:val="00E01EAC"/>
    <w:rsid w:val="00E01FCC"/>
    <w:rsid w:val="00E02220"/>
    <w:rsid w:val="00E02492"/>
    <w:rsid w:val="00E026C1"/>
    <w:rsid w:val="00E0274D"/>
    <w:rsid w:val="00E037A1"/>
    <w:rsid w:val="00E03E4F"/>
    <w:rsid w:val="00E04768"/>
    <w:rsid w:val="00E05563"/>
    <w:rsid w:val="00E06121"/>
    <w:rsid w:val="00E06BE6"/>
    <w:rsid w:val="00E101FC"/>
    <w:rsid w:val="00E105EF"/>
    <w:rsid w:val="00E11E6F"/>
    <w:rsid w:val="00E13154"/>
    <w:rsid w:val="00E13909"/>
    <w:rsid w:val="00E1437D"/>
    <w:rsid w:val="00E14DAE"/>
    <w:rsid w:val="00E14F5F"/>
    <w:rsid w:val="00E15C5B"/>
    <w:rsid w:val="00E16316"/>
    <w:rsid w:val="00E167FA"/>
    <w:rsid w:val="00E16850"/>
    <w:rsid w:val="00E168EE"/>
    <w:rsid w:val="00E16CBD"/>
    <w:rsid w:val="00E1701D"/>
    <w:rsid w:val="00E17F6D"/>
    <w:rsid w:val="00E17F9A"/>
    <w:rsid w:val="00E223C9"/>
    <w:rsid w:val="00E226EF"/>
    <w:rsid w:val="00E2324E"/>
    <w:rsid w:val="00E26358"/>
    <w:rsid w:val="00E264A6"/>
    <w:rsid w:val="00E264F6"/>
    <w:rsid w:val="00E26865"/>
    <w:rsid w:val="00E26A11"/>
    <w:rsid w:val="00E26A70"/>
    <w:rsid w:val="00E26C61"/>
    <w:rsid w:val="00E275CF"/>
    <w:rsid w:val="00E278AE"/>
    <w:rsid w:val="00E302B6"/>
    <w:rsid w:val="00E3040B"/>
    <w:rsid w:val="00E30874"/>
    <w:rsid w:val="00E308FE"/>
    <w:rsid w:val="00E31985"/>
    <w:rsid w:val="00E31A1E"/>
    <w:rsid w:val="00E32613"/>
    <w:rsid w:val="00E343BD"/>
    <w:rsid w:val="00E35C58"/>
    <w:rsid w:val="00E3616E"/>
    <w:rsid w:val="00E365A1"/>
    <w:rsid w:val="00E36690"/>
    <w:rsid w:val="00E36992"/>
    <w:rsid w:val="00E415CF"/>
    <w:rsid w:val="00E42CDF"/>
    <w:rsid w:val="00E42D6A"/>
    <w:rsid w:val="00E43A56"/>
    <w:rsid w:val="00E43EF8"/>
    <w:rsid w:val="00E449AF"/>
    <w:rsid w:val="00E4594F"/>
    <w:rsid w:val="00E466B5"/>
    <w:rsid w:val="00E475E1"/>
    <w:rsid w:val="00E50055"/>
    <w:rsid w:val="00E5157F"/>
    <w:rsid w:val="00E5504E"/>
    <w:rsid w:val="00E57CC2"/>
    <w:rsid w:val="00E60109"/>
    <w:rsid w:val="00E604C3"/>
    <w:rsid w:val="00E621A4"/>
    <w:rsid w:val="00E62D3C"/>
    <w:rsid w:val="00E63671"/>
    <w:rsid w:val="00E636C0"/>
    <w:rsid w:val="00E647DF"/>
    <w:rsid w:val="00E660C1"/>
    <w:rsid w:val="00E7054E"/>
    <w:rsid w:val="00E70985"/>
    <w:rsid w:val="00E71EC3"/>
    <w:rsid w:val="00E71F61"/>
    <w:rsid w:val="00E72016"/>
    <w:rsid w:val="00E72799"/>
    <w:rsid w:val="00E732FC"/>
    <w:rsid w:val="00E74CB5"/>
    <w:rsid w:val="00E75841"/>
    <w:rsid w:val="00E759F0"/>
    <w:rsid w:val="00E80431"/>
    <w:rsid w:val="00E81915"/>
    <w:rsid w:val="00E82E2B"/>
    <w:rsid w:val="00E831BB"/>
    <w:rsid w:val="00E8378B"/>
    <w:rsid w:val="00E839B5"/>
    <w:rsid w:val="00E8435D"/>
    <w:rsid w:val="00E84D90"/>
    <w:rsid w:val="00E850E5"/>
    <w:rsid w:val="00E85227"/>
    <w:rsid w:val="00E86725"/>
    <w:rsid w:val="00E86BCC"/>
    <w:rsid w:val="00E87CC4"/>
    <w:rsid w:val="00E90DF7"/>
    <w:rsid w:val="00E9302C"/>
    <w:rsid w:val="00E943C8"/>
    <w:rsid w:val="00E9478F"/>
    <w:rsid w:val="00E94B50"/>
    <w:rsid w:val="00E978F7"/>
    <w:rsid w:val="00EA18ED"/>
    <w:rsid w:val="00EA2146"/>
    <w:rsid w:val="00EA270B"/>
    <w:rsid w:val="00EA362E"/>
    <w:rsid w:val="00EA3E5C"/>
    <w:rsid w:val="00EA423B"/>
    <w:rsid w:val="00EA6E09"/>
    <w:rsid w:val="00EA6EBF"/>
    <w:rsid w:val="00EA7D6B"/>
    <w:rsid w:val="00EB1597"/>
    <w:rsid w:val="00EB1B1F"/>
    <w:rsid w:val="00EB3809"/>
    <w:rsid w:val="00EB3AE4"/>
    <w:rsid w:val="00EB4263"/>
    <w:rsid w:val="00EB4485"/>
    <w:rsid w:val="00EB524E"/>
    <w:rsid w:val="00EB6168"/>
    <w:rsid w:val="00EC0F5E"/>
    <w:rsid w:val="00EC15A4"/>
    <w:rsid w:val="00EC1EDF"/>
    <w:rsid w:val="00EC26E2"/>
    <w:rsid w:val="00EC2AFE"/>
    <w:rsid w:val="00EC3A3F"/>
    <w:rsid w:val="00EC4448"/>
    <w:rsid w:val="00EC49DF"/>
    <w:rsid w:val="00EC62D0"/>
    <w:rsid w:val="00EC73CC"/>
    <w:rsid w:val="00EC7B9A"/>
    <w:rsid w:val="00ED1E08"/>
    <w:rsid w:val="00ED3171"/>
    <w:rsid w:val="00ED3DD4"/>
    <w:rsid w:val="00ED591F"/>
    <w:rsid w:val="00ED6784"/>
    <w:rsid w:val="00ED6B90"/>
    <w:rsid w:val="00EE021B"/>
    <w:rsid w:val="00EE055E"/>
    <w:rsid w:val="00EE0584"/>
    <w:rsid w:val="00EE0C2E"/>
    <w:rsid w:val="00EE119D"/>
    <w:rsid w:val="00EE4378"/>
    <w:rsid w:val="00EE487D"/>
    <w:rsid w:val="00EE4B2B"/>
    <w:rsid w:val="00EE70DB"/>
    <w:rsid w:val="00EE7D72"/>
    <w:rsid w:val="00EF029C"/>
    <w:rsid w:val="00EF0ABD"/>
    <w:rsid w:val="00EF1ABF"/>
    <w:rsid w:val="00EF1BF1"/>
    <w:rsid w:val="00EF2A66"/>
    <w:rsid w:val="00EF34C3"/>
    <w:rsid w:val="00EF43D3"/>
    <w:rsid w:val="00EF4C55"/>
    <w:rsid w:val="00EF5E03"/>
    <w:rsid w:val="00EF5F95"/>
    <w:rsid w:val="00EF639B"/>
    <w:rsid w:val="00EF6907"/>
    <w:rsid w:val="00EF6ABA"/>
    <w:rsid w:val="00EF6B05"/>
    <w:rsid w:val="00EF732F"/>
    <w:rsid w:val="00EF7B0B"/>
    <w:rsid w:val="00F01DBB"/>
    <w:rsid w:val="00F023E7"/>
    <w:rsid w:val="00F02D33"/>
    <w:rsid w:val="00F02E57"/>
    <w:rsid w:val="00F0349C"/>
    <w:rsid w:val="00F04B45"/>
    <w:rsid w:val="00F05288"/>
    <w:rsid w:val="00F053DA"/>
    <w:rsid w:val="00F0551D"/>
    <w:rsid w:val="00F06AE7"/>
    <w:rsid w:val="00F06FD5"/>
    <w:rsid w:val="00F070DE"/>
    <w:rsid w:val="00F07354"/>
    <w:rsid w:val="00F0758F"/>
    <w:rsid w:val="00F07F64"/>
    <w:rsid w:val="00F10271"/>
    <w:rsid w:val="00F10584"/>
    <w:rsid w:val="00F124FB"/>
    <w:rsid w:val="00F15A3A"/>
    <w:rsid w:val="00F16EFD"/>
    <w:rsid w:val="00F178A9"/>
    <w:rsid w:val="00F17D0D"/>
    <w:rsid w:val="00F2256D"/>
    <w:rsid w:val="00F22972"/>
    <w:rsid w:val="00F23594"/>
    <w:rsid w:val="00F23762"/>
    <w:rsid w:val="00F24CA1"/>
    <w:rsid w:val="00F251CC"/>
    <w:rsid w:val="00F2552D"/>
    <w:rsid w:val="00F321F5"/>
    <w:rsid w:val="00F32566"/>
    <w:rsid w:val="00F3340C"/>
    <w:rsid w:val="00F34404"/>
    <w:rsid w:val="00F347A2"/>
    <w:rsid w:val="00F35117"/>
    <w:rsid w:val="00F3557D"/>
    <w:rsid w:val="00F35758"/>
    <w:rsid w:val="00F36E44"/>
    <w:rsid w:val="00F374FB"/>
    <w:rsid w:val="00F37ABB"/>
    <w:rsid w:val="00F40DA8"/>
    <w:rsid w:val="00F412E9"/>
    <w:rsid w:val="00F4162F"/>
    <w:rsid w:val="00F426A0"/>
    <w:rsid w:val="00F4358D"/>
    <w:rsid w:val="00F447A2"/>
    <w:rsid w:val="00F449BF"/>
    <w:rsid w:val="00F45353"/>
    <w:rsid w:val="00F45931"/>
    <w:rsid w:val="00F45B71"/>
    <w:rsid w:val="00F46807"/>
    <w:rsid w:val="00F46951"/>
    <w:rsid w:val="00F47C1C"/>
    <w:rsid w:val="00F51501"/>
    <w:rsid w:val="00F54C7D"/>
    <w:rsid w:val="00F5734C"/>
    <w:rsid w:val="00F57389"/>
    <w:rsid w:val="00F5749C"/>
    <w:rsid w:val="00F57D00"/>
    <w:rsid w:val="00F63E44"/>
    <w:rsid w:val="00F645D6"/>
    <w:rsid w:val="00F65F1F"/>
    <w:rsid w:val="00F67028"/>
    <w:rsid w:val="00F67619"/>
    <w:rsid w:val="00F725FE"/>
    <w:rsid w:val="00F7295A"/>
    <w:rsid w:val="00F740A7"/>
    <w:rsid w:val="00F745D6"/>
    <w:rsid w:val="00F74BCF"/>
    <w:rsid w:val="00F761F5"/>
    <w:rsid w:val="00F7663F"/>
    <w:rsid w:val="00F76C44"/>
    <w:rsid w:val="00F776E1"/>
    <w:rsid w:val="00F7777D"/>
    <w:rsid w:val="00F77CAD"/>
    <w:rsid w:val="00F77EDA"/>
    <w:rsid w:val="00F81A17"/>
    <w:rsid w:val="00F82743"/>
    <w:rsid w:val="00F829EC"/>
    <w:rsid w:val="00F8358C"/>
    <w:rsid w:val="00F83E69"/>
    <w:rsid w:val="00F8481C"/>
    <w:rsid w:val="00F854F9"/>
    <w:rsid w:val="00F85DEE"/>
    <w:rsid w:val="00F85FA6"/>
    <w:rsid w:val="00F85FC4"/>
    <w:rsid w:val="00F86298"/>
    <w:rsid w:val="00F86742"/>
    <w:rsid w:val="00F87027"/>
    <w:rsid w:val="00F87B9E"/>
    <w:rsid w:val="00F87BB7"/>
    <w:rsid w:val="00F87EA9"/>
    <w:rsid w:val="00F90482"/>
    <w:rsid w:val="00F90618"/>
    <w:rsid w:val="00F91BD6"/>
    <w:rsid w:val="00F921F5"/>
    <w:rsid w:val="00F9243B"/>
    <w:rsid w:val="00F92B35"/>
    <w:rsid w:val="00F942C3"/>
    <w:rsid w:val="00F94A8A"/>
    <w:rsid w:val="00F9584D"/>
    <w:rsid w:val="00F95C6B"/>
    <w:rsid w:val="00F96882"/>
    <w:rsid w:val="00FA00DD"/>
    <w:rsid w:val="00FA0BE8"/>
    <w:rsid w:val="00FA0EDE"/>
    <w:rsid w:val="00FA18FF"/>
    <w:rsid w:val="00FA1A1D"/>
    <w:rsid w:val="00FA1ABE"/>
    <w:rsid w:val="00FA3367"/>
    <w:rsid w:val="00FA3666"/>
    <w:rsid w:val="00FA46F6"/>
    <w:rsid w:val="00FA4849"/>
    <w:rsid w:val="00FA4B7F"/>
    <w:rsid w:val="00FA5C5F"/>
    <w:rsid w:val="00FA6E6A"/>
    <w:rsid w:val="00FA74B0"/>
    <w:rsid w:val="00FB0E59"/>
    <w:rsid w:val="00FB1006"/>
    <w:rsid w:val="00FB2E79"/>
    <w:rsid w:val="00FB38C2"/>
    <w:rsid w:val="00FB397F"/>
    <w:rsid w:val="00FB4E55"/>
    <w:rsid w:val="00FB5945"/>
    <w:rsid w:val="00FB6D43"/>
    <w:rsid w:val="00FB73E7"/>
    <w:rsid w:val="00FB76C8"/>
    <w:rsid w:val="00FC00B3"/>
    <w:rsid w:val="00FC01C2"/>
    <w:rsid w:val="00FC0920"/>
    <w:rsid w:val="00FC140A"/>
    <w:rsid w:val="00FC1D28"/>
    <w:rsid w:val="00FC3938"/>
    <w:rsid w:val="00FC417E"/>
    <w:rsid w:val="00FC739D"/>
    <w:rsid w:val="00FC765B"/>
    <w:rsid w:val="00FC7818"/>
    <w:rsid w:val="00FD0630"/>
    <w:rsid w:val="00FD0FA1"/>
    <w:rsid w:val="00FD151B"/>
    <w:rsid w:val="00FD171A"/>
    <w:rsid w:val="00FD18ED"/>
    <w:rsid w:val="00FD1C6F"/>
    <w:rsid w:val="00FD2F22"/>
    <w:rsid w:val="00FD2F54"/>
    <w:rsid w:val="00FD406D"/>
    <w:rsid w:val="00FD507D"/>
    <w:rsid w:val="00FD5A4B"/>
    <w:rsid w:val="00FD5CD6"/>
    <w:rsid w:val="00FD63C5"/>
    <w:rsid w:val="00FD698C"/>
    <w:rsid w:val="00FE0D0A"/>
    <w:rsid w:val="00FE0EAB"/>
    <w:rsid w:val="00FE27CE"/>
    <w:rsid w:val="00FE3CA5"/>
    <w:rsid w:val="00FE4537"/>
    <w:rsid w:val="00FE4573"/>
    <w:rsid w:val="00FE52A1"/>
    <w:rsid w:val="00FE55AD"/>
    <w:rsid w:val="00FE7738"/>
    <w:rsid w:val="00FF0140"/>
    <w:rsid w:val="00FF028D"/>
    <w:rsid w:val="00FF0652"/>
    <w:rsid w:val="00FF0EA0"/>
    <w:rsid w:val="00FF24AD"/>
    <w:rsid w:val="00FF372E"/>
    <w:rsid w:val="00FF4838"/>
    <w:rsid w:val="00FF6147"/>
    <w:rsid w:val="0CD984E0"/>
    <w:rsid w:val="1477BD40"/>
    <w:rsid w:val="158C74C2"/>
    <w:rsid w:val="24F88664"/>
    <w:rsid w:val="3ABC4D34"/>
    <w:rsid w:val="454D51CE"/>
    <w:rsid w:val="47C812E3"/>
    <w:rsid w:val="51782EC3"/>
    <w:rsid w:val="554010A8"/>
    <w:rsid w:val="55FA482F"/>
    <w:rsid w:val="5808D64F"/>
    <w:rsid w:val="68FA2916"/>
    <w:rsid w:val="79D5871F"/>
    <w:rsid w:val="7A254E2A"/>
    <w:rsid w:val="7FEA2DC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DF95DD8"/>
  <w15:docId w15:val="{F98B2952-7F9A-4663-8EA9-BD578163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EC1"/>
    <w:pPr>
      <w:spacing w:line="276" w:lineRule="auto"/>
    </w:pPr>
    <w:rPr>
      <w:sz w:val="24"/>
      <w:szCs w:val="24"/>
    </w:rPr>
  </w:style>
  <w:style w:type="paragraph" w:styleId="Heading1">
    <w:name w:val="heading 1"/>
    <w:basedOn w:val="Normal"/>
    <w:next w:val="Normal"/>
    <w:link w:val="Heading1Char"/>
    <w:qFormat/>
    <w:rsid w:val="005B647F"/>
    <w:pPr>
      <w:spacing w:line="240" w:lineRule="auto"/>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paragraph" w:styleId="Heading4">
    <w:name w:val="heading 4"/>
    <w:basedOn w:val="Normal"/>
    <w:next w:val="Normal"/>
    <w:link w:val="Heading4Char"/>
    <w:uiPriority w:val="99"/>
    <w:unhideWhenUsed/>
    <w:qFormat/>
    <w:rsid w:val="00C02E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AB4CC9"/>
    <w:pPr>
      <w:tabs>
        <w:tab w:val="num" w:pos="1008"/>
      </w:tabs>
      <w:spacing w:before="240" w:after="60" w:line="259" w:lineRule="auto"/>
      <w:ind w:left="1008" w:hanging="1008"/>
      <w:outlineLvl w:val="4"/>
    </w:pPr>
    <w:rPr>
      <w:rFonts w:asciiTheme="minorHAnsi" w:eastAsiaTheme="minorHAnsi" w:hAnsiTheme="minorHAnsi" w:cstheme="minorBidi"/>
      <w:b/>
      <w:bCs/>
      <w:i/>
      <w:iCs/>
      <w:sz w:val="26"/>
      <w:szCs w:val="26"/>
    </w:rPr>
  </w:style>
  <w:style w:type="paragraph" w:styleId="Heading6">
    <w:name w:val="heading 6"/>
    <w:basedOn w:val="Normal"/>
    <w:next w:val="Normal"/>
    <w:link w:val="Heading6Char"/>
    <w:uiPriority w:val="99"/>
    <w:unhideWhenUsed/>
    <w:qFormat/>
    <w:rsid w:val="00AB4CC9"/>
    <w:pPr>
      <w:tabs>
        <w:tab w:val="num" w:pos="1152"/>
      </w:tabs>
      <w:spacing w:before="240" w:after="60" w:line="259" w:lineRule="auto"/>
      <w:ind w:left="1152" w:hanging="1152"/>
      <w:outlineLvl w:val="5"/>
    </w:pPr>
    <w:rPr>
      <w:rFonts w:asciiTheme="minorHAnsi" w:eastAsiaTheme="minorHAnsi" w:hAnsiTheme="minorHAnsi" w:cstheme="minorBidi"/>
      <w:b/>
      <w:bCs/>
      <w:sz w:val="22"/>
      <w:szCs w:val="22"/>
    </w:rPr>
  </w:style>
  <w:style w:type="paragraph" w:styleId="Heading7">
    <w:name w:val="heading 7"/>
    <w:basedOn w:val="Normal"/>
    <w:next w:val="Normal"/>
    <w:link w:val="Heading7Char"/>
    <w:uiPriority w:val="99"/>
    <w:unhideWhenUsed/>
    <w:qFormat/>
    <w:rsid w:val="00AB4CC9"/>
    <w:pPr>
      <w:tabs>
        <w:tab w:val="num" w:pos="1296"/>
      </w:tabs>
      <w:spacing w:before="240" w:after="60" w:line="259" w:lineRule="auto"/>
      <w:ind w:left="1296" w:hanging="1296"/>
      <w:outlineLvl w:val="6"/>
    </w:pPr>
    <w:rPr>
      <w:rFonts w:asciiTheme="minorHAnsi" w:eastAsiaTheme="minorHAnsi" w:hAnsiTheme="minorHAnsi" w:cstheme="minorBidi"/>
      <w:sz w:val="22"/>
    </w:rPr>
  </w:style>
  <w:style w:type="paragraph" w:styleId="Heading8">
    <w:name w:val="heading 8"/>
    <w:basedOn w:val="Normal"/>
    <w:next w:val="Normal"/>
    <w:link w:val="Heading8Char"/>
    <w:uiPriority w:val="99"/>
    <w:unhideWhenUsed/>
    <w:qFormat/>
    <w:rsid w:val="00AB4CC9"/>
    <w:pPr>
      <w:tabs>
        <w:tab w:val="num" w:pos="1440"/>
      </w:tabs>
      <w:spacing w:before="240" w:after="60" w:line="259" w:lineRule="auto"/>
      <w:ind w:left="1440" w:hanging="1440"/>
      <w:outlineLvl w:val="7"/>
    </w:pPr>
    <w:rPr>
      <w:rFonts w:asciiTheme="minorHAnsi" w:eastAsiaTheme="minorHAnsi" w:hAnsiTheme="minorHAnsi" w:cstheme="minorBidi"/>
      <w:i/>
      <w:iCs/>
      <w:sz w:val="22"/>
    </w:rPr>
  </w:style>
  <w:style w:type="paragraph" w:styleId="Heading9">
    <w:name w:val="heading 9"/>
    <w:basedOn w:val="Normal"/>
    <w:next w:val="Normal"/>
    <w:link w:val="Heading9Char"/>
    <w:uiPriority w:val="99"/>
    <w:unhideWhenUsed/>
    <w:qFormat/>
    <w:rsid w:val="00AB4CC9"/>
    <w:pPr>
      <w:tabs>
        <w:tab w:val="num" w:pos="1584"/>
      </w:tabs>
      <w:spacing w:before="240" w:after="60" w:line="259" w:lineRule="auto"/>
      <w:ind w:left="1584" w:hanging="1584"/>
      <w:outlineLvl w:val="8"/>
    </w:pPr>
    <w:rPr>
      <w:rFonts w:ascii="Arial" w:hAnsi="Arial" w:eastAsiaTheme="min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B647F"/>
    <w:rPr>
      <w:b/>
      <w:sz w:val="24"/>
      <w:szCs w:val="24"/>
    </w:rPr>
  </w:style>
  <w:style w:type="character" w:customStyle="1" w:styleId="Heading3Char">
    <w:name w:val="Heading 3 Char"/>
    <w:link w:val="Heading3"/>
    <w:rsid w:val="00C800ED"/>
    <w:rPr>
      <w:sz w:val="24"/>
      <w:szCs w:val="24"/>
      <w:u w:val="single"/>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qFormat/>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link w:val="FooterChar"/>
    <w:uiPriority w:val="99"/>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aliases w:val="RDB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exact"/>
      <w:jc w:val="both"/>
    </w:pPr>
  </w:style>
  <w:style w:type="paragraph" w:styleId="ListParagraph">
    <w:name w:val="List Paragraph"/>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link w:val="DefaultChar"/>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1">
    <w:name w:val="Mention1"/>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after="12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1"/>
    <w:rsid w:val="00AB17CD"/>
    <w:rPr>
      <w:rFonts w:ascii="Arial" w:eastAsia="Calibri" w:hAnsi="Arial"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pPr>
      <w:spacing w:line="240" w:lineRule="auto"/>
    </w:pPr>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 w:type="character" w:customStyle="1" w:styleId="cf01">
    <w:name w:val="cf01"/>
    <w:basedOn w:val="DefaultParagraphFont"/>
    <w:rsid w:val="009B0644"/>
    <w:rPr>
      <w:rFonts w:ascii="Segoe UI" w:hAnsi="Segoe UI" w:cs="Segoe UI" w:hint="default"/>
      <w:sz w:val="18"/>
      <w:szCs w:val="18"/>
    </w:rPr>
  </w:style>
  <w:style w:type="character" w:customStyle="1" w:styleId="DefaultChar">
    <w:name w:val="Default Char"/>
    <w:link w:val="Default"/>
    <w:rsid w:val="00057FF5"/>
    <w:rPr>
      <w:rFonts w:ascii="Arial" w:hAnsi="Arial" w:cs="Arial"/>
      <w:color w:val="000000"/>
      <w:sz w:val="24"/>
      <w:szCs w:val="24"/>
    </w:rPr>
  </w:style>
  <w:style w:type="paragraph" w:customStyle="1" w:styleId="Table">
    <w:name w:val="Table"/>
    <w:basedOn w:val="Normal"/>
    <w:next w:val="Normal"/>
    <w:link w:val="TableChar"/>
    <w:rsid w:val="00C02E7E"/>
    <w:pPr>
      <w:numPr>
        <w:numId w:val="3"/>
      </w:numPr>
      <w:tabs>
        <w:tab w:val="num" w:pos="1440"/>
        <w:tab w:val="clear" w:pos="6480"/>
      </w:tabs>
      <w:spacing w:line="240" w:lineRule="auto"/>
      <w:ind w:left="720"/>
      <w:jc w:val="center"/>
    </w:pPr>
    <w:rPr>
      <w:b/>
      <w:szCs w:val="20"/>
    </w:rPr>
  </w:style>
  <w:style w:type="character" w:customStyle="1" w:styleId="TableChar">
    <w:name w:val="Table Char"/>
    <w:link w:val="Table"/>
    <w:rsid w:val="00C02E7E"/>
    <w:rPr>
      <w:b/>
      <w:sz w:val="24"/>
    </w:rPr>
  </w:style>
  <w:style w:type="table" w:customStyle="1" w:styleId="RDBgrid1">
    <w:name w:val="RDBgrid1"/>
    <w:basedOn w:val="TableNormal"/>
    <w:next w:val="TableGrid"/>
    <w:uiPriority w:val="39"/>
    <w:rsid w:val="00C0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Bgrid11">
    <w:name w:val="RDBgrid11"/>
    <w:basedOn w:val="TableNormal"/>
    <w:next w:val="TableGrid"/>
    <w:uiPriority w:val="39"/>
    <w:rsid w:val="00C0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link w:val="FigureChar"/>
    <w:qFormat/>
    <w:rsid w:val="00C02E7E"/>
    <w:pPr>
      <w:numPr>
        <w:numId w:val="4"/>
      </w:numPr>
      <w:tabs>
        <w:tab w:val="num" w:pos="1440"/>
        <w:tab w:val="clear" w:pos="4680"/>
      </w:tabs>
      <w:spacing w:after="160" w:line="259" w:lineRule="auto"/>
      <w:ind w:left="720"/>
      <w:jc w:val="center"/>
    </w:pPr>
    <w:rPr>
      <w:rFonts w:asciiTheme="minorHAnsi" w:eastAsiaTheme="minorHAnsi" w:hAnsiTheme="minorHAnsi" w:cstheme="minorBidi"/>
      <w:b/>
      <w:sz w:val="22"/>
      <w:szCs w:val="22"/>
    </w:rPr>
  </w:style>
  <w:style w:type="character" w:customStyle="1" w:styleId="FigureChar">
    <w:name w:val="Figure Char"/>
    <w:link w:val="Figure"/>
    <w:rsid w:val="00C02E7E"/>
    <w:rPr>
      <w:rFonts w:asciiTheme="minorHAnsi" w:eastAsiaTheme="minorHAnsi" w:hAnsiTheme="minorHAnsi" w:cstheme="minorBidi"/>
      <w:b/>
      <w:sz w:val="22"/>
      <w:szCs w:val="22"/>
    </w:rPr>
  </w:style>
  <w:style w:type="character" w:customStyle="1" w:styleId="fontstyle01">
    <w:name w:val="fontstyle01"/>
    <w:basedOn w:val="DefaultParagraphFont"/>
    <w:rsid w:val="00C02E7E"/>
    <w:rPr>
      <w:rFonts w:ascii="TimesNewRomanPSMT" w:hAnsi="TimesNewRomanPSMT" w:hint="default"/>
      <w:b w:val="0"/>
      <w:bCs w:val="0"/>
      <w:i w:val="0"/>
      <w:iCs w:val="0"/>
      <w:color w:val="000000"/>
      <w:sz w:val="24"/>
      <w:szCs w:val="24"/>
    </w:rPr>
  </w:style>
  <w:style w:type="character" w:customStyle="1" w:styleId="Heading4Char">
    <w:name w:val="Heading 4 Char"/>
    <w:basedOn w:val="DefaultParagraphFont"/>
    <w:link w:val="Heading4"/>
    <w:semiHidden/>
    <w:rsid w:val="00C02E7E"/>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C02E7E"/>
    <w:rPr>
      <w:sz w:val="24"/>
      <w:szCs w:val="24"/>
    </w:rPr>
  </w:style>
  <w:style w:type="paragraph" w:customStyle="1" w:styleId="APAHeadingLevel2">
    <w:name w:val="APA Heading Level 2"/>
    <w:basedOn w:val="Normal"/>
    <w:uiPriority w:val="99"/>
    <w:qFormat/>
    <w:rsid w:val="00C02E7E"/>
    <w:pPr>
      <w:spacing w:line="480" w:lineRule="auto"/>
      <w:outlineLvl w:val="1"/>
    </w:pPr>
    <w:rPr>
      <w:b/>
      <w:szCs w:val="20"/>
    </w:rPr>
  </w:style>
  <w:style w:type="table" w:customStyle="1" w:styleId="TableGrid1">
    <w:name w:val="Table Grid1"/>
    <w:basedOn w:val="TableNormal"/>
    <w:next w:val="TableGrid"/>
    <w:uiPriority w:val="59"/>
    <w:rsid w:val="00924C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23594"/>
  </w:style>
  <w:style w:type="paragraph" w:styleId="NoSpacing">
    <w:name w:val="No Spacing"/>
    <w:uiPriority w:val="1"/>
    <w:qFormat/>
    <w:rsid w:val="00D95848"/>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9"/>
    <w:rsid w:val="00AB4CC9"/>
    <w:rPr>
      <w:rFonts w:asciiTheme="minorHAnsi" w:eastAsiaTheme="minorHAnsi" w:hAnsiTheme="minorHAnsi" w:cstheme="minorBidi"/>
      <w:b/>
      <w:bCs/>
      <w:i/>
      <w:iCs/>
      <w:sz w:val="26"/>
      <w:szCs w:val="26"/>
    </w:rPr>
  </w:style>
  <w:style w:type="character" w:customStyle="1" w:styleId="Heading6Char">
    <w:name w:val="Heading 6 Char"/>
    <w:basedOn w:val="DefaultParagraphFont"/>
    <w:link w:val="Heading6"/>
    <w:uiPriority w:val="99"/>
    <w:rsid w:val="00AB4CC9"/>
    <w:rPr>
      <w:rFonts w:asciiTheme="minorHAnsi" w:eastAsiaTheme="minorHAnsi" w:hAnsiTheme="minorHAnsi" w:cstheme="minorBidi"/>
      <w:b/>
      <w:bCs/>
      <w:sz w:val="22"/>
      <w:szCs w:val="22"/>
    </w:rPr>
  </w:style>
  <w:style w:type="character" w:customStyle="1" w:styleId="Heading7Char">
    <w:name w:val="Heading 7 Char"/>
    <w:basedOn w:val="DefaultParagraphFont"/>
    <w:link w:val="Heading7"/>
    <w:uiPriority w:val="99"/>
    <w:rsid w:val="00AB4CC9"/>
    <w:rPr>
      <w:rFonts w:asciiTheme="minorHAnsi" w:eastAsiaTheme="minorHAnsi" w:hAnsiTheme="minorHAnsi" w:cstheme="minorBidi"/>
      <w:sz w:val="22"/>
      <w:szCs w:val="24"/>
    </w:rPr>
  </w:style>
  <w:style w:type="character" w:customStyle="1" w:styleId="Heading8Char">
    <w:name w:val="Heading 8 Char"/>
    <w:basedOn w:val="DefaultParagraphFont"/>
    <w:link w:val="Heading8"/>
    <w:uiPriority w:val="99"/>
    <w:rsid w:val="00AB4CC9"/>
    <w:rPr>
      <w:rFonts w:asciiTheme="minorHAnsi" w:eastAsiaTheme="minorHAnsi" w:hAnsiTheme="minorHAnsi" w:cstheme="minorBidi"/>
      <w:i/>
      <w:iCs/>
      <w:sz w:val="22"/>
      <w:szCs w:val="24"/>
    </w:rPr>
  </w:style>
  <w:style w:type="character" w:customStyle="1" w:styleId="Heading9Char">
    <w:name w:val="Heading 9 Char"/>
    <w:basedOn w:val="DefaultParagraphFont"/>
    <w:link w:val="Heading9"/>
    <w:uiPriority w:val="99"/>
    <w:rsid w:val="00AB4CC9"/>
    <w:rPr>
      <w:rFonts w:ascii="Arial" w:hAnsi="Arial" w:eastAsia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3E38FDB8E604D8658DCE4CBFB4FE7" ma:contentTypeVersion="15" ma:contentTypeDescription="Create a new document." ma:contentTypeScope="" ma:versionID="edab98b7f69b74678365b0f4a0405ebe">
  <xsd:schema xmlns:xsd="http://www.w3.org/2001/XMLSchema" xmlns:xs="http://www.w3.org/2001/XMLSchema" xmlns:p="http://schemas.microsoft.com/office/2006/metadata/properties" xmlns:ns2="49f8bc21-440e-4a57-9d86-6cd1d173d9e8" xmlns:ns3="e63536a5-5169-460c-a60f-78b4ca82d9f8" targetNamespace="http://schemas.microsoft.com/office/2006/metadata/properties" ma:root="true" ma:fieldsID="01412ecd9e99f33b4de164a93aa322cc" ns2:_="" ns3:_="">
    <xsd:import namespace="49f8bc21-440e-4a57-9d86-6cd1d173d9e8"/>
    <xsd:import namespace="e63536a5-5169-460c-a60f-78b4ca82d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bc21-440e-4a57-9d86-6cd1d173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536a5-5169-460c-a60f-78b4ca82d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5693f0-ac95-49e6-bd97-b58a86e9742f}" ma:internalName="TaxCatchAll" ma:showField="CatchAllData" ma:web="e63536a5-5169-460c-a60f-78b4ca82d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f8bc21-440e-4a57-9d86-6cd1d173d9e8">
      <Terms xmlns="http://schemas.microsoft.com/office/infopath/2007/PartnerControls"/>
    </lcf76f155ced4ddcb4097134ff3c332f>
    <TaxCatchAll xmlns="e63536a5-5169-460c-a60f-78b4ca82d9f8" xsi:nil="true"/>
    <SharedWithUsers xmlns="e63536a5-5169-460c-a60f-78b4ca82d9f8">
      <UserInfo>
        <DisplayName>Dennis Thomas</DisplayName>
        <AccountId>12</AccountId>
        <AccountType/>
      </UserInfo>
    </SharedWithUsers>
  </documentManagement>
</p:properties>
</file>

<file path=customXml/itemProps1.xml><?xml version="1.0" encoding="utf-8"?>
<ds:datastoreItem xmlns:ds="http://schemas.openxmlformats.org/officeDocument/2006/customXml" ds:itemID="{AC9C9B84-EDE4-4EF3-9943-A19F65156B32}">
  <ds:schemaRefs>
    <ds:schemaRef ds:uri="http://schemas.openxmlformats.org/officeDocument/2006/bibliography"/>
  </ds:schemaRefs>
</ds:datastoreItem>
</file>

<file path=customXml/itemProps2.xml><?xml version="1.0" encoding="utf-8"?>
<ds:datastoreItem xmlns:ds="http://schemas.openxmlformats.org/officeDocument/2006/customXml" ds:itemID="{5310BA3A-277E-4E3D-BF07-F4580A0E8EAA}">
  <ds:schemaRefs>
    <ds:schemaRef ds:uri="http://schemas.microsoft.com/sharepoint/v3/contenttype/forms"/>
  </ds:schemaRefs>
</ds:datastoreItem>
</file>

<file path=customXml/itemProps3.xml><?xml version="1.0" encoding="utf-8"?>
<ds:datastoreItem xmlns:ds="http://schemas.openxmlformats.org/officeDocument/2006/customXml" ds:itemID="{B7AEF9E9-00D4-4584-97E0-CB42570C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8bc21-440e-4a57-9d86-6cd1d173d9e8"/>
    <ds:schemaRef ds:uri="e63536a5-5169-460c-a60f-78b4ca82d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B0A89-7731-4670-927A-854816F74272}">
  <ds:schemaRefs>
    <ds:schemaRef ds:uri="http://schemas.microsoft.com/office/2006/metadata/properties"/>
    <ds:schemaRef ds:uri="http://schemas.microsoft.com/office/infopath/2007/PartnerControls"/>
    <ds:schemaRef ds:uri="49f8bc21-440e-4a57-9d86-6cd1d173d9e8"/>
    <ds:schemaRef ds:uri="e63536a5-5169-460c-a60f-78b4ca82d9f8"/>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7461</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NRS Part B May 2024 (5-9)</vt:lpstr>
    </vt:vector>
  </TitlesOfParts>
  <Company>NORC at the University of Chicago</Company>
  <LinksUpToDate>false</LinksUpToDate>
  <CharactersWithSpaces>49896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 Part B May 2024 (5-9)</dc:title>
  <dc:creator>Atkins, Randolph (NHTSA)</dc:creator>
  <cp:lastModifiedBy>Jenna Darrah</cp:lastModifiedBy>
  <cp:revision>18</cp:revision>
  <cp:lastPrinted>2023-09-01T00:47:00Z</cp:lastPrinted>
  <dcterms:created xsi:type="dcterms:W3CDTF">2024-10-18T15:13:00Z</dcterms:created>
  <dcterms:modified xsi:type="dcterms:W3CDTF">2025-01-28T20:42:00Z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0x010100B873E38FDB8E604D8658DCE4CBFB4FE7</vt:lpwstr>
  </property>
  <property fmtid="{D5CDD505-2E9C-101B-9397-08002B2CF9AE}" pid="3" name="MediaServiceImageTags">
    <vt:lpwstr/>
  </property>
  <property fmtid="{D5CDD505-2E9C-101B-9397-08002B2CF9AE}" pid="4" name="MSIP_Label_defa4170-0d19-0005-0004-bc88714345d2_ActionId">
    <vt:lpwstr>9dcf67a0-1867-4acd-8ede-1d24e951bd17</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2023-05-23T20:07:36Z</vt:lpwstr>
  </property>
  <property fmtid="{D5CDD505-2E9C-101B-9397-08002B2CF9AE}" pid="10" name="MSIP_Label_defa4170-0d19-0005-0004-bc88714345d2_SiteId">
    <vt:lpwstr>fe79eafd-73e6-490d-b9d0-8751013c2b91</vt:lpwstr>
  </property>
</Properties>
</file>