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1CC6" w:rsidRPr="007B5553" w:rsidP="009F708B" w14:paraId="3B4E3A1F" w14:textId="095DA22F">
      <w:pPr>
        <w:pStyle w:val="Heading1"/>
        <w:spacing w:before="120" w:after="0"/>
        <w:jc w:val="center"/>
      </w:pPr>
      <w:bookmarkStart w:id="0" w:name="_Ref510533456"/>
      <w:bookmarkStart w:id="1" w:name="_Toc125447290"/>
      <w:bookmarkStart w:id="2" w:name="_Toc126394118"/>
      <w:r>
        <w:t>I</w:t>
      </w:r>
      <w:r w:rsidR="009F708B">
        <w:t xml:space="preserve">nformation Collection Request </w:t>
      </w:r>
      <w:r w:rsidRPr="007B5553">
        <w:t>Supporting Statement</w:t>
      </w:r>
      <w:r w:rsidRPr="007B5553" w:rsidR="007B5553">
        <w:t>:</w:t>
      </w:r>
      <w:r w:rsidRPr="007B5553">
        <w:t xml:space="preserve"> </w:t>
      </w:r>
      <w:r w:rsidR="009F708B">
        <w:t>Part</w:t>
      </w:r>
      <w:r w:rsidRPr="007B5553">
        <w:t xml:space="preserve"> A</w:t>
      </w:r>
      <w:bookmarkEnd w:id="0"/>
    </w:p>
    <w:p w:rsidR="008D2D4D" w:rsidP="00A92902" w14:paraId="22522F4C" w14:textId="60A81723">
      <w:pPr>
        <w:jc w:val="center"/>
        <w:rPr>
          <w:b/>
          <w:i/>
          <w:iCs/>
        </w:rPr>
      </w:pPr>
      <w:r>
        <w:rPr>
          <w:b/>
          <w:i/>
          <w:iCs/>
        </w:rPr>
        <w:t>National Roadside S</w:t>
      </w:r>
      <w:r w:rsidR="00DC29C4">
        <w:rPr>
          <w:b/>
          <w:i/>
          <w:iCs/>
        </w:rPr>
        <w:t>urve</w:t>
      </w:r>
      <w:r>
        <w:rPr>
          <w:b/>
          <w:i/>
          <w:iCs/>
        </w:rPr>
        <w:t>y</w:t>
      </w:r>
      <w:bookmarkEnd w:id="1"/>
      <w:bookmarkEnd w:id="2"/>
      <w:r w:rsidR="001C1F2C">
        <w:rPr>
          <w:b/>
          <w:i/>
          <w:iCs/>
        </w:rPr>
        <w:t xml:space="preserve"> of Alcohol and Drug Prevalence of Road Users: </w:t>
      </w:r>
      <w:r w:rsidR="00AA74F2">
        <w:rPr>
          <w:b/>
          <w:i/>
          <w:iCs/>
        </w:rPr>
        <w:t>2025</w:t>
      </w:r>
    </w:p>
    <w:p w:rsidR="00711B53" w:rsidRPr="00A35F66" w:rsidP="00A92902" w14:paraId="03498F6B" w14:textId="0C2963D3">
      <w:pPr>
        <w:jc w:val="center"/>
        <w:rPr>
          <w:b/>
        </w:rPr>
      </w:pPr>
      <w:r w:rsidRPr="00A35F66">
        <w:rPr>
          <w:b/>
        </w:rPr>
        <w:t>OMB Control Number: 2127- new</w:t>
      </w:r>
    </w:p>
    <w:p w:rsidR="007925C9" w:rsidRPr="00CB136F" w:rsidP="007925C9" w14:paraId="7B8D69EA" w14:textId="12649BAB">
      <w:pPr>
        <w:pStyle w:val="Default"/>
        <w:rPr>
          <w:rFonts w:ascii="Times New Roman" w:hAnsi="Times New Roman" w:cs="Times New Roman"/>
          <w:bdr w:val="none" w:sz="0" w:space="0" w:color="auto" w:frame="1"/>
          <w:shd w:val="clear" w:color="auto" w:fill="FFFFFF"/>
        </w:rPr>
      </w:pPr>
      <w:r w:rsidRPr="00CB136F">
        <w:rPr>
          <w:rFonts w:ascii="Times New Roman" w:hAnsi="Times New Roman" w:cs="Times New Roman"/>
          <w:i/>
        </w:rPr>
        <w:t>Abstract:</w:t>
      </w:r>
      <w:r>
        <w:rPr>
          <w:rStyle w:val="FootnoteReference"/>
          <w:rFonts w:ascii="Times New Roman" w:hAnsi="Times New Roman" w:cs="Times New Roman"/>
        </w:rPr>
        <w:footnoteReference w:id="3"/>
      </w:r>
      <w:r w:rsidRPr="00CB136F">
        <w:rPr>
          <w:rFonts w:ascii="Times New Roman" w:hAnsi="Times New Roman" w:cs="Times New Roman"/>
        </w:rPr>
        <w:t xml:space="preserve"> </w:t>
      </w:r>
      <w:bookmarkStart w:id="3" w:name="_Toc6900675"/>
      <w:r w:rsidR="004179E8">
        <w:rPr>
          <w:rFonts w:ascii="Times New Roman" w:hAnsi="Times New Roman" w:cs="Times New Roman"/>
        </w:rPr>
        <w:t xml:space="preserve">National </w:t>
      </w:r>
      <w:r w:rsidRPr="00CB136F">
        <w:rPr>
          <w:rFonts w:ascii="Times New Roman" w:hAnsi="Times New Roman" w:cs="Times New Roman"/>
        </w:rPr>
        <w:t>Roadside</w:t>
      </w:r>
      <w:r w:rsidRPr="00CB136F">
        <w:rPr>
          <w:rFonts w:ascii="Times New Roman" w:hAnsi="Times New Roman" w:cs="Times New Roman"/>
          <w:sz w:val="23"/>
          <w:szCs w:val="23"/>
        </w:rPr>
        <w:t xml:space="preserve"> </w:t>
      </w:r>
      <w:r w:rsidR="004179E8">
        <w:rPr>
          <w:rFonts w:ascii="Times New Roman" w:hAnsi="Times New Roman" w:cs="Times New Roman"/>
          <w:sz w:val="23"/>
          <w:szCs w:val="23"/>
        </w:rPr>
        <w:t>S</w:t>
      </w:r>
      <w:r w:rsidRPr="00CB136F">
        <w:rPr>
          <w:rFonts w:ascii="Times New Roman" w:hAnsi="Times New Roman" w:cs="Times New Roman"/>
          <w:sz w:val="23"/>
          <w:szCs w:val="23"/>
        </w:rPr>
        <w:t>urveys</w:t>
      </w:r>
      <w:r w:rsidR="004179E8">
        <w:rPr>
          <w:rFonts w:ascii="Times New Roman" w:hAnsi="Times New Roman" w:cs="Times New Roman"/>
          <w:sz w:val="23"/>
          <w:szCs w:val="23"/>
        </w:rPr>
        <w:t xml:space="preserve"> (NRSs)</w:t>
      </w:r>
      <w:r w:rsidRPr="00CB136F">
        <w:rPr>
          <w:rFonts w:ascii="Times New Roman" w:hAnsi="Times New Roman" w:cs="Times New Roman"/>
          <w:sz w:val="23"/>
          <w:szCs w:val="23"/>
        </w:rPr>
        <w:t xml:space="preserve"> </w:t>
      </w:r>
      <w:r w:rsidR="00275FE8">
        <w:rPr>
          <w:rFonts w:ascii="Times New Roman" w:hAnsi="Times New Roman" w:cs="Times New Roman"/>
          <w:sz w:val="23"/>
          <w:szCs w:val="23"/>
        </w:rPr>
        <w:t>are</w:t>
      </w:r>
      <w:r w:rsidRPr="00CB136F">
        <w:rPr>
          <w:rFonts w:ascii="Times New Roman" w:hAnsi="Times New Roman" w:cs="Times New Roman"/>
          <w:sz w:val="23"/>
          <w:szCs w:val="23"/>
        </w:rPr>
        <w:t xml:space="preserve"> a central tool in understanding alcohol</w:t>
      </w:r>
      <w:r w:rsidR="00097189">
        <w:rPr>
          <w:rFonts w:ascii="Times New Roman" w:hAnsi="Times New Roman" w:cs="Times New Roman"/>
          <w:sz w:val="23"/>
          <w:szCs w:val="23"/>
        </w:rPr>
        <w:t>-</w:t>
      </w:r>
      <w:r w:rsidRPr="00CB136F">
        <w:rPr>
          <w:rFonts w:ascii="Times New Roman" w:hAnsi="Times New Roman" w:cs="Times New Roman"/>
          <w:sz w:val="23"/>
          <w:szCs w:val="23"/>
        </w:rPr>
        <w:t xml:space="preserve"> and drug-i</w:t>
      </w:r>
      <w:r w:rsidR="00E43141">
        <w:rPr>
          <w:rFonts w:ascii="Times New Roman" w:hAnsi="Times New Roman" w:cs="Times New Roman"/>
          <w:sz w:val="23"/>
          <w:szCs w:val="23"/>
        </w:rPr>
        <w:t>nvolved</w:t>
      </w:r>
      <w:r w:rsidRPr="00CB136F">
        <w:rPr>
          <w:rFonts w:ascii="Times New Roman" w:hAnsi="Times New Roman" w:cs="Times New Roman"/>
          <w:sz w:val="23"/>
          <w:szCs w:val="23"/>
        </w:rPr>
        <w:t xml:space="preserve"> driving. </w:t>
      </w:r>
      <w:r w:rsidRPr="00CB136F" w:rsidR="005C5E13">
        <w:rPr>
          <w:rFonts w:ascii="Times New Roman" w:hAnsi="Times New Roman" w:cs="Times New Roman"/>
          <w:bdr w:val="none" w:sz="0" w:space="0" w:color="auto" w:frame="1"/>
          <w:shd w:val="clear" w:color="auto" w:fill="FFFFFF"/>
        </w:rPr>
        <w:t>Starting in 1973,</w:t>
      </w:r>
      <w:r>
        <w:rPr>
          <w:rStyle w:val="FootnoteReference"/>
          <w:rFonts w:ascii="Times New Roman" w:hAnsi="Times New Roman" w:cs="Times New Roman"/>
          <w:bdr w:val="none" w:sz="0" w:space="0" w:color="auto" w:frame="1"/>
          <w:shd w:val="clear" w:color="auto" w:fill="FFFFFF"/>
        </w:rPr>
        <w:footnoteReference w:id="4"/>
      </w:r>
      <w:r w:rsidRPr="00CB136F" w:rsidR="005C5E13">
        <w:rPr>
          <w:rFonts w:ascii="Times New Roman" w:hAnsi="Times New Roman" w:cs="Times New Roman"/>
          <w:bdr w:val="none" w:sz="0" w:space="0" w:color="auto" w:frame="1"/>
          <w:shd w:val="clear" w:color="auto" w:fill="FFFFFF"/>
        </w:rPr>
        <w:t xml:space="preserve"> roadside surveys</w:t>
      </w:r>
      <w:r w:rsidR="00BA5BAB">
        <w:rPr>
          <w:rFonts w:ascii="Times New Roman" w:hAnsi="Times New Roman" w:cs="Times New Roman"/>
          <w:bdr w:val="none" w:sz="0" w:space="0" w:color="auto" w:frame="1"/>
          <w:shd w:val="clear" w:color="auto" w:fill="FFFFFF"/>
        </w:rPr>
        <w:t xml:space="preserve"> of drivers on the road</w:t>
      </w:r>
      <w:r w:rsidRPr="00CB136F" w:rsidR="005C5E13">
        <w:rPr>
          <w:rFonts w:ascii="Times New Roman" w:hAnsi="Times New Roman" w:cs="Times New Roman"/>
          <w:bdr w:val="none" w:sz="0" w:space="0" w:color="auto" w:frame="1"/>
          <w:shd w:val="clear" w:color="auto" w:fill="FFFFFF"/>
        </w:rPr>
        <w:t xml:space="preserve"> have estimate</w:t>
      </w:r>
      <w:r w:rsidR="000B1163">
        <w:rPr>
          <w:rFonts w:ascii="Times New Roman" w:hAnsi="Times New Roman" w:cs="Times New Roman"/>
          <w:bdr w:val="none" w:sz="0" w:space="0" w:color="auto" w:frame="1"/>
          <w:shd w:val="clear" w:color="auto" w:fill="FFFFFF"/>
        </w:rPr>
        <w:t>d</w:t>
      </w:r>
      <w:r w:rsidRPr="00CB136F" w:rsidR="005C5E13">
        <w:rPr>
          <w:rFonts w:ascii="Times New Roman" w:hAnsi="Times New Roman" w:cs="Times New Roman"/>
          <w:bdr w:val="none" w:sz="0" w:space="0" w:color="auto" w:frame="1"/>
          <w:shd w:val="clear" w:color="auto" w:fill="FFFFFF"/>
        </w:rPr>
        <w:t xml:space="preserve"> the population</w:t>
      </w:r>
      <w:r w:rsidR="0077173A">
        <w:rPr>
          <w:rFonts w:ascii="Times New Roman" w:hAnsi="Times New Roman" w:cs="Times New Roman"/>
          <w:bdr w:val="none" w:sz="0" w:space="0" w:color="auto" w:frame="1"/>
          <w:shd w:val="clear" w:color="auto" w:fill="FFFFFF"/>
        </w:rPr>
        <w:t>-</w:t>
      </w:r>
      <w:r w:rsidRPr="00CB136F" w:rsidR="005C5E13">
        <w:rPr>
          <w:rFonts w:ascii="Times New Roman" w:hAnsi="Times New Roman" w:cs="Times New Roman"/>
          <w:bdr w:val="none" w:sz="0" w:space="0" w:color="auto" w:frame="1"/>
          <w:shd w:val="clear" w:color="auto" w:fill="FFFFFF"/>
        </w:rPr>
        <w:t>level prevalence of drinking and driving in the</w:t>
      </w:r>
      <w:r w:rsidR="00BA5BAB">
        <w:rPr>
          <w:rFonts w:ascii="Times New Roman" w:hAnsi="Times New Roman" w:cs="Times New Roman"/>
          <w:bdr w:val="none" w:sz="0" w:space="0" w:color="auto" w:frame="1"/>
          <w:shd w:val="clear" w:color="auto" w:fill="FFFFFF"/>
        </w:rPr>
        <w:t xml:space="preserve"> </w:t>
      </w:r>
      <w:r w:rsidRPr="00CB136F" w:rsidR="005C5E13">
        <w:rPr>
          <w:rFonts w:ascii="Times New Roman" w:hAnsi="Times New Roman" w:cs="Times New Roman"/>
          <w:bdr w:val="none" w:sz="0" w:space="0" w:color="auto" w:frame="1"/>
          <w:shd w:val="clear" w:color="auto" w:fill="FFFFFF"/>
        </w:rPr>
        <w:t>United States</w:t>
      </w:r>
      <w:r w:rsidR="000B1163">
        <w:rPr>
          <w:rFonts w:ascii="Times New Roman" w:hAnsi="Times New Roman" w:cs="Times New Roman"/>
          <w:bdr w:val="none" w:sz="0" w:space="0" w:color="auto" w:frame="1"/>
          <w:shd w:val="clear" w:color="auto" w:fill="FFFFFF"/>
        </w:rPr>
        <w:t xml:space="preserve">. </w:t>
      </w:r>
      <w:r w:rsidRPr="00CB136F">
        <w:rPr>
          <w:rFonts w:ascii="Times New Roman" w:hAnsi="Times New Roman" w:cs="Times New Roman"/>
          <w:bdr w:val="none" w:sz="0" w:space="0" w:color="auto" w:frame="1"/>
          <w:shd w:val="clear" w:color="auto" w:fill="FFFFFF"/>
        </w:rPr>
        <w:t>The core methodology has continued across decades</w:t>
      </w:r>
      <w:r w:rsidR="007C0974">
        <w:rPr>
          <w:rFonts w:ascii="Times New Roman" w:hAnsi="Times New Roman" w:cs="Times New Roman"/>
          <w:bdr w:val="none" w:sz="0" w:space="0" w:color="auto" w:frame="1"/>
          <w:shd w:val="clear" w:color="auto" w:fill="FFFFFF"/>
        </w:rPr>
        <w:t>,</w:t>
      </w:r>
      <w:r w:rsidRPr="00CB136F">
        <w:rPr>
          <w:rFonts w:ascii="Times New Roman" w:hAnsi="Times New Roman" w:cs="Times New Roman"/>
          <w:bdr w:val="none" w:sz="0" w:space="0" w:color="auto" w:frame="1"/>
          <w:shd w:val="clear" w:color="auto" w:fill="FFFFFF"/>
        </w:rPr>
        <w:t xml:space="preserve"> but NHTSA has initiated improvements</w:t>
      </w:r>
      <w:r w:rsidR="00275FE8">
        <w:rPr>
          <w:rFonts w:ascii="Times New Roman" w:hAnsi="Times New Roman" w:cs="Times New Roman"/>
          <w:bdr w:val="none" w:sz="0" w:space="0" w:color="auto" w:frame="1"/>
          <w:shd w:val="clear" w:color="auto" w:fill="FFFFFF"/>
        </w:rPr>
        <w:t>.</w:t>
      </w:r>
      <w:r w:rsidRPr="00CB136F">
        <w:rPr>
          <w:rFonts w:ascii="Times New Roman" w:hAnsi="Times New Roman" w:cs="Times New Roman"/>
          <w:bdr w:val="none" w:sz="0" w:space="0" w:color="auto" w:frame="1"/>
          <w:shd w:val="clear" w:color="auto" w:fill="FFFFFF"/>
        </w:rPr>
        <w:t xml:space="preserve"> </w:t>
      </w:r>
      <w:r w:rsidR="00AF582E">
        <w:rPr>
          <w:rFonts w:ascii="Times New Roman" w:hAnsi="Times New Roman" w:cs="Times New Roman"/>
          <w:bdr w:val="none" w:sz="0" w:space="0" w:color="auto" w:frame="1"/>
          <w:shd w:val="clear" w:color="auto" w:fill="FFFFFF"/>
        </w:rPr>
        <w:t>T</w:t>
      </w:r>
      <w:r w:rsidRPr="00CB136F">
        <w:rPr>
          <w:rFonts w:ascii="Times New Roman" w:hAnsi="Times New Roman" w:cs="Times New Roman"/>
          <w:bdr w:val="none" w:sz="0" w:space="0" w:color="auto" w:frame="1"/>
          <w:shd w:val="clear" w:color="auto" w:fill="FFFFFF"/>
        </w:rPr>
        <w:t xml:space="preserve">he number of sites has increased, drugs of interest have been modified to reflect use across the </w:t>
      </w:r>
      <w:r w:rsidR="008E5A3F">
        <w:rPr>
          <w:rFonts w:ascii="Times New Roman" w:hAnsi="Times New Roman" w:cs="Times New Roman"/>
          <w:bdr w:val="none" w:sz="0" w:space="0" w:color="auto" w:frame="1"/>
          <w:shd w:val="clear" w:color="auto" w:fill="FFFFFF"/>
        </w:rPr>
        <w:t>country</w:t>
      </w:r>
      <w:r w:rsidRPr="00CB136F">
        <w:rPr>
          <w:rFonts w:ascii="Times New Roman" w:hAnsi="Times New Roman" w:cs="Times New Roman"/>
          <w:bdr w:val="none" w:sz="0" w:space="0" w:color="auto" w:frame="1"/>
          <w:shd w:val="clear" w:color="auto" w:fill="FFFFFF"/>
        </w:rPr>
        <w:t xml:space="preserve">, and advances in technology have impacted </w:t>
      </w:r>
      <w:r w:rsidR="00853EA9">
        <w:rPr>
          <w:rFonts w:ascii="Times New Roman" w:hAnsi="Times New Roman" w:cs="Times New Roman"/>
          <w:bdr w:val="none" w:sz="0" w:space="0" w:color="auto" w:frame="1"/>
          <w:shd w:val="clear" w:color="auto" w:fill="FFFFFF"/>
        </w:rPr>
        <w:t xml:space="preserve">how </w:t>
      </w:r>
      <w:r w:rsidRPr="00CB136F">
        <w:rPr>
          <w:rFonts w:ascii="Times New Roman" w:hAnsi="Times New Roman" w:cs="Times New Roman"/>
          <w:bdr w:val="none" w:sz="0" w:space="0" w:color="auto" w:frame="1"/>
          <w:shd w:val="clear" w:color="auto" w:fill="FFFFFF"/>
        </w:rPr>
        <w:t xml:space="preserve">data can be collected and specimens analyzed. </w:t>
      </w:r>
    </w:p>
    <w:p w:rsidR="007925C9" w:rsidP="008F0F19" w14:paraId="5BAD6CE0" w14:textId="7B252439">
      <w:pPr>
        <w:spacing w:after="0"/>
      </w:pPr>
    </w:p>
    <w:p w:rsidR="00E43141" w:rsidRPr="00130F76" w:rsidP="00E43141" w14:paraId="32C4F1AC" w14:textId="35193F52">
      <w:pPr>
        <w:pStyle w:val="Default"/>
        <w:rPr>
          <w:rFonts w:ascii="Times New Roman" w:hAnsi="Times New Roman" w:cs="Times New Roman"/>
        </w:rPr>
      </w:pPr>
      <w:r w:rsidRPr="001F0A0C">
        <w:rPr>
          <w:rFonts w:ascii="Times New Roman" w:hAnsi="Times New Roman" w:cs="Times New Roman"/>
          <w:bdr w:val="none" w:sz="0" w:space="0" w:color="auto" w:frame="1"/>
          <w:shd w:val="clear" w:color="auto" w:fill="FFFFFF"/>
        </w:rPr>
        <w:t>Conducting a</w:t>
      </w:r>
      <w:r w:rsidR="003E4ABE">
        <w:rPr>
          <w:rFonts w:ascii="Times New Roman" w:hAnsi="Times New Roman" w:cs="Times New Roman"/>
          <w:bdr w:val="none" w:sz="0" w:space="0" w:color="auto" w:frame="1"/>
          <w:shd w:val="clear" w:color="auto" w:fill="FFFFFF"/>
        </w:rPr>
        <w:t>n</w:t>
      </w:r>
      <w:r w:rsidR="001D185B">
        <w:rPr>
          <w:rFonts w:ascii="Times New Roman" w:hAnsi="Times New Roman" w:cs="Times New Roman"/>
          <w:bdr w:val="none" w:sz="0" w:space="0" w:color="auto" w:frame="1"/>
          <w:shd w:val="clear" w:color="auto" w:fill="FFFFFF"/>
        </w:rPr>
        <w:t xml:space="preserve"> </w:t>
      </w:r>
      <w:r w:rsidRPr="001F0A0C" w:rsidR="005958A3">
        <w:rPr>
          <w:rFonts w:ascii="Times New Roman" w:hAnsi="Times New Roman" w:cs="Times New Roman"/>
          <w:bdr w:val="none" w:sz="0" w:space="0" w:color="auto" w:frame="1"/>
          <w:shd w:val="clear" w:color="auto" w:fill="FFFFFF"/>
        </w:rPr>
        <w:t>NR</w:t>
      </w:r>
      <w:r w:rsidR="005958A3">
        <w:rPr>
          <w:rFonts w:ascii="Times New Roman" w:hAnsi="Times New Roman" w:cs="Times New Roman"/>
          <w:bdr w:val="none" w:sz="0" w:space="0" w:color="auto" w:frame="1"/>
          <w:shd w:val="clear" w:color="auto" w:fill="FFFFFF"/>
        </w:rPr>
        <w:t>S</w:t>
      </w:r>
      <w:r w:rsidRPr="001F0A0C" w:rsidR="005958A3">
        <w:rPr>
          <w:rFonts w:ascii="Times New Roman" w:hAnsi="Times New Roman" w:cs="Times New Roman"/>
          <w:bdr w:val="none" w:sz="0" w:space="0" w:color="auto" w:frame="1"/>
          <w:shd w:val="clear" w:color="auto" w:fill="FFFFFF"/>
        </w:rPr>
        <w:t xml:space="preserve"> </w:t>
      </w:r>
      <w:r w:rsidRPr="001F0A0C">
        <w:rPr>
          <w:rFonts w:ascii="Times New Roman" w:hAnsi="Times New Roman" w:cs="Times New Roman"/>
          <w:bdr w:val="none" w:sz="0" w:space="0" w:color="auto" w:frame="1"/>
          <w:shd w:val="clear" w:color="auto" w:fill="FFFFFF"/>
        </w:rPr>
        <w:t>on a periodic basis (e.g., about every 10 years) allows NHTSA to examine the prevalence of alcohol and drug use among drivers</w:t>
      </w:r>
      <w:r w:rsidR="000B1163">
        <w:rPr>
          <w:rFonts w:ascii="Times New Roman" w:hAnsi="Times New Roman" w:cs="Times New Roman"/>
          <w:bdr w:val="none" w:sz="0" w:space="0" w:color="auto" w:frame="1"/>
          <w:shd w:val="clear" w:color="auto" w:fill="FFFFFF"/>
        </w:rPr>
        <w:t xml:space="preserve">, and trends across </w:t>
      </w:r>
      <w:r w:rsidR="00AD066D">
        <w:rPr>
          <w:rFonts w:ascii="Times New Roman" w:hAnsi="Times New Roman" w:cs="Times New Roman"/>
          <w:bdr w:val="none" w:sz="0" w:space="0" w:color="auto" w:frame="1"/>
          <w:shd w:val="clear" w:color="auto" w:fill="FFFFFF"/>
        </w:rPr>
        <w:t xml:space="preserve">survey </w:t>
      </w:r>
      <w:r w:rsidR="000B1163">
        <w:rPr>
          <w:rFonts w:ascii="Times New Roman" w:hAnsi="Times New Roman" w:cs="Times New Roman"/>
          <w:bdr w:val="none" w:sz="0" w:space="0" w:color="auto" w:frame="1"/>
          <w:shd w:val="clear" w:color="auto" w:fill="FFFFFF"/>
        </w:rPr>
        <w:t>years</w:t>
      </w:r>
      <w:r w:rsidRPr="001F0A0C">
        <w:rPr>
          <w:rFonts w:ascii="Times New Roman" w:hAnsi="Times New Roman" w:cs="Times New Roman"/>
          <w:bdr w:val="none" w:sz="0" w:space="0" w:color="auto" w:frame="1"/>
          <w:shd w:val="clear" w:color="auto" w:fill="FFFFFF"/>
        </w:rPr>
        <w:t>.</w:t>
      </w:r>
      <w:r>
        <w:rPr>
          <w:rFonts w:ascii="Times New Roman" w:hAnsi="Times New Roman" w:cs="Times New Roman"/>
          <w:bdr w:val="none" w:sz="0" w:space="0" w:color="auto" w:frame="1"/>
          <w:shd w:val="clear" w:color="auto" w:fill="FFFFFF"/>
        </w:rPr>
        <w:t xml:space="preserve"> </w:t>
      </w:r>
      <w:r w:rsidRPr="00130F76">
        <w:rPr>
          <w:rFonts w:ascii="Times New Roman" w:hAnsi="Times New Roman" w:cs="Times New Roman"/>
        </w:rPr>
        <w:t>Given States</w:t>
      </w:r>
      <w:r w:rsidR="009378AC">
        <w:rPr>
          <w:rFonts w:ascii="Times New Roman" w:hAnsi="Times New Roman" w:cs="Times New Roman"/>
        </w:rPr>
        <w:t xml:space="preserve"> are</w:t>
      </w:r>
      <w:r w:rsidRPr="00130F76">
        <w:rPr>
          <w:rFonts w:ascii="Times New Roman" w:hAnsi="Times New Roman" w:cs="Times New Roman"/>
        </w:rPr>
        <w:t xml:space="preserve"> legalizing medicinal </w:t>
      </w:r>
      <w:r w:rsidR="00913808">
        <w:rPr>
          <w:rFonts w:ascii="Times New Roman" w:hAnsi="Times New Roman" w:cs="Times New Roman"/>
        </w:rPr>
        <w:t>and/</w:t>
      </w:r>
      <w:r w:rsidRPr="00130F76">
        <w:rPr>
          <w:rFonts w:ascii="Times New Roman" w:hAnsi="Times New Roman" w:cs="Times New Roman"/>
        </w:rPr>
        <w:t>or recreational use of cannabis, and other issues such as the apparent increase in opioid use in the U.S., more information is needed on the level of alcohol-</w:t>
      </w:r>
      <w:r w:rsidR="0018021D">
        <w:rPr>
          <w:rFonts w:ascii="Times New Roman" w:hAnsi="Times New Roman" w:cs="Times New Roman"/>
        </w:rPr>
        <w:t xml:space="preserve"> </w:t>
      </w:r>
      <w:r w:rsidRPr="00130F76">
        <w:rPr>
          <w:rFonts w:ascii="Times New Roman" w:hAnsi="Times New Roman" w:cs="Times New Roman"/>
        </w:rPr>
        <w:t>and drug-involved driving to better inform NHTSA’s countermeasure development.</w:t>
      </w:r>
    </w:p>
    <w:p w:rsidR="00E43141" w:rsidP="00E43141" w14:paraId="48782B26" w14:textId="77777777">
      <w:pPr>
        <w:pStyle w:val="Default"/>
        <w:rPr>
          <w:rFonts w:ascii="Times New Roman" w:hAnsi="Times New Roman" w:cs="Times New Roman"/>
          <w:sz w:val="23"/>
          <w:szCs w:val="23"/>
        </w:rPr>
      </w:pPr>
    </w:p>
    <w:p w:rsidR="004B21B7" w:rsidP="00E43141" w14:paraId="14A994E2" w14:textId="1E82780A">
      <w:pPr>
        <w:pStyle w:val="Default"/>
        <w:rPr>
          <w:rFonts w:ascii="Times New Roman" w:hAnsi="Times New Roman" w:cs="Times New Roman"/>
        </w:rPr>
      </w:pPr>
      <w:r w:rsidRPr="009B685A">
        <w:rPr>
          <w:rFonts w:ascii="Times New Roman" w:hAnsi="Times New Roman" w:cs="Times New Roman"/>
        </w:rPr>
        <w:t xml:space="preserve">Roadside surveys provide objective measures of alcohol and drugs in drivers’ systems </w:t>
      </w:r>
      <w:r w:rsidR="00AF1434">
        <w:rPr>
          <w:rFonts w:ascii="Times New Roman" w:hAnsi="Times New Roman" w:cs="Times New Roman"/>
        </w:rPr>
        <w:t xml:space="preserve">when </w:t>
      </w:r>
      <w:r w:rsidRPr="009B685A">
        <w:rPr>
          <w:rFonts w:ascii="Times New Roman" w:hAnsi="Times New Roman" w:cs="Times New Roman"/>
        </w:rPr>
        <w:t>they are actually driving</w:t>
      </w:r>
      <w:r w:rsidR="000B1163">
        <w:rPr>
          <w:rFonts w:ascii="Times New Roman" w:hAnsi="Times New Roman" w:cs="Times New Roman"/>
        </w:rPr>
        <w:t>. These measures are</w:t>
      </w:r>
      <w:r w:rsidRPr="00522FC8" w:rsidR="00522FC8">
        <w:rPr>
          <w:rFonts w:ascii="Times New Roman" w:hAnsi="Times New Roman" w:cs="Times New Roman"/>
        </w:rPr>
        <w:t xml:space="preserve"> </w:t>
      </w:r>
      <w:r w:rsidR="00522FC8">
        <w:rPr>
          <w:rFonts w:ascii="Times New Roman" w:hAnsi="Times New Roman" w:cs="Times New Roman"/>
        </w:rPr>
        <w:t xml:space="preserve">based on results from breath </w:t>
      </w:r>
      <w:r w:rsidR="000B1163">
        <w:rPr>
          <w:rFonts w:ascii="Times New Roman" w:hAnsi="Times New Roman" w:cs="Times New Roman"/>
        </w:rPr>
        <w:t xml:space="preserve">tests </w:t>
      </w:r>
      <w:r w:rsidR="00522FC8">
        <w:rPr>
          <w:rFonts w:ascii="Times New Roman" w:hAnsi="Times New Roman" w:cs="Times New Roman"/>
        </w:rPr>
        <w:t>and oral fluid samples</w:t>
      </w:r>
      <w:r w:rsidR="00803038">
        <w:rPr>
          <w:rFonts w:ascii="Times New Roman" w:hAnsi="Times New Roman" w:cs="Times New Roman"/>
        </w:rPr>
        <w:t xml:space="preserve"> </w:t>
      </w:r>
      <w:r w:rsidR="00522FC8">
        <w:rPr>
          <w:rFonts w:ascii="Times New Roman" w:hAnsi="Times New Roman" w:cs="Times New Roman"/>
        </w:rPr>
        <w:t xml:space="preserve">collected using established </w:t>
      </w:r>
      <w:r w:rsidR="000B1163">
        <w:rPr>
          <w:rFonts w:ascii="Times New Roman" w:hAnsi="Times New Roman" w:cs="Times New Roman"/>
        </w:rPr>
        <w:t>protocols</w:t>
      </w:r>
      <w:r w:rsidR="00522FC8">
        <w:rPr>
          <w:rFonts w:ascii="Times New Roman" w:hAnsi="Times New Roman" w:cs="Times New Roman"/>
        </w:rPr>
        <w:t xml:space="preserve">. </w:t>
      </w:r>
      <w:r w:rsidRPr="009B685A" w:rsidR="008E5AAF">
        <w:rPr>
          <w:rFonts w:ascii="Times New Roman" w:hAnsi="Times New Roman" w:cs="Times New Roman"/>
        </w:rPr>
        <w:t xml:space="preserve">Analyses of </w:t>
      </w:r>
      <w:r w:rsidR="000B1163">
        <w:rPr>
          <w:rFonts w:ascii="Times New Roman" w:hAnsi="Times New Roman" w:cs="Times New Roman"/>
        </w:rPr>
        <w:t xml:space="preserve">these </w:t>
      </w:r>
      <w:r w:rsidRPr="009B685A" w:rsidR="008E5AAF">
        <w:rPr>
          <w:rFonts w:ascii="Times New Roman" w:hAnsi="Times New Roman" w:cs="Times New Roman"/>
        </w:rPr>
        <w:t xml:space="preserve">specimens allow for the quantitative determination of alcohol and drug levels. </w:t>
      </w:r>
      <w:r w:rsidR="006C4241">
        <w:rPr>
          <w:rFonts w:ascii="Times New Roman" w:hAnsi="Times New Roman" w:cs="Times New Roman"/>
        </w:rPr>
        <w:t>L</w:t>
      </w:r>
      <w:r w:rsidR="000B1163">
        <w:rPr>
          <w:rFonts w:ascii="Times New Roman" w:hAnsi="Times New Roman" w:cs="Times New Roman"/>
        </w:rPr>
        <w:t>earning</w:t>
      </w:r>
      <w:r w:rsidRPr="009B685A">
        <w:rPr>
          <w:rFonts w:ascii="Times New Roman" w:hAnsi="Times New Roman" w:cs="Times New Roman"/>
        </w:rPr>
        <w:t xml:space="preserve"> more about alcohol and other drug prevalence among road users </w:t>
      </w:r>
      <w:r w:rsidR="000B1163">
        <w:rPr>
          <w:rFonts w:ascii="Times New Roman" w:hAnsi="Times New Roman" w:cs="Times New Roman"/>
        </w:rPr>
        <w:t>other than drivers</w:t>
      </w:r>
      <w:r w:rsidR="006C4241">
        <w:rPr>
          <w:rFonts w:ascii="Times New Roman" w:hAnsi="Times New Roman" w:cs="Times New Roman"/>
        </w:rPr>
        <w:t xml:space="preserve"> is new to this NRS</w:t>
      </w:r>
      <w:r w:rsidR="000B1163">
        <w:rPr>
          <w:rFonts w:ascii="Times New Roman" w:hAnsi="Times New Roman" w:cs="Times New Roman"/>
        </w:rPr>
        <w:t xml:space="preserve">. These other road users (ORUs) include </w:t>
      </w:r>
      <w:r w:rsidRPr="009B685A">
        <w:rPr>
          <w:rFonts w:ascii="Times New Roman" w:hAnsi="Times New Roman" w:cs="Times New Roman"/>
        </w:rPr>
        <w:t>pedestrians, bicyclists, scooterist</w:t>
      </w:r>
      <w:r>
        <w:rPr>
          <w:rFonts w:ascii="Times New Roman" w:hAnsi="Times New Roman" w:cs="Times New Roman"/>
        </w:rPr>
        <w:t>s</w:t>
      </w:r>
      <w:r w:rsidRPr="009B685A">
        <w:rPr>
          <w:rFonts w:ascii="Times New Roman" w:hAnsi="Times New Roman" w:cs="Times New Roman"/>
        </w:rPr>
        <w:t xml:space="preserve">, </w:t>
      </w:r>
      <w:r w:rsidR="000B1163">
        <w:rPr>
          <w:rFonts w:ascii="Times New Roman" w:hAnsi="Times New Roman" w:cs="Times New Roman"/>
        </w:rPr>
        <w:t xml:space="preserve">and </w:t>
      </w:r>
      <w:r w:rsidRPr="009B685A">
        <w:rPr>
          <w:rFonts w:ascii="Times New Roman" w:hAnsi="Times New Roman" w:cs="Times New Roman"/>
        </w:rPr>
        <w:t>those using mobility aids</w:t>
      </w:r>
      <w:r w:rsidR="00243526">
        <w:rPr>
          <w:rFonts w:ascii="Times New Roman" w:hAnsi="Times New Roman" w:cs="Times New Roman"/>
        </w:rPr>
        <w:t>.</w:t>
      </w:r>
    </w:p>
    <w:p w:rsidR="004B21B7" w:rsidP="00E43141" w14:paraId="3ACF0E04" w14:textId="77777777">
      <w:pPr>
        <w:pStyle w:val="Default"/>
        <w:rPr>
          <w:rFonts w:ascii="Times New Roman" w:hAnsi="Times New Roman" w:cs="Times New Roman"/>
        </w:rPr>
      </w:pPr>
    </w:p>
    <w:p w:rsidR="00E43141" w:rsidP="00E43141" w14:paraId="451C3E93" w14:textId="6F00DE66">
      <w:pPr>
        <w:pStyle w:val="Default"/>
        <w:rPr>
          <w:rFonts w:ascii="Times New Roman" w:hAnsi="Times New Roman" w:cs="Times New Roman"/>
        </w:rPr>
      </w:pPr>
      <w:r>
        <w:rPr>
          <w:rFonts w:ascii="Times New Roman" w:hAnsi="Times New Roman" w:cs="Times New Roman"/>
        </w:rPr>
        <w:t xml:space="preserve">NHTSA will conduct two studies. Study 1 will focus on drivers but </w:t>
      </w:r>
      <w:r w:rsidR="00D80749">
        <w:rPr>
          <w:rFonts w:ascii="Times New Roman" w:hAnsi="Times New Roman" w:cs="Times New Roman"/>
        </w:rPr>
        <w:t xml:space="preserve">include </w:t>
      </w:r>
      <w:r>
        <w:rPr>
          <w:rFonts w:ascii="Times New Roman" w:hAnsi="Times New Roman" w:cs="Times New Roman"/>
        </w:rPr>
        <w:t>convenience sampling of ORUs</w:t>
      </w:r>
      <w:r w:rsidR="00D80749">
        <w:rPr>
          <w:rFonts w:ascii="Times New Roman" w:hAnsi="Times New Roman" w:cs="Times New Roman"/>
        </w:rPr>
        <w:t xml:space="preserve"> passing by the data collection locations</w:t>
      </w:r>
      <w:r>
        <w:rPr>
          <w:rFonts w:ascii="Times New Roman" w:hAnsi="Times New Roman" w:cs="Times New Roman"/>
        </w:rPr>
        <w:t xml:space="preserve">. Study 2 is a </w:t>
      </w:r>
      <w:r w:rsidR="00B04FD2">
        <w:rPr>
          <w:rFonts w:ascii="Times New Roman" w:hAnsi="Times New Roman" w:cs="Times New Roman"/>
        </w:rPr>
        <w:t>p</w:t>
      </w:r>
      <w:r>
        <w:rPr>
          <w:rFonts w:ascii="Times New Roman" w:hAnsi="Times New Roman" w:cs="Times New Roman"/>
        </w:rPr>
        <w:t xml:space="preserve">ilot </w:t>
      </w:r>
      <w:r w:rsidR="00B04FD2">
        <w:rPr>
          <w:rFonts w:ascii="Times New Roman" w:hAnsi="Times New Roman" w:cs="Times New Roman"/>
        </w:rPr>
        <w:t>t</w:t>
      </w:r>
      <w:r>
        <w:rPr>
          <w:rFonts w:ascii="Times New Roman" w:hAnsi="Times New Roman" w:cs="Times New Roman"/>
        </w:rPr>
        <w:t xml:space="preserve">est assessing the feasibility of a NRS specific to ORUs. Both </w:t>
      </w:r>
      <w:r w:rsidRPr="00C02E7E">
        <w:rPr>
          <w:rFonts w:ascii="Times New Roman" w:hAnsi="Times New Roman" w:cs="Times New Roman"/>
        </w:rPr>
        <w:t>will collect breath and oral fluid</w:t>
      </w:r>
      <w:r w:rsidR="000B1163">
        <w:rPr>
          <w:rFonts w:ascii="Times New Roman" w:hAnsi="Times New Roman" w:cs="Times New Roman"/>
        </w:rPr>
        <w:t xml:space="preserve"> specimens</w:t>
      </w:r>
      <w:r w:rsidRPr="00C02E7E">
        <w:rPr>
          <w:rFonts w:ascii="Times New Roman" w:hAnsi="Times New Roman" w:cs="Times New Roman"/>
        </w:rPr>
        <w:t xml:space="preserve">, </w:t>
      </w:r>
      <w:r w:rsidRPr="002D5F37">
        <w:rPr>
          <w:rFonts w:ascii="Times New Roman" w:hAnsi="Times New Roman" w:cs="Times New Roman"/>
        </w:rPr>
        <w:t>demographic information,</w:t>
      </w:r>
      <w:r w:rsidRPr="00C02E7E">
        <w:rPr>
          <w:rFonts w:ascii="Times New Roman" w:hAnsi="Times New Roman" w:cs="Times New Roman"/>
        </w:rPr>
        <w:t xml:space="preserve"> and self-report </w:t>
      </w:r>
      <w:r>
        <w:rPr>
          <w:rFonts w:ascii="Times New Roman" w:hAnsi="Times New Roman" w:cs="Times New Roman"/>
        </w:rPr>
        <w:t>questionnaire</w:t>
      </w:r>
      <w:r w:rsidRPr="00C02E7E">
        <w:rPr>
          <w:rFonts w:ascii="Times New Roman" w:hAnsi="Times New Roman" w:cs="Times New Roman"/>
        </w:rPr>
        <w:t xml:space="preserve"> data on</w:t>
      </w:r>
      <w:r w:rsidR="00803038">
        <w:rPr>
          <w:rFonts w:ascii="Times New Roman" w:hAnsi="Times New Roman" w:cs="Times New Roman"/>
        </w:rPr>
        <w:t xml:space="preserve"> </w:t>
      </w:r>
      <w:r w:rsidRPr="00C02E7E">
        <w:rPr>
          <w:rFonts w:ascii="Times New Roman" w:hAnsi="Times New Roman" w:cs="Times New Roman"/>
        </w:rPr>
        <w:t xml:space="preserve">roads across the </w:t>
      </w:r>
      <w:r w:rsidR="004179E8">
        <w:rPr>
          <w:rFonts w:ascii="Times New Roman" w:hAnsi="Times New Roman" w:cs="Times New Roman"/>
        </w:rPr>
        <w:t>country</w:t>
      </w:r>
      <w:r w:rsidRPr="00C02E7E">
        <w:rPr>
          <w:rFonts w:ascii="Times New Roman" w:hAnsi="Times New Roman" w:cs="Times New Roman"/>
        </w:rPr>
        <w:t xml:space="preserve">. </w:t>
      </w:r>
      <w:r w:rsidR="00785B5F">
        <w:rPr>
          <w:rFonts w:ascii="Times New Roman" w:hAnsi="Times New Roman" w:cs="Times New Roman"/>
        </w:rPr>
        <w:t>P</w:t>
      </w:r>
      <w:r w:rsidRPr="00C02E7E">
        <w:rPr>
          <w:rFonts w:ascii="Times New Roman" w:hAnsi="Times New Roman" w:cs="Times New Roman"/>
        </w:rPr>
        <w:t xml:space="preserve">articipation </w:t>
      </w:r>
      <w:r>
        <w:rPr>
          <w:rFonts w:ascii="Times New Roman" w:hAnsi="Times New Roman" w:cs="Times New Roman"/>
        </w:rPr>
        <w:t>will be</w:t>
      </w:r>
      <w:r w:rsidRPr="00C02E7E">
        <w:rPr>
          <w:rFonts w:ascii="Times New Roman" w:hAnsi="Times New Roman" w:cs="Times New Roman"/>
        </w:rPr>
        <w:t xml:space="preserve"> voluntary</w:t>
      </w:r>
      <w:r w:rsidR="00E669C3">
        <w:rPr>
          <w:rFonts w:ascii="Times New Roman" w:hAnsi="Times New Roman" w:cs="Times New Roman"/>
        </w:rPr>
        <w:t xml:space="preserve"> and anonymous</w:t>
      </w:r>
      <w:r w:rsidRPr="00C02E7E">
        <w:rPr>
          <w:rFonts w:ascii="Times New Roman" w:hAnsi="Times New Roman" w:cs="Times New Roman"/>
        </w:rPr>
        <w:t>.</w:t>
      </w:r>
      <w:r>
        <w:rPr>
          <w:rFonts w:ascii="Times New Roman" w:hAnsi="Times New Roman" w:cs="Times New Roman"/>
        </w:rPr>
        <w:t xml:space="preserve"> </w:t>
      </w:r>
      <w:r w:rsidR="004179E8">
        <w:rPr>
          <w:rFonts w:ascii="Times New Roman" w:hAnsi="Times New Roman" w:cs="Times New Roman"/>
        </w:rPr>
        <w:t>S</w:t>
      </w:r>
      <w:r>
        <w:rPr>
          <w:rFonts w:ascii="Times New Roman" w:hAnsi="Times New Roman" w:cs="Times New Roman"/>
        </w:rPr>
        <w:t>tudy protocols will be reviewed by a U.S. Department of Health and Human Services-approved Institutional Review Board (IRB).</w:t>
      </w:r>
      <w:r w:rsidR="007246FB">
        <w:rPr>
          <w:rFonts w:ascii="Times New Roman" w:hAnsi="Times New Roman" w:cs="Times New Roman"/>
        </w:rPr>
        <w:t xml:space="preserve"> </w:t>
      </w:r>
      <w:r>
        <w:rPr>
          <w:rFonts w:ascii="Times New Roman" w:hAnsi="Times New Roman" w:cs="Times New Roman"/>
        </w:rPr>
        <w:t xml:space="preserve">The only personal identifiable information (PII) collected </w:t>
      </w:r>
      <w:r w:rsidR="004179E8">
        <w:rPr>
          <w:rFonts w:ascii="Times New Roman" w:hAnsi="Times New Roman" w:cs="Times New Roman"/>
        </w:rPr>
        <w:t>is</w:t>
      </w:r>
      <w:r>
        <w:rPr>
          <w:rFonts w:ascii="Times New Roman" w:hAnsi="Times New Roman" w:cs="Times New Roman"/>
        </w:rPr>
        <w:t xml:space="preserve"> oral fluid</w:t>
      </w:r>
      <w:r w:rsidR="004179E8">
        <w:rPr>
          <w:rFonts w:ascii="Times New Roman" w:hAnsi="Times New Roman" w:cs="Times New Roman"/>
        </w:rPr>
        <w:t>. No</w:t>
      </w:r>
      <w:r>
        <w:rPr>
          <w:rFonts w:ascii="Times New Roman" w:hAnsi="Times New Roman" w:cs="Times New Roman"/>
        </w:rPr>
        <w:t xml:space="preserve"> DNA analyses will be conducted</w:t>
      </w:r>
      <w:r w:rsidR="000B1163">
        <w:rPr>
          <w:rFonts w:ascii="Times New Roman" w:hAnsi="Times New Roman" w:cs="Times New Roman"/>
        </w:rPr>
        <w:t xml:space="preserve"> on the oral fluid</w:t>
      </w:r>
      <w:r w:rsidR="004179E8">
        <w:rPr>
          <w:rFonts w:ascii="Times New Roman" w:hAnsi="Times New Roman" w:cs="Times New Roman"/>
        </w:rPr>
        <w:t xml:space="preserve"> specimens</w:t>
      </w:r>
      <w:r>
        <w:rPr>
          <w:rFonts w:ascii="Times New Roman" w:hAnsi="Times New Roman" w:cs="Times New Roman"/>
        </w:rPr>
        <w:t xml:space="preserve">. </w:t>
      </w:r>
      <w:r w:rsidR="0077173A">
        <w:rPr>
          <w:rFonts w:ascii="Times New Roman" w:hAnsi="Times New Roman" w:cs="Times New Roman"/>
        </w:rPr>
        <w:t>These will only be analyzed for the presence of alcohol and other drugs</w:t>
      </w:r>
      <w:r w:rsidR="00D80749">
        <w:rPr>
          <w:rFonts w:ascii="Times New Roman" w:hAnsi="Times New Roman" w:cs="Times New Roman"/>
        </w:rPr>
        <w:t>,</w:t>
      </w:r>
      <w:r w:rsidR="00785B5F">
        <w:rPr>
          <w:rFonts w:ascii="Times New Roman" w:hAnsi="Times New Roman" w:cs="Times New Roman"/>
        </w:rPr>
        <w:t xml:space="preserve"> and specimens will be destroyed after the study is complete</w:t>
      </w:r>
      <w:r w:rsidR="004179E8">
        <w:rPr>
          <w:rFonts w:ascii="Times New Roman" w:hAnsi="Times New Roman" w:cs="Times New Roman"/>
        </w:rPr>
        <w:t>. Th</w:t>
      </w:r>
      <w:r w:rsidR="000B1163">
        <w:rPr>
          <w:rFonts w:ascii="Times New Roman" w:hAnsi="Times New Roman" w:cs="Times New Roman"/>
        </w:rPr>
        <w:t>e results</w:t>
      </w:r>
      <w:r w:rsidR="004179E8">
        <w:rPr>
          <w:rFonts w:ascii="Times New Roman" w:hAnsi="Times New Roman" w:cs="Times New Roman"/>
        </w:rPr>
        <w:t xml:space="preserve"> will be reported in aggregate form </w:t>
      </w:r>
      <w:r w:rsidR="000B1163">
        <w:rPr>
          <w:rFonts w:ascii="Times New Roman" w:hAnsi="Times New Roman" w:cs="Times New Roman"/>
        </w:rPr>
        <w:t>in research reports</w:t>
      </w:r>
      <w:r w:rsidR="0077173A">
        <w:rPr>
          <w:rFonts w:ascii="Times New Roman" w:hAnsi="Times New Roman" w:cs="Times New Roman"/>
        </w:rPr>
        <w:t xml:space="preserve">. </w:t>
      </w:r>
      <w:r w:rsidR="00AF1434">
        <w:rPr>
          <w:rFonts w:ascii="Times New Roman" w:hAnsi="Times New Roman" w:cs="Times New Roman"/>
        </w:rPr>
        <w:t>NHTSA</w:t>
      </w:r>
      <w:r>
        <w:rPr>
          <w:rFonts w:ascii="Times New Roman" w:hAnsi="Times New Roman" w:cs="Times New Roman"/>
        </w:rPr>
        <w:t xml:space="preserve"> anticipates obtaining a Certificate of Confidentiality from</w:t>
      </w:r>
      <w:r w:rsidR="00E32061">
        <w:rPr>
          <w:rFonts w:ascii="Times New Roman" w:hAnsi="Times New Roman" w:cs="Times New Roman"/>
        </w:rPr>
        <w:t xml:space="preserve"> the National Institutes of Health</w:t>
      </w:r>
      <w:r>
        <w:rPr>
          <w:rFonts w:ascii="Times New Roman" w:hAnsi="Times New Roman" w:cs="Times New Roman"/>
        </w:rPr>
        <w:t xml:space="preserve"> </w:t>
      </w:r>
      <w:r w:rsidR="00E32061">
        <w:rPr>
          <w:rFonts w:ascii="Times New Roman" w:hAnsi="Times New Roman" w:cs="Times New Roman"/>
        </w:rPr>
        <w:t>(</w:t>
      </w:r>
      <w:r w:rsidR="00275FE8">
        <w:rPr>
          <w:rFonts w:ascii="Times New Roman" w:hAnsi="Times New Roman" w:cs="Times New Roman"/>
        </w:rPr>
        <w:t>NIH</w:t>
      </w:r>
      <w:r w:rsidR="00E32061">
        <w:rPr>
          <w:rFonts w:ascii="Times New Roman" w:hAnsi="Times New Roman" w:cs="Times New Roman"/>
        </w:rPr>
        <w:t>)</w:t>
      </w:r>
      <w:r w:rsidR="0015425B">
        <w:rPr>
          <w:rFonts w:ascii="Times New Roman" w:hAnsi="Times New Roman" w:cs="Times New Roman"/>
        </w:rPr>
        <w:t>.</w:t>
      </w:r>
    </w:p>
    <w:p w:rsidR="00E43141" w:rsidP="00E43141" w14:paraId="67996B36" w14:textId="77777777">
      <w:pPr>
        <w:pStyle w:val="Default"/>
        <w:rPr>
          <w:rFonts w:ascii="Times New Roman" w:hAnsi="Times New Roman" w:cs="Times New Roman"/>
        </w:rPr>
      </w:pPr>
    </w:p>
    <w:p w:rsidR="00E43141" w:rsidP="00E43141" w14:paraId="03B2E058" w14:textId="11F50F78">
      <w:pPr>
        <w:pStyle w:val="Default"/>
        <w:rPr>
          <w:rFonts w:ascii="Times New Roman" w:hAnsi="Times New Roman" w:cs="Times New Roman"/>
        </w:rPr>
      </w:pPr>
      <w:r w:rsidRPr="00704736">
        <w:rPr>
          <w:rFonts w:ascii="Times New Roman" w:hAnsi="Times New Roman" w:cs="Times New Roman"/>
          <w:i/>
          <w:iCs/>
        </w:rPr>
        <w:t>Study</w:t>
      </w:r>
      <w:r w:rsidRPr="00704736" w:rsidR="00EA3AD2">
        <w:rPr>
          <w:rFonts w:ascii="Times New Roman" w:hAnsi="Times New Roman" w:cs="Times New Roman"/>
          <w:i/>
          <w:iCs/>
        </w:rPr>
        <w:t xml:space="preserve"> 1 </w:t>
      </w:r>
      <w:r w:rsidRPr="00704736" w:rsidR="005E3A2F">
        <w:rPr>
          <w:rFonts w:ascii="Times New Roman" w:hAnsi="Times New Roman" w:cs="Times New Roman"/>
          <w:i/>
          <w:iCs/>
        </w:rPr>
        <w:t>/ National Roadside Surve</w:t>
      </w:r>
      <w:r w:rsidR="004179E8">
        <w:rPr>
          <w:rFonts w:ascii="Times New Roman" w:hAnsi="Times New Roman" w:cs="Times New Roman"/>
          <w:i/>
          <w:iCs/>
        </w:rPr>
        <w:t>y</w:t>
      </w:r>
      <w:r w:rsidRPr="00704736" w:rsidR="005E3A2F">
        <w:rPr>
          <w:rFonts w:ascii="Times New Roman" w:hAnsi="Times New Roman" w:cs="Times New Roman"/>
          <w:i/>
          <w:iCs/>
        </w:rPr>
        <w:t>.</w:t>
      </w:r>
      <w:r w:rsidR="005E3A2F">
        <w:rPr>
          <w:rFonts w:ascii="Times New Roman" w:hAnsi="Times New Roman" w:cs="Times New Roman"/>
        </w:rPr>
        <w:t xml:space="preserve"> This</w:t>
      </w:r>
      <w:r w:rsidR="0077173A">
        <w:rPr>
          <w:rFonts w:ascii="Times New Roman" w:hAnsi="Times New Roman" w:cs="Times New Roman"/>
        </w:rPr>
        <w:t xml:space="preserve"> request is a</w:t>
      </w:r>
      <w:r w:rsidR="008E5A3F">
        <w:rPr>
          <w:rFonts w:ascii="Times New Roman" w:hAnsi="Times New Roman" w:cs="Times New Roman"/>
        </w:rPr>
        <w:t xml:space="preserve"> voluntary,</w:t>
      </w:r>
      <w:r w:rsidR="0077173A">
        <w:rPr>
          <w:rFonts w:ascii="Times New Roman" w:hAnsi="Times New Roman" w:cs="Times New Roman"/>
        </w:rPr>
        <w:t xml:space="preserve"> one-time survey. </w:t>
      </w:r>
      <w:r w:rsidR="004179E8">
        <w:rPr>
          <w:rFonts w:ascii="Times New Roman" w:hAnsi="Times New Roman" w:cs="Times New Roman"/>
        </w:rPr>
        <w:t xml:space="preserve">This survey follows the </w:t>
      </w:r>
      <w:r w:rsidR="00785B5F">
        <w:rPr>
          <w:rFonts w:ascii="Times New Roman" w:hAnsi="Times New Roman" w:cs="Times New Roman"/>
        </w:rPr>
        <w:t xml:space="preserve">prior </w:t>
      </w:r>
      <w:r w:rsidR="004179E8">
        <w:rPr>
          <w:rFonts w:ascii="Times New Roman" w:hAnsi="Times New Roman" w:cs="Times New Roman"/>
        </w:rPr>
        <w:t xml:space="preserve">NRS methodology </w:t>
      </w:r>
      <w:r w:rsidR="007B0524">
        <w:rPr>
          <w:rFonts w:ascii="Times New Roman" w:hAnsi="Times New Roman" w:cs="Times New Roman"/>
        </w:rPr>
        <w:t>but additionally includes</w:t>
      </w:r>
      <w:r w:rsidR="004179E8">
        <w:rPr>
          <w:rFonts w:ascii="Times New Roman" w:hAnsi="Times New Roman" w:cs="Times New Roman"/>
        </w:rPr>
        <w:t xml:space="preserve"> recruiting ORUs who are passing</w:t>
      </w:r>
      <w:r w:rsidR="0007454D">
        <w:rPr>
          <w:rFonts w:ascii="Times New Roman" w:hAnsi="Times New Roman" w:cs="Times New Roman"/>
        </w:rPr>
        <w:t xml:space="preserve"> by</w:t>
      </w:r>
      <w:r w:rsidR="004179E8">
        <w:rPr>
          <w:rFonts w:ascii="Times New Roman" w:hAnsi="Times New Roman" w:cs="Times New Roman"/>
        </w:rPr>
        <w:t xml:space="preserve"> data collection locations. </w:t>
      </w:r>
      <w:r w:rsidRPr="00C02E7E">
        <w:rPr>
          <w:rFonts w:ascii="Times New Roman" w:hAnsi="Times New Roman" w:cs="Times New Roman"/>
        </w:rPr>
        <w:t xml:space="preserve">Data collection will occur </w:t>
      </w:r>
      <w:r>
        <w:rPr>
          <w:rFonts w:ascii="Times New Roman" w:hAnsi="Times New Roman" w:cs="Times New Roman"/>
        </w:rPr>
        <w:t>in</w:t>
      </w:r>
      <w:r w:rsidRPr="00C02E7E">
        <w:rPr>
          <w:rFonts w:ascii="Times New Roman" w:hAnsi="Times New Roman" w:cs="Times New Roman"/>
        </w:rPr>
        <w:t xml:space="preserve"> 60</w:t>
      </w:r>
      <w:r>
        <w:rPr>
          <w:rFonts w:ascii="Times New Roman" w:hAnsi="Times New Roman" w:cs="Times New Roman"/>
        </w:rPr>
        <w:t xml:space="preserve"> primary sampling units</w:t>
      </w:r>
      <w:r w:rsidR="00EA5688">
        <w:rPr>
          <w:rFonts w:ascii="Times New Roman" w:hAnsi="Times New Roman" w:cs="Times New Roman"/>
        </w:rPr>
        <w:t xml:space="preserve"> (PSU</w:t>
      </w:r>
      <w:r w:rsidR="003E2992">
        <w:rPr>
          <w:rFonts w:ascii="Times New Roman" w:hAnsi="Times New Roman" w:cs="Times New Roman"/>
        </w:rPr>
        <w:t xml:space="preserve">s) </w:t>
      </w:r>
      <w:r w:rsidR="007B0524">
        <w:rPr>
          <w:rFonts w:ascii="Times New Roman" w:hAnsi="Times New Roman" w:cs="Times New Roman"/>
        </w:rPr>
        <w:t>using</w:t>
      </w:r>
      <w:r>
        <w:rPr>
          <w:rFonts w:ascii="Times New Roman" w:hAnsi="Times New Roman" w:cs="Times New Roman"/>
        </w:rPr>
        <w:t xml:space="preserve"> 5 locations </w:t>
      </w:r>
      <w:r w:rsidR="00D751DD">
        <w:rPr>
          <w:rFonts w:ascii="Times New Roman" w:hAnsi="Times New Roman" w:cs="Times New Roman"/>
        </w:rPr>
        <w:t xml:space="preserve">at </w:t>
      </w:r>
      <w:r>
        <w:rPr>
          <w:rFonts w:ascii="Times New Roman" w:hAnsi="Times New Roman" w:cs="Times New Roman"/>
        </w:rPr>
        <w:t>each</w:t>
      </w:r>
      <w:r w:rsidR="00D751DD">
        <w:rPr>
          <w:rFonts w:ascii="Times New Roman" w:hAnsi="Times New Roman" w:cs="Times New Roman"/>
        </w:rPr>
        <w:t xml:space="preserve"> PSU</w:t>
      </w:r>
      <w:r>
        <w:rPr>
          <w:rFonts w:ascii="Times New Roman" w:hAnsi="Times New Roman" w:cs="Times New Roman"/>
        </w:rPr>
        <w:t xml:space="preserve"> </w:t>
      </w:r>
      <w:r w:rsidR="005C2E9F">
        <w:rPr>
          <w:rFonts w:ascii="Times New Roman" w:hAnsi="Times New Roman" w:cs="Times New Roman"/>
        </w:rPr>
        <w:t>(</w:t>
      </w:r>
      <w:r>
        <w:rPr>
          <w:rFonts w:ascii="Times New Roman" w:hAnsi="Times New Roman" w:cs="Times New Roman"/>
        </w:rPr>
        <w:t>300 locations</w:t>
      </w:r>
      <w:r w:rsidR="00637589">
        <w:rPr>
          <w:rFonts w:ascii="Times New Roman" w:hAnsi="Times New Roman" w:cs="Times New Roman"/>
        </w:rPr>
        <w:t xml:space="preserve"> total</w:t>
      </w:r>
      <w:r w:rsidR="005C2E9F">
        <w:rPr>
          <w:rFonts w:ascii="Times New Roman" w:hAnsi="Times New Roman" w:cs="Times New Roman"/>
        </w:rPr>
        <w:t>)</w:t>
      </w:r>
      <w:r>
        <w:rPr>
          <w:rFonts w:ascii="Times New Roman" w:hAnsi="Times New Roman" w:cs="Times New Roman"/>
        </w:rPr>
        <w:t>.</w:t>
      </w:r>
      <w:r w:rsidRPr="00C02E7E">
        <w:rPr>
          <w:rFonts w:ascii="Times New Roman" w:hAnsi="Times New Roman" w:cs="Times New Roman"/>
        </w:rPr>
        <w:t xml:space="preserve"> </w:t>
      </w:r>
      <w:r w:rsidR="003E2992">
        <w:rPr>
          <w:rFonts w:ascii="Times New Roman" w:hAnsi="Times New Roman" w:cs="Times New Roman"/>
        </w:rPr>
        <w:t xml:space="preserve">There will be </w:t>
      </w:r>
      <w:r>
        <w:rPr>
          <w:rFonts w:ascii="Times New Roman" w:hAnsi="Times New Roman" w:cs="Times New Roman"/>
        </w:rPr>
        <w:t>a single</w:t>
      </w:r>
      <w:r w:rsidR="003E37A4">
        <w:rPr>
          <w:rFonts w:ascii="Times New Roman" w:hAnsi="Times New Roman" w:cs="Times New Roman"/>
        </w:rPr>
        <w:t xml:space="preserve"> </w:t>
      </w:r>
      <w:r w:rsidR="003E2992">
        <w:rPr>
          <w:rFonts w:ascii="Times New Roman" w:hAnsi="Times New Roman" w:cs="Times New Roman"/>
        </w:rPr>
        <w:t>data collection</w:t>
      </w:r>
      <w:r>
        <w:rPr>
          <w:rFonts w:ascii="Times New Roman" w:hAnsi="Times New Roman" w:cs="Times New Roman"/>
        </w:rPr>
        <w:t xml:space="preserve"> </w:t>
      </w:r>
      <w:r w:rsidR="00D80749">
        <w:rPr>
          <w:rFonts w:ascii="Times New Roman" w:hAnsi="Times New Roman" w:cs="Times New Roman"/>
        </w:rPr>
        <w:t xml:space="preserve">event </w:t>
      </w:r>
      <w:r>
        <w:rPr>
          <w:rFonts w:ascii="Times New Roman" w:hAnsi="Times New Roman" w:cs="Times New Roman"/>
        </w:rPr>
        <w:t>at each location</w:t>
      </w:r>
      <w:r w:rsidR="00DE7751">
        <w:rPr>
          <w:rFonts w:ascii="Times New Roman" w:hAnsi="Times New Roman" w:cs="Times New Roman"/>
        </w:rPr>
        <w:t>.</w:t>
      </w:r>
      <w:r w:rsidR="003E37A4">
        <w:rPr>
          <w:rFonts w:ascii="Times New Roman" w:hAnsi="Times New Roman" w:cs="Times New Roman"/>
        </w:rPr>
        <w:t xml:space="preserve"> </w:t>
      </w:r>
      <w:r w:rsidR="005E3A2F">
        <w:rPr>
          <w:rFonts w:ascii="Times New Roman" w:hAnsi="Times New Roman" w:cs="Times New Roman"/>
        </w:rPr>
        <w:t>T</w:t>
      </w:r>
      <w:r w:rsidR="008E5A3F">
        <w:rPr>
          <w:rFonts w:ascii="Times New Roman" w:hAnsi="Times New Roman" w:cs="Times New Roman"/>
        </w:rPr>
        <w:t xml:space="preserve">he biological samples </w:t>
      </w:r>
      <w:r w:rsidR="005E3A2F">
        <w:rPr>
          <w:rFonts w:ascii="Times New Roman" w:hAnsi="Times New Roman" w:cs="Times New Roman"/>
        </w:rPr>
        <w:t xml:space="preserve">will be sent </w:t>
      </w:r>
      <w:r w:rsidR="007649A3">
        <w:rPr>
          <w:rFonts w:ascii="Times New Roman" w:hAnsi="Times New Roman" w:cs="Times New Roman"/>
        </w:rPr>
        <w:t>to a toxicology lab for testing of</w:t>
      </w:r>
      <w:r w:rsidR="008E5A3F">
        <w:rPr>
          <w:rFonts w:ascii="Times New Roman" w:hAnsi="Times New Roman" w:cs="Times New Roman"/>
        </w:rPr>
        <w:t xml:space="preserve"> the presence of alcohol and other drugs. </w:t>
      </w:r>
      <w:r w:rsidR="005E3A2F">
        <w:rPr>
          <w:rFonts w:ascii="Times New Roman" w:hAnsi="Times New Roman" w:cs="Times New Roman"/>
        </w:rPr>
        <w:t>P</w:t>
      </w:r>
      <w:r w:rsidR="008E5A3F">
        <w:rPr>
          <w:rFonts w:ascii="Times New Roman" w:hAnsi="Times New Roman" w:cs="Times New Roman"/>
        </w:rPr>
        <w:t xml:space="preserve">articipants’ responses to survey questions </w:t>
      </w:r>
      <w:r w:rsidR="005E3A2F">
        <w:rPr>
          <w:rFonts w:ascii="Times New Roman" w:hAnsi="Times New Roman" w:cs="Times New Roman"/>
        </w:rPr>
        <w:t xml:space="preserve">on </w:t>
      </w:r>
      <w:r w:rsidR="00CC03E1">
        <w:rPr>
          <w:rFonts w:ascii="Times New Roman" w:hAnsi="Times New Roman" w:cs="Times New Roman"/>
        </w:rPr>
        <w:t xml:space="preserve">the </w:t>
      </w:r>
      <w:r w:rsidR="008E5A3F">
        <w:rPr>
          <w:rFonts w:ascii="Times New Roman" w:hAnsi="Times New Roman" w:cs="Times New Roman"/>
        </w:rPr>
        <w:t>use of drugs and traffic safety-related behaviors and attitudes</w:t>
      </w:r>
      <w:r w:rsidR="005E3A2F">
        <w:rPr>
          <w:rFonts w:ascii="Times New Roman" w:hAnsi="Times New Roman" w:cs="Times New Roman"/>
        </w:rPr>
        <w:t xml:space="preserve"> will also be analyzed</w:t>
      </w:r>
      <w:r w:rsidR="008E5A3F">
        <w:rPr>
          <w:rFonts w:ascii="Times New Roman" w:hAnsi="Times New Roman" w:cs="Times New Roman"/>
        </w:rPr>
        <w:t xml:space="preserve">. </w:t>
      </w:r>
    </w:p>
    <w:p w:rsidR="00E43141" w:rsidP="00E43141" w14:paraId="00554EC3" w14:textId="77777777">
      <w:pPr>
        <w:pStyle w:val="Default"/>
        <w:rPr>
          <w:rFonts w:ascii="Times New Roman" w:hAnsi="Times New Roman" w:cs="Times New Roman"/>
        </w:rPr>
      </w:pPr>
    </w:p>
    <w:p w:rsidR="00E43141" w:rsidP="00E43141" w14:paraId="63BB4A8E" w14:textId="74BA2615">
      <w:pPr>
        <w:pStyle w:val="Default"/>
        <w:rPr>
          <w:rFonts w:ascii="Times New Roman" w:hAnsi="Times New Roman" w:cs="Times New Roman"/>
        </w:rPr>
      </w:pPr>
      <w:r w:rsidRPr="00704736">
        <w:rPr>
          <w:rFonts w:ascii="Times New Roman" w:hAnsi="Times New Roman" w:cs="Times New Roman"/>
          <w:i/>
          <w:iCs/>
        </w:rPr>
        <w:t xml:space="preserve">Study </w:t>
      </w:r>
      <w:r w:rsidRPr="00704736" w:rsidR="00EA3AD2">
        <w:rPr>
          <w:rFonts w:ascii="Times New Roman" w:hAnsi="Times New Roman" w:cs="Times New Roman"/>
          <w:i/>
          <w:iCs/>
        </w:rPr>
        <w:t xml:space="preserve">2 </w:t>
      </w:r>
      <w:r w:rsidRPr="00704736" w:rsidR="003E2992">
        <w:rPr>
          <w:rFonts w:ascii="Times New Roman" w:hAnsi="Times New Roman" w:cs="Times New Roman"/>
          <w:i/>
          <w:iCs/>
        </w:rPr>
        <w:t>/ Pilot Test for Other Road Users.</w:t>
      </w:r>
      <w:r w:rsidR="003E2992">
        <w:rPr>
          <w:rFonts w:ascii="Times New Roman" w:hAnsi="Times New Roman" w:cs="Times New Roman"/>
        </w:rPr>
        <w:t xml:space="preserve"> </w:t>
      </w:r>
      <w:r w:rsidR="007B0524">
        <w:rPr>
          <w:rFonts w:ascii="Times New Roman" w:hAnsi="Times New Roman" w:cs="Times New Roman"/>
        </w:rPr>
        <w:t>Study 2</w:t>
      </w:r>
      <w:r w:rsidR="003E2992">
        <w:rPr>
          <w:rFonts w:ascii="Times New Roman" w:hAnsi="Times New Roman" w:cs="Times New Roman"/>
        </w:rPr>
        <w:t xml:space="preserve"> examines </w:t>
      </w:r>
      <w:r>
        <w:rPr>
          <w:rFonts w:ascii="Times New Roman" w:hAnsi="Times New Roman" w:cs="Times New Roman"/>
        </w:rPr>
        <w:t xml:space="preserve">the </w:t>
      </w:r>
      <w:r w:rsidR="00426781">
        <w:rPr>
          <w:rFonts w:ascii="Times New Roman" w:hAnsi="Times New Roman" w:cs="Times New Roman"/>
        </w:rPr>
        <w:t>viability</w:t>
      </w:r>
      <w:r>
        <w:rPr>
          <w:rFonts w:ascii="Times New Roman" w:hAnsi="Times New Roman" w:cs="Times New Roman"/>
        </w:rPr>
        <w:t xml:space="preserve"> of a</w:t>
      </w:r>
      <w:r w:rsidR="00672496">
        <w:rPr>
          <w:rFonts w:ascii="Times New Roman" w:hAnsi="Times New Roman" w:cs="Times New Roman"/>
        </w:rPr>
        <w:t xml:space="preserve"> stand-alone</w:t>
      </w:r>
      <w:r w:rsidR="00DA5CD1">
        <w:rPr>
          <w:rFonts w:ascii="Times New Roman" w:hAnsi="Times New Roman" w:cs="Times New Roman"/>
        </w:rPr>
        <w:t xml:space="preserve"> roadside survey </w:t>
      </w:r>
      <w:r>
        <w:rPr>
          <w:rFonts w:ascii="Times New Roman" w:hAnsi="Times New Roman" w:cs="Times New Roman"/>
        </w:rPr>
        <w:t xml:space="preserve">focused </w:t>
      </w:r>
      <w:r w:rsidR="0034212C">
        <w:rPr>
          <w:rFonts w:ascii="Times New Roman" w:hAnsi="Times New Roman" w:cs="Times New Roman"/>
        </w:rPr>
        <w:t xml:space="preserve">solely </w:t>
      </w:r>
      <w:r>
        <w:rPr>
          <w:rFonts w:ascii="Times New Roman" w:hAnsi="Times New Roman" w:cs="Times New Roman"/>
        </w:rPr>
        <w:t xml:space="preserve">on </w:t>
      </w:r>
      <w:r w:rsidR="00F12D3C">
        <w:rPr>
          <w:rFonts w:ascii="Times New Roman" w:hAnsi="Times New Roman" w:cs="Times New Roman"/>
        </w:rPr>
        <w:t>ORUs</w:t>
      </w:r>
      <w:r>
        <w:rPr>
          <w:rFonts w:ascii="Times New Roman" w:hAnsi="Times New Roman" w:cs="Times New Roman"/>
        </w:rPr>
        <w:t>. This effort</w:t>
      </w:r>
      <w:r w:rsidR="003E2992">
        <w:rPr>
          <w:rFonts w:ascii="Times New Roman" w:hAnsi="Times New Roman" w:cs="Times New Roman"/>
        </w:rPr>
        <w:t xml:space="preserve"> use</w:t>
      </w:r>
      <w:r w:rsidR="000608A5">
        <w:rPr>
          <w:rFonts w:ascii="Times New Roman" w:hAnsi="Times New Roman" w:cs="Times New Roman"/>
        </w:rPr>
        <w:t>s</w:t>
      </w:r>
      <w:r w:rsidR="003E2992">
        <w:rPr>
          <w:rFonts w:ascii="Times New Roman" w:hAnsi="Times New Roman" w:cs="Times New Roman"/>
        </w:rPr>
        <w:t xml:space="preserve"> </w:t>
      </w:r>
      <w:r>
        <w:rPr>
          <w:rFonts w:ascii="Times New Roman" w:hAnsi="Times New Roman" w:cs="Times New Roman"/>
        </w:rPr>
        <w:t xml:space="preserve">20 </w:t>
      </w:r>
      <w:r w:rsidR="00E669C3">
        <w:rPr>
          <w:rFonts w:ascii="Times New Roman" w:hAnsi="Times New Roman" w:cs="Times New Roman"/>
        </w:rPr>
        <w:t xml:space="preserve">new </w:t>
      </w:r>
      <w:r w:rsidR="0073573C">
        <w:rPr>
          <w:rFonts w:ascii="Times New Roman" w:hAnsi="Times New Roman" w:cs="Times New Roman"/>
        </w:rPr>
        <w:t xml:space="preserve">data collection </w:t>
      </w:r>
      <w:r>
        <w:rPr>
          <w:rFonts w:ascii="Times New Roman" w:hAnsi="Times New Roman" w:cs="Times New Roman"/>
        </w:rPr>
        <w:t>locations</w:t>
      </w:r>
      <w:r w:rsidR="003E2992">
        <w:rPr>
          <w:rFonts w:ascii="Times New Roman" w:hAnsi="Times New Roman" w:cs="Times New Roman"/>
        </w:rPr>
        <w:t xml:space="preserve">, </w:t>
      </w:r>
      <w:r w:rsidR="00E669C3">
        <w:rPr>
          <w:rFonts w:ascii="Times New Roman" w:hAnsi="Times New Roman" w:cs="Times New Roman"/>
        </w:rPr>
        <w:t>inclusive</w:t>
      </w:r>
      <w:r w:rsidR="003E2992">
        <w:rPr>
          <w:rFonts w:ascii="Times New Roman" w:hAnsi="Times New Roman" w:cs="Times New Roman"/>
        </w:rPr>
        <w:t xml:space="preserve"> of 4</w:t>
      </w:r>
      <w:r w:rsidR="00E669C3">
        <w:rPr>
          <w:rFonts w:ascii="Times New Roman" w:hAnsi="Times New Roman" w:cs="Times New Roman"/>
        </w:rPr>
        <w:t xml:space="preserve"> PSUs</w:t>
      </w:r>
      <w:r w:rsidR="003E2992">
        <w:rPr>
          <w:rFonts w:ascii="Times New Roman" w:hAnsi="Times New Roman" w:cs="Times New Roman"/>
        </w:rPr>
        <w:t xml:space="preserve"> with 5 locations each.</w:t>
      </w:r>
      <w:r>
        <w:rPr>
          <w:rFonts w:ascii="Times New Roman" w:hAnsi="Times New Roman" w:cs="Times New Roman"/>
        </w:rPr>
        <w:t xml:space="preserve"> </w:t>
      </w:r>
      <w:r w:rsidR="000608A5">
        <w:rPr>
          <w:rFonts w:ascii="Times New Roman" w:hAnsi="Times New Roman" w:cs="Times New Roman"/>
        </w:rPr>
        <w:t xml:space="preserve">This effort is to inform </w:t>
      </w:r>
      <w:r w:rsidR="00AF1434">
        <w:rPr>
          <w:rFonts w:ascii="Times New Roman" w:hAnsi="Times New Roman" w:cs="Times New Roman"/>
        </w:rPr>
        <w:t>NHTSA</w:t>
      </w:r>
      <w:r w:rsidR="000608A5">
        <w:rPr>
          <w:rFonts w:ascii="Times New Roman" w:hAnsi="Times New Roman" w:cs="Times New Roman"/>
        </w:rPr>
        <w:t xml:space="preserve"> on the feasibility of such a targeted roadside survey and to </w:t>
      </w:r>
      <w:r w:rsidR="00E669C3">
        <w:rPr>
          <w:rFonts w:ascii="Times New Roman" w:hAnsi="Times New Roman" w:cs="Times New Roman"/>
        </w:rPr>
        <w:t xml:space="preserve">determine </w:t>
      </w:r>
      <w:r w:rsidR="000608A5">
        <w:rPr>
          <w:rFonts w:ascii="Times New Roman" w:hAnsi="Times New Roman" w:cs="Times New Roman"/>
        </w:rPr>
        <w:t>the</w:t>
      </w:r>
      <w:r>
        <w:rPr>
          <w:rFonts w:ascii="Times New Roman" w:hAnsi="Times New Roman" w:cs="Times New Roman"/>
        </w:rPr>
        <w:t xml:space="preserve"> level of effort to execute a </w:t>
      </w:r>
      <w:r w:rsidR="00B7543B">
        <w:rPr>
          <w:rFonts w:ascii="Times New Roman" w:hAnsi="Times New Roman" w:cs="Times New Roman"/>
        </w:rPr>
        <w:t xml:space="preserve">nationwide study of </w:t>
      </w:r>
      <w:r>
        <w:rPr>
          <w:rFonts w:ascii="Times New Roman" w:hAnsi="Times New Roman" w:cs="Times New Roman"/>
        </w:rPr>
        <w:t>ORU</w:t>
      </w:r>
      <w:r w:rsidR="00B7543B">
        <w:rPr>
          <w:rFonts w:ascii="Times New Roman" w:hAnsi="Times New Roman" w:cs="Times New Roman"/>
        </w:rPr>
        <w:t>s</w:t>
      </w:r>
      <w:r>
        <w:rPr>
          <w:rFonts w:ascii="Times New Roman" w:hAnsi="Times New Roman" w:cs="Times New Roman"/>
        </w:rPr>
        <w:t>.</w:t>
      </w:r>
      <w:r w:rsidR="008E5A3F">
        <w:rPr>
          <w:rFonts w:ascii="Times New Roman" w:hAnsi="Times New Roman" w:cs="Times New Roman"/>
        </w:rPr>
        <w:t xml:space="preserve"> </w:t>
      </w:r>
      <w:r w:rsidR="00AF1434">
        <w:rPr>
          <w:rFonts w:ascii="Times New Roman" w:hAnsi="Times New Roman" w:cs="Times New Roman"/>
        </w:rPr>
        <w:t>T</w:t>
      </w:r>
      <w:r w:rsidR="0018021D">
        <w:rPr>
          <w:rFonts w:ascii="Times New Roman" w:hAnsi="Times New Roman" w:cs="Times New Roman"/>
        </w:rPr>
        <w:t>h</w:t>
      </w:r>
      <w:r w:rsidR="008E5A3F">
        <w:rPr>
          <w:rFonts w:ascii="Times New Roman" w:hAnsi="Times New Roman" w:cs="Times New Roman"/>
        </w:rPr>
        <w:t>e same</w:t>
      </w:r>
      <w:r w:rsidR="00E669C3">
        <w:rPr>
          <w:rFonts w:ascii="Times New Roman" w:hAnsi="Times New Roman" w:cs="Times New Roman"/>
        </w:rPr>
        <w:t xml:space="preserve"> procedures</w:t>
      </w:r>
      <w:r w:rsidR="00AF1434">
        <w:rPr>
          <w:rFonts w:ascii="Times New Roman" w:hAnsi="Times New Roman" w:cs="Times New Roman"/>
        </w:rPr>
        <w:t xml:space="preserve"> </w:t>
      </w:r>
      <w:r w:rsidR="009044BF">
        <w:rPr>
          <w:rFonts w:ascii="Times New Roman" w:hAnsi="Times New Roman" w:cs="Times New Roman"/>
        </w:rPr>
        <w:t xml:space="preserve">as </w:t>
      </w:r>
      <w:r>
        <w:rPr>
          <w:rFonts w:ascii="Times New Roman" w:hAnsi="Times New Roman" w:cs="Times New Roman"/>
        </w:rPr>
        <w:t>S</w:t>
      </w:r>
      <w:r w:rsidR="009044BF">
        <w:rPr>
          <w:rFonts w:ascii="Times New Roman" w:hAnsi="Times New Roman" w:cs="Times New Roman"/>
        </w:rPr>
        <w:t>tudy</w:t>
      </w:r>
      <w:r>
        <w:rPr>
          <w:rFonts w:ascii="Times New Roman" w:hAnsi="Times New Roman" w:cs="Times New Roman"/>
        </w:rPr>
        <w:t xml:space="preserve"> 1</w:t>
      </w:r>
      <w:r w:rsidR="00AF1434">
        <w:rPr>
          <w:rFonts w:ascii="Times New Roman" w:hAnsi="Times New Roman" w:cs="Times New Roman"/>
        </w:rPr>
        <w:t xml:space="preserve"> will be </w:t>
      </w:r>
      <w:r w:rsidR="00E669C3">
        <w:rPr>
          <w:rFonts w:ascii="Times New Roman" w:hAnsi="Times New Roman" w:cs="Times New Roman"/>
        </w:rPr>
        <w:t>used.</w:t>
      </w:r>
    </w:p>
    <w:p w:rsidR="00E43141" w:rsidP="00E43141" w14:paraId="232820E0" w14:textId="77777777">
      <w:pPr>
        <w:pStyle w:val="Default"/>
        <w:rPr>
          <w:rFonts w:ascii="Times New Roman" w:hAnsi="Times New Roman" w:cs="Times New Roman"/>
        </w:rPr>
      </w:pPr>
    </w:p>
    <w:p w:rsidR="00E43141" w:rsidRPr="00C02E7E" w:rsidP="00E43141" w14:paraId="5581F9D4" w14:textId="6A6ACE1C">
      <w:pPr>
        <w:pStyle w:val="Default"/>
        <w:rPr>
          <w:rFonts w:ascii="Times New Roman" w:hAnsi="Times New Roman" w:cs="Times New Roman"/>
        </w:rPr>
      </w:pPr>
      <w:r w:rsidRPr="00C02E7E">
        <w:rPr>
          <w:rFonts w:ascii="Times New Roman" w:hAnsi="Times New Roman" w:cs="Times New Roman"/>
        </w:rPr>
        <w:t>NHTSA will use the information</w:t>
      </w:r>
      <w:r>
        <w:rPr>
          <w:rFonts w:ascii="Times New Roman" w:hAnsi="Times New Roman" w:cs="Times New Roman"/>
        </w:rPr>
        <w:t xml:space="preserve"> from </w:t>
      </w:r>
      <w:r w:rsidR="006C4241">
        <w:rPr>
          <w:rFonts w:ascii="Times New Roman" w:hAnsi="Times New Roman" w:cs="Times New Roman"/>
        </w:rPr>
        <w:t>both studies</w:t>
      </w:r>
      <w:r w:rsidRPr="00C02E7E">
        <w:rPr>
          <w:rFonts w:ascii="Times New Roman" w:hAnsi="Times New Roman" w:cs="Times New Roman"/>
        </w:rPr>
        <w:t xml:space="preserve"> to produce technical report</w:t>
      </w:r>
      <w:r w:rsidR="00672496">
        <w:rPr>
          <w:rFonts w:ascii="Times New Roman" w:hAnsi="Times New Roman" w:cs="Times New Roman"/>
        </w:rPr>
        <w:t>s</w:t>
      </w:r>
      <w:r w:rsidR="0018021D">
        <w:rPr>
          <w:rFonts w:ascii="Times New Roman" w:hAnsi="Times New Roman" w:cs="Times New Roman"/>
        </w:rPr>
        <w:t xml:space="preserve"> </w:t>
      </w:r>
      <w:r w:rsidRPr="00C02E7E">
        <w:rPr>
          <w:rFonts w:ascii="Times New Roman" w:hAnsi="Times New Roman" w:cs="Times New Roman"/>
        </w:rPr>
        <w:t>present</w:t>
      </w:r>
      <w:r w:rsidR="00672496">
        <w:rPr>
          <w:rFonts w:ascii="Times New Roman" w:hAnsi="Times New Roman" w:cs="Times New Roman"/>
        </w:rPr>
        <w:t>ing</w:t>
      </w:r>
      <w:r w:rsidRPr="00C02E7E">
        <w:rPr>
          <w:rFonts w:ascii="Times New Roman" w:hAnsi="Times New Roman" w:cs="Times New Roman"/>
        </w:rPr>
        <w:t xml:space="preserve"> the </w:t>
      </w:r>
      <w:r>
        <w:rPr>
          <w:rFonts w:ascii="Times New Roman" w:hAnsi="Times New Roman" w:cs="Times New Roman"/>
        </w:rPr>
        <w:t>findings</w:t>
      </w:r>
      <w:r w:rsidRPr="00C02E7E">
        <w:rPr>
          <w:rFonts w:ascii="Times New Roman" w:hAnsi="Times New Roman" w:cs="Times New Roman"/>
        </w:rPr>
        <w:t>. The technical report</w:t>
      </w:r>
      <w:r w:rsidR="00D0377E">
        <w:rPr>
          <w:rFonts w:ascii="Times New Roman" w:hAnsi="Times New Roman" w:cs="Times New Roman"/>
        </w:rPr>
        <w:t>s</w:t>
      </w:r>
      <w:r w:rsidRPr="00C02E7E">
        <w:rPr>
          <w:rFonts w:ascii="Times New Roman" w:hAnsi="Times New Roman" w:cs="Times New Roman"/>
        </w:rPr>
        <w:t xml:space="preserve"> will provide only aggregate (summary) statistics and tables; no </w:t>
      </w:r>
      <w:r>
        <w:rPr>
          <w:rFonts w:ascii="Times New Roman" w:hAnsi="Times New Roman" w:cs="Times New Roman"/>
        </w:rPr>
        <w:t>PII</w:t>
      </w:r>
      <w:r w:rsidRPr="00C02E7E">
        <w:rPr>
          <w:rFonts w:ascii="Times New Roman" w:hAnsi="Times New Roman" w:cs="Times New Roman"/>
        </w:rPr>
        <w:t xml:space="preserve"> will be</w:t>
      </w:r>
      <w:r>
        <w:rPr>
          <w:rFonts w:ascii="Times New Roman" w:hAnsi="Times New Roman" w:cs="Times New Roman"/>
        </w:rPr>
        <w:t xml:space="preserve"> retained or</w:t>
      </w:r>
      <w:r w:rsidRPr="00C02E7E">
        <w:rPr>
          <w:rFonts w:ascii="Times New Roman" w:hAnsi="Times New Roman" w:cs="Times New Roman"/>
        </w:rPr>
        <w:t xml:space="preserve"> </w:t>
      </w:r>
      <w:r>
        <w:rPr>
          <w:rFonts w:ascii="Times New Roman" w:hAnsi="Times New Roman" w:cs="Times New Roman"/>
        </w:rPr>
        <w:t>reported</w:t>
      </w:r>
      <w:r w:rsidRPr="00C02E7E">
        <w:rPr>
          <w:rFonts w:ascii="Times New Roman" w:hAnsi="Times New Roman" w:cs="Times New Roman"/>
        </w:rPr>
        <w:t>. The</w:t>
      </w:r>
      <w:r w:rsidR="009044BF">
        <w:rPr>
          <w:rFonts w:ascii="Times New Roman" w:hAnsi="Times New Roman" w:cs="Times New Roman"/>
        </w:rPr>
        <w:t xml:space="preserve"> </w:t>
      </w:r>
      <w:r w:rsidR="00AE3CE3">
        <w:rPr>
          <w:rFonts w:ascii="Times New Roman" w:hAnsi="Times New Roman" w:cs="Times New Roman"/>
        </w:rPr>
        <w:t xml:space="preserve">Study </w:t>
      </w:r>
      <w:r w:rsidR="009044BF">
        <w:rPr>
          <w:rFonts w:ascii="Times New Roman" w:hAnsi="Times New Roman" w:cs="Times New Roman"/>
        </w:rPr>
        <w:t>1</w:t>
      </w:r>
      <w:r w:rsidRPr="00C02E7E">
        <w:rPr>
          <w:rFonts w:ascii="Times New Roman" w:hAnsi="Times New Roman" w:cs="Times New Roman"/>
        </w:rPr>
        <w:t xml:space="preserve"> technical report </w:t>
      </w:r>
      <w:r w:rsidR="000608A5">
        <w:rPr>
          <w:rFonts w:ascii="Times New Roman" w:hAnsi="Times New Roman" w:cs="Times New Roman"/>
        </w:rPr>
        <w:t xml:space="preserve">is for </w:t>
      </w:r>
      <w:r w:rsidRPr="00C02E7E">
        <w:rPr>
          <w:rFonts w:ascii="Times New Roman" w:hAnsi="Times New Roman" w:cs="Times New Roman"/>
        </w:rPr>
        <w:t xml:space="preserve">audiences interested in </w:t>
      </w:r>
      <w:r w:rsidR="000608A5">
        <w:rPr>
          <w:rFonts w:ascii="Times New Roman" w:hAnsi="Times New Roman" w:cs="Times New Roman"/>
        </w:rPr>
        <w:t xml:space="preserve">traffic </w:t>
      </w:r>
      <w:r w:rsidRPr="00C02E7E">
        <w:rPr>
          <w:rFonts w:ascii="Times New Roman" w:hAnsi="Times New Roman" w:cs="Times New Roman"/>
        </w:rPr>
        <w:t xml:space="preserve">safety. </w:t>
      </w:r>
      <w:r w:rsidR="008E5A3F">
        <w:rPr>
          <w:rFonts w:ascii="Times New Roman" w:hAnsi="Times New Roman" w:cs="Times New Roman"/>
        </w:rPr>
        <w:t xml:space="preserve">The information from </w:t>
      </w:r>
      <w:r w:rsidR="00AE3CE3">
        <w:rPr>
          <w:rFonts w:ascii="Times New Roman" w:hAnsi="Times New Roman" w:cs="Times New Roman"/>
        </w:rPr>
        <w:t>Study</w:t>
      </w:r>
      <w:r w:rsidR="009044BF">
        <w:rPr>
          <w:rFonts w:ascii="Times New Roman" w:hAnsi="Times New Roman" w:cs="Times New Roman"/>
        </w:rPr>
        <w:t xml:space="preserve"> 2</w:t>
      </w:r>
      <w:r w:rsidR="00D0377E">
        <w:rPr>
          <w:rFonts w:ascii="Times New Roman" w:hAnsi="Times New Roman" w:cs="Times New Roman"/>
        </w:rPr>
        <w:t xml:space="preserve"> </w:t>
      </w:r>
      <w:r w:rsidR="008E5A3F">
        <w:rPr>
          <w:rFonts w:ascii="Times New Roman" w:hAnsi="Times New Roman" w:cs="Times New Roman"/>
        </w:rPr>
        <w:t xml:space="preserve">will also be used by NHTSA in consideration of research on </w:t>
      </w:r>
      <w:r w:rsidR="00D0377E">
        <w:rPr>
          <w:rFonts w:ascii="Times New Roman" w:hAnsi="Times New Roman" w:cs="Times New Roman"/>
        </w:rPr>
        <w:t>ORUs</w:t>
      </w:r>
      <w:r w:rsidR="008E5A3F">
        <w:rPr>
          <w:rFonts w:ascii="Times New Roman" w:hAnsi="Times New Roman" w:cs="Times New Roman"/>
        </w:rPr>
        <w:t xml:space="preserve">. </w:t>
      </w:r>
    </w:p>
    <w:p w:rsidR="008F0F19" w:rsidRPr="00C02E7E" w:rsidP="008F0F19" w14:paraId="7B12FE6C" w14:textId="77777777">
      <w:pPr>
        <w:pStyle w:val="Default"/>
        <w:rPr>
          <w:rFonts w:ascii="Times New Roman" w:hAnsi="Times New Roman" w:cs="Times New Roman"/>
        </w:rPr>
      </w:pPr>
    </w:p>
    <w:p w:rsidR="0093273E" w:rsidRPr="0062715C" w:rsidP="00413700" w14:paraId="152BAD56" w14:textId="1A067C5C">
      <w:pPr>
        <w:spacing w:after="160"/>
        <w:rPr>
          <w:rStyle w:val="Heading1Char"/>
          <w:b w:val="0"/>
        </w:rPr>
      </w:pPr>
      <w:r w:rsidRPr="00413700">
        <w:rPr>
          <w:rStyle w:val="Heading1Char"/>
        </w:rPr>
        <w:t>A.1.</w:t>
      </w:r>
      <w:r w:rsidRPr="00413700">
        <w:rPr>
          <w:rStyle w:val="Heading1Char"/>
        </w:rPr>
        <w:tab/>
        <w:t>Explain the circumstances that make the collection of information necessary.</w:t>
      </w:r>
      <w:bookmarkEnd w:id="3"/>
      <w:r w:rsidRPr="00413700">
        <w:rPr>
          <w:rStyle w:val="Heading1Char"/>
        </w:rPr>
        <w:t xml:space="preserve"> Identify any legal and administrative requirements that necessitate the collection</w:t>
      </w:r>
      <w:r w:rsidRPr="0062715C">
        <w:rPr>
          <w:rStyle w:val="Heading1Char"/>
          <w:b w:val="0"/>
        </w:rPr>
        <w:t xml:space="preserve">. </w:t>
      </w:r>
    </w:p>
    <w:p w:rsidR="00F60C7E" w:rsidP="00F60C7E" w14:paraId="1068A73A" w14:textId="46B9D232">
      <w:pPr>
        <w:numPr>
          <w:ilvl w:val="0"/>
          <w:numId w:val="4"/>
        </w:numPr>
        <w:outlineLvl w:val="2"/>
        <w:rPr>
          <w:b/>
          <w:i/>
          <w:spacing w:val="15"/>
        </w:rPr>
      </w:pPr>
      <w:bookmarkStart w:id="4" w:name="_Toc6900676"/>
      <w:r w:rsidRPr="0093273E">
        <w:rPr>
          <w:b/>
          <w:i/>
          <w:spacing w:val="15"/>
        </w:rPr>
        <w:t>Circumstances making the collection necessary</w:t>
      </w:r>
      <w:bookmarkEnd w:id="4"/>
      <w:r w:rsidR="00522FC8">
        <w:rPr>
          <w:b/>
          <w:i/>
          <w:spacing w:val="15"/>
        </w:rPr>
        <w:t>.</w:t>
      </w:r>
    </w:p>
    <w:p w:rsidR="007C1C37" w:rsidP="0062715C" w14:paraId="5E51CA8B" w14:textId="690B5CAF">
      <w:pPr>
        <w:pStyle w:val="Default"/>
        <w:rPr>
          <w:rFonts w:ascii="Times New Roman" w:hAnsi="Times New Roman" w:cs="Times New Roman"/>
        </w:rPr>
      </w:pPr>
      <w:bookmarkStart w:id="5" w:name="OLE_LINK19"/>
      <w:r w:rsidRPr="0062715C">
        <w:rPr>
          <w:rFonts w:ascii="Times New Roman" w:hAnsi="Times New Roman" w:cs="Times New Roman"/>
        </w:rPr>
        <w:t xml:space="preserve">NHTSA was established to reduce deaths, injuries, and economic losses resulting from motor vehicle crashes on the Nation’s highways. As part of this statutory mandate, NHTSA is authorized to conduct research for the development of traffic safety programs. Title 23, United States Code, Chapter 4, Section 403 gives the Secretary of Transportation (NHTSA by delegation) authorization to use funds appropriated to conduct research and development activities. The agency develops, promotes, and implements educational, engineering, and enforcement programs with the goal of ending preventable tragedies and reducing economic costs associated with vehicle use and highway travel. </w:t>
      </w:r>
      <w:bookmarkEnd w:id="5"/>
      <w:r w:rsidRPr="0062715C">
        <w:rPr>
          <w:rFonts w:ascii="Times New Roman" w:hAnsi="Times New Roman" w:cs="Times New Roman"/>
        </w:rPr>
        <w:t xml:space="preserve">Current data is essential to develop appropriate approaches to improve traffic safety. This is especially true for information on impaired driving, both for alcohol, and for drug use and driving where data is much more limited. </w:t>
      </w:r>
    </w:p>
    <w:p w:rsidR="0062715C" w:rsidRPr="0062715C" w:rsidP="0062715C" w14:paraId="528B6D85" w14:textId="77777777">
      <w:pPr>
        <w:pStyle w:val="Default"/>
        <w:rPr>
          <w:rFonts w:ascii="Times New Roman" w:hAnsi="Times New Roman" w:cs="Times New Roman"/>
        </w:rPr>
      </w:pPr>
    </w:p>
    <w:p w:rsidR="007C1C37" w:rsidRPr="0062715C" w:rsidP="0062715C" w14:paraId="5196A703" w14:textId="46A3934C">
      <w:pPr>
        <w:pStyle w:val="Default"/>
        <w:rPr>
          <w:rFonts w:ascii="Times New Roman" w:hAnsi="Times New Roman" w:cs="Times New Roman"/>
        </w:rPr>
      </w:pPr>
      <w:r w:rsidRPr="0062715C">
        <w:rPr>
          <w:rFonts w:ascii="Times New Roman" w:hAnsi="Times New Roman" w:cs="Times New Roman"/>
        </w:rPr>
        <w:t xml:space="preserve">Drugs affect biology, perception, psychomotor ability, and behavior. With the exception of alcohol, however, relatively little is known about the prevalence of drugged driving on U.S. roadways. Given the number of States legalizing medicinal and/or recreational use of cannabis, and other issues such as the apparent increase in opioid use in the U.S., more information is needed on the level of alcohol-involved and other drug-involved driving to better inform NHTSA’s countermeasure development efforts. The results of this project will assist NHTSA as the agency develops its programmatic activities aimed at reducing crashes and fatalities that may be associated with the use of alcohol and/or other drugs. </w:t>
      </w:r>
    </w:p>
    <w:p w:rsidR="007342A6" w14:paraId="0D5F5E51" w14:textId="77777777">
      <w:pPr>
        <w:spacing w:after="0"/>
        <w:rPr>
          <w:b/>
          <w:iCs/>
          <w:spacing w:val="15"/>
        </w:rPr>
      </w:pPr>
    </w:p>
    <w:p w:rsidR="003B4C87" w:rsidRPr="003B4C87" w:rsidP="008F24D9" w14:paraId="6A920D78" w14:textId="1CE49EDC">
      <w:pPr>
        <w:keepNext/>
        <w:numPr>
          <w:ilvl w:val="0"/>
          <w:numId w:val="4"/>
        </w:numPr>
        <w:spacing w:before="240"/>
        <w:outlineLvl w:val="2"/>
        <w:rPr>
          <w:b/>
          <w:i/>
          <w:spacing w:val="15"/>
        </w:rPr>
      </w:pPr>
      <w:r w:rsidRPr="003B4C87">
        <w:rPr>
          <w:b/>
          <w:i/>
          <w:spacing w:val="15"/>
        </w:rPr>
        <w:t>Statute authorizing the collection of information</w:t>
      </w:r>
      <w:r w:rsidR="0007044B">
        <w:rPr>
          <w:b/>
          <w:i/>
          <w:spacing w:val="15"/>
        </w:rPr>
        <w:t>.</w:t>
      </w:r>
    </w:p>
    <w:p w:rsidR="00F60C7E" w:rsidP="00F60C7E" w14:paraId="1622DD17" w14:textId="4D80E089">
      <w:bookmarkStart w:id="6" w:name="_Toc125278814"/>
      <w:bookmarkStart w:id="7" w:name="_Toc125341737"/>
      <w:bookmarkStart w:id="8" w:name="_Toc125447295"/>
      <w:bookmarkStart w:id="9" w:name="_Toc126394123"/>
      <w:r w:rsidRPr="0007044B">
        <w:t>Title 23, United States Code, Chapter 4, Section 403</w:t>
      </w:r>
      <w:r w:rsidRPr="00F60C7E">
        <w:rPr>
          <w:b/>
          <w:bCs/>
        </w:rPr>
        <w:t xml:space="preserve"> </w:t>
      </w:r>
      <w:r>
        <w:t xml:space="preserve">authorizes </w:t>
      </w:r>
      <w:r w:rsidRPr="006B767C">
        <w:t>NHTSA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vehicle, highway, driver, passenger, motorcyclist, bicyclist, and pedestrian characteristics;</w:t>
      </w:r>
      <w:r w:rsidR="00A80677">
        <w:t xml:space="preserve"> </w:t>
      </w:r>
      <w:r w:rsidRPr="006B767C">
        <w:t>accident causation and investigations; and human behavioral factors and their effect on highway and traffic safety. [See 23 U.S.C. 403(b)(1)(A)(</w:t>
      </w:r>
      <w:r w:rsidRPr="006B767C">
        <w:t>i</w:t>
      </w:r>
      <w:r w:rsidRPr="006B767C">
        <w:t>), 23 U.S.C. 403(b)(1)(A)(ii), 23 U.S.C. 403(b)(1)(B)].</w:t>
      </w:r>
    </w:p>
    <w:p w:rsidR="00C800ED" w:rsidRPr="00470EC1" w:rsidP="00413700" w14:paraId="068256DB" w14:textId="0C56A547">
      <w:pPr>
        <w:pStyle w:val="Heading1"/>
      </w:pPr>
      <w:r>
        <w:t>A.2.</w:t>
      </w:r>
      <w:r w:rsidRPr="00470EC1">
        <w:tab/>
        <w:t>Indicate how, by whom, and for what purpose the information is to be used.</w:t>
      </w:r>
      <w:bookmarkEnd w:id="6"/>
      <w:bookmarkEnd w:id="7"/>
      <w:r w:rsidRPr="00470EC1">
        <w:t xml:space="preserve"> Except for a new collection, indicate the actual use the agency has made of the information received from the current collection.</w:t>
      </w:r>
      <w:bookmarkEnd w:id="8"/>
      <w:bookmarkEnd w:id="9"/>
    </w:p>
    <w:p w:rsidR="00E43141" w:rsidP="004B21B7" w14:paraId="6D4BCE86" w14:textId="31D05B99">
      <w:pPr>
        <w:rPr>
          <w:b/>
        </w:rPr>
      </w:pPr>
      <w:bookmarkStart w:id="10" w:name="_Toc125278815"/>
      <w:bookmarkStart w:id="11" w:name="_Toc125341738"/>
      <w:bookmarkStart w:id="12" w:name="_Toc125447296"/>
      <w:bookmarkStart w:id="13" w:name="_Toc126394124"/>
      <w:r w:rsidRPr="006B767C">
        <w:rPr>
          <w:color w:val="000000"/>
        </w:rPr>
        <w:t>This is a new collection of information</w:t>
      </w:r>
      <w:r w:rsidR="00C82841">
        <w:rPr>
          <w:color w:val="000000"/>
        </w:rPr>
        <w:t>.</w:t>
      </w:r>
      <w:r w:rsidRPr="006B767C">
        <w:rPr>
          <w:color w:val="000000"/>
        </w:rPr>
        <w:t xml:space="preserve"> NHTSA will use the information gathered to produce technical report</w:t>
      </w:r>
      <w:r w:rsidR="0099207E">
        <w:rPr>
          <w:color w:val="000000"/>
        </w:rPr>
        <w:t>s</w:t>
      </w:r>
      <w:r w:rsidRPr="006B767C">
        <w:rPr>
          <w:color w:val="000000"/>
        </w:rPr>
        <w:t xml:space="preserve"> that present the results of the stud</w:t>
      </w:r>
      <w:r w:rsidR="0099207E">
        <w:rPr>
          <w:color w:val="000000"/>
        </w:rPr>
        <w:t>ies</w:t>
      </w:r>
      <w:r w:rsidRPr="006B767C">
        <w:rPr>
          <w:color w:val="000000"/>
        </w:rPr>
        <w:t>. The technical report</w:t>
      </w:r>
      <w:r w:rsidR="0099207E">
        <w:rPr>
          <w:color w:val="000000"/>
        </w:rPr>
        <w:t>s</w:t>
      </w:r>
      <w:r w:rsidRPr="006B767C">
        <w:rPr>
          <w:color w:val="000000"/>
        </w:rPr>
        <w:t xml:space="preserve"> will provide aggregate (summary) statistics and tables as well as the results of statistical analyses of the information</w:t>
      </w:r>
      <w:r w:rsidR="009C6D15">
        <w:rPr>
          <w:color w:val="000000"/>
        </w:rPr>
        <w:t xml:space="preserve">. </w:t>
      </w:r>
      <w:r w:rsidRPr="006B767C">
        <w:rPr>
          <w:color w:val="000000"/>
        </w:rPr>
        <w:t>The technical report</w:t>
      </w:r>
      <w:r w:rsidR="0099207E">
        <w:rPr>
          <w:color w:val="000000"/>
        </w:rPr>
        <w:t>s</w:t>
      </w:r>
      <w:r w:rsidRPr="006B767C">
        <w:rPr>
          <w:color w:val="000000"/>
        </w:rPr>
        <w:t xml:space="preserve"> will be shared with State Highway Safety Offices and other stakeholders interested in improving </w:t>
      </w:r>
      <w:r w:rsidR="007342A6">
        <w:rPr>
          <w:color w:val="000000"/>
        </w:rPr>
        <w:t>traffic</w:t>
      </w:r>
      <w:r w:rsidRPr="006B767C">
        <w:rPr>
          <w:color w:val="000000"/>
        </w:rPr>
        <w:t xml:space="preserve"> safety. Study results will be used by NHTSA to inform State and Federal policy on drugs and driving.</w:t>
      </w:r>
      <w:r w:rsidR="006200D1">
        <w:rPr>
          <w:color w:val="000000"/>
        </w:rPr>
        <w:t xml:space="preserve"> </w:t>
      </w:r>
      <w:r w:rsidRPr="006200D1" w:rsidR="006200D1">
        <w:rPr>
          <w:color w:val="000000"/>
        </w:rPr>
        <w:t xml:space="preserve">The results of this project will assist NHTSA as the agency develops its programmatic activities aimed at reducing crashes and fatalities that may be associated with the use of alcohol and/or other drugs. </w:t>
      </w:r>
      <w:r w:rsidR="004B21B7">
        <w:rPr>
          <w:color w:val="000000"/>
        </w:rPr>
        <w:t xml:space="preserve">The information learned in </w:t>
      </w:r>
      <w:r w:rsidR="0099207E">
        <w:rPr>
          <w:color w:val="000000"/>
        </w:rPr>
        <w:t xml:space="preserve">Study 2 </w:t>
      </w:r>
      <w:r w:rsidR="004B21B7">
        <w:rPr>
          <w:color w:val="000000"/>
        </w:rPr>
        <w:t>will aid NHTSA in determining the feasibility of roadside</w:t>
      </w:r>
      <w:r w:rsidR="00635B8C">
        <w:rPr>
          <w:color w:val="000000"/>
        </w:rPr>
        <w:t xml:space="preserve"> </w:t>
      </w:r>
      <w:r w:rsidR="004B21B7">
        <w:rPr>
          <w:color w:val="000000"/>
        </w:rPr>
        <w:t>s</w:t>
      </w:r>
      <w:r w:rsidR="00635B8C">
        <w:rPr>
          <w:color w:val="000000"/>
        </w:rPr>
        <w:t>urveys</w:t>
      </w:r>
      <w:r w:rsidR="004B21B7">
        <w:rPr>
          <w:color w:val="000000"/>
        </w:rPr>
        <w:t xml:space="preserve"> </w:t>
      </w:r>
      <w:r w:rsidR="00635B8C">
        <w:rPr>
          <w:color w:val="000000"/>
        </w:rPr>
        <w:t>of</w:t>
      </w:r>
      <w:r w:rsidR="004B21B7">
        <w:rPr>
          <w:color w:val="000000"/>
        </w:rPr>
        <w:t xml:space="preserve"> road users other than drivers.</w:t>
      </w:r>
    </w:p>
    <w:p w:rsidR="00C800ED" w:rsidRPr="00470EC1" w:rsidP="00413700" w14:paraId="4D3F547D" w14:textId="7CFF6828">
      <w:pPr>
        <w:pStyle w:val="Heading1"/>
      </w:pPr>
      <w:r w:rsidRPr="00470EC1">
        <w:t>A.3.</w:t>
      </w:r>
      <w:r w:rsidRPr="00470EC1">
        <w:tab/>
        <w:t>Describe whether, and to what extent, the collection of information involves the use of automated, electronic, mechanical or other technological collection techniques or other information technology.</w:t>
      </w:r>
      <w:bookmarkEnd w:id="10"/>
      <w:bookmarkEnd w:id="11"/>
      <w:r w:rsidRPr="00470EC1">
        <w:t xml:space="preserve"> Also describe any consideration of using information technology to reduce burden.</w:t>
      </w:r>
      <w:bookmarkEnd w:id="12"/>
      <w:bookmarkEnd w:id="13"/>
    </w:p>
    <w:p w:rsidR="00F72334" w:rsidP="008D3DC9" w14:paraId="5C05D674" w14:textId="7A260743">
      <w:bookmarkStart w:id="14" w:name="_Toc125278816"/>
      <w:bookmarkStart w:id="15" w:name="_Toc125341739"/>
      <w:bookmarkStart w:id="16" w:name="_Toc125447297"/>
      <w:bookmarkStart w:id="17" w:name="_Toc126394125"/>
      <w:r>
        <w:t xml:space="preserve">For </w:t>
      </w:r>
      <w:r w:rsidR="007A598D">
        <w:t>both the Study 1 and Study 2 information collection</w:t>
      </w:r>
      <w:r w:rsidR="00DE10DE">
        <w:t>s</w:t>
      </w:r>
      <w:r>
        <w:t>, a</w:t>
      </w:r>
      <w:r>
        <w:t xml:space="preserve">lcohol and drug testing devices </w:t>
      </w:r>
      <w:r w:rsidR="00D4541B">
        <w:t>will be</w:t>
      </w:r>
      <w:r>
        <w:t xml:space="preserve"> used as </w:t>
      </w:r>
      <w:r w:rsidR="002A7438">
        <w:t xml:space="preserve">part of the </w:t>
      </w:r>
      <w:r w:rsidR="001F26E8">
        <w:t>sample test</w:t>
      </w:r>
      <w:r w:rsidR="002A7438">
        <w:t xml:space="preserve"> collection</w:t>
      </w:r>
      <w:r w:rsidR="001957F8">
        <w:t xml:space="preserve"> to determine </w:t>
      </w:r>
      <w:r w:rsidR="00583127">
        <w:t>the participants</w:t>
      </w:r>
      <w:r w:rsidR="008F0FB4">
        <w:t>’</w:t>
      </w:r>
      <w:r w:rsidR="00583127">
        <w:t xml:space="preserve"> </w:t>
      </w:r>
      <w:r w:rsidR="001957F8">
        <w:t>alcohol</w:t>
      </w:r>
      <w:r w:rsidR="00583127">
        <w:t xml:space="preserve"> and drug levels</w:t>
      </w:r>
      <w:r w:rsidR="00D4541B">
        <w:t>.</w:t>
      </w:r>
      <w:r>
        <w:t xml:space="preserve"> </w:t>
      </w:r>
      <w:r w:rsidR="00D4541B">
        <w:t>C</w:t>
      </w:r>
      <w:r w:rsidR="00A43D6E">
        <w:t xml:space="preserve">omputer tablets </w:t>
      </w:r>
      <w:r w:rsidR="00D4541B">
        <w:t>will be</w:t>
      </w:r>
      <w:r w:rsidR="00A43D6E">
        <w:t xml:space="preserve"> used for </w:t>
      </w:r>
      <w:r w:rsidR="00551CC2">
        <w:t xml:space="preserve">questionnaire administration and collection. </w:t>
      </w:r>
    </w:p>
    <w:p w:rsidR="002668F1" w:rsidP="008D3DC9" w14:paraId="39C23CAA" w14:textId="1DA33253">
      <w:r>
        <w:t xml:space="preserve">A </w:t>
      </w:r>
      <w:r w:rsidR="00CD7CB5">
        <w:t xml:space="preserve">handheld </w:t>
      </w:r>
      <w:r>
        <w:t>preliminary breath test (</w:t>
      </w:r>
      <w:r w:rsidRPr="00E660C1">
        <w:t>PBT</w:t>
      </w:r>
      <w:r>
        <w:t>) device</w:t>
      </w:r>
      <w:r w:rsidRPr="00E660C1">
        <w:t xml:space="preserve"> will be used</w:t>
      </w:r>
      <w:r w:rsidR="00306E59">
        <w:t xml:space="preserve"> to measure breath alcohol concentrations. </w:t>
      </w:r>
      <w:r w:rsidRPr="00E660C1">
        <w:t>Th</w:t>
      </w:r>
      <w:r w:rsidR="00306E59">
        <w:t>e</w:t>
      </w:r>
      <w:r w:rsidRPr="00E660C1">
        <w:t xml:space="preserve"> PBT</w:t>
      </w:r>
      <w:r w:rsidR="00306E59">
        <w:t xml:space="preserve"> model</w:t>
      </w:r>
      <w:r w:rsidRPr="00E660C1">
        <w:t xml:space="preserve"> </w:t>
      </w:r>
      <w:r w:rsidR="00306E59">
        <w:t>will be</w:t>
      </w:r>
      <w:r w:rsidRPr="00E660C1">
        <w:t xml:space="preserve"> </w:t>
      </w:r>
      <w:r w:rsidR="00BD66F1">
        <w:t xml:space="preserve">selected from </w:t>
      </w:r>
      <w:r w:rsidRPr="00E660C1">
        <w:t>NHTSA</w:t>
      </w:r>
      <w:r w:rsidR="00BD66F1">
        <w:t>’s</w:t>
      </w:r>
      <w:r w:rsidR="00804FC9">
        <w:t xml:space="preserve"> “Conforming Products List”</w:t>
      </w:r>
      <w:r w:rsidR="0007044B">
        <w:t xml:space="preserve"> of devices that </w:t>
      </w:r>
      <w:r w:rsidR="00A35F66">
        <w:t xml:space="preserve">have been tested and </w:t>
      </w:r>
      <w:r w:rsidR="0007044B">
        <w:t xml:space="preserve">meet NHTSA’s </w:t>
      </w:r>
      <w:r w:rsidR="00300656">
        <w:t>m</w:t>
      </w:r>
      <w:r w:rsidR="0007044B">
        <w:t xml:space="preserve">odel </w:t>
      </w:r>
      <w:r w:rsidR="00300656">
        <w:t>s</w:t>
      </w:r>
      <w:r w:rsidR="0007044B">
        <w:t>pecifications for PBTs</w:t>
      </w:r>
      <w:r w:rsidRPr="00E660C1">
        <w:t xml:space="preserve">. The participant </w:t>
      </w:r>
      <w:r w:rsidR="00306E59">
        <w:t xml:space="preserve">study </w:t>
      </w:r>
      <w:r w:rsidRPr="00E660C1">
        <w:t xml:space="preserve">identification number </w:t>
      </w:r>
      <w:r w:rsidR="00CD7CB5">
        <w:t>will</w:t>
      </w:r>
      <w:r w:rsidRPr="00E660C1">
        <w:t xml:space="preserve"> be entered into the device using the touchscreen</w:t>
      </w:r>
      <w:r w:rsidR="00CA5C36">
        <w:t xml:space="preserve"> </w:t>
      </w:r>
      <w:r>
        <w:t>which will facilitate merging of data.</w:t>
      </w:r>
    </w:p>
    <w:p w:rsidR="008D3DC9" w:rsidP="008D3DC9" w14:paraId="29DFEC4B" w14:textId="766B9FEB">
      <w:pPr>
        <w:rPr>
          <w:color w:val="000000"/>
        </w:rPr>
      </w:pPr>
      <w:r w:rsidRPr="00E660C1">
        <w:t>The oral fluid sample will be taken with the Quantisal™ device. The participant will place this device under their tongue. Once sufficient saliva has been collected, the volume adequacy indicator will turn blue.</w:t>
      </w:r>
      <w:r w:rsidR="00663B1F">
        <w:t xml:space="preserve"> </w:t>
      </w:r>
      <w:r w:rsidR="004B624A">
        <w:t xml:space="preserve">A scannable study label will be affixed to the </w:t>
      </w:r>
      <w:r w:rsidR="000F243B">
        <w:t>oral fluid collection tube. The study tablet</w:t>
      </w:r>
      <w:r w:rsidR="000D623C">
        <w:t>’s camera</w:t>
      </w:r>
      <w:r w:rsidR="000F243B">
        <w:t xml:space="preserve"> will be used to scan the label which will associate the </w:t>
      </w:r>
      <w:r w:rsidR="000D623C">
        <w:t>oral fluid specimen with the assigned participant identification number.</w:t>
      </w:r>
    </w:p>
    <w:p w:rsidR="00F60C7E" w:rsidP="00F60C7E" w14:paraId="27CCE1A0" w14:textId="179745BB">
      <w:pPr>
        <w:rPr>
          <w:color w:val="000000"/>
        </w:rPr>
      </w:pPr>
      <w:r>
        <w:rPr>
          <w:color w:val="000000"/>
        </w:rPr>
        <w:t>Data collection will be expedited by using computer tablets installed with Voxco</w:t>
      </w:r>
      <w:r w:rsidRPr="006B767C">
        <w:rPr>
          <w:color w:val="000000"/>
        </w:rPr>
        <w:t>®</w:t>
      </w:r>
      <w:r>
        <w:rPr>
          <w:color w:val="000000"/>
        </w:rPr>
        <w:t xml:space="preserve">, a survey </w:t>
      </w:r>
      <w:r w:rsidRPr="006B767C">
        <w:rPr>
          <w:color w:val="000000"/>
        </w:rPr>
        <w:t xml:space="preserve">application </w:t>
      </w:r>
      <w:r>
        <w:rPr>
          <w:color w:val="000000"/>
        </w:rPr>
        <w:t xml:space="preserve">(app). This app </w:t>
      </w:r>
      <w:r w:rsidRPr="006B767C" w:rsidR="00283DCD">
        <w:rPr>
          <w:color w:val="000000"/>
        </w:rPr>
        <w:t xml:space="preserve">will be used by data collectors to document/assemble on-site information, provide informed consent materials, and administer self-report </w:t>
      </w:r>
      <w:r w:rsidR="00283DCD">
        <w:rPr>
          <w:color w:val="000000"/>
        </w:rPr>
        <w:t>questionnaire</w:t>
      </w:r>
      <w:r w:rsidRPr="006B767C" w:rsidR="00283DCD">
        <w:rPr>
          <w:color w:val="000000"/>
        </w:rPr>
        <w:t xml:space="preserve">s to participants. Study participants will complete the </w:t>
      </w:r>
      <w:r w:rsidR="00283DCD">
        <w:rPr>
          <w:color w:val="000000"/>
        </w:rPr>
        <w:t>questionnaire</w:t>
      </w:r>
      <w:r w:rsidRPr="006B767C" w:rsidR="00283DCD">
        <w:rPr>
          <w:color w:val="000000"/>
        </w:rPr>
        <w:t xml:space="preserve"> using touch responses on the </w:t>
      </w:r>
      <w:r w:rsidRPr="006B767C" w:rsidR="00283DCD">
        <w:rPr>
          <w:color w:val="000000"/>
        </w:rPr>
        <w:t>tablet</w:t>
      </w:r>
      <w:r>
        <w:rPr>
          <w:color w:val="000000"/>
        </w:rPr>
        <w:t xml:space="preserve"> through Voxco</w:t>
      </w:r>
      <w:r w:rsidRPr="006B767C">
        <w:rPr>
          <w:color w:val="000000"/>
        </w:rPr>
        <w:t>®</w:t>
      </w:r>
      <w:r w:rsidRPr="006B767C" w:rsidR="00283DCD">
        <w:rPr>
          <w:color w:val="000000"/>
        </w:rPr>
        <w:t>. Data collectors may assist a participant if they are having difficulty reading items, understanding a question, or operating the device.</w:t>
      </w:r>
      <w:r w:rsidR="00283DCD">
        <w:rPr>
          <w:color w:val="000000"/>
        </w:rPr>
        <w:t xml:space="preserve"> </w:t>
      </w:r>
      <w:r>
        <w:rPr>
          <w:color w:val="000000"/>
        </w:rPr>
        <w:t xml:space="preserve">At the completion of a data collection session, and upon connecting to a Wi-Fi or cellular network, the app will synchronize with the central database. </w:t>
      </w:r>
    </w:p>
    <w:p w:rsidR="00F60C7E" w:rsidRPr="006B767C" w:rsidP="00F60C7E" w14:paraId="79F87F34" w14:textId="2741E7ED">
      <w:r w:rsidRPr="006B767C">
        <w:rPr>
          <w:color w:val="000000"/>
        </w:rPr>
        <w:t>This technology will minimize the burden on participants, improve the efficiency of collection and data management, help to preserve the integrity of biological and self-report sample data, and reduce the likelihood of data loss.</w:t>
      </w:r>
    </w:p>
    <w:p w:rsidR="00C800ED" w:rsidP="00413700" w14:paraId="68F2A0F0" w14:textId="77777777">
      <w:pPr>
        <w:pStyle w:val="Heading1"/>
      </w:pPr>
      <w:r w:rsidRPr="00470EC1">
        <w:t>A.4.</w:t>
      </w:r>
      <w:r w:rsidRPr="00470EC1">
        <w:tab/>
        <w:t>Describe efforts to identify duplication. Show specifically why any similar information, already available cannot be used or modified for use for the purposes described in Item 2 above.</w:t>
      </w:r>
      <w:bookmarkEnd w:id="14"/>
      <w:bookmarkEnd w:id="15"/>
      <w:bookmarkEnd w:id="16"/>
      <w:bookmarkEnd w:id="17"/>
    </w:p>
    <w:p w:rsidR="00F60C7E" w:rsidRPr="006B767C" w:rsidP="00F60C7E" w14:paraId="2D177175" w14:textId="6D323325">
      <w:pPr>
        <w:rPr>
          <w:color w:val="000000"/>
        </w:rPr>
      </w:pPr>
      <w:bookmarkStart w:id="18" w:name="_Toc125278817"/>
      <w:bookmarkStart w:id="19" w:name="_Toc125341740"/>
      <w:bookmarkStart w:id="20" w:name="_Toc125447298"/>
      <w:bookmarkStart w:id="21" w:name="_Toc126394126"/>
      <w:r>
        <w:rPr>
          <w:color w:val="000000"/>
        </w:rPr>
        <w:t xml:space="preserve">The last NRS </w:t>
      </w:r>
      <w:r w:rsidR="00582B0F">
        <w:rPr>
          <w:color w:val="000000"/>
        </w:rPr>
        <w:t xml:space="preserve">of drivers </w:t>
      </w:r>
      <w:r>
        <w:rPr>
          <w:color w:val="000000"/>
        </w:rPr>
        <w:t>was conducted in 2013-2014</w:t>
      </w:r>
      <w:r w:rsidR="00582B0F">
        <w:rPr>
          <w:color w:val="000000"/>
        </w:rPr>
        <w:t xml:space="preserve">. </w:t>
      </w:r>
      <w:r w:rsidRPr="0062715C" w:rsidR="00336BAB">
        <w:t>Given the number of States legalizing medicinal and/or recreational use of cannabis</w:t>
      </w:r>
      <w:r w:rsidR="00336BAB">
        <w:t xml:space="preserve"> since the last NRS</w:t>
      </w:r>
      <w:r w:rsidRPr="0062715C" w:rsidR="00336BAB">
        <w:t>, and other issues such as the apparent increase in opioid use in the U.S., more information is needed on the level of alcohol- and other drug-involved driving on the nation’s roadways to better inform NHTSA’s countermeasure development efforts</w:t>
      </w:r>
      <w:r w:rsidR="004B675E">
        <w:rPr>
          <w:color w:val="000000"/>
        </w:rPr>
        <w:t>. Conducting a new NRS</w:t>
      </w:r>
      <w:r w:rsidR="00DE10DE">
        <w:rPr>
          <w:color w:val="000000"/>
        </w:rPr>
        <w:t xml:space="preserve"> (Study 1)</w:t>
      </w:r>
      <w:r w:rsidR="004B675E">
        <w:rPr>
          <w:color w:val="000000"/>
        </w:rPr>
        <w:t xml:space="preserve"> is the only way to </w:t>
      </w:r>
      <w:r w:rsidR="00E2665A">
        <w:rPr>
          <w:color w:val="000000"/>
        </w:rPr>
        <w:t xml:space="preserve">gather the </w:t>
      </w:r>
      <w:r w:rsidR="00B4736E">
        <w:rPr>
          <w:color w:val="000000"/>
        </w:rPr>
        <w:t>information needed</w:t>
      </w:r>
      <w:r w:rsidR="008346AF">
        <w:rPr>
          <w:color w:val="000000"/>
        </w:rPr>
        <w:t xml:space="preserve"> from the non-crash-involved driving population</w:t>
      </w:r>
      <w:r w:rsidR="007342A6">
        <w:rPr>
          <w:color w:val="000000"/>
        </w:rPr>
        <w:t>. It will also be</w:t>
      </w:r>
      <w:r w:rsidR="00DA3E06">
        <w:rPr>
          <w:color w:val="000000"/>
        </w:rPr>
        <w:t xml:space="preserve"> the </w:t>
      </w:r>
      <w:r w:rsidR="003E7B8B">
        <w:rPr>
          <w:color w:val="000000"/>
        </w:rPr>
        <w:t>first-time</w:t>
      </w:r>
      <w:r w:rsidR="00DA3E06">
        <w:rPr>
          <w:color w:val="000000"/>
        </w:rPr>
        <w:t xml:space="preserve"> gathering information from ORU</w:t>
      </w:r>
      <w:r w:rsidR="0032016F">
        <w:rPr>
          <w:color w:val="000000"/>
        </w:rPr>
        <w:t>s</w:t>
      </w:r>
      <w:r w:rsidR="007342A6">
        <w:rPr>
          <w:color w:val="000000"/>
        </w:rPr>
        <w:t xml:space="preserve"> at NRS locations</w:t>
      </w:r>
      <w:r w:rsidR="00A1185E">
        <w:rPr>
          <w:color w:val="000000"/>
        </w:rPr>
        <w:t>.</w:t>
      </w:r>
      <w:r w:rsidR="00DA3E06">
        <w:rPr>
          <w:color w:val="000000"/>
        </w:rPr>
        <w:t xml:space="preserve"> </w:t>
      </w:r>
      <w:r w:rsidR="00A1185E">
        <w:rPr>
          <w:color w:val="000000"/>
        </w:rPr>
        <w:t xml:space="preserve">Study 2 </w:t>
      </w:r>
      <w:r w:rsidR="007342A6">
        <w:rPr>
          <w:color w:val="000000"/>
        </w:rPr>
        <w:t>is a pilot test for information not previously sought.</w:t>
      </w:r>
    </w:p>
    <w:p w:rsidR="00C800ED" w:rsidRPr="00470EC1" w:rsidP="00413700" w14:paraId="5CD301F7" w14:textId="77777777">
      <w:pPr>
        <w:pStyle w:val="Heading1"/>
      </w:pPr>
      <w:r w:rsidRPr="00470EC1">
        <w:t>A.5.</w:t>
      </w:r>
      <w:r w:rsidRPr="00470EC1">
        <w:tab/>
        <w:t>If the collection of information involves small businesses or other small entities, describe the methods used to minimize burden.</w:t>
      </w:r>
      <w:bookmarkEnd w:id="18"/>
      <w:bookmarkEnd w:id="19"/>
      <w:bookmarkEnd w:id="20"/>
      <w:bookmarkEnd w:id="21"/>
    </w:p>
    <w:p w:rsidR="00F60C7E" w:rsidRPr="006B767C" w:rsidP="00F60C7E" w14:paraId="1485807E" w14:textId="77777777">
      <w:bookmarkStart w:id="22" w:name="_Toc125278818"/>
      <w:bookmarkStart w:id="23" w:name="_Toc125341741"/>
      <w:bookmarkStart w:id="24" w:name="_Toc125447299"/>
      <w:bookmarkStart w:id="25" w:name="_Toc126394127"/>
      <w:r w:rsidRPr="006B767C">
        <w:t>There is no burden on small businesses or other small entities for this collection of information request.</w:t>
      </w:r>
    </w:p>
    <w:p w:rsidR="00621A02" w14:paraId="6CE4207C" w14:textId="1CA6E750">
      <w:pPr>
        <w:spacing w:after="0"/>
        <w:rPr>
          <w:b/>
        </w:rPr>
      </w:pPr>
    </w:p>
    <w:p w:rsidR="000E682C" w:rsidRPr="00470EC1" w:rsidP="00413700" w14:paraId="45EB9A7E" w14:textId="5F66269C">
      <w:pPr>
        <w:pStyle w:val="Heading1"/>
      </w:pPr>
      <w:r w:rsidRPr="00470EC1">
        <w:t>A.6.</w:t>
      </w:r>
      <w:r w:rsidRPr="00470EC1">
        <w:tab/>
      </w:r>
      <w:r w:rsidRPr="00470EC1">
        <w:t>Describe the consequence to Federal program or policy activities if the collection is not conducted or is conducted less frequently, as well as any technical or legal obstacles to reducing burden.</w:t>
      </w:r>
    </w:p>
    <w:p w:rsidR="00F60C7E" w:rsidRPr="006B767C" w:rsidP="00F60C7E" w14:paraId="5F11957B" w14:textId="14F7A4DD">
      <w:pPr>
        <w:rPr>
          <w:color w:val="000000"/>
        </w:rPr>
      </w:pPr>
      <w:bookmarkStart w:id="26" w:name="_Toc6900683"/>
      <w:bookmarkEnd w:id="22"/>
      <w:bookmarkEnd w:id="23"/>
      <w:bookmarkEnd w:id="24"/>
      <w:bookmarkEnd w:id="25"/>
      <w:r w:rsidRPr="21116DD3">
        <w:rPr>
          <w:color w:val="000000" w:themeColor="text1"/>
        </w:rPr>
        <w:t xml:space="preserve">Conducting an NRS </w:t>
      </w:r>
      <w:r w:rsidR="00FD7D71">
        <w:rPr>
          <w:color w:val="000000" w:themeColor="text1"/>
        </w:rPr>
        <w:t xml:space="preserve">(Study 1) </w:t>
      </w:r>
      <w:r w:rsidRPr="21116DD3">
        <w:rPr>
          <w:color w:val="000000" w:themeColor="text1"/>
        </w:rPr>
        <w:t xml:space="preserve">on a periodic basis (e.g., about every 10 years) allows NHTSA to monitor </w:t>
      </w:r>
      <w:r w:rsidRPr="21116DD3" w:rsidR="008E2927">
        <w:rPr>
          <w:color w:val="000000" w:themeColor="text1"/>
        </w:rPr>
        <w:t>the current state of</w:t>
      </w:r>
      <w:r w:rsidRPr="21116DD3">
        <w:rPr>
          <w:color w:val="000000" w:themeColor="text1"/>
        </w:rPr>
        <w:t xml:space="preserve"> </w:t>
      </w:r>
      <w:r w:rsidRPr="21116DD3" w:rsidR="008E2927">
        <w:rPr>
          <w:color w:val="000000" w:themeColor="text1"/>
        </w:rPr>
        <w:t xml:space="preserve">alcohol- and drug-involved </w:t>
      </w:r>
      <w:r w:rsidRPr="21116DD3">
        <w:rPr>
          <w:color w:val="000000" w:themeColor="text1"/>
        </w:rPr>
        <w:t xml:space="preserve">driving which is important given changes in government policies related to drug legalization, the emergence of new drugs, </w:t>
      </w:r>
      <w:r w:rsidRPr="21116DD3" w:rsidR="16C91FB2">
        <w:rPr>
          <w:color w:val="000000" w:themeColor="text1"/>
        </w:rPr>
        <w:t>and</w:t>
      </w:r>
      <w:r w:rsidRPr="21116DD3">
        <w:rPr>
          <w:color w:val="000000" w:themeColor="text1"/>
        </w:rPr>
        <w:t xml:space="preserve"> changes in drug use </w:t>
      </w:r>
      <w:r w:rsidRPr="21116DD3" w:rsidR="00B13FEF">
        <w:rPr>
          <w:color w:val="000000" w:themeColor="text1"/>
        </w:rPr>
        <w:t>patterns</w:t>
      </w:r>
      <w:r w:rsidRPr="21116DD3">
        <w:rPr>
          <w:color w:val="000000" w:themeColor="text1"/>
        </w:rPr>
        <w:t xml:space="preserve"> by drivers that could be impacting </w:t>
      </w:r>
      <w:r w:rsidR="00AA5656">
        <w:rPr>
          <w:color w:val="000000" w:themeColor="text1"/>
        </w:rPr>
        <w:t>traffic</w:t>
      </w:r>
      <w:r w:rsidRPr="21116DD3">
        <w:rPr>
          <w:color w:val="000000" w:themeColor="text1"/>
        </w:rPr>
        <w:t xml:space="preserve"> safety.</w:t>
      </w:r>
      <w:bookmarkStart w:id="27" w:name="_Hlk178857029"/>
      <w:r w:rsidRPr="21116DD3">
        <w:rPr>
          <w:color w:val="000000" w:themeColor="text1"/>
        </w:rPr>
        <w:t xml:space="preserve"> </w:t>
      </w:r>
      <w:r w:rsidRPr="21116DD3">
        <w:rPr>
          <w:color w:val="000000" w:themeColor="text1"/>
        </w:rPr>
        <w:t xml:space="preserve">NHTSA has a responsibility to provide guidance to the public and policy makers about the potential dangers of drug-involved </w:t>
      </w:r>
      <w:r w:rsidRPr="21116DD3" w:rsidR="008B0EFD">
        <w:rPr>
          <w:color w:val="000000" w:themeColor="text1"/>
        </w:rPr>
        <w:t xml:space="preserve">driving and </w:t>
      </w:r>
      <w:r w:rsidRPr="21116DD3" w:rsidR="00B13A79">
        <w:rPr>
          <w:color w:val="000000" w:themeColor="text1"/>
        </w:rPr>
        <w:t>drug use by ORUs.</w:t>
      </w:r>
      <w:r w:rsidRPr="21116DD3" w:rsidR="00ED38E9">
        <w:rPr>
          <w:color w:val="000000" w:themeColor="text1"/>
        </w:rPr>
        <w:t xml:space="preserve"> </w:t>
      </w:r>
      <w:bookmarkEnd w:id="27"/>
      <w:r w:rsidRPr="21116DD3" w:rsidR="00B13A79">
        <w:rPr>
          <w:color w:val="000000" w:themeColor="text1"/>
        </w:rPr>
        <w:t>B</w:t>
      </w:r>
      <w:r w:rsidRPr="21116DD3" w:rsidR="00ED38E9">
        <w:rPr>
          <w:color w:val="000000" w:themeColor="text1"/>
        </w:rPr>
        <w:t xml:space="preserve">eing able to </w:t>
      </w:r>
      <w:r w:rsidRPr="21116DD3" w:rsidR="00C25DF7">
        <w:rPr>
          <w:color w:val="000000" w:themeColor="text1"/>
        </w:rPr>
        <w:t>provide</w:t>
      </w:r>
      <w:r w:rsidRPr="21116DD3" w:rsidR="00781E74">
        <w:rPr>
          <w:color w:val="000000" w:themeColor="text1"/>
        </w:rPr>
        <w:t xml:space="preserve"> up-to-date and</w:t>
      </w:r>
      <w:r w:rsidRPr="21116DD3" w:rsidR="00C25DF7">
        <w:rPr>
          <w:color w:val="000000" w:themeColor="text1"/>
        </w:rPr>
        <w:t xml:space="preserve"> accurate information on </w:t>
      </w:r>
      <w:r w:rsidR="00E43141">
        <w:rPr>
          <w:color w:val="000000" w:themeColor="text1"/>
        </w:rPr>
        <w:t xml:space="preserve">alcohol and other </w:t>
      </w:r>
      <w:r w:rsidRPr="21116DD3" w:rsidR="00C25DF7">
        <w:rPr>
          <w:color w:val="000000" w:themeColor="text1"/>
        </w:rPr>
        <w:t>drug prevalence among drivers and ORUs</w:t>
      </w:r>
      <w:r w:rsidRPr="21116DD3" w:rsidR="00781E74">
        <w:rPr>
          <w:color w:val="000000" w:themeColor="text1"/>
        </w:rPr>
        <w:t xml:space="preserve"> is essential</w:t>
      </w:r>
      <w:r w:rsidRPr="21116DD3">
        <w:rPr>
          <w:color w:val="000000" w:themeColor="text1"/>
        </w:rPr>
        <w:t>.</w:t>
      </w:r>
      <w:r w:rsidR="00FD7D71">
        <w:rPr>
          <w:color w:val="000000" w:themeColor="text1"/>
        </w:rPr>
        <w:t xml:space="preserve"> Study 2 </w:t>
      </w:r>
      <w:r w:rsidR="00150187">
        <w:rPr>
          <w:color w:val="000000" w:themeColor="text1"/>
        </w:rPr>
        <w:t xml:space="preserve">advances this overall effort by </w:t>
      </w:r>
      <w:r w:rsidR="00C74934">
        <w:rPr>
          <w:color w:val="000000" w:themeColor="text1"/>
        </w:rPr>
        <w:t>assess</w:t>
      </w:r>
      <w:r w:rsidR="00150187">
        <w:rPr>
          <w:color w:val="000000" w:themeColor="text1"/>
        </w:rPr>
        <w:t>ing</w:t>
      </w:r>
      <w:r w:rsidR="00C74934">
        <w:rPr>
          <w:color w:val="000000" w:themeColor="text1"/>
        </w:rPr>
        <w:t xml:space="preserve"> the feasibility of conducting</w:t>
      </w:r>
      <w:r w:rsidR="00AA5656">
        <w:rPr>
          <w:color w:val="000000" w:themeColor="text1"/>
        </w:rPr>
        <w:t xml:space="preserve"> </w:t>
      </w:r>
      <w:r w:rsidR="00150187">
        <w:rPr>
          <w:color w:val="000000" w:themeColor="text1"/>
        </w:rPr>
        <w:t xml:space="preserve">a </w:t>
      </w:r>
      <w:r w:rsidR="00AA5656">
        <w:rPr>
          <w:color w:val="000000" w:themeColor="text1"/>
        </w:rPr>
        <w:t>stand-alon</w:t>
      </w:r>
      <w:r w:rsidR="005A5BBB">
        <w:rPr>
          <w:color w:val="000000" w:themeColor="text1"/>
        </w:rPr>
        <w:t>e</w:t>
      </w:r>
      <w:r w:rsidR="00C74934">
        <w:rPr>
          <w:color w:val="000000" w:themeColor="text1"/>
        </w:rPr>
        <w:t xml:space="preserve"> roadside survey of ORUs.</w:t>
      </w:r>
      <w:r w:rsidRPr="21116DD3">
        <w:rPr>
          <w:color w:val="000000" w:themeColor="text1"/>
        </w:rPr>
        <w:t xml:space="preserve"> </w:t>
      </w:r>
      <w:bookmarkStart w:id="28" w:name="_Hlk178857294"/>
      <w:r w:rsidRPr="21116DD3">
        <w:rPr>
          <w:color w:val="000000" w:themeColor="text1"/>
        </w:rPr>
        <w:t xml:space="preserve">Other Federal agencies, legislators, State </w:t>
      </w:r>
      <w:r w:rsidRPr="21116DD3" w:rsidR="00495F7F">
        <w:rPr>
          <w:color w:val="000000" w:themeColor="text1"/>
        </w:rPr>
        <w:t>H</w:t>
      </w:r>
      <w:r w:rsidRPr="21116DD3">
        <w:rPr>
          <w:color w:val="000000" w:themeColor="text1"/>
        </w:rPr>
        <w:t xml:space="preserve">ighway </w:t>
      </w:r>
      <w:r w:rsidRPr="21116DD3" w:rsidR="00495F7F">
        <w:rPr>
          <w:color w:val="000000" w:themeColor="text1"/>
        </w:rPr>
        <w:t>S</w:t>
      </w:r>
      <w:r w:rsidRPr="21116DD3">
        <w:rPr>
          <w:color w:val="000000" w:themeColor="text1"/>
        </w:rPr>
        <w:t xml:space="preserve">afety </w:t>
      </w:r>
      <w:r w:rsidRPr="21116DD3" w:rsidR="00495F7F">
        <w:rPr>
          <w:color w:val="000000" w:themeColor="text1"/>
        </w:rPr>
        <w:t>O</w:t>
      </w:r>
      <w:r w:rsidRPr="21116DD3">
        <w:rPr>
          <w:color w:val="000000" w:themeColor="text1"/>
        </w:rPr>
        <w:t>ffices,</w:t>
      </w:r>
      <w:r w:rsidRPr="21116DD3" w:rsidR="00781E74">
        <w:rPr>
          <w:color w:val="000000" w:themeColor="text1"/>
        </w:rPr>
        <w:t xml:space="preserve"> and</w:t>
      </w:r>
      <w:r w:rsidRPr="21116DD3">
        <w:rPr>
          <w:color w:val="000000" w:themeColor="text1"/>
        </w:rPr>
        <w:t xml:space="preserve"> law enforcement agencies are looking to NHTSA for </w:t>
      </w:r>
      <w:r w:rsidRPr="21116DD3" w:rsidR="00781E74">
        <w:rPr>
          <w:color w:val="000000" w:themeColor="text1"/>
        </w:rPr>
        <w:t>this information to help guid</w:t>
      </w:r>
      <w:r w:rsidRPr="21116DD3" w:rsidR="00502385">
        <w:rPr>
          <w:color w:val="000000" w:themeColor="text1"/>
        </w:rPr>
        <w:t xml:space="preserve">e their </w:t>
      </w:r>
      <w:r w:rsidRPr="21116DD3" w:rsidR="00116698">
        <w:rPr>
          <w:color w:val="000000" w:themeColor="text1"/>
        </w:rPr>
        <w:t xml:space="preserve">traffic safety </w:t>
      </w:r>
      <w:r w:rsidRPr="21116DD3" w:rsidR="00502385">
        <w:rPr>
          <w:color w:val="000000" w:themeColor="text1"/>
        </w:rPr>
        <w:t>activities</w:t>
      </w:r>
      <w:r w:rsidRPr="21116DD3">
        <w:rPr>
          <w:color w:val="000000" w:themeColor="text1"/>
        </w:rPr>
        <w:t>. In the absence of th</w:t>
      </w:r>
      <w:r w:rsidR="00D84EC2">
        <w:rPr>
          <w:color w:val="000000" w:themeColor="text1"/>
        </w:rPr>
        <w:t>ese</w:t>
      </w:r>
      <w:r w:rsidRPr="21116DD3">
        <w:rPr>
          <w:color w:val="000000" w:themeColor="text1"/>
        </w:rPr>
        <w:t xml:space="preserve"> stud</w:t>
      </w:r>
      <w:r w:rsidR="00D84EC2">
        <w:rPr>
          <w:color w:val="000000" w:themeColor="text1"/>
        </w:rPr>
        <w:t>ies</w:t>
      </w:r>
      <w:r w:rsidRPr="21116DD3">
        <w:rPr>
          <w:color w:val="000000" w:themeColor="text1"/>
        </w:rPr>
        <w:t xml:space="preserve">, some will use incomplete </w:t>
      </w:r>
      <w:r w:rsidR="00150187">
        <w:rPr>
          <w:color w:val="000000" w:themeColor="text1"/>
        </w:rPr>
        <w:t xml:space="preserve">and outdated </w:t>
      </w:r>
      <w:r w:rsidRPr="21116DD3">
        <w:rPr>
          <w:color w:val="000000" w:themeColor="text1"/>
        </w:rPr>
        <w:t xml:space="preserve">data to develop policies and strategies that are not based on scientific evidence. </w:t>
      </w:r>
      <w:bookmarkEnd w:id="28"/>
    </w:p>
    <w:p w:rsidR="003B4C87" w:rsidRPr="003B4C87" w:rsidP="00413700" w14:paraId="4F4C0C29" w14:textId="77777777">
      <w:pPr>
        <w:pStyle w:val="Heading1"/>
        <w:rPr>
          <w:rFonts w:eastAsia="Calibri"/>
        </w:rPr>
      </w:pPr>
      <w:r w:rsidRPr="003B4C87">
        <w:rPr>
          <w:rFonts w:ascii="Times New Roman Bold" w:hAnsi="Times New Roman Bold"/>
          <w:bCs/>
          <w:caps/>
          <w:spacing w:val="15"/>
        </w:rPr>
        <w:t>A.7.</w:t>
      </w:r>
      <w:r w:rsidRPr="003B4C87">
        <w:rPr>
          <w:rFonts w:ascii="Times New Roman Bold" w:hAnsi="Times New Roman Bold"/>
          <w:bCs/>
          <w:caps/>
          <w:spacing w:val="15"/>
        </w:rPr>
        <w:tab/>
      </w:r>
      <w:r w:rsidRPr="003B4C87">
        <w:rPr>
          <w:rFonts w:eastAsia="Calibri"/>
        </w:rPr>
        <w:t>Explain any special circumstances that would cause an information collection to be conducted in a manner:</w:t>
      </w:r>
    </w:p>
    <w:p w:rsidR="003B4C87" w:rsidRPr="0081277A" w:rsidP="00C019B6" w14:paraId="337B5EDB" w14:textId="73FFD335">
      <w:pPr>
        <w:pStyle w:val="ListParagraph"/>
        <w:numPr>
          <w:ilvl w:val="0"/>
          <w:numId w:val="5"/>
        </w:numPr>
        <w:tabs>
          <w:tab w:val="left" w:pos="1080"/>
        </w:tabs>
        <w:autoSpaceDE w:val="0"/>
        <w:autoSpaceDN w:val="0"/>
        <w:adjustRightInd w:val="0"/>
        <w:contextualSpacing/>
        <w:rPr>
          <w:rFonts w:cs="Times New Roman"/>
          <w:b/>
          <w:sz w:val="24"/>
          <w:szCs w:val="24"/>
        </w:rPr>
      </w:pPr>
      <w:r w:rsidRPr="0081277A">
        <w:rPr>
          <w:rFonts w:cs="Times New Roman"/>
          <w:b/>
          <w:sz w:val="24"/>
          <w:szCs w:val="24"/>
        </w:rPr>
        <w:t>requiring respondents to report information to the agency more often than quarterly;</w:t>
      </w:r>
    </w:p>
    <w:p w:rsidR="003B4C87" w:rsidRPr="0081277A" w:rsidP="00C019B6" w14:paraId="1EF2C8DC" w14:textId="77777777">
      <w:pPr>
        <w:pStyle w:val="ListParagraph"/>
        <w:numPr>
          <w:ilvl w:val="0"/>
          <w:numId w:val="5"/>
        </w:numPr>
        <w:tabs>
          <w:tab w:val="left" w:pos="990"/>
        </w:tabs>
        <w:autoSpaceDE w:val="0"/>
        <w:autoSpaceDN w:val="0"/>
        <w:adjustRightInd w:val="0"/>
        <w:contextualSpacing/>
        <w:rPr>
          <w:rFonts w:cs="Times New Roman"/>
          <w:b/>
          <w:sz w:val="24"/>
          <w:szCs w:val="24"/>
        </w:rPr>
      </w:pPr>
      <w:r w:rsidRPr="0081277A">
        <w:rPr>
          <w:rFonts w:cs="Times New Roman"/>
          <w:b/>
          <w:sz w:val="24"/>
          <w:szCs w:val="24"/>
        </w:rPr>
        <w:t>requiring respondents to prepare a written response to a collection of information in fewer than 30 days after receipt of it;</w:t>
      </w:r>
    </w:p>
    <w:p w:rsidR="003B4C87" w:rsidRPr="0081277A" w:rsidP="00C019B6" w14:paraId="63105678" w14:textId="77777777">
      <w:pPr>
        <w:pStyle w:val="ListParagraph"/>
        <w:numPr>
          <w:ilvl w:val="0"/>
          <w:numId w:val="5"/>
        </w:numPr>
        <w:tabs>
          <w:tab w:val="left" w:pos="990"/>
        </w:tabs>
        <w:autoSpaceDE w:val="0"/>
        <w:autoSpaceDN w:val="0"/>
        <w:adjustRightInd w:val="0"/>
        <w:contextualSpacing/>
        <w:rPr>
          <w:rFonts w:cs="Times New Roman"/>
          <w:b/>
          <w:sz w:val="24"/>
          <w:szCs w:val="24"/>
        </w:rPr>
      </w:pPr>
      <w:r w:rsidRPr="0081277A">
        <w:rPr>
          <w:rFonts w:cs="Times New Roman"/>
          <w:b/>
          <w:sz w:val="24"/>
          <w:szCs w:val="24"/>
        </w:rPr>
        <w:t>requiring respondents to submit more than an original and two copies of any document;</w:t>
      </w:r>
    </w:p>
    <w:p w:rsidR="003B4C87" w:rsidRPr="0081277A" w:rsidP="00C019B6" w14:paraId="04D21C6E" w14:textId="77777777">
      <w:pPr>
        <w:pStyle w:val="ListParagraph"/>
        <w:numPr>
          <w:ilvl w:val="0"/>
          <w:numId w:val="5"/>
        </w:numPr>
        <w:tabs>
          <w:tab w:val="left" w:pos="990"/>
        </w:tabs>
        <w:autoSpaceDE w:val="0"/>
        <w:autoSpaceDN w:val="0"/>
        <w:adjustRightInd w:val="0"/>
        <w:contextualSpacing/>
        <w:rPr>
          <w:rFonts w:cs="Times New Roman"/>
          <w:b/>
          <w:sz w:val="24"/>
          <w:szCs w:val="24"/>
        </w:rPr>
      </w:pPr>
      <w:r w:rsidRPr="0081277A">
        <w:rPr>
          <w:rFonts w:cs="Times New Roman"/>
          <w:b/>
          <w:sz w:val="24"/>
          <w:szCs w:val="24"/>
        </w:rPr>
        <w:t>requiring respondents to retain records, other than health, medical, government contract, grant-in-aid, or tax records, for more than three years;</w:t>
      </w:r>
    </w:p>
    <w:p w:rsidR="003B4C87" w:rsidRPr="0081277A" w:rsidP="00C019B6" w14:paraId="0B994B7B" w14:textId="77777777">
      <w:pPr>
        <w:pStyle w:val="ListParagraph"/>
        <w:numPr>
          <w:ilvl w:val="0"/>
          <w:numId w:val="5"/>
        </w:numPr>
        <w:tabs>
          <w:tab w:val="left" w:pos="990"/>
        </w:tabs>
        <w:autoSpaceDE w:val="0"/>
        <w:autoSpaceDN w:val="0"/>
        <w:adjustRightInd w:val="0"/>
        <w:contextualSpacing/>
        <w:rPr>
          <w:rFonts w:cs="Times New Roman"/>
          <w:b/>
          <w:sz w:val="24"/>
          <w:szCs w:val="24"/>
        </w:rPr>
      </w:pPr>
      <w:r w:rsidRPr="0081277A">
        <w:rPr>
          <w:rFonts w:cs="Times New Roman"/>
          <w:b/>
          <w:sz w:val="24"/>
          <w:szCs w:val="24"/>
        </w:rPr>
        <w:t>in connection with a statistical survey, that is not designed to produce valid and reliable results that can be generalized to the universe of study;</w:t>
      </w:r>
    </w:p>
    <w:p w:rsidR="003B4C87" w:rsidRPr="0081277A" w:rsidP="00C019B6" w14:paraId="12F164E9" w14:textId="77777777">
      <w:pPr>
        <w:pStyle w:val="ListParagraph"/>
        <w:numPr>
          <w:ilvl w:val="0"/>
          <w:numId w:val="5"/>
        </w:numPr>
        <w:tabs>
          <w:tab w:val="left" w:pos="990"/>
        </w:tabs>
        <w:autoSpaceDE w:val="0"/>
        <w:autoSpaceDN w:val="0"/>
        <w:adjustRightInd w:val="0"/>
        <w:contextualSpacing/>
        <w:rPr>
          <w:rFonts w:cs="Times New Roman"/>
          <w:b/>
          <w:sz w:val="24"/>
          <w:szCs w:val="24"/>
        </w:rPr>
      </w:pPr>
      <w:r w:rsidRPr="0081277A">
        <w:rPr>
          <w:rFonts w:cs="Times New Roman"/>
          <w:b/>
          <w:sz w:val="24"/>
          <w:szCs w:val="24"/>
        </w:rPr>
        <w:t>requiring the use of a statistical data classification that has not been reviewed and approved by OMB;</w:t>
      </w:r>
    </w:p>
    <w:p w:rsidR="003B4C87" w:rsidRPr="0081277A" w:rsidP="00C019B6" w14:paraId="51B8ED19" w14:textId="77777777">
      <w:pPr>
        <w:pStyle w:val="ListParagraph"/>
        <w:numPr>
          <w:ilvl w:val="0"/>
          <w:numId w:val="5"/>
        </w:numPr>
        <w:tabs>
          <w:tab w:val="left" w:pos="990"/>
        </w:tabs>
        <w:autoSpaceDE w:val="0"/>
        <w:autoSpaceDN w:val="0"/>
        <w:adjustRightInd w:val="0"/>
        <w:contextualSpacing/>
        <w:rPr>
          <w:rFonts w:cs="Times New Roman"/>
          <w:b/>
          <w:sz w:val="24"/>
          <w:szCs w:val="24"/>
        </w:rPr>
      </w:pPr>
      <w:r w:rsidRPr="0081277A">
        <w:rPr>
          <w:rFonts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B4C87" w:rsidRPr="0081277A" w:rsidP="00C019B6" w14:paraId="3E6CC999" w14:textId="77777777">
      <w:pPr>
        <w:pStyle w:val="ListParagraph"/>
        <w:numPr>
          <w:ilvl w:val="0"/>
          <w:numId w:val="5"/>
        </w:numPr>
        <w:tabs>
          <w:tab w:val="left" w:pos="990"/>
        </w:tabs>
        <w:autoSpaceDE w:val="0"/>
        <w:autoSpaceDN w:val="0"/>
        <w:adjustRightInd w:val="0"/>
        <w:contextualSpacing/>
        <w:rPr>
          <w:rFonts w:cs="Times New Roman"/>
          <w:b/>
          <w:sz w:val="24"/>
          <w:szCs w:val="24"/>
        </w:rPr>
      </w:pPr>
      <w:r w:rsidRPr="0081277A">
        <w:rPr>
          <w:rFonts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26"/>
    <w:p w:rsidR="003B4C87" w:rsidRPr="00C74934" w:rsidP="00AA5656" w14:paraId="128630A0" w14:textId="5CBD2050">
      <w:pPr>
        <w:spacing w:before="240"/>
        <w:ind w:left="360"/>
      </w:pPr>
      <w:r>
        <w:t>No special circumstances</w:t>
      </w:r>
      <w:r w:rsidR="00B35E18">
        <w:t xml:space="preserve"> are expect</w:t>
      </w:r>
      <w:r w:rsidR="00447DD3">
        <w:t>ed</w:t>
      </w:r>
      <w:r w:rsidRPr="00C74934" w:rsidR="00BF3D32">
        <w:t>.</w:t>
      </w:r>
    </w:p>
    <w:p w:rsidR="00621A02" w14:paraId="6FE94FE4" w14:textId="52E71535">
      <w:pPr>
        <w:spacing w:after="0"/>
        <w:rPr>
          <w:b/>
        </w:rPr>
      </w:pPr>
      <w:bookmarkStart w:id="29" w:name="_Toc125278820"/>
      <w:bookmarkStart w:id="30" w:name="_Toc125341743"/>
      <w:bookmarkStart w:id="31" w:name="_Toc125447301"/>
      <w:bookmarkStart w:id="32" w:name="_Toc126394129"/>
    </w:p>
    <w:p w:rsidR="00C800ED" w:rsidRPr="00470EC1" w:rsidP="009F09CC" w14:paraId="54B43CD8" w14:textId="6A5E270E">
      <w:pPr>
        <w:pStyle w:val="Heading1"/>
      </w:pPr>
      <w:r w:rsidRPr="009F09CC">
        <w:t>A.8.</w:t>
      </w:r>
      <w:r w:rsidRPr="009F09CC">
        <w:tab/>
        <w:t>Provide a c</w:t>
      </w:r>
      <w:r w:rsidRPr="009F09CC" w:rsidR="00B95E1E">
        <w:t>itation for</w:t>
      </w:r>
      <w:r w:rsidRPr="009F09CC">
        <w:t xml:space="preserve"> the FEDERAL REGISTER document soliciting comments on </w:t>
      </w:r>
      <w:r w:rsidRPr="009F09CC" w:rsidR="008528DD">
        <w:t>requesting</w:t>
      </w:r>
      <w:r w:rsidRPr="009F09CC">
        <w:t xml:space="preserve"> the collection of information, a summary of all public comments responding to the notice, and a description of the agency’s actions in response to the comments. Describe efforts to consult with persons outside the agency to obtain their views</w:t>
      </w:r>
      <w:r w:rsidRPr="00470EC1">
        <w:t>.</w:t>
      </w:r>
      <w:bookmarkEnd w:id="29"/>
      <w:bookmarkEnd w:id="30"/>
      <w:bookmarkEnd w:id="31"/>
      <w:bookmarkEnd w:id="32"/>
    </w:p>
    <w:p w:rsidR="00790E25" w:rsidRPr="00D22199" w:rsidP="003375A9" w14:paraId="6431C4B0" w14:textId="3389FDF8">
      <w:pPr>
        <w:keepNext/>
        <w:rPr>
          <w:color w:val="000000" w:themeColor="text1"/>
        </w:rPr>
      </w:pPr>
      <w:bookmarkStart w:id="33" w:name="_Toc125278821"/>
      <w:bookmarkStart w:id="34" w:name="_Toc125341744"/>
      <w:bookmarkStart w:id="35" w:name="_Toc125447302"/>
      <w:bookmarkStart w:id="36" w:name="_Toc126394130"/>
      <w:r w:rsidRPr="006B767C">
        <w:t xml:space="preserve">A copy of the 60-day Federal Register Notice, which notified the public of NHTSA’s intent to conduct this collection of information and provided a 60-day comment period, was published on </w:t>
      </w:r>
      <w:r w:rsidR="00F83870">
        <w:t xml:space="preserve">November 20, 2024 </w:t>
      </w:r>
      <w:hyperlink r:id="rId9" w:history="1">
        <w:r w:rsidRPr="00B57ADC" w:rsidR="00B57ADC">
          <w:rPr>
            <w:rStyle w:val="Hyperlink"/>
          </w:rPr>
          <w:t>(89 FR 91884)</w:t>
        </w:r>
      </w:hyperlink>
      <w:r w:rsidR="00205A52">
        <w:t xml:space="preserve">, </w:t>
      </w:r>
      <w:r w:rsidRPr="00D22199">
        <w:rPr>
          <w:color w:val="000000" w:themeColor="text1"/>
        </w:rPr>
        <w:t xml:space="preserve">The Insurance Institute for Highway Safety (IIHS) and the American </w:t>
      </w:r>
      <w:r w:rsidRPr="00D22199">
        <w:rPr>
          <w:iCs/>
          <w:color w:val="000000" w:themeColor="text1"/>
        </w:rPr>
        <w:t>Association</w:t>
      </w:r>
      <w:r w:rsidRPr="00D22199">
        <w:rPr>
          <w:color w:val="000000" w:themeColor="text1"/>
        </w:rPr>
        <w:t xml:space="preserve"> of Motor Vehicle Administrators (AAMVA</w:t>
      </w:r>
      <w:r w:rsidRPr="00D22199">
        <w:rPr>
          <w:iCs/>
          <w:color w:val="000000" w:themeColor="text1"/>
        </w:rPr>
        <w:t>)</w:t>
      </w:r>
      <w:r w:rsidRPr="00D22199">
        <w:rPr>
          <w:color w:val="000000" w:themeColor="text1"/>
        </w:rPr>
        <w:t xml:space="preserve"> provided comments. Four additional comments were </w:t>
      </w:r>
      <w:r w:rsidRPr="009931DA">
        <w:rPr>
          <w:iCs/>
          <w:color w:val="000000" w:themeColor="text1"/>
        </w:rPr>
        <w:t xml:space="preserve">made </w:t>
      </w:r>
      <w:r>
        <w:rPr>
          <w:iCs/>
          <w:color w:val="000000" w:themeColor="text1"/>
        </w:rPr>
        <w:t xml:space="preserve">by individuals </w:t>
      </w:r>
      <w:r w:rsidRPr="009931DA">
        <w:rPr>
          <w:iCs/>
          <w:color w:val="000000" w:themeColor="text1"/>
        </w:rPr>
        <w:t>but</w:t>
      </w:r>
      <w:r w:rsidRPr="00D22199">
        <w:rPr>
          <w:color w:val="000000" w:themeColor="text1"/>
        </w:rPr>
        <w:t xml:space="preserve"> were not relevant to the information collection.</w:t>
      </w:r>
    </w:p>
    <w:p w:rsidR="00790E25" w:rsidP="003375A9" w14:paraId="64536EC0" w14:textId="77777777">
      <w:pPr>
        <w:keepNext/>
        <w:ind w:firstLine="720"/>
        <w:rPr>
          <w:iCs/>
          <w:color w:val="000000" w:themeColor="text1"/>
        </w:rPr>
      </w:pPr>
      <w:r w:rsidRPr="00D22199">
        <w:rPr>
          <w:color w:val="000000" w:themeColor="text1"/>
        </w:rPr>
        <w:t>IIHS expressed support for the project, specifically, that “a 2025 survey is important for providing up-to-date alcohol and drug prevalence estimates among drivers” and “agrees that other road users such as pedestrians, bicyclists, and electric scooter riders will be a useful addition to the survey, as the number of non-occupant fatalities on U.S. roadways has been increasing in recent years.”</w:t>
      </w:r>
      <w:r>
        <w:rPr>
          <w:iCs/>
          <w:color w:val="000000" w:themeColor="text1"/>
        </w:rPr>
        <w:t xml:space="preserve"> </w:t>
      </w:r>
    </w:p>
    <w:p w:rsidR="00BF3D32" w:rsidP="003375A9" w14:paraId="49D413C7" w14:textId="5A19C70D">
      <w:pPr>
        <w:keepNext/>
        <w:ind w:firstLine="720"/>
        <w:rPr>
          <w:iCs/>
        </w:rPr>
      </w:pPr>
      <w:r w:rsidRPr="00D22199">
        <w:t xml:space="preserve">AAMVA also expressed support for the project, stating they are “supportive of the opportunity to have greater transparency into safety data that can help roadway safety </w:t>
      </w:r>
      <w:r w:rsidRPr="00D22199">
        <w:t>researchers and practitioners to better understand the prevalence of drivers with one or more drugs in their system while driving.</w:t>
      </w:r>
      <w:r>
        <w:rPr>
          <w:iCs/>
        </w:rPr>
        <w:t xml:space="preserve">” </w:t>
      </w:r>
    </w:p>
    <w:p w:rsidR="00441658" w:rsidRPr="00441658" w:rsidP="00441658" w14:paraId="5BB98AAB" w14:textId="5627BB61">
      <w:pPr>
        <w:keepNext/>
        <w:ind w:firstLine="720"/>
      </w:pPr>
      <w:r w:rsidRPr="00441658">
        <w:t xml:space="preserve">NHTSA published a 30-day notice on </w:t>
      </w:r>
      <w:r>
        <w:t>September 19, 2025</w:t>
      </w:r>
      <w:r w:rsidRPr="00441658">
        <w:t xml:space="preserve">, that stated NHTSA’s intention to submit this ICR to OMB for approval (90 FR 45164). </w:t>
      </w:r>
    </w:p>
    <w:p w:rsidR="00441658" w:rsidRPr="00441658" w:rsidP="00441658" w14:paraId="78099849" w14:textId="77777777">
      <w:pPr>
        <w:keepNext/>
        <w:ind w:firstLine="720"/>
      </w:pPr>
      <w:r w:rsidRPr="00441658">
        <w:t xml:space="preserve">A copy of each notice is attached. </w:t>
      </w:r>
    </w:p>
    <w:p w:rsidR="00441658" w:rsidRPr="006B767C" w:rsidP="003375A9" w14:paraId="6B7DF26D" w14:textId="77777777">
      <w:pPr>
        <w:keepNext/>
        <w:ind w:firstLine="720"/>
      </w:pPr>
    </w:p>
    <w:p w:rsidR="00C800ED" w:rsidRPr="00470EC1" w:rsidP="00413700" w14:paraId="135E7B4C" w14:textId="77777777">
      <w:pPr>
        <w:pStyle w:val="Heading1"/>
      </w:pPr>
      <w:r>
        <w:t>A.9.</w:t>
      </w:r>
      <w:r w:rsidRPr="00470EC1">
        <w:tab/>
        <w:t>Explain any decision to provide any payment or gift to respondents, other than remuneration of contractors or grantees.</w:t>
      </w:r>
      <w:bookmarkEnd w:id="33"/>
      <w:bookmarkEnd w:id="34"/>
      <w:bookmarkEnd w:id="35"/>
      <w:bookmarkEnd w:id="36"/>
    </w:p>
    <w:p w:rsidR="00BF3D32" w:rsidRPr="006B767C" w:rsidP="00BF3D32" w14:paraId="5B781FA0" w14:textId="7CA2F6BF">
      <w:pPr>
        <w:rPr>
          <w:color w:val="000000"/>
        </w:rPr>
      </w:pPr>
      <w:bookmarkStart w:id="37" w:name="_Toc125278822"/>
      <w:bookmarkStart w:id="38" w:name="_Toc125341745"/>
      <w:bookmarkStart w:id="39" w:name="_Toc125447303"/>
      <w:bookmarkStart w:id="40" w:name="_Toc126394131"/>
      <w:r w:rsidRPr="006B767C">
        <w:t>Participants</w:t>
      </w:r>
      <w:r w:rsidR="00090FA9">
        <w:t xml:space="preserve"> in Study 1 and Study 2</w:t>
      </w:r>
      <w:r w:rsidRPr="006B767C">
        <w:t xml:space="preserve"> will be paid $20</w:t>
      </w:r>
      <w:r w:rsidR="00C45D7A">
        <w:t xml:space="preserve"> </w:t>
      </w:r>
      <w:r w:rsidRPr="006B767C">
        <w:t>for completing all study activities</w:t>
      </w:r>
      <w:r w:rsidR="00FB365A">
        <w:t>.</w:t>
      </w:r>
      <w:r w:rsidRPr="006B767C">
        <w:t xml:space="preserve"> Payment for full participation is deemed necessary to provide </w:t>
      </w:r>
      <w:r w:rsidRPr="006B767C" w:rsidR="00C45D7A">
        <w:t>an incentive</w:t>
      </w:r>
      <w:r w:rsidRPr="006B767C">
        <w:t xml:space="preserve"> to participate in all levels of the study. Providing the level of incentive described above is important to ensure adequate participation rates which are essential to the validity of the study findings.</w:t>
      </w:r>
      <w:r w:rsidRPr="21116DD3">
        <w:rPr>
          <w:color w:val="000000" w:themeColor="text1"/>
        </w:rPr>
        <w:t> </w:t>
      </w:r>
      <w:r w:rsidRPr="21116DD3" w:rsidR="001A38AC">
        <w:rPr>
          <w:color w:val="000000" w:themeColor="text1"/>
        </w:rPr>
        <w:t xml:space="preserve">This study will also employ a conversion protocol </w:t>
      </w:r>
      <w:r w:rsidRPr="21116DD3" w:rsidR="00522C5A">
        <w:rPr>
          <w:color w:val="000000" w:themeColor="text1"/>
        </w:rPr>
        <w:t>which involves offering to increase the incentive amount in increments of $20 (up to a maximum of $100)</w:t>
      </w:r>
      <w:r w:rsidRPr="21116DD3" w:rsidR="00364E7B">
        <w:rPr>
          <w:color w:val="000000" w:themeColor="text1"/>
        </w:rPr>
        <w:t xml:space="preserve"> when an individual initially declines to participate. This approach has proven effective in past NRSs</w:t>
      </w:r>
      <w:r w:rsidRPr="21116DD3" w:rsidR="00025ADC">
        <w:rPr>
          <w:color w:val="000000" w:themeColor="text1"/>
        </w:rPr>
        <w:t xml:space="preserve"> and is important for ensuring the study sample is as representative as possible.</w:t>
      </w:r>
    </w:p>
    <w:p w:rsidR="00C800ED" w:rsidRPr="00470EC1" w:rsidP="00413700" w14:paraId="39605C94" w14:textId="7EDF3593">
      <w:pPr>
        <w:pStyle w:val="Heading1"/>
      </w:pPr>
      <w:r w:rsidRPr="00470EC1">
        <w:t>A.10.</w:t>
      </w:r>
      <w:r w:rsidRPr="00470EC1">
        <w:tab/>
        <w:t>Describe any assurance of confidentiality provided to respondents</w:t>
      </w:r>
      <w:bookmarkEnd w:id="37"/>
      <w:bookmarkEnd w:id="38"/>
      <w:bookmarkEnd w:id="39"/>
      <w:bookmarkEnd w:id="40"/>
      <w:r w:rsidR="009F708B">
        <w:t>.</w:t>
      </w:r>
    </w:p>
    <w:p w:rsidR="00BF3D32" w:rsidRPr="006B767C" w:rsidP="00BF3D32" w14:paraId="65BE7524" w14:textId="71031814">
      <w:bookmarkStart w:id="41" w:name="_Toc125278823"/>
      <w:bookmarkStart w:id="42" w:name="_Toc125341746"/>
      <w:bookmarkStart w:id="43" w:name="_Toc125447304"/>
      <w:bookmarkStart w:id="44" w:name="_Toc126394132"/>
      <w:r w:rsidRPr="006B767C">
        <w:t>Participants who choose to participate in the stud</w:t>
      </w:r>
      <w:r w:rsidR="00B65185">
        <w:t>ies</w:t>
      </w:r>
      <w:r w:rsidRPr="006B767C">
        <w:t xml:space="preserve"> will complete an IRB-approved informed consent </w:t>
      </w:r>
      <w:r w:rsidR="00FA5423">
        <w:t xml:space="preserve">(Form 1762) </w:t>
      </w:r>
      <w:r w:rsidRPr="006B767C">
        <w:t xml:space="preserve">process that indicates </w:t>
      </w:r>
      <w:r w:rsidR="00F34654">
        <w:t xml:space="preserve">all information provided will be </w:t>
      </w:r>
      <w:r w:rsidR="00E43141">
        <w:t>anonymous</w:t>
      </w:r>
      <w:r w:rsidR="00C43F04">
        <w:t xml:space="preserve"> and will only be stored by the assigned study identification number which has no meaning outside of the study</w:t>
      </w:r>
      <w:r w:rsidR="00F34654">
        <w:t xml:space="preserve">. </w:t>
      </w:r>
      <w:r w:rsidR="009D3CC1">
        <w:t>The study anticipates obtaining a Certificate of Confidentiality from the National Institutes of Health to provide additional assurances of confidentiality to participants.</w:t>
      </w:r>
      <w:r w:rsidRPr="00C02E7E" w:rsidR="009D3CC1">
        <w:t xml:space="preserve"> </w:t>
      </w:r>
      <w:r w:rsidRPr="006B767C">
        <w:t>All published results will provide only summary statistics and cannot be used to identify any individual or an individual’s responses.</w:t>
      </w:r>
    </w:p>
    <w:p w:rsidR="00C800ED" w:rsidRPr="00470EC1" w:rsidP="00413700" w14:paraId="298666B9" w14:textId="77777777">
      <w:pPr>
        <w:pStyle w:val="Heading1"/>
      </w:pPr>
      <w:r w:rsidRPr="00470EC1">
        <w:t>A.11.</w:t>
      </w:r>
      <w:r w:rsidRPr="00470EC1">
        <w:tab/>
        <w:t>Provide additional justification for any questions of a sensitive nature, such as sexual behavior or attitudes, religious beliefs, and other matters that are commonly considered private.</w:t>
      </w:r>
      <w:bookmarkEnd w:id="41"/>
      <w:bookmarkEnd w:id="42"/>
      <w:bookmarkEnd w:id="43"/>
      <w:bookmarkEnd w:id="44"/>
    </w:p>
    <w:p w:rsidR="00BF3D32" w:rsidRPr="006B767C" w:rsidP="00BF3D32" w14:paraId="431384E9" w14:textId="6B366D57">
      <w:bookmarkStart w:id="45" w:name="_Toc125278824"/>
      <w:bookmarkStart w:id="46" w:name="_Toc125341747"/>
      <w:bookmarkStart w:id="47" w:name="_Toc125447305"/>
      <w:bookmarkStart w:id="48" w:name="_Toc126394133"/>
      <w:r w:rsidRPr="006B767C">
        <w:t xml:space="preserve">The questionnaires </w:t>
      </w:r>
      <w:r w:rsidR="004C1B58">
        <w:t>include items asking about alcohol</w:t>
      </w:r>
      <w:r w:rsidR="005B1009">
        <w:t xml:space="preserve"> and drug use, as well as opinions about </w:t>
      </w:r>
      <w:r w:rsidR="001D0823">
        <w:t>driving or using roadways after consuming alcohol and/or drugs.</w:t>
      </w:r>
      <w:r w:rsidR="00C43F04">
        <w:t xml:space="preserve"> </w:t>
      </w:r>
      <w:r w:rsidR="00EB0CD5">
        <w:t xml:space="preserve">These questions provide NHTSA with additional information about alcohol and other drug use </w:t>
      </w:r>
      <w:r w:rsidR="00DD2381">
        <w:t xml:space="preserve">from drivers </w:t>
      </w:r>
      <w:r w:rsidR="00FA5423">
        <w:t xml:space="preserve">(Form 1763) </w:t>
      </w:r>
      <w:r w:rsidR="00DD2381">
        <w:t xml:space="preserve">and </w:t>
      </w:r>
      <w:r w:rsidR="00E43141">
        <w:t>ORUs</w:t>
      </w:r>
      <w:r w:rsidR="00FA5423">
        <w:t xml:space="preserve"> (Form 1764)</w:t>
      </w:r>
      <w:r w:rsidR="00DD2381">
        <w:t xml:space="preserve"> at the point of most interest which is when they are </w:t>
      </w:r>
      <w:r w:rsidR="00DD2381">
        <w:t>actually using</w:t>
      </w:r>
      <w:r w:rsidR="00DD2381">
        <w:t xml:space="preserve"> public roadways. </w:t>
      </w:r>
      <w:r w:rsidR="00DE60A7">
        <w:t xml:space="preserve">The drug toxicology data </w:t>
      </w:r>
      <w:r w:rsidR="00AF44AF">
        <w:t xml:space="preserve">obtained for this study </w:t>
      </w:r>
      <w:r w:rsidR="00DE60A7">
        <w:t xml:space="preserve">only provides information on drug use on the current trip, but </w:t>
      </w:r>
      <w:r w:rsidR="00165AE4">
        <w:t>responses to the questionnaires will</w:t>
      </w:r>
      <w:r w:rsidR="00DE60A7">
        <w:t xml:space="preserve"> </w:t>
      </w:r>
      <w:r w:rsidR="006C0B65">
        <w:t>provide a broader picture of alcohol and drug use</w:t>
      </w:r>
      <w:r w:rsidR="00165AE4">
        <w:t xml:space="preserve"> </w:t>
      </w:r>
      <w:r w:rsidR="009B3234">
        <w:t xml:space="preserve">when using </w:t>
      </w:r>
      <w:r w:rsidR="00165AE4">
        <w:t>roadways</w:t>
      </w:r>
      <w:r w:rsidR="006C0B65">
        <w:t xml:space="preserve"> beyond the current trip.</w:t>
      </w:r>
    </w:p>
    <w:p w:rsidR="00621A02" w14:paraId="056600A9" w14:textId="0336E4A5">
      <w:pPr>
        <w:spacing w:after="0"/>
        <w:rPr>
          <w:b/>
        </w:rPr>
      </w:pPr>
    </w:p>
    <w:p w:rsidR="00C800ED" w:rsidRPr="0081277A" w:rsidP="009F09CC" w14:paraId="18BDB880" w14:textId="64AABEC9">
      <w:pPr>
        <w:pStyle w:val="Heading1"/>
      </w:pPr>
      <w:r w:rsidRPr="009F09CC">
        <w:t>A</w:t>
      </w:r>
      <w:r w:rsidRPr="0081277A">
        <w:t>.12.</w:t>
      </w:r>
      <w:r w:rsidRPr="0081277A">
        <w:tab/>
        <w:t>Provide estimates of the hour burden of the collection of information on the respondents.</w:t>
      </w:r>
      <w:bookmarkEnd w:id="45"/>
      <w:bookmarkEnd w:id="46"/>
      <w:bookmarkEnd w:id="47"/>
      <w:bookmarkEnd w:id="48"/>
    </w:p>
    <w:p w:rsidR="00B13DA3" w:rsidP="00A80677" w14:paraId="4E8A37A2" w14:textId="50A89711">
      <w:pPr>
        <w:widowControl w:val="0"/>
        <w:rPr>
          <w:rStyle w:val="normaltextrun"/>
          <w:color w:val="000000"/>
          <w:shd w:val="clear" w:color="auto" w:fill="FFFFFF"/>
        </w:rPr>
      </w:pPr>
      <w:r>
        <w:fldChar w:fldCharType="begin"/>
      </w:r>
      <w:r>
        <w:rPr>
          <w:rStyle w:val="normaltextrun"/>
          <w:color w:val="000000"/>
          <w:shd w:val="clear" w:color="auto" w:fill="FFFFFF"/>
        </w:rPr>
        <w:instrText xml:space="preserve"> REF _Ref157091188 \r \h </w:instrText>
      </w:r>
      <w:r>
        <w:fldChar w:fldCharType="separate"/>
      </w:r>
      <w:r>
        <w:rPr>
          <w:rStyle w:val="normaltextrun"/>
          <w:color w:val="000000"/>
          <w:shd w:val="clear" w:color="auto" w:fill="FFFFFF"/>
        </w:rPr>
        <w:t>Table 1</w:t>
      </w:r>
      <w:r>
        <w:fldChar w:fldCharType="end"/>
      </w:r>
      <w:r>
        <w:t xml:space="preserve"> </w:t>
      </w:r>
      <w:r>
        <w:rPr>
          <w:rStyle w:val="normaltextrun"/>
          <w:color w:val="000000"/>
          <w:shd w:val="clear" w:color="auto" w:fill="FFFFFF"/>
        </w:rPr>
        <w:t xml:space="preserve">provides the numbers used to estimate the total burden. The table breaks out the burden separately for </w:t>
      </w:r>
      <w:r w:rsidR="002848CD">
        <w:rPr>
          <w:rStyle w:val="normaltextrun"/>
          <w:color w:val="000000"/>
          <w:shd w:val="clear" w:color="auto" w:fill="FFFFFF"/>
        </w:rPr>
        <w:t>Study 1</w:t>
      </w:r>
      <w:r>
        <w:rPr>
          <w:rStyle w:val="normaltextrun"/>
          <w:color w:val="000000"/>
          <w:shd w:val="clear" w:color="auto" w:fill="FFFFFF"/>
        </w:rPr>
        <w:t xml:space="preserve"> and </w:t>
      </w:r>
      <w:r w:rsidR="002848CD">
        <w:rPr>
          <w:rStyle w:val="normaltextrun"/>
          <w:color w:val="000000"/>
          <w:shd w:val="clear" w:color="auto" w:fill="FFFFFF"/>
        </w:rPr>
        <w:t>Study 2</w:t>
      </w:r>
      <w:r>
        <w:rPr>
          <w:rStyle w:val="normaltextrun"/>
          <w:color w:val="000000"/>
          <w:shd w:val="clear" w:color="auto" w:fill="FFFFFF"/>
        </w:rPr>
        <w:t xml:space="preserve">. </w:t>
      </w:r>
      <w:r w:rsidR="002848CD">
        <w:rPr>
          <w:rStyle w:val="normaltextrun"/>
          <w:color w:val="000000"/>
          <w:shd w:val="clear" w:color="auto" w:fill="FFFFFF"/>
        </w:rPr>
        <w:t>Study 1</w:t>
      </w:r>
      <w:r w:rsidRPr="00F96CC6" w:rsidR="00F96CC6">
        <w:rPr>
          <w:rStyle w:val="normaltextrun"/>
          <w:color w:val="000000"/>
          <w:shd w:val="clear" w:color="auto" w:fill="FFFFFF"/>
        </w:rPr>
        <w:t xml:space="preserve"> expects to contact approximately 11,750 drivers with 9,000 agreeing to participate. Based on the last NRS results, it is expected 8,000 drivers will fully participate and 1,000 will partially participate (i.e., stops providing information before full </w:t>
      </w:r>
      <w:r w:rsidRPr="00F96CC6" w:rsidR="00F96CC6">
        <w:rPr>
          <w:rStyle w:val="normaltextrun"/>
          <w:color w:val="000000"/>
          <w:shd w:val="clear" w:color="auto" w:fill="FFFFFF"/>
        </w:rPr>
        <w:t xml:space="preserve">data collection is complete). </w:t>
      </w:r>
      <w:r w:rsidR="002848CD">
        <w:rPr>
          <w:rStyle w:val="normaltextrun"/>
          <w:color w:val="000000"/>
          <w:shd w:val="clear" w:color="auto" w:fill="FFFFFF"/>
        </w:rPr>
        <w:t>Study 1</w:t>
      </w:r>
      <w:r w:rsidRPr="00F96CC6" w:rsidR="00F96CC6">
        <w:rPr>
          <w:rStyle w:val="normaltextrun"/>
          <w:color w:val="000000"/>
          <w:shd w:val="clear" w:color="auto" w:fill="FFFFFF"/>
        </w:rPr>
        <w:t xml:space="preserve"> also expects to contact 750 ORUs at the </w:t>
      </w:r>
      <w:r w:rsidR="00A923AC">
        <w:rPr>
          <w:rStyle w:val="normaltextrun"/>
          <w:color w:val="000000"/>
          <w:shd w:val="clear" w:color="auto" w:fill="FFFFFF"/>
        </w:rPr>
        <w:t xml:space="preserve">Study 1 </w:t>
      </w:r>
      <w:r w:rsidRPr="00F96CC6" w:rsidR="00F96CC6">
        <w:rPr>
          <w:rStyle w:val="normaltextrun"/>
          <w:color w:val="000000"/>
          <w:shd w:val="clear" w:color="auto" w:fill="FFFFFF"/>
        </w:rPr>
        <w:t>data collection locations with 500 fully participating and 60 partially participating.</w:t>
      </w:r>
      <w:r w:rsidR="00F96CC6">
        <w:rPr>
          <w:rStyle w:val="normaltextrun"/>
          <w:color w:val="000000"/>
          <w:shd w:val="clear" w:color="auto" w:fill="FFFFFF"/>
        </w:rPr>
        <w:t xml:space="preserve"> </w:t>
      </w:r>
      <w:r w:rsidR="002848CD">
        <w:rPr>
          <w:rStyle w:val="normaltextrun"/>
          <w:color w:val="000000"/>
          <w:shd w:val="clear" w:color="auto" w:fill="FFFFFF"/>
        </w:rPr>
        <w:t xml:space="preserve">Study 2 involving </w:t>
      </w:r>
      <w:r w:rsidRPr="00F96CC6" w:rsidR="00F96CC6">
        <w:rPr>
          <w:rStyle w:val="normaltextrun"/>
          <w:color w:val="000000"/>
          <w:shd w:val="clear" w:color="auto" w:fill="FFFFFF"/>
        </w:rPr>
        <w:t xml:space="preserve">only ORUs expects to contact approximately 750 individuals with 500 fully participating and 60 partially participating. </w:t>
      </w:r>
      <w:r>
        <w:rPr>
          <w:rStyle w:val="normaltextrun"/>
          <w:color w:val="000000"/>
          <w:shd w:val="clear" w:color="auto" w:fill="FFFFFF"/>
        </w:rPr>
        <w:t xml:space="preserve">Projected completion rates for those agreeing to participate are based on NHTSAs </w:t>
      </w:r>
      <w:r>
        <w:rPr>
          <w:rStyle w:val="normaltextrun"/>
          <w:color w:val="000000"/>
          <w:shd w:val="clear" w:color="auto" w:fill="FFFFFF"/>
        </w:rPr>
        <w:t>past experience</w:t>
      </w:r>
      <w:r>
        <w:rPr>
          <w:rStyle w:val="normaltextrun"/>
          <w:color w:val="000000"/>
          <w:shd w:val="clear" w:color="auto" w:fill="FFFFFF"/>
        </w:rPr>
        <w:t xml:space="preserve"> with the 2013-2014 NRS.</w:t>
      </w:r>
      <w:r w:rsidRPr="00621A02">
        <w:rPr>
          <w:vertAlign w:val="superscript"/>
        </w:rPr>
        <w:t>5</w:t>
      </w:r>
      <w:r>
        <w:rPr>
          <w:rStyle w:val="normaltextrun"/>
          <w:color w:val="000000"/>
          <w:shd w:val="clear" w:color="auto" w:fill="FFFFFF"/>
        </w:rPr>
        <w:t xml:space="preserve"> </w:t>
      </w:r>
      <w:r w:rsidR="002848CD">
        <w:rPr>
          <w:rStyle w:val="normaltextrun"/>
          <w:color w:val="000000"/>
          <w:shd w:val="clear" w:color="auto" w:fill="FFFFFF"/>
        </w:rPr>
        <w:t xml:space="preserve">Across Study 1 and Study 2 combined, </w:t>
      </w:r>
      <w:r>
        <w:rPr>
          <w:rStyle w:val="normaltextrun"/>
          <w:color w:val="000000"/>
          <w:shd w:val="clear" w:color="auto" w:fill="FFFFFF"/>
        </w:rPr>
        <w:t>NHTSA anticipates approaching an estimated 13,250 potential participants with approximately 9,000 of those agreeing to fully participating and 1,120 partially participating (</w:t>
      </w:r>
      <w:r w:rsidR="000E5A78">
        <w:rPr>
          <w:rStyle w:val="normaltextrun"/>
          <w:color w:val="000000"/>
          <w:shd w:val="clear" w:color="auto" w:fill="FFFFFF"/>
        </w:rPr>
        <w:t xml:space="preserve">10,120 </w:t>
      </w:r>
      <w:r w:rsidR="00FB3A4F">
        <w:rPr>
          <w:rStyle w:val="normaltextrun"/>
          <w:color w:val="000000"/>
          <w:shd w:val="clear" w:color="auto" w:fill="FFFFFF"/>
        </w:rPr>
        <w:t>total participants</w:t>
      </w:r>
      <w:r w:rsidR="004C5F8D">
        <w:rPr>
          <w:rStyle w:val="normaltextrun"/>
          <w:color w:val="000000"/>
          <w:shd w:val="clear" w:color="auto" w:fill="FFFFFF"/>
        </w:rPr>
        <w:t>; 3,373 annual participants</w:t>
      </w:r>
      <w:r>
        <w:rPr>
          <w:rStyle w:val="normaltextrun"/>
          <w:color w:val="000000"/>
          <w:shd w:val="clear" w:color="auto" w:fill="FFFFFF"/>
        </w:rPr>
        <w:t>)</w:t>
      </w:r>
      <w:r w:rsidRPr="006B767C">
        <w:t>.</w:t>
      </w:r>
      <w:r>
        <w:t xml:space="preserve"> </w:t>
      </w:r>
      <w:r>
        <w:rPr>
          <w:rStyle w:val="normaltextrun"/>
          <w:color w:val="000000"/>
          <w:shd w:val="clear" w:color="auto" w:fill="FFFFFF"/>
        </w:rPr>
        <w:t>Total burden hours for the</w:t>
      </w:r>
      <w:r w:rsidR="002848CD">
        <w:rPr>
          <w:rStyle w:val="normaltextrun"/>
          <w:color w:val="000000"/>
          <w:shd w:val="clear" w:color="auto" w:fill="FFFFFF"/>
        </w:rPr>
        <w:t xml:space="preserve"> two</w:t>
      </w:r>
      <w:r>
        <w:rPr>
          <w:rStyle w:val="normaltextrun"/>
          <w:color w:val="000000"/>
          <w:shd w:val="clear" w:color="auto" w:fill="FFFFFF"/>
        </w:rPr>
        <w:t xml:space="preserve"> stud</w:t>
      </w:r>
      <w:r w:rsidR="002848CD">
        <w:rPr>
          <w:rStyle w:val="normaltextrun"/>
          <w:color w:val="000000"/>
          <w:shd w:val="clear" w:color="auto" w:fill="FFFFFF"/>
        </w:rPr>
        <w:t>ies</w:t>
      </w:r>
      <w:r>
        <w:rPr>
          <w:rStyle w:val="normaltextrun"/>
          <w:color w:val="000000"/>
          <w:shd w:val="clear" w:color="auto" w:fill="FFFFFF"/>
        </w:rPr>
        <w:t xml:space="preserve"> will be approximately </w:t>
      </w:r>
      <w:r w:rsidRPr="0049362A">
        <w:rPr>
          <w:rStyle w:val="normaltextrun"/>
          <w:color w:val="000000"/>
          <w:shd w:val="clear" w:color="auto" w:fill="FFFFFF"/>
        </w:rPr>
        <w:t>1,</w:t>
      </w:r>
      <w:r w:rsidR="00E975CA">
        <w:rPr>
          <w:rStyle w:val="normaltextrun"/>
          <w:color w:val="000000"/>
          <w:shd w:val="clear" w:color="auto" w:fill="FFFFFF"/>
        </w:rPr>
        <w:t>593</w:t>
      </w:r>
      <w:r>
        <w:rPr>
          <w:rStyle w:val="normaltextrun"/>
          <w:color w:val="000000"/>
          <w:shd w:val="clear" w:color="auto" w:fill="FFFFFF"/>
        </w:rPr>
        <w:t xml:space="preserve"> over the time period. </w:t>
      </w:r>
      <w:r w:rsidR="00840D1A">
        <w:rPr>
          <w:rStyle w:val="normaltextrun"/>
          <w:color w:val="000000"/>
          <w:shd w:val="clear" w:color="auto" w:fill="FFFFFF"/>
        </w:rPr>
        <w:t xml:space="preserve"> The total annual burden hours for the two studies </w:t>
      </w:r>
      <w:r w:rsidR="001A7B2D">
        <w:rPr>
          <w:rStyle w:val="normaltextrun"/>
          <w:color w:val="000000"/>
          <w:shd w:val="clear" w:color="auto" w:fill="FFFFFF"/>
        </w:rPr>
        <w:t xml:space="preserve">is estimated to </w:t>
      </w:r>
      <w:r w:rsidR="00840D1A">
        <w:rPr>
          <w:rStyle w:val="normaltextrun"/>
          <w:color w:val="000000"/>
          <w:shd w:val="clear" w:color="auto" w:fill="FFFFFF"/>
        </w:rPr>
        <w:t xml:space="preserve">be </w:t>
      </w:r>
      <w:r w:rsidR="00F72C02">
        <w:rPr>
          <w:rStyle w:val="normaltextrun"/>
          <w:color w:val="000000"/>
          <w:shd w:val="clear" w:color="auto" w:fill="FFFFFF"/>
        </w:rPr>
        <w:t>531 hours</w:t>
      </w:r>
      <w:r w:rsidR="009228EC">
        <w:rPr>
          <w:rStyle w:val="normaltextrun"/>
          <w:color w:val="000000"/>
          <w:shd w:val="clear" w:color="auto" w:fill="FFFFFF"/>
        </w:rPr>
        <w:t>.</w:t>
      </w:r>
    </w:p>
    <w:p w:rsidR="00326ABD" w:rsidP="00F96CC6" w14:paraId="0E524FAC" w14:textId="47646423">
      <w:pPr>
        <w:keepNext/>
        <w:rPr>
          <w:bCs/>
        </w:rPr>
      </w:pPr>
      <w:r>
        <w:rPr>
          <w:bCs/>
        </w:rPr>
        <w:t>Across Study 1 and Study 2 combined, t</w:t>
      </w:r>
      <w:r w:rsidRPr="001F1ECB">
        <w:rPr>
          <w:bCs/>
        </w:rPr>
        <w:t xml:space="preserve">he total amount of burden cost to respondents is estimated to </w:t>
      </w:r>
      <w:r w:rsidRPr="0049362A">
        <w:rPr>
          <w:bCs/>
        </w:rPr>
        <w:t>be $</w:t>
      </w:r>
      <w:r>
        <w:rPr>
          <w:bCs/>
        </w:rPr>
        <w:t xml:space="preserve">72,640 </w:t>
      </w:r>
      <w:r w:rsidRPr="00621A02">
        <w:rPr>
          <w:bCs/>
        </w:rPr>
        <w:t>(</w:t>
      </w:r>
      <w:r w:rsidRPr="001F1ECB">
        <w:rPr>
          <w:bCs/>
        </w:rPr>
        <w:t>see</w:t>
      </w:r>
      <w:r>
        <w:rPr>
          <w:bCs/>
        </w:rPr>
        <w:t xml:space="preserve"> </w:t>
      </w:r>
      <w:r>
        <w:rPr>
          <w:b/>
          <w:bCs/>
        </w:rPr>
        <w:fldChar w:fldCharType="begin"/>
      </w:r>
      <w:r>
        <w:rPr>
          <w:bCs/>
        </w:rPr>
        <w:instrText xml:space="preserve"> REF _Ref157091188 \r \h </w:instrText>
      </w:r>
      <w:r>
        <w:rPr>
          <w:b/>
          <w:bCs/>
        </w:rPr>
        <w:fldChar w:fldCharType="separate"/>
      </w:r>
      <w:r>
        <w:rPr>
          <w:bCs/>
        </w:rPr>
        <w:t>Table 1</w:t>
      </w:r>
      <w:r>
        <w:rPr>
          <w:b/>
          <w:bCs/>
        </w:rPr>
        <w:fldChar w:fldCharType="end"/>
      </w:r>
      <w:r w:rsidRPr="001F1ECB">
        <w:rPr>
          <w:bCs/>
        </w:rPr>
        <w:t>).</w:t>
      </w:r>
      <w:r w:rsidR="006A4FC6">
        <w:rPr>
          <w:bCs/>
        </w:rPr>
        <w:t xml:space="preserve"> </w:t>
      </w:r>
      <w:r w:rsidR="00FC1C41">
        <w:rPr>
          <w:bCs/>
        </w:rPr>
        <w:t xml:space="preserve">The total annual burden cost </w:t>
      </w:r>
      <w:r w:rsidR="00C9389A">
        <w:rPr>
          <w:bCs/>
        </w:rPr>
        <w:t xml:space="preserve">to respondents for their participation </w:t>
      </w:r>
      <w:r w:rsidR="007D65F1">
        <w:rPr>
          <w:bCs/>
        </w:rPr>
        <w:t>is estimated to be</w:t>
      </w:r>
      <w:r w:rsidR="00C9389A">
        <w:rPr>
          <w:bCs/>
        </w:rPr>
        <w:t xml:space="preserve"> approximately</w:t>
      </w:r>
      <w:r w:rsidR="007D65F1">
        <w:rPr>
          <w:bCs/>
        </w:rPr>
        <w:t xml:space="preserve"> $</w:t>
      </w:r>
      <w:r w:rsidR="00C9389A">
        <w:rPr>
          <w:bCs/>
        </w:rPr>
        <w:t>24,213</w:t>
      </w:r>
      <w:r w:rsidR="007D65F1">
        <w:rPr>
          <w:bCs/>
        </w:rPr>
        <w:t>.</w:t>
      </w:r>
    </w:p>
    <w:p w:rsidR="00A80677" w:rsidRPr="00A35F66" w:rsidP="00F96CC6" w14:paraId="78FCC6CA" w14:textId="77777777">
      <w:pPr>
        <w:keepNext/>
        <w:rPr>
          <w:color w:val="000000"/>
          <w:shd w:val="clear" w:color="auto" w:fill="FFFFFF"/>
        </w:rPr>
      </w:pPr>
    </w:p>
    <w:p w:rsidR="00CA7CB9" w:rsidRPr="00FA5423" w:rsidP="007206FA" w14:paraId="44FDCFFD" w14:textId="74B23A4B">
      <w:pPr>
        <w:pStyle w:val="ListParagraph"/>
        <w:numPr>
          <w:ilvl w:val="0"/>
          <w:numId w:val="9"/>
        </w:numPr>
        <w:spacing w:after="0"/>
        <w:rPr>
          <w:b/>
          <w:bCs/>
        </w:rPr>
      </w:pPr>
      <w:bookmarkStart w:id="49" w:name="_Ref157091188"/>
      <w:r w:rsidRPr="00FA5423">
        <w:rPr>
          <w:b/>
          <w:bCs/>
        </w:rPr>
        <w:t>Summary of Total Burden Hours and Estimated Costs by Respondent Type</w:t>
      </w:r>
      <w:bookmarkEnd w:id="49"/>
    </w:p>
    <w:tbl>
      <w:tblPr>
        <w:tblW w:w="8640" w:type="dxa"/>
        <w:jc w:val="center"/>
        <w:tblLook w:val="04A0"/>
      </w:tblPr>
      <w:tblGrid>
        <w:gridCol w:w="1242"/>
        <w:gridCol w:w="1308"/>
        <w:gridCol w:w="1230"/>
        <w:gridCol w:w="1793"/>
        <w:gridCol w:w="1151"/>
        <w:gridCol w:w="1916"/>
      </w:tblGrid>
      <w:tr w14:paraId="3D5F37A9" w14:textId="77A04BBF" w:rsidTr="007206FA">
        <w:tblPrEx>
          <w:tblW w:w="8640" w:type="dxa"/>
          <w:jc w:val="center"/>
          <w:tblLook w:val="04A0"/>
        </w:tblPrEx>
        <w:trPr>
          <w:trHeight w:val="1043"/>
          <w:jc w:val="center"/>
        </w:trPr>
        <w:tc>
          <w:tcPr>
            <w:tcW w:w="1242" w:type="dxa"/>
            <w:tcBorders>
              <w:top w:val="single" w:sz="4" w:space="0" w:color="auto"/>
              <w:left w:val="nil"/>
              <w:bottom w:val="single" w:sz="4" w:space="0" w:color="auto"/>
              <w:right w:val="nil"/>
            </w:tcBorders>
            <w:shd w:val="clear" w:color="000000" w:fill="F2F2F2"/>
            <w:vAlign w:val="center"/>
            <w:hideMark/>
          </w:tcPr>
          <w:p w:rsidR="00CA7CB9" w:rsidRPr="0069145E" w:rsidP="00357414" w14:paraId="3B837D74" w14:textId="03238725">
            <w:pPr>
              <w:spacing w:after="0"/>
              <w:jc w:val="center"/>
              <w:rPr>
                <w:b/>
                <w:bCs/>
                <w:sz w:val="20"/>
                <w:szCs w:val="20"/>
              </w:rPr>
            </w:pPr>
            <w:bookmarkStart w:id="50" w:name="RANGE!A1"/>
            <w:r w:rsidRPr="0069145E">
              <w:rPr>
                <w:b/>
                <w:bCs/>
                <w:sz w:val="20"/>
                <w:szCs w:val="20"/>
              </w:rPr>
              <w:t>Type of Respondent</w:t>
            </w:r>
            <w:bookmarkEnd w:id="50"/>
          </w:p>
        </w:tc>
        <w:tc>
          <w:tcPr>
            <w:tcW w:w="1308" w:type="dxa"/>
            <w:tcBorders>
              <w:top w:val="single" w:sz="4" w:space="0" w:color="auto"/>
              <w:left w:val="nil"/>
              <w:bottom w:val="single" w:sz="4" w:space="0" w:color="auto"/>
              <w:right w:val="nil"/>
            </w:tcBorders>
            <w:shd w:val="clear" w:color="000000" w:fill="F2F2F2"/>
            <w:vAlign w:val="center"/>
            <w:hideMark/>
          </w:tcPr>
          <w:p w:rsidR="00CA7CB9" w:rsidRPr="0069145E" w:rsidP="00357414" w14:paraId="3E708D87" w14:textId="0D80F17C">
            <w:pPr>
              <w:spacing w:after="0"/>
              <w:jc w:val="center"/>
              <w:rPr>
                <w:b/>
                <w:bCs/>
                <w:sz w:val="20"/>
                <w:szCs w:val="20"/>
              </w:rPr>
            </w:pPr>
            <w:r w:rsidRPr="0069145E">
              <w:rPr>
                <w:b/>
                <w:bCs/>
                <w:sz w:val="20"/>
                <w:szCs w:val="20"/>
              </w:rPr>
              <w:t>Number of Respondents</w:t>
            </w:r>
          </w:p>
        </w:tc>
        <w:tc>
          <w:tcPr>
            <w:tcW w:w="1230" w:type="dxa"/>
            <w:tcBorders>
              <w:top w:val="single" w:sz="4" w:space="0" w:color="auto"/>
              <w:left w:val="nil"/>
              <w:bottom w:val="single" w:sz="4" w:space="0" w:color="auto"/>
              <w:right w:val="nil"/>
            </w:tcBorders>
            <w:shd w:val="clear" w:color="000000" w:fill="F2F2F2"/>
            <w:vAlign w:val="center"/>
            <w:hideMark/>
          </w:tcPr>
          <w:p w:rsidR="00CA7CB9" w:rsidRPr="0069145E" w:rsidP="00357414" w14:paraId="7EF24B55" w14:textId="357789F5">
            <w:pPr>
              <w:spacing w:after="0"/>
              <w:jc w:val="center"/>
              <w:rPr>
                <w:b/>
                <w:bCs/>
                <w:sz w:val="20"/>
                <w:szCs w:val="20"/>
              </w:rPr>
            </w:pPr>
            <w:r w:rsidRPr="0069145E">
              <w:rPr>
                <w:b/>
                <w:bCs/>
                <w:sz w:val="20"/>
                <w:szCs w:val="20"/>
              </w:rPr>
              <w:t>Minutes per Respondent</w:t>
            </w:r>
          </w:p>
        </w:tc>
        <w:tc>
          <w:tcPr>
            <w:tcW w:w="1793" w:type="dxa"/>
            <w:tcBorders>
              <w:top w:val="single" w:sz="4" w:space="0" w:color="auto"/>
              <w:left w:val="nil"/>
              <w:bottom w:val="single" w:sz="4" w:space="0" w:color="auto"/>
              <w:right w:val="nil"/>
            </w:tcBorders>
            <w:shd w:val="clear" w:color="000000" w:fill="F2F2F2"/>
            <w:vAlign w:val="center"/>
            <w:hideMark/>
          </w:tcPr>
          <w:p w:rsidR="00CA7CB9" w:rsidRPr="0069145E" w:rsidP="00357414" w14:paraId="3040ED2C" w14:textId="79D2A4A8">
            <w:pPr>
              <w:spacing w:after="0"/>
              <w:jc w:val="center"/>
              <w:rPr>
                <w:b/>
                <w:bCs/>
                <w:sz w:val="20"/>
                <w:szCs w:val="20"/>
              </w:rPr>
            </w:pPr>
            <w:r>
              <w:rPr>
                <w:b/>
                <w:bCs/>
                <w:sz w:val="20"/>
                <w:szCs w:val="20"/>
              </w:rPr>
              <w:t>Hourly</w:t>
            </w:r>
            <w:r w:rsidR="00DB46D6">
              <w:rPr>
                <w:b/>
                <w:bCs/>
                <w:sz w:val="20"/>
                <w:szCs w:val="20"/>
              </w:rPr>
              <w:t xml:space="preserve"> </w:t>
            </w:r>
            <w:r w:rsidRPr="0069145E">
              <w:rPr>
                <w:b/>
                <w:bCs/>
                <w:sz w:val="20"/>
                <w:szCs w:val="20"/>
              </w:rPr>
              <w:t>Wage</w:t>
            </w:r>
            <w:r>
              <w:rPr>
                <w:b/>
                <w:bCs/>
                <w:sz w:val="20"/>
                <w:szCs w:val="20"/>
              </w:rPr>
              <w:t xml:space="preserve"> + 30% Fringe</w:t>
            </w:r>
            <w:r w:rsidR="009D73E1">
              <w:rPr>
                <w:b/>
                <w:bCs/>
                <w:sz w:val="20"/>
                <w:szCs w:val="20"/>
              </w:rPr>
              <w:t xml:space="preserve"> ($35.07 +</w:t>
            </w:r>
            <w:r w:rsidR="00E62D17">
              <w:rPr>
                <w:b/>
                <w:bCs/>
                <w:sz w:val="20"/>
                <w:szCs w:val="20"/>
              </w:rPr>
              <w:t xml:space="preserve"> </w:t>
            </w:r>
            <w:r w:rsidR="009D73E1">
              <w:rPr>
                <w:b/>
                <w:bCs/>
                <w:sz w:val="20"/>
                <w:szCs w:val="20"/>
              </w:rPr>
              <w:t>$10.52</w:t>
            </w:r>
            <w:r w:rsidR="00870443">
              <w:rPr>
                <w:b/>
                <w:bCs/>
                <w:sz w:val="20"/>
                <w:szCs w:val="20"/>
              </w:rPr>
              <w:t>)</w:t>
            </w:r>
            <w:r w:rsidRPr="0069145E" w:rsidR="00870443">
              <w:rPr>
                <w:b/>
                <w:bCs/>
                <w:sz w:val="20"/>
                <w:szCs w:val="20"/>
              </w:rPr>
              <w:t>*</w:t>
            </w:r>
          </w:p>
        </w:tc>
        <w:tc>
          <w:tcPr>
            <w:tcW w:w="1151" w:type="dxa"/>
            <w:tcBorders>
              <w:top w:val="single" w:sz="4" w:space="0" w:color="auto"/>
              <w:left w:val="nil"/>
              <w:bottom w:val="single" w:sz="4" w:space="0" w:color="auto"/>
              <w:right w:val="nil"/>
            </w:tcBorders>
            <w:shd w:val="clear" w:color="000000" w:fill="F2F2F2"/>
            <w:vAlign w:val="center"/>
            <w:hideMark/>
          </w:tcPr>
          <w:p w:rsidR="00CA7CB9" w:rsidRPr="0069145E" w:rsidP="00357414" w14:paraId="45D77D09" w14:textId="195F7189">
            <w:pPr>
              <w:spacing w:after="0"/>
              <w:jc w:val="center"/>
              <w:rPr>
                <w:b/>
                <w:bCs/>
                <w:sz w:val="20"/>
                <w:szCs w:val="20"/>
              </w:rPr>
            </w:pPr>
            <w:r w:rsidRPr="0069145E">
              <w:rPr>
                <w:b/>
                <w:bCs/>
                <w:sz w:val="20"/>
                <w:szCs w:val="20"/>
              </w:rPr>
              <w:t>Total Estimated Burden Hours</w:t>
            </w:r>
          </w:p>
        </w:tc>
        <w:tc>
          <w:tcPr>
            <w:tcW w:w="1916" w:type="dxa"/>
            <w:tcBorders>
              <w:top w:val="single" w:sz="4" w:space="0" w:color="auto"/>
              <w:left w:val="nil"/>
              <w:bottom w:val="single" w:sz="4" w:space="0" w:color="auto"/>
              <w:right w:val="nil"/>
            </w:tcBorders>
            <w:shd w:val="clear" w:color="000000" w:fill="F2F2F2"/>
            <w:vAlign w:val="center"/>
            <w:hideMark/>
          </w:tcPr>
          <w:p w:rsidR="00CA7CB9" w:rsidRPr="0069145E" w:rsidP="00357414" w14:paraId="76E4AA1E" w14:textId="19554762">
            <w:pPr>
              <w:spacing w:after="0"/>
              <w:jc w:val="center"/>
              <w:rPr>
                <w:b/>
                <w:bCs/>
                <w:sz w:val="20"/>
                <w:szCs w:val="20"/>
              </w:rPr>
            </w:pPr>
            <w:r w:rsidRPr="0069145E">
              <w:rPr>
                <w:b/>
                <w:bCs/>
                <w:sz w:val="20"/>
                <w:szCs w:val="20"/>
              </w:rPr>
              <w:t>Estimated Cost</w:t>
            </w:r>
          </w:p>
        </w:tc>
      </w:tr>
      <w:tr w14:paraId="08380E42" w14:textId="75AF6472" w:rsidTr="00A66D8B">
        <w:tblPrEx>
          <w:tblW w:w="8640" w:type="dxa"/>
          <w:jc w:val="center"/>
          <w:tblLook w:val="04A0"/>
        </w:tblPrEx>
        <w:trPr>
          <w:trHeight w:val="485"/>
          <w:jc w:val="center"/>
        </w:trPr>
        <w:tc>
          <w:tcPr>
            <w:tcW w:w="8640" w:type="dxa"/>
            <w:gridSpan w:val="6"/>
            <w:tcBorders>
              <w:top w:val="nil"/>
              <w:left w:val="nil"/>
              <w:bottom w:val="nil"/>
              <w:right w:val="nil"/>
            </w:tcBorders>
            <w:shd w:val="clear" w:color="000000" w:fill="FFFFFF"/>
            <w:vAlign w:val="center"/>
            <w:hideMark/>
          </w:tcPr>
          <w:p w:rsidR="004C5F8D" w:rsidRPr="0069145E" w:rsidP="004C5F8D" w14:paraId="4DB7334E" w14:textId="3AD30477">
            <w:pPr>
              <w:spacing w:after="0"/>
              <w:jc w:val="center"/>
              <w:rPr>
                <w:sz w:val="20"/>
                <w:szCs w:val="20"/>
              </w:rPr>
            </w:pPr>
            <w:bookmarkStart w:id="51" w:name="RANGE!A2"/>
            <w:bookmarkStart w:id="52" w:name="_Hlk118887419" w:colFirst="1" w:colLast="5"/>
            <w:r>
              <w:rPr>
                <w:b/>
                <w:bCs/>
                <w:sz w:val="20"/>
                <w:szCs w:val="20"/>
                <w:u w:val="single"/>
              </w:rPr>
              <w:t>Study 1 (</w:t>
            </w:r>
            <w:r w:rsidRPr="0069145E">
              <w:rPr>
                <w:b/>
                <w:bCs/>
                <w:sz w:val="20"/>
                <w:szCs w:val="20"/>
                <w:u w:val="single"/>
              </w:rPr>
              <w:t>NRS</w:t>
            </w:r>
            <w:bookmarkEnd w:id="51"/>
            <w:r>
              <w:rPr>
                <w:b/>
                <w:bCs/>
                <w:sz w:val="20"/>
                <w:szCs w:val="20"/>
                <w:u w:val="single"/>
              </w:rPr>
              <w:t>)</w:t>
            </w:r>
          </w:p>
        </w:tc>
      </w:tr>
      <w:tr w14:paraId="2FF32119" w14:textId="28FBE03D" w:rsidTr="007206FA">
        <w:tblPrEx>
          <w:tblW w:w="8640" w:type="dxa"/>
          <w:jc w:val="center"/>
          <w:tblLook w:val="04A0"/>
        </w:tblPrEx>
        <w:trPr>
          <w:trHeight w:val="234"/>
          <w:jc w:val="center"/>
        </w:trPr>
        <w:tc>
          <w:tcPr>
            <w:tcW w:w="1242" w:type="dxa"/>
            <w:tcBorders>
              <w:top w:val="nil"/>
              <w:left w:val="nil"/>
              <w:bottom w:val="nil"/>
              <w:right w:val="nil"/>
            </w:tcBorders>
            <w:shd w:val="clear" w:color="000000" w:fill="FFFFFF"/>
            <w:vAlign w:val="center"/>
            <w:hideMark/>
          </w:tcPr>
          <w:p w:rsidR="00CA7CB9" w:rsidRPr="0069145E" w:rsidP="00853EA9" w14:paraId="6987A210" w14:textId="65B1598F">
            <w:pPr>
              <w:spacing w:after="0"/>
              <w:rPr>
                <w:sz w:val="20"/>
                <w:szCs w:val="20"/>
              </w:rPr>
            </w:pPr>
            <w:r w:rsidRPr="0069145E">
              <w:rPr>
                <w:sz w:val="20"/>
                <w:szCs w:val="20"/>
              </w:rPr>
              <w:t xml:space="preserve">Driver </w:t>
            </w:r>
            <w:r w:rsidR="0038633F">
              <w:rPr>
                <w:sz w:val="20"/>
                <w:szCs w:val="20"/>
              </w:rPr>
              <w:t>fully</w:t>
            </w:r>
            <w:r w:rsidRPr="0069145E">
              <w:rPr>
                <w:sz w:val="20"/>
                <w:szCs w:val="20"/>
              </w:rPr>
              <w:t xml:space="preserve"> participates</w:t>
            </w:r>
          </w:p>
        </w:tc>
        <w:tc>
          <w:tcPr>
            <w:tcW w:w="1308" w:type="dxa"/>
            <w:tcBorders>
              <w:top w:val="nil"/>
              <w:left w:val="nil"/>
              <w:bottom w:val="nil"/>
              <w:right w:val="nil"/>
            </w:tcBorders>
            <w:shd w:val="clear" w:color="000000" w:fill="FFFFFF"/>
            <w:vAlign w:val="center"/>
            <w:hideMark/>
          </w:tcPr>
          <w:p w:rsidR="00CA7CB9" w:rsidRPr="0069145E" w:rsidP="00CC3B5C" w14:paraId="13612079" w14:textId="3E13A0EA">
            <w:pPr>
              <w:spacing w:after="0"/>
              <w:jc w:val="center"/>
              <w:rPr>
                <w:sz w:val="20"/>
                <w:szCs w:val="20"/>
              </w:rPr>
            </w:pPr>
            <w:r w:rsidRPr="0069145E">
              <w:rPr>
                <w:sz w:val="20"/>
                <w:szCs w:val="20"/>
              </w:rPr>
              <w:t>8,000</w:t>
            </w:r>
          </w:p>
        </w:tc>
        <w:tc>
          <w:tcPr>
            <w:tcW w:w="1230" w:type="dxa"/>
            <w:tcBorders>
              <w:top w:val="nil"/>
              <w:left w:val="nil"/>
              <w:bottom w:val="nil"/>
              <w:right w:val="nil"/>
            </w:tcBorders>
            <w:shd w:val="clear" w:color="000000" w:fill="FFFFFF"/>
            <w:vAlign w:val="center"/>
            <w:hideMark/>
          </w:tcPr>
          <w:p w:rsidR="00CA7CB9" w:rsidRPr="0069145E" w:rsidP="00CC3B5C" w14:paraId="10278193" w14:textId="30B7D114">
            <w:pPr>
              <w:spacing w:after="0"/>
              <w:jc w:val="center"/>
              <w:rPr>
                <w:sz w:val="20"/>
                <w:szCs w:val="20"/>
              </w:rPr>
            </w:pPr>
            <w:r w:rsidRPr="0069145E">
              <w:rPr>
                <w:sz w:val="20"/>
                <w:szCs w:val="20"/>
              </w:rPr>
              <w:t>10</w:t>
            </w:r>
          </w:p>
        </w:tc>
        <w:tc>
          <w:tcPr>
            <w:tcW w:w="1793" w:type="dxa"/>
            <w:tcBorders>
              <w:top w:val="nil"/>
              <w:left w:val="nil"/>
              <w:bottom w:val="nil"/>
              <w:right w:val="nil"/>
            </w:tcBorders>
            <w:shd w:val="clear" w:color="000000" w:fill="FFFFFF"/>
            <w:vAlign w:val="center"/>
            <w:hideMark/>
          </w:tcPr>
          <w:p w:rsidR="00CA7CB9" w:rsidRPr="0069145E" w:rsidP="00CC3B5C" w14:paraId="56A2A00B" w14:textId="45FE4125">
            <w:pPr>
              <w:spacing w:after="0"/>
              <w:jc w:val="center"/>
              <w:rPr>
                <w:sz w:val="20"/>
                <w:szCs w:val="20"/>
              </w:rPr>
            </w:pPr>
            <w:r w:rsidRPr="0069145E">
              <w:rPr>
                <w:sz w:val="20"/>
                <w:szCs w:val="20"/>
              </w:rPr>
              <w:t>$</w:t>
            </w:r>
            <w:r w:rsidR="00EB1BAD">
              <w:rPr>
                <w:sz w:val="20"/>
                <w:szCs w:val="20"/>
              </w:rPr>
              <w:t>45.59</w:t>
            </w:r>
            <w:r w:rsidRPr="0069145E">
              <w:rPr>
                <w:sz w:val="20"/>
                <w:szCs w:val="20"/>
              </w:rPr>
              <w:t xml:space="preserve"> </w:t>
            </w:r>
          </w:p>
        </w:tc>
        <w:tc>
          <w:tcPr>
            <w:tcW w:w="1151" w:type="dxa"/>
            <w:tcBorders>
              <w:top w:val="nil"/>
              <w:left w:val="nil"/>
              <w:bottom w:val="nil"/>
              <w:right w:val="nil"/>
            </w:tcBorders>
            <w:shd w:val="clear" w:color="000000" w:fill="FFFFFF"/>
            <w:vAlign w:val="center"/>
            <w:hideMark/>
          </w:tcPr>
          <w:p w:rsidR="00CA7CB9" w:rsidRPr="0069145E" w:rsidP="00CC3B5C" w14:paraId="37E2B650" w14:textId="0F8CB0D2">
            <w:pPr>
              <w:spacing w:after="0"/>
              <w:jc w:val="center"/>
              <w:rPr>
                <w:sz w:val="20"/>
                <w:szCs w:val="20"/>
              </w:rPr>
            </w:pPr>
            <w:r w:rsidRPr="0069145E">
              <w:rPr>
                <w:sz w:val="20"/>
                <w:szCs w:val="20"/>
              </w:rPr>
              <w:t>1,333.33</w:t>
            </w:r>
          </w:p>
        </w:tc>
        <w:tc>
          <w:tcPr>
            <w:tcW w:w="1916" w:type="dxa"/>
            <w:tcBorders>
              <w:top w:val="nil"/>
              <w:left w:val="nil"/>
              <w:bottom w:val="nil"/>
              <w:right w:val="nil"/>
            </w:tcBorders>
            <w:shd w:val="clear" w:color="000000" w:fill="FFFFFF"/>
            <w:vAlign w:val="center"/>
            <w:hideMark/>
          </w:tcPr>
          <w:p w:rsidR="00CA7CB9" w:rsidRPr="0069145E" w:rsidP="007206FA" w14:paraId="0F78FF9F" w14:textId="52F571C3">
            <w:pPr>
              <w:spacing w:after="0"/>
              <w:jc w:val="center"/>
              <w:rPr>
                <w:sz w:val="20"/>
                <w:szCs w:val="20"/>
              </w:rPr>
            </w:pPr>
            <w:r w:rsidRPr="0069145E">
              <w:rPr>
                <w:sz w:val="20"/>
                <w:szCs w:val="20"/>
              </w:rPr>
              <w:t>$</w:t>
            </w:r>
            <w:r w:rsidR="00C04E41">
              <w:rPr>
                <w:sz w:val="20"/>
                <w:szCs w:val="20"/>
              </w:rPr>
              <w:t>60,786.51</w:t>
            </w:r>
          </w:p>
        </w:tc>
      </w:tr>
      <w:tr w14:paraId="4165BBC7" w14:textId="102948BC" w:rsidTr="007206FA">
        <w:tblPrEx>
          <w:tblW w:w="8640" w:type="dxa"/>
          <w:jc w:val="center"/>
          <w:tblLook w:val="04A0"/>
        </w:tblPrEx>
        <w:trPr>
          <w:trHeight w:val="306"/>
          <w:jc w:val="center"/>
        </w:trPr>
        <w:tc>
          <w:tcPr>
            <w:tcW w:w="1242" w:type="dxa"/>
            <w:tcBorders>
              <w:top w:val="nil"/>
              <w:left w:val="nil"/>
              <w:bottom w:val="nil"/>
              <w:right w:val="nil"/>
            </w:tcBorders>
            <w:shd w:val="clear" w:color="000000" w:fill="FFFFFF"/>
            <w:vAlign w:val="center"/>
          </w:tcPr>
          <w:p w:rsidR="00176D48" w:rsidRPr="0069145E" w:rsidP="00853EA9" w14:paraId="027D7BD1" w14:textId="7110163B">
            <w:pPr>
              <w:spacing w:after="0"/>
              <w:rPr>
                <w:sz w:val="20"/>
                <w:szCs w:val="20"/>
              </w:rPr>
            </w:pPr>
            <w:r>
              <w:rPr>
                <w:sz w:val="20"/>
                <w:szCs w:val="20"/>
              </w:rPr>
              <w:t xml:space="preserve">Driver </w:t>
            </w:r>
            <w:r w:rsidR="00D549B8">
              <w:rPr>
                <w:sz w:val="20"/>
                <w:szCs w:val="20"/>
              </w:rPr>
              <w:t>partially participates</w:t>
            </w:r>
          </w:p>
        </w:tc>
        <w:tc>
          <w:tcPr>
            <w:tcW w:w="1308" w:type="dxa"/>
            <w:tcBorders>
              <w:top w:val="nil"/>
              <w:left w:val="nil"/>
              <w:bottom w:val="nil"/>
              <w:right w:val="nil"/>
            </w:tcBorders>
            <w:shd w:val="clear" w:color="000000" w:fill="FFFFFF"/>
            <w:vAlign w:val="center"/>
          </w:tcPr>
          <w:p w:rsidR="00176D48" w:rsidRPr="0069145E" w:rsidP="00CC3B5C" w14:paraId="2303B753" w14:textId="3B5FD3B1">
            <w:pPr>
              <w:spacing w:after="0"/>
              <w:jc w:val="center"/>
              <w:rPr>
                <w:sz w:val="20"/>
                <w:szCs w:val="20"/>
              </w:rPr>
            </w:pPr>
            <w:r>
              <w:rPr>
                <w:sz w:val="20"/>
                <w:szCs w:val="20"/>
              </w:rPr>
              <w:t>1,000</w:t>
            </w:r>
          </w:p>
        </w:tc>
        <w:tc>
          <w:tcPr>
            <w:tcW w:w="1230" w:type="dxa"/>
            <w:tcBorders>
              <w:top w:val="nil"/>
              <w:left w:val="nil"/>
              <w:bottom w:val="nil"/>
              <w:right w:val="nil"/>
            </w:tcBorders>
            <w:shd w:val="clear" w:color="000000" w:fill="FFFFFF"/>
            <w:vAlign w:val="center"/>
          </w:tcPr>
          <w:p w:rsidR="00176D48" w:rsidRPr="0069145E" w:rsidP="00CC3B5C" w14:paraId="609CC00C" w14:textId="1B6FD892">
            <w:pPr>
              <w:spacing w:after="0"/>
              <w:jc w:val="center"/>
              <w:rPr>
                <w:sz w:val="20"/>
                <w:szCs w:val="20"/>
              </w:rPr>
            </w:pPr>
            <w:r>
              <w:rPr>
                <w:sz w:val="20"/>
                <w:szCs w:val="20"/>
              </w:rPr>
              <w:t>5</w:t>
            </w:r>
          </w:p>
        </w:tc>
        <w:tc>
          <w:tcPr>
            <w:tcW w:w="1793" w:type="dxa"/>
            <w:tcBorders>
              <w:top w:val="nil"/>
              <w:left w:val="nil"/>
              <w:bottom w:val="nil"/>
              <w:right w:val="nil"/>
            </w:tcBorders>
            <w:shd w:val="clear" w:color="000000" w:fill="FFFFFF"/>
            <w:vAlign w:val="center"/>
          </w:tcPr>
          <w:p w:rsidR="00176D48" w:rsidRPr="0069145E" w:rsidP="00CC3B5C" w14:paraId="7880757B" w14:textId="5F57DB35">
            <w:pPr>
              <w:spacing w:after="0"/>
              <w:jc w:val="center"/>
              <w:rPr>
                <w:sz w:val="20"/>
                <w:szCs w:val="20"/>
              </w:rPr>
            </w:pPr>
            <w:r>
              <w:rPr>
                <w:sz w:val="20"/>
                <w:szCs w:val="20"/>
              </w:rPr>
              <w:t>$</w:t>
            </w:r>
            <w:r w:rsidR="00EB1BAD">
              <w:rPr>
                <w:sz w:val="20"/>
                <w:szCs w:val="20"/>
              </w:rPr>
              <w:t>45.59</w:t>
            </w:r>
          </w:p>
        </w:tc>
        <w:tc>
          <w:tcPr>
            <w:tcW w:w="1151" w:type="dxa"/>
            <w:tcBorders>
              <w:top w:val="nil"/>
              <w:left w:val="nil"/>
              <w:bottom w:val="nil"/>
              <w:right w:val="nil"/>
            </w:tcBorders>
            <w:shd w:val="clear" w:color="000000" w:fill="FFFFFF"/>
            <w:vAlign w:val="center"/>
          </w:tcPr>
          <w:p w:rsidR="00176D48" w:rsidRPr="0069145E" w:rsidP="00CC3B5C" w14:paraId="7327E9D0" w14:textId="073745BB">
            <w:pPr>
              <w:spacing w:after="0"/>
              <w:jc w:val="center"/>
              <w:rPr>
                <w:sz w:val="20"/>
                <w:szCs w:val="20"/>
              </w:rPr>
            </w:pPr>
            <w:r>
              <w:rPr>
                <w:sz w:val="20"/>
                <w:szCs w:val="20"/>
              </w:rPr>
              <w:t>83.33</w:t>
            </w:r>
          </w:p>
        </w:tc>
        <w:tc>
          <w:tcPr>
            <w:tcW w:w="1916" w:type="dxa"/>
            <w:tcBorders>
              <w:top w:val="nil"/>
              <w:left w:val="nil"/>
              <w:bottom w:val="nil"/>
              <w:right w:val="nil"/>
            </w:tcBorders>
            <w:shd w:val="clear" w:color="000000" w:fill="FFFFFF"/>
            <w:vAlign w:val="center"/>
          </w:tcPr>
          <w:p w:rsidR="00176D48" w:rsidRPr="0069145E" w:rsidP="007206FA" w14:paraId="5D41D3C3" w14:textId="28107DDF">
            <w:pPr>
              <w:spacing w:after="0"/>
              <w:jc w:val="center"/>
              <w:rPr>
                <w:sz w:val="20"/>
                <w:szCs w:val="20"/>
              </w:rPr>
            </w:pPr>
            <w:r>
              <w:rPr>
                <w:sz w:val="20"/>
                <w:szCs w:val="20"/>
              </w:rPr>
              <w:t>$</w:t>
            </w:r>
            <w:r w:rsidR="00C32833">
              <w:rPr>
                <w:sz w:val="20"/>
                <w:szCs w:val="20"/>
              </w:rPr>
              <w:t>3,799.01</w:t>
            </w:r>
          </w:p>
        </w:tc>
      </w:tr>
      <w:tr w14:paraId="487D3B7C" w14:textId="0E27131B" w:rsidTr="007206FA">
        <w:tblPrEx>
          <w:tblW w:w="8640" w:type="dxa"/>
          <w:jc w:val="center"/>
          <w:tblLook w:val="04A0"/>
        </w:tblPrEx>
        <w:trPr>
          <w:trHeight w:val="306"/>
          <w:jc w:val="center"/>
        </w:trPr>
        <w:tc>
          <w:tcPr>
            <w:tcW w:w="1242" w:type="dxa"/>
            <w:tcBorders>
              <w:top w:val="nil"/>
              <w:left w:val="nil"/>
              <w:bottom w:val="nil"/>
              <w:right w:val="nil"/>
            </w:tcBorders>
            <w:shd w:val="clear" w:color="000000" w:fill="FFFFFF"/>
            <w:vAlign w:val="center"/>
          </w:tcPr>
          <w:p w:rsidR="00ED6B4D" w:rsidRPr="00A1266F" w:rsidP="00853EA9" w14:paraId="33A37AF2" w14:textId="6EBFF0CE">
            <w:pPr>
              <w:spacing w:after="0"/>
              <w:jc w:val="right"/>
              <w:rPr>
                <w:b/>
                <w:bCs/>
                <w:sz w:val="20"/>
                <w:szCs w:val="20"/>
              </w:rPr>
            </w:pPr>
            <w:r w:rsidRPr="00A1266F">
              <w:rPr>
                <w:b/>
                <w:bCs/>
                <w:sz w:val="20"/>
                <w:szCs w:val="20"/>
              </w:rPr>
              <w:t>Subtotal</w:t>
            </w:r>
          </w:p>
        </w:tc>
        <w:tc>
          <w:tcPr>
            <w:tcW w:w="1308" w:type="dxa"/>
            <w:tcBorders>
              <w:top w:val="nil"/>
              <w:left w:val="nil"/>
              <w:bottom w:val="nil"/>
              <w:right w:val="nil"/>
            </w:tcBorders>
            <w:shd w:val="clear" w:color="000000" w:fill="FFFFFF"/>
            <w:vAlign w:val="center"/>
          </w:tcPr>
          <w:p w:rsidR="00ED6B4D" w:rsidRPr="00A1266F" w:rsidP="00CC3B5C" w14:paraId="21B06B30" w14:textId="14622E5B">
            <w:pPr>
              <w:spacing w:after="0"/>
              <w:jc w:val="center"/>
              <w:rPr>
                <w:b/>
                <w:bCs/>
                <w:sz w:val="20"/>
                <w:szCs w:val="20"/>
              </w:rPr>
            </w:pPr>
            <w:r>
              <w:rPr>
                <w:b/>
                <w:bCs/>
                <w:sz w:val="20"/>
                <w:szCs w:val="20"/>
              </w:rPr>
              <w:t>9,000</w:t>
            </w:r>
          </w:p>
        </w:tc>
        <w:tc>
          <w:tcPr>
            <w:tcW w:w="1230" w:type="dxa"/>
            <w:tcBorders>
              <w:top w:val="nil"/>
              <w:left w:val="nil"/>
              <w:bottom w:val="nil"/>
              <w:right w:val="nil"/>
            </w:tcBorders>
            <w:shd w:val="clear" w:color="000000" w:fill="FFFFFF"/>
            <w:vAlign w:val="center"/>
          </w:tcPr>
          <w:p w:rsidR="00ED6B4D" w:rsidRPr="00A1266F" w:rsidP="00CC3B5C" w14:paraId="080CCFAE" w14:textId="65BD7633">
            <w:pPr>
              <w:spacing w:after="0"/>
              <w:jc w:val="center"/>
              <w:rPr>
                <w:b/>
                <w:bCs/>
                <w:sz w:val="20"/>
                <w:szCs w:val="20"/>
              </w:rPr>
            </w:pPr>
            <w:r>
              <w:rPr>
                <w:b/>
                <w:bCs/>
                <w:sz w:val="20"/>
                <w:szCs w:val="20"/>
              </w:rPr>
              <w:t>9.44</w:t>
            </w:r>
          </w:p>
        </w:tc>
        <w:tc>
          <w:tcPr>
            <w:tcW w:w="1793" w:type="dxa"/>
            <w:tcBorders>
              <w:top w:val="nil"/>
              <w:left w:val="nil"/>
              <w:bottom w:val="nil"/>
              <w:right w:val="nil"/>
            </w:tcBorders>
            <w:shd w:val="clear" w:color="000000" w:fill="FFFFFF"/>
            <w:vAlign w:val="center"/>
          </w:tcPr>
          <w:p w:rsidR="00ED6B4D" w:rsidRPr="00A1266F" w:rsidP="00AA58AF" w14:paraId="6E88055F" w14:textId="4D30B97E">
            <w:pPr>
              <w:spacing w:after="0"/>
              <w:rPr>
                <w:b/>
                <w:bCs/>
                <w:sz w:val="20"/>
                <w:szCs w:val="20"/>
              </w:rPr>
            </w:pPr>
          </w:p>
        </w:tc>
        <w:tc>
          <w:tcPr>
            <w:tcW w:w="1151" w:type="dxa"/>
            <w:tcBorders>
              <w:top w:val="nil"/>
              <w:left w:val="nil"/>
              <w:bottom w:val="nil"/>
              <w:right w:val="nil"/>
            </w:tcBorders>
            <w:shd w:val="clear" w:color="000000" w:fill="FFFFFF"/>
            <w:vAlign w:val="center"/>
          </w:tcPr>
          <w:p w:rsidR="00ED6B4D" w:rsidRPr="00A1266F" w:rsidP="00CC3B5C" w14:paraId="7343126F" w14:textId="5A5A6512">
            <w:pPr>
              <w:spacing w:after="0"/>
              <w:jc w:val="center"/>
              <w:rPr>
                <w:b/>
                <w:bCs/>
                <w:sz w:val="20"/>
                <w:szCs w:val="20"/>
              </w:rPr>
            </w:pPr>
            <w:r>
              <w:rPr>
                <w:b/>
                <w:bCs/>
                <w:sz w:val="20"/>
                <w:szCs w:val="20"/>
              </w:rPr>
              <w:t>1,416.66</w:t>
            </w:r>
          </w:p>
        </w:tc>
        <w:tc>
          <w:tcPr>
            <w:tcW w:w="1916" w:type="dxa"/>
            <w:tcBorders>
              <w:top w:val="nil"/>
              <w:left w:val="nil"/>
              <w:bottom w:val="nil"/>
              <w:right w:val="nil"/>
            </w:tcBorders>
            <w:shd w:val="clear" w:color="000000" w:fill="FFFFFF"/>
            <w:vAlign w:val="center"/>
          </w:tcPr>
          <w:p w:rsidR="00ED6B4D" w:rsidRPr="00E34011" w:rsidP="007206FA" w14:paraId="6F270F27" w14:textId="3B38ADEC">
            <w:pPr>
              <w:spacing w:after="0"/>
              <w:jc w:val="center"/>
              <w:rPr>
                <w:b/>
                <w:bCs/>
                <w:sz w:val="20"/>
                <w:szCs w:val="20"/>
              </w:rPr>
            </w:pPr>
            <w:r>
              <w:rPr>
                <w:b/>
                <w:bCs/>
                <w:sz w:val="20"/>
                <w:szCs w:val="20"/>
              </w:rPr>
              <w:t>$</w:t>
            </w:r>
            <w:r w:rsidR="00BD037F">
              <w:rPr>
                <w:b/>
                <w:bCs/>
                <w:sz w:val="20"/>
                <w:szCs w:val="20"/>
              </w:rPr>
              <w:t>64,585.52</w:t>
            </w:r>
          </w:p>
        </w:tc>
      </w:tr>
      <w:tr w14:paraId="70F30ECA" w14:textId="4DBA494E" w:rsidTr="007206FA">
        <w:tblPrEx>
          <w:tblW w:w="8640" w:type="dxa"/>
          <w:jc w:val="center"/>
          <w:tblLook w:val="04A0"/>
        </w:tblPrEx>
        <w:trPr>
          <w:trHeight w:val="306"/>
          <w:jc w:val="center"/>
        </w:trPr>
        <w:tc>
          <w:tcPr>
            <w:tcW w:w="1242" w:type="dxa"/>
            <w:tcBorders>
              <w:top w:val="nil"/>
              <w:left w:val="nil"/>
              <w:bottom w:val="nil"/>
              <w:right w:val="nil"/>
            </w:tcBorders>
            <w:shd w:val="clear" w:color="000000" w:fill="FFFFFF"/>
            <w:vAlign w:val="center"/>
            <w:hideMark/>
          </w:tcPr>
          <w:p w:rsidR="00CA7CB9" w:rsidRPr="0069145E" w:rsidP="00853EA9" w14:paraId="1D49879D" w14:textId="1C4A4A4A">
            <w:pPr>
              <w:spacing w:after="0"/>
              <w:rPr>
                <w:sz w:val="20"/>
                <w:szCs w:val="20"/>
              </w:rPr>
            </w:pPr>
            <w:r>
              <w:rPr>
                <w:sz w:val="20"/>
                <w:szCs w:val="20"/>
              </w:rPr>
              <w:t>ORU fully</w:t>
            </w:r>
            <w:r w:rsidRPr="0069145E">
              <w:rPr>
                <w:sz w:val="20"/>
                <w:szCs w:val="20"/>
              </w:rPr>
              <w:t xml:space="preserve"> participates </w:t>
            </w:r>
          </w:p>
        </w:tc>
        <w:tc>
          <w:tcPr>
            <w:tcW w:w="1308" w:type="dxa"/>
            <w:tcBorders>
              <w:top w:val="nil"/>
              <w:left w:val="nil"/>
              <w:bottom w:val="nil"/>
              <w:right w:val="nil"/>
            </w:tcBorders>
            <w:shd w:val="clear" w:color="000000" w:fill="FFFFFF"/>
            <w:vAlign w:val="center"/>
            <w:hideMark/>
          </w:tcPr>
          <w:p w:rsidR="00CA7CB9" w:rsidRPr="0069145E" w:rsidP="00CC3B5C" w14:paraId="28E4491C" w14:textId="4479AB81">
            <w:pPr>
              <w:spacing w:after="0"/>
              <w:jc w:val="center"/>
              <w:rPr>
                <w:sz w:val="20"/>
                <w:szCs w:val="20"/>
              </w:rPr>
            </w:pPr>
            <w:r w:rsidRPr="0069145E">
              <w:rPr>
                <w:sz w:val="20"/>
                <w:szCs w:val="20"/>
              </w:rPr>
              <w:t>500</w:t>
            </w:r>
          </w:p>
        </w:tc>
        <w:tc>
          <w:tcPr>
            <w:tcW w:w="1230" w:type="dxa"/>
            <w:tcBorders>
              <w:top w:val="nil"/>
              <w:left w:val="nil"/>
              <w:bottom w:val="nil"/>
              <w:right w:val="nil"/>
            </w:tcBorders>
            <w:shd w:val="clear" w:color="000000" w:fill="FFFFFF"/>
            <w:vAlign w:val="center"/>
            <w:hideMark/>
          </w:tcPr>
          <w:p w:rsidR="00CA7CB9" w:rsidRPr="0069145E" w:rsidP="00CC3B5C" w14:paraId="58D57E0E" w14:textId="6630FE0E">
            <w:pPr>
              <w:spacing w:after="0"/>
              <w:jc w:val="center"/>
              <w:rPr>
                <w:sz w:val="20"/>
                <w:szCs w:val="20"/>
              </w:rPr>
            </w:pPr>
            <w:r w:rsidRPr="0069145E">
              <w:rPr>
                <w:sz w:val="20"/>
                <w:szCs w:val="20"/>
              </w:rPr>
              <w:t>10</w:t>
            </w:r>
          </w:p>
        </w:tc>
        <w:tc>
          <w:tcPr>
            <w:tcW w:w="1793" w:type="dxa"/>
            <w:tcBorders>
              <w:top w:val="nil"/>
              <w:left w:val="nil"/>
              <w:bottom w:val="nil"/>
              <w:right w:val="nil"/>
            </w:tcBorders>
            <w:shd w:val="clear" w:color="000000" w:fill="FFFFFF"/>
            <w:vAlign w:val="center"/>
            <w:hideMark/>
          </w:tcPr>
          <w:p w:rsidR="00CA7CB9" w:rsidRPr="0069145E" w:rsidP="00CC3B5C" w14:paraId="1151B27C" w14:textId="0DDBAB26">
            <w:pPr>
              <w:spacing w:after="0"/>
              <w:jc w:val="center"/>
              <w:rPr>
                <w:sz w:val="20"/>
                <w:szCs w:val="20"/>
              </w:rPr>
            </w:pPr>
            <w:r w:rsidRPr="0069145E">
              <w:rPr>
                <w:sz w:val="20"/>
                <w:szCs w:val="20"/>
              </w:rPr>
              <w:t>$</w:t>
            </w:r>
            <w:r w:rsidR="00EB1BAD">
              <w:rPr>
                <w:sz w:val="20"/>
                <w:szCs w:val="20"/>
              </w:rPr>
              <w:t>45.59</w:t>
            </w:r>
          </w:p>
        </w:tc>
        <w:tc>
          <w:tcPr>
            <w:tcW w:w="1151" w:type="dxa"/>
            <w:tcBorders>
              <w:top w:val="nil"/>
              <w:left w:val="nil"/>
              <w:bottom w:val="nil"/>
              <w:right w:val="nil"/>
            </w:tcBorders>
            <w:shd w:val="clear" w:color="000000" w:fill="FFFFFF"/>
            <w:vAlign w:val="center"/>
            <w:hideMark/>
          </w:tcPr>
          <w:p w:rsidR="00CA7CB9" w:rsidRPr="0069145E" w:rsidP="00CC3B5C" w14:paraId="0638F8E5" w14:textId="0BB3D1D9">
            <w:pPr>
              <w:spacing w:after="0"/>
              <w:jc w:val="center"/>
              <w:rPr>
                <w:sz w:val="20"/>
                <w:szCs w:val="20"/>
              </w:rPr>
            </w:pPr>
            <w:r w:rsidRPr="0069145E">
              <w:rPr>
                <w:sz w:val="20"/>
                <w:szCs w:val="20"/>
              </w:rPr>
              <w:t>83.33</w:t>
            </w:r>
          </w:p>
        </w:tc>
        <w:tc>
          <w:tcPr>
            <w:tcW w:w="1916" w:type="dxa"/>
            <w:tcBorders>
              <w:top w:val="nil"/>
              <w:left w:val="nil"/>
              <w:bottom w:val="nil"/>
              <w:right w:val="nil"/>
            </w:tcBorders>
            <w:shd w:val="clear" w:color="000000" w:fill="FFFFFF"/>
            <w:vAlign w:val="center"/>
            <w:hideMark/>
          </w:tcPr>
          <w:p w:rsidR="00CA7CB9" w:rsidRPr="0069145E" w:rsidP="007206FA" w14:paraId="52B1255C" w14:textId="4DCD633A">
            <w:pPr>
              <w:spacing w:after="0"/>
              <w:jc w:val="center"/>
              <w:rPr>
                <w:sz w:val="20"/>
                <w:szCs w:val="20"/>
              </w:rPr>
            </w:pPr>
            <w:r w:rsidRPr="0069145E">
              <w:rPr>
                <w:sz w:val="20"/>
                <w:szCs w:val="20"/>
              </w:rPr>
              <w:t>$</w:t>
            </w:r>
            <w:r w:rsidR="00C32833">
              <w:rPr>
                <w:sz w:val="20"/>
                <w:szCs w:val="20"/>
              </w:rPr>
              <w:t>3,799.01</w:t>
            </w:r>
          </w:p>
        </w:tc>
      </w:tr>
      <w:tr w14:paraId="61F37E6A" w14:textId="0806AD82" w:rsidTr="007206FA">
        <w:tblPrEx>
          <w:tblW w:w="8640" w:type="dxa"/>
          <w:jc w:val="center"/>
          <w:tblLook w:val="04A0"/>
        </w:tblPrEx>
        <w:trPr>
          <w:trHeight w:val="306"/>
          <w:jc w:val="center"/>
        </w:trPr>
        <w:tc>
          <w:tcPr>
            <w:tcW w:w="1242" w:type="dxa"/>
            <w:tcBorders>
              <w:top w:val="nil"/>
              <w:left w:val="nil"/>
              <w:right w:val="nil"/>
            </w:tcBorders>
            <w:shd w:val="clear" w:color="000000" w:fill="FFFFFF"/>
            <w:vAlign w:val="center"/>
          </w:tcPr>
          <w:p w:rsidR="008A6D3B" w:rsidRPr="00E34011" w:rsidP="00853EA9" w14:paraId="45E9BD74" w14:textId="4BE6FB17">
            <w:pPr>
              <w:spacing w:after="0"/>
              <w:rPr>
                <w:sz w:val="20"/>
                <w:szCs w:val="20"/>
                <w:u w:val="single"/>
              </w:rPr>
            </w:pPr>
            <w:r w:rsidRPr="00A1266F">
              <w:rPr>
                <w:sz w:val="20"/>
                <w:szCs w:val="20"/>
              </w:rPr>
              <w:t xml:space="preserve">ORU </w:t>
            </w:r>
            <w:r w:rsidRPr="003C3200" w:rsidR="003C3200">
              <w:rPr>
                <w:sz w:val="20"/>
                <w:szCs w:val="20"/>
              </w:rPr>
              <w:t>partially</w:t>
            </w:r>
            <w:r w:rsidR="003C3200">
              <w:rPr>
                <w:sz w:val="20"/>
                <w:szCs w:val="20"/>
              </w:rPr>
              <w:t xml:space="preserve"> participates</w:t>
            </w:r>
          </w:p>
        </w:tc>
        <w:tc>
          <w:tcPr>
            <w:tcW w:w="1308" w:type="dxa"/>
            <w:tcBorders>
              <w:top w:val="nil"/>
              <w:left w:val="nil"/>
              <w:right w:val="nil"/>
            </w:tcBorders>
            <w:shd w:val="clear" w:color="000000" w:fill="FFFFFF"/>
            <w:vAlign w:val="center"/>
          </w:tcPr>
          <w:p w:rsidR="008A6D3B" w:rsidRPr="0069145E" w:rsidP="00CC3B5C" w14:paraId="3315D446" w14:textId="428CE0D5">
            <w:pPr>
              <w:spacing w:after="0"/>
              <w:jc w:val="center"/>
              <w:rPr>
                <w:sz w:val="20"/>
                <w:szCs w:val="20"/>
              </w:rPr>
            </w:pPr>
            <w:r>
              <w:rPr>
                <w:sz w:val="20"/>
                <w:szCs w:val="20"/>
              </w:rPr>
              <w:t>60</w:t>
            </w:r>
          </w:p>
        </w:tc>
        <w:tc>
          <w:tcPr>
            <w:tcW w:w="1230" w:type="dxa"/>
            <w:tcBorders>
              <w:top w:val="nil"/>
              <w:left w:val="nil"/>
              <w:right w:val="nil"/>
            </w:tcBorders>
            <w:shd w:val="clear" w:color="000000" w:fill="FFFFFF"/>
            <w:vAlign w:val="center"/>
          </w:tcPr>
          <w:p w:rsidR="008A6D3B" w:rsidRPr="0069145E" w:rsidP="00CC3B5C" w14:paraId="677D4B28" w14:textId="01FA225D">
            <w:pPr>
              <w:spacing w:after="0"/>
              <w:jc w:val="center"/>
              <w:rPr>
                <w:sz w:val="20"/>
                <w:szCs w:val="20"/>
              </w:rPr>
            </w:pPr>
            <w:r>
              <w:rPr>
                <w:sz w:val="20"/>
                <w:szCs w:val="20"/>
              </w:rPr>
              <w:t>5</w:t>
            </w:r>
          </w:p>
        </w:tc>
        <w:tc>
          <w:tcPr>
            <w:tcW w:w="1793" w:type="dxa"/>
            <w:tcBorders>
              <w:top w:val="nil"/>
              <w:left w:val="nil"/>
              <w:right w:val="nil"/>
            </w:tcBorders>
            <w:shd w:val="clear" w:color="000000" w:fill="FFFFFF"/>
            <w:vAlign w:val="center"/>
          </w:tcPr>
          <w:p w:rsidR="008A6D3B" w:rsidRPr="0069145E" w:rsidP="00CC3B5C" w14:paraId="4CB9338B" w14:textId="3A6E1298">
            <w:pPr>
              <w:spacing w:after="0"/>
              <w:jc w:val="center"/>
              <w:rPr>
                <w:sz w:val="20"/>
                <w:szCs w:val="20"/>
              </w:rPr>
            </w:pPr>
            <w:r>
              <w:rPr>
                <w:sz w:val="20"/>
                <w:szCs w:val="20"/>
              </w:rPr>
              <w:t>$</w:t>
            </w:r>
            <w:r w:rsidR="00EB1BAD">
              <w:rPr>
                <w:sz w:val="20"/>
                <w:szCs w:val="20"/>
              </w:rPr>
              <w:t>45.59</w:t>
            </w:r>
          </w:p>
        </w:tc>
        <w:tc>
          <w:tcPr>
            <w:tcW w:w="1151" w:type="dxa"/>
            <w:tcBorders>
              <w:top w:val="nil"/>
              <w:left w:val="nil"/>
              <w:right w:val="nil"/>
            </w:tcBorders>
            <w:shd w:val="clear" w:color="000000" w:fill="FFFFFF"/>
            <w:vAlign w:val="center"/>
          </w:tcPr>
          <w:p w:rsidR="008A6D3B" w:rsidRPr="0069145E" w:rsidP="00CC3B5C" w14:paraId="77FB388E" w14:textId="33DB7679">
            <w:pPr>
              <w:spacing w:after="0"/>
              <w:jc w:val="center"/>
              <w:rPr>
                <w:sz w:val="20"/>
                <w:szCs w:val="20"/>
              </w:rPr>
            </w:pPr>
            <w:r>
              <w:rPr>
                <w:sz w:val="20"/>
                <w:szCs w:val="20"/>
              </w:rPr>
              <w:t>5</w:t>
            </w:r>
          </w:p>
        </w:tc>
        <w:tc>
          <w:tcPr>
            <w:tcW w:w="1916" w:type="dxa"/>
            <w:tcBorders>
              <w:top w:val="nil"/>
              <w:left w:val="nil"/>
              <w:right w:val="nil"/>
            </w:tcBorders>
            <w:shd w:val="clear" w:color="000000" w:fill="FFFFFF"/>
            <w:vAlign w:val="center"/>
          </w:tcPr>
          <w:p w:rsidR="008A6D3B" w:rsidRPr="0069145E" w:rsidP="007206FA" w14:paraId="7BB5905A" w14:textId="4F2D17B2">
            <w:pPr>
              <w:spacing w:after="0"/>
              <w:jc w:val="center"/>
              <w:rPr>
                <w:sz w:val="20"/>
                <w:szCs w:val="20"/>
              </w:rPr>
            </w:pPr>
            <w:r>
              <w:rPr>
                <w:sz w:val="20"/>
                <w:szCs w:val="20"/>
              </w:rPr>
              <w:t>$</w:t>
            </w:r>
            <w:r w:rsidR="00D30EE2">
              <w:rPr>
                <w:sz w:val="20"/>
                <w:szCs w:val="20"/>
              </w:rPr>
              <w:t>227.9</w:t>
            </w:r>
            <w:r w:rsidR="001C0FA3">
              <w:rPr>
                <w:sz w:val="20"/>
                <w:szCs w:val="20"/>
              </w:rPr>
              <w:t>5</w:t>
            </w:r>
          </w:p>
        </w:tc>
      </w:tr>
      <w:bookmarkEnd w:id="52"/>
      <w:tr w14:paraId="79AC291B" w14:textId="1873F81F" w:rsidTr="007206FA">
        <w:tblPrEx>
          <w:tblW w:w="8640" w:type="dxa"/>
          <w:jc w:val="center"/>
          <w:tblLook w:val="04A0"/>
        </w:tblPrEx>
        <w:trPr>
          <w:trHeight w:val="306"/>
          <w:jc w:val="center"/>
        </w:trPr>
        <w:tc>
          <w:tcPr>
            <w:tcW w:w="1242" w:type="dxa"/>
            <w:tcBorders>
              <w:left w:val="nil"/>
              <w:bottom w:val="single" w:sz="4" w:space="0" w:color="auto"/>
              <w:right w:val="nil"/>
            </w:tcBorders>
            <w:shd w:val="clear" w:color="000000" w:fill="FFFFFF"/>
            <w:vAlign w:val="center"/>
          </w:tcPr>
          <w:p w:rsidR="004E54B1" w:rsidP="00853EA9" w14:paraId="00CCD37F" w14:textId="0D21795B">
            <w:pPr>
              <w:spacing w:after="0"/>
              <w:jc w:val="right"/>
              <w:rPr>
                <w:b/>
                <w:bCs/>
                <w:sz w:val="20"/>
                <w:szCs w:val="20"/>
                <w:u w:val="single"/>
              </w:rPr>
            </w:pPr>
            <w:r w:rsidRPr="00D06FD3">
              <w:rPr>
                <w:b/>
                <w:bCs/>
                <w:sz w:val="20"/>
                <w:szCs w:val="20"/>
              </w:rPr>
              <w:t>Subtotal</w:t>
            </w:r>
          </w:p>
        </w:tc>
        <w:tc>
          <w:tcPr>
            <w:tcW w:w="1308" w:type="dxa"/>
            <w:tcBorders>
              <w:left w:val="nil"/>
              <w:bottom w:val="single" w:sz="4" w:space="0" w:color="auto"/>
              <w:right w:val="nil"/>
            </w:tcBorders>
            <w:shd w:val="clear" w:color="000000" w:fill="FFFFFF"/>
            <w:vAlign w:val="center"/>
          </w:tcPr>
          <w:p w:rsidR="004E54B1" w:rsidRPr="0069145E" w:rsidP="00CC3B5C" w14:paraId="4CDA5D71" w14:textId="5609AEBC">
            <w:pPr>
              <w:spacing w:after="0"/>
              <w:jc w:val="center"/>
              <w:rPr>
                <w:sz w:val="20"/>
                <w:szCs w:val="20"/>
              </w:rPr>
            </w:pPr>
            <w:r>
              <w:rPr>
                <w:sz w:val="20"/>
                <w:szCs w:val="20"/>
              </w:rPr>
              <w:t>560</w:t>
            </w:r>
          </w:p>
        </w:tc>
        <w:tc>
          <w:tcPr>
            <w:tcW w:w="1230" w:type="dxa"/>
            <w:tcBorders>
              <w:left w:val="nil"/>
              <w:bottom w:val="single" w:sz="4" w:space="0" w:color="auto"/>
              <w:right w:val="nil"/>
            </w:tcBorders>
            <w:shd w:val="clear" w:color="000000" w:fill="FFFFFF"/>
            <w:vAlign w:val="center"/>
          </w:tcPr>
          <w:p w:rsidR="004E54B1" w:rsidRPr="0069145E" w:rsidP="00CC3B5C" w14:paraId="703F9BA1" w14:textId="17925250">
            <w:pPr>
              <w:spacing w:after="0"/>
              <w:jc w:val="center"/>
              <w:rPr>
                <w:sz w:val="20"/>
                <w:szCs w:val="20"/>
              </w:rPr>
            </w:pPr>
            <w:r>
              <w:rPr>
                <w:sz w:val="20"/>
                <w:szCs w:val="20"/>
              </w:rPr>
              <w:t>9.4643</w:t>
            </w:r>
          </w:p>
        </w:tc>
        <w:tc>
          <w:tcPr>
            <w:tcW w:w="1793" w:type="dxa"/>
            <w:tcBorders>
              <w:left w:val="nil"/>
              <w:bottom w:val="single" w:sz="4" w:space="0" w:color="auto"/>
              <w:right w:val="nil"/>
            </w:tcBorders>
            <w:shd w:val="clear" w:color="000000" w:fill="FFFFFF"/>
            <w:vAlign w:val="center"/>
          </w:tcPr>
          <w:p w:rsidR="004E54B1" w:rsidRPr="0069145E" w:rsidP="00CC3B5C" w14:paraId="53426427" w14:textId="770BE4DA">
            <w:pPr>
              <w:spacing w:after="0"/>
              <w:jc w:val="center"/>
              <w:rPr>
                <w:sz w:val="20"/>
                <w:szCs w:val="20"/>
              </w:rPr>
            </w:pPr>
          </w:p>
        </w:tc>
        <w:tc>
          <w:tcPr>
            <w:tcW w:w="1151" w:type="dxa"/>
            <w:tcBorders>
              <w:left w:val="nil"/>
              <w:bottom w:val="single" w:sz="4" w:space="0" w:color="auto"/>
              <w:right w:val="nil"/>
            </w:tcBorders>
            <w:shd w:val="clear" w:color="000000" w:fill="FFFFFF"/>
            <w:vAlign w:val="center"/>
          </w:tcPr>
          <w:p w:rsidR="004E54B1" w:rsidP="00CC3B5C" w14:paraId="3508FEF7" w14:textId="36ECA348">
            <w:pPr>
              <w:spacing w:after="0"/>
              <w:jc w:val="center"/>
              <w:rPr>
                <w:sz w:val="20"/>
                <w:szCs w:val="20"/>
              </w:rPr>
            </w:pPr>
            <w:r>
              <w:rPr>
                <w:sz w:val="20"/>
                <w:szCs w:val="20"/>
              </w:rPr>
              <w:t>88.33</w:t>
            </w:r>
          </w:p>
        </w:tc>
        <w:tc>
          <w:tcPr>
            <w:tcW w:w="1916" w:type="dxa"/>
            <w:tcBorders>
              <w:left w:val="nil"/>
              <w:bottom w:val="single" w:sz="4" w:space="0" w:color="auto"/>
              <w:right w:val="nil"/>
            </w:tcBorders>
            <w:shd w:val="clear" w:color="000000" w:fill="FFFFFF"/>
            <w:vAlign w:val="center"/>
          </w:tcPr>
          <w:p w:rsidR="004E54B1" w:rsidP="007206FA" w14:paraId="352A188E" w14:textId="36865503">
            <w:pPr>
              <w:spacing w:after="0"/>
              <w:jc w:val="center"/>
              <w:rPr>
                <w:sz w:val="20"/>
                <w:szCs w:val="20"/>
              </w:rPr>
            </w:pPr>
            <w:r>
              <w:rPr>
                <w:b/>
                <w:bCs/>
                <w:sz w:val="20"/>
                <w:szCs w:val="20"/>
              </w:rPr>
              <w:t>$</w:t>
            </w:r>
            <w:r w:rsidR="00B104DA">
              <w:rPr>
                <w:b/>
                <w:bCs/>
                <w:sz w:val="20"/>
                <w:szCs w:val="20"/>
              </w:rPr>
              <w:t>4,026.96</w:t>
            </w:r>
          </w:p>
        </w:tc>
      </w:tr>
      <w:tr w14:paraId="3777A538" w14:textId="2935D6D3" w:rsidTr="007206FA">
        <w:tblPrEx>
          <w:tblW w:w="8640" w:type="dxa"/>
          <w:jc w:val="center"/>
          <w:tblLook w:val="04A0"/>
        </w:tblPrEx>
        <w:trPr>
          <w:trHeight w:val="306"/>
          <w:jc w:val="center"/>
        </w:trPr>
        <w:tc>
          <w:tcPr>
            <w:tcW w:w="1242" w:type="dxa"/>
            <w:tcBorders>
              <w:top w:val="single" w:sz="4" w:space="0" w:color="auto"/>
              <w:left w:val="nil"/>
              <w:bottom w:val="single" w:sz="4" w:space="0" w:color="auto"/>
              <w:right w:val="nil"/>
            </w:tcBorders>
            <w:shd w:val="clear" w:color="000000" w:fill="FFFFFF"/>
            <w:vAlign w:val="center"/>
          </w:tcPr>
          <w:p w:rsidR="004E54B1" w:rsidRPr="0069145E" w:rsidP="00853EA9" w14:paraId="26253397" w14:textId="5BABFFD7">
            <w:pPr>
              <w:spacing w:after="0"/>
              <w:rPr>
                <w:b/>
                <w:bCs/>
                <w:sz w:val="20"/>
                <w:szCs w:val="20"/>
                <w:u w:val="single"/>
              </w:rPr>
            </w:pPr>
            <w:r>
              <w:rPr>
                <w:b/>
                <w:bCs/>
                <w:sz w:val="20"/>
                <w:szCs w:val="20"/>
                <w:u w:val="single"/>
              </w:rPr>
              <w:t>TOTAL</w:t>
            </w:r>
          </w:p>
        </w:tc>
        <w:tc>
          <w:tcPr>
            <w:tcW w:w="1308" w:type="dxa"/>
            <w:tcBorders>
              <w:top w:val="single" w:sz="4" w:space="0" w:color="auto"/>
              <w:left w:val="nil"/>
              <w:bottom w:val="single" w:sz="4" w:space="0" w:color="auto"/>
              <w:right w:val="nil"/>
            </w:tcBorders>
            <w:shd w:val="clear" w:color="000000" w:fill="FFFFFF"/>
            <w:vAlign w:val="center"/>
          </w:tcPr>
          <w:p w:rsidR="004E54B1" w:rsidRPr="0069145E" w:rsidP="00CC3B5C" w14:paraId="7C38FD1F" w14:textId="3D06D428">
            <w:pPr>
              <w:spacing w:after="0"/>
              <w:jc w:val="center"/>
              <w:rPr>
                <w:sz w:val="20"/>
                <w:szCs w:val="20"/>
              </w:rPr>
            </w:pPr>
            <w:r>
              <w:rPr>
                <w:sz w:val="20"/>
                <w:szCs w:val="20"/>
              </w:rPr>
              <w:t>9,560</w:t>
            </w:r>
          </w:p>
        </w:tc>
        <w:tc>
          <w:tcPr>
            <w:tcW w:w="1230" w:type="dxa"/>
            <w:tcBorders>
              <w:top w:val="single" w:sz="4" w:space="0" w:color="auto"/>
              <w:left w:val="nil"/>
              <w:bottom w:val="single" w:sz="4" w:space="0" w:color="auto"/>
              <w:right w:val="nil"/>
            </w:tcBorders>
            <w:shd w:val="clear" w:color="000000" w:fill="FFFFFF"/>
            <w:vAlign w:val="center"/>
          </w:tcPr>
          <w:p w:rsidR="004E54B1" w:rsidRPr="0069145E" w:rsidP="00CC3B5C" w14:paraId="3153833A" w14:textId="250D34AE">
            <w:pPr>
              <w:spacing w:after="0"/>
              <w:jc w:val="center"/>
              <w:rPr>
                <w:sz w:val="20"/>
                <w:szCs w:val="20"/>
              </w:rPr>
            </w:pPr>
            <w:r>
              <w:rPr>
                <w:sz w:val="20"/>
                <w:szCs w:val="20"/>
              </w:rPr>
              <w:t>9.4456</w:t>
            </w:r>
          </w:p>
        </w:tc>
        <w:tc>
          <w:tcPr>
            <w:tcW w:w="1793" w:type="dxa"/>
            <w:tcBorders>
              <w:top w:val="single" w:sz="4" w:space="0" w:color="auto"/>
              <w:left w:val="nil"/>
              <w:bottom w:val="single" w:sz="4" w:space="0" w:color="auto"/>
              <w:right w:val="nil"/>
            </w:tcBorders>
            <w:shd w:val="clear" w:color="000000" w:fill="FFFFFF"/>
            <w:vAlign w:val="center"/>
          </w:tcPr>
          <w:p w:rsidR="004E54B1" w:rsidRPr="0069145E" w:rsidP="00CC3B5C" w14:paraId="6BDE1060" w14:textId="71E3843B">
            <w:pPr>
              <w:spacing w:after="0"/>
              <w:jc w:val="center"/>
              <w:rPr>
                <w:sz w:val="20"/>
                <w:szCs w:val="20"/>
              </w:rPr>
            </w:pPr>
          </w:p>
        </w:tc>
        <w:tc>
          <w:tcPr>
            <w:tcW w:w="1151" w:type="dxa"/>
            <w:tcBorders>
              <w:top w:val="single" w:sz="4" w:space="0" w:color="auto"/>
              <w:left w:val="nil"/>
              <w:bottom w:val="single" w:sz="4" w:space="0" w:color="auto"/>
              <w:right w:val="nil"/>
            </w:tcBorders>
            <w:shd w:val="clear" w:color="000000" w:fill="FFFFFF"/>
            <w:vAlign w:val="center"/>
          </w:tcPr>
          <w:p w:rsidR="004E54B1" w:rsidRPr="00E34011" w:rsidP="00CC3B5C" w14:paraId="41271794" w14:textId="3DAC6D0F">
            <w:pPr>
              <w:spacing w:after="0"/>
              <w:jc w:val="center"/>
              <w:rPr>
                <w:b/>
                <w:bCs/>
                <w:sz w:val="20"/>
                <w:szCs w:val="20"/>
              </w:rPr>
            </w:pPr>
            <w:r w:rsidRPr="00E34011">
              <w:rPr>
                <w:b/>
                <w:bCs/>
                <w:sz w:val="20"/>
                <w:szCs w:val="20"/>
              </w:rPr>
              <w:t>1,</w:t>
            </w:r>
            <w:r w:rsidR="00867223">
              <w:rPr>
                <w:b/>
                <w:bCs/>
                <w:sz w:val="20"/>
                <w:szCs w:val="20"/>
              </w:rPr>
              <w:t>504.99</w:t>
            </w:r>
            <w:r w:rsidRPr="00E34011">
              <w:rPr>
                <w:b/>
                <w:bCs/>
                <w:sz w:val="20"/>
                <w:szCs w:val="20"/>
              </w:rPr>
              <w:t xml:space="preserve"> (1,</w:t>
            </w:r>
            <w:r w:rsidR="00677F2A">
              <w:rPr>
                <w:b/>
                <w:bCs/>
                <w:sz w:val="20"/>
                <w:szCs w:val="20"/>
              </w:rPr>
              <w:t>50</w:t>
            </w:r>
            <w:r w:rsidR="00867223">
              <w:rPr>
                <w:b/>
                <w:bCs/>
                <w:sz w:val="20"/>
                <w:szCs w:val="20"/>
              </w:rPr>
              <w:t>5</w:t>
            </w:r>
            <w:r w:rsidRPr="00E34011">
              <w:rPr>
                <w:b/>
                <w:bCs/>
                <w:sz w:val="20"/>
                <w:szCs w:val="20"/>
              </w:rPr>
              <w:t>)</w:t>
            </w:r>
          </w:p>
        </w:tc>
        <w:tc>
          <w:tcPr>
            <w:tcW w:w="1916" w:type="dxa"/>
            <w:tcBorders>
              <w:top w:val="single" w:sz="4" w:space="0" w:color="auto"/>
              <w:left w:val="nil"/>
              <w:bottom w:val="single" w:sz="4" w:space="0" w:color="auto"/>
              <w:right w:val="nil"/>
            </w:tcBorders>
            <w:shd w:val="clear" w:color="000000" w:fill="FFFFFF"/>
            <w:vAlign w:val="center"/>
          </w:tcPr>
          <w:p w:rsidR="00E8676F" w:rsidP="007206FA" w14:paraId="2AE53CD0" w14:textId="50CE8664">
            <w:pPr>
              <w:spacing w:after="0"/>
              <w:jc w:val="center"/>
              <w:rPr>
                <w:b/>
                <w:bCs/>
                <w:sz w:val="20"/>
                <w:szCs w:val="20"/>
              </w:rPr>
            </w:pPr>
            <w:r w:rsidRPr="00E34011">
              <w:rPr>
                <w:b/>
                <w:bCs/>
                <w:sz w:val="20"/>
                <w:szCs w:val="20"/>
              </w:rPr>
              <w:t>$</w:t>
            </w:r>
            <w:r w:rsidR="00EB0C2E">
              <w:rPr>
                <w:b/>
                <w:bCs/>
                <w:sz w:val="20"/>
                <w:szCs w:val="20"/>
              </w:rPr>
              <w:t>68,612.48</w:t>
            </w:r>
          </w:p>
          <w:p w:rsidR="004E54B1" w:rsidRPr="00E34011" w:rsidP="007206FA" w14:paraId="13C06767" w14:textId="798DC85C">
            <w:pPr>
              <w:spacing w:after="0"/>
              <w:jc w:val="center"/>
              <w:rPr>
                <w:b/>
                <w:bCs/>
                <w:sz w:val="20"/>
                <w:szCs w:val="20"/>
              </w:rPr>
            </w:pPr>
            <w:r w:rsidRPr="00E34011">
              <w:rPr>
                <w:b/>
                <w:bCs/>
                <w:sz w:val="20"/>
                <w:szCs w:val="20"/>
              </w:rPr>
              <w:t>($</w:t>
            </w:r>
            <w:r w:rsidR="00EB0C2E">
              <w:rPr>
                <w:b/>
                <w:bCs/>
                <w:sz w:val="20"/>
                <w:szCs w:val="20"/>
              </w:rPr>
              <w:t>68,612</w:t>
            </w:r>
            <w:r w:rsidRPr="00E34011">
              <w:rPr>
                <w:b/>
                <w:bCs/>
                <w:sz w:val="20"/>
                <w:szCs w:val="20"/>
              </w:rPr>
              <w:t>)</w:t>
            </w:r>
          </w:p>
        </w:tc>
      </w:tr>
      <w:tr w14:paraId="5E8F776C" w14:textId="28C0AD1B" w:rsidTr="00A66D8B">
        <w:tblPrEx>
          <w:tblW w:w="8640" w:type="dxa"/>
          <w:jc w:val="center"/>
          <w:tblLook w:val="04A0"/>
        </w:tblPrEx>
        <w:trPr>
          <w:trHeight w:val="557"/>
          <w:jc w:val="center"/>
        </w:trPr>
        <w:tc>
          <w:tcPr>
            <w:tcW w:w="8640" w:type="dxa"/>
            <w:gridSpan w:val="6"/>
            <w:tcBorders>
              <w:top w:val="single" w:sz="4" w:space="0" w:color="auto"/>
              <w:left w:val="nil"/>
              <w:right w:val="nil"/>
            </w:tcBorders>
            <w:shd w:val="clear" w:color="000000" w:fill="FFFFFF"/>
            <w:vAlign w:val="center"/>
            <w:hideMark/>
          </w:tcPr>
          <w:p w:rsidR="004C5F8D" w:rsidRPr="0069145E" w:rsidP="007206FA" w14:paraId="0C8B7EE3" w14:textId="590BF802">
            <w:pPr>
              <w:spacing w:after="0"/>
              <w:jc w:val="center"/>
              <w:rPr>
                <w:sz w:val="20"/>
                <w:szCs w:val="20"/>
              </w:rPr>
            </w:pPr>
            <w:r>
              <w:rPr>
                <w:b/>
                <w:bCs/>
                <w:sz w:val="20"/>
                <w:szCs w:val="20"/>
                <w:u w:val="single"/>
              </w:rPr>
              <w:t>Study 2 (ORU Pilot)</w:t>
            </w:r>
          </w:p>
        </w:tc>
      </w:tr>
      <w:tr w14:paraId="72BF1D03" w14:textId="4F76A34B" w:rsidTr="007206FA">
        <w:tblPrEx>
          <w:tblW w:w="8640" w:type="dxa"/>
          <w:jc w:val="center"/>
          <w:tblLook w:val="04A0"/>
        </w:tblPrEx>
        <w:trPr>
          <w:trHeight w:val="180"/>
          <w:jc w:val="center"/>
        </w:trPr>
        <w:tc>
          <w:tcPr>
            <w:tcW w:w="1242" w:type="dxa"/>
            <w:tcBorders>
              <w:top w:val="nil"/>
              <w:left w:val="nil"/>
              <w:right w:val="nil"/>
            </w:tcBorders>
            <w:shd w:val="clear" w:color="000000" w:fill="FFFFFF"/>
            <w:vAlign w:val="center"/>
            <w:hideMark/>
          </w:tcPr>
          <w:p w:rsidR="006E51BF" w:rsidRPr="0069145E" w:rsidP="00853EA9" w14:paraId="40E54379" w14:textId="0678C3EC">
            <w:pPr>
              <w:spacing w:after="0"/>
              <w:rPr>
                <w:sz w:val="20"/>
                <w:szCs w:val="20"/>
              </w:rPr>
            </w:pPr>
            <w:r>
              <w:rPr>
                <w:sz w:val="20"/>
                <w:szCs w:val="20"/>
              </w:rPr>
              <w:t>ORU fully</w:t>
            </w:r>
            <w:r w:rsidRPr="0069145E">
              <w:rPr>
                <w:sz w:val="20"/>
                <w:szCs w:val="20"/>
              </w:rPr>
              <w:t xml:space="preserve"> participates </w:t>
            </w:r>
          </w:p>
        </w:tc>
        <w:tc>
          <w:tcPr>
            <w:tcW w:w="1308" w:type="dxa"/>
            <w:tcBorders>
              <w:top w:val="nil"/>
              <w:left w:val="nil"/>
              <w:right w:val="nil"/>
            </w:tcBorders>
            <w:shd w:val="clear" w:color="000000" w:fill="FFFFFF"/>
            <w:vAlign w:val="center"/>
            <w:hideMark/>
          </w:tcPr>
          <w:p w:rsidR="006E51BF" w:rsidRPr="0069145E" w:rsidP="00CC3B5C" w14:paraId="365A5F9C" w14:textId="59298228">
            <w:pPr>
              <w:spacing w:after="0"/>
              <w:jc w:val="center"/>
              <w:rPr>
                <w:sz w:val="20"/>
                <w:szCs w:val="20"/>
              </w:rPr>
            </w:pPr>
            <w:r w:rsidRPr="0069145E">
              <w:rPr>
                <w:sz w:val="20"/>
                <w:szCs w:val="20"/>
              </w:rPr>
              <w:t>500</w:t>
            </w:r>
          </w:p>
        </w:tc>
        <w:tc>
          <w:tcPr>
            <w:tcW w:w="1230" w:type="dxa"/>
            <w:tcBorders>
              <w:top w:val="nil"/>
              <w:left w:val="nil"/>
              <w:right w:val="nil"/>
            </w:tcBorders>
            <w:shd w:val="clear" w:color="000000" w:fill="FFFFFF"/>
            <w:vAlign w:val="center"/>
            <w:hideMark/>
          </w:tcPr>
          <w:p w:rsidR="006E51BF" w:rsidRPr="0069145E" w:rsidP="00CC3B5C" w14:paraId="4412B7AB" w14:textId="63FE9C60">
            <w:pPr>
              <w:spacing w:after="0"/>
              <w:jc w:val="center"/>
              <w:rPr>
                <w:sz w:val="20"/>
                <w:szCs w:val="20"/>
              </w:rPr>
            </w:pPr>
            <w:r w:rsidRPr="0069145E">
              <w:rPr>
                <w:sz w:val="20"/>
                <w:szCs w:val="20"/>
              </w:rPr>
              <w:t>10</w:t>
            </w:r>
          </w:p>
        </w:tc>
        <w:tc>
          <w:tcPr>
            <w:tcW w:w="1793" w:type="dxa"/>
            <w:tcBorders>
              <w:top w:val="nil"/>
              <w:left w:val="nil"/>
              <w:right w:val="nil"/>
            </w:tcBorders>
            <w:shd w:val="clear" w:color="000000" w:fill="FFFFFF"/>
            <w:vAlign w:val="center"/>
            <w:hideMark/>
          </w:tcPr>
          <w:p w:rsidR="006E51BF" w:rsidRPr="0069145E" w:rsidP="00CC3B5C" w14:paraId="1D1CE65A" w14:textId="43A70DC0">
            <w:pPr>
              <w:spacing w:after="0"/>
              <w:jc w:val="center"/>
              <w:rPr>
                <w:sz w:val="20"/>
                <w:szCs w:val="20"/>
              </w:rPr>
            </w:pPr>
            <w:r w:rsidRPr="0069145E">
              <w:rPr>
                <w:sz w:val="20"/>
                <w:szCs w:val="20"/>
              </w:rPr>
              <w:t>$</w:t>
            </w:r>
            <w:r w:rsidR="00EB1BAD">
              <w:rPr>
                <w:sz w:val="20"/>
                <w:szCs w:val="20"/>
              </w:rPr>
              <w:t>45.59</w:t>
            </w:r>
          </w:p>
        </w:tc>
        <w:tc>
          <w:tcPr>
            <w:tcW w:w="1151" w:type="dxa"/>
            <w:tcBorders>
              <w:top w:val="nil"/>
              <w:left w:val="nil"/>
              <w:right w:val="nil"/>
            </w:tcBorders>
            <w:shd w:val="clear" w:color="000000" w:fill="FFFFFF"/>
            <w:vAlign w:val="center"/>
            <w:hideMark/>
          </w:tcPr>
          <w:p w:rsidR="006E51BF" w:rsidRPr="0069145E" w:rsidP="00CC3B5C" w14:paraId="78BDCC41" w14:textId="1EB63AAB">
            <w:pPr>
              <w:spacing w:after="0"/>
              <w:jc w:val="center"/>
              <w:rPr>
                <w:sz w:val="20"/>
                <w:szCs w:val="20"/>
              </w:rPr>
            </w:pPr>
            <w:r w:rsidRPr="0069145E">
              <w:rPr>
                <w:sz w:val="20"/>
                <w:szCs w:val="20"/>
              </w:rPr>
              <w:t>83.33</w:t>
            </w:r>
          </w:p>
        </w:tc>
        <w:tc>
          <w:tcPr>
            <w:tcW w:w="1916" w:type="dxa"/>
            <w:tcBorders>
              <w:top w:val="nil"/>
              <w:left w:val="nil"/>
              <w:right w:val="nil"/>
            </w:tcBorders>
            <w:shd w:val="clear" w:color="000000" w:fill="FFFFFF"/>
            <w:vAlign w:val="center"/>
            <w:hideMark/>
          </w:tcPr>
          <w:p w:rsidR="006E51BF" w:rsidRPr="0069145E" w:rsidP="007206FA" w14:paraId="2451D758" w14:textId="4C39CF0E">
            <w:pPr>
              <w:spacing w:after="0"/>
              <w:jc w:val="center"/>
              <w:rPr>
                <w:sz w:val="20"/>
                <w:szCs w:val="20"/>
              </w:rPr>
            </w:pPr>
            <w:r w:rsidRPr="0069145E">
              <w:rPr>
                <w:sz w:val="20"/>
                <w:szCs w:val="20"/>
              </w:rPr>
              <w:t>$</w:t>
            </w:r>
            <w:r w:rsidR="004F3A0D">
              <w:rPr>
                <w:sz w:val="20"/>
                <w:szCs w:val="20"/>
              </w:rPr>
              <w:t>3,799.01</w:t>
            </w:r>
          </w:p>
        </w:tc>
      </w:tr>
      <w:tr w14:paraId="1E3426D9" w14:textId="7F773959" w:rsidTr="007206FA">
        <w:tblPrEx>
          <w:tblW w:w="8640" w:type="dxa"/>
          <w:jc w:val="center"/>
          <w:tblLook w:val="04A0"/>
        </w:tblPrEx>
        <w:trPr>
          <w:trHeight w:val="180"/>
          <w:jc w:val="center"/>
        </w:trPr>
        <w:tc>
          <w:tcPr>
            <w:tcW w:w="1242" w:type="dxa"/>
            <w:tcBorders>
              <w:bottom w:val="single" w:sz="4" w:space="0" w:color="auto"/>
              <w:right w:val="nil"/>
            </w:tcBorders>
            <w:shd w:val="clear" w:color="000000" w:fill="FFFFFF"/>
            <w:vAlign w:val="center"/>
          </w:tcPr>
          <w:p w:rsidR="006E51BF" w:rsidRPr="0069145E" w:rsidP="00853EA9" w14:paraId="19A208AC" w14:textId="38D5498D">
            <w:pPr>
              <w:spacing w:after="0"/>
              <w:rPr>
                <w:sz w:val="20"/>
                <w:szCs w:val="20"/>
              </w:rPr>
            </w:pPr>
            <w:r w:rsidRPr="00555062">
              <w:rPr>
                <w:sz w:val="20"/>
                <w:szCs w:val="20"/>
              </w:rPr>
              <w:t xml:space="preserve">ORU </w:t>
            </w:r>
            <w:r w:rsidRPr="003C3200">
              <w:rPr>
                <w:sz w:val="20"/>
                <w:szCs w:val="20"/>
              </w:rPr>
              <w:t>partially</w:t>
            </w:r>
            <w:r>
              <w:rPr>
                <w:sz w:val="20"/>
                <w:szCs w:val="20"/>
              </w:rPr>
              <w:t xml:space="preserve"> participates</w:t>
            </w:r>
          </w:p>
        </w:tc>
        <w:tc>
          <w:tcPr>
            <w:tcW w:w="1308" w:type="dxa"/>
            <w:tcBorders>
              <w:left w:val="nil"/>
              <w:bottom w:val="single" w:sz="4" w:space="0" w:color="auto"/>
              <w:right w:val="nil"/>
            </w:tcBorders>
            <w:shd w:val="clear" w:color="000000" w:fill="FFFFFF"/>
            <w:vAlign w:val="center"/>
          </w:tcPr>
          <w:p w:rsidR="006E51BF" w:rsidRPr="0069145E" w:rsidP="00CC3B5C" w14:paraId="78335D3D" w14:textId="0EEDB886">
            <w:pPr>
              <w:spacing w:after="0"/>
              <w:jc w:val="center"/>
              <w:rPr>
                <w:sz w:val="20"/>
                <w:szCs w:val="20"/>
              </w:rPr>
            </w:pPr>
            <w:r>
              <w:rPr>
                <w:sz w:val="20"/>
                <w:szCs w:val="20"/>
              </w:rPr>
              <w:t>60</w:t>
            </w:r>
          </w:p>
        </w:tc>
        <w:tc>
          <w:tcPr>
            <w:tcW w:w="1230" w:type="dxa"/>
            <w:tcBorders>
              <w:left w:val="nil"/>
              <w:bottom w:val="single" w:sz="4" w:space="0" w:color="auto"/>
              <w:right w:val="nil"/>
            </w:tcBorders>
            <w:shd w:val="clear" w:color="000000" w:fill="FFFFFF"/>
            <w:vAlign w:val="center"/>
          </w:tcPr>
          <w:p w:rsidR="006E51BF" w:rsidRPr="0069145E" w:rsidP="00CC3B5C" w14:paraId="658CD42F" w14:textId="5448BA4A">
            <w:pPr>
              <w:spacing w:after="0"/>
              <w:jc w:val="center"/>
              <w:rPr>
                <w:sz w:val="20"/>
                <w:szCs w:val="20"/>
              </w:rPr>
            </w:pPr>
            <w:r>
              <w:rPr>
                <w:sz w:val="20"/>
                <w:szCs w:val="20"/>
              </w:rPr>
              <w:t>5</w:t>
            </w:r>
          </w:p>
        </w:tc>
        <w:tc>
          <w:tcPr>
            <w:tcW w:w="1793" w:type="dxa"/>
            <w:tcBorders>
              <w:left w:val="nil"/>
              <w:bottom w:val="single" w:sz="4" w:space="0" w:color="auto"/>
              <w:right w:val="nil"/>
            </w:tcBorders>
            <w:shd w:val="clear" w:color="000000" w:fill="FFFFFF"/>
            <w:vAlign w:val="center"/>
          </w:tcPr>
          <w:p w:rsidR="006E51BF" w:rsidRPr="0069145E" w:rsidP="00CC3B5C" w14:paraId="66B505FC" w14:textId="1E50D753">
            <w:pPr>
              <w:spacing w:after="0"/>
              <w:jc w:val="center"/>
              <w:rPr>
                <w:sz w:val="20"/>
                <w:szCs w:val="20"/>
              </w:rPr>
            </w:pPr>
            <w:r>
              <w:rPr>
                <w:sz w:val="20"/>
                <w:szCs w:val="20"/>
              </w:rPr>
              <w:t>$</w:t>
            </w:r>
            <w:r w:rsidR="00EB1BAD">
              <w:rPr>
                <w:sz w:val="20"/>
                <w:szCs w:val="20"/>
              </w:rPr>
              <w:t>45.59</w:t>
            </w:r>
          </w:p>
        </w:tc>
        <w:tc>
          <w:tcPr>
            <w:tcW w:w="1151" w:type="dxa"/>
            <w:tcBorders>
              <w:left w:val="nil"/>
              <w:bottom w:val="single" w:sz="4" w:space="0" w:color="auto"/>
              <w:right w:val="nil"/>
            </w:tcBorders>
            <w:shd w:val="clear" w:color="000000" w:fill="FFFFFF"/>
            <w:vAlign w:val="center"/>
          </w:tcPr>
          <w:p w:rsidR="006E51BF" w:rsidRPr="0069145E" w:rsidP="00CC3B5C" w14:paraId="49B37880" w14:textId="64713755">
            <w:pPr>
              <w:spacing w:after="0"/>
              <w:jc w:val="center"/>
              <w:rPr>
                <w:sz w:val="20"/>
                <w:szCs w:val="20"/>
              </w:rPr>
            </w:pPr>
            <w:r>
              <w:rPr>
                <w:sz w:val="20"/>
                <w:szCs w:val="20"/>
              </w:rPr>
              <w:t>5</w:t>
            </w:r>
          </w:p>
        </w:tc>
        <w:tc>
          <w:tcPr>
            <w:tcW w:w="1916" w:type="dxa"/>
            <w:tcBorders>
              <w:left w:val="nil"/>
              <w:bottom w:val="single" w:sz="4" w:space="0" w:color="auto"/>
              <w:right w:val="nil"/>
            </w:tcBorders>
            <w:shd w:val="clear" w:color="000000" w:fill="FFFFFF"/>
            <w:vAlign w:val="center"/>
          </w:tcPr>
          <w:p w:rsidR="006E51BF" w:rsidRPr="0069145E" w:rsidP="007206FA" w14:paraId="0522AC2E" w14:textId="17EB0747">
            <w:pPr>
              <w:spacing w:after="0"/>
              <w:jc w:val="center"/>
              <w:rPr>
                <w:sz w:val="20"/>
                <w:szCs w:val="20"/>
              </w:rPr>
            </w:pPr>
            <w:r>
              <w:rPr>
                <w:sz w:val="20"/>
                <w:szCs w:val="20"/>
              </w:rPr>
              <w:t>$</w:t>
            </w:r>
            <w:r w:rsidR="00EB0C2E">
              <w:rPr>
                <w:sz w:val="20"/>
                <w:szCs w:val="20"/>
              </w:rPr>
              <w:t>227.95</w:t>
            </w:r>
          </w:p>
        </w:tc>
      </w:tr>
      <w:tr w14:paraId="1B8CB66B" w14:textId="67AE8050" w:rsidTr="007206FA">
        <w:tblPrEx>
          <w:tblW w:w="8640" w:type="dxa"/>
          <w:jc w:val="center"/>
          <w:tblLook w:val="04A0"/>
        </w:tblPrEx>
        <w:trPr>
          <w:trHeight w:val="180"/>
          <w:jc w:val="center"/>
        </w:trPr>
        <w:tc>
          <w:tcPr>
            <w:tcW w:w="1242" w:type="dxa"/>
            <w:tcBorders>
              <w:top w:val="nil"/>
              <w:left w:val="nil"/>
              <w:bottom w:val="single" w:sz="4" w:space="0" w:color="auto"/>
              <w:right w:val="nil"/>
            </w:tcBorders>
            <w:shd w:val="clear" w:color="000000" w:fill="FFFFFF"/>
            <w:vAlign w:val="center"/>
          </w:tcPr>
          <w:p w:rsidR="006E779F" w:rsidRPr="007206FA" w:rsidP="00853EA9" w14:paraId="08511967" w14:textId="7AB1D4C3">
            <w:pPr>
              <w:spacing w:after="0"/>
              <w:rPr>
                <w:b/>
                <w:bCs/>
                <w:sz w:val="20"/>
                <w:szCs w:val="20"/>
                <w:u w:val="single"/>
              </w:rPr>
            </w:pPr>
            <w:r w:rsidRPr="007206FA">
              <w:rPr>
                <w:b/>
                <w:bCs/>
                <w:sz w:val="20"/>
                <w:szCs w:val="20"/>
                <w:u w:val="single"/>
              </w:rPr>
              <w:t>TOTAL</w:t>
            </w:r>
          </w:p>
        </w:tc>
        <w:tc>
          <w:tcPr>
            <w:tcW w:w="1308" w:type="dxa"/>
            <w:tcBorders>
              <w:top w:val="nil"/>
              <w:left w:val="nil"/>
              <w:bottom w:val="single" w:sz="4" w:space="0" w:color="auto"/>
              <w:right w:val="nil"/>
            </w:tcBorders>
            <w:shd w:val="clear" w:color="000000" w:fill="FFFFFF"/>
            <w:vAlign w:val="center"/>
          </w:tcPr>
          <w:p w:rsidR="006E779F" w:rsidRPr="00A1266F" w:rsidP="00CC3B5C" w14:paraId="2A48423C" w14:textId="723EC5A7">
            <w:pPr>
              <w:spacing w:after="0"/>
              <w:jc w:val="center"/>
              <w:rPr>
                <w:b/>
                <w:bCs/>
                <w:sz w:val="20"/>
                <w:szCs w:val="20"/>
              </w:rPr>
            </w:pPr>
            <w:r>
              <w:rPr>
                <w:b/>
                <w:bCs/>
                <w:sz w:val="20"/>
                <w:szCs w:val="20"/>
              </w:rPr>
              <w:t>560</w:t>
            </w:r>
          </w:p>
        </w:tc>
        <w:tc>
          <w:tcPr>
            <w:tcW w:w="1230" w:type="dxa"/>
            <w:tcBorders>
              <w:top w:val="nil"/>
              <w:left w:val="nil"/>
              <w:bottom w:val="single" w:sz="4" w:space="0" w:color="auto"/>
              <w:right w:val="nil"/>
            </w:tcBorders>
            <w:shd w:val="clear" w:color="000000" w:fill="FFFFFF"/>
            <w:vAlign w:val="center"/>
          </w:tcPr>
          <w:p w:rsidR="006E779F" w:rsidRPr="00A1266F" w:rsidP="00CC3B5C" w14:paraId="3121CC04" w14:textId="34C85170">
            <w:pPr>
              <w:spacing w:after="0"/>
              <w:jc w:val="center"/>
              <w:rPr>
                <w:b/>
                <w:bCs/>
                <w:sz w:val="20"/>
                <w:szCs w:val="20"/>
              </w:rPr>
            </w:pPr>
            <w:r>
              <w:rPr>
                <w:b/>
                <w:bCs/>
                <w:sz w:val="20"/>
                <w:szCs w:val="20"/>
              </w:rPr>
              <w:t>9.4643</w:t>
            </w:r>
          </w:p>
        </w:tc>
        <w:tc>
          <w:tcPr>
            <w:tcW w:w="1793" w:type="dxa"/>
            <w:tcBorders>
              <w:top w:val="nil"/>
              <w:left w:val="nil"/>
              <w:bottom w:val="single" w:sz="4" w:space="0" w:color="auto"/>
              <w:right w:val="nil"/>
            </w:tcBorders>
            <w:shd w:val="clear" w:color="000000" w:fill="FFFFFF"/>
            <w:vAlign w:val="center"/>
          </w:tcPr>
          <w:p w:rsidR="006E779F" w:rsidRPr="00A1266F" w:rsidP="00CC3B5C" w14:paraId="789C9595" w14:textId="68EF5A79">
            <w:pPr>
              <w:spacing w:after="0"/>
              <w:jc w:val="center"/>
              <w:rPr>
                <w:b/>
                <w:bCs/>
                <w:sz w:val="20"/>
                <w:szCs w:val="20"/>
              </w:rPr>
            </w:pPr>
          </w:p>
        </w:tc>
        <w:tc>
          <w:tcPr>
            <w:tcW w:w="1151" w:type="dxa"/>
            <w:tcBorders>
              <w:top w:val="nil"/>
              <w:left w:val="nil"/>
              <w:bottom w:val="single" w:sz="4" w:space="0" w:color="auto"/>
              <w:right w:val="nil"/>
            </w:tcBorders>
            <w:shd w:val="clear" w:color="000000" w:fill="FFFFFF"/>
            <w:vAlign w:val="center"/>
          </w:tcPr>
          <w:p w:rsidR="00A50801" w:rsidP="00CC3B5C" w14:paraId="4DABBE4E" w14:textId="35D02545">
            <w:pPr>
              <w:spacing w:after="0"/>
              <w:jc w:val="center"/>
              <w:rPr>
                <w:b/>
                <w:bCs/>
                <w:sz w:val="20"/>
                <w:szCs w:val="20"/>
              </w:rPr>
            </w:pPr>
            <w:r>
              <w:rPr>
                <w:b/>
                <w:bCs/>
                <w:sz w:val="20"/>
                <w:szCs w:val="20"/>
              </w:rPr>
              <w:t>88.33</w:t>
            </w:r>
          </w:p>
          <w:p w:rsidR="006E779F" w:rsidRPr="00A1266F" w:rsidP="00CC3B5C" w14:paraId="2A23770E" w14:textId="4C054687">
            <w:pPr>
              <w:spacing w:after="0"/>
              <w:jc w:val="center"/>
              <w:rPr>
                <w:b/>
                <w:bCs/>
                <w:sz w:val="20"/>
                <w:szCs w:val="20"/>
              </w:rPr>
            </w:pPr>
            <w:r w:rsidRPr="00A1266F">
              <w:rPr>
                <w:b/>
                <w:bCs/>
                <w:sz w:val="20"/>
                <w:szCs w:val="20"/>
              </w:rPr>
              <w:t>(8</w:t>
            </w:r>
            <w:r w:rsidR="006E51BF">
              <w:rPr>
                <w:b/>
                <w:bCs/>
                <w:sz w:val="20"/>
                <w:szCs w:val="20"/>
              </w:rPr>
              <w:t>8</w:t>
            </w:r>
            <w:r w:rsidRPr="00A1266F">
              <w:rPr>
                <w:b/>
                <w:bCs/>
                <w:sz w:val="20"/>
                <w:szCs w:val="20"/>
              </w:rPr>
              <w:t>)</w:t>
            </w:r>
          </w:p>
        </w:tc>
        <w:tc>
          <w:tcPr>
            <w:tcW w:w="1916" w:type="dxa"/>
            <w:tcBorders>
              <w:top w:val="nil"/>
              <w:left w:val="nil"/>
              <w:bottom w:val="single" w:sz="4" w:space="0" w:color="auto"/>
              <w:right w:val="nil"/>
            </w:tcBorders>
            <w:shd w:val="clear" w:color="000000" w:fill="FFFFFF"/>
            <w:vAlign w:val="center"/>
          </w:tcPr>
          <w:p w:rsidR="00657E7F" w:rsidP="007206FA" w14:paraId="2327D442" w14:textId="7062A963">
            <w:pPr>
              <w:spacing w:after="0"/>
              <w:jc w:val="center"/>
              <w:rPr>
                <w:b/>
                <w:bCs/>
                <w:sz w:val="20"/>
                <w:szCs w:val="20"/>
              </w:rPr>
            </w:pPr>
            <w:r w:rsidRPr="00A1266F">
              <w:rPr>
                <w:b/>
                <w:bCs/>
                <w:sz w:val="20"/>
                <w:szCs w:val="20"/>
              </w:rPr>
              <w:t>$</w:t>
            </w:r>
            <w:r w:rsidR="006F5DC8">
              <w:rPr>
                <w:b/>
                <w:bCs/>
                <w:sz w:val="20"/>
                <w:szCs w:val="20"/>
              </w:rPr>
              <w:t>4,026.96</w:t>
            </w:r>
          </w:p>
          <w:p w:rsidR="006E779F" w:rsidRPr="00A1266F" w:rsidP="007206FA" w14:paraId="2D9B2CBA" w14:textId="40CDF6C4">
            <w:pPr>
              <w:spacing w:after="0"/>
              <w:jc w:val="center"/>
              <w:rPr>
                <w:b/>
                <w:bCs/>
                <w:sz w:val="20"/>
                <w:szCs w:val="20"/>
              </w:rPr>
            </w:pPr>
            <w:r w:rsidRPr="00A1266F">
              <w:rPr>
                <w:b/>
                <w:bCs/>
                <w:sz w:val="20"/>
                <w:szCs w:val="20"/>
              </w:rPr>
              <w:t>($</w:t>
            </w:r>
            <w:r w:rsidR="006F5DC8">
              <w:rPr>
                <w:b/>
                <w:bCs/>
                <w:sz w:val="20"/>
                <w:szCs w:val="20"/>
              </w:rPr>
              <w:t>4,027</w:t>
            </w:r>
            <w:r w:rsidRPr="00A1266F">
              <w:rPr>
                <w:b/>
                <w:bCs/>
                <w:sz w:val="20"/>
                <w:szCs w:val="20"/>
              </w:rPr>
              <w:t>)</w:t>
            </w:r>
          </w:p>
        </w:tc>
      </w:tr>
      <w:tr w14:paraId="19E6FA1C" w14:textId="6F03CD0C" w:rsidTr="00A66D8B">
        <w:tblPrEx>
          <w:tblW w:w="8640" w:type="dxa"/>
          <w:jc w:val="center"/>
          <w:tblLook w:val="04A0"/>
        </w:tblPrEx>
        <w:trPr>
          <w:trHeight w:val="638"/>
          <w:jc w:val="center"/>
        </w:trPr>
        <w:tc>
          <w:tcPr>
            <w:tcW w:w="8640" w:type="dxa"/>
            <w:gridSpan w:val="6"/>
            <w:tcBorders>
              <w:top w:val="nil"/>
              <w:left w:val="nil"/>
              <w:right w:val="nil"/>
            </w:tcBorders>
            <w:shd w:val="clear" w:color="000000" w:fill="FFFFFF"/>
            <w:vAlign w:val="center"/>
          </w:tcPr>
          <w:p w:rsidR="004C5F8D" w:rsidRPr="0069145E" w:rsidP="007206FA" w14:paraId="53855860" w14:textId="221AA5F5">
            <w:pPr>
              <w:spacing w:after="0"/>
              <w:jc w:val="center"/>
              <w:rPr>
                <w:sz w:val="20"/>
                <w:szCs w:val="20"/>
              </w:rPr>
            </w:pPr>
            <w:r>
              <w:rPr>
                <w:b/>
                <w:bCs/>
                <w:sz w:val="20"/>
                <w:szCs w:val="20"/>
              </w:rPr>
              <w:t>Both Studies Combined</w:t>
            </w:r>
          </w:p>
        </w:tc>
      </w:tr>
      <w:tr w14:paraId="63728CE6" w14:textId="0CE9C2BC" w:rsidTr="007206FA">
        <w:tblPrEx>
          <w:tblW w:w="8640" w:type="dxa"/>
          <w:jc w:val="center"/>
          <w:tblLook w:val="04A0"/>
        </w:tblPrEx>
        <w:trPr>
          <w:trHeight w:val="180"/>
          <w:jc w:val="center"/>
        </w:trPr>
        <w:tc>
          <w:tcPr>
            <w:tcW w:w="1242" w:type="dxa"/>
            <w:tcBorders>
              <w:left w:val="nil"/>
              <w:right w:val="nil"/>
            </w:tcBorders>
            <w:shd w:val="clear" w:color="000000" w:fill="FFFFFF"/>
            <w:vAlign w:val="center"/>
          </w:tcPr>
          <w:p w:rsidR="002B1F68" w:rsidRPr="00A1266F" w:rsidP="00853EA9" w14:paraId="419FD6FC" w14:textId="3A4E710E">
            <w:pPr>
              <w:spacing w:after="0"/>
              <w:rPr>
                <w:sz w:val="20"/>
                <w:szCs w:val="20"/>
              </w:rPr>
            </w:pPr>
            <w:r>
              <w:rPr>
                <w:sz w:val="20"/>
                <w:szCs w:val="20"/>
              </w:rPr>
              <w:t>Fully</w:t>
            </w:r>
            <w:r w:rsidRPr="0069145E">
              <w:rPr>
                <w:sz w:val="20"/>
                <w:szCs w:val="20"/>
              </w:rPr>
              <w:t xml:space="preserve"> participates </w:t>
            </w:r>
          </w:p>
        </w:tc>
        <w:tc>
          <w:tcPr>
            <w:tcW w:w="1308" w:type="dxa"/>
            <w:tcBorders>
              <w:left w:val="nil"/>
              <w:right w:val="nil"/>
            </w:tcBorders>
            <w:shd w:val="clear" w:color="000000" w:fill="FFFFFF"/>
            <w:vAlign w:val="center"/>
          </w:tcPr>
          <w:p w:rsidR="002B1F68" w:rsidRPr="0069145E" w:rsidP="00CC3B5C" w14:paraId="2C076700" w14:textId="27D8B569">
            <w:pPr>
              <w:spacing w:after="0"/>
              <w:jc w:val="center"/>
              <w:rPr>
                <w:sz w:val="20"/>
                <w:szCs w:val="20"/>
              </w:rPr>
            </w:pPr>
            <w:r>
              <w:rPr>
                <w:sz w:val="20"/>
                <w:szCs w:val="20"/>
              </w:rPr>
              <w:t>9,000</w:t>
            </w:r>
          </w:p>
        </w:tc>
        <w:tc>
          <w:tcPr>
            <w:tcW w:w="1230" w:type="dxa"/>
            <w:tcBorders>
              <w:left w:val="nil"/>
              <w:right w:val="nil"/>
            </w:tcBorders>
            <w:shd w:val="clear" w:color="000000" w:fill="FFFFFF"/>
            <w:vAlign w:val="center"/>
          </w:tcPr>
          <w:p w:rsidR="002B1F68" w:rsidRPr="0069145E" w:rsidP="00CC3B5C" w14:paraId="33074298" w14:textId="7FD9887F">
            <w:pPr>
              <w:spacing w:after="0"/>
              <w:jc w:val="center"/>
              <w:rPr>
                <w:sz w:val="20"/>
                <w:szCs w:val="20"/>
              </w:rPr>
            </w:pPr>
            <w:r>
              <w:rPr>
                <w:sz w:val="20"/>
                <w:szCs w:val="20"/>
              </w:rPr>
              <w:t>10</w:t>
            </w:r>
          </w:p>
        </w:tc>
        <w:tc>
          <w:tcPr>
            <w:tcW w:w="1793" w:type="dxa"/>
            <w:tcBorders>
              <w:left w:val="nil"/>
              <w:right w:val="nil"/>
            </w:tcBorders>
            <w:shd w:val="clear" w:color="000000" w:fill="FFFFFF"/>
            <w:vAlign w:val="center"/>
          </w:tcPr>
          <w:p w:rsidR="002B1F68" w:rsidRPr="0069145E" w:rsidP="00CC3B5C" w14:paraId="389281A8" w14:textId="3729BE70">
            <w:pPr>
              <w:spacing w:after="0"/>
              <w:jc w:val="center"/>
              <w:rPr>
                <w:sz w:val="20"/>
                <w:szCs w:val="20"/>
              </w:rPr>
            </w:pPr>
            <w:r w:rsidRPr="00C62A1B">
              <w:rPr>
                <w:sz w:val="20"/>
                <w:szCs w:val="20"/>
              </w:rPr>
              <w:t>$</w:t>
            </w:r>
            <w:r w:rsidR="00EB1BAD">
              <w:rPr>
                <w:sz w:val="20"/>
                <w:szCs w:val="20"/>
              </w:rPr>
              <w:t>45.59</w:t>
            </w:r>
          </w:p>
        </w:tc>
        <w:tc>
          <w:tcPr>
            <w:tcW w:w="1151" w:type="dxa"/>
            <w:tcBorders>
              <w:left w:val="nil"/>
              <w:right w:val="nil"/>
            </w:tcBorders>
            <w:shd w:val="clear" w:color="000000" w:fill="FFFFFF"/>
            <w:vAlign w:val="center"/>
          </w:tcPr>
          <w:p w:rsidR="002B1F68" w:rsidRPr="0069145E" w:rsidP="00CC3B5C" w14:paraId="6784EBF6" w14:textId="7C5A871B">
            <w:pPr>
              <w:spacing w:after="0"/>
              <w:jc w:val="center"/>
              <w:rPr>
                <w:sz w:val="20"/>
                <w:szCs w:val="20"/>
              </w:rPr>
            </w:pPr>
            <w:r>
              <w:rPr>
                <w:sz w:val="20"/>
                <w:szCs w:val="20"/>
              </w:rPr>
              <w:t>1,</w:t>
            </w:r>
            <w:r w:rsidR="00F05DDE">
              <w:rPr>
                <w:sz w:val="20"/>
                <w:szCs w:val="20"/>
              </w:rPr>
              <w:t>500</w:t>
            </w:r>
            <w:r>
              <w:rPr>
                <w:sz w:val="20"/>
                <w:szCs w:val="20"/>
              </w:rPr>
              <w:t>.</w:t>
            </w:r>
            <w:r w:rsidR="00F05DDE">
              <w:rPr>
                <w:sz w:val="20"/>
                <w:szCs w:val="20"/>
              </w:rPr>
              <w:t>00</w:t>
            </w:r>
          </w:p>
        </w:tc>
        <w:tc>
          <w:tcPr>
            <w:tcW w:w="1916" w:type="dxa"/>
            <w:tcBorders>
              <w:left w:val="nil"/>
              <w:right w:val="nil"/>
            </w:tcBorders>
            <w:shd w:val="clear" w:color="000000" w:fill="FFFFFF"/>
            <w:vAlign w:val="center"/>
          </w:tcPr>
          <w:p w:rsidR="002B1F68" w:rsidRPr="0069145E" w:rsidP="007206FA" w14:paraId="715D25B7" w14:textId="3CA1445D">
            <w:pPr>
              <w:spacing w:after="0"/>
              <w:jc w:val="center"/>
              <w:rPr>
                <w:sz w:val="20"/>
                <w:szCs w:val="20"/>
              </w:rPr>
            </w:pPr>
            <w:r>
              <w:rPr>
                <w:sz w:val="20"/>
                <w:szCs w:val="20"/>
              </w:rPr>
              <w:t>$</w:t>
            </w:r>
            <w:r w:rsidR="006630F5">
              <w:rPr>
                <w:sz w:val="20"/>
                <w:szCs w:val="20"/>
              </w:rPr>
              <w:t>68,385</w:t>
            </w:r>
            <w:r>
              <w:rPr>
                <w:sz w:val="20"/>
                <w:szCs w:val="20"/>
              </w:rPr>
              <w:t>.</w:t>
            </w:r>
            <w:r w:rsidR="00C104E7">
              <w:rPr>
                <w:sz w:val="20"/>
                <w:szCs w:val="20"/>
              </w:rPr>
              <w:t>00</w:t>
            </w:r>
          </w:p>
        </w:tc>
      </w:tr>
      <w:tr w14:paraId="4F6693A7" w14:textId="3186B225" w:rsidTr="007206FA">
        <w:tblPrEx>
          <w:tblW w:w="8640" w:type="dxa"/>
          <w:jc w:val="center"/>
          <w:tblLook w:val="04A0"/>
        </w:tblPrEx>
        <w:trPr>
          <w:trHeight w:val="180"/>
          <w:jc w:val="center"/>
        </w:trPr>
        <w:tc>
          <w:tcPr>
            <w:tcW w:w="1242" w:type="dxa"/>
            <w:tcBorders>
              <w:left w:val="nil"/>
              <w:bottom w:val="single" w:sz="4" w:space="0" w:color="auto"/>
              <w:right w:val="nil"/>
            </w:tcBorders>
            <w:shd w:val="clear" w:color="000000" w:fill="FFFFFF"/>
            <w:vAlign w:val="center"/>
          </w:tcPr>
          <w:p w:rsidR="002B1F68" w:rsidRPr="00E34011" w:rsidP="00853EA9" w14:paraId="2F26A21B" w14:textId="70AD8DC2">
            <w:pPr>
              <w:spacing w:after="0"/>
              <w:rPr>
                <w:sz w:val="20"/>
                <w:szCs w:val="20"/>
              </w:rPr>
            </w:pPr>
            <w:r>
              <w:rPr>
                <w:sz w:val="20"/>
                <w:szCs w:val="20"/>
              </w:rPr>
              <w:t>P</w:t>
            </w:r>
            <w:r w:rsidRPr="003C3200">
              <w:rPr>
                <w:sz w:val="20"/>
                <w:szCs w:val="20"/>
              </w:rPr>
              <w:t>artially</w:t>
            </w:r>
            <w:r>
              <w:rPr>
                <w:sz w:val="20"/>
                <w:szCs w:val="20"/>
              </w:rPr>
              <w:t xml:space="preserve"> participates</w:t>
            </w:r>
          </w:p>
        </w:tc>
        <w:tc>
          <w:tcPr>
            <w:tcW w:w="1308" w:type="dxa"/>
            <w:tcBorders>
              <w:left w:val="nil"/>
              <w:bottom w:val="single" w:sz="4" w:space="0" w:color="auto"/>
              <w:right w:val="nil"/>
            </w:tcBorders>
            <w:shd w:val="clear" w:color="000000" w:fill="FFFFFF"/>
            <w:vAlign w:val="center"/>
          </w:tcPr>
          <w:p w:rsidR="002B1F68" w:rsidRPr="0069145E" w:rsidP="00CC3B5C" w14:paraId="7825B8AD" w14:textId="2A593D74">
            <w:pPr>
              <w:spacing w:after="0"/>
              <w:jc w:val="center"/>
              <w:rPr>
                <w:sz w:val="20"/>
                <w:szCs w:val="20"/>
              </w:rPr>
            </w:pPr>
            <w:r>
              <w:rPr>
                <w:sz w:val="20"/>
                <w:szCs w:val="20"/>
              </w:rPr>
              <w:t>1,</w:t>
            </w:r>
            <w:r w:rsidR="00C07F92">
              <w:rPr>
                <w:sz w:val="20"/>
                <w:szCs w:val="20"/>
              </w:rPr>
              <w:t>120</w:t>
            </w:r>
          </w:p>
        </w:tc>
        <w:tc>
          <w:tcPr>
            <w:tcW w:w="1230" w:type="dxa"/>
            <w:tcBorders>
              <w:left w:val="nil"/>
              <w:bottom w:val="single" w:sz="4" w:space="0" w:color="auto"/>
              <w:right w:val="nil"/>
            </w:tcBorders>
            <w:shd w:val="clear" w:color="000000" w:fill="FFFFFF"/>
            <w:vAlign w:val="center"/>
          </w:tcPr>
          <w:p w:rsidR="002B1F68" w:rsidRPr="0069145E" w:rsidP="00CC3B5C" w14:paraId="5A2AC101" w14:textId="15E49E70">
            <w:pPr>
              <w:spacing w:after="0"/>
              <w:jc w:val="center"/>
              <w:rPr>
                <w:sz w:val="20"/>
                <w:szCs w:val="20"/>
              </w:rPr>
            </w:pPr>
            <w:r>
              <w:rPr>
                <w:sz w:val="20"/>
                <w:szCs w:val="20"/>
              </w:rPr>
              <w:t>5</w:t>
            </w:r>
          </w:p>
        </w:tc>
        <w:tc>
          <w:tcPr>
            <w:tcW w:w="1793" w:type="dxa"/>
            <w:tcBorders>
              <w:left w:val="nil"/>
              <w:bottom w:val="single" w:sz="4" w:space="0" w:color="auto"/>
              <w:right w:val="nil"/>
            </w:tcBorders>
            <w:shd w:val="clear" w:color="000000" w:fill="FFFFFF"/>
            <w:vAlign w:val="center"/>
          </w:tcPr>
          <w:p w:rsidR="002B1F68" w:rsidRPr="0069145E" w:rsidP="00CC3B5C" w14:paraId="353B1C74" w14:textId="537415B4">
            <w:pPr>
              <w:spacing w:after="0"/>
              <w:jc w:val="center"/>
              <w:rPr>
                <w:sz w:val="20"/>
                <w:szCs w:val="20"/>
              </w:rPr>
            </w:pPr>
            <w:r w:rsidRPr="00C62A1B">
              <w:rPr>
                <w:sz w:val="20"/>
                <w:szCs w:val="20"/>
              </w:rPr>
              <w:t>$</w:t>
            </w:r>
            <w:r w:rsidR="00EB1BAD">
              <w:rPr>
                <w:sz w:val="20"/>
                <w:szCs w:val="20"/>
              </w:rPr>
              <w:t>45.59</w:t>
            </w:r>
          </w:p>
        </w:tc>
        <w:tc>
          <w:tcPr>
            <w:tcW w:w="1151" w:type="dxa"/>
            <w:tcBorders>
              <w:left w:val="nil"/>
              <w:bottom w:val="single" w:sz="4" w:space="0" w:color="auto"/>
              <w:right w:val="nil"/>
            </w:tcBorders>
            <w:shd w:val="clear" w:color="000000" w:fill="FFFFFF"/>
            <w:vAlign w:val="center"/>
          </w:tcPr>
          <w:p w:rsidR="002B1F68" w:rsidRPr="0069145E" w:rsidP="00CC3B5C" w14:paraId="37BF66DB" w14:textId="212F6382">
            <w:pPr>
              <w:spacing w:after="0"/>
              <w:jc w:val="center"/>
              <w:rPr>
                <w:sz w:val="20"/>
                <w:szCs w:val="20"/>
              </w:rPr>
            </w:pPr>
            <w:r>
              <w:rPr>
                <w:sz w:val="20"/>
                <w:szCs w:val="20"/>
              </w:rPr>
              <w:t>93.33</w:t>
            </w:r>
          </w:p>
        </w:tc>
        <w:tc>
          <w:tcPr>
            <w:tcW w:w="1916" w:type="dxa"/>
            <w:tcBorders>
              <w:left w:val="nil"/>
              <w:bottom w:val="single" w:sz="4" w:space="0" w:color="auto"/>
              <w:right w:val="nil"/>
            </w:tcBorders>
            <w:shd w:val="clear" w:color="000000" w:fill="FFFFFF"/>
            <w:vAlign w:val="center"/>
          </w:tcPr>
          <w:p w:rsidR="002B1F68" w:rsidRPr="0069145E" w:rsidP="007206FA" w14:paraId="44D9BBCC" w14:textId="35080BCA">
            <w:pPr>
              <w:spacing w:after="0"/>
              <w:jc w:val="center"/>
              <w:rPr>
                <w:sz w:val="20"/>
                <w:szCs w:val="20"/>
              </w:rPr>
            </w:pPr>
            <w:r>
              <w:rPr>
                <w:sz w:val="20"/>
                <w:szCs w:val="20"/>
              </w:rPr>
              <w:t>$</w:t>
            </w:r>
            <w:r w:rsidR="006143E4">
              <w:rPr>
                <w:sz w:val="20"/>
                <w:szCs w:val="20"/>
              </w:rPr>
              <w:t>4,254.91</w:t>
            </w:r>
          </w:p>
        </w:tc>
      </w:tr>
      <w:tr w14:paraId="4CB2B7F1" w14:textId="58EFB05A" w:rsidTr="007206FA">
        <w:tblPrEx>
          <w:tblW w:w="8640" w:type="dxa"/>
          <w:jc w:val="center"/>
          <w:tblLook w:val="04A0"/>
        </w:tblPrEx>
        <w:trPr>
          <w:trHeight w:val="539"/>
          <w:jc w:val="center"/>
        </w:trPr>
        <w:tc>
          <w:tcPr>
            <w:tcW w:w="1242" w:type="dxa"/>
            <w:tcBorders>
              <w:top w:val="single" w:sz="4" w:space="0" w:color="auto"/>
              <w:left w:val="nil"/>
              <w:bottom w:val="single" w:sz="4" w:space="0" w:color="auto"/>
              <w:right w:val="nil"/>
            </w:tcBorders>
            <w:shd w:val="clear" w:color="000000" w:fill="FFFFFF"/>
            <w:vAlign w:val="center"/>
            <w:hideMark/>
          </w:tcPr>
          <w:p w:rsidR="00E12CBE" w:rsidRPr="007206FA" w:rsidP="00853EA9" w14:paraId="28C8F853" w14:textId="4D38171B">
            <w:pPr>
              <w:spacing w:after="0"/>
              <w:rPr>
                <w:b/>
                <w:bCs/>
                <w:sz w:val="20"/>
                <w:szCs w:val="20"/>
                <w:u w:val="single"/>
              </w:rPr>
            </w:pPr>
            <w:bookmarkStart w:id="53" w:name="OLE_LINK7" w:colFirst="1" w:colLast="5"/>
            <w:r w:rsidRPr="007206FA">
              <w:rPr>
                <w:b/>
                <w:bCs/>
                <w:sz w:val="20"/>
                <w:szCs w:val="20"/>
                <w:u w:val="single"/>
              </w:rPr>
              <w:t>GRAND TOTAL</w:t>
            </w:r>
          </w:p>
        </w:tc>
        <w:tc>
          <w:tcPr>
            <w:tcW w:w="1308" w:type="dxa"/>
            <w:tcBorders>
              <w:top w:val="single" w:sz="4" w:space="0" w:color="auto"/>
              <w:left w:val="nil"/>
              <w:bottom w:val="single" w:sz="4" w:space="0" w:color="auto"/>
              <w:right w:val="nil"/>
            </w:tcBorders>
            <w:shd w:val="clear" w:color="000000" w:fill="FFFFFF"/>
            <w:vAlign w:val="center"/>
          </w:tcPr>
          <w:p w:rsidR="00E12CBE" w:rsidRPr="006B52E4" w:rsidP="00CC3B5C" w14:paraId="40EB41EC" w14:textId="464DE8DD">
            <w:pPr>
              <w:spacing w:after="0"/>
              <w:jc w:val="center"/>
              <w:rPr>
                <w:b/>
                <w:bCs/>
                <w:sz w:val="20"/>
                <w:szCs w:val="20"/>
              </w:rPr>
            </w:pPr>
            <w:r>
              <w:rPr>
                <w:b/>
                <w:bCs/>
                <w:sz w:val="20"/>
                <w:szCs w:val="20"/>
              </w:rPr>
              <w:t>10,</w:t>
            </w:r>
            <w:r w:rsidR="00C07F92">
              <w:rPr>
                <w:b/>
                <w:bCs/>
                <w:sz w:val="20"/>
                <w:szCs w:val="20"/>
              </w:rPr>
              <w:t>120</w:t>
            </w:r>
          </w:p>
        </w:tc>
        <w:tc>
          <w:tcPr>
            <w:tcW w:w="1230" w:type="dxa"/>
            <w:tcBorders>
              <w:top w:val="single" w:sz="4" w:space="0" w:color="auto"/>
              <w:left w:val="nil"/>
              <w:bottom w:val="single" w:sz="4" w:space="0" w:color="auto"/>
              <w:right w:val="nil"/>
            </w:tcBorders>
            <w:shd w:val="clear" w:color="000000" w:fill="FFFFFF"/>
            <w:vAlign w:val="center"/>
          </w:tcPr>
          <w:p w:rsidR="00E12CBE" w:rsidRPr="006B52E4" w:rsidP="00CC3B5C" w14:paraId="1C4CD64D" w14:textId="505325B0">
            <w:pPr>
              <w:spacing w:after="0"/>
              <w:jc w:val="center"/>
              <w:rPr>
                <w:b/>
                <w:bCs/>
                <w:sz w:val="20"/>
                <w:szCs w:val="20"/>
              </w:rPr>
            </w:pPr>
            <w:r>
              <w:rPr>
                <w:b/>
                <w:bCs/>
                <w:sz w:val="20"/>
                <w:szCs w:val="20"/>
              </w:rPr>
              <w:t>9.4466</w:t>
            </w:r>
          </w:p>
        </w:tc>
        <w:tc>
          <w:tcPr>
            <w:tcW w:w="1793" w:type="dxa"/>
            <w:tcBorders>
              <w:top w:val="single" w:sz="4" w:space="0" w:color="auto"/>
              <w:left w:val="nil"/>
              <w:bottom w:val="single" w:sz="4" w:space="0" w:color="auto"/>
              <w:right w:val="nil"/>
            </w:tcBorders>
            <w:shd w:val="clear" w:color="000000" w:fill="FFFFFF"/>
            <w:vAlign w:val="center"/>
          </w:tcPr>
          <w:p w:rsidR="00E12CBE" w:rsidRPr="006B52E4" w:rsidP="00CC3B5C" w14:paraId="4AC5FA19" w14:textId="677D755A">
            <w:pPr>
              <w:spacing w:after="0"/>
              <w:jc w:val="center"/>
              <w:rPr>
                <w:b/>
                <w:bCs/>
                <w:sz w:val="20"/>
                <w:szCs w:val="20"/>
              </w:rPr>
            </w:pPr>
          </w:p>
        </w:tc>
        <w:tc>
          <w:tcPr>
            <w:tcW w:w="1151" w:type="dxa"/>
            <w:tcBorders>
              <w:top w:val="single" w:sz="4" w:space="0" w:color="auto"/>
              <w:left w:val="nil"/>
              <w:bottom w:val="single" w:sz="4" w:space="0" w:color="auto"/>
              <w:right w:val="nil"/>
            </w:tcBorders>
            <w:shd w:val="clear" w:color="000000" w:fill="FFFFFF"/>
            <w:vAlign w:val="center"/>
          </w:tcPr>
          <w:p w:rsidR="00E12CBE" w:rsidRPr="006B52E4" w:rsidP="00CC3B5C" w14:paraId="28187EC7" w14:textId="24723BA1">
            <w:pPr>
              <w:spacing w:after="0"/>
              <w:jc w:val="center"/>
              <w:rPr>
                <w:b/>
                <w:bCs/>
                <w:sz w:val="20"/>
                <w:szCs w:val="20"/>
              </w:rPr>
            </w:pPr>
            <w:r>
              <w:rPr>
                <w:b/>
                <w:bCs/>
                <w:sz w:val="20"/>
                <w:szCs w:val="20"/>
              </w:rPr>
              <w:t>1,</w:t>
            </w:r>
            <w:r w:rsidR="00E507CE">
              <w:rPr>
                <w:b/>
                <w:bCs/>
                <w:sz w:val="20"/>
                <w:szCs w:val="20"/>
              </w:rPr>
              <w:t>593.3</w:t>
            </w:r>
            <w:r w:rsidR="00F05DDE">
              <w:rPr>
                <w:b/>
                <w:bCs/>
                <w:sz w:val="20"/>
                <w:szCs w:val="20"/>
              </w:rPr>
              <w:t>3</w:t>
            </w:r>
            <w:r w:rsidR="002D21FF">
              <w:rPr>
                <w:b/>
                <w:bCs/>
                <w:sz w:val="20"/>
                <w:szCs w:val="20"/>
              </w:rPr>
              <w:t xml:space="preserve"> (1,5</w:t>
            </w:r>
            <w:r w:rsidR="00E507CE">
              <w:rPr>
                <w:b/>
                <w:bCs/>
                <w:sz w:val="20"/>
                <w:szCs w:val="20"/>
              </w:rPr>
              <w:t>93</w:t>
            </w:r>
            <w:r w:rsidR="002D21FF">
              <w:rPr>
                <w:b/>
                <w:bCs/>
                <w:sz w:val="20"/>
                <w:szCs w:val="20"/>
              </w:rPr>
              <w:t>)</w:t>
            </w:r>
          </w:p>
        </w:tc>
        <w:tc>
          <w:tcPr>
            <w:tcW w:w="1916" w:type="dxa"/>
            <w:tcBorders>
              <w:top w:val="single" w:sz="4" w:space="0" w:color="auto"/>
              <w:left w:val="nil"/>
              <w:bottom w:val="single" w:sz="4" w:space="0" w:color="auto"/>
              <w:right w:val="nil"/>
            </w:tcBorders>
            <w:shd w:val="clear" w:color="000000" w:fill="FFFFFF"/>
            <w:vAlign w:val="center"/>
          </w:tcPr>
          <w:p w:rsidR="00D35327" w:rsidP="00CC3B5C" w14:paraId="720BEED5" w14:textId="29367D77">
            <w:pPr>
              <w:spacing w:after="0"/>
              <w:jc w:val="center"/>
              <w:rPr>
                <w:b/>
                <w:bCs/>
                <w:sz w:val="20"/>
                <w:szCs w:val="20"/>
              </w:rPr>
            </w:pPr>
            <w:r>
              <w:rPr>
                <w:b/>
                <w:bCs/>
                <w:sz w:val="20"/>
                <w:szCs w:val="20"/>
              </w:rPr>
              <w:t>$</w:t>
            </w:r>
            <w:r w:rsidR="006E7135">
              <w:rPr>
                <w:b/>
                <w:bCs/>
                <w:sz w:val="20"/>
                <w:szCs w:val="20"/>
              </w:rPr>
              <w:t>72,639.91</w:t>
            </w:r>
          </w:p>
          <w:p w:rsidR="00E12CBE" w:rsidRPr="006B52E4" w:rsidP="00CC3B5C" w14:paraId="60E85932" w14:textId="5BB6426B">
            <w:pPr>
              <w:spacing w:after="0"/>
              <w:jc w:val="center"/>
              <w:rPr>
                <w:b/>
                <w:bCs/>
                <w:sz w:val="20"/>
                <w:szCs w:val="20"/>
              </w:rPr>
            </w:pPr>
            <w:r>
              <w:rPr>
                <w:b/>
                <w:bCs/>
                <w:sz w:val="20"/>
                <w:szCs w:val="20"/>
              </w:rPr>
              <w:t>($</w:t>
            </w:r>
            <w:r w:rsidR="00180B36">
              <w:rPr>
                <w:b/>
                <w:bCs/>
                <w:sz w:val="20"/>
                <w:szCs w:val="20"/>
              </w:rPr>
              <w:t>72,6</w:t>
            </w:r>
            <w:r w:rsidR="006E7135">
              <w:rPr>
                <w:b/>
                <w:bCs/>
                <w:sz w:val="20"/>
                <w:szCs w:val="20"/>
              </w:rPr>
              <w:t>40</w:t>
            </w:r>
            <w:r w:rsidR="00280724">
              <w:rPr>
                <w:b/>
                <w:bCs/>
                <w:sz w:val="20"/>
                <w:szCs w:val="20"/>
              </w:rPr>
              <w:t>)</w:t>
            </w:r>
          </w:p>
        </w:tc>
      </w:tr>
    </w:tbl>
    <w:bookmarkEnd w:id="53"/>
    <w:p w:rsidR="001B29AB" w:rsidP="0043568F" w14:paraId="5086205A" w14:textId="28BB0E51">
      <w:pPr>
        <w:pStyle w:val="paragraph"/>
        <w:spacing w:before="0" w:beforeAutospacing="0" w:after="0" w:afterAutospacing="0"/>
        <w:ind w:left="720"/>
        <w:textAlignment w:val="baseline"/>
        <w:rPr>
          <w:sz w:val="20"/>
          <w:szCs w:val="20"/>
        </w:rPr>
      </w:pPr>
      <w:r w:rsidRPr="7D5DAE5D">
        <w:rPr>
          <w:sz w:val="20"/>
          <w:szCs w:val="20"/>
        </w:rPr>
        <w:t>*</w:t>
      </w:r>
      <w:r w:rsidRPr="7D5DAE5D" w:rsidR="5185E10E">
        <w:rPr>
          <w:sz w:val="20"/>
          <w:szCs w:val="20"/>
        </w:rPr>
        <w:t xml:space="preserve">See </w:t>
      </w:r>
      <w:r w:rsidR="00A6425C">
        <w:rPr>
          <w:rStyle w:val="normaltextrun"/>
          <w:sz w:val="20"/>
          <w:szCs w:val="20"/>
        </w:rPr>
        <w:t>July</w:t>
      </w:r>
      <w:r w:rsidRPr="7D5DAE5D">
        <w:rPr>
          <w:rStyle w:val="normaltextrun"/>
          <w:sz w:val="20"/>
          <w:szCs w:val="20"/>
        </w:rPr>
        <w:t xml:space="preserve"> 202</w:t>
      </w:r>
      <w:r w:rsidR="00A6425C">
        <w:rPr>
          <w:rStyle w:val="normaltextrun"/>
          <w:sz w:val="20"/>
          <w:szCs w:val="20"/>
        </w:rPr>
        <w:t>4</w:t>
      </w:r>
      <w:r w:rsidRPr="7D5DAE5D">
        <w:rPr>
          <w:rStyle w:val="normaltextrun"/>
          <w:sz w:val="20"/>
          <w:szCs w:val="20"/>
        </w:rPr>
        <w:t xml:space="preserve"> total private average hourly wages from the U.S. Bureau of Labor Statistics at </w:t>
      </w:r>
      <w:r>
        <w:fldChar w:fldCharType="begin"/>
      </w:r>
      <w:r w:rsidRPr="7D5DAE5D">
        <w:rPr>
          <w:rStyle w:val="Hyperlink"/>
          <w:sz w:val="20"/>
          <w:szCs w:val="20"/>
        </w:rPr>
        <w:instrText xml:space="preserve"> HYPERLINK "https://www.bls.gov/news.release/empsit.t19.htm"  \h </w:instrText>
      </w:r>
      <w:r>
        <w:fldChar w:fldCharType="separate"/>
      </w:r>
      <w:r w:rsidRPr="7D5DAE5D">
        <w:rPr>
          <w:rStyle w:val="Hyperlink"/>
          <w:sz w:val="20"/>
          <w:szCs w:val="20"/>
        </w:rPr>
        <w:t>https://www.bls.gov/news.release/empsit.t19.htm</w:t>
      </w:r>
      <w:r>
        <w:fldChar w:fldCharType="end"/>
      </w:r>
      <w:bookmarkStart w:id="54" w:name="_Toc125278825"/>
      <w:bookmarkStart w:id="55" w:name="_Toc125341748"/>
      <w:bookmarkStart w:id="56" w:name="_Toc125447306"/>
      <w:bookmarkStart w:id="57" w:name="_Toc126394134"/>
      <w:r w:rsidRPr="007206FA" w:rsidR="004D41AB">
        <w:rPr>
          <w:sz w:val="20"/>
          <w:szCs w:val="20"/>
        </w:rPr>
        <w:t xml:space="preserve">; </w:t>
      </w:r>
      <w:r w:rsidRPr="0043568F" w:rsidR="0043568F">
        <w:rPr>
          <w:sz w:val="20"/>
          <w:szCs w:val="20"/>
        </w:rPr>
        <w:t>Fully loaded</w:t>
      </w:r>
      <w:r w:rsidRPr="007206FA" w:rsidR="0043568F">
        <w:rPr>
          <w:sz w:val="20"/>
          <w:szCs w:val="20"/>
        </w:rPr>
        <w:t xml:space="preserve"> </w:t>
      </w:r>
      <w:r w:rsidRPr="007206FA" w:rsidR="004D41AB">
        <w:rPr>
          <w:sz w:val="20"/>
          <w:szCs w:val="20"/>
        </w:rPr>
        <w:t xml:space="preserve">wage </w:t>
      </w:r>
      <w:r w:rsidRPr="007206FA" w:rsidR="003472B9">
        <w:rPr>
          <w:sz w:val="20"/>
          <w:szCs w:val="20"/>
        </w:rPr>
        <w:t xml:space="preserve">is inclusive of a 30% </w:t>
      </w:r>
      <w:r w:rsidRPr="007206FA" w:rsidR="00406C85">
        <w:rPr>
          <w:sz w:val="20"/>
          <w:szCs w:val="20"/>
        </w:rPr>
        <w:t xml:space="preserve">addition to the base hourly wage </w:t>
      </w:r>
      <w:r w:rsidR="00B2368C">
        <w:rPr>
          <w:sz w:val="20"/>
          <w:szCs w:val="20"/>
        </w:rPr>
        <w:t>to account for</w:t>
      </w:r>
      <w:r w:rsidRPr="007206FA" w:rsidR="00406C85">
        <w:rPr>
          <w:sz w:val="20"/>
          <w:szCs w:val="20"/>
        </w:rPr>
        <w:t xml:space="preserve"> </w:t>
      </w:r>
      <w:r w:rsidR="00AF2030">
        <w:rPr>
          <w:sz w:val="20"/>
          <w:szCs w:val="20"/>
        </w:rPr>
        <w:t xml:space="preserve">fringe </w:t>
      </w:r>
      <w:r w:rsidRPr="007206FA" w:rsidR="0043568F">
        <w:rPr>
          <w:sz w:val="20"/>
          <w:szCs w:val="20"/>
        </w:rPr>
        <w:t>benefits.</w:t>
      </w:r>
    </w:p>
    <w:p w:rsidR="00A80677" w14:paraId="018E93EA" w14:textId="2420F7AB">
      <w:pPr>
        <w:spacing w:after="0"/>
        <w:rPr>
          <w:b/>
          <w:bCs/>
        </w:rPr>
      </w:pPr>
      <w:r>
        <w:rPr>
          <w:b/>
          <w:bCs/>
        </w:rPr>
        <w:br w:type="page"/>
      </w:r>
    </w:p>
    <w:p w:rsidR="009B678A" w14:paraId="1FCA0EE6" w14:textId="77777777">
      <w:pPr>
        <w:spacing w:after="0"/>
        <w:rPr>
          <w:b/>
          <w:bCs/>
        </w:rPr>
      </w:pPr>
    </w:p>
    <w:p w:rsidR="00CB61AF" w:rsidP="00CB61AF" w14:paraId="3879D909" w14:textId="734B1D9A">
      <w:pPr>
        <w:pStyle w:val="ListParagraph"/>
        <w:numPr>
          <w:ilvl w:val="0"/>
          <w:numId w:val="9"/>
        </w:numPr>
        <w:spacing w:after="0"/>
        <w:rPr>
          <w:b/>
          <w:bCs/>
        </w:rPr>
      </w:pPr>
      <w:r>
        <w:rPr>
          <w:b/>
          <w:bCs/>
        </w:rPr>
        <w:t>Summary of Forms by Burden Hours</w:t>
      </w:r>
    </w:p>
    <w:tbl>
      <w:tblPr>
        <w:tblStyle w:val="TableGrid"/>
        <w:tblW w:w="9583" w:type="dxa"/>
        <w:jc w:val="center"/>
        <w:tblLook w:val="04A0"/>
      </w:tblPr>
      <w:tblGrid>
        <w:gridCol w:w="2361"/>
        <w:gridCol w:w="1482"/>
        <w:gridCol w:w="1462"/>
        <w:gridCol w:w="1463"/>
        <w:gridCol w:w="1415"/>
        <w:gridCol w:w="1400"/>
      </w:tblGrid>
      <w:tr w14:paraId="68E14624" w14:textId="733A867A" w:rsidTr="00A66D8B">
        <w:tblPrEx>
          <w:tblW w:w="9583" w:type="dxa"/>
          <w:jc w:val="center"/>
          <w:tblLook w:val="04A0"/>
        </w:tblPrEx>
        <w:trPr>
          <w:jc w:val="center"/>
        </w:trPr>
        <w:tc>
          <w:tcPr>
            <w:tcW w:w="2361" w:type="dxa"/>
            <w:shd w:val="clear" w:color="auto" w:fill="F2F2F2" w:themeFill="background1" w:themeFillShade="F2"/>
          </w:tcPr>
          <w:p w:rsidR="00D90609" w:rsidRPr="00A80677" w:rsidP="00FA5423" w14:paraId="075C7B40" w14:textId="51357520">
            <w:pPr>
              <w:spacing w:after="0"/>
              <w:jc w:val="center"/>
              <w:rPr>
                <w:b/>
                <w:bCs/>
                <w:sz w:val="22"/>
                <w:szCs w:val="22"/>
              </w:rPr>
            </w:pPr>
            <w:bookmarkStart w:id="58" w:name="_Hlk208476700"/>
            <w:r w:rsidRPr="00A80677">
              <w:rPr>
                <w:b/>
                <w:bCs/>
                <w:sz w:val="22"/>
                <w:szCs w:val="22"/>
              </w:rPr>
              <w:t>Information Collection</w:t>
            </w:r>
            <w:r w:rsidR="002900A7">
              <w:rPr>
                <w:b/>
                <w:bCs/>
                <w:sz w:val="22"/>
                <w:szCs w:val="22"/>
              </w:rPr>
              <w:t xml:space="preserve"> – Form by Participation Type</w:t>
            </w:r>
          </w:p>
        </w:tc>
        <w:tc>
          <w:tcPr>
            <w:tcW w:w="1482" w:type="dxa"/>
            <w:shd w:val="clear" w:color="auto" w:fill="F2F2F2" w:themeFill="background1" w:themeFillShade="F2"/>
          </w:tcPr>
          <w:p w:rsidR="00D90609" w:rsidRPr="00A80677" w:rsidP="00FA5423" w14:paraId="01F0FD54" w14:textId="3C5940FD">
            <w:pPr>
              <w:spacing w:after="0"/>
              <w:jc w:val="center"/>
              <w:rPr>
                <w:b/>
                <w:bCs/>
                <w:sz w:val="22"/>
                <w:szCs w:val="22"/>
              </w:rPr>
            </w:pPr>
            <w:r w:rsidRPr="00A80677">
              <w:rPr>
                <w:b/>
                <w:bCs/>
                <w:sz w:val="22"/>
                <w:szCs w:val="22"/>
              </w:rPr>
              <w:t>Number of Respondents</w:t>
            </w:r>
          </w:p>
        </w:tc>
        <w:tc>
          <w:tcPr>
            <w:tcW w:w="1462" w:type="dxa"/>
            <w:shd w:val="clear" w:color="auto" w:fill="F2F2F2" w:themeFill="background1" w:themeFillShade="F2"/>
          </w:tcPr>
          <w:p w:rsidR="00D90609" w:rsidP="00FA5423" w14:paraId="63822E89" w14:textId="77777777">
            <w:pPr>
              <w:spacing w:after="0"/>
              <w:jc w:val="center"/>
              <w:rPr>
                <w:b/>
                <w:bCs/>
                <w:sz w:val="22"/>
                <w:szCs w:val="22"/>
              </w:rPr>
            </w:pPr>
            <w:r w:rsidRPr="00A80677">
              <w:rPr>
                <w:b/>
                <w:bCs/>
                <w:sz w:val="22"/>
                <w:szCs w:val="22"/>
              </w:rPr>
              <w:t xml:space="preserve">Burden per Response </w:t>
            </w:r>
          </w:p>
          <w:p w:rsidR="00D90609" w:rsidRPr="00A80677" w:rsidP="00FA5423" w14:paraId="1533200A" w14:textId="33551E8F">
            <w:pPr>
              <w:spacing w:after="0"/>
              <w:jc w:val="center"/>
              <w:rPr>
                <w:b/>
                <w:bCs/>
                <w:sz w:val="22"/>
                <w:szCs w:val="22"/>
              </w:rPr>
            </w:pPr>
            <w:r w:rsidRPr="00A80677">
              <w:rPr>
                <w:b/>
                <w:bCs/>
                <w:sz w:val="22"/>
                <w:szCs w:val="22"/>
              </w:rPr>
              <w:t>(in minutes)</w:t>
            </w:r>
          </w:p>
        </w:tc>
        <w:tc>
          <w:tcPr>
            <w:tcW w:w="1463" w:type="dxa"/>
            <w:shd w:val="clear" w:color="auto" w:fill="F2F2F2" w:themeFill="background1" w:themeFillShade="F2"/>
          </w:tcPr>
          <w:p w:rsidR="00D90609" w:rsidRPr="00A80677" w:rsidP="00FA5423" w14:paraId="6560CCAA" w14:textId="2B124757">
            <w:pPr>
              <w:spacing w:after="0"/>
              <w:jc w:val="center"/>
              <w:rPr>
                <w:b/>
                <w:bCs/>
                <w:sz w:val="22"/>
                <w:szCs w:val="22"/>
              </w:rPr>
            </w:pPr>
            <w:r w:rsidRPr="00A80677">
              <w:rPr>
                <w:b/>
                <w:bCs/>
                <w:sz w:val="22"/>
                <w:szCs w:val="22"/>
              </w:rPr>
              <w:t>Total Estimated Burden Hours</w:t>
            </w:r>
          </w:p>
        </w:tc>
        <w:tc>
          <w:tcPr>
            <w:tcW w:w="1415" w:type="dxa"/>
            <w:shd w:val="clear" w:color="auto" w:fill="F2F2F2" w:themeFill="background1" w:themeFillShade="F2"/>
          </w:tcPr>
          <w:p w:rsidR="00D90609" w:rsidP="00FA5423" w14:paraId="16353717" w14:textId="6AD898F9">
            <w:pPr>
              <w:spacing w:after="0"/>
              <w:jc w:val="center"/>
              <w:rPr>
                <w:b/>
                <w:bCs/>
                <w:sz w:val="22"/>
                <w:szCs w:val="22"/>
              </w:rPr>
            </w:pPr>
            <w:r>
              <w:rPr>
                <w:b/>
                <w:bCs/>
                <w:sz w:val="22"/>
                <w:szCs w:val="22"/>
              </w:rPr>
              <w:t>Annual Number of Respondents</w:t>
            </w:r>
          </w:p>
        </w:tc>
        <w:tc>
          <w:tcPr>
            <w:tcW w:w="1400" w:type="dxa"/>
            <w:shd w:val="clear" w:color="auto" w:fill="F2F2F2" w:themeFill="background1" w:themeFillShade="F2"/>
          </w:tcPr>
          <w:p w:rsidR="00D90609" w:rsidRPr="00A80677" w:rsidP="00FA5423" w14:paraId="2745EA03" w14:textId="3327BAC7">
            <w:pPr>
              <w:spacing w:after="0"/>
              <w:jc w:val="center"/>
              <w:rPr>
                <w:b/>
                <w:bCs/>
                <w:sz w:val="22"/>
                <w:szCs w:val="22"/>
              </w:rPr>
            </w:pPr>
            <w:r>
              <w:rPr>
                <w:b/>
                <w:bCs/>
                <w:sz w:val="22"/>
                <w:szCs w:val="22"/>
              </w:rPr>
              <w:t>Annual Estimated Burden Hours</w:t>
            </w:r>
          </w:p>
        </w:tc>
      </w:tr>
      <w:tr w14:paraId="4BA0A81E" w14:textId="77777777" w:rsidTr="00A66D8B">
        <w:tblPrEx>
          <w:tblW w:w="9583" w:type="dxa"/>
          <w:jc w:val="center"/>
          <w:tblLook w:val="04A0"/>
        </w:tblPrEx>
        <w:trPr>
          <w:trHeight w:val="503"/>
          <w:jc w:val="center"/>
        </w:trPr>
        <w:tc>
          <w:tcPr>
            <w:tcW w:w="9583" w:type="dxa"/>
            <w:gridSpan w:val="6"/>
            <w:vAlign w:val="center"/>
          </w:tcPr>
          <w:p w:rsidR="004C5F8D" w:rsidP="004C5F8D" w14:paraId="56EFE13C" w14:textId="78BDEE7F">
            <w:pPr>
              <w:spacing w:after="0"/>
              <w:rPr>
                <w:sz w:val="22"/>
                <w:szCs w:val="22"/>
              </w:rPr>
            </w:pPr>
            <w:r w:rsidRPr="00A80677">
              <w:rPr>
                <w:b/>
                <w:bCs/>
                <w:sz w:val="22"/>
                <w:szCs w:val="22"/>
              </w:rPr>
              <w:t>Form 1762 – Informed Consent</w:t>
            </w:r>
          </w:p>
        </w:tc>
      </w:tr>
      <w:tr w14:paraId="06CB64C6" w14:textId="402F39F3" w:rsidTr="00A66D8B">
        <w:tblPrEx>
          <w:tblW w:w="9583" w:type="dxa"/>
          <w:jc w:val="center"/>
          <w:tblLook w:val="04A0"/>
        </w:tblPrEx>
        <w:trPr>
          <w:jc w:val="center"/>
        </w:trPr>
        <w:tc>
          <w:tcPr>
            <w:tcW w:w="2361" w:type="dxa"/>
          </w:tcPr>
          <w:p w:rsidR="00D90609" w:rsidRPr="00A80677" w:rsidP="00CB61AF" w14:paraId="254CC126" w14:textId="7F683E28">
            <w:pPr>
              <w:spacing w:after="0"/>
              <w:rPr>
                <w:sz w:val="22"/>
                <w:szCs w:val="22"/>
              </w:rPr>
            </w:pPr>
            <w:r>
              <w:rPr>
                <w:sz w:val="22"/>
                <w:szCs w:val="22"/>
              </w:rPr>
              <w:t xml:space="preserve">     A</w:t>
            </w:r>
            <w:r w:rsidRPr="00A80677">
              <w:rPr>
                <w:sz w:val="22"/>
                <w:szCs w:val="22"/>
              </w:rPr>
              <w:t>ll participants</w:t>
            </w:r>
          </w:p>
        </w:tc>
        <w:tc>
          <w:tcPr>
            <w:tcW w:w="1482" w:type="dxa"/>
          </w:tcPr>
          <w:p w:rsidR="00D90609" w:rsidRPr="00A80677" w:rsidP="00FA5423" w14:paraId="0C9AA221" w14:textId="70985BF8">
            <w:pPr>
              <w:spacing w:after="0"/>
              <w:jc w:val="right"/>
              <w:rPr>
                <w:sz w:val="22"/>
                <w:szCs w:val="22"/>
              </w:rPr>
            </w:pPr>
            <w:r w:rsidRPr="00A80677">
              <w:rPr>
                <w:sz w:val="22"/>
                <w:szCs w:val="22"/>
              </w:rPr>
              <w:t>10,120</w:t>
            </w:r>
          </w:p>
        </w:tc>
        <w:tc>
          <w:tcPr>
            <w:tcW w:w="1462" w:type="dxa"/>
          </w:tcPr>
          <w:p w:rsidR="00D90609" w:rsidRPr="00A80677" w:rsidP="00FA5423" w14:paraId="234A7EDE" w14:textId="200D3254">
            <w:pPr>
              <w:spacing w:after="0"/>
              <w:jc w:val="right"/>
              <w:rPr>
                <w:sz w:val="22"/>
                <w:szCs w:val="22"/>
              </w:rPr>
            </w:pPr>
            <w:r w:rsidRPr="00A80677">
              <w:rPr>
                <w:sz w:val="22"/>
                <w:szCs w:val="22"/>
              </w:rPr>
              <w:t>2</w:t>
            </w:r>
          </w:p>
        </w:tc>
        <w:tc>
          <w:tcPr>
            <w:tcW w:w="1463" w:type="dxa"/>
          </w:tcPr>
          <w:p w:rsidR="00D90609" w:rsidRPr="00A80677" w:rsidP="00FA5423" w14:paraId="7BF1CAEF" w14:textId="4AFE896F">
            <w:pPr>
              <w:spacing w:after="0"/>
              <w:jc w:val="right"/>
              <w:rPr>
                <w:sz w:val="22"/>
                <w:szCs w:val="22"/>
              </w:rPr>
            </w:pPr>
            <w:r w:rsidRPr="00A80677">
              <w:rPr>
                <w:sz w:val="22"/>
                <w:szCs w:val="22"/>
              </w:rPr>
              <w:t>337</w:t>
            </w:r>
          </w:p>
        </w:tc>
        <w:tc>
          <w:tcPr>
            <w:tcW w:w="1415" w:type="dxa"/>
          </w:tcPr>
          <w:p w:rsidR="00D90609" w:rsidP="00FA5423" w14:paraId="1C048DD9" w14:textId="0ADB232C">
            <w:pPr>
              <w:spacing w:after="0"/>
              <w:jc w:val="right"/>
              <w:rPr>
                <w:sz w:val="22"/>
                <w:szCs w:val="22"/>
              </w:rPr>
            </w:pPr>
            <w:r>
              <w:rPr>
                <w:sz w:val="22"/>
                <w:szCs w:val="22"/>
              </w:rPr>
              <w:t>3</w:t>
            </w:r>
            <w:r w:rsidR="004C5F8D">
              <w:rPr>
                <w:sz w:val="22"/>
                <w:szCs w:val="22"/>
              </w:rPr>
              <w:t>,</w:t>
            </w:r>
            <w:r>
              <w:rPr>
                <w:sz w:val="22"/>
                <w:szCs w:val="22"/>
              </w:rPr>
              <w:t>373.3</w:t>
            </w:r>
          </w:p>
        </w:tc>
        <w:tc>
          <w:tcPr>
            <w:tcW w:w="1400" w:type="dxa"/>
          </w:tcPr>
          <w:p w:rsidR="00D90609" w:rsidRPr="00A80677" w:rsidP="00FA5423" w14:paraId="6ECEF657" w14:textId="13E0FA98">
            <w:pPr>
              <w:spacing w:after="0"/>
              <w:jc w:val="right"/>
              <w:rPr>
                <w:sz w:val="22"/>
                <w:szCs w:val="22"/>
              </w:rPr>
            </w:pPr>
            <w:r>
              <w:rPr>
                <w:sz w:val="22"/>
                <w:szCs w:val="22"/>
              </w:rPr>
              <w:t>112.3</w:t>
            </w:r>
          </w:p>
        </w:tc>
      </w:tr>
      <w:tr w14:paraId="52A8CDBE" w14:textId="14CD6A5C" w:rsidTr="00A66D8B">
        <w:tblPrEx>
          <w:tblW w:w="9583" w:type="dxa"/>
          <w:jc w:val="center"/>
          <w:tblLook w:val="04A0"/>
        </w:tblPrEx>
        <w:trPr>
          <w:jc w:val="center"/>
        </w:trPr>
        <w:tc>
          <w:tcPr>
            <w:tcW w:w="9583" w:type="dxa"/>
            <w:gridSpan w:val="6"/>
          </w:tcPr>
          <w:p w:rsidR="004C5F8D" w:rsidP="00A80677" w14:paraId="76770701" w14:textId="77777777">
            <w:pPr>
              <w:spacing w:after="0"/>
              <w:jc w:val="center"/>
              <w:rPr>
                <w:b/>
                <w:bCs/>
                <w:sz w:val="22"/>
                <w:szCs w:val="22"/>
              </w:rPr>
            </w:pPr>
          </w:p>
          <w:p w:rsidR="00987EB0" w:rsidP="00A80677" w14:paraId="7DA02B44" w14:textId="77777777">
            <w:pPr>
              <w:spacing w:after="0"/>
              <w:jc w:val="center"/>
              <w:rPr>
                <w:b/>
                <w:bCs/>
                <w:sz w:val="22"/>
                <w:szCs w:val="22"/>
              </w:rPr>
            </w:pPr>
            <w:r>
              <w:rPr>
                <w:b/>
                <w:bCs/>
                <w:sz w:val="22"/>
                <w:szCs w:val="22"/>
              </w:rPr>
              <w:t>AND</w:t>
            </w:r>
          </w:p>
          <w:p w:rsidR="004C5F8D" w:rsidP="00A80677" w14:paraId="2775FD8D" w14:textId="4DA60E14">
            <w:pPr>
              <w:spacing w:after="0"/>
              <w:jc w:val="center"/>
              <w:rPr>
                <w:b/>
                <w:bCs/>
                <w:sz w:val="22"/>
                <w:szCs w:val="22"/>
              </w:rPr>
            </w:pPr>
          </w:p>
        </w:tc>
      </w:tr>
      <w:tr w14:paraId="56404F13" w14:textId="748CD18D" w:rsidTr="00A66D8B">
        <w:tblPrEx>
          <w:tblW w:w="9583" w:type="dxa"/>
          <w:jc w:val="center"/>
          <w:tblLook w:val="04A0"/>
        </w:tblPrEx>
        <w:trPr>
          <w:trHeight w:val="485"/>
          <w:jc w:val="center"/>
        </w:trPr>
        <w:tc>
          <w:tcPr>
            <w:tcW w:w="9583" w:type="dxa"/>
            <w:gridSpan w:val="6"/>
            <w:vAlign w:val="center"/>
          </w:tcPr>
          <w:p w:rsidR="002900A7" w:rsidRPr="00A80677" w:rsidP="00FA5423" w14:paraId="59500B6D" w14:textId="6838DD42">
            <w:pPr>
              <w:spacing w:after="0"/>
              <w:rPr>
                <w:b/>
                <w:bCs/>
                <w:sz w:val="22"/>
                <w:szCs w:val="22"/>
              </w:rPr>
            </w:pPr>
            <w:r w:rsidRPr="00A80677">
              <w:rPr>
                <w:b/>
                <w:bCs/>
                <w:sz w:val="22"/>
                <w:szCs w:val="22"/>
              </w:rPr>
              <w:t>From 1763 (Drivers/Motorcyclists Questions; Study 1)</w:t>
            </w:r>
          </w:p>
        </w:tc>
      </w:tr>
      <w:tr w14:paraId="34EBFFD0" w14:textId="6ED34284" w:rsidTr="00A66D8B">
        <w:tblPrEx>
          <w:tblW w:w="9583" w:type="dxa"/>
          <w:jc w:val="center"/>
          <w:tblLook w:val="04A0"/>
        </w:tblPrEx>
        <w:trPr>
          <w:jc w:val="center"/>
        </w:trPr>
        <w:tc>
          <w:tcPr>
            <w:tcW w:w="2361" w:type="dxa"/>
          </w:tcPr>
          <w:p w:rsidR="00D90609" w:rsidRPr="00A80677" w:rsidP="00CB61AF" w14:paraId="493BDD7A" w14:textId="0E519732">
            <w:pPr>
              <w:spacing w:after="0"/>
              <w:rPr>
                <w:sz w:val="22"/>
                <w:szCs w:val="22"/>
              </w:rPr>
            </w:pPr>
            <w:r w:rsidRPr="00A80677">
              <w:rPr>
                <w:b/>
                <w:bCs/>
                <w:sz w:val="22"/>
                <w:szCs w:val="22"/>
              </w:rPr>
              <w:t xml:space="preserve">     </w:t>
            </w:r>
            <w:r w:rsidRPr="00A80677">
              <w:rPr>
                <w:sz w:val="22"/>
                <w:szCs w:val="22"/>
              </w:rPr>
              <w:t>Fully participate</w:t>
            </w:r>
            <w:r>
              <w:rPr>
                <w:sz w:val="22"/>
                <w:szCs w:val="22"/>
              </w:rPr>
              <w:t>s</w:t>
            </w:r>
          </w:p>
          <w:p w:rsidR="00D90609" w:rsidRPr="00A80677" w:rsidP="00CB61AF" w14:paraId="43E5ACD0" w14:textId="6B220BD0">
            <w:pPr>
              <w:spacing w:after="0"/>
              <w:rPr>
                <w:b/>
                <w:bCs/>
                <w:sz w:val="22"/>
                <w:szCs w:val="22"/>
              </w:rPr>
            </w:pPr>
            <w:r w:rsidRPr="00A80677">
              <w:rPr>
                <w:sz w:val="22"/>
                <w:szCs w:val="22"/>
              </w:rPr>
              <w:t xml:space="preserve">     Partially participate</w:t>
            </w:r>
            <w:r>
              <w:rPr>
                <w:sz w:val="22"/>
                <w:szCs w:val="22"/>
              </w:rPr>
              <w:t>s</w:t>
            </w:r>
          </w:p>
        </w:tc>
        <w:tc>
          <w:tcPr>
            <w:tcW w:w="1482" w:type="dxa"/>
          </w:tcPr>
          <w:p w:rsidR="00D90609" w:rsidRPr="00A80677" w:rsidP="00FA5423" w14:paraId="34D904F0" w14:textId="77777777">
            <w:pPr>
              <w:spacing w:after="0"/>
              <w:jc w:val="right"/>
              <w:rPr>
                <w:sz w:val="22"/>
                <w:szCs w:val="22"/>
              </w:rPr>
            </w:pPr>
            <w:r w:rsidRPr="00A80677">
              <w:rPr>
                <w:sz w:val="22"/>
                <w:szCs w:val="22"/>
              </w:rPr>
              <w:t>8,000</w:t>
            </w:r>
          </w:p>
          <w:p w:rsidR="00D90609" w:rsidRPr="00A80677" w:rsidP="00FA5423" w14:paraId="5D2379D5" w14:textId="2951C03C">
            <w:pPr>
              <w:spacing w:after="0"/>
              <w:jc w:val="right"/>
              <w:rPr>
                <w:sz w:val="22"/>
                <w:szCs w:val="22"/>
              </w:rPr>
            </w:pPr>
            <w:r w:rsidRPr="00A80677">
              <w:rPr>
                <w:sz w:val="22"/>
                <w:szCs w:val="22"/>
              </w:rPr>
              <w:t>1,000</w:t>
            </w:r>
          </w:p>
        </w:tc>
        <w:tc>
          <w:tcPr>
            <w:tcW w:w="1462" w:type="dxa"/>
          </w:tcPr>
          <w:p w:rsidR="00D90609" w:rsidRPr="00A80677" w:rsidP="00FA5423" w14:paraId="2A7E6CFD" w14:textId="77777777">
            <w:pPr>
              <w:spacing w:after="0"/>
              <w:jc w:val="right"/>
              <w:rPr>
                <w:sz w:val="22"/>
                <w:szCs w:val="22"/>
              </w:rPr>
            </w:pPr>
            <w:r w:rsidRPr="00A80677">
              <w:rPr>
                <w:sz w:val="22"/>
                <w:szCs w:val="22"/>
              </w:rPr>
              <w:t>8</w:t>
            </w:r>
          </w:p>
          <w:p w:rsidR="00D90609" w:rsidRPr="00A80677" w:rsidP="00FA5423" w14:paraId="3505CB27" w14:textId="4F27E932">
            <w:pPr>
              <w:spacing w:after="0"/>
              <w:jc w:val="right"/>
              <w:rPr>
                <w:sz w:val="22"/>
                <w:szCs w:val="22"/>
              </w:rPr>
            </w:pPr>
            <w:r w:rsidRPr="00A80677">
              <w:rPr>
                <w:sz w:val="22"/>
                <w:szCs w:val="22"/>
              </w:rPr>
              <w:t>3</w:t>
            </w:r>
          </w:p>
        </w:tc>
        <w:tc>
          <w:tcPr>
            <w:tcW w:w="1463" w:type="dxa"/>
          </w:tcPr>
          <w:p w:rsidR="00D90609" w:rsidRPr="00A80677" w:rsidP="00FA5423" w14:paraId="368690D2" w14:textId="636E9816">
            <w:pPr>
              <w:spacing w:after="0"/>
              <w:jc w:val="right"/>
              <w:rPr>
                <w:sz w:val="22"/>
                <w:szCs w:val="22"/>
              </w:rPr>
            </w:pPr>
            <w:r w:rsidRPr="00A80677">
              <w:rPr>
                <w:sz w:val="22"/>
                <w:szCs w:val="22"/>
              </w:rPr>
              <w:t>1,067</w:t>
            </w:r>
          </w:p>
          <w:p w:rsidR="00D90609" w:rsidRPr="00A80677" w:rsidP="00FA5423" w14:paraId="3A4F6ACA" w14:textId="7827C86F">
            <w:pPr>
              <w:spacing w:after="0"/>
              <w:jc w:val="right"/>
              <w:rPr>
                <w:sz w:val="22"/>
                <w:szCs w:val="22"/>
              </w:rPr>
            </w:pPr>
            <w:r w:rsidRPr="00A80677">
              <w:rPr>
                <w:sz w:val="22"/>
                <w:szCs w:val="22"/>
              </w:rPr>
              <w:t>50</w:t>
            </w:r>
          </w:p>
        </w:tc>
        <w:tc>
          <w:tcPr>
            <w:tcW w:w="1415" w:type="dxa"/>
          </w:tcPr>
          <w:p w:rsidR="00D90609" w:rsidP="00FA5423" w14:paraId="2C91E954" w14:textId="76E65A40">
            <w:pPr>
              <w:spacing w:after="0"/>
              <w:jc w:val="right"/>
              <w:rPr>
                <w:sz w:val="22"/>
                <w:szCs w:val="22"/>
              </w:rPr>
            </w:pPr>
            <w:r>
              <w:rPr>
                <w:sz w:val="22"/>
                <w:szCs w:val="22"/>
              </w:rPr>
              <w:t>2</w:t>
            </w:r>
            <w:r w:rsidR="004C5F8D">
              <w:rPr>
                <w:sz w:val="22"/>
                <w:szCs w:val="22"/>
              </w:rPr>
              <w:t>,</w:t>
            </w:r>
            <w:r>
              <w:rPr>
                <w:sz w:val="22"/>
                <w:szCs w:val="22"/>
              </w:rPr>
              <w:t>666.7</w:t>
            </w:r>
          </w:p>
          <w:p w:rsidR="00987EB0" w:rsidP="00FA5423" w14:paraId="1AF57704" w14:textId="7E2153CA">
            <w:pPr>
              <w:spacing w:after="0"/>
              <w:jc w:val="right"/>
              <w:rPr>
                <w:sz w:val="22"/>
                <w:szCs w:val="22"/>
              </w:rPr>
            </w:pPr>
            <w:r>
              <w:rPr>
                <w:sz w:val="22"/>
                <w:szCs w:val="22"/>
              </w:rPr>
              <w:t>333.3</w:t>
            </w:r>
          </w:p>
        </w:tc>
        <w:tc>
          <w:tcPr>
            <w:tcW w:w="1400" w:type="dxa"/>
          </w:tcPr>
          <w:p w:rsidR="00D90609" w:rsidP="00FA5423" w14:paraId="1E4262EE" w14:textId="46062E70">
            <w:pPr>
              <w:spacing w:after="0"/>
              <w:jc w:val="right"/>
              <w:rPr>
                <w:sz w:val="22"/>
                <w:szCs w:val="22"/>
              </w:rPr>
            </w:pPr>
            <w:r>
              <w:rPr>
                <w:sz w:val="22"/>
                <w:szCs w:val="22"/>
              </w:rPr>
              <w:t>355.</w:t>
            </w:r>
            <w:r w:rsidR="002900A7">
              <w:rPr>
                <w:sz w:val="22"/>
                <w:szCs w:val="22"/>
              </w:rPr>
              <w:t>7</w:t>
            </w:r>
          </w:p>
          <w:p w:rsidR="00D90609" w:rsidRPr="00A80677" w:rsidP="00FA5423" w14:paraId="39ABADB3" w14:textId="53A4DE05">
            <w:pPr>
              <w:spacing w:after="0"/>
              <w:jc w:val="right"/>
              <w:rPr>
                <w:sz w:val="22"/>
                <w:szCs w:val="22"/>
              </w:rPr>
            </w:pPr>
            <w:r>
              <w:rPr>
                <w:sz w:val="22"/>
                <w:szCs w:val="22"/>
              </w:rPr>
              <w:t>16.</w:t>
            </w:r>
            <w:r w:rsidR="002900A7">
              <w:rPr>
                <w:sz w:val="22"/>
                <w:szCs w:val="22"/>
              </w:rPr>
              <w:t>7</w:t>
            </w:r>
          </w:p>
        </w:tc>
      </w:tr>
      <w:tr w14:paraId="6238B073" w14:textId="0A338DAA" w:rsidTr="00A66D8B">
        <w:tblPrEx>
          <w:tblW w:w="9583" w:type="dxa"/>
          <w:jc w:val="center"/>
          <w:tblLook w:val="04A0"/>
        </w:tblPrEx>
        <w:trPr>
          <w:jc w:val="center"/>
        </w:trPr>
        <w:tc>
          <w:tcPr>
            <w:tcW w:w="9583" w:type="dxa"/>
            <w:gridSpan w:val="6"/>
          </w:tcPr>
          <w:p w:rsidR="004C5F8D" w:rsidP="00A80677" w14:paraId="02399A87" w14:textId="77777777">
            <w:pPr>
              <w:spacing w:after="0"/>
              <w:jc w:val="center"/>
              <w:rPr>
                <w:b/>
                <w:bCs/>
                <w:sz w:val="22"/>
                <w:szCs w:val="22"/>
              </w:rPr>
            </w:pPr>
          </w:p>
          <w:p w:rsidR="004C5F8D" w:rsidP="00A80677" w14:paraId="04D2E5F2" w14:textId="77777777">
            <w:pPr>
              <w:spacing w:after="0"/>
              <w:jc w:val="center"/>
              <w:rPr>
                <w:b/>
                <w:bCs/>
                <w:sz w:val="22"/>
                <w:szCs w:val="22"/>
              </w:rPr>
            </w:pPr>
            <w:r>
              <w:rPr>
                <w:b/>
                <w:bCs/>
                <w:sz w:val="22"/>
                <w:szCs w:val="22"/>
              </w:rPr>
              <w:t>OR</w:t>
            </w:r>
          </w:p>
          <w:p w:rsidR="004C5F8D" w:rsidP="00A80677" w14:paraId="76CE59DE" w14:textId="7B22D45B">
            <w:pPr>
              <w:spacing w:after="0"/>
              <w:jc w:val="center"/>
              <w:rPr>
                <w:b/>
                <w:bCs/>
                <w:sz w:val="22"/>
                <w:szCs w:val="22"/>
              </w:rPr>
            </w:pPr>
          </w:p>
        </w:tc>
      </w:tr>
      <w:tr w14:paraId="7A55B30E" w14:textId="655A92CE" w:rsidTr="00A66D8B">
        <w:tblPrEx>
          <w:tblW w:w="9583" w:type="dxa"/>
          <w:jc w:val="center"/>
          <w:tblLook w:val="04A0"/>
        </w:tblPrEx>
        <w:trPr>
          <w:trHeight w:val="503"/>
          <w:jc w:val="center"/>
        </w:trPr>
        <w:tc>
          <w:tcPr>
            <w:tcW w:w="9583" w:type="dxa"/>
            <w:gridSpan w:val="6"/>
            <w:vAlign w:val="center"/>
          </w:tcPr>
          <w:p w:rsidR="00987EB0" w:rsidRPr="00A80677" w:rsidP="00FA5423" w14:paraId="5EBEDE19" w14:textId="3D7FF76B">
            <w:pPr>
              <w:spacing w:after="0"/>
              <w:rPr>
                <w:b/>
                <w:bCs/>
                <w:sz w:val="22"/>
                <w:szCs w:val="22"/>
              </w:rPr>
            </w:pPr>
            <w:r w:rsidRPr="00A80677">
              <w:rPr>
                <w:b/>
                <w:bCs/>
                <w:sz w:val="22"/>
                <w:szCs w:val="22"/>
              </w:rPr>
              <w:t>From 1764 (Other Road Users Questions; Studies 1 and 2 Co</w:t>
            </w:r>
            <w:r w:rsidR="002900A7">
              <w:rPr>
                <w:b/>
                <w:bCs/>
                <w:sz w:val="22"/>
                <w:szCs w:val="22"/>
              </w:rPr>
              <w:t>m</w:t>
            </w:r>
            <w:r w:rsidRPr="00A80677">
              <w:rPr>
                <w:b/>
                <w:bCs/>
                <w:sz w:val="22"/>
                <w:szCs w:val="22"/>
              </w:rPr>
              <w:t>bined)</w:t>
            </w:r>
          </w:p>
        </w:tc>
      </w:tr>
      <w:tr w14:paraId="0107AF27" w14:textId="5B5B492F" w:rsidTr="00A66D8B">
        <w:tblPrEx>
          <w:tblW w:w="9583" w:type="dxa"/>
          <w:jc w:val="center"/>
          <w:tblLook w:val="04A0"/>
        </w:tblPrEx>
        <w:trPr>
          <w:jc w:val="center"/>
        </w:trPr>
        <w:tc>
          <w:tcPr>
            <w:tcW w:w="2361" w:type="dxa"/>
          </w:tcPr>
          <w:p w:rsidR="00D90609" w:rsidRPr="00A80677" w:rsidP="00CB61AF" w14:paraId="0023F251" w14:textId="142C22AD">
            <w:pPr>
              <w:spacing w:after="0"/>
              <w:rPr>
                <w:sz w:val="22"/>
                <w:szCs w:val="22"/>
              </w:rPr>
            </w:pPr>
            <w:r w:rsidRPr="00A80677">
              <w:rPr>
                <w:b/>
                <w:bCs/>
                <w:sz w:val="22"/>
                <w:szCs w:val="22"/>
              </w:rPr>
              <w:t xml:space="preserve">     </w:t>
            </w:r>
            <w:r w:rsidRPr="00A80677">
              <w:rPr>
                <w:sz w:val="22"/>
                <w:szCs w:val="22"/>
              </w:rPr>
              <w:t>Fully participate</w:t>
            </w:r>
            <w:r>
              <w:rPr>
                <w:sz w:val="22"/>
                <w:szCs w:val="22"/>
              </w:rPr>
              <w:t>s</w:t>
            </w:r>
          </w:p>
          <w:p w:rsidR="00D90609" w:rsidRPr="00A80677" w:rsidP="00CB61AF" w14:paraId="5CC18BB4" w14:textId="7C3B00EA">
            <w:pPr>
              <w:spacing w:after="0"/>
              <w:rPr>
                <w:b/>
                <w:bCs/>
                <w:sz w:val="22"/>
                <w:szCs w:val="22"/>
              </w:rPr>
            </w:pPr>
            <w:r w:rsidRPr="00A80677">
              <w:rPr>
                <w:sz w:val="22"/>
                <w:szCs w:val="22"/>
              </w:rPr>
              <w:t xml:space="preserve">     Partially participate</w:t>
            </w:r>
            <w:r>
              <w:rPr>
                <w:sz w:val="22"/>
                <w:szCs w:val="22"/>
              </w:rPr>
              <w:t>s</w:t>
            </w:r>
          </w:p>
        </w:tc>
        <w:tc>
          <w:tcPr>
            <w:tcW w:w="1482" w:type="dxa"/>
          </w:tcPr>
          <w:p w:rsidR="00D90609" w:rsidRPr="00A80677" w:rsidP="00FA5423" w14:paraId="157E7FC1" w14:textId="7E8E740F">
            <w:pPr>
              <w:spacing w:after="0"/>
              <w:jc w:val="right"/>
              <w:rPr>
                <w:sz w:val="22"/>
                <w:szCs w:val="22"/>
              </w:rPr>
            </w:pPr>
            <w:r w:rsidRPr="00A80677">
              <w:rPr>
                <w:sz w:val="22"/>
                <w:szCs w:val="22"/>
              </w:rPr>
              <w:t>1,000</w:t>
            </w:r>
          </w:p>
          <w:p w:rsidR="00D90609" w:rsidRPr="00A80677" w:rsidP="00FA5423" w14:paraId="08195AA0" w14:textId="62062BB3">
            <w:pPr>
              <w:spacing w:after="0"/>
              <w:jc w:val="right"/>
              <w:rPr>
                <w:sz w:val="22"/>
                <w:szCs w:val="22"/>
              </w:rPr>
            </w:pPr>
            <w:r w:rsidRPr="00A80677">
              <w:rPr>
                <w:sz w:val="22"/>
                <w:szCs w:val="22"/>
              </w:rPr>
              <w:t>120</w:t>
            </w:r>
          </w:p>
        </w:tc>
        <w:tc>
          <w:tcPr>
            <w:tcW w:w="1462" w:type="dxa"/>
          </w:tcPr>
          <w:p w:rsidR="00D90609" w:rsidRPr="00A80677" w:rsidP="00FA5423" w14:paraId="4B0D3F01" w14:textId="77777777">
            <w:pPr>
              <w:spacing w:after="0"/>
              <w:jc w:val="right"/>
              <w:rPr>
                <w:sz w:val="22"/>
                <w:szCs w:val="22"/>
              </w:rPr>
            </w:pPr>
            <w:r w:rsidRPr="00A80677">
              <w:rPr>
                <w:sz w:val="22"/>
                <w:szCs w:val="22"/>
              </w:rPr>
              <w:t>8</w:t>
            </w:r>
          </w:p>
          <w:p w:rsidR="00D90609" w:rsidRPr="00A80677" w:rsidP="00FA5423" w14:paraId="4FB6649F" w14:textId="5636F93B">
            <w:pPr>
              <w:spacing w:after="0"/>
              <w:jc w:val="right"/>
              <w:rPr>
                <w:sz w:val="22"/>
                <w:szCs w:val="22"/>
              </w:rPr>
            </w:pPr>
            <w:r w:rsidRPr="00A80677">
              <w:rPr>
                <w:sz w:val="22"/>
                <w:szCs w:val="22"/>
              </w:rPr>
              <w:t>3</w:t>
            </w:r>
          </w:p>
        </w:tc>
        <w:tc>
          <w:tcPr>
            <w:tcW w:w="1463" w:type="dxa"/>
          </w:tcPr>
          <w:p w:rsidR="00D90609" w:rsidRPr="00A80677" w:rsidP="00FA5423" w14:paraId="3953F08F" w14:textId="494DFA7F">
            <w:pPr>
              <w:spacing w:after="0"/>
              <w:jc w:val="right"/>
              <w:rPr>
                <w:sz w:val="22"/>
                <w:szCs w:val="22"/>
              </w:rPr>
            </w:pPr>
            <w:r w:rsidRPr="00A80677">
              <w:rPr>
                <w:sz w:val="22"/>
                <w:szCs w:val="22"/>
              </w:rPr>
              <w:t>133</w:t>
            </w:r>
          </w:p>
          <w:p w:rsidR="00D90609" w:rsidRPr="00A80677" w:rsidP="00FA5423" w14:paraId="233EFFF4" w14:textId="69D37AFC">
            <w:pPr>
              <w:spacing w:after="0"/>
              <w:jc w:val="right"/>
              <w:rPr>
                <w:sz w:val="22"/>
                <w:szCs w:val="22"/>
              </w:rPr>
            </w:pPr>
            <w:r w:rsidRPr="00A80677">
              <w:rPr>
                <w:sz w:val="22"/>
                <w:szCs w:val="22"/>
              </w:rPr>
              <w:t>6</w:t>
            </w:r>
          </w:p>
        </w:tc>
        <w:tc>
          <w:tcPr>
            <w:tcW w:w="1415" w:type="dxa"/>
          </w:tcPr>
          <w:p w:rsidR="00D90609" w:rsidP="00FA5423" w14:paraId="06BEFA24" w14:textId="7E3ED09B">
            <w:pPr>
              <w:spacing w:after="0"/>
              <w:jc w:val="right"/>
              <w:rPr>
                <w:sz w:val="22"/>
                <w:szCs w:val="22"/>
              </w:rPr>
            </w:pPr>
            <w:r>
              <w:rPr>
                <w:sz w:val="22"/>
                <w:szCs w:val="22"/>
              </w:rPr>
              <w:t>333</w:t>
            </w:r>
            <w:r w:rsidR="002900A7">
              <w:rPr>
                <w:sz w:val="22"/>
                <w:szCs w:val="22"/>
              </w:rPr>
              <w:t>.</w:t>
            </w:r>
            <w:r>
              <w:rPr>
                <w:sz w:val="22"/>
                <w:szCs w:val="22"/>
              </w:rPr>
              <w:t>3</w:t>
            </w:r>
          </w:p>
          <w:p w:rsidR="00987EB0" w:rsidP="00FA5423" w14:paraId="00D4F0A7" w14:textId="3EEAC3A1">
            <w:pPr>
              <w:spacing w:after="0"/>
              <w:jc w:val="right"/>
              <w:rPr>
                <w:sz w:val="22"/>
                <w:szCs w:val="22"/>
              </w:rPr>
            </w:pPr>
            <w:r>
              <w:rPr>
                <w:sz w:val="22"/>
                <w:szCs w:val="22"/>
              </w:rPr>
              <w:t>40</w:t>
            </w:r>
          </w:p>
        </w:tc>
        <w:tc>
          <w:tcPr>
            <w:tcW w:w="1400" w:type="dxa"/>
          </w:tcPr>
          <w:p w:rsidR="00D90609" w:rsidP="00FA5423" w14:paraId="6112F4F7" w14:textId="4AD5C56A">
            <w:pPr>
              <w:spacing w:after="0"/>
              <w:jc w:val="right"/>
              <w:rPr>
                <w:sz w:val="22"/>
                <w:szCs w:val="22"/>
              </w:rPr>
            </w:pPr>
            <w:r>
              <w:rPr>
                <w:sz w:val="22"/>
                <w:szCs w:val="22"/>
              </w:rPr>
              <w:t>44.3</w:t>
            </w:r>
          </w:p>
          <w:p w:rsidR="00D90609" w:rsidRPr="00A80677" w:rsidP="00FA5423" w14:paraId="581383B0" w14:textId="2F4C8398">
            <w:pPr>
              <w:spacing w:after="0"/>
              <w:jc w:val="right"/>
              <w:rPr>
                <w:sz w:val="22"/>
                <w:szCs w:val="22"/>
              </w:rPr>
            </w:pPr>
            <w:r>
              <w:rPr>
                <w:sz w:val="22"/>
                <w:szCs w:val="22"/>
              </w:rPr>
              <w:t>2</w:t>
            </w:r>
          </w:p>
        </w:tc>
      </w:tr>
      <w:tr w14:paraId="257F0EF0" w14:textId="77777777" w:rsidTr="00A66D8B">
        <w:tblPrEx>
          <w:tblW w:w="9583" w:type="dxa"/>
          <w:jc w:val="center"/>
          <w:tblLook w:val="04A0"/>
        </w:tblPrEx>
        <w:trPr>
          <w:trHeight w:val="467"/>
          <w:jc w:val="center"/>
        </w:trPr>
        <w:tc>
          <w:tcPr>
            <w:tcW w:w="9583" w:type="dxa"/>
            <w:gridSpan w:val="6"/>
            <w:shd w:val="clear" w:color="auto" w:fill="F2F2F2" w:themeFill="background1" w:themeFillShade="F2"/>
            <w:vAlign w:val="center"/>
          </w:tcPr>
          <w:p w:rsidR="00987EB0" w:rsidRPr="00D90609" w:rsidP="00D90609" w14:paraId="38801A55" w14:textId="69D8208B">
            <w:pPr>
              <w:spacing w:after="0"/>
              <w:jc w:val="center"/>
              <w:rPr>
                <w:b/>
                <w:bCs/>
                <w:sz w:val="22"/>
                <w:szCs w:val="22"/>
              </w:rPr>
            </w:pPr>
            <w:r w:rsidRPr="00D90609">
              <w:rPr>
                <w:b/>
                <w:bCs/>
                <w:sz w:val="22"/>
                <w:szCs w:val="22"/>
              </w:rPr>
              <w:t>Total</w:t>
            </w:r>
            <w:r w:rsidR="002900A7">
              <w:rPr>
                <w:b/>
                <w:bCs/>
                <w:sz w:val="22"/>
                <w:szCs w:val="22"/>
              </w:rPr>
              <w:t>s by</w:t>
            </w:r>
            <w:r w:rsidRPr="00D90609">
              <w:rPr>
                <w:b/>
                <w:bCs/>
                <w:sz w:val="22"/>
                <w:szCs w:val="22"/>
              </w:rPr>
              <w:t xml:space="preserve"> </w:t>
            </w:r>
            <w:r w:rsidR="002900A7">
              <w:rPr>
                <w:b/>
                <w:bCs/>
                <w:sz w:val="22"/>
                <w:szCs w:val="22"/>
              </w:rPr>
              <w:t>Respondent Type</w:t>
            </w:r>
          </w:p>
        </w:tc>
      </w:tr>
      <w:tr w14:paraId="618EDD3C" w14:textId="77777777" w:rsidTr="00A66D8B">
        <w:tblPrEx>
          <w:tblW w:w="9583" w:type="dxa"/>
          <w:jc w:val="center"/>
          <w:tblLook w:val="04A0"/>
        </w:tblPrEx>
        <w:trPr>
          <w:jc w:val="center"/>
        </w:trPr>
        <w:tc>
          <w:tcPr>
            <w:tcW w:w="2361" w:type="dxa"/>
          </w:tcPr>
          <w:p w:rsidR="002900A7" w:rsidRPr="00A80677" w:rsidP="002900A7" w14:paraId="0507C067" w14:textId="36534EF3">
            <w:pPr>
              <w:spacing w:after="0"/>
              <w:rPr>
                <w:b/>
                <w:bCs/>
                <w:sz w:val="22"/>
                <w:szCs w:val="22"/>
              </w:rPr>
            </w:pPr>
            <w:r>
              <w:rPr>
                <w:b/>
                <w:bCs/>
                <w:sz w:val="22"/>
                <w:szCs w:val="22"/>
              </w:rPr>
              <w:t>Drivers/Motorcyclists</w:t>
            </w:r>
          </w:p>
        </w:tc>
        <w:tc>
          <w:tcPr>
            <w:tcW w:w="1482" w:type="dxa"/>
          </w:tcPr>
          <w:p w:rsidR="002900A7" w:rsidRPr="00A80677" w:rsidP="002900A7" w14:paraId="156CEDFC" w14:textId="0F89EFF6">
            <w:pPr>
              <w:spacing w:after="0"/>
              <w:jc w:val="right"/>
              <w:rPr>
                <w:sz w:val="22"/>
                <w:szCs w:val="22"/>
              </w:rPr>
            </w:pPr>
            <w:r>
              <w:rPr>
                <w:sz w:val="22"/>
                <w:szCs w:val="22"/>
              </w:rPr>
              <w:t>9,000</w:t>
            </w:r>
          </w:p>
        </w:tc>
        <w:tc>
          <w:tcPr>
            <w:tcW w:w="1462" w:type="dxa"/>
          </w:tcPr>
          <w:p w:rsidR="002900A7" w:rsidRPr="00A80677" w:rsidP="002900A7" w14:paraId="0EF2A9BA" w14:textId="305D39C8">
            <w:pPr>
              <w:spacing w:after="0"/>
              <w:jc w:val="right"/>
              <w:rPr>
                <w:sz w:val="22"/>
                <w:szCs w:val="22"/>
              </w:rPr>
            </w:pPr>
            <w:r>
              <w:rPr>
                <w:sz w:val="22"/>
                <w:szCs w:val="22"/>
              </w:rPr>
              <w:t>9.44</w:t>
            </w:r>
          </w:p>
        </w:tc>
        <w:tc>
          <w:tcPr>
            <w:tcW w:w="1463" w:type="dxa"/>
          </w:tcPr>
          <w:p w:rsidR="002900A7" w:rsidRPr="00A80677" w:rsidP="002900A7" w14:paraId="0E65FB7F" w14:textId="430B9202">
            <w:pPr>
              <w:spacing w:after="0"/>
              <w:jc w:val="right"/>
              <w:rPr>
                <w:sz w:val="22"/>
                <w:szCs w:val="22"/>
              </w:rPr>
            </w:pPr>
            <w:r>
              <w:rPr>
                <w:sz w:val="22"/>
                <w:szCs w:val="22"/>
              </w:rPr>
              <w:t>1,416</w:t>
            </w:r>
          </w:p>
        </w:tc>
        <w:tc>
          <w:tcPr>
            <w:tcW w:w="1415" w:type="dxa"/>
          </w:tcPr>
          <w:p w:rsidR="002900A7" w:rsidP="002900A7" w14:paraId="796DF014" w14:textId="451EDB44">
            <w:pPr>
              <w:spacing w:after="0"/>
              <w:jc w:val="right"/>
              <w:rPr>
                <w:sz w:val="22"/>
                <w:szCs w:val="22"/>
              </w:rPr>
            </w:pPr>
            <w:r>
              <w:rPr>
                <w:sz w:val="22"/>
                <w:szCs w:val="22"/>
              </w:rPr>
              <w:t>3,000</w:t>
            </w:r>
          </w:p>
        </w:tc>
        <w:tc>
          <w:tcPr>
            <w:tcW w:w="1400" w:type="dxa"/>
          </w:tcPr>
          <w:p w:rsidR="002900A7" w:rsidP="002900A7" w14:paraId="09A03145" w14:textId="3D4EC073">
            <w:pPr>
              <w:spacing w:after="0"/>
              <w:jc w:val="right"/>
              <w:rPr>
                <w:sz w:val="22"/>
                <w:szCs w:val="22"/>
              </w:rPr>
            </w:pPr>
            <w:r>
              <w:rPr>
                <w:sz w:val="22"/>
                <w:szCs w:val="22"/>
              </w:rPr>
              <w:t>472</w:t>
            </w:r>
          </w:p>
        </w:tc>
      </w:tr>
      <w:tr w14:paraId="17534E4E" w14:textId="77777777" w:rsidTr="00A66D8B">
        <w:tblPrEx>
          <w:tblW w:w="9583" w:type="dxa"/>
          <w:jc w:val="center"/>
          <w:tblLook w:val="04A0"/>
        </w:tblPrEx>
        <w:trPr>
          <w:jc w:val="center"/>
        </w:trPr>
        <w:tc>
          <w:tcPr>
            <w:tcW w:w="2361" w:type="dxa"/>
          </w:tcPr>
          <w:p w:rsidR="002900A7" w:rsidRPr="00A80677" w:rsidP="002900A7" w14:paraId="2CC81CB3" w14:textId="558BBE5D">
            <w:pPr>
              <w:spacing w:after="0"/>
              <w:rPr>
                <w:b/>
                <w:bCs/>
                <w:sz w:val="22"/>
                <w:szCs w:val="22"/>
              </w:rPr>
            </w:pPr>
            <w:r>
              <w:rPr>
                <w:b/>
                <w:bCs/>
                <w:sz w:val="22"/>
                <w:szCs w:val="22"/>
              </w:rPr>
              <w:t>Other Road Users</w:t>
            </w:r>
          </w:p>
        </w:tc>
        <w:tc>
          <w:tcPr>
            <w:tcW w:w="1482" w:type="dxa"/>
          </w:tcPr>
          <w:p w:rsidR="002900A7" w:rsidRPr="00A80677" w:rsidP="002900A7" w14:paraId="1401CDA1" w14:textId="39C75D1A">
            <w:pPr>
              <w:spacing w:after="0"/>
              <w:jc w:val="right"/>
              <w:rPr>
                <w:sz w:val="22"/>
                <w:szCs w:val="22"/>
              </w:rPr>
            </w:pPr>
            <w:r>
              <w:rPr>
                <w:sz w:val="22"/>
                <w:szCs w:val="22"/>
              </w:rPr>
              <w:t>1,120</w:t>
            </w:r>
          </w:p>
        </w:tc>
        <w:tc>
          <w:tcPr>
            <w:tcW w:w="1462" w:type="dxa"/>
          </w:tcPr>
          <w:p w:rsidR="002900A7" w:rsidRPr="00A80677" w:rsidP="002900A7" w14:paraId="243A61B9" w14:textId="1BDFA470">
            <w:pPr>
              <w:spacing w:after="0"/>
              <w:jc w:val="right"/>
              <w:rPr>
                <w:sz w:val="22"/>
                <w:szCs w:val="22"/>
              </w:rPr>
            </w:pPr>
            <w:r>
              <w:rPr>
                <w:sz w:val="22"/>
                <w:szCs w:val="22"/>
              </w:rPr>
              <w:t>9.46</w:t>
            </w:r>
          </w:p>
        </w:tc>
        <w:tc>
          <w:tcPr>
            <w:tcW w:w="1463" w:type="dxa"/>
          </w:tcPr>
          <w:p w:rsidR="002900A7" w:rsidRPr="00A80677" w:rsidP="002900A7" w14:paraId="6EC3AD94" w14:textId="366DCAD6">
            <w:pPr>
              <w:spacing w:after="0"/>
              <w:jc w:val="right"/>
              <w:rPr>
                <w:sz w:val="22"/>
                <w:szCs w:val="22"/>
              </w:rPr>
            </w:pPr>
            <w:r>
              <w:rPr>
                <w:sz w:val="22"/>
                <w:szCs w:val="22"/>
              </w:rPr>
              <w:t>177</w:t>
            </w:r>
          </w:p>
        </w:tc>
        <w:tc>
          <w:tcPr>
            <w:tcW w:w="1415" w:type="dxa"/>
          </w:tcPr>
          <w:p w:rsidR="002900A7" w:rsidP="002900A7" w14:paraId="63E6E985" w14:textId="06035E22">
            <w:pPr>
              <w:spacing w:after="0"/>
              <w:jc w:val="right"/>
              <w:rPr>
                <w:sz w:val="22"/>
                <w:szCs w:val="22"/>
              </w:rPr>
            </w:pPr>
            <w:r>
              <w:rPr>
                <w:sz w:val="22"/>
                <w:szCs w:val="22"/>
              </w:rPr>
              <w:t>373.3</w:t>
            </w:r>
          </w:p>
        </w:tc>
        <w:tc>
          <w:tcPr>
            <w:tcW w:w="1400" w:type="dxa"/>
          </w:tcPr>
          <w:p w:rsidR="002900A7" w:rsidP="002900A7" w14:paraId="2C997CBE" w14:textId="585162B5">
            <w:pPr>
              <w:spacing w:after="0"/>
              <w:jc w:val="right"/>
              <w:rPr>
                <w:sz w:val="22"/>
                <w:szCs w:val="22"/>
              </w:rPr>
            </w:pPr>
            <w:r>
              <w:rPr>
                <w:sz w:val="22"/>
                <w:szCs w:val="22"/>
              </w:rPr>
              <w:t>59</w:t>
            </w:r>
          </w:p>
        </w:tc>
      </w:tr>
      <w:tr w14:paraId="061DC61D" w14:textId="7FAFDB30" w:rsidTr="00A66D8B">
        <w:tblPrEx>
          <w:tblW w:w="9583" w:type="dxa"/>
          <w:jc w:val="center"/>
          <w:tblLook w:val="04A0"/>
        </w:tblPrEx>
        <w:trPr>
          <w:jc w:val="center"/>
        </w:trPr>
        <w:tc>
          <w:tcPr>
            <w:tcW w:w="2361" w:type="dxa"/>
          </w:tcPr>
          <w:p w:rsidR="002900A7" w:rsidRPr="00A80677" w:rsidP="002900A7" w14:paraId="1ED7114F" w14:textId="39343787">
            <w:pPr>
              <w:spacing w:after="0"/>
              <w:rPr>
                <w:b/>
                <w:bCs/>
                <w:sz w:val="22"/>
                <w:szCs w:val="22"/>
              </w:rPr>
            </w:pPr>
            <w:r w:rsidRPr="00A80677">
              <w:rPr>
                <w:b/>
                <w:bCs/>
                <w:sz w:val="22"/>
                <w:szCs w:val="22"/>
              </w:rPr>
              <w:t>Total</w:t>
            </w:r>
          </w:p>
        </w:tc>
        <w:tc>
          <w:tcPr>
            <w:tcW w:w="1482" w:type="dxa"/>
          </w:tcPr>
          <w:p w:rsidR="002900A7" w:rsidRPr="00A80677" w:rsidP="002900A7" w14:paraId="3BBFC8A3" w14:textId="26957BBE">
            <w:pPr>
              <w:spacing w:after="0"/>
              <w:jc w:val="right"/>
              <w:rPr>
                <w:sz w:val="22"/>
                <w:szCs w:val="22"/>
              </w:rPr>
            </w:pPr>
            <w:r w:rsidRPr="00A80677">
              <w:rPr>
                <w:sz w:val="22"/>
                <w:szCs w:val="22"/>
              </w:rPr>
              <w:t>10,120</w:t>
            </w:r>
          </w:p>
        </w:tc>
        <w:tc>
          <w:tcPr>
            <w:tcW w:w="1462" w:type="dxa"/>
          </w:tcPr>
          <w:p w:rsidR="002900A7" w:rsidRPr="00A80677" w:rsidP="002900A7" w14:paraId="4780D863" w14:textId="77777777">
            <w:pPr>
              <w:spacing w:after="0"/>
              <w:jc w:val="right"/>
              <w:rPr>
                <w:sz w:val="22"/>
                <w:szCs w:val="22"/>
              </w:rPr>
            </w:pPr>
          </w:p>
        </w:tc>
        <w:tc>
          <w:tcPr>
            <w:tcW w:w="1463" w:type="dxa"/>
          </w:tcPr>
          <w:p w:rsidR="002900A7" w:rsidRPr="00A80677" w:rsidP="002900A7" w14:paraId="34FA34EB" w14:textId="52ED5528">
            <w:pPr>
              <w:spacing w:after="0"/>
              <w:jc w:val="right"/>
              <w:rPr>
                <w:sz w:val="22"/>
                <w:szCs w:val="22"/>
              </w:rPr>
            </w:pPr>
            <w:r w:rsidRPr="00A80677">
              <w:rPr>
                <w:sz w:val="22"/>
                <w:szCs w:val="22"/>
              </w:rPr>
              <w:t>1,593</w:t>
            </w:r>
          </w:p>
        </w:tc>
        <w:tc>
          <w:tcPr>
            <w:tcW w:w="1415" w:type="dxa"/>
          </w:tcPr>
          <w:p w:rsidR="002900A7" w:rsidP="002900A7" w14:paraId="5C7EFE5F" w14:textId="4A3F0409">
            <w:pPr>
              <w:spacing w:after="0"/>
              <w:jc w:val="right"/>
              <w:rPr>
                <w:sz w:val="22"/>
                <w:szCs w:val="22"/>
              </w:rPr>
            </w:pPr>
            <w:r>
              <w:rPr>
                <w:sz w:val="22"/>
                <w:szCs w:val="22"/>
              </w:rPr>
              <w:t>3,373.3</w:t>
            </w:r>
          </w:p>
        </w:tc>
        <w:tc>
          <w:tcPr>
            <w:tcW w:w="1400" w:type="dxa"/>
          </w:tcPr>
          <w:p w:rsidR="002900A7" w:rsidRPr="00A80677" w:rsidP="002900A7" w14:paraId="1878C1FE" w14:textId="5AC89813">
            <w:pPr>
              <w:spacing w:after="0"/>
              <w:jc w:val="right"/>
              <w:rPr>
                <w:sz w:val="22"/>
                <w:szCs w:val="22"/>
              </w:rPr>
            </w:pPr>
            <w:r>
              <w:rPr>
                <w:sz w:val="22"/>
                <w:szCs w:val="22"/>
              </w:rPr>
              <w:t>531</w:t>
            </w:r>
          </w:p>
        </w:tc>
      </w:tr>
      <w:bookmarkEnd w:id="58"/>
    </w:tbl>
    <w:p w:rsidR="00CB61AF" w:rsidRPr="00CB61AF" w:rsidP="00CB61AF" w14:paraId="3A35E3B9" w14:textId="77777777">
      <w:pPr>
        <w:spacing w:after="0"/>
        <w:rPr>
          <w:b/>
          <w:bCs/>
        </w:rPr>
      </w:pPr>
    </w:p>
    <w:p w:rsidR="00CB61AF" w14:paraId="3F6103B2" w14:textId="77777777">
      <w:pPr>
        <w:spacing w:after="0"/>
        <w:rPr>
          <w:b/>
          <w:bCs/>
        </w:rPr>
      </w:pPr>
    </w:p>
    <w:p w:rsidR="00044928" w:rsidP="003E1CF3" w14:paraId="0091D68D" w14:textId="77777777">
      <w:pPr>
        <w:pStyle w:val="paragraph"/>
        <w:spacing w:before="0" w:beforeAutospacing="0" w:after="0" w:afterAutospacing="0"/>
        <w:textAlignment w:val="baseline"/>
        <w:rPr>
          <w:b/>
          <w:bCs/>
        </w:rPr>
      </w:pPr>
      <w:r w:rsidRPr="00A96330">
        <w:rPr>
          <w:b/>
          <w:bCs/>
        </w:rPr>
        <w:t>A.13.</w:t>
      </w:r>
      <w:r w:rsidRPr="00A96330">
        <w:rPr>
          <w:b/>
          <w:bCs/>
        </w:rPr>
        <w:tab/>
        <w:t>Provide an estimate of the total annual cost to the respondents or record keepers resulting from the collection of information.</w:t>
      </w:r>
      <w:bookmarkEnd w:id="54"/>
      <w:bookmarkEnd w:id="55"/>
      <w:bookmarkEnd w:id="56"/>
      <w:bookmarkEnd w:id="57"/>
    </w:p>
    <w:p w:rsidR="00C800ED" w:rsidRPr="00A96330" w:rsidP="003E1CF3" w14:paraId="0CB91A64" w14:textId="64D954A9">
      <w:pPr>
        <w:pStyle w:val="paragraph"/>
        <w:spacing w:before="0" w:beforeAutospacing="0" w:after="0" w:afterAutospacing="0"/>
        <w:textAlignment w:val="baseline"/>
        <w:rPr>
          <w:b/>
          <w:bCs/>
        </w:rPr>
      </w:pPr>
      <w:r w:rsidRPr="00A96330">
        <w:rPr>
          <w:b/>
          <w:bCs/>
        </w:rPr>
        <w:t xml:space="preserve"> </w:t>
      </w:r>
    </w:p>
    <w:p w:rsidR="001F1ECB" w:rsidRPr="001F1ECB" w:rsidP="00413700" w14:paraId="5249E10B" w14:textId="41355053">
      <w:pPr>
        <w:pStyle w:val="Heading1"/>
        <w:rPr>
          <w:b w:val="0"/>
          <w:bCs/>
        </w:rPr>
      </w:pPr>
      <w:bookmarkStart w:id="59" w:name="OLE_LINK28"/>
      <w:bookmarkStart w:id="60" w:name="_Toc125278826"/>
      <w:bookmarkStart w:id="61" w:name="_Toc125341749"/>
      <w:bookmarkStart w:id="62" w:name="_Toc125447307"/>
      <w:bookmarkStart w:id="63" w:name="_Toc126394135"/>
      <w:r w:rsidRPr="001F1ECB">
        <w:rPr>
          <w:b w:val="0"/>
          <w:bCs/>
        </w:rPr>
        <w:t>Participation in this study is voluntary and there are no costs to respondents beyond the time spent hearing about the study and participating in data collection if they decide to participate. Participants will incur no burden related to annual reporting or record keeping due to the collection of this new information</w:t>
      </w:r>
      <w:bookmarkEnd w:id="59"/>
      <w:r w:rsidRPr="001F1ECB">
        <w:rPr>
          <w:b w:val="0"/>
          <w:bCs/>
        </w:rPr>
        <w:t>.</w:t>
      </w:r>
    </w:p>
    <w:p w:rsidR="00C800ED" w:rsidRPr="00470EC1" w:rsidP="00413700" w14:paraId="53576542" w14:textId="7107C628">
      <w:pPr>
        <w:pStyle w:val="Heading1"/>
      </w:pPr>
      <w:r>
        <w:t xml:space="preserve">A.14. </w:t>
      </w:r>
      <w:r w:rsidRPr="00470EC1">
        <w:t>Provide estimates of the annualized cost to the Federal Government.</w:t>
      </w:r>
      <w:bookmarkEnd w:id="60"/>
      <w:bookmarkEnd w:id="61"/>
      <w:bookmarkEnd w:id="62"/>
      <w:bookmarkEnd w:id="63"/>
    </w:p>
    <w:p w:rsidR="000C1610" w:rsidP="00F90F0E" w14:paraId="483864AC" w14:textId="0D1D622D">
      <w:r w:rsidRPr="00470EC1">
        <w:t>The estimated contract cost to the government for th</w:t>
      </w:r>
      <w:r w:rsidR="008E50C6">
        <w:t>ese</w:t>
      </w:r>
      <w:r w:rsidRPr="00470EC1">
        <w:t xml:space="preserve"> one-time information collection</w:t>
      </w:r>
      <w:r w:rsidR="008E50C6">
        <w:t>s</w:t>
      </w:r>
      <w:r w:rsidRPr="00470EC1">
        <w:t xml:space="preserve"> </w:t>
      </w:r>
      <w:r w:rsidR="00BD0447">
        <w:t>under</w:t>
      </w:r>
      <w:r w:rsidRPr="00470EC1" w:rsidR="001553F1">
        <w:t xml:space="preserve"> </w:t>
      </w:r>
      <w:r w:rsidR="00785BA4">
        <w:t xml:space="preserve">NHTSA Contract Number </w:t>
      </w:r>
      <w:r w:rsidR="001F1ECB">
        <w:t xml:space="preserve">693JJ922C000009 </w:t>
      </w:r>
      <w:r w:rsidR="004C0EF9">
        <w:t xml:space="preserve">held </w:t>
      </w:r>
      <w:r w:rsidR="001F1ECB">
        <w:t>with Dunlap and Associates</w:t>
      </w:r>
      <w:r w:rsidR="0040323F">
        <w:t>, Inc.</w:t>
      </w:r>
      <w:r w:rsidR="00785BA4">
        <w:t xml:space="preserve"> for </w:t>
      </w:r>
      <w:r w:rsidR="00BD0447">
        <w:t>60 months</w:t>
      </w:r>
      <w:r w:rsidR="00785BA4">
        <w:t xml:space="preserve"> </w:t>
      </w:r>
      <w:r w:rsidR="00BD0447">
        <w:t>is</w:t>
      </w:r>
      <w:r w:rsidR="00785BA4">
        <w:t xml:space="preserve"> </w:t>
      </w:r>
      <w:r w:rsidRPr="00785BA4" w:rsidR="00785BA4">
        <w:t>$</w:t>
      </w:r>
      <w:r w:rsidR="001F1ECB">
        <w:t>7,703,55</w:t>
      </w:r>
      <w:r w:rsidR="00E31872">
        <w:t>4</w:t>
      </w:r>
      <w:r w:rsidR="001568EB">
        <w:t xml:space="preserve">. </w:t>
      </w:r>
      <w:r w:rsidR="00FA6E12">
        <w:t xml:space="preserve">The </w:t>
      </w:r>
      <w:r w:rsidRPr="00470EC1" w:rsidR="0024615B">
        <w:t>data collection</w:t>
      </w:r>
      <w:r w:rsidR="008E50C6">
        <w:t>s</w:t>
      </w:r>
      <w:r w:rsidRPr="00470EC1" w:rsidR="0024615B">
        <w:t xml:space="preserve"> </w:t>
      </w:r>
      <w:r w:rsidR="008E50C6">
        <w:t>are</w:t>
      </w:r>
      <w:r w:rsidRPr="00470EC1" w:rsidR="0024615B">
        <w:t xml:space="preserve"> expected to take </w:t>
      </w:r>
      <w:r w:rsidR="00BD0447">
        <w:t>less than 1</w:t>
      </w:r>
      <w:r w:rsidR="003464B3">
        <w:t xml:space="preserve"> </w:t>
      </w:r>
      <w:r w:rsidR="00FA5C71">
        <w:t>year</w:t>
      </w:r>
      <w:r w:rsidRPr="00470EC1" w:rsidR="00FA5C71">
        <w:t>;</w:t>
      </w:r>
      <w:r w:rsidRPr="00470EC1" w:rsidR="0024615B">
        <w:t xml:space="preserve"> </w:t>
      </w:r>
      <w:r w:rsidR="00804167">
        <w:t xml:space="preserve">accordingly, </w:t>
      </w:r>
      <w:r w:rsidRPr="00470EC1" w:rsidR="0024615B">
        <w:t xml:space="preserve">the annualized cost is </w:t>
      </w:r>
      <w:r w:rsidR="0024615B">
        <w:t xml:space="preserve">approximately </w:t>
      </w:r>
      <w:r w:rsidRPr="00BD0447" w:rsidR="00BD0447">
        <w:t>$5,448,892</w:t>
      </w:r>
      <w:r w:rsidR="00BD0447">
        <w:t xml:space="preserve"> for all contract labor</w:t>
      </w:r>
      <w:r w:rsidR="00F90F0E">
        <w:t xml:space="preserve"> </w:t>
      </w:r>
      <w:r w:rsidR="00621A02">
        <w:t>related to</w:t>
      </w:r>
      <w:r w:rsidR="008E50C6">
        <w:t xml:space="preserve"> the</w:t>
      </w:r>
      <w:r w:rsidR="00621A02">
        <w:t xml:space="preserve"> data collection</w:t>
      </w:r>
      <w:r w:rsidR="008E50C6">
        <w:t>s</w:t>
      </w:r>
      <w:r w:rsidR="00BD0447">
        <w:t>, travel, and other direct costs (e.g., participant payments, toxicology, equipment)</w:t>
      </w:r>
      <w:r w:rsidR="00D70770">
        <w:t xml:space="preserve"> directly related to collection of data</w:t>
      </w:r>
      <w:r w:rsidRPr="00470EC1" w:rsidR="00AD1997">
        <w:t xml:space="preserve">. </w:t>
      </w:r>
      <w:r w:rsidR="00E43141">
        <w:t>Annualized cost does not include time for planning, data analysis, or report writing.</w:t>
      </w:r>
    </w:p>
    <w:p w:rsidR="000C1610" w:rsidRPr="00684FC9" w:rsidP="00F90F0E" w14:paraId="7AF0457B" w14:textId="47E0A664">
      <w:r w:rsidRPr="00684FC9">
        <w:t>The</w:t>
      </w:r>
      <w:r w:rsidRPr="00684FC9" w:rsidR="003410C1">
        <w:t xml:space="preserve"> estimated cost in terms of government time is approximately </w:t>
      </w:r>
      <w:r w:rsidRPr="00684FC9" w:rsidR="00CC71E4">
        <w:t>1,000</w:t>
      </w:r>
      <w:r w:rsidRPr="00684FC9" w:rsidR="003410C1">
        <w:t xml:space="preserve"> hours for the Contracting Officer’s Representative (COR)</w:t>
      </w:r>
      <w:r w:rsidRPr="00684FC9" w:rsidR="00F90F0E">
        <w:t>, at the GS-</w:t>
      </w:r>
      <w:r w:rsidRPr="00684FC9">
        <w:t xml:space="preserve">Grade </w:t>
      </w:r>
      <w:r w:rsidRPr="00684FC9" w:rsidR="00F90F0E">
        <w:t>14 Step 10 wage of $83 per hour, for $83,000</w:t>
      </w:r>
      <w:r w:rsidRPr="00684FC9">
        <w:t xml:space="preserve">; </w:t>
      </w:r>
      <w:r w:rsidRPr="00684FC9">
        <w:t>and</w:t>
      </w:r>
      <w:bookmarkStart w:id="64" w:name="_Toc125278827"/>
      <w:bookmarkStart w:id="65" w:name="_Toc125341750"/>
      <w:bookmarkStart w:id="66" w:name="_Toc125447308"/>
      <w:bookmarkStart w:id="67" w:name="_Toc126394136"/>
      <w:bookmarkStart w:id="68" w:name="OLE_LINK3"/>
      <w:r w:rsidRPr="00684FC9">
        <w:t xml:space="preserve"> 100 hours for the Supervisor, at the GS-G</w:t>
      </w:r>
      <w:r w:rsidRPr="00684FC9" w:rsidR="00F90F0E">
        <w:t>rade 15, Step 4</w:t>
      </w:r>
      <w:r w:rsidRPr="00684FC9">
        <w:t xml:space="preserve"> wage of $82 per hour,</w:t>
      </w:r>
      <w:r w:rsidRPr="00684FC9" w:rsidR="00F90F0E">
        <w:t xml:space="preserve"> for about $</w:t>
      </w:r>
      <w:r w:rsidRPr="00684FC9">
        <w:t>8,200</w:t>
      </w:r>
      <w:r w:rsidRPr="00684FC9" w:rsidR="00F90F0E">
        <w:t xml:space="preserve"> in wages.</w:t>
      </w:r>
      <w:r w:rsidRPr="00684FC9">
        <w:t xml:space="preserve"> Thus, the government </w:t>
      </w:r>
      <w:r w:rsidR="00D53E92">
        <w:t xml:space="preserve">direct labor </w:t>
      </w:r>
      <w:r w:rsidRPr="00684FC9">
        <w:t>wages are $91,200.</w:t>
      </w:r>
      <w:r w:rsidRPr="00684FC9" w:rsidR="00F90F0E">
        <w:t xml:space="preserve"> </w:t>
      </w:r>
      <w:r w:rsidR="00D53E92">
        <w:t xml:space="preserve">Additionally, $27,360 in fringe benefits </w:t>
      </w:r>
      <w:r w:rsidR="00BD3D84">
        <w:t xml:space="preserve">(30%) </w:t>
      </w:r>
      <w:r w:rsidR="00A06BA8">
        <w:t xml:space="preserve">are </w:t>
      </w:r>
      <w:r w:rsidR="003521A6">
        <w:t xml:space="preserve">being </w:t>
      </w:r>
      <w:r w:rsidR="00A06BA8">
        <w:t>added to this</w:t>
      </w:r>
      <w:r w:rsidR="0083249D">
        <w:t xml:space="preserve"> direct labor wage for </w:t>
      </w:r>
      <w:r w:rsidR="00BD3D84">
        <w:t xml:space="preserve">a </w:t>
      </w:r>
      <w:r w:rsidR="003521A6">
        <w:t>fully loaded government</w:t>
      </w:r>
      <w:r w:rsidR="00BD3D84">
        <w:t xml:space="preserve"> cost of $118,560. </w:t>
      </w:r>
      <w:r w:rsidRPr="00684FC9" w:rsidR="00F90F0E">
        <w:t xml:space="preserve">These costs are separate from the </w:t>
      </w:r>
      <w:r w:rsidRPr="00684FC9">
        <w:t xml:space="preserve">contract </w:t>
      </w:r>
      <w:r w:rsidRPr="00684FC9" w:rsidR="00F90F0E">
        <w:t xml:space="preserve">award amount. </w:t>
      </w:r>
    </w:p>
    <w:p w:rsidR="00F90F0E" w:rsidP="00F90F0E" w14:paraId="5119EEDB" w14:textId="62474210">
      <w:pPr>
        <w:rPr>
          <w:sz w:val="22"/>
          <w:szCs w:val="22"/>
        </w:rPr>
      </w:pPr>
      <w:r w:rsidRPr="00684FC9">
        <w:t>T</w:t>
      </w:r>
      <w:r w:rsidRPr="00684FC9">
        <w:t xml:space="preserve">he estimated total cost to the Federal government for this information collection is </w:t>
      </w:r>
      <w:r w:rsidRPr="00D10740">
        <w:t>$</w:t>
      </w:r>
      <w:r w:rsidRPr="00D10740">
        <w:t>7,</w:t>
      </w:r>
      <w:r w:rsidR="005153AD">
        <w:t>822,114</w:t>
      </w:r>
      <w:r w:rsidR="00CB61AF">
        <w:t>, or $2,607,371.33 annually</w:t>
      </w:r>
      <w:r w:rsidRPr="00D10740">
        <w:t>.</w:t>
      </w:r>
    </w:p>
    <w:p w:rsidR="00C800ED" w:rsidRPr="00785BA4" w:rsidP="00413700" w14:paraId="295B094F" w14:textId="77777777">
      <w:pPr>
        <w:pStyle w:val="Heading1"/>
      </w:pPr>
      <w:r w:rsidRPr="00785BA4">
        <w:t>A.</w:t>
      </w:r>
      <w:r w:rsidRPr="00785BA4" w:rsidR="009727B7">
        <w:t>15.</w:t>
      </w:r>
      <w:r w:rsidRPr="00785BA4" w:rsidR="009727B7">
        <w:tab/>
      </w:r>
      <w:r w:rsidRPr="00785BA4">
        <w:t>Explain the reasons for any program changes or adjustments in Items 13 or 14 of the OMB 83-I.</w:t>
      </w:r>
      <w:bookmarkEnd w:id="64"/>
      <w:bookmarkEnd w:id="65"/>
      <w:bookmarkEnd w:id="66"/>
      <w:bookmarkEnd w:id="67"/>
    </w:p>
    <w:p w:rsidR="001659BB" w:rsidP="001659BB" w14:paraId="2311EC20" w14:textId="733F2956">
      <w:bookmarkStart w:id="69" w:name="_Toc125278828"/>
      <w:bookmarkStart w:id="70" w:name="_Toc125341751"/>
      <w:bookmarkStart w:id="71" w:name="_Toc125447309"/>
      <w:bookmarkStart w:id="72" w:name="_Toc126394137"/>
      <w:bookmarkEnd w:id="68"/>
      <w:r>
        <w:t xml:space="preserve">The </w:t>
      </w:r>
      <w:r w:rsidRPr="004D1A94">
        <w:t>collection of this information is associated with a new project.</w:t>
      </w:r>
      <w:r>
        <w:t xml:space="preserve"> It does not require a program change. </w:t>
      </w:r>
    </w:p>
    <w:p w:rsidR="00C800ED" w:rsidRPr="00470EC1" w:rsidP="00413700" w14:paraId="4BF56DCF" w14:textId="77777777">
      <w:pPr>
        <w:pStyle w:val="Heading1"/>
      </w:pPr>
      <w:r>
        <w:t>A.16.</w:t>
      </w:r>
      <w:r>
        <w:tab/>
      </w:r>
      <w:r w:rsidRPr="00470EC1">
        <w:t>For collection of information whose results will be published, outline plans for tabulation and publication.</w:t>
      </w:r>
      <w:bookmarkEnd w:id="69"/>
      <w:bookmarkEnd w:id="70"/>
      <w:bookmarkEnd w:id="71"/>
      <w:bookmarkEnd w:id="72"/>
    </w:p>
    <w:p w:rsidR="003410C1" w:rsidP="0035699E" w14:paraId="27A54DE4" w14:textId="4593D717">
      <w:pPr>
        <w:pStyle w:val="Default"/>
        <w:rPr>
          <w:rFonts w:ascii="Times New Roman" w:hAnsi="Times New Roman" w:cs="Times New Roman"/>
        </w:rPr>
      </w:pPr>
      <w:r w:rsidRPr="00C02E7E">
        <w:rPr>
          <w:rFonts w:ascii="Times New Roman" w:hAnsi="Times New Roman" w:cs="Times New Roman"/>
        </w:rPr>
        <w:t>NHTSA will use the information</w:t>
      </w:r>
      <w:r>
        <w:rPr>
          <w:rFonts w:ascii="Times New Roman" w:hAnsi="Times New Roman" w:cs="Times New Roman"/>
        </w:rPr>
        <w:t xml:space="preserve"> from </w:t>
      </w:r>
      <w:r w:rsidR="00814BE0">
        <w:rPr>
          <w:rFonts w:ascii="Times New Roman" w:hAnsi="Times New Roman" w:cs="Times New Roman"/>
        </w:rPr>
        <w:t xml:space="preserve">both Study 1 and Study 2 </w:t>
      </w:r>
      <w:r w:rsidRPr="00C02E7E">
        <w:rPr>
          <w:rFonts w:ascii="Times New Roman" w:hAnsi="Times New Roman" w:cs="Times New Roman"/>
        </w:rPr>
        <w:t>to produce technical report</w:t>
      </w:r>
      <w:r w:rsidR="00814BE0">
        <w:rPr>
          <w:rFonts w:ascii="Times New Roman" w:hAnsi="Times New Roman" w:cs="Times New Roman"/>
        </w:rPr>
        <w:t>s</w:t>
      </w:r>
      <w:r w:rsidRPr="00C02E7E">
        <w:rPr>
          <w:rFonts w:ascii="Times New Roman" w:hAnsi="Times New Roman" w:cs="Times New Roman"/>
        </w:rPr>
        <w:t xml:space="preserve"> that presents the </w:t>
      </w:r>
      <w:r>
        <w:rPr>
          <w:rFonts w:ascii="Times New Roman" w:hAnsi="Times New Roman" w:cs="Times New Roman"/>
        </w:rPr>
        <w:t>findings</w:t>
      </w:r>
      <w:r w:rsidRPr="00C02E7E">
        <w:rPr>
          <w:rFonts w:ascii="Times New Roman" w:hAnsi="Times New Roman" w:cs="Times New Roman"/>
        </w:rPr>
        <w:t>. The technical report</w:t>
      </w:r>
      <w:r w:rsidR="00772E29">
        <w:rPr>
          <w:rFonts w:ascii="Times New Roman" w:hAnsi="Times New Roman" w:cs="Times New Roman"/>
        </w:rPr>
        <w:t>s</w:t>
      </w:r>
      <w:r w:rsidRPr="00C02E7E">
        <w:rPr>
          <w:rFonts w:ascii="Times New Roman" w:hAnsi="Times New Roman" w:cs="Times New Roman"/>
        </w:rPr>
        <w:t xml:space="preserve"> will provide only aggregate (summary) statistics and tables; no </w:t>
      </w:r>
      <w:r>
        <w:rPr>
          <w:rFonts w:ascii="Times New Roman" w:hAnsi="Times New Roman" w:cs="Times New Roman"/>
        </w:rPr>
        <w:t>PII</w:t>
      </w:r>
      <w:r w:rsidRPr="00C02E7E">
        <w:rPr>
          <w:rFonts w:ascii="Times New Roman" w:hAnsi="Times New Roman" w:cs="Times New Roman"/>
        </w:rPr>
        <w:t xml:space="preserve"> will be</w:t>
      </w:r>
      <w:r>
        <w:rPr>
          <w:rFonts w:ascii="Times New Roman" w:hAnsi="Times New Roman" w:cs="Times New Roman"/>
        </w:rPr>
        <w:t xml:space="preserve"> retained or</w:t>
      </w:r>
      <w:r w:rsidRPr="00C02E7E">
        <w:rPr>
          <w:rFonts w:ascii="Times New Roman" w:hAnsi="Times New Roman" w:cs="Times New Roman"/>
        </w:rPr>
        <w:t xml:space="preserve"> </w:t>
      </w:r>
      <w:r>
        <w:rPr>
          <w:rFonts w:ascii="Times New Roman" w:hAnsi="Times New Roman" w:cs="Times New Roman"/>
        </w:rPr>
        <w:t>reported</w:t>
      </w:r>
      <w:r w:rsidRPr="00C02E7E">
        <w:rPr>
          <w:rFonts w:ascii="Times New Roman" w:hAnsi="Times New Roman" w:cs="Times New Roman"/>
        </w:rPr>
        <w:t xml:space="preserve">. </w:t>
      </w:r>
      <w:r w:rsidRPr="0035699E">
        <w:rPr>
          <w:rFonts w:ascii="Times New Roman" w:hAnsi="Times New Roman" w:cs="Times New Roman"/>
        </w:rPr>
        <w:t>Th</w:t>
      </w:r>
      <w:r w:rsidRPr="0035699E" w:rsidR="00DA4941">
        <w:rPr>
          <w:rFonts w:ascii="Times New Roman" w:hAnsi="Times New Roman" w:cs="Times New Roman"/>
        </w:rPr>
        <w:t>e</w:t>
      </w:r>
      <w:r w:rsidRPr="0035699E">
        <w:rPr>
          <w:rFonts w:ascii="Times New Roman" w:hAnsi="Times New Roman" w:cs="Times New Roman"/>
        </w:rPr>
        <w:t xml:space="preserve"> report</w:t>
      </w:r>
      <w:r w:rsidR="0035699E">
        <w:rPr>
          <w:rFonts w:ascii="Times New Roman" w:hAnsi="Times New Roman" w:cs="Times New Roman"/>
        </w:rPr>
        <w:t>s</w:t>
      </w:r>
      <w:r w:rsidRPr="0035699E">
        <w:rPr>
          <w:rFonts w:ascii="Times New Roman" w:hAnsi="Times New Roman" w:cs="Times New Roman"/>
        </w:rPr>
        <w:t xml:space="preserve"> will be available to the public on the NHTSA website.</w:t>
      </w:r>
    </w:p>
    <w:p w:rsidR="0035699E" w:rsidRPr="0035699E" w:rsidP="0035699E" w14:paraId="031206D9" w14:textId="77777777">
      <w:pPr>
        <w:pStyle w:val="Default"/>
        <w:rPr>
          <w:rFonts w:ascii="Times New Roman" w:hAnsi="Times New Roman" w:cs="Times New Roman"/>
        </w:rPr>
      </w:pPr>
    </w:p>
    <w:p w:rsidR="00C800ED" w:rsidRPr="009727B7" w:rsidP="00413700" w14:paraId="0EF1CEC9" w14:textId="77777777">
      <w:pPr>
        <w:pStyle w:val="Heading1"/>
      </w:pPr>
      <w:bookmarkStart w:id="73" w:name="_Toc125278829"/>
      <w:bookmarkStart w:id="74" w:name="_Toc125341752"/>
      <w:bookmarkStart w:id="75" w:name="_Toc125447310"/>
      <w:bookmarkStart w:id="76" w:name="_Toc126394138"/>
      <w:r>
        <w:t>A.17.</w:t>
      </w:r>
      <w:r>
        <w:tab/>
      </w:r>
      <w:r w:rsidRPr="009727B7">
        <w:t>If seeking approval to not display the expiration date for OMB approval of the information collection, explain the reasons that display would be inappropriate.</w:t>
      </w:r>
      <w:bookmarkEnd w:id="73"/>
      <w:bookmarkEnd w:id="74"/>
      <w:bookmarkEnd w:id="75"/>
      <w:bookmarkEnd w:id="76"/>
    </w:p>
    <w:p w:rsidR="00C800ED" w:rsidP="008639E7" w14:paraId="6D96AF16" w14:textId="77777777">
      <w:r w:rsidRPr="00470EC1">
        <w:t>NHTSA will display the expiration date for OMB approval.</w:t>
      </w:r>
    </w:p>
    <w:p w:rsidR="00C800ED" w:rsidRPr="00470EC1" w:rsidP="00413700" w14:paraId="357A021E" w14:textId="22A88F54">
      <w:pPr>
        <w:pStyle w:val="Heading1"/>
      </w:pPr>
      <w:bookmarkStart w:id="77" w:name="_Toc125278830"/>
      <w:bookmarkStart w:id="78" w:name="_Toc125341753"/>
      <w:bookmarkStart w:id="79" w:name="_Toc125447311"/>
      <w:bookmarkStart w:id="80" w:name="_Toc126394139"/>
      <w:r>
        <w:t>A.18</w:t>
      </w:r>
      <w:r>
        <w:tab/>
      </w:r>
      <w:r w:rsidRPr="009727B7">
        <w:t>Explain each exception to the certification statement identified in “Certification for Paperwork Reduction Act Submissions</w:t>
      </w:r>
      <w:r w:rsidR="00483E4A">
        <w:t>.</w:t>
      </w:r>
      <w:r w:rsidRPr="009727B7">
        <w:t xml:space="preserve">” </w:t>
      </w:r>
      <w:r w:rsidR="00483E4A">
        <w:t xml:space="preserve"> The required certifications can be found at 5 CFR 1320.9</w:t>
      </w:r>
      <w:r>
        <w:rPr>
          <w:rStyle w:val="FootnoteReference"/>
        </w:rPr>
        <w:footnoteReference w:id="5"/>
      </w:r>
      <w:r w:rsidRPr="009727B7">
        <w:t>.</w:t>
      </w:r>
      <w:bookmarkEnd w:id="77"/>
      <w:bookmarkEnd w:id="78"/>
      <w:bookmarkEnd w:id="79"/>
      <w:bookmarkEnd w:id="80"/>
    </w:p>
    <w:p w:rsidR="00F321F5" w:rsidP="008639E7" w14:paraId="24B00FAB" w14:textId="77777777">
      <w:r w:rsidRPr="00470EC1">
        <w:t>No exceptions to the certification are made.</w:t>
      </w:r>
    </w:p>
    <w:p w:rsidR="004A6ADB" w:rsidRPr="00823F3B" w:rsidP="00632E8E" w14:paraId="56D04712" w14:textId="405B610B">
      <w:pPr>
        <w:ind w:left="720"/>
        <w:contextualSpacing/>
      </w:pPr>
      <w:r w:rsidRPr="00823F3B">
        <w:t>In accordance with the requirement at 5 CFR 1320.9(g), the following statement will be provided to respondents</w:t>
      </w:r>
      <w:r w:rsidR="00632E8E">
        <w:t>.</w:t>
      </w:r>
      <w:r w:rsidRPr="00823F3B">
        <w:t xml:space="preserve"> </w:t>
      </w:r>
    </w:p>
    <w:p w:rsidR="004A6ADB" w:rsidRPr="00823F3B" w:rsidP="004A6ADB" w14:paraId="0F436E76" w14:textId="77777777">
      <w:pPr>
        <w:autoSpaceDE w:val="0"/>
        <w:autoSpaceDN w:val="0"/>
        <w:adjustRightInd w:val="0"/>
        <w:spacing w:after="0"/>
        <w:ind w:left="720"/>
      </w:pPr>
    </w:p>
    <w:p w:rsidR="00E321BE" w:rsidRPr="00B04F7F" w:rsidP="00537CC8" w14:paraId="1155D3A3" w14:textId="122F5304">
      <w:pPr>
        <w:autoSpaceDE w:val="0"/>
        <w:autoSpaceDN w:val="0"/>
        <w:adjustRightInd w:val="0"/>
        <w:spacing w:after="0"/>
        <w:ind w:left="720" w:right="720"/>
        <w:jc w:val="both"/>
      </w:pPr>
      <w:bookmarkStart w:id="81" w:name="_Hlk208483617"/>
      <w:r w:rsidRPr="00632E8E">
        <w:rPr>
          <w:i/>
          <w:iCs/>
        </w:rPr>
        <w:t xml:space="preserve">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w:t>
      </w:r>
      <w:r w:rsidRPr="00632E8E">
        <w:rPr>
          <w:i/>
          <w:iCs/>
        </w:rPr>
        <w:t>information collection is 2127-</w:t>
      </w:r>
      <w:r w:rsidRPr="00632E8E">
        <w:rPr>
          <w:i/>
          <w:iCs/>
          <w:highlight w:val="yellow"/>
        </w:rPr>
        <w:t>XXXX</w:t>
      </w:r>
      <w:r w:rsidRPr="00632E8E">
        <w:rPr>
          <w:i/>
          <w:iCs/>
        </w:rPr>
        <w:t xml:space="preserve">. The information collected is necessary to </w:t>
      </w:r>
      <w:r w:rsidRPr="00632E8E" w:rsidR="00B04077">
        <w:rPr>
          <w:i/>
          <w:iCs/>
        </w:rPr>
        <w:t xml:space="preserve">help NHTSA to learn more about </w:t>
      </w:r>
      <w:r w:rsidRPr="00632E8E" w:rsidR="00D4758F">
        <w:rPr>
          <w:i/>
          <w:iCs/>
        </w:rPr>
        <w:t>alcohol and drug-involved driving</w:t>
      </w:r>
      <w:r w:rsidRPr="00632E8E">
        <w:rPr>
          <w:i/>
          <w:iCs/>
        </w:rPr>
        <w:t xml:space="preserve">.  We estimate that it will take approximately </w:t>
      </w:r>
      <w:r w:rsidRPr="00632E8E" w:rsidR="00A80E2D">
        <w:rPr>
          <w:i/>
          <w:iCs/>
        </w:rPr>
        <w:t xml:space="preserve">10 </w:t>
      </w:r>
      <w:r w:rsidRPr="00632E8E">
        <w:rPr>
          <w:i/>
          <w:iCs/>
        </w:rPr>
        <w:t xml:space="preserve">minutes to complete. The information collected is </w:t>
      </w:r>
      <w:r w:rsidRPr="00632E8E" w:rsidR="00823F3B">
        <w:rPr>
          <w:i/>
          <w:iCs/>
        </w:rPr>
        <w:t>voluntary</w:t>
      </w:r>
      <w:r w:rsidRPr="00632E8E">
        <w:rPr>
          <w:i/>
          <w:iCs/>
        </w:rPr>
        <w:t>.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bookmarkEnd w:id="81"/>
    </w:p>
    <w:sectPr w:rsidSect="00A1381C">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listo MT"/>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15B" w:rsidRPr="00A37B4D" w:rsidP="008618FD" w14:paraId="78C3CE8B" w14:textId="045B5010">
    <w:pPr>
      <w:pStyle w:val="Footer"/>
      <w:tabs>
        <w:tab w:val="clear" w:pos="4320"/>
        <w:tab w:val="center" w:pos="6210"/>
        <w:tab w:val="clear" w:pos="8640"/>
        <w:tab w:val="right" w:pos="9360"/>
      </w:tabs>
      <w:jc w:val="center"/>
      <w:rPr>
        <w:sz w:val="20"/>
        <w:szCs w:val="20"/>
      </w:rPr>
    </w:pPr>
    <w:r w:rsidRPr="00A37B4D">
      <w:rPr>
        <w:sz w:val="20"/>
        <w:szCs w:val="20"/>
      </w:rPr>
      <w:t xml:space="preserve">Page </w:t>
    </w:r>
    <w:r w:rsidRPr="00A37B4D">
      <w:rPr>
        <w:b/>
        <w:bCs/>
        <w:sz w:val="20"/>
        <w:szCs w:val="20"/>
      </w:rPr>
      <w:fldChar w:fldCharType="begin"/>
    </w:r>
    <w:r w:rsidRPr="00A37B4D">
      <w:rPr>
        <w:b/>
        <w:bCs/>
        <w:sz w:val="20"/>
        <w:szCs w:val="20"/>
      </w:rPr>
      <w:instrText xml:space="preserve"> PAGE  \* Arabic  \* MERGEFORMAT </w:instrText>
    </w:r>
    <w:r w:rsidRPr="00A37B4D">
      <w:rPr>
        <w:b/>
        <w:bCs/>
        <w:sz w:val="20"/>
        <w:szCs w:val="20"/>
      </w:rPr>
      <w:fldChar w:fldCharType="separate"/>
    </w:r>
    <w:r w:rsidR="009D5B5A">
      <w:rPr>
        <w:b/>
        <w:bCs/>
        <w:noProof/>
        <w:sz w:val="20"/>
        <w:szCs w:val="20"/>
      </w:rPr>
      <w:t>1</w:t>
    </w:r>
    <w:r w:rsidRPr="00A37B4D">
      <w:rPr>
        <w:b/>
        <w:bCs/>
        <w:sz w:val="20"/>
        <w:szCs w:val="20"/>
      </w:rPr>
      <w:fldChar w:fldCharType="end"/>
    </w:r>
    <w:r w:rsidRPr="00A37B4D">
      <w:rPr>
        <w:sz w:val="20"/>
        <w:szCs w:val="20"/>
      </w:rPr>
      <w:t xml:space="preserve"> of </w:t>
    </w:r>
    <w:r w:rsidRPr="00A37B4D">
      <w:rPr>
        <w:b/>
        <w:bCs/>
        <w:sz w:val="20"/>
        <w:szCs w:val="20"/>
      </w:rPr>
      <w:fldChar w:fldCharType="begin"/>
    </w:r>
    <w:r w:rsidRPr="00A37B4D">
      <w:rPr>
        <w:b/>
        <w:bCs/>
        <w:sz w:val="20"/>
        <w:szCs w:val="20"/>
      </w:rPr>
      <w:instrText xml:space="preserve"> NUMPAGES  \* Arabic  \* MERGEFORMAT </w:instrText>
    </w:r>
    <w:r w:rsidRPr="00A37B4D">
      <w:rPr>
        <w:b/>
        <w:bCs/>
        <w:sz w:val="20"/>
        <w:szCs w:val="20"/>
      </w:rPr>
      <w:fldChar w:fldCharType="separate"/>
    </w:r>
    <w:r w:rsidR="009D5B5A">
      <w:rPr>
        <w:b/>
        <w:bCs/>
        <w:noProof/>
        <w:sz w:val="20"/>
        <w:szCs w:val="20"/>
      </w:rPr>
      <w:t>10</w:t>
    </w:r>
    <w:r w:rsidRPr="00A37B4D">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4E11" w14:paraId="39189B03" w14:textId="77777777">
      <w:r>
        <w:separator/>
      </w:r>
    </w:p>
  </w:footnote>
  <w:footnote w:type="continuationSeparator" w:id="1">
    <w:p w:rsidR="00CE4E11" w14:paraId="0B449430" w14:textId="77777777">
      <w:r>
        <w:continuationSeparator/>
      </w:r>
    </w:p>
  </w:footnote>
  <w:footnote w:type="continuationNotice" w:id="2">
    <w:p w:rsidR="00CE4E11" w14:paraId="4E49490E" w14:textId="77777777">
      <w:pPr>
        <w:spacing w:after="0"/>
      </w:pPr>
    </w:p>
  </w:footnote>
  <w:footnote w:id="3">
    <w:p w:rsidR="00F60C7E" w:rsidRPr="00B52FDA" w:rsidP="00F60C7E" w14:paraId="32A276C2" w14:textId="2D912ACC">
      <w:pPr>
        <w:pStyle w:val="FootnoteText"/>
        <w:rPr>
          <w:sz w:val="10"/>
          <w:szCs w:val="10"/>
        </w:rPr>
      </w:pPr>
      <w:r w:rsidRPr="00B52FDA">
        <w:rPr>
          <w:rStyle w:val="FootnoteReference"/>
        </w:rPr>
        <w:footnoteRef/>
      </w:r>
      <w:r w:rsidRPr="00B52FDA">
        <w:t xml:space="preserve"> </w:t>
      </w:r>
      <w:r w:rsidRPr="00B83E72" w:rsidR="003F0EE9">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if the information collection involves approval by an institutional review board, include a statement to that effect; (8) the purpose of the collection; and (9) if a revision, a description of the revision and the change in burden.</w:t>
      </w:r>
    </w:p>
  </w:footnote>
  <w:footnote w:id="4">
    <w:p w:rsidR="005C5E13" w:rsidP="004B21B7" w14:paraId="783F1536" w14:textId="77777777">
      <w:pPr>
        <w:pStyle w:val="FootnoteText"/>
        <w:spacing w:after="0"/>
      </w:pPr>
      <w:r>
        <w:rPr>
          <w:rStyle w:val="FootnoteReference"/>
        </w:rPr>
        <w:footnoteRef/>
      </w:r>
      <w:r>
        <w:t xml:space="preserve"> </w:t>
      </w:r>
      <w:r w:rsidRPr="00A53299">
        <w:t>Wolfe, A. C. (1974). 1973 U.S. National Roadside Breath Testing Survey: Procedures and results. Ann Arbor, MI: University of Michigan Safety Research Institute.</w:t>
      </w:r>
    </w:p>
  </w:footnote>
  <w:footnote w:id="5">
    <w:p w:rsidR="00F76E96" w14:paraId="4B3F77D1" w14:textId="3BB1FE21">
      <w:pPr>
        <w:pStyle w:val="FootnoteText"/>
      </w:pPr>
      <w:r>
        <w:rPr>
          <w:rStyle w:val="FootnoteReference"/>
        </w:rPr>
        <w:footnoteRef/>
      </w:r>
      <w:r>
        <w:t xml:space="preserve"> </w:t>
      </w:r>
      <w:r w:rsidRPr="00A24405" w:rsidR="00727BE4">
        <w:t xml:space="preserve">Specifically explain how the agency </w:t>
      </w:r>
      <w:r w:rsidRPr="001D6387" w:rsidR="00727BE4">
        <w:t>display the OMB control number and expiration date and</w:t>
      </w:r>
      <w:r w:rsidRPr="00A24405" w:rsidR="00727BE4">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8FD" w:rsidRPr="005A799F" w:rsidP="002026E5" w14:paraId="253B0E51" w14:textId="6573AE9F">
    <w:pPr>
      <w:pStyle w:val="Footer"/>
      <w:tabs>
        <w:tab w:val="center" w:pos="3420"/>
        <w:tab w:val="clear" w:pos="4320"/>
        <w:tab w:val="clear" w:pos="8640"/>
        <w:tab w:val="right" w:pos="9360"/>
      </w:tabs>
      <w:spacing w:after="0"/>
      <w:rPr>
        <w:sz w:val="18"/>
        <w:szCs w:val="18"/>
      </w:rPr>
    </w:pPr>
    <w:r>
      <w:rPr>
        <w:sz w:val="18"/>
        <w:szCs w:val="18"/>
      </w:rPr>
      <w:t xml:space="preserve">National Roadside </w:t>
    </w:r>
    <w:r w:rsidR="00DC29C4">
      <w:rPr>
        <w:sz w:val="18"/>
        <w:szCs w:val="18"/>
      </w:rPr>
      <w:t xml:space="preserve">Survey </w:t>
    </w:r>
    <w:r>
      <w:rPr>
        <w:sz w:val="18"/>
        <w:szCs w:val="18"/>
      </w:rPr>
      <w:t xml:space="preserve">of Alcohol and Drug Prevalence of Road Users: </w:t>
    </w:r>
    <w:r w:rsidR="00AA74F2">
      <w:rPr>
        <w:sz w:val="18"/>
        <w:szCs w:val="18"/>
      </w:rPr>
      <w:t>2025</w:t>
    </w:r>
  </w:p>
  <w:p w:rsidR="005A799F" w:rsidRPr="005A799F" w:rsidP="002026E5" w14:paraId="6E7E6227" w14:textId="3EABE478">
    <w:pPr>
      <w:pStyle w:val="Footer"/>
      <w:tabs>
        <w:tab w:val="center" w:pos="3420"/>
        <w:tab w:val="clear" w:pos="4320"/>
        <w:tab w:val="clear" w:pos="8640"/>
        <w:tab w:val="right" w:pos="9360"/>
      </w:tabs>
      <w:spacing w:after="0"/>
      <w:rPr>
        <w:sz w:val="18"/>
        <w:szCs w:val="18"/>
      </w:rPr>
    </w:pPr>
    <w:r w:rsidRPr="005A799F">
      <w:rPr>
        <w:sz w:val="18"/>
        <w:szCs w:val="18"/>
      </w:rPr>
      <w:t>Supporting Statement Part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3ED26AE2"/>
    <w:lvl w:ilvl="0">
      <w:start w:val="1"/>
      <w:numFmt w:val="bullet"/>
      <w:pStyle w:val="ListBullet2"/>
      <w:lvlText w:val="►"/>
      <w:lvlJc w:val="left"/>
      <w:pPr>
        <w:ind w:left="720" w:hanging="360"/>
      </w:pPr>
      <w:rPr>
        <w:rFonts w:ascii="Times New Roman" w:hAnsi="Times New Roman" w:cs="Times New Roman" w:hint="default"/>
        <w:color w:val="E57200"/>
        <w:sz w:val="16"/>
        <w:szCs w:val="16"/>
      </w:rPr>
    </w:lvl>
  </w:abstractNum>
  <w:abstractNum w:abstractNumId="1">
    <w:nsid w:val="0236053E"/>
    <w:multiLevelType w:val="hybridMultilevel"/>
    <w:tmpl w:val="AC887930"/>
    <w:lvl w:ilvl="0">
      <w:start w:val="1"/>
      <w:numFmt w:val="decimal"/>
      <w:lvlText w:val="Table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DB0BB5"/>
    <w:multiLevelType w:val="hybridMultilevel"/>
    <w:tmpl w:val="8C22612A"/>
    <w:lvl w:ilvl="0">
      <w:start w:val="1"/>
      <w:numFmt w:val="upperLetter"/>
      <w:pStyle w:val="Heading3"/>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7B973BC"/>
    <w:multiLevelType w:val="hybridMultilevel"/>
    <w:tmpl w:val="6F7A2E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2641C"/>
    <w:multiLevelType w:val="hybridMultilevel"/>
    <w:tmpl w:val="C6DC59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0C948BF"/>
    <w:multiLevelType w:val="hybridMultilevel"/>
    <w:tmpl w:val="0816A272"/>
    <w:lvl w:ilvl="0">
      <w:start w:val="1"/>
      <w:numFmt w:val="decimal"/>
      <w:lvlText w:val="Table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093C54"/>
    <w:multiLevelType w:val="hybridMultilevel"/>
    <w:tmpl w:val="EAC2CE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9E8135C"/>
    <w:multiLevelType w:val="hybridMultilevel"/>
    <w:tmpl w:val="3F9216A8"/>
    <w:lvl w:ilvl="0">
      <w:start w:val="1"/>
      <w:numFmt w:val="bullet"/>
      <w:pStyle w:val="NORCTableBullet2"/>
      <w:lvlText w:val="●"/>
      <w:lvlJc w:val="left"/>
      <w:pPr>
        <w:ind w:left="864" w:hanging="360"/>
      </w:pPr>
      <w:rPr>
        <w:rFonts w:ascii="Arial" w:hAnsi="Arial" w:cs="Arial" w:hint="default"/>
        <w:b w:val="0"/>
        <w:bCs w:val="0"/>
        <w:i w:val="0"/>
        <w:iCs w:val="0"/>
        <w:caps w:val="0"/>
        <w:strike w:val="0"/>
        <w:dstrike w:val="0"/>
        <w:vanish w:val="0"/>
        <w:color w:val="E57200"/>
        <w:spacing w:val="0"/>
        <w:kern w:val="0"/>
        <w:position w:val="0"/>
        <w:sz w:val="16"/>
        <w:szCs w:val="16"/>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8">
    <w:nsid w:val="55433759"/>
    <w:multiLevelType w:val="hybridMultilevel"/>
    <w:tmpl w:val="2B248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474210"/>
    <w:multiLevelType w:val="hybridMultilevel"/>
    <w:tmpl w:val="35D0F4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6659175">
    <w:abstractNumId w:val="2"/>
  </w:num>
  <w:num w:numId="2" w16cid:durableId="1258710588">
    <w:abstractNumId w:val="7"/>
  </w:num>
  <w:num w:numId="3" w16cid:durableId="127865864">
    <w:abstractNumId w:val="0"/>
  </w:num>
  <w:num w:numId="4" w16cid:durableId="1935243266">
    <w:abstractNumId w:val="6"/>
  </w:num>
  <w:num w:numId="5" w16cid:durableId="690647076">
    <w:abstractNumId w:val="9"/>
  </w:num>
  <w:num w:numId="6" w16cid:durableId="2049838777">
    <w:abstractNumId w:val="8"/>
  </w:num>
  <w:num w:numId="7" w16cid:durableId="1384914128">
    <w:abstractNumId w:val="4"/>
  </w:num>
  <w:num w:numId="8" w16cid:durableId="2010717262">
    <w:abstractNumId w:val="3"/>
  </w:num>
  <w:num w:numId="9" w16cid:durableId="462774689">
    <w:abstractNumId w:val="5"/>
  </w:num>
  <w:num w:numId="10" w16cid:durableId="75347705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0ED"/>
    <w:rsid w:val="000008A3"/>
    <w:rsid w:val="00000A8E"/>
    <w:rsid w:val="00000B1C"/>
    <w:rsid w:val="000019C6"/>
    <w:rsid w:val="00002286"/>
    <w:rsid w:val="0000277E"/>
    <w:rsid w:val="00005256"/>
    <w:rsid w:val="000058C2"/>
    <w:rsid w:val="00005E5B"/>
    <w:rsid w:val="000064B7"/>
    <w:rsid w:val="000067A7"/>
    <w:rsid w:val="00007C9D"/>
    <w:rsid w:val="00007E0A"/>
    <w:rsid w:val="00007F10"/>
    <w:rsid w:val="00011D15"/>
    <w:rsid w:val="00011FA6"/>
    <w:rsid w:val="00012394"/>
    <w:rsid w:val="00013291"/>
    <w:rsid w:val="00014EE3"/>
    <w:rsid w:val="000158AB"/>
    <w:rsid w:val="00017048"/>
    <w:rsid w:val="0002039B"/>
    <w:rsid w:val="00020BE5"/>
    <w:rsid w:val="00023B8E"/>
    <w:rsid w:val="0002438C"/>
    <w:rsid w:val="000255B4"/>
    <w:rsid w:val="00025ADC"/>
    <w:rsid w:val="00025DE1"/>
    <w:rsid w:val="00025F1A"/>
    <w:rsid w:val="00026764"/>
    <w:rsid w:val="00026A7A"/>
    <w:rsid w:val="000300D2"/>
    <w:rsid w:val="000327D2"/>
    <w:rsid w:val="00032FBC"/>
    <w:rsid w:val="00034010"/>
    <w:rsid w:val="0003484A"/>
    <w:rsid w:val="00035700"/>
    <w:rsid w:val="00035909"/>
    <w:rsid w:val="00035ABF"/>
    <w:rsid w:val="00037741"/>
    <w:rsid w:val="00040A44"/>
    <w:rsid w:val="0004277B"/>
    <w:rsid w:val="0004289F"/>
    <w:rsid w:val="000437E8"/>
    <w:rsid w:val="00044928"/>
    <w:rsid w:val="00045EDB"/>
    <w:rsid w:val="00046BD9"/>
    <w:rsid w:val="00046BFD"/>
    <w:rsid w:val="000509FA"/>
    <w:rsid w:val="000524F1"/>
    <w:rsid w:val="00053645"/>
    <w:rsid w:val="0005367F"/>
    <w:rsid w:val="00060174"/>
    <w:rsid w:val="00060253"/>
    <w:rsid w:val="000608A5"/>
    <w:rsid w:val="00060E35"/>
    <w:rsid w:val="00061229"/>
    <w:rsid w:val="00062BFD"/>
    <w:rsid w:val="00063B1D"/>
    <w:rsid w:val="00063E6B"/>
    <w:rsid w:val="00063FED"/>
    <w:rsid w:val="00064782"/>
    <w:rsid w:val="000665A4"/>
    <w:rsid w:val="00066A65"/>
    <w:rsid w:val="00066EA1"/>
    <w:rsid w:val="000671E1"/>
    <w:rsid w:val="0006724E"/>
    <w:rsid w:val="00067E49"/>
    <w:rsid w:val="00067EE2"/>
    <w:rsid w:val="0007044B"/>
    <w:rsid w:val="00070848"/>
    <w:rsid w:val="00071A51"/>
    <w:rsid w:val="00071A9A"/>
    <w:rsid w:val="000724B7"/>
    <w:rsid w:val="00072852"/>
    <w:rsid w:val="00073A9B"/>
    <w:rsid w:val="000743CA"/>
    <w:rsid w:val="0007454D"/>
    <w:rsid w:val="00074D91"/>
    <w:rsid w:val="00076688"/>
    <w:rsid w:val="000771C4"/>
    <w:rsid w:val="00077EA6"/>
    <w:rsid w:val="00080BB4"/>
    <w:rsid w:val="0008196E"/>
    <w:rsid w:val="00082DE5"/>
    <w:rsid w:val="00082FEB"/>
    <w:rsid w:val="00083C26"/>
    <w:rsid w:val="00083CC8"/>
    <w:rsid w:val="0008408B"/>
    <w:rsid w:val="000843B7"/>
    <w:rsid w:val="00084DC9"/>
    <w:rsid w:val="00090FA9"/>
    <w:rsid w:val="00091A5C"/>
    <w:rsid w:val="000920D7"/>
    <w:rsid w:val="00092B7E"/>
    <w:rsid w:val="000935CF"/>
    <w:rsid w:val="000936FE"/>
    <w:rsid w:val="000949D8"/>
    <w:rsid w:val="00097189"/>
    <w:rsid w:val="000978BE"/>
    <w:rsid w:val="00097ADE"/>
    <w:rsid w:val="000A082D"/>
    <w:rsid w:val="000A1001"/>
    <w:rsid w:val="000A1A34"/>
    <w:rsid w:val="000A2A60"/>
    <w:rsid w:val="000A338E"/>
    <w:rsid w:val="000A3B29"/>
    <w:rsid w:val="000A4992"/>
    <w:rsid w:val="000A525C"/>
    <w:rsid w:val="000A6145"/>
    <w:rsid w:val="000A66FD"/>
    <w:rsid w:val="000B0071"/>
    <w:rsid w:val="000B1163"/>
    <w:rsid w:val="000B3E51"/>
    <w:rsid w:val="000B6780"/>
    <w:rsid w:val="000C019C"/>
    <w:rsid w:val="000C11B2"/>
    <w:rsid w:val="000C1610"/>
    <w:rsid w:val="000C18F0"/>
    <w:rsid w:val="000C1E0F"/>
    <w:rsid w:val="000C3A05"/>
    <w:rsid w:val="000C3A5D"/>
    <w:rsid w:val="000C3F24"/>
    <w:rsid w:val="000C43F0"/>
    <w:rsid w:val="000C5267"/>
    <w:rsid w:val="000C67D7"/>
    <w:rsid w:val="000C7CA8"/>
    <w:rsid w:val="000D1D93"/>
    <w:rsid w:val="000D22D5"/>
    <w:rsid w:val="000D5ED2"/>
    <w:rsid w:val="000D623C"/>
    <w:rsid w:val="000D623E"/>
    <w:rsid w:val="000D6BD9"/>
    <w:rsid w:val="000D7E78"/>
    <w:rsid w:val="000E1324"/>
    <w:rsid w:val="000E2394"/>
    <w:rsid w:val="000E45B0"/>
    <w:rsid w:val="000E5A78"/>
    <w:rsid w:val="000E5AA3"/>
    <w:rsid w:val="000E682C"/>
    <w:rsid w:val="000E6BB0"/>
    <w:rsid w:val="000E6C11"/>
    <w:rsid w:val="000E6F8B"/>
    <w:rsid w:val="000F08E1"/>
    <w:rsid w:val="000F0B8B"/>
    <w:rsid w:val="000F1D7F"/>
    <w:rsid w:val="000F1DE9"/>
    <w:rsid w:val="000F243B"/>
    <w:rsid w:val="000F297D"/>
    <w:rsid w:val="000F341A"/>
    <w:rsid w:val="000F3FFA"/>
    <w:rsid w:val="000F45D6"/>
    <w:rsid w:val="000F5EC7"/>
    <w:rsid w:val="000F6CBC"/>
    <w:rsid w:val="00101671"/>
    <w:rsid w:val="00101BD9"/>
    <w:rsid w:val="00102877"/>
    <w:rsid w:val="00102A61"/>
    <w:rsid w:val="001032CC"/>
    <w:rsid w:val="00104C79"/>
    <w:rsid w:val="00104F04"/>
    <w:rsid w:val="00105C91"/>
    <w:rsid w:val="001064B2"/>
    <w:rsid w:val="00106763"/>
    <w:rsid w:val="00106960"/>
    <w:rsid w:val="001113C8"/>
    <w:rsid w:val="00111FE7"/>
    <w:rsid w:val="001120CF"/>
    <w:rsid w:val="001127D8"/>
    <w:rsid w:val="001134D4"/>
    <w:rsid w:val="00113C3B"/>
    <w:rsid w:val="00113DEE"/>
    <w:rsid w:val="00113F5B"/>
    <w:rsid w:val="00115FDF"/>
    <w:rsid w:val="00116698"/>
    <w:rsid w:val="001171C5"/>
    <w:rsid w:val="00117AB9"/>
    <w:rsid w:val="00120346"/>
    <w:rsid w:val="001228BA"/>
    <w:rsid w:val="00122C95"/>
    <w:rsid w:val="00123E4F"/>
    <w:rsid w:val="001244A3"/>
    <w:rsid w:val="0012658C"/>
    <w:rsid w:val="00130982"/>
    <w:rsid w:val="00130F76"/>
    <w:rsid w:val="001313D3"/>
    <w:rsid w:val="00131FF4"/>
    <w:rsid w:val="0013230A"/>
    <w:rsid w:val="00132BDE"/>
    <w:rsid w:val="001330D2"/>
    <w:rsid w:val="001330FB"/>
    <w:rsid w:val="0013421A"/>
    <w:rsid w:val="00134BF9"/>
    <w:rsid w:val="0013544B"/>
    <w:rsid w:val="001367F8"/>
    <w:rsid w:val="00136E7E"/>
    <w:rsid w:val="00141A29"/>
    <w:rsid w:val="00141A79"/>
    <w:rsid w:val="001447FA"/>
    <w:rsid w:val="00145067"/>
    <w:rsid w:val="00145771"/>
    <w:rsid w:val="001460EB"/>
    <w:rsid w:val="00146204"/>
    <w:rsid w:val="00147987"/>
    <w:rsid w:val="00150187"/>
    <w:rsid w:val="001504FE"/>
    <w:rsid w:val="00151B40"/>
    <w:rsid w:val="0015213D"/>
    <w:rsid w:val="00152BE2"/>
    <w:rsid w:val="00152CE0"/>
    <w:rsid w:val="00152E5C"/>
    <w:rsid w:val="0015425B"/>
    <w:rsid w:val="0015482E"/>
    <w:rsid w:val="00154848"/>
    <w:rsid w:val="001553F1"/>
    <w:rsid w:val="00156391"/>
    <w:rsid w:val="001568EB"/>
    <w:rsid w:val="00156FB5"/>
    <w:rsid w:val="00156FFF"/>
    <w:rsid w:val="00157439"/>
    <w:rsid w:val="00157CD8"/>
    <w:rsid w:val="0016011C"/>
    <w:rsid w:val="00160550"/>
    <w:rsid w:val="0016073D"/>
    <w:rsid w:val="00160B3D"/>
    <w:rsid w:val="00160EDB"/>
    <w:rsid w:val="00161888"/>
    <w:rsid w:val="00162BCC"/>
    <w:rsid w:val="00163530"/>
    <w:rsid w:val="0016405D"/>
    <w:rsid w:val="00164ADA"/>
    <w:rsid w:val="00165837"/>
    <w:rsid w:val="001659BB"/>
    <w:rsid w:val="00165AE4"/>
    <w:rsid w:val="00172077"/>
    <w:rsid w:val="0017221C"/>
    <w:rsid w:val="00173437"/>
    <w:rsid w:val="00173EC7"/>
    <w:rsid w:val="001757CA"/>
    <w:rsid w:val="00175AD6"/>
    <w:rsid w:val="00176566"/>
    <w:rsid w:val="00176D48"/>
    <w:rsid w:val="001774F2"/>
    <w:rsid w:val="0018021D"/>
    <w:rsid w:val="00180B36"/>
    <w:rsid w:val="00180D27"/>
    <w:rsid w:val="00181EEB"/>
    <w:rsid w:val="0018231C"/>
    <w:rsid w:val="00183A60"/>
    <w:rsid w:val="001861CF"/>
    <w:rsid w:val="00187763"/>
    <w:rsid w:val="00187C40"/>
    <w:rsid w:val="00191799"/>
    <w:rsid w:val="001927F1"/>
    <w:rsid w:val="0019456E"/>
    <w:rsid w:val="001957F8"/>
    <w:rsid w:val="00196690"/>
    <w:rsid w:val="0019778F"/>
    <w:rsid w:val="001A1441"/>
    <w:rsid w:val="001A1B02"/>
    <w:rsid w:val="001A2192"/>
    <w:rsid w:val="001A2560"/>
    <w:rsid w:val="001A2D60"/>
    <w:rsid w:val="001A30BA"/>
    <w:rsid w:val="001A38AC"/>
    <w:rsid w:val="001A3C31"/>
    <w:rsid w:val="001A512B"/>
    <w:rsid w:val="001A51FA"/>
    <w:rsid w:val="001A6ED5"/>
    <w:rsid w:val="001A7B2D"/>
    <w:rsid w:val="001B0E42"/>
    <w:rsid w:val="001B29AB"/>
    <w:rsid w:val="001B368A"/>
    <w:rsid w:val="001B3CFA"/>
    <w:rsid w:val="001B4BDD"/>
    <w:rsid w:val="001B4D15"/>
    <w:rsid w:val="001B5A9B"/>
    <w:rsid w:val="001B6858"/>
    <w:rsid w:val="001C05F9"/>
    <w:rsid w:val="001C0617"/>
    <w:rsid w:val="001C0FA3"/>
    <w:rsid w:val="001C1F2C"/>
    <w:rsid w:val="001C323B"/>
    <w:rsid w:val="001C37A5"/>
    <w:rsid w:val="001C4261"/>
    <w:rsid w:val="001C703C"/>
    <w:rsid w:val="001C759D"/>
    <w:rsid w:val="001D0823"/>
    <w:rsid w:val="001D185B"/>
    <w:rsid w:val="001D3273"/>
    <w:rsid w:val="001D3CBE"/>
    <w:rsid w:val="001D41A0"/>
    <w:rsid w:val="001D4221"/>
    <w:rsid w:val="001D55B5"/>
    <w:rsid w:val="001D6387"/>
    <w:rsid w:val="001D7270"/>
    <w:rsid w:val="001E3C28"/>
    <w:rsid w:val="001E4FF4"/>
    <w:rsid w:val="001E5F9F"/>
    <w:rsid w:val="001F032E"/>
    <w:rsid w:val="001F0A0C"/>
    <w:rsid w:val="001F18FD"/>
    <w:rsid w:val="001F1ECB"/>
    <w:rsid w:val="001F21B0"/>
    <w:rsid w:val="001F26E8"/>
    <w:rsid w:val="001F4F06"/>
    <w:rsid w:val="001F63C9"/>
    <w:rsid w:val="002009ED"/>
    <w:rsid w:val="002026D4"/>
    <w:rsid w:val="002026E5"/>
    <w:rsid w:val="00205A52"/>
    <w:rsid w:val="00206A69"/>
    <w:rsid w:val="00207029"/>
    <w:rsid w:val="002118DA"/>
    <w:rsid w:val="0021282A"/>
    <w:rsid w:val="00212E32"/>
    <w:rsid w:val="00212ECB"/>
    <w:rsid w:val="00213220"/>
    <w:rsid w:val="00215FE7"/>
    <w:rsid w:val="0021645A"/>
    <w:rsid w:val="0021689E"/>
    <w:rsid w:val="00216F6E"/>
    <w:rsid w:val="00222197"/>
    <w:rsid w:val="0022280E"/>
    <w:rsid w:val="00222DD3"/>
    <w:rsid w:val="002236C9"/>
    <w:rsid w:val="002248DB"/>
    <w:rsid w:val="002249F7"/>
    <w:rsid w:val="002264BC"/>
    <w:rsid w:val="00226B8C"/>
    <w:rsid w:val="002277D5"/>
    <w:rsid w:val="0022783E"/>
    <w:rsid w:val="00230296"/>
    <w:rsid w:val="00230727"/>
    <w:rsid w:val="002313C1"/>
    <w:rsid w:val="002313DB"/>
    <w:rsid w:val="00231B92"/>
    <w:rsid w:val="00232B40"/>
    <w:rsid w:val="0023558A"/>
    <w:rsid w:val="00235763"/>
    <w:rsid w:val="002358D0"/>
    <w:rsid w:val="002358D6"/>
    <w:rsid w:val="00235B05"/>
    <w:rsid w:val="00235FB0"/>
    <w:rsid w:val="00236244"/>
    <w:rsid w:val="00242B19"/>
    <w:rsid w:val="00243054"/>
    <w:rsid w:val="00243526"/>
    <w:rsid w:val="002457BF"/>
    <w:rsid w:val="0024615B"/>
    <w:rsid w:val="002467C5"/>
    <w:rsid w:val="00246D69"/>
    <w:rsid w:val="00247281"/>
    <w:rsid w:val="00247712"/>
    <w:rsid w:val="00250D24"/>
    <w:rsid w:val="00250DBE"/>
    <w:rsid w:val="00251258"/>
    <w:rsid w:val="002518F8"/>
    <w:rsid w:val="002520D8"/>
    <w:rsid w:val="00252C96"/>
    <w:rsid w:val="00253135"/>
    <w:rsid w:val="00253CE3"/>
    <w:rsid w:val="0025541C"/>
    <w:rsid w:val="00255816"/>
    <w:rsid w:val="00260B6B"/>
    <w:rsid w:val="002616E6"/>
    <w:rsid w:val="00262823"/>
    <w:rsid w:val="00263AD3"/>
    <w:rsid w:val="002656CB"/>
    <w:rsid w:val="002661EC"/>
    <w:rsid w:val="002668F1"/>
    <w:rsid w:val="002679B7"/>
    <w:rsid w:val="00267C8C"/>
    <w:rsid w:val="00270BFA"/>
    <w:rsid w:val="00271520"/>
    <w:rsid w:val="002722EF"/>
    <w:rsid w:val="0027256E"/>
    <w:rsid w:val="0027256F"/>
    <w:rsid w:val="00273246"/>
    <w:rsid w:val="00273815"/>
    <w:rsid w:val="00274033"/>
    <w:rsid w:val="00274FF5"/>
    <w:rsid w:val="00275FE8"/>
    <w:rsid w:val="002762C7"/>
    <w:rsid w:val="00276D77"/>
    <w:rsid w:val="00277C91"/>
    <w:rsid w:val="00280724"/>
    <w:rsid w:val="00280951"/>
    <w:rsid w:val="0028097E"/>
    <w:rsid w:val="00281049"/>
    <w:rsid w:val="00282AC1"/>
    <w:rsid w:val="00283DCD"/>
    <w:rsid w:val="002842B6"/>
    <w:rsid w:val="002848CD"/>
    <w:rsid w:val="00284954"/>
    <w:rsid w:val="00284DEF"/>
    <w:rsid w:val="00285D5D"/>
    <w:rsid w:val="00286CCA"/>
    <w:rsid w:val="00286FCB"/>
    <w:rsid w:val="002900A7"/>
    <w:rsid w:val="00290B32"/>
    <w:rsid w:val="00292495"/>
    <w:rsid w:val="00293426"/>
    <w:rsid w:val="00293945"/>
    <w:rsid w:val="00294001"/>
    <w:rsid w:val="0029554E"/>
    <w:rsid w:val="002963BC"/>
    <w:rsid w:val="002975C4"/>
    <w:rsid w:val="0029776F"/>
    <w:rsid w:val="00297BB9"/>
    <w:rsid w:val="002A0B6D"/>
    <w:rsid w:val="002A10A9"/>
    <w:rsid w:val="002A1D0C"/>
    <w:rsid w:val="002A2446"/>
    <w:rsid w:val="002A2967"/>
    <w:rsid w:val="002A2F35"/>
    <w:rsid w:val="002A4213"/>
    <w:rsid w:val="002A4B0B"/>
    <w:rsid w:val="002A4D76"/>
    <w:rsid w:val="002A7438"/>
    <w:rsid w:val="002B0D50"/>
    <w:rsid w:val="002B0E4F"/>
    <w:rsid w:val="002B0EC6"/>
    <w:rsid w:val="002B157A"/>
    <w:rsid w:val="002B189E"/>
    <w:rsid w:val="002B1A76"/>
    <w:rsid w:val="002B1F68"/>
    <w:rsid w:val="002B2E0B"/>
    <w:rsid w:val="002B3E6A"/>
    <w:rsid w:val="002B4D90"/>
    <w:rsid w:val="002B51C8"/>
    <w:rsid w:val="002B62D5"/>
    <w:rsid w:val="002B741E"/>
    <w:rsid w:val="002B7BC3"/>
    <w:rsid w:val="002C14C2"/>
    <w:rsid w:val="002C216A"/>
    <w:rsid w:val="002C30B7"/>
    <w:rsid w:val="002C381A"/>
    <w:rsid w:val="002C40CE"/>
    <w:rsid w:val="002C42AC"/>
    <w:rsid w:val="002C4EB6"/>
    <w:rsid w:val="002C5D17"/>
    <w:rsid w:val="002C7207"/>
    <w:rsid w:val="002C7643"/>
    <w:rsid w:val="002D08BE"/>
    <w:rsid w:val="002D08DA"/>
    <w:rsid w:val="002D21FF"/>
    <w:rsid w:val="002D2F31"/>
    <w:rsid w:val="002D33B5"/>
    <w:rsid w:val="002D361C"/>
    <w:rsid w:val="002D3BC1"/>
    <w:rsid w:val="002D3E53"/>
    <w:rsid w:val="002D4B80"/>
    <w:rsid w:val="002D5F37"/>
    <w:rsid w:val="002D64D7"/>
    <w:rsid w:val="002D7518"/>
    <w:rsid w:val="002D797E"/>
    <w:rsid w:val="002D7BBC"/>
    <w:rsid w:val="002E32FF"/>
    <w:rsid w:val="002E363C"/>
    <w:rsid w:val="002E3AFB"/>
    <w:rsid w:val="002E4FDB"/>
    <w:rsid w:val="002E53FE"/>
    <w:rsid w:val="002E687E"/>
    <w:rsid w:val="002F0476"/>
    <w:rsid w:val="002F054C"/>
    <w:rsid w:val="002F062C"/>
    <w:rsid w:val="002F0C93"/>
    <w:rsid w:val="002F3AAB"/>
    <w:rsid w:val="002F3D08"/>
    <w:rsid w:val="002F3FB1"/>
    <w:rsid w:val="002F4163"/>
    <w:rsid w:val="002F459B"/>
    <w:rsid w:val="002F4C9C"/>
    <w:rsid w:val="002F569D"/>
    <w:rsid w:val="002F5ECB"/>
    <w:rsid w:val="002F5F6C"/>
    <w:rsid w:val="002F69FF"/>
    <w:rsid w:val="002F6BC8"/>
    <w:rsid w:val="00300656"/>
    <w:rsid w:val="003017EB"/>
    <w:rsid w:val="00301EC1"/>
    <w:rsid w:val="0030238B"/>
    <w:rsid w:val="003029A4"/>
    <w:rsid w:val="003051BE"/>
    <w:rsid w:val="003052E1"/>
    <w:rsid w:val="003061A1"/>
    <w:rsid w:val="00306E59"/>
    <w:rsid w:val="00306FE5"/>
    <w:rsid w:val="00307765"/>
    <w:rsid w:val="00310160"/>
    <w:rsid w:val="00310DE6"/>
    <w:rsid w:val="0031133F"/>
    <w:rsid w:val="00311913"/>
    <w:rsid w:val="0031228D"/>
    <w:rsid w:val="00312364"/>
    <w:rsid w:val="00313D5A"/>
    <w:rsid w:val="0031476A"/>
    <w:rsid w:val="00314B78"/>
    <w:rsid w:val="00315858"/>
    <w:rsid w:val="0031697A"/>
    <w:rsid w:val="00316982"/>
    <w:rsid w:val="00316A2D"/>
    <w:rsid w:val="0032016F"/>
    <w:rsid w:val="00320DBE"/>
    <w:rsid w:val="00323494"/>
    <w:rsid w:val="00323A6D"/>
    <w:rsid w:val="0032507B"/>
    <w:rsid w:val="00325260"/>
    <w:rsid w:val="003256D7"/>
    <w:rsid w:val="003258B6"/>
    <w:rsid w:val="00326ABD"/>
    <w:rsid w:val="003272BC"/>
    <w:rsid w:val="003274A9"/>
    <w:rsid w:val="00330074"/>
    <w:rsid w:val="00330769"/>
    <w:rsid w:val="00331F4D"/>
    <w:rsid w:val="00332597"/>
    <w:rsid w:val="00335191"/>
    <w:rsid w:val="00336BAB"/>
    <w:rsid w:val="00336F9C"/>
    <w:rsid w:val="003375A9"/>
    <w:rsid w:val="00340246"/>
    <w:rsid w:val="00340F49"/>
    <w:rsid w:val="003410C1"/>
    <w:rsid w:val="00341CC4"/>
    <w:rsid w:val="0034212C"/>
    <w:rsid w:val="003442B1"/>
    <w:rsid w:val="003464B3"/>
    <w:rsid w:val="00346854"/>
    <w:rsid w:val="003472B9"/>
    <w:rsid w:val="00347306"/>
    <w:rsid w:val="003502A1"/>
    <w:rsid w:val="003521A6"/>
    <w:rsid w:val="003532C6"/>
    <w:rsid w:val="0035336B"/>
    <w:rsid w:val="0035363C"/>
    <w:rsid w:val="00353BEF"/>
    <w:rsid w:val="00354232"/>
    <w:rsid w:val="003542E4"/>
    <w:rsid w:val="0035699E"/>
    <w:rsid w:val="00357414"/>
    <w:rsid w:val="00357ED2"/>
    <w:rsid w:val="00360A52"/>
    <w:rsid w:val="00362D71"/>
    <w:rsid w:val="00364B3F"/>
    <w:rsid w:val="00364C3C"/>
    <w:rsid w:val="00364CEE"/>
    <w:rsid w:val="00364E7B"/>
    <w:rsid w:val="0036588B"/>
    <w:rsid w:val="003707E1"/>
    <w:rsid w:val="00372226"/>
    <w:rsid w:val="003728BA"/>
    <w:rsid w:val="003735BF"/>
    <w:rsid w:val="00373B29"/>
    <w:rsid w:val="003743C4"/>
    <w:rsid w:val="00374745"/>
    <w:rsid w:val="00375F6D"/>
    <w:rsid w:val="00376B5C"/>
    <w:rsid w:val="003773D1"/>
    <w:rsid w:val="00377499"/>
    <w:rsid w:val="00380D9E"/>
    <w:rsid w:val="003819D4"/>
    <w:rsid w:val="00382E1A"/>
    <w:rsid w:val="00383055"/>
    <w:rsid w:val="00383102"/>
    <w:rsid w:val="0038401D"/>
    <w:rsid w:val="00385A37"/>
    <w:rsid w:val="00386212"/>
    <w:rsid w:val="0038633F"/>
    <w:rsid w:val="00387F7C"/>
    <w:rsid w:val="00391853"/>
    <w:rsid w:val="00391C1E"/>
    <w:rsid w:val="00394AD5"/>
    <w:rsid w:val="00394AE9"/>
    <w:rsid w:val="00395B93"/>
    <w:rsid w:val="00395E04"/>
    <w:rsid w:val="00395F66"/>
    <w:rsid w:val="00396674"/>
    <w:rsid w:val="003967DE"/>
    <w:rsid w:val="00397371"/>
    <w:rsid w:val="00397765"/>
    <w:rsid w:val="00397FB3"/>
    <w:rsid w:val="003A05AB"/>
    <w:rsid w:val="003A3072"/>
    <w:rsid w:val="003A31A8"/>
    <w:rsid w:val="003A3874"/>
    <w:rsid w:val="003A3C05"/>
    <w:rsid w:val="003A4F9D"/>
    <w:rsid w:val="003A5469"/>
    <w:rsid w:val="003A54B9"/>
    <w:rsid w:val="003A5B73"/>
    <w:rsid w:val="003A6543"/>
    <w:rsid w:val="003A670F"/>
    <w:rsid w:val="003A710E"/>
    <w:rsid w:val="003B1204"/>
    <w:rsid w:val="003B2277"/>
    <w:rsid w:val="003B3DC5"/>
    <w:rsid w:val="003B400A"/>
    <w:rsid w:val="003B4C87"/>
    <w:rsid w:val="003B6432"/>
    <w:rsid w:val="003B6833"/>
    <w:rsid w:val="003B6A9D"/>
    <w:rsid w:val="003B744F"/>
    <w:rsid w:val="003C156B"/>
    <w:rsid w:val="003C15AF"/>
    <w:rsid w:val="003C309C"/>
    <w:rsid w:val="003C3200"/>
    <w:rsid w:val="003C343C"/>
    <w:rsid w:val="003C4741"/>
    <w:rsid w:val="003C51AC"/>
    <w:rsid w:val="003C5863"/>
    <w:rsid w:val="003C5893"/>
    <w:rsid w:val="003C605A"/>
    <w:rsid w:val="003C7782"/>
    <w:rsid w:val="003D4E80"/>
    <w:rsid w:val="003D50A2"/>
    <w:rsid w:val="003D5608"/>
    <w:rsid w:val="003D685E"/>
    <w:rsid w:val="003D7BE8"/>
    <w:rsid w:val="003E1CF3"/>
    <w:rsid w:val="003E2200"/>
    <w:rsid w:val="003E2808"/>
    <w:rsid w:val="003E2992"/>
    <w:rsid w:val="003E37A4"/>
    <w:rsid w:val="003E3A8D"/>
    <w:rsid w:val="003E3BF5"/>
    <w:rsid w:val="003E3EDD"/>
    <w:rsid w:val="003E482C"/>
    <w:rsid w:val="003E4ABE"/>
    <w:rsid w:val="003E51AD"/>
    <w:rsid w:val="003E53BB"/>
    <w:rsid w:val="003E5E99"/>
    <w:rsid w:val="003E5EEE"/>
    <w:rsid w:val="003E5F0F"/>
    <w:rsid w:val="003E610F"/>
    <w:rsid w:val="003E678D"/>
    <w:rsid w:val="003E76F8"/>
    <w:rsid w:val="003E7B8B"/>
    <w:rsid w:val="003F0EE9"/>
    <w:rsid w:val="003F2D07"/>
    <w:rsid w:val="003F3D07"/>
    <w:rsid w:val="003F4E52"/>
    <w:rsid w:val="003F508C"/>
    <w:rsid w:val="003F6067"/>
    <w:rsid w:val="003F617C"/>
    <w:rsid w:val="003F7079"/>
    <w:rsid w:val="003F7F12"/>
    <w:rsid w:val="00400D40"/>
    <w:rsid w:val="00401328"/>
    <w:rsid w:val="00402525"/>
    <w:rsid w:val="0040323F"/>
    <w:rsid w:val="00403B05"/>
    <w:rsid w:val="004058C8"/>
    <w:rsid w:val="00405ADB"/>
    <w:rsid w:val="004065DA"/>
    <w:rsid w:val="00406C85"/>
    <w:rsid w:val="0040703D"/>
    <w:rsid w:val="004073DD"/>
    <w:rsid w:val="00410962"/>
    <w:rsid w:val="00410A76"/>
    <w:rsid w:val="00413700"/>
    <w:rsid w:val="00416228"/>
    <w:rsid w:val="00416C2C"/>
    <w:rsid w:val="004179E8"/>
    <w:rsid w:val="00417FBC"/>
    <w:rsid w:val="00421FE9"/>
    <w:rsid w:val="00424C47"/>
    <w:rsid w:val="00425ECF"/>
    <w:rsid w:val="00426781"/>
    <w:rsid w:val="004270F7"/>
    <w:rsid w:val="00430B16"/>
    <w:rsid w:val="00430BAD"/>
    <w:rsid w:val="0043130B"/>
    <w:rsid w:val="004314A7"/>
    <w:rsid w:val="004320FC"/>
    <w:rsid w:val="00432BBC"/>
    <w:rsid w:val="00432D98"/>
    <w:rsid w:val="00433A08"/>
    <w:rsid w:val="0043568F"/>
    <w:rsid w:val="00435E8B"/>
    <w:rsid w:val="0044086C"/>
    <w:rsid w:val="00440CDD"/>
    <w:rsid w:val="00441658"/>
    <w:rsid w:val="00441F89"/>
    <w:rsid w:val="00442881"/>
    <w:rsid w:val="00442A02"/>
    <w:rsid w:val="00442E5D"/>
    <w:rsid w:val="00443243"/>
    <w:rsid w:val="00444162"/>
    <w:rsid w:val="0044519A"/>
    <w:rsid w:val="00445602"/>
    <w:rsid w:val="004458FA"/>
    <w:rsid w:val="004461D4"/>
    <w:rsid w:val="00446834"/>
    <w:rsid w:val="00447DD3"/>
    <w:rsid w:val="004509B1"/>
    <w:rsid w:val="00450A05"/>
    <w:rsid w:val="00451995"/>
    <w:rsid w:val="0045357D"/>
    <w:rsid w:val="0045394F"/>
    <w:rsid w:val="00453F6D"/>
    <w:rsid w:val="00455071"/>
    <w:rsid w:val="004563A7"/>
    <w:rsid w:val="00457190"/>
    <w:rsid w:val="00460485"/>
    <w:rsid w:val="0046094B"/>
    <w:rsid w:val="004619A7"/>
    <w:rsid w:val="004624E2"/>
    <w:rsid w:val="004636E4"/>
    <w:rsid w:val="00463D7E"/>
    <w:rsid w:val="004658A2"/>
    <w:rsid w:val="00465D3C"/>
    <w:rsid w:val="00467AE0"/>
    <w:rsid w:val="00467D4E"/>
    <w:rsid w:val="004700F8"/>
    <w:rsid w:val="00470DAE"/>
    <w:rsid w:val="00470E27"/>
    <w:rsid w:val="00470EC1"/>
    <w:rsid w:val="0047168D"/>
    <w:rsid w:val="004716C2"/>
    <w:rsid w:val="00472092"/>
    <w:rsid w:val="00472380"/>
    <w:rsid w:val="00473599"/>
    <w:rsid w:val="00473A36"/>
    <w:rsid w:val="004754C5"/>
    <w:rsid w:val="00477134"/>
    <w:rsid w:val="004805D8"/>
    <w:rsid w:val="004812A4"/>
    <w:rsid w:val="00481964"/>
    <w:rsid w:val="0048351E"/>
    <w:rsid w:val="00483E4A"/>
    <w:rsid w:val="004848EF"/>
    <w:rsid w:val="004878E2"/>
    <w:rsid w:val="004929B1"/>
    <w:rsid w:val="0049362A"/>
    <w:rsid w:val="00493AEC"/>
    <w:rsid w:val="0049494E"/>
    <w:rsid w:val="00495F7F"/>
    <w:rsid w:val="004961B6"/>
    <w:rsid w:val="004A07F5"/>
    <w:rsid w:val="004A0A81"/>
    <w:rsid w:val="004A106B"/>
    <w:rsid w:val="004A1580"/>
    <w:rsid w:val="004A18E7"/>
    <w:rsid w:val="004A3903"/>
    <w:rsid w:val="004A6248"/>
    <w:rsid w:val="004A6ADB"/>
    <w:rsid w:val="004A78A4"/>
    <w:rsid w:val="004B07D8"/>
    <w:rsid w:val="004B093E"/>
    <w:rsid w:val="004B0A03"/>
    <w:rsid w:val="004B21B7"/>
    <w:rsid w:val="004B2260"/>
    <w:rsid w:val="004B378F"/>
    <w:rsid w:val="004B465F"/>
    <w:rsid w:val="004B49A2"/>
    <w:rsid w:val="004B624A"/>
    <w:rsid w:val="004B675E"/>
    <w:rsid w:val="004B767D"/>
    <w:rsid w:val="004C0312"/>
    <w:rsid w:val="004C0EF9"/>
    <w:rsid w:val="004C118E"/>
    <w:rsid w:val="004C1B58"/>
    <w:rsid w:val="004C29D8"/>
    <w:rsid w:val="004C3C44"/>
    <w:rsid w:val="004C4888"/>
    <w:rsid w:val="004C5F8D"/>
    <w:rsid w:val="004C6052"/>
    <w:rsid w:val="004C66D7"/>
    <w:rsid w:val="004C68DB"/>
    <w:rsid w:val="004C6E93"/>
    <w:rsid w:val="004D04C9"/>
    <w:rsid w:val="004D1160"/>
    <w:rsid w:val="004D16D1"/>
    <w:rsid w:val="004D1A94"/>
    <w:rsid w:val="004D1CAB"/>
    <w:rsid w:val="004D2071"/>
    <w:rsid w:val="004D28AC"/>
    <w:rsid w:val="004D2988"/>
    <w:rsid w:val="004D2C4B"/>
    <w:rsid w:val="004D41AB"/>
    <w:rsid w:val="004D5593"/>
    <w:rsid w:val="004D58B2"/>
    <w:rsid w:val="004D6A75"/>
    <w:rsid w:val="004D6E82"/>
    <w:rsid w:val="004D74FB"/>
    <w:rsid w:val="004D7D2E"/>
    <w:rsid w:val="004D7F24"/>
    <w:rsid w:val="004E0DDD"/>
    <w:rsid w:val="004E1146"/>
    <w:rsid w:val="004E1B6E"/>
    <w:rsid w:val="004E1D6E"/>
    <w:rsid w:val="004E2662"/>
    <w:rsid w:val="004E27B9"/>
    <w:rsid w:val="004E285E"/>
    <w:rsid w:val="004E435F"/>
    <w:rsid w:val="004E4510"/>
    <w:rsid w:val="004E54B1"/>
    <w:rsid w:val="004E58AE"/>
    <w:rsid w:val="004E6775"/>
    <w:rsid w:val="004E69A3"/>
    <w:rsid w:val="004E6B1F"/>
    <w:rsid w:val="004E78B9"/>
    <w:rsid w:val="004E7ED7"/>
    <w:rsid w:val="004F003B"/>
    <w:rsid w:val="004F1D59"/>
    <w:rsid w:val="004F2304"/>
    <w:rsid w:val="004F29DA"/>
    <w:rsid w:val="004F2CE5"/>
    <w:rsid w:val="004F3A0D"/>
    <w:rsid w:val="004F3B1A"/>
    <w:rsid w:val="004F3BEA"/>
    <w:rsid w:val="004F54C1"/>
    <w:rsid w:val="004F5C2C"/>
    <w:rsid w:val="004F79B8"/>
    <w:rsid w:val="00502385"/>
    <w:rsid w:val="00503E96"/>
    <w:rsid w:val="0050410D"/>
    <w:rsid w:val="005042B5"/>
    <w:rsid w:val="00504CE0"/>
    <w:rsid w:val="0050544E"/>
    <w:rsid w:val="005058FE"/>
    <w:rsid w:val="00506FBF"/>
    <w:rsid w:val="0051038B"/>
    <w:rsid w:val="00510B32"/>
    <w:rsid w:val="00510DF8"/>
    <w:rsid w:val="005110D3"/>
    <w:rsid w:val="00514DB6"/>
    <w:rsid w:val="005153AD"/>
    <w:rsid w:val="00516198"/>
    <w:rsid w:val="00517F43"/>
    <w:rsid w:val="005220D5"/>
    <w:rsid w:val="00522C5A"/>
    <w:rsid w:val="00522D31"/>
    <w:rsid w:val="00522F12"/>
    <w:rsid w:val="00522FC8"/>
    <w:rsid w:val="00523388"/>
    <w:rsid w:val="00523E84"/>
    <w:rsid w:val="00523FA1"/>
    <w:rsid w:val="00524026"/>
    <w:rsid w:val="0052559B"/>
    <w:rsid w:val="005256C0"/>
    <w:rsid w:val="005271C5"/>
    <w:rsid w:val="00527245"/>
    <w:rsid w:val="005306E1"/>
    <w:rsid w:val="00532636"/>
    <w:rsid w:val="00533099"/>
    <w:rsid w:val="005333A1"/>
    <w:rsid w:val="00535096"/>
    <w:rsid w:val="00536745"/>
    <w:rsid w:val="005368DC"/>
    <w:rsid w:val="00537A82"/>
    <w:rsid w:val="00537CC8"/>
    <w:rsid w:val="005408ED"/>
    <w:rsid w:val="005415B6"/>
    <w:rsid w:val="005421CB"/>
    <w:rsid w:val="00542CA9"/>
    <w:rsid w:val="00543F15"/>
    <w:rsid w:val="00545E7D"/>
    <w:rsid w:val="00545F0D"/>
    <w:rsid w:val="0055197B"/>
    <w:rsid w:val="00551CC2"/>
    <w:rsid w:val="00552E81"/>
    <w:rsid w:val="0055397B"/>
    <w:rsid w:val="00553B68"/>
    <w:rsid w:val="005545ED"/>
    <w:rsid w:val="00555062"/>
    <w:rsid w:val="00555AED"/>
    <w:rsid w:val="00555E00"/>
    <w:rsid w:val="00557A13"/>
    <w:rsid w:val="00557BBD"/>
    <w:rsid w:val="00557CEE"/>
    <w:rsid w:val="0056074E"/>
    <w:rsid w:val="00561933"/>
    <w:rsid w:val="00561AE9"/>
    <w:rsid w:val="00561FCC"/>
    <w:rsid w:val="00562097"/>
    <w:rsid w:val="00562D03"/>
    <w:rsid w:val="00564172"/>
    <w:rsid w:val="00565419"/>
    <w:rsid w:val="005667BF"/>
    <w:rsid w:val="00567369"/>
    <w:rsid w:val="005673EB"/>
    <w:rsid w:val="00570016"/>
    <w:rsid w:val="00570C11"/>
    <w:rsid w:val="0057121B"/>
    <w:rsid w:val="00571A97"/>
    <w:rsid w:val="00571D7F"/>
    <w:rsid w:val="005720E8"/>
    <w:rsid w:val="005724CF"/>
    <w:rsid w:val="0057250B"/>
    <w:rsid w:val="0057392D"/>
    <w:rsid w:val="005746E3"/>
    <w:rsid w:val="00576B40"/>
    <w:rsid w:val="00576E6D"/>
    <w:rsid w:val="00577102"/>
    <w:rsid w:val="00577BD5"/>
    <w:rsid w:val="0058071A"/>
    <w:rsid w:val="0058098A"/>
    <w:rsid w:val="00581F2F"/>
    <w:rsid w:val="0058299E"/>
    <w:rsid w:val="00582B0F"/>
    <w:rsid w:val="00582D29"/>
    <w:rsid w:val="00583127"/>
    <w:rsid w:val="0058382C"/>
    <w:rsid w:val="00584DEF"/>
    <w:rsid w:val="00585C58"/>
    <w:rsid w:val="00590C77"/>
    <w:rsid w:val="0059245A"/>
    <w:rsid w:val="00592621"/>
    <w:rsid w:val="00593C72"/>
    <w:rsid w:val="00593E41"/>
    <w:rsid w:val="00594200"/>
    <w:rsid w:val="005948C9"/>
    <w:rsid w:val="00594A27"/>
    <w:rsid w:val="005958A3"/>
    <w:rsid w:val="005963A1"/>
    <w:rsid w:val="00596CB2"/>
    <w:rsid w:val="005A1D16"/>
    <w:rsid w:val="005A1E92"/>
    <w:rsid w:val="005A1FD8"/>
    <w:rsid w:val="005A4B70"/>
    <w:rsid w:val="005A5441"/>
    <w:rsid w:val="005A5BBB"/>
    <w:rsid w:val="005A64DA"/>
    <w:rsid w:val="005A6CE1"/>
    <w:rsid w:val="005A73F7"/>
    <w:rsid w:val="005A799F"/>
    <w:rsid w:val="005B0343"/>
    <w:rsid w:val="005B1009"/>
    <w:rsid w:val="005B106E"/>
    <w:rsid w:val="005B3200"/>
    <w:rsid w:val="005B3A73"/>
    <w:rsid w:val="005B3FB4"/>
    <w:rsid w:val="005B4D3B"/>
    <w:rsid w:val="005B4F4D"/>
    <w:rsid w:val="005B5760"/>
    <w:rsid w:val="005C051C"/>
    <w:rsid w:val="005C1771"/>
    <w:rsid w:val="005C1F81"/>
    <w:rsid w:val="005C2E9F"/>
    <w:rsid w:val="005C3C16"/>
    <w:rsid w:val="005C40DE"/>
    <w:rsid w:val="005C4685"/>
    <w:rsid w:val="005C5E13"/>
    <w:rsid w:val="005C739D"/>
    <w:rsid w:val="005C7E99"/>
    <w:rsid w:val="005D1170"/>
    <w:rsid w:val="005D1447"/>
    <w:rsid w:val="005D1564"/>
    <w:rsid w:val="005D18F6"/>
    <w:rsid w:val="005D2045"/>
    <w:rsid w:val="005D39C3"/>
    <w:rsid w:val="005D3ADA"/>
    <w:rsid w:val="005D4DDD"/>
    <w:rsid w:val="005D5548"/>
    <w:rsid w:val="005D5F2C"/>
    <w:rsid w:val="005D72A6"/>
    <w:rsid w:val="005D7CC5"/>
    <w:rsid w:val="005E0A6F"/>
    <w:rsid w:val="005E20FE"/>
    <w:rsid w:val="005E2AB0"/>
    <w:rsid w:val="005E3A2F"/>
    <w:rsid w:val="005E3D82"/>
    <w:rsid w:val="005E59DD"/>
    <w:rsid w:val="005E77F3"/>
    <w:rsid w:val="005F530B"/>
    <w:rsid w:val="005F55E6"/>
    <w:rsid w:val="005F6AC8"/>
    <w:rsid w:val="005F7212"/>
    <w:rsid w:val="005F75E9"/>
    <w:rsid w:val="00600DC2"/>
    <w:rsid w:val="00601194"/>
    <w:rsid w:val="00603A46"/>
    <w:rsid w:val="00603CCB"/>
    <w:rsid w:val="006042B3"/>
    <w:rsid w:val="0060560F"/>
    <w:rsid w:val="006078E5"/>
    <w:rsid w:val="0061000B"/>
    <w:rsid w:val="00610D7A"/>
    <w:rsid w:val="0061122E"/>
    <w:rsid w:val="00612001"/>
    <w:rsid w:val="0061299B"/>
    <w:rsid w:val="00612CDD"/>
    <w:rsid w:val="00612DC2"/>
    <w:rsid w:val="0061348C"/>
    <w:rsid w:val="006143E4"/>
    <w:rsid w:val="00614E2D"/>
    <w:rsid w:val="006150B3"/>
    <w:rsid w:val="00615DB2"/>
    <w:rsid w:val="006162DF"/>
    <w:rsid w:val="00617C01"/>
    <w:rsid w:val="006200D1"/>
    <w:rsid w:val="00620B0E"/>
    <w:rsid w:val="00621731"/>
    <w:rsid w:val="00621A02"/>
    <w:rsid w:val="006224FE"/>
    <w:rsid w:val="00623472"/>
    <w:rsid w:val="00626D90"/>
    <w:rsid w:val="0062715C"/>
    <w:rsid w:val="00631184"/>
    <w:rsid w:val="006311F9"/>
    <w:rsid w:val="00631D64"/>
    <w:rsid w:val="006322F0"/>
    <w:rsid w:val="006324CA"/>
    <w:rsid w:val="006324F2"/>
    <w:rsid w:val="0063297A"/>
    <w:rsid w:val="00632B3C"/>
    <w:rsid w:val="00632E8E"/>
    <w:rsid w:val="006333C5"/>
    <w:rsid w:val="00633FF5"/>
    <w:rsid w:val="00635B8C"/>
    <w:rsid w:val="006360F2"/>
    <w:rsid w:val="00636F90"/>
    <w:rsid w:val="00637589"/>
    <w:rsid w:val="00637997"/>
    <w:rsid w:val="0064094A"/>
    <w:rsid w:val="00641716"/>
    <w:rsid w:val="00641ABD"/>
    <w:rsid w:val="00642FB2"/>
    <w:rsid w:val="00643D6C"/>
    <w:rsid w:val="00643EFE"/>
    <w:rsid w:val="00644E05"/>
    <w:rsid w:val="00645532"/>
    <w:rsid w:val="00645AC8"/>
    <w:rsid w:val="00645E58"/>
    <w:rsid w:val="00647F0C"/>
    <w:rsid w:val="006504D5"/>
    <w:rsid w:val="0065084D"/>
    <w:rsid w:val="0065151D"/>
    <w:rsid w:val="00651877"/>
    <w:rsid w:val="00652018"/>
    <w:rsid w:val="00652F12"/>
    <w:rsid w:val="006546F2"/>
    <w:rsid w:val="00654CCC"/>
    <w:rsid w:val="0065703F"/>
    <w:rsid w:val="0065737E"/>
    <w:rsid w:val="0065797A"/>
    <w:rsid w:val="00657E7F"/>
    <w:rsid w:val="00660065"/>
    <w:rsid w:val="00660572"/>
    <w:rsid w:val="006607E3"/>
    <w:rsid w:val="006615E1"/>
    <w:rsid w:val="00661B93"/>
    <w:rsid w:val="006630F5"/>
    <w:rsid w:val="006636F6"/>
    <w:rsid w:val="006637E2"/>
    <w:rsid w:val="00663B1F"/>
    <w:rsid w:val="00666BAA"/>
    <w:rsid w:val="0066729D"/>
    <w:rsid w:val="0066798F"/>
    <w:rsid w:val="00667B06"/>
    <w:rsid w:val="00672341"/>
    <w:rsid w:val="00672496"/>
    <w:rsid w:val="0067347D"/>
    <w:rsid w:val="00673F33"/>
    <w:rsid w:val="00676584"/>
    <w:rsid w:val="00677F2A"/>
    <w:rsid w:val="00680207"/>
    <w:rsid w:val="00680211"/>
    <w:rsid w:val="00680328"/>
    <w:rsid w:val="006808B5"/>
    <w:rsid w:val="00680FFC"/>
    <w:rsid w:val="006815C9"/>
    <w:rsid w:val="00682869"/>
    <w:rsid w:val="006829C2"/>
    <w:rsid w:val="006846B2"/>
    <w:rsid w:val="00684C56"/>
    <w:rsid w:val="00684FC9"/>
    <w:rsid w:val="00685221"/>
    <w:rsid w:val="00685431"/>
    <w:rsid w:val="00686C42"/>
    <w:rsid w:val="00687970"/>
    <w:rsid w:val="00690284"/>
    <w:rsid w:val="006911D7"/>
    <w:rsid w:val="0069145E"/>
    <w:rsid w:val="00692909"/>
    <w:rsid w:val="00692FC8"/>
    <w:rsid w:val="00693061"/>
    <w:rsid w:val="00693372"/>
    <w:rsid w:val="0069375D"/>
    <w:rsid w:val="00694330"/>
    <w:rsid w:val="006946A1"/>
    <w:rsid w:val="00695A2F"/>
    <w:rsid w:val="00695E72"/>
    <w:rsid w:val="00696A2D"/>
    <w:rsid w:val="00696AAE"/>
    <w:rsid w:val="00696FCF"/>
    <w:rsid w:val="006A283B"/>
    <w:rsid w:val="006A40A6"/>
    <w:rsid w:val="006A4B86"/>
    <w:rsid w:val="006A4FC6"/>
    <w:rsid w:val="006A5657"/>
    <w:rsid w:val="006A68CE"/>
    <w:rsid w:val="006A6F95"/>
    <w:rsid w:val="006A7BAE"/>
    <w:rsid w:val="006A7C3A"/>
    <w:rsid w:val="006B0D3B"/>
    <w:rsid w:val="006B37F5"/>
    <w:rsid w:val="006B425E"/>
    <w:rsid w:val="006B4940"/>
    <w:rsid w:val="006B52E4"/>
    <w:rsid w:val="006B57CA"/>
    <w:rsid w:val="006B5DDC"/>
    <w:rsid w:val="006B6E94"/>
    <w:rsid w:val="006B767C"/>
    <w:rsid w:val="006B77D1"/>
    <w:rsid w:val="006B7929"/>
    <w:rsid w:val="006B7AF1"/>
    <w:rsid w:val="006C05F4"/>
    <w:rsid w:val="006C0672"/>
    <w:rsid w:val="006C0775"/>
    <w:rsid w:val="006C0B65"/>
    <w:rsid w:val="006C0D2E"/>
    <w:rsid w:val="006C11C5"/>
    <w:rsid w:val="006C2B48"/>
    <w:rsid w:val="006C4241"/>
    <w:rsid w:val="006C4C14"/>
    <w:rsid w:val="006C52D0"/>
    <w:rsid w:val="006C6370"/>
    <w:rsid w:val="006C6596"/>
    <w:rsid w:val="006C7E19"/>
    <w:rsid w:val="006C7F3B"/>
    <w:rsid w:val="006D0360"/>
    <w:rsid w:val="006D0FE3"/>
    <w:rsid w:val="006D1C6F"/>
    <w:rsid w:val="006D2292"/>
    <w:rsid w:val="006D2CEF"/>
    <w:rsid w:val="006D34CD"/>
    <w:rsid w:val="006D3830"/>
    <w:rsid w:val="006D4A37"/>
    <w:rsid w:val="006D4DD5"/>
    <w:rsid w:val="006D732D"/>
    <w:rsid w:val="006E0CC7"/>
    <w:rsid w:val="006E0ED6"/>
    <w:rsid w:val="006E169E"/>
    <w:rsid w:val="006E1E1C"/>
    <w:rsid w:val="006E2C2E"/>
    <w:rsid w:val="006E51BF"/>
    <w:rsid w:val="006E597C"/>
    <w:rsid w:val="006E6589"/>
    <w:rsid w:val="006E6D99"/>
    <w:rsid w:val="006E6EE3"/>
    <w:rsid w:val="006E7135"/>
    <w:rsid w:val="006E7171"/>
    <w:rsid w:val="006E71A1"/>
    <w:rsid w:val="006E75A2"/>
    <w:rsid w:val="006E779F"/>
    <w:rsid w:val="006F04CE"/>
    <w:rsid w:val="006F2FA4"/>
    <w:rsid w:val="006F31FA"/>
    <w:rsid w:val="006F49EC"/>
    <w:rsid w:val="006F5DC8"/>
    <w:rsid w:val="006F5EB8"/>
    <w:rsid w:val="00701E9B"/>
    <w:rsid w:val="00702307"/>
    <w:rsid w:val="00702770"/>
    <w:rsid w:val="00704455"/>
    <w:rsid w:val="00704736"/>
    <w:rsid w:val="00705303"/>
    <w:rsid w:val="007065AC"/>
    <w:rsid w:val="00706737"/>
    <w:rsid w:val="007105B9"/>
    <w:rsid w:val="00710B28"/>
    <w:rsid w:val="00711B53"/>
    <w:rsid w:val="007128F3"/>
    <w:rsid w:val="0071300D"/>
    <w:rsid w:val="00713DBD"/>
    <w:rsid w:val="00714040"/>
    <w:rsid w:val="0071537E"/>
    <w:rsid w:val="007157E6"/>
    <w:rsid w:val="00715F27"/>
    <w:rsid w:val="007206FA"/>
    <w:rsid w:val="00721B65"/>
    <w:rsid w:val="00721EAA"/>
    <w:rsid w:val="007229FD"/>
    <w:rsid w:val="007239F0"/>
    <w:rsid w:val="007246FB"/>
    <w:rsid w:val="00724B37"/>
    <w:rsid w:val="00724B8F"/>
    <w:rsid w:val="00724F8D"/>
    <w:rsid w:val="007253CD"/>
    <w:rsid w:val="00727BE4"/>
    <w:rsid w:val="00727F4E"/>
    <w:rsid w:val="0073013B"/>
    <w:rsid w:val="0073030D"/>
    <w:rsid w:val="0073137B"/>
    <w:rsid w:val="007329AB"/>
    <w:rsid w:val="007342A6"/>
    <w:rsid w:val="007342DD"/>
    <w:rsid w:val="007346E4"/>
    <w:rsid w:val="0073573C"/>
    <w:rsid w:val="00735DA4"/>
    <w:rsid w:val="00741092"/>
    <w:rsid w:val="007416BF"/>
    <w:rsid w:val="00742215"/>
    <w:rsid w:val="007422D2"/>
    <w:rsid w:val="007430BF"/>
    <w:rsid w:val="00743149"/>
    <w:rsid w:val="007434E1"/>
    <w:rsid w:val="007442B8"/>
    <w:rsid w:val="00745206"/>
    <w:rsid w:val="0074579D"/>
    <w:rsid w:val="00745C9C"/>
    <w:rsid w:val="00746937"/>
    <w:rsid w:val="007474D1"/>
    <w:rsid w:val="00750627"/>
    <w:rsid w:val="007523F5"/>
    <w:rsid w:val="00752950"/>
    <w:rsid w:val="00752989"/>
    <w:rsid w:val="007564E2"/>
    <w:rsid w:val="00756A91"/>
    <w:rsid w:val="00760AAB"/>
    <w:rsid w:val="00760E81"/>
    <w:rsid w:val="00761541"/>
    <w:rsid w:val="00762E24"/>
    <w:rsid w:val="007649A3"/>
    <w:rsid w:val="007656DF"/>
    <w:rsid w:val="0076599E"/>
    <w:rsid w:val="00765A9B"/>
    <w:rsid w:val="007670BA"/>
    <w:rsid w:val="00767170"/>
    <w:rsid w:val="0077065E"/>
    <w:rsid w:val="00771421"/>
    <w:rsid w:val="0077173A"/>
    <w:rsid w:val="007724C8"/>
    <w:rsid w:val="00772E29"/>
    <w:rsid w:val="00773A4D"/>
    <w:rsid w:val="00774E8E"/>
    <w:rsid w:val="00777283"/>
    <w:rsid w:val="007773B9"/>
    <w:rsid w:val="007813B4"/>
    <w:rsid w:val="00781E74"/>
    <w:rsid w:val="0078232A"/>
    <w:rsid w:val="0078504C"/>
    <w:rsid w:val="00785B5F"/>
    <w:rsid w:val="00785BA4"/>
    <w:rsid w:val="00785CAB"/>
    <w:rsid w:val="00785F5F"/>
    <w:rsid w:val="007863F6"/>
    <w:rsid w:val="00786718"/>
    <w:rsid w:val="007868DF"/>
    <w:rsid w:val="007872B3"/>
    <w:rsid w:val="00790E25"/>
    <w:rsid w:val="00790FFA"/>
    <w:rsid w:val="0079193D"/>
    <w:rsid w:val="00792503"/>
    <w:rsid w:val="007925C9"/>
    <w:rsid w:val="00792BD5"/>
    <w:rsid w:val="00793469"/>
    <w:rsid w:val="00793B31"/>
    <w:rsid w:val="007946D6"/>
    <w:rsid w:val="00794CCD"/>
    <w:rsid w:val="00795F9C"/>
    <w:rsid w:val="00796432"/>
    <w:rsid w:val="007A0C0E"/>
    <w:rsid w:val="007A0CD9"/>
    <w:rsid w:val="007A1A1C"/>
    <w:rsid w:val="007A298B"/>
    <w:rsid w:val="007A3E49"/>
    <w:rsid w:val="007A502E"/>
    <w:rsid w:val="007A521A"/>
    <w:rsid w:val="007A598D"/>
    <w:rsid w:val="007A6372"/>
    <w:rsid w:val="007A6803"/>
    <w:rsid w:val="007A685B"/>
    <w:rsid w:val="007A6E2D"/>
    <w:rsid w:val="007B0197"/>
    <w:rsid w:val="007B0524"/>
    <w:rsid w:val="007B1150"/>
    <w:rsid w:val="007B1B7D"/>
    <w:rsid w:val="007B3618"/>
    <w:rsid w:val="007B362F"/>
    <w:rsid w:val="007B5553"/>
    <w:rsid w:val="007B5727"/>
    <w:rsid w:val="007B5E7F"/>
    <w:rsid w:val="007B78B5"/>
    <w:rsid w:val="007C0974"/>
    <w:rsid w:val="007C0C9A"/>
    <w:rsid w:val="007C1744"/>
    <w:rsid w:val="007C1958"/>
    <w:rsid w:val="007C1C37"/>
    <w:rsid w:val="007C2F1A"/>
    <w:rsid w:val="007C486B"/>
    <w:rsid w:val="007C558D"/>
    <w:rsid w:val="007D04A3"/>
    <w:rsid w:val="007D10E2"/>
    <w:rsid w:val="007D4A60"/>
    <w:rsid w:val="007D525A"/>
    <w:rsid w:val="007D5A75"/>
    <w:rsid w:val="007D5D1B"/>
    <w:rsid w:val="007D65F1"/>
    <w:rsid w:val="007D672F"/>
    <w:rsid w:val="007D6BA4"/>
    <w:rsid w:val="007D6EAF"/>
    <w:rsid w:val="007D70F6"/>
    <w:rsid w:val="007E095E"/>
    <w:rsid w:val="007E1025"/>
    <w:rsid w:val="007E175C"/>
    <w:rsid w:val="007E1C8F"/>
    <w:rsid w:val="007E1DAA"/>
    <w:rsid w:val="007E26D1"/>
    <w:rsid w:val="007E35B9"/>
    <w:rsid w:val="007E3796"/>
    <w:rsid w:val="007E4CE4"/>
    <w:rsid w:val="007E5179"/>
    <w:rsid w:val="007E55D1"/>
    <w:rsid w:val="007E686C"/>
    <w:rsid w:val="007F10FC"/>
    <w:rsid w:val="007F1A24"/>
    <w:rsid w:val="007F2625"/>
    <w:rsid w:val="007F3D8B"/>
    <w:rsid w:val="007F43F5"/>
    <w:rsid w:val="007F5322"/>
    <w:rsid w:val="00800D87"/>
    <w:rsid w:val="00803038"/>
    <w:rsid w:val="00803EFC"/>
    <w:rsid w:val="00804167"/>
    <w:rsid w:val="008043B3"/>
    <w:rsid w:val="00804CBC"/>
    <w:rsid w:val="00804FC9"/>
    <w:rsid w:val="00805A29"/>
    <w:rsid w:val="00805B65"/>
    <w:rsid w:val="00805C32"/>
    <w:rsid w:val="00806124"/>
    <w:rsid w:val="00807B49"/>
    <w:rsid w:val="00810D31"/>
    <w:rsid w:val="00810E51"/>
    <w:rsid w:val="00811217"/>
    <w:rsid w:val="008124BF"/>
    <w:rsid w:val="0081277A"/>
    <w:rsid w:val="00812B48"/>
    <w:rsid w:val="00812BAB"/>
    <w:rsid w:val="00812C05"/>
    <w:rsid w:val="0081392C"/>
    <w:rsid w:val="00813A76"/>
    <w:rsid w:val="00813BAF"/>
    <w:rsid w:val="00814998"/>
    <w:rsid w:val="00814BE0"/>
    <w:rsid w:val="008150D9"/>
    <w:rsid w:val="0081525D"/>
    <w:rsid w:val="00815329"/>
    <w:rsid w:val="00815DE5"/>
    <w:rsid w:val="00816746"/>
    <w:rsid w:val="008177DA"/>
    <w:rsid w:val="00817A5E"/>
    <w:rsid w:val="00820192"/>
    <w:rsid w:val="00820B74"/>
    <w:rsid w:val="00822602"/>
    <w:rsid w:val="00822865"/>
    <w:rsid w:val="00822B6C"/>
    <w:rsid w:val="00823F3B"/>
    <w:rsid w:val="0082418F"/>
    <w:rsid w:val="008247A6"/>
    <w:rsid w:val="00825FB5"/>
    <w:rsid w:val="008271AE"/>
    <w:rsid w:val="00830753"/>
    <w:rsid w:val="00830DFF"/>
    <w:rsid w:val="008320BF"/>
    <w:rsid w:val="0083249D"/>
    <w:rsid w:val="0083276C"/>
    <w:rsid w:val="008327B6"/>
    <w:rsid w:val="008329A7"/>
    <w:rsid w:val="00832F7A"/>
    <w:rsid w:val="0083466A"/>
    <w:rsid w:val="008346AF"/>
    <w:rsid w:val="00834A80"/>
    <w:rsid w:val="00834BCD"/>
    <w:rsid w:val="00837CE4"/>
    <w:rsid w:val="00837EEF"/>
    <w:rsid w:val="00840D1A"/>
    <w:rsid w:val="00841123"/>
    <w:rsid w:val="00842058"/>
    <w:rsid w:val="00843566"/>
    <w:rsid w:val="00845698"/>
    <w:rsid w:val="008462E2"/>
    <w:rsid w:val="008465AA"/>
    <w:rsid w:val="00846653"/>
    <w:rsid w:val="008472E9"/>
    <w:rsid w:val="00850956"/>
    <w:rsid w:val="008528DD"/>
    <w:rsid w:val="00852D86"/>
    <w:rsid w:val="00853EA9"/>
    <w:rsid w:val="00854E7F"/>
    <w:rsid w:val="0085573B"/>
    <w:rsid w:val="00860C7B"/>
    <w:rsid w:val="008618FD"/>
    <w:rsid w:val="00861EB9"/>
    <w:rsid w:val="00862EED"/>
    <w:rsid w:val="008639E7"/>
    <w:rsid w:val="00863F90"/>
    <w:rsid w:val="00865865"/>
    <w:rsid w:val="00866720"/>
    <w:rsid w:val="00867223"/>
    <w:rsid w:val="00867F6E"/>
    <w:rsid w:val="00870443"/>
    <w:rsid w:val="00870646"/>
    <w:rsid w:val="00870A0D"/>
    <w:rsid w:val="00871596"/>
    <w:rsid w:val="00874607"/>
    <w:rsid w:val="00874A0E"/>
    <w:rsid w:val="00874A3D"/>
    <w:rsid w:val="00874EA5"/>
    <w:rsid w:val="008772CE"/>
    <w:rsid w:val="00877363"/>
    <w:rsid w:val="00877E33"/>
    <w:rsid w:val="00880EFE"/>
    <w:rsid w:val="00881BB7"/>
    <w:rsid w:val="00882122"/>
    <w:rsid w:val="008827A4"/>
    <w:rsid w:val="00882C5A"/>
    <w:rsid w:val="00883369"/>
    <w:rsid w:val="00883858"/>
    <w:rsid w:val="008845C0"/>
    <w:rsid w:val="00884C62"/>
    <w:rsid w:val="00885939"/>
    <w:rsid w:val="00886416"/>
    <w:rsid w:val="00887F58"/>
    <w:rsid w:val="008903BC"/>
    <w:rsid w:val="0089040B"/>
    <w:rsid w:val="008907C7"/>
    <w:rsid w:val="0089104E"/>
    <w:rsid w:val="008910DA"/>
    <w:rsid w:val="00891B4E"/>
    <w:rsid w:val="00891CC6"/>
    <w:rsid w:val="00892506"/>
    <w:rsid w:val="00892B7A"/>
    <w:rsid w:val="0089412B"/>
    <w:rsid w:val="0089426B"/>
    <w:rsid w:val="008963A2"/>
    <w:rsid w:val="008964A7"/>
    <w:rsid w:val="00896617"/>
    <w:rsid w:val="008A0A9A"/>
    <w:rsid w:val="008A2998"/>
    <w:rsid w:val="008A2AC1"/>
    <w:rsid w:val="008A4B24"/>
    <w:rsid w:val="008A599D"/>
    <w:rsid w:val="008A5CE6"/>
    <w:rsid w:val="008A6382"/>
    <w:rsid w:val="008A6B7E"/>
    <w:rsid w:val="008A6D3B"/>
    <w:rsid w:val="008B06EC"/>
    <w:rsid w:val="008B0EFD"/>
    <w:rsid w:val="008B1A96"/>
    <w:rsid w:val="008B235A"/>
    <w:rsid w:val="008B3A1F"/>
    <w:rsid w:val="008B580D"/>
    <w:rsid w:val="008B5AAC"/>
    <w:rsid w:val="008B5C2B"/>
    <w:rsid w:val="008B7033"/>
    <w:rsid w:val="008B74C4"/>
    <w:rsid w:val="008B7FA9"/>
    <w:rsid w:val="008C00F5"/>
    <w:rsid w:val="008C032D"/>
    <w:rsid w:val="008C14F4"/>
    <w:rsid w:val="008C3A81"/>
    <w:rsid w:val="008C490D"/>
    <w:rsid w:val="008C5385"/>
    <w:rsid w:val="008C6910"/>
    <w:rsid w:val="008C6A3E"/>
    <w:rsid w:val="008C6B50"/>
    <w:rsid w:val="008C6DBF"/>
    <w:rsid w:val="008C7378"/>
    <w:rsid w:val="008C744F"/>
    <w:rsid w:val="008C7CCB"/>
    <w:rsid w:val="008D0024"/>
    <w:rsid w:val="008D0D1C"/>
    <w:rsid w:val="008D14FD"/>
    <w:rsid w:val="008D1573"/>
    <w:rsid w:val="008D1F8D"/>
    <w:rsid w:val="008D2396"/>
    <w:rsid w:val="008D2904"/>
    <w:rsid w:val="008D2D4D"/>
    <w:rsid w:val="008D31A1"/>
    <w:rsid w:val="008D3DC9"/>
    <w:rsid w:val="008D40C3"/>
    <w:rsid w:val="008D44E0"/>
    <w:rsid w:val="008D4B9A"/>
    <w:rsid w:val="008D629F"/>
    <w:rsid w:val="008E1D80"/>
    <w:rsid w:val="008E2329"/>
    <w:rsid w:val="008E234A"/>
    <w:rsid w:val="008E2927"/>
    <w:rsid w:val="008E50C6"/>
    <w:rsid w:val="008E51F7"/>
    <w:rsid w:val="008E5A3F"/>
    <w:rsid w:val="008E5AAF"/>
    <w:rsid w:val="008F0F19"/>
    <w:rsid w:val="008F0FB4"/>
    <w:rsid w:val="008F24BA"/>
    <w:rsid w:val="008F24D9"/>
    <w:rsid w:val="008F3841"/>
    <w:rsid w:val="008F51C9"/>
    <w:rsid w:val="008F5B6D"/>
    <w:rsid w:val="008F6E7A"/>
    <w:rsid w:val="008F7821"/>
    <w:rsid w:val="00900D51"/>
    <w:rsid w:val="00902AD8"/>
    <w:rsid w:val="009044BF"/>
    <w:rsid w:val="009047FC"/>
    <w:rsid w:val="00904D80"/>
    <w:rsid w:val="00907D56"/>
    <w:rsid w:val="00910D84"/>
    <w:rsid w:val="00913808"/>
    <w:rsid w:val="00915B6C"/>
    <w:rsid w:val="009207C0"/>
    <w:rsid w:val="00920A1A"/>
    <w:rsid w:val="00921448"/>
    <w:rsid w:val="00922814"/>
    <w:rsid w:val="009228EC"/>
    <w:rsid w:val="009237C2"/>
    <w:rsid w:val="00923A09"/>
    <w:rsid w:val="00923E5D"/>
    <w:rsid w:val="0092410C"/>
    <w:rsid w:val="009242DC"/>
    <w:rsid w:val="00925649"/>
    <w:rsid w:val="00926E0B"/>
    <w:rsid w:val="00927617"/>
    <w:rsid w:val="00927650"/>
    <w:rsid w:val="009312E7"/>
    <w:rsid w:val="0093273E"/>
    <w:rsid w:val="009377B5"/>
    <w:rsid w:val="009378AC"/>
    <w:rsid w:val="0094002C"/>
    <w:rsid w:val="009406A0"/>
    <w:rsid w:val="00940AB4"/>
    <w:rsid w:val="00940DF9"/>
    <w:rsid w:val="0094279C"/>
    <w:rsid w:val="009427B0"/>
    <w:rsid w:val="009432F0"/>
    <w:rsid w:val="00944E7F"/>
    <w:rsid w:val="00945C10"/>
    <w:rsid w:val="00945E84"/>
    <w:rsid w:val="00946807"/>
    <w:rsid w:val="00946E67"/>
    <w:rsid w:val="009507DD"/>
    <w:rsid w:val="0095104A"/>
    <w:rsid w:val="00951550"/>
    <w:rsid w:val="00952050"/>
    <w:rsid w:val="00952366"/>
    <w:rsid w:val="009528B1"/>
    <w:rsid w:val="009539BF"/>
    <w:rsid w:val="009545F2"/>
    <w:rsid w:val="00954DE8"/>
    <w:rsid w:val="009574FE"/>
    <w:rsid w:val="00960298"/>
    <w:rsid w:val="00960BE2"/>
    <w:rsid w:val="00962062"/>
    <w:rsid w:val="009632CA"/>
    <w:rsid w:val="009633A4"/>
    <w:rsid w:val="0096387C"/>
    <w:rsid w:val="00963B9C"/>
    <w:rsid w:val="009656CE"/>
    <w:rsid w:val="009656D7"/>
    <w:rsid w:val="00965AC8"/>
    <w:rsid w:val="009667F8"/>
    <w:rsid w:val="0096700C"/>
    <w:rsid w:val="00967C5A"/>
    <w:rsid w:val="00967E18"/>
    <w:rsid w:val="009702DD"/>
    <w:rsid w:val="0097165E"/>
    <w:rsid w:val="00971949"/>
    <w:rsid w:val="009727B7"/>
    <w:rsid w:val="00972B29"/>
    <w:rsid w:val="00973B52"/>
    <w:rsid w:val="0097472B"/>
    <w:rsid w:val="009749F2"/>
    <w:rsid w:val="0097719B"/>
    <w:rsid w:val="009805EC"/>
    <w:rsid w:val="009807F0"/>
    <w:rsid w:val="00981FDC"/>
    <w:rsid w:val="00983D8F"/>
    <w:rsid w:val="009848C3"/>
    <w:rsid w:val="009848F0"/>
    <w:rsid w:val="0098549C"/>
    <w:rsid w:val="00985ABD"/>
    <w:rsid w:val="00986234"/>
    <w:rsid w:val="00987EB0"/>
    <w:rsid w:val="00990FDB"/>
    <w:rsid w:val="00991F27"/>
    <w:rsid w:val="0099207E"/>
    <w:rsid w:val="009931DA"/>
    <w:rsid w:val="00994136"/>
    <w:rsid w:val="0099453B"/>
    <w:rsid w:val="00995553"/>
    <w:rsid w:val="009967A6"/>
    <w:rsid w:val="00997D6D"/>
    <w:rsid w:val="009A00C7"/>
    <w:rsid w:val="009A10BD"/>
    <w:rsid w:val="009A1E98"/>
    <w:rsid w:val="009A4510"/>
    <w:rsid w:val="009A5632"/>
    <w:rsid w:val="009A600F"/>
    <w:rsid w:val="009A611C"/>
    <w:rsid w:val="009A7017"/>
    <w:rsid w:val="009A7310"/>
    <w:rsid w:val="009B2140"/>
    <w:rsid w:val="009B3234"/>
    <w:rsid w:val="009B5523"/>
    <w:rsid w:val="009B5D20"/>
    <w:rsid w:val="009B678A"/>
    <w:rsid w:val="009B685A"/>
    <w:rsid w:val="009B7101"/>
    <w:rsid w:val="009C00E4"/>
    <w:rsid w:val="009C16EE"/>
    <w:rsid w:val="009C18F5"/>
    <w:rsid w:val="009C1EB5"/>
    <w:rsid w:val="009C2B34"/>
    <w:rsid w:val="009C45F0"/>
    <w:rsid w:val="009C488B"/>
    <w:rsid w:val="009C5395"/>
    <w:rsid w:val="009C6D15"/>
    <w:rsid w:val="009C746A"/>
    <w:rsid w:val="009C76B6"/>
    <w:rsid w:val="009C7F5B"/>
    <w:rsid w:val="009D0D22"/>
    <w:rsid w:val="009D1933"/>
    <w:rsid w:val="009D1A27"/>
    <w:rsid w:val="009D1C79"/>
    <w:rsid w:val="009D1CCC"/>
    <w:rsid w:val="009D3CC1"/>
    <w:rsid w:val="009D3ECD"/>
    <w:rsid w:val="009D4545"/>
    <w:rsid w:val="009D5025"/>
    <w:rsid w:val="009D543A"/>
    <w:rsid w:val="009D5AAB"/>
    <w:rsid w:val="009D5B5A"/>
    <w:rsid w:val="009D624A"/>
    <w:rsid w:val="009D73E1"/>
    <w:rsid w:val="009D765B"/>
    <w:rsid w:val="009E0566"/>
    <w:rsid w:val="009E0968"/>
    <w:rsid w:val="009E28E5"/>
    <w:rsid w:val="009E2C26"/>
    <w:rsid w:val="009E2E6D"/>
    <w:rsid w:val="009E39A1"/>
    <w:rsid w:val="009E3A45"/>
    <w:rsid w:val="009E4D69"/>
    <w:rsid w:val="009E6083"/>
    <w:rsid w:val="009E65D0"/>
    <w:rsid w:val="009E6F7A"/>
    <w:rsid w:val="009E73CA"/>
    <w:rsid w:val="009F0385"/>
    <w:rsid w:val="009F09CC"/>
    <w:rsid w:val="009F285E"/>
    <w:rsid w:val="009F2FAF"/>
    <w:rsid w:val="009F31A8"/>
    <w:rsid w:val="009F5838"/>
    <w:rsid w:val="009F6C1A"/>
    <w:rsid w:val="009F708B"/>
    <w:rsid w:val="009F7123"/>
    <w:rsid w:val="009F77FD"/>
    <w:rsid w:val="00A00434"/>
    <w:rsid w:val="00A03519"/>
    <w:rsid w:val="00A03BB7"/>
    <w:rsid w:val="00A03D8C"/>
    <w:rsid w:val="00A03E67"/>
    <w:rsid w:val="00A042BA"/>
    <w:rsid w:val="00A05EE4"/>
    <w:rsid w:val="00A06BA8"/>
    <w:rsid w:val="00A0748D"/>
    <w:rsid w:val="00A077DD"/>
    <w:rsid w:val="00A07DDF"/>
    <w:rsid w:val="00A1185E"/>
    <w:rsid w:val="00A1266F"/>
    <w:rsid w:val="00A1381C"/>
    <w:rsid w:val="00A13872"/>
    <w:rsid w:val="00A13926"/>
    <w:rsid w:val="00A143E7"/>
    <w:rsid w:val="00A15508"/>
    <w:rsid w:val="00A156AF"/>
    <w:rsid w:val="00A16B91"/>
    <w:rsid w:val="00A1710C"/>
    <w:rsid w:val="00A17356"/>
    <w:rsid w:val="00A1766F"/>
    <w:rsid w:val="00A17B70"/>
    <w:rsid w:val="00A2043E"/>
    <w:rsid w:val="00A204BE"/>
    <w:rsid w:val="00A20AC9"/>
    <w:rsid w:val="00A214D9"/>
    <w:rsid w:val="00A21CE0"/>
    <w:rsid w:val="00A24405"/>
    <w:rsid w:val="00A24F47"/>
    <w:rsid w:val="00A25703"/>
    <w:rsid w:val="00A30FFC"/>
    <w:rsid w:val="00A31742"/>
    <w:rsid w:val="00A32162"/>
    <w:rsid w:val="00A327B5"/>
    <w:rsid w:val="00A3540F"/>
    <w:rsid w:val="00A3557F"/>
    <w:rsid w:val="00A3580A"/>
    <w:rsid w:val="00A35AF3"/>
    <w:rsid w:val="00A35C67"/>
    <w:rsid w:val="00A35CA8"/>
    <w:rsid w:val="00A35F66"/>
    <w:rsid w:val="00A36380"/>
    <w:rsid w:val="00A368E8"/>
    <w:rsid w:val="00A37B4D"/>
    <w:rsid w:val="00A40806"/>
    <w:rsid w:val="00A41F94"/>
    <w:rsid w:val="00A42B7F"/>
    <w:rsid w:val="00A43D6E"/>
    <w:rsid w:val="00A43DCC"/>
    <w:rsid w:val="00A44913"/>
    <w:rsid w:val="00A44F8F"/>
    <w:rsid w:val="00A472FA"/>
    <w:rsid w:val="00A50660"/>
    <w:rsid w:val="00A50801"/>
    <w:rsid w:val="00A5181E"/>
    <w:rsid w:val="00A5198A"/>
    <w:rsid w:val="00A52887"/>
    <w:rsid w:val="00A53299"/>
    <w:rsid w:val="00A53300"/>
    <w:rsid w:val="00A548E2"/>
    <w:rsid w:val="00A556A2"/>
    <w:rsid w:val="00A559B1"/>
    <w:rsid w:val="00A55F19"/>
    <w:rsid w:val="00A56057"/>
    <w:rsid w:val="00A5682B"/>
    <w:rsid w:val="00A57E95"/>
    <w:rsid w:val="00A604DF"/>
    <w:rsid w:val="00A607F7"/>
    <w:rsid w:val="00A60EF5"/>
    <w:rsid w:val="00A61033"/>
    <w:rsid w:val="00A627E9"/>
    <w:rsid w:val="00A62C69"/>
    <w:rsid w:val="00A6324C"/>
    <w:rsid w:val="00A6425C"/>
    <w:rsid w:val="00A6536B"/>
    <w:rsid w:val="00A65A03"/>
    <w:rsid w:val="00A665B7"/>
    <w:rsid w:val="00A66D8B"/>
    <w:rsid w:val="00A6713D"/>
    <w:rsid w:val="00A67447"/>
    <w:rsid w:val="00A678BF"/>
    <w:rsid w:val="00A70547"/>
    <w:rsid w:val="00A7079E"/>
    <w:rsid w:val="00A70B6E"/>
    <w:rsid w:val="00A72699"/>
    <w:rsid w:val="00A7276E"/>
    <w:rsid w:val="00A72A66"/>
    <w:rsid w:val="00A72D90"/>
    <w:rsid w:val="00A73292"/>
    <w:rsid w:val="00A735F8"/>
    <w:rsid w:val="00A73F1F"/>
    <w:rsid w:val="00A75F1F"/>
    <w:rsid w:val="00A76065"/>
    <w:rsid w:val="00A7631A"/>
    <w:rsid w:val="00A76A37"/>
    <w:rsid w:val="00A801CF"/>
    <w:rsid w:val="00A80434"/>
    <w:rsid w:val="00A80677"/>
    <w:rsid w:val="00A80D85"/>
    <w:rsid w:val="00A80E2D"/>
    <w:rsid w:val="00A80E72"/>
    <w:rsid w:val="00A817A5"/>
    <w:rsid w:val="00A83A56"/>
    <w:rsid w:val="00A84F4A"/>
    <w:rsid w:val="00A85B64"/>
    <w:rsid w:val="00A923AC"/>
    <w:rsid w:val="00A9242C"/>
    <w:rsid w:val="00A92643"/>
    <w:rsid w:val="00A92902"/>
    <w:rsid w:val="00A92E40"/>
    <w:rsid w:val="00A95E9D"/>
    <w:rsid w:val="00A96330"/>
    <w:rsid w:val="00A9676D"/>
    <w:rsid w:val="00A96A38"/>
    <w:rsid w:val="00A97037"/>
    <w:rsid w:val="00AA0595"/>
    <w:rsid w:val="00AA356E"/>
    <w:rsid w:val="00AA4889"/>
    <w:rsid w:val="00AA4B70"/>
    <w:rsid w:val="00AA50C7"/>
    <w:rsid w:val="00AA5656"/>
    <w:rsid w:val="00AA58AF"/>
    <w:rsid w:val="00AA74F2"/>
    <w:rsid w:val="00AB06B1"/>
    <w:rsid w:val="00AB10EC"/>
    <w:rsid w:val="00AB17CD"/>
    <w:rsid w:val="00AB1C58"/>
    <w:rsid w:val="00AB2EAD"/>
    <w:rsid w:val="00AB2EF6"/>
    <w:rsid w:val="00AB36BD"/>
    <w:rsid w:val="00AB44A3"/>
    <w:rsid w:val="00AB5161"/>
    <w:rsid w:val="00AB52BB"/>
    <w:rsid w:val="00AB5542"/>
    <w:rsid w:val="00AB5C59"/>
    <w:rsid w:val="00AB7279"/>
    <w:rsid w:val="00AB74C2"/>
    <w:rsid w:val="00AB79DD"/>
    <w:rsid w:val="00AC1080"/>
    <w:rsid w:val="00AC153B"/>
    <w:rsid w:val="00AC23A7"/>
    <w:rsid w:val="00AC302F"/>
    <w:rsid w:val="00AC30D6"/>
    <w:rsid w:val="00AC367F"/>
    <w:rsid w:val="00AC40DB"/>
    <w:rsid w:val="00AC6A12"/>
    <w:rsid w:val="00AC72B3"/>
    <w:rsid w:val="00AC7F07"/>
    <w:rsid w:val="00AD066D"/>
    <w:rsid w:val="00AD0FE8"/>
    <w:rsid w:val="00AD1997"/>
    <w:rsid w:val="00AD1AC9"/>
    <w:rsid w:val="00AD4D98"/>
    <w:rsid w:val="00AD5123"/>
    <w:rsid w:val="00AD5BCF"/>
    <w:rsid w:val="00AD5CF5"/>
    <w:rsid w:val="00AD61B5"/>
    <w:rsid w:val="00AD68D8"/>
    <w:rsid w:val="00AD6DFE"/>
    <w:rsid w:val="00AD7D56"/>
    <w:rsid w:val="00AD7D8D"/>
    <w:rsid w:val="00AE058F"/>
    <w:rsid w:val="00AE3CE3"/>
    <w:rsid w:val="00AE3D9C"/>
    <w:rsid w:val="00AE69CB"/>
    <w:rsid w:val="00AE7458"/>
    <w:rsid w:val="00AF1434"/>
    <w:rsid w:val="00AF19C3"/>
    <w:rsid w:val="00AF1F29"/>
    <w:rsid w:val="00AF2030"/>
    <w:rsid w:val="00AF3239"/>
    <w:rsid w:val="00AF4375"/>
    <w:rsid w:val="00AF44AF"/>
    <w:rsid w:val="00AF45AE"/>
    <w:rsid w:val="00AF4C03"/>
    <w:rsid w:val="00AF4C91"/>
    <w:rsid w:val="00AF4F4D"/>
    <w:rsid w:val="00AF52FB"/>
    <w:rsid w:val="00AF582E"/>
    <w:rsid w:val="00AF5F0B"/>
    <w:rsid w:val="00AF6BE0"/>
    <w:rsid w:val="00AF7489"/>
    <w:rsid w:val="00B003B2"/>
    <w:rsid w:val="00B01031"/>
    <w:rsid w:val="00B0203E"/>
    <w:rsid w:val="00B02B26"/>
    <w:rsid w:val="00B03218"/>
    <w:rsid w:val="00B03550"/>
    <w:rsid w:val="00B03A51"/>
    <w:rsid w:val="00B04077"/>
    <w:rsid w:val="00B04325"/>
    <w:rsid w:val="00B04F7F"/>
    <w:rsid w:val="00B04FD2"/>
    <w:rsid w:val="00B104DA"/>
    <w:rsid w:val="00B10845"/>
    <w:rsid w:val="00B10A9D"/>
    <w:rsid w:val="00B115AB"/>
    <w:rsid w:val="00B1313E"/>
    <w:rsid w:val="00B1395F"/>
    <w:rsid w:val="00B13A79"/>
    <w:rsid w:val="00B13BD5"/>
    <w:rsid w:val="00B13DA3"/>
    <w:rsid w:val="00B13FEF"/>
    <w:rsid w:val="00B144CE"/>
    <w:rsid w:val="00B14E06"/>
    <w:rsid w:val="00B153E7"/>
    <w:rsid w:val="00B1556E"/>
    <w:rsid w:val="00B1665B"/>
    <w:rsid w:val="00B16B17"/>
    <w:rsid w:val="00B16CDA"/>
    <w:rsid w:val="00B17B93"/>
    <w:rsid w:val="00B17EF7"/>
    <w:rsid w:val="00B205C2"/>
    <w:rsid w:val="00B20E0B"/>
    <w:rsid w:val="00B21316"/>
    <w:rsid w:val="00B22559"/>
    <w:rsid w:val="00B2368C"/>
    <w:rsid w:val="00B2396C"/>
    <w:rsid w:val="00B24558"/>
    <w:rsid w:val="00B2495C"/>
    <w:rsid w:val="00B26C2F"/>
    <w:rsid w:val="00B273E2"/>
    <w:rsid w:val="00B2775A"/>
    <w:rsid w:val="00B30411"/>
    <w:rsid w:val="00B30C87"/>
    <w:rsid w:val="00B30E03"/>
    <w:rsid w:val="00B316F1"/>
    <w:rsid w:val="00B31B20"/>
    <w:rsid w:val="00B31B52"/>
    <w:rsid w:val="00B325D5"/>
    <w:rsid w:val="00B32F57"/>
    <w:rsid w:val="00B33067"/>
    <w:rsid w:val="00B342B5"/>
    <w:rsid w:val="00B35E18"/>
    <w:rsid w:val="00B36F27"/>
    <w:rsid w:val="00B412FE"/>
    <w:rsid w:val="00B426E8"/>
    <w:rsid w:val="00B42737"/>
    <w:rsid w:val="00B44ECF"/>
    <w:rsid w:val="00B4696F"/>
    <w:rsid w:val="00B4736E"/>
    <w:rsid w:val="00B50376"/>
    <w:rsid w:val="00B5139F"/>
    <w:rsid w:val="00B52FDA"/>
    <w:rsid w:val="00B555AB"/>
    <w:rsid w:val="00B570FA"/>
    <w:rsid w:val="00B573AB"/>
    <w:rsid w:val="00B57ADC"/>
    <w:rsid w:val="00B612CC"/>
    <w:rsid w:val="00B6305E"/>
    <w:rsid w:val="00B643B2"/>
    <w:rsid w:val="00B648BF"/>
    <w:rsid w:val="00B65185"/>
    <w:rsid w:val="00B65916"/>
    <w:rsid w:val="00B65D0F"/>
    <w:rsid w:val="00B7111D"/>
    <w:rsid w:val="00B7122B"/>
    <w:rsid w:val="00B71E01"/>
    <w:rsid w:val="00B71FEE"/>
    <w:rsid w:val="00B72C4F"/>
    <w:rsid w:val="00B72D1C"/>
    <w:rsid w:val="00B733FC"/>
    <w:rsid w:val="00B73CB7"/>
    <w:rsid w:val="00B74F45"/>
    <w:rsid w:val="00B7543B"/>
    <w:rsid w:val="00B76740"/>
    <w:rsid w:val="00B77B44"/>
    <w:rsid w:val="00B81E0A"/>
    <w:rsid w:val="00B82A78"/>
    <w:rsid w:val="00B82F26"/>
    <w:rsid w:val="00B83B3E"/>
    <w:rsid w:val="00B83E72"/>
    <w:rsid w:val="00B84163"/>
    <w:rsid w:val="00B84F4D"/>
    <w:rsid w:val="00B859A1"/>
    <w:rsid w:val="00B90E07"/>
    <w:rsid w:val="00B90ED5"/>
    <w:rsid w:val="00B92F73"/>
    <w:rsid w:val="00B930FC"/>
    <w:rsid w:val="00B933C0"/>
    <w:rsid w:val="00B935CB"/>
    <w:rsid w:val="00B94494"/>
    <w:rsid w:val="00B947D2"/>
    <w:rsid w:val="00B950EA"/>
    <w:rsid w:val="00B957E3"/>
    <w:rsid w:val="00B95C57"/>
    <w:rsid w:val="00B95E1E"/>
    <w:rsid w:val="00B96BE6"/>
    <w:rsid w:val="00B971EA"/>
    <w:rsid w:val="00B97516"/>
    <w:rsid w:val="00BA1C41"/>
    <w:rsid w:val="00BA3274"/>
    <w:rsid w:val="00BA5BAB"/>
    <w:rsid w:val="00BA68E2"/>
    <w:rsid w:val="00BA6B05"/>
    <w:rsid w:val="00BB02F1"/>
    <w:rsid w:val="00BB15A5"/>
    <w:rsid w:val="00BB3A3A"/>
    <w:rsid w:val="00BB406F"/>
    <w:rsid w:val="00BB4FD8"/>
    <w:rsid w:val="00BB73F9"/>
    <w:rsid w:val="00BC08EB"/>
    <w:rsid w:val="00BC3320"/>
    <w:rsid w:val="00BC45A7"/>
    <w:rsid w:val="00BC49B6"/>
    <w:rsid w:val="00BC5129"/>
    <w:rsid w:val="00BC6677"/>
    <w:rsid w:val="00BC72E5"/>
    <w:rsid w:val="00BC7E0F"/>
    <w:rsid w:val="00BD01AD"/>
    <w:rsid w:val="00BD037F"/>
    <w:rsid w:val="00BD0447"/>
    <w:rsid w:val="00BD16FA"/>
    <w:rsid w:val="00BD2FBE"/>
    <w:rsid w:val="00BD3A0C"/>
    <w:rsid w:val="00BD3D84"/>
    <w:rsid w:val="00BD472A"/>
    <w:rsid w:val="00BD4BB2"/>
    <w:rsid w:val="00BD519C"/>
    <w:rsid w:val="00BD66F1"/>
    <w:rsid w:val="00BD6802"/>
    <w:rsid w:val="00BD6D94"/>
    <w:rsid w:val="00BD6F30"/>
    <w:rsid w:val="00BD718C"/>
    <w:rsid w:val="00BD77BF"/>
    <w:rsid w:val="00BE19E4"/>
    <w:rsid w:val="00BE2A7D"/>
    <w:rsid w:val="00BE2AA6"/>
    <w:rsid w:val="00BE542A"/>
    <w:rsid w:val="00BE72A0"/>
    <w:rsid w:val="00BE7DE8"/>
    <w:rsid w:val="00BF14C8"/>
    <w:rsid w:val="00BF18C0"/>
    <w:rsid w:val="00BF1DB0"/>
    <w:rsid w:val="00BF2E43"/>
    <w:rsid w:val="00BF30E8"/>
    <w:rsid w:val="00BF3D32"/>
    <w:rsid w:val="00BF550B"/>
    <w:rsid w:val="00BF57E2"/>
    <w:rsid w:val="00BF63EF"/>
    <w:rsid w:val="00BF6A0D"/>
    <w:rsid w:val="00BF7039"/>
    <w:rsid w:val="00BF774A"/>
    <w:rsid w:val="00C005C2"/>
    <w:rsid w:val="00C008A1"/>
    <w:rsid w:val="00C019B6"/>
    <w:rsid w:val="00C02721"/>
    <w:rsid w:val="00C02BA0"/>
    <w:rsid w:val="00C02E7E"/>
    <w:rsid w:val="00C03C12"/>
    <w:rsid w:val="00C04E41"/>
    <w:rsid w:val="00C053BC"/>
    <w:rsid w:val="00C0566E"/>
    <w:rsid w:val="00C05A49"/>
    <w:rsid w:val="00C0660F"/>
    <w:rsid w:val="00C076E3"/>
    <w:rsid w:val="00C07F92"/>
    <w:rsid w:val="00C104E7"/>
    <w:rsid w:val="00C105EA"/>
    <w:rsid w:val="00C10715"/>
    <w:rsid w:val="00C10F2C"/>
    <w:rsid w:val="00C11150"/>
    <w:rsid w:val="00C11BF4"/>
    <w:rsid w:val="00C12C51"/>
    <w:rsid w:val="00C13E95"/>
    <w:rsid w:val="00C13EF1"/>
    <w:rsid w:val="00C15D28"/>
    <w:rsid w:val="00C1664F"/>
    <w:rsid w:val="00C20C39"/>
    <w:rsid w:val="00C21849"/>
    <w:rsid w:val="00C21F18"/>
    <w:rsid w:val="00C23B49"/>
    <w:rsid w:val="00C23CFD"/>
    <w:rsid w:val="00C2402F"/>
    <w:rsid w:val="00C24BA3"/>
    <w:rsid w:val="00C24BDE"/>
    <w:rsid w:val="00C25391"/>
    <w:rsid w:val="00C25DF7"/>
    <w:rsid w:val="00C274B0"/>
    <w:rsid w:val="00C27FA5"/>
    <w:rsid w:val="00C30426"/>
    <w:rsid w:val="00C30B4C"/>
    <w:rsid w:val="00C313D0"/>
    <w:rsid w:val="00C316FA"/>
    <w:rsid w:val="00C32833"/>
    <w:rsid w:val="00C344A1"/>
    <w:rsid w:val="00C3605C"/>
    <w:rsid w:val="00C408CD"/>
    <w:rsid w:val="00C42AAD"/>
    <w:rsid w:val="00C434E6"/>
    <w:rsid w:val="00C43F04"/>
    <w:rsid w:val="00C44B4B"/>
    <w:rsid w:val="00C44D01"/>
    <w:rsid w:val="00C4511F"/>
    <w:rsid w:val="00C45D7A"/>
    <w:rsid w:val="00C466BE"/>
    <w:rsid w:val="00C50ACC"/>
    <w:rsid w:val="00C55E20"/>
    <w:rsid w:val="00C56F8D"/>
    <w:rsid w:val="00C57620"/>
    <w:rsid w:val="00C57838"/>
    <w:rsid w:val="00C578E1"/>
    <w:rsid w:val="00C61A31"/>
    <w:rsid w:val="00C61D54"/>
    <w:rsid w:val="00C61E52"/>
    <w:rsid w:val="00C62A1B"/>
    <w:rsid w:val="00C635BF"/>
    <w:rsid w:val="00C63FFF"/>
    <w:rsid w:val="00C6529A"/>
    <w:rsid w:val="00C654A5"/>
    <w:rsid w:val="00C65DF5"/>
    <w:rsid w:val="00C65FCD"/>
    <w:rsid w:val="00C6633D"/>
    <w:rsid w:val="00C66AFC"/>
    <w:rsid w:val="00C66D59"/>
    <w:rsid w:val="00C674A4"/>
    <w:rsid w:val="00C7182A"/>
    <w:rsid w:val="00C72ADF"/>
    <w:rsid w:val="00C73E40"/>
    <w:rsid w:val="00C73F91"/>
    <w:rsid w:val="00C740D1"/>
    <w:rsid w:val="00C7465A"/>
    <w:rsid w:val="00C74934"/>
    <w:rsid w:val="00C74A13"/>
    <w:rsid w:val="00C76A25"/>
    <w:rsid w:val="00C76E67"/>
    <w:rsid w:val="00C76FFD"/>
    <w:rsid w:val="00C771DF"/>
    <w:rsid w:val="00C77AE5"/>
    <w:rsid w:val="00C77B77"/>
    <w:rsid w:val="00C8008B"/>
    <w:rsid w:val="00C800ED"/>
    <w:rsid w:val="00C81BC2"/>
    <w:rsid w:val="00C82841"/>
    <w:rsid w:val="00C835E3"/>
    <w:rsid w:val="00C8369E"/>
    <w:rsid w:val="00C84D33"/>
    <w:rsid w:val="00C857FB"/>
    <w:rsid w:val="00C86082"/>
    <w:rsid w:val="00C866FE"/>
    <w:rsid w:val="00C86BE5"/>
    <w:rsid w:val="00C90C69"/>
    <w:rsid w:val="00C91AE9"/>
    <w:rsid w:val="00C923AF"/>
    <w:rsid w:val="00C92505"/>
    <w:rsid w:val="00C92A82"/>
    <w:rsid w:val="00C9389A"/>
    <w:rsid w:val="00C9442F"/>
    <w:rsid w:val="00C9593C"/>
    <w:rsid w:val="00CA0875"/>
    <w:rsid w:val="00CA1632"/>
    <w:rsid w:val="00CA2632"/>
    <w:rsid w:val="00CA2B39"/>
    <w:rsid w:val="00CA2C59"/>
    <w:rsid w:val="00CA37AF"/>
    <w:rsid w:val="00CA4464"/>
    <w:rsid w:val="00CA552B"/>
    <w:rsid w:val="00CA5C36"/>
    <w:rsid w:val="00CA67DB"/>
    <w:rsid w:val="00CA765C"/>
    <w:rsid w:val="00CA7CB9"/>
    <w:rsid w:val="00CA7D6D"/>
    <w:rsid w:val="00CB136F"/>
    <w:rsid w:val="00CB147D"/>
    <w:rsid w:val="00CB1ED6"/>
    <w:rsid w:val="00CB3247"/>
    <w:rsid w:val="00CB3C64"/>
    <w:rsid w:val="00CB41F1"/>
    <w:rsid w:val="00CB5029"/>
    <w:rsid w:val="00CB61AF"/>
    <w:rsid w:val="00CB6458"/>
    <w:rsid w:val="00CB656D"/>
    <w:rsid w:val="00CC03E1"/>
    <w:rsid w:val="00CC0691"/>
    <w:rsid w:val="00CC0ED8"/>
    <w:rsid w:val="00CC115A"/>
    <w:rsid w:val="00CC15DE"/>
    <w:rsid w:val="00CC1790"/>
    <w:rsid w:val="00CC2C53"/>
    <w:rsid w:val="00CC3331"/>
    <w:rsid w:val="00CC3B5C"/>
    <w:rsid w:val="00CC456F"/>
    <w:rsid w:val="00CC51B0"/>
    <w:rsid w:val="00CC5A07"/>
    <w:rsid w:val="00CC5DF2"/>
    <w:rsid w:val="00CC627B"/>
    <w:rsid w:val="00CC6B97"/>
    <w:rsid w:val="00CC6C5D"/>
    <w:rsid w:val="00CC71E4"/>
    <w:rsid w:val="00CC7DB8"/>
    <w:rsid w:val="00CD006B"/>
    <w:rsid w:val="00CD0249"/>
    <w:rsid w:val="00CD0694"/>
    <w:rsid w:val="00CD0AB9"/>
    <w:rsid w:val="00CD10A4"/>
    <w:rsid w:val="00CD1382"/>
    <w:rsid w:val="00CD3080"/>
    <w:rsid w:val="00CD55D4"/>
    <w:rsid w:val="00CD5E73"/>
    <w:rsid w:val="00CD6B67"/>
    <w:rsid w:val="00CD7CB5"/>
    <w:rsid w:val="00CE15D8"/>
    <w:rsid w:val="00CE1F9B"/>
    <w:rsid w:val="00CE2EA9"/>
    <w:rsid w:val="00CE3C0F"/>
    <w:rsid w:val="00CE476F"/>
    <w:rsid w:val="00CE47B4"/>
    <w:rsid w:val="00CE4E11"/>
    <w:rsid w:val="00CE666B"/>
    <w:rsid w:val="00CF01B4"/>
    <w:rsid w:val="00CF2046"/>
    <w:rsid w:val="00CF2357"/>
    <w:rsid w:val="00CF29EA"/>
    <w:rsid w:val="00CF45A0"/>
    <w:rsid w:val="00D00D6A"/>
    <w:rsid w:val="00D0304D"/>
    <w:rsid w:val="00D0377E"/>
    <w:rsid w:val="00D0414D"/>
    <w:rsid w:val="00D069D3"/>
    <w:rsid w:val="00D06FD3"/>
    <w:rsid w:val="00D07430"/>
    <w:rsid w:val="00D07BD4"/>
    <w:rsid w:val="00D10051"/>
    <w:rsid w:val="00D10740"/>
    <w:rsid w:val="00D126AE"/>
    <w:rsid w:val="00D13581"/>
    <w:rsid w:val="00D13A19"/>
    <w:rsid w:val="00D13B21"/>
    <w:rsid w:val="00D13F7A"/>
    <w:rsid w:val="00D1444F"/>
    <w:rsid w:val="00D14C93"/>
    <w:rsid w:val="00D2137D"/>
    <w:rsid w:val="00D22199"/>
    <w:rsid w:val="00D22D96"/>
    <w:rsid w:val="00D2390D"/>
    <w:rsid w:val="00D23D42"/>
    <w:rsid w:val="00D2472E"/>
    <w:rsid w:val="00D266D8"/>
    <w:rsid w:val="00D26753"/>
    <w:rsid w:val="00D26FE5"/>
    <w:rsid w:val="00D2704E"/>
    <w:rsid w:val="00D2758D"/>
    <w:rsid w:val="00D30DDB"/>
    <w:rsid w:val="00D30EE2"/>
    <w:rsid w:val="00D347F3"/>
    <w:rsid w:val="00D35327"/>
    <w:rsid w:val="00D357EF"/>
    <w:rsid w:val="00D368DA"/>
    <w:rsid w:val="00D401B8"/>
    <w:rsid w:val="00D40BA1"/>
    <w:rsid w:val="00D4165E"/>
    <w:rsid w:val="00D4188C"/>
    <w:rsid w:val="00D41C6F"/>
    <w:rsid w:val="00D41D45"/>
    <w:rsid w:val="00D41D6F"/>
    <w:rsid w:val="00D43E90"/>
    <w:rsid w:val="00D4541B"/>
    <w:rsid w:val="00D45A1C"/>
    <w:rsid w:val="00D45EF2"/>
    <w:rsid w:val="00D46559"/>
    <w:rsid w:val="00D4661D"/>
    <w:rsid w:val="00D47231"/>
    <w:rsid w:val="00D4758F"/>
    <w:rsid w:val="00D50A04"/>
    <w:rsid w:val="00D50D38"/>
    <w:rsid w:val="00D50F82"/>
    <w:rsid w:val="00D50FA0"/>
    <w:rsid w:val="00D521B6"/>
    <w:rsid w:val="00D52275"/>
    <w:rsid w:val="00D536C8"/>
    <w:rsid w:val="00D53E92"/>
    <w:rsid w:val="00D540B5"/>
    <w:rsid w:val="00D549B8"/>
    <w:rsid w:val="00D55226"/>
    <w:rsid w:val="00D56894"/>
    <w:rsid w:val="00D573FC"/>
    <w:rsid w:val="00D6077E"/>
    <w:rsid w:val="00D60D92"/>
    <w:rsid w:val="00D62A78"/>
    <w:rsid w:val="00D6437B"/>
    <w:rsid w:val="00D64741"/>
    <w:rsid w:val="00D64EFD"/>
    <w:rsid w:val="00D66021"/>
    <w:rsid w:val="00D6785B"/>
    <w:rsid w:val="00D67C59"/>
    <w:rsid w:val="00D67F97"/>
    <w:rsid w:val="00D70770"/>
    <w:rsid w:val="00D707CC"/>
    <w:rsid w:val="00D724FF"/>
    <w:rsid w:val="00D7464E"/>
    <w:rsid w:val="00D751DD"/>
    <w:rsid w:val="00D756A7"/>
    <w:rsid w:val="00D75926"/>
    <w:rsid w:val="00D75E82"/>
    <w:rsid w:val="00D7797B"/>
    <w:rsid w:val="00D77B13"/>
    <w:rsid w:val="00D80441"/>
    <w:rsid w:val="00D80442"/>
    <w:rsid w:val="00D80749"/>
    <w:rsid w:val="00D8192B"/>
    <w:rsid w:val="00D8197F"/>
    <w:rsid w:val="00D81C99"/>
    <w:rsid w:val="00D82BA0"/>
    <w:rsid w:val="00D82D73"/>
    <w:rsid w:val="00D84EC2"/>
    <w:rsid w:val="00D868D7"/>
    <w:rsid w:val="00D87F1E"/>
    <w:rsid w:val="00D90609"/>
    <w:rsid w:val="00D9085E"/>
    <w:rsid w:val="00D913DA"/>
    <w:rsid w:val="00D915A0"/>
    <w:rsid w:val="00D9165C"/>
    <w:rsid w:val="00D91983"/>
    <w:rsid w:val="00D9320E"/>
    <w:rsid w:val="00D9332E"/>
    <w:rsid w:val="00D93C42"/>
    <w:rsid w:val="00D9786C"/>
    <w:rsid w:val="00D97AB3"/>
    <w:rsid w:val="00D97B76"/>
    <w:rsid w:val="00DA06B7"/>
    <w:rsid w:val="00DA0BF7"/>
    <w:rsid w:val="00DA164C"/>
    <w:rsid w:val="00DA186A"/>
    <w:rsid w:val="00DA2A84"/>
    <w:rsid w:val="00DA2FC4"/>
    <w:rsid w:val="00DA3DD3"/>
    <w:rsid w:val="00DA3E06"/>
    <w:rsid w:val="00DA3FB5"/>
    <w:rsid w:val="00DA4941"/>
    <w:rsid w:val="00DA49A8"/>
    <w:rsid w:val="00DA4A29"/>
    <w:rsid w:val="00DA4D5D"/>
    <w:rsid w:val="00DA4F53"/>
    <w:rsid w:val="00DA5CD1"/>
    <w:rsid w:val="00DA6013"/>
    <w:rsid w:val="00DA6546"/>
    <w:rsid w:val="00DA789D"/>
    <w:rsid w:val="00DB093F"/>
    <w:rsid w:val="00DB0F62"/>
    <w:rsid w:val="00DB1B30"/>
    <w:rsid w:val="00DB25DC"/>
    <w:rsid w:val="00DB3FE4"/>
    <w:rsid w:val="00DB46D6"/>
    <w:rsid w:val="00DB5360"/>
    <w:rsid w:val="00DB546B"/>
    <w:rsid w:val="00DB6671"/>
    <w:rsid w:val="00DB71C7"/>
    <w:rsid w:val="00DB7D40"/>
    <w:rsid w:val="00DC1D06"/>
    <w:rsid w:val="00DC29C4"/>
    <w:rsid w:val="00DC35FC"/>
    <w:rsid w:val="00DC3B51"/>
    <w:rsid w:val="00DC4400"/>
    <w:rsid w:val="00DC6E4D"/>
    <w:rsid w:val="00DC7554"/>
    <w:rsid w:val="00DD0C65"/>
    <w:rsid w:val="00DD18B3"/>
    <w:rsid w:val="00DD218E"/>
    <w:rsid w:val="00DD2381"/>
    <w:rsid w:val="00DD5F4B"/>
    <w:rsid w:val="00DD71F8"/>
    <w:rsid w:val="00DE098A"/>
    <w:rsid w:val="00DE0ED8"/>
    <w:rsid w:val="00DE10DE"/>
    <w:rsid w:val="00DE1897"/>
    <w:rsid w:val="00DE315D"/>
    <w:rsid w:val="00DE3962"/>
    <w:rsid w:val="00DE3D91"/>
    <w:rsid w:val="00DE43EB"/>
    <w:rsid w:val="00DE5198"/>
    <w:rsid w:val="00DE540E"/>
    <w:rsid w:val="00DE60A7"/>
    <w:rsid w:val="00DE6F5C"/>
    <w:rsid w:val="00DE7751"/>
    <w:rsid w:val="00DF02F4"/>
    <w:rsid w:val="00DF0509"/>
    <w:rsid w:val="00DF0726"/>
    <w:rsid w:val="00DF087A"/>
    <w:rsid w:val="00DF5E0C"/>
    <w:rsid w:val="00DF64D1"/>
    <w:rsid w:val="00DF7763"/>
    <w:rsid w:val="00E00DBB"/>
    <w:rsid w:val="00E0136B"/>
    <w:rsid w:val="00E01FCC"/>
    <w:rsid w:val="00E02220"/>
    <w:rsid w:val="00E02492"/>
    <w:rsid w:val="00E026C1"/>
    <w:rsid w:val="00E06121"/>
    <w:rsid w:val="00E06BE6"/>
    <w:rsid w:val="00E07326"/>
    <w:rsid w:val="00E07F01"/>
    <w:rsid w:val="00E101FC"/>
    <w:rsid w:val="00E11E6F"/>
    <w:rsid w:val="00E12CBE"/>
    <w:rsid w:val="00E13909"/>
    <w:rsid w:val="00E1391F"/>
    <w:rsid w:val="00E13C19"/>
    <w:rsid w:val="00E1437D"/>
    <w:rsid w:val="00E14DAE"/>
    <w:rsid w:val="00E14F5F"/>
    <w:rsid w:val="00E15C5B"/>
    <w:rsid w:val="00E163FA"/>
    <w:rsid w:val="00E167FA"/>
    <w:rsid w:val="00E16850"/>
    <w:rsid w:val="00E168EE"/>
    <w:rsid w:val="00E16CBD"/>
    <w:rsid w:val="00E1701D"/>
    <w:rsid w:val="00E173A6"/>
    <w:rsid w:val="00E17F6D"/>
    <w:rsid w:val="00E17F9A"/>
    <w:rsid w:val="00E20C56"/>
    <w:rsid w:val="00E221F3"/>
    <w:rsid w:val="00E223C9"/>
    <w:rsid w:val="00E226EF"/>
    <w:rsid w:val="00E227F6"/>
    <w:rsid w:val="00E2374C"/>
    <w:rsid w:val="00E2542E"/>
    <w:rsid w:val="00E264F6"/>
    <w:rsid w:val="00E2664C"/>
    <w:rsid w:val="00E2665A"/>
    <w:rsid w:val="00E26865"/>
    <w:rsid w:val="00E26A11"/>
    <w:rsid w:val="00E26A70"/>
    <w:rsid w:val="00E26C61"/>
    <w:rsid w:val="00E278AE"/>
    <w:rsid w:val="00E302B6"/>
    <w:rsid w:val="00E3040B"/>
    <w:rsid w:val="00E308FE"/>
    <w:rsid w:val="00E31872"/>
    <w:rsid w:val="00E31994"/>
    <w:rsid w:val="00E31A1E"/>
    <w:rsid w:val="00E32061"/>
    <w:rsid w:val="00E321BE"/>
    <w:rsid w:val="00E34011"/>
    <w:rsid w:val="00E34330"/>
    <w:rsid w:val="00E34D18"/>
    <w:rsid w:val="00E35C58"/>
    <w:rsid w:val="00E365A1"/>
    <w:rsid w:val="00E36690"/>
    <w:rsid w:val="00E36992"/>
    <w:rsid w:val="00E369C2"/>
    <w:rsid w:val="00E40D8A"/>
    <w:rsid w:val="00E41F37"/>
    <w:rsid w:val="00E43141"/>
    <w:rsid w:val="00E433E9"/>
    <w:rsid w:val="00E43EF8"/>
    <w:rsid w:val="00E44697"/>
    <w:rsid w:val="00E449AF"/>
    <w:rsid w:val="00E4594F"/>
    <w:rsid w:val="00E45F21"/>
    <w:rsid w:val="00E475E1"/>
    <w:rsid w:val="00E50055"/>
    <w:rsid w:val="00E50514"/>
    <w:rsid w:val="00E507CE"/>
    <w:rsid w:val="00E5157F"/>
    <w:rsid w:val="00E52A6A"/>
    <w:rsid w:val="00E53361"/>
    <w:rsid w:val="00E53EE6"/>
    <w:rsid w:val="00E55F36"/>
    <w:rsid w:val="00E56222"/>
    <w:rsid w:val="00E56602"/>
    <w:rsid w:val="00E60109"/>
    <w:rsid w:val="00E617F8"/>
    <w:rsid w:val="00E61946"/>
    <w:rsid w:val="00E621A4"/>
    <w:rsid w:val="00E62D17"/>
    <w:rsid w:val="00E635ED"/>
    <w:rsid w:val="00E63671"/>
    <w:rsid w:val="00E63792"/>
    <w:rsid w:val="00E64766"/>
    <w:rsid w:val="00E64F22"/>
    <w:rsid w:val="00E660C1"/>
    <w:rsid w:val="00E669C3"/>
    <w:rsid w:val="00E67391"/>
    <w:rsid w:val="00E7054E"/>
    <w:rsid w:val="00E70985"/>
    <w:rsid w:val="00E70D29"/>
    <w:rsid w:val="00E71DE4"/>
    <w:rsid w:val="00E71EC3"/>
    <w:rsid w:val="00E7257C"/>
    <w:rsid w:val="00E732FC"/>
    <w:rsid w:val="00E74CB5"/>
    <w:rsid w:val="00E757FB"/>
    <w:rsid w:val="00E759F0"/>
    <w:rsid w:val="00E80431"/>
    <w:rsid w:val="00E81915"/>
    <w:rsid w:val="00E81FBC"/>
    <w:rsid w:val="00E82AC9"/>
    <w:rsid w:val="00E832DD"/>
    <w:rsid w:val="00E84089"/>
    <w:rsid w:val="00E84223"/>
    <w:rsid w:val="00E850E5"/>
    <w:rsid w:val="00E850FB"/>
    <w:rsid w:val="00E85DEE"/>
    <w:rsid w:val="00E8676F"/>
    <w:rsid w:val="00E86BCC"/>
    <w:rsid w:val="00E90DF7"/>
    <w:rsid w:val="00E9302C"/>
    <w:rsid w:val="00E93C55"/>
    <w:rsid w:val="00E94780"/>
    <w:rsid w:val="00E9478F"/>
    <w:rsid w:val="00E94B50"/>
    <w:rsid w:val="00E94C51"/>
    <w:rsid w:val="00E975CA"/>
    <w:rsid w:val="00EA0CFE"/>
    <w:rsid w:val="00EA0D90"/>
    <w:rsid w:val="00EA18ED"/>
    <w:rsid w:val="00EA2146"/>
    <w:rsid w:val="00EA270B"/>
    <w:rsid w:val="00EA2BF3"/>
    <w:rsid w:val="00EA362E"/>
    <w:rsid w:val="00EA3AD2"/>
    <w:rsid w:val="00EA3E5C"/>
    <w:rsid w:val="00EA423B"/>
    <w:rsid w:val="00EA5688"/>
    <w:rsid w:val="00EA5715"/>
    <w:rsid w:val="00EA5F65"/>
    <w:rsid w:val="00EA6EBF"/>
    <w:rsid w:val="00EA7335"/>
    <w:rsid w:val="00EA7D6B"/>
    <w:rsid w:val="00EB0C2E"/>
    <w:rsid w:val="00EB0CD5"/>
    <w:rsid w:val="00EB1597"/>
    <w:rsid w:val="00EB1B1F"/>
    <w:rsid w:val="00EB1BAD"/>
    <w:rsid w:val="00EB3809"/>
    <w:rsid w:val="00EB40B7"/>
    <w:rsid w:val="00EB4263"/>
    <w:rsid w:val="00EB524E"/>
    <w:rsid w:val="00EB6168"/>
    <w:rsid w:val="00EC0F5E"/>
    <w:rsid w:val="00EC15A4"/>
    <w:rsid w:val="00EC1EDF"/>
    <w:rsid w:val="00EC26E2"/>
    <w:rsid w:val="00EC4448"/>
    <w:rsid w:val="00EC49DF"/>
    <w:rsid w:val="00EC4D71"/>
    <w:rsid w:val="00EC62D0"/>
    <w:rsid w:val="00EC7B39"/>
    <w:rsid w:val="00ED22A9"/>
    <w:rsid w:val="00ED38E9"/>
    <w:rsid w:val="00ED3DD4"/>
    <w:rsid w:val="00ED6784"/>
    <w:rsid w:val="00ED6B4D"/>
    <w:rsid w:val="00ED6F18"/>
    <w:rsid w:val="00EE021B"/>
    <w:rsid w:val="00EE0C2E"/>
    <w:rsid w:val="00EE195D"/>
    <w:rsid w:val="00EE2753"/>
    <w:rsid w:val="00EE2C26"/>
    <w:rsid w:val="00EE4378"/>
    <w:rsid w:val="00EE4B2B"/>
    <w:rsid w:val="00EE5573"/>
    <w:rsid w:val="00EE59BB"/>
    <w:rsid w:val="00EE76B9"/>
    <w:rsid w:val="00EE7D72"/>
    <w:rsid w:val="00EF029C"/>
    <w:rsid w:val="00EF1ABF"/>
    <w:rsid w:val="00EF1BF1"/>
    <w:rsid w:val="00EF2B2A"/>
    <w:rsid w:val="00EF3AC8"/>
    <w:rsid w:val="00EF3FC2"/>
    <w:rsid w:val="00EF43D3"/>
    <w:rsid w:val="00EF4C55"/>
    <w:rsid w:val="00EF5F95"/>
    <w:rsid w:val="00EF639B"/>
    <w:rsid w:val="00EF6907"/>
    <w:rsid w:val="00EF6ABA"/>
    <w:rsid w:val="00EF6B05"/>
    <w:rsid w:val="00EF732F"/>
    <w:rsid w:val="00EF7C32"/>
    <w:rsid w:val="00EF7E1F"/>
    <w:rsid w:val="00F00241"/>
    <w:rsid w:val="00F01DBB"/>
    <w:rsid w:val="00F01E99"/>
    <w:rsid w:val="00F023E7"/>
    <w:rsid w:val="00F053DA"/>
    <w:rsid w:val="00F0551D"/>
    <w:rsid w:val="00F05617"/>
    <w:rsid w:val="00F05DDE"/>
    <w:rsid w:val="00F06AE7"/>
    <w:rsid w:val="00F070DE"/>
    <w:rsid w:val="00F07354"/>
    <w:rsid w:val="00F10584"/>
    <w:rsid w:val="00F124FB"/>
    <w:rsid w:val="00F12D3C"/>
    <w:rsid w:val="00F13D9A"/>
    <w:rsid w:val="00F14635"/>
    <w:rsid w:val="00F15A3A"/>
    <w:rsid w:val="00F15DDD"/>
    <w:rsid w:val="00F16EFD"/>
    <w:rsid w:val="00F1783A"/>
    <w:rsid w:val="00F178A9"/>
    <w:rsid w:val="00F17D0D"/>
    <w:rsid w:val="00F2256D"/>
    <w:rsid w:val="00F22972"/>
    <w:rsid w:val="00F23762"/>
    <w:rsid w:val="00F23A0D"/>
    <w:rsid w:val="00F24122"/>
    <w:rsid w:val="00F2440E"/>
    <w:rsid w:val="00F24922"/>
    <w:rsid w:val="00F24CA1"/>
    <w:rsid w:val="00F321F5"/>
    <w:rsid w:val="00F32566"/>
    <w:rsid w:val="00F32F0D"/>
    <w:rsid w:val="00F3340C"/>
    <w:rsid w:val="00F34404"/>
    <w:rsid w:val="00F34654"/>
    <w:rsid w:val="00F347A2"/>
    <w:rsid w:val="00F35023"/>
    <w:rsid w:val="00F3557D"/>
    <w:rsid w:val="00F362A4"/>
    <w:rsid w:val="00F36E44"/>
    <w:rsid w:val="00F374FB"/>
    <w:rsid w:val="00F401FC"/>
    <w:rsid w:val="00F40DA8"/>
    <w:rsid w:val="00F413E4"/>
    <w:rsid w:val="00F426A0"/>
    <w:rsid w:val="00F4358D"/>
    <w:rsid w:val="00F447A2"/>
    <w:rsid w:val="00F449BF"/>
    <w:rsid w:val="00F44DE9"/>
    <w:rsid w:val="00F45353"/>
    <w:rsid w:val="00F45931"/>
    <w:rsid w:val="00F46102"/>
    <w:rsid w:val="00F46807"/>
    <w:rsid w:val="00F46951"/>
    <w:rsid w:val="00F521A4"/>
    <w:rsid w:val="00F5433D"/>
    <w:rsid w:val="00F545CC"/>
    <w:rsid w:val="00F54F86"/>
    <w:rsid w:val="00F561A0"/>
    <w:rsid w:val="00F5734C"/>
    <w:rsid w:val="00F5749C"/>
    <w:rsid w:val="00F57D00"/>
    <w:rsid w:val="00F6081C"/>
    <w:rsid w:val="00F60C7E"/>
    <w:rsid w:val="00F664E1"/>
    <w:rsid w:val="00F67619"/>
    <w:rsid w:val="00F6767A"/>
    <w:rsid w:val="00F71B7D"/>
    <w:rsid w:val="00F72334"/>
    <w:rsid w:val="00F725FE"/>
    <w:rsid w:val="00F72644"/>
    <w:rsid w:val="00F72690"/>
    <w:rsid w:val="00F72C02"/>
    <w:rsid w:val="00F72DD3"/>
    <w:rsid w:val="00F75595"/>
    <w:rsid w:val="00F7663F"/>
    <w:rsid w:val="00F76E96"/>
    <w:rsid w:val="00F77425"/>
    <w:rsid w:val="00F7777D"/>
    <w:rsid w:val="00F77CAD"/>
    <w:rsid w:val="00F801F6"/>
    <w:rsid w:val="00F8194D"/>
    <w:rsid w:val="00F81BF2"/>
    <w:rsid w:val="00F822FF"/>
    <w:rsid w:val="00F82C9D"/>
    <w:rsid w:val="00F832AC"/>
    <w:rsid w:val="00F8358C"/>
    <w:rsid w:val="00F83870"/>
    <w:rsid w:val="00F83E69"/>
    <w:rsid w:val="00F84F05"/>
    <w:rsid w:val="00F85DEE"/>
    <w:rsid w:val="00F85FC4"/>
    <w:rsid w:val="00F86742"/>
    <w:rsid w:val="00F87027"/>
    <w:rsid w:val="00F87B9E"/>
    <w:rsid w:val="00F87BB7"/>
    <w:rsid w:val="00F87EA9"/>
    <w:rsid w:val="00F90199"/>
    <w:rsid w:val="00F90482"/>
    <w:rsid w:val="00F90618"/>
    <w:rsid w:val="00F90F0E"/>
    <w:rsid w:val="00F915E3"/>
    <w:rsid w:val="00F91BD6"/>
    <w:rsid w:val="00F92B35"/>
    <w:rsid w:val="00F92EAC"/>
    <w:rsid w:val="00F92F4B"/>
    <w:rsid w:val="00F942C3"/>
    <w:rsid w:val="00F9584D"/>
    <w:rsid w:val="00F96882"/>
    <w:rsid w:val="00F96CC6"/>
    <w:rsid w:val="00F96F01"/>
    <w:rsid w:val="00FA00DD"/>
    <w:rsid w:val="00FA0EDE"/>
    <w:rsid w:val="00FA1A1D"/>
    <w:rsid w:val="00FA1ABE"/>
    <w:rsid w:val="00FA311D"/>
    <w:rsid w:val="00FA3367"/>
    <w:rsid w:val="00FA3666"/>
    <w:rsid w:val="00FA3AAB"/>
    <w:rsid w:val="00FA4B7F"/>
    <w:rsid w:val="00FA5423"/>
    <w:rsid w:val="00FA5704"/>
    <w:rsid w:val="00FA5AC6"/>
    <w:rsid w:val="00FA5C5F"/>
    <w:rsid w:val="00FA5C71"/>
    <w:rsid w:val="00FA61A8"/>
    <w:rsid w:val="00FA6600"/>
    <w:rsid w:val="00FA6E12"/>
    <w:rsid w:val="00FA6E6A"/>
    <w:rsid w:val="00FB0E59"/>
    <w:rsid w:val="00FB2E79"/>
    <w:rsid w:val="00FB365A"/>
    <w:rsid w:val="00FB38C2"/>
    <w:rsid w:val="00FB3A4F"/>
    <w:rsid w:val="00FB4132"/>
    <w:rsid w:val="00FB450C"/>
    <w:rsid w:val="00FB4E55"/>
    <w:rsid w:val="00FB5945"/>
    <w:rsid w:val="00FB6D43"/>
    <w:rsid w:val="00FB76C8"/>
    <w:rsid w:val="00FB7B29"/>
    <w:rsid w:val="00FB7E64"/>
    <w:rsid w:val="00FC00B3"/>
    <w:rsid w:val="00FC1C41"/>
    <w:rsid w:val="00FC1D28"/>
    <w:rsid w:val="00FC765B"/>
    <w:rsid w:val="00FC7818"/>
    <w:rsid w:val="00FD0630"/>
    <w:rsid w:val="00FD0FA1"/>
    <w:rsid w:val="00FD151B"/>
    <w:rsid w:val="00FD171A"/>
    <w:rsid w:val="00FD406D"/>
    <w:rsid w:val="00FD5057"/>
    <w:rsid w:val="00FD507D"/>
    <w:rsid w:val="00FD5A4B"/>
    <w:rsid w:val="00FD63C5"/>
    <w:rsid w:val="00FD6C9A"/>
    <w:rsid w:val="00FD7D71"/>
    <w:rsid w:val="00FE06DF"/>
    <w:rsid w:val="00FE0EAB"/>
    <w:rsid w:val="00FE165A"/>
    <w:rsid w:val="00FE213A"/>
    <w:rsid w:val="00FE2725"/>
    <w:rsid w:val="00FE27CE"/>
    <w:rsid w:val="00FE2CF7"/>
    <w:rsid w:val="00FE4573"/>
    <w:rsid w:val="00FE45FF"/>
    <w:rsid w:val="00FE4FC9"/>
    <w:rsid w:val="00FE544D"/>
    <w:rsid w:val="00FE60CE"/>
    <w:rsid w:val="00FE6AE5"/>
    <w:rsid w:val="00FE6C5C"/>
    <w:rsid w:val="00FE7FDD"/>
    <w:rsid w:val="00FF0140"/>
    <w:rsid w:val="00FF028D"/>
    <w:rsid w:val="00FF0EA0"/>
    <w:rsid w:val="00FF24AD"/>
    <w:rsid w:val="00FF4838"/>
    <w:rsid w:val="00FF56D8"/>
    <w:rsid w:val="00FF6147"/>
    <w:rsid w:val="00FF6893"/>
    <w:rsid w:val="16C91FB2"/>
    <w:rsid w:val="21116DD3"/>
    <w:rsid w:val="5185E10E"/>
    <w:rsid w:val="5B992E47"/>
    <w:rsid w:val="5FF3ACD0"/>
    <w:rsid w:val="7D5DAE5D"/>
    <w:rsid w:val="7F611C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429D1A2"/>
  <w15:docId w15:val="{87618784-EA5F-4A75-9B72-86F0D606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3700"/>
    <w:pPr>
      <w:spacing w:after="120"/>
    </w:pPr>
    <w:rPr>
      <w:sz w:val="24"/>
      <w:szCs w:val="24"/>
    </w:rPr>
  </w:style>
  <w:style w:type="paragraph" w:styleId="Heading1">
    <w:name w:val="heading 1"/>
    <w:basedOn w:val="Normal"/>
    <w:next w:val="Normal"/>
    <w:link w:val="Heading1Char"/>
    <w:qFormat/>
    <w:rsid w:val="00EF7C32"/>
    <w:pPr>
      <w:keepNext/>
      <w:spacing w:after="160"/>
      <w:outlineLvl w:val="0"/>
    </w:pPr>
    <w:rPr>
      <w:b/>
    </w:rPr>
  </w:style>
  <w:style w:type="paragraph" w:styleId="Heading2">
    <w:name w:val="heading 2"/>
    <w:basedOn w:val="Normal"/>
    <w:next w:val="Normal"/>
    <w:qFormat/>
    <w:rsid w:val="00535096"/>
    <w:pPr>
      <w:keepNext/>
      <w:spacing w:before="360" w:after="240"/>
      <w:outlineLvl w:val="1"/>
    </w:pPr>
    <w:rPr>
      <w:b/>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C32"/>
    <w:rPr>
      <w:b/>
      <w:sz w:val="24"/>
      <w:szCs w:val="24"/>
    </w:rPr>
  </w:style>
  <w:style w:type="character" w:customStyle="1" w:styleId="Heading3Char">
    <w:name w:val="Heading 3 Char"/>
    <w:link w:val="Heading3"/>
    <w:rsid w:val="00C800ED"/>
    <w:rPr>
      <w:sz w:val="24"/>
      <w:szCs w:val="24"/>
      <w:u w:val="single"/>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uiPriority w:val="99"/>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qFormat/>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rsid w:val="00C800ED"/>
    <w:rPr>
      <w:sz w:val="20"/>
      <w:szCs w:val="20"/>
    </w:rPr>
  </w:style>
  <w:style w:type="paragraph" w:styleId="NormalWeb">
    <w:name w:val="Normal (Web)"/>
    <w:basedOn w:val="Normal"/>
    <w:uiPriority w:val="99"/>
    <w:qFormat/>
    <w:rsid w:val="00413700"/>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uiPriority w:val="5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exact"/>
      <w:jc w:val="both"/>
    </w:pPr>
  </w:style>
  <w:style w:type="paragraph" w:styleId="ListParagraph">
    <w:name w:val="List Paragraph"/>
    <w:basedOn w:val="Normal"/>
    <w:link w:val="ListParagraphChar"/>
    <w:uiPriority w:val="34"/>
    <w:qFormat/>
    <w:rsid w:val="00612001"/>
    <w:pPr>
      <w:spacing w:after="200" w:line="252" w:lineRule="auto"/>
      <w:ind w:left="720"/>
    </w:pPr>
    <w:rPr>
      <w:rFonts w:eastAsia="Calibri"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link w:val="DefaultChar"/>
    <w:qForma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rsid w:val="00DD0C65"/>
  </w:style>
  <w:style w:type="paragraph" w:styleId="CommentSubject">
    <w:name w:val="annotation subject"/>
    <w:basedOn w:val="CommentText"/>
    <w:next w:val="CommentText"/>
    <w:link w:val="CommentSubjectChar"/>
    <w:rsid w:val="00721B65"/>
    <w:rPr>
      <w:b/>
      <w:bCs/>
    </w:rPr>
  </w:style>
  <w:style w:type="character" w:customStyle="1" w:styleId="CommentSubjectChar">
    <w:name w:val="Comment Subject Char"/>
    <w:basedOn w:val="CommentTextChar"/>
    <w:link w:val="CommentSubject"/>
    <w:rsid w:val="00721B65"/>
    <w:rPr>
      <w:b/>
      <w:bCs/>
    </w:rPr>
  </w:style>
  <w:style w:type="paragraph" w:styleId="Revision">
    <w:name w:val="Revision"/>
    <w:hidden/>
    <w:uiPriority w:val="99"/>
    <w:semiHidden/>
    <w:rsid w:val="00721B65"/>
    <w:rPr>
      <w:sz w:val="24"/>
      <w:szCs w:val="24"/>
    </w:rPr>
  </w:style>
  <w:style w:type="character" w:customStyle="1" w:styleId="HeaderChar">
    <w:name w:val="Header Char"/>
    <w:basedOn w:val="DefaultParagraphFont"/>
    <w:link w:val="Header"/>
    <w:uiPriority w:val="99"/>
    <w:rsid w:val="00C84D33"/>
    <w:rPr>
      <w:sz w:val="24"/>
      <w:szCs w:val="24"/>
    </w:rPr>
  </w:style>
  <w:style w:type="character" w:customStyle="1" w:styleId="Mention1">
    <w:name w:val="Mention1"/>
    <w:basedOn w:val="DefaultParagraphFont"/>
    <w:uiPriority w:val="99"/>
    <w:semiHidden/>
    <w:unhideWhenUsed/>
    <w:rsid w:val="00CB3247"/>
    <w:rPr>
      <w:color w:val="2B579A"/>
      <w:shd w:val="clear" w:color="auto" w:fill="E6E6E6"/>
    </w:rPr>
  </w:style>
  <w:style w:type="paragraph" w:customStyle="1" w:styleId="ICRQuestion">
    <w:name w:val="ICR Question"/>
    <w:basedOn w:val="Heading3"/>
    <w:qFormat/>
    <w:rsid w:val="004754C5"/>
    <w:pPr>
      <w:numPr>
        <w:numId w:val="0"/>
      </w:numPr>
      <w:spacing w:before="240"/>
    </w:pPr>
    <w:rPr>
      <w:b/>
      <w:u w:val="none"/>
    </w:rPr>
  </w:style>
  <w:style w:type="character" w:styleId="PlaceholderText">
    <w:name w:val="Placeholder Text"/>
    <w:basedOn w:val="DefaultParagraphFont"/>
    <w:uiPriority w:val="99"/>
    <w:semiHidden/>
    <w:rsid w:val="007B5553"/>
    <w:rPr>
      <w:color w:val="808080"/>
    </w:rPr>
  </w:style>
  <w:style w:type="paragraph" w:styleId="TOCHeading">
    <w:name w:val="TOC Heading"/>
    <w:basedOn w:val="Heading1"/>
    <w:next w:val="Normal"/>
    <w:uiPriority w:val="39"/>
    <w:unhideWhenUsed/>
    <w:qFormat/>
    <w:rsid w:val="00C76FFD"/>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76FFD"/>
    <w:pPr>
      <w:spacing w:after="100"/>
    </w:pPr>
  </w:style>
  <w:style w:type="paragraph" w:styleId="Title">
    <w:name w:val="Title"/>
    <w:basedOn w:val="Normal"/>
    <w:next w:val="Normal"/>
    <w:link w:val="TitleChar"/>
    <w:qFormat/>
    <w:rsid w:val="00C76F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6FFD"/>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rsid w:val="00612001"/>
    <w:rPr>
      <w:rFonts w:eastAsia="Calibri" w:cs="Arial"/>
      <w:sz w:val="22"/>
      <w:szCs w:val="22"/>
    </w:rPr>
  </w:style>
  <w:style w:type="character" w:customStyle="1" w:styleId="UnresolvedMention1">
    <w:name w:val="Unresolved Mention1"/>
    <w:basedOn w:val="DefaultParagraphFont"/>
    <w:uiPriority w:val="99"/>
    <w:semiHidden/>
    <w:unhideWhenUsed/>
    <w:rsid w:val="004C118E"/>
    <w:rPr>
      <w:color w:val="808080"/>
      <w:shd w:val="clear" w:color="auto" w:fill="E6E6E6"/>
    </w:rPr>
  </w:style>
  <w:style w:type="paragraph" w:styleId="TOC2">
    <w:name w:val="toc 2"/>
    <w:basedOn w:val="Normal"/>
    <w:next w:val="Normal"/>
    <w:autoRedefine/>
    <w:uiPriority w:val="39"/>
    <w:unhideWhenUsed/>
    <w:rsid w:val="00E16CBD"/>
    <w:pPr>
      <w:spacing w:after="100"/>
      <w:ind w:left="240"/>
    </w:pPr>
  </w:style>
  <w:style w:type="paragraph" w:styleId="TOC3">
    <w:name w:val="toc 3"/>
    <w:basedOn w:val="Normal"/>
    <w:next w:val="Normal"/>
    <w:autoRedefine/>
    <w:uiPriority w:val="39"/>
    <w:unhideWhenUsed/>
    <w:rsid w:val="004754C5"/>
    <w:pPr>
      <w:spacing w:after="100"/>
      <w:ind w:left="480"/>
    </w:pPr>
  </w:style>
  <w:style w:type="paragraph" w:styleId="EndnoteText">
    <w:name w:val="endnote text"/>
    <w:basedOn w:val="Normal"/>
    <w:link w:val="EndnoteTextChar"/>
    <w:semiHidden/>
    <w:unhideWhenUsed/>
    <w:rsid w:val="00151B40"/>
    <w:rPr>
      <w:sz w:val="20"/>
      <w:szCs w:val="20"/>
    </w:rPr>
  </w:style>
  <w:style w:type="character" w:customStyle="1" w:styleId="EndnoteTextChar">
    <w:name w:val="Endnote Text Char"/>
    <w:basedOn w:val="DefaultParagraphFont"/>
    <w:link w:val="EndnoteText"/>
    <w:semiHidden/>
    <w:rsid w:val="00151B40"/>
  </w:style>
  <w:style w:type="character" w:styleId="EndnoteReference">
    <w:name w:val="endnote reference"/>
    <w:basedOn w:val="DefaultParagraphFont"/>
    <w:semiHidden/>
    <w:unhideWhenUsed/>
    <w:rsid w:val="00151B40"/>
    <w:rPr>
      <w:vertAlign w:val="superscript"/>
    </w:rPr>
  </w:style>
  <w:style w:type="paragraph" w:customStyle="1" w:styleId="NORCCaption-Exhibit">
    <w:name w:val="NORC Caption - Exhibit"/>
    <w:basedOn w:val="Normal"/>
    <w:qFormat/>
    <w:rsid w:val="00AB74C2"/>
    <w:pPr>
      <w:keepNext/>
      <w:keepLines/>
      <w:pBdr>
        <w:top w:val="single" w:sz="4" w:space="5" w:color="BFB6AC"/>
        <w:bottom w:val="single" w:sz="4" w:space="3" w:color="BFB6AC"/>
      </w:pBdr>
      <w:tabs>
        <w:tab w:val="left" w:pos="1224"/>
      </w:tabs>
      <w:spacing w:before="320" w:line="288" w:lineRule="auto"/>
    </w:pPr>
    <w:rPr>
      <w:rFonts w:ascii="Arial" w:hAnsi="Arial" w:cs="Arial"/>
      <w:color w:val="000000" w:themeColor="text1"/>
      <w:sz w:val="22"/>
    </w:rPr>
  </w:style>
  <w:style w:type="character" w:customStyle="1" w:styleId="NORCCaption-Color">
    <w:name w:val="NORC Caption - Color"/>
    <w:qFormat/>
    <w:rsid w:val="00AB74C2"/>
    <w:rPr>
      <w:rFonts w:ascii="Arial" w:hAnsi="Arial"/>
      <w:b/>
      <w:color w:val="E57200"/>
      <w:sz w:val="22"/>
    </w:rPr>
  </w:style>
  <w:style w:type="paragraph" w:styleId="ListBullet2">
    <w:name w:val="List Bullet 2"/>
    <w:basedOn w:val="Normal"/>
    <w:uiPriority w:val="99"/>
    <w:rsid w:val="00AB74C2"/>
    <w:pPr>
      <w:numPr>
        <w:numId w:val="3"/>
      </w:numPr>
      <w:spacing w:after="60" w:line="288" w:lineRule="auto"/>
    </w:pPr>
    <w:rPr>
      <w:rFonts w:eastAsiaTheme="minorHAnsi"/>
      <w:sz w:val="22"/>
      <w:szCs w:val="22"/>
    </w:rPr>
  </w:style>
  <w:style w:type="paragraph" w:customStyle="1" w:styleId="NORCTableBullet2">
    <w:name w:val="NORC Table Bullet 2"/>
    <w:basedOn w:val="Normal"/>
    <w:qFormat/>
    <w:rsid w:val="00AB74C2"/>
    <w:pPr>
      <w:numPr>
        <w:numId w:val="2"/>
      </w:numPr>
      <w:tabs>
        <w:tab w:val="left" w:pos="432"/>
      </w:tabs>
      <w:spacing w:before="40" w:after="40"/>
      <w:ind w:left="288" w:hanging="144"/>
    </w:pPr>
    <w:rPr>
      <w:rFonts w:ascii="Arial" w:hAnsi="Arial"/>
      <w:color w:val="000000"/>
      <w:sz w:val="18"/>
      <w:szCs w:val="20"/>
    </w:rPr>
  </w:style>
  <w:style w:type="paragraph" w:customStyle="1" w:styleId="NORCTableBodyLeft">
    <w:name w:val="NORC Table Body Left"/>
    <w:rsid w:val="00AB74C2"/>
    <w:pPr>
      <w:spacing w:before="40" w:after="40"/>
    </w:pPr>
    <w:rPr>
      <w:rFonts w:ascii="Arial" w:hAnsi="Arial" w:eastAsiaTheme="minorEastAsia"/>
      <w:sz w:val="18"/>
      <w:szCs w:val="22"/>
    </w:rPr>
  </w:style>
  <w:style w:type="paragraph" w:customStyle="1" w:styleId="NORCTableHeader1">
    <w:name w:val="NORC Table Header 1"/>
    <w:basedOn w:val="Normal"/>
    <w:qFormat/>
    <w:rsid w:val="00AB74C2"/>
    <w:pPr>
      <w:keepNext/>
      <w:keepLines/>
      <w:spacing w:before="60" w:after="60"/>
      <w:jc w:val="center"/>
    </w:pPr>
    <w:rPr>
      <w:rFonts w:ascii="Arial" w:eastAsia="Calibri" w:hAnsi="Arial" w:cs="Arial"/>
      <w:b/>
      <w:sz w:val="18"/>
      <w:szCs w:val="20"/>
    </w:rPr>
  </w:style>
  <w:style w:type="paragraph" w:customStyle="1" w:styleId="NORCResponse">
    <w:name w:val="NORC Response"/>
    <w:basedOn w:val="Normal"/>
    <w:qFormat/>
    <w:rsid w:val="00AB74C2"/>
    <w:pPr>
      <w:spacing w:after="240"/>
      <w:ind w:left="360"/>
    </w:pPr>
    <w:rPr>
      <w:szCs w:val="20"/>
    </w:rPr>
  </w:style>
  <w:style w:type="paragraph" w:styleId="Caption">
    <w:name w:val="caption"/>
    <w:basedOn w:val="Normal"/>
    <w:next w:val="Normal"/>
    <w:unhideWhenUsed/>
    <w:qFormat/>
    <w:rsid w:val="00130982"/>
    <w:pPr>
      <w:spacing w:after="200"/>
    </w:pPr>
    <w:rPr>
      <w:i/>
      <w:iCs/>
      <w:color w:val="1F497D" w:themeColor="text2"/>
      <w:sz w:val="18"/>
      <w:szCs w:val="18"/>
    </w:rPr>
  </w:style>
  <w:style w:type="character" w:customStyle="1" w:styleId="st1">
    <w:name w:val="st1"/>
    <w:basedOn w:val="DefaultParagraphFont"/>
    <w:rsid w:val="007430BF"/>
  </w:style>
  <w:style w:type="table" w:styleId="GridTable1Light">
    <w:name w:val="Grid Table 1 Light"/>
    <w:basedOn w:val="TableNormal"/>
    <w:rsid w:val="009F09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F09C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cf01">
    <w:name w:val="cf01"/>
    <w:basedOn w:val="DefaultParagraphFont"/>
    <w:rsid w:val="00FE7FDD"/>
    <w:rPr>
      <w:rFonts w:ascii="Segoe UI" w:hAnsi="Segoe UI" w:cs="Segoe UI" w:hint="default"/>
      <w:sz w:val="18"/>
      <w:szCs w:val="18"/>
    </w:rPr>
  </w:style>
  <w:style w:type="character" w:customStyle="1" w:styleId="DefaultChar">
    <w:name w:val="Default Char"/>
    <w:link w:val="Default"/>
    <w:rsid w:val="00F60C7E"/>
    <w:rPr>
      <w:rFonts w:ascii="Arial" w:hAnsi="Arial" w:cs="Arial"/>
      <w:color w:val="000000"/>
      <w:sz w:val="24"/>
      <w:szCs w:val="24"/>
    </w:rPr>
  </w:style>
  <w:style w:type="paragraph" w:customStyle="1" w:styleId="paragraph">
    <w:name w:val="paragraph"/>
    <w:basedOn w:val="Normal"/>
    <w:rsid w:val="007B5727"/>
    <w:pPr>
      <w:spacing w:before="100" w:beforeAutospacing="1" w:after="100" w:afterAutospacing="1"/>
    </w:pPr>
  </w:style>
  <w:style w:type="character" w:customStyle="1" w:styleId="normaltextrun">
    <w:name w:val="normaltextrun"/>
    <w:basedOn w:val="DefaultParagraphFont"/>
    <w:rsid w:val="007B5727"/>
  </w:style>
  <w:style w:type="character" w:customStyle="1" w:styleId="eop">
    <w:name w:val="eop"/>
    <w:basedOn w:val="DefaultParagraphFont"/>
    <w:rsid w:val="007B5727"/>
  </w:style>
  <w:style w:type="character" w:styleId="UnresolvedMention">
    <w:name w:val="Unresolved Mention"/>
    <w:basedOn w:val="DefaultParagraphFont"/>
    <w:uiPriority w:val="99"/>
    <w:semiHidden/>
    <w:unhideWhenUsed/>
    <w:rsid w:val="00E3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2024-270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3E38FDB8E604D8658DCE4CBFB4FE7" ma:contentTypeVersion="15" ma:contentTypeDescription="Create a new document." ma:contentTypeScope="" ma:versionID="edab98b7f69b74678365b0f4a0405ebe">
  <xsd:schema xmlns:xsd="http://www.w3.org/2001/XMLSchema" xmlns:xs="http://www.w3.org/2001/XMLSchema" xmlns:p="http://schemas.microsoft.com/office/2006/metadata/properties" xmlns:ns2="49f8bc21-440e-4a57-9d86-6cd1d173d9e8" xmlns:ns3="e63536a5-5169-460c-a60f-78b4ca82d9f8" targetNamespace="http://schemas.microsoft.com/office/2006/metadata/properties" ma:root="true" ma:fieldsID="01412ecd9e99f33b4de164a93aa322cc" ns2:_="" ns3:_="">
    <xsd:import namespace="49f8bc21-440e-4a57-9d86-6cd1d173d9e8"/>
    <xsd:import namespace="e63536a5-5169-460c-a60f-78b4ca82d9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8bc21-440e-4a57-9d86-6cd1d173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e9dc5d6-269e-4464-83fa-9e406c6c735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536a5-5169-460c-a60f-78b4ca82d9f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5693f0-ac95-49e6-bd97-b58a86e9742f}" ma:internalName="TaxCatchAll" ma:showField="CatchAllData" ma:web="e63536a5-5169-460c-a60f-78b4ca82d9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f8bc21-440e-4a57-9d86-6cd1d173d9e8">
      <Terms xmlns="http://schemas.microsoft.com/office/infopath/2007/PartnerControls"/>
    </lcf76f155ced4ddcb4097134ff3c332f>
    <TaxCatchAll xmlns="e63536a5-5169-460c-a60f-78b4ca82d9f8" xsi:nil="true"/>
  </documentManagement>
</p:properties>
</file>

<file path=customXml/itemProps1.xml><?xml version="1.0" encoding="utf-8"?>
<ds:datastoreItem xmlns:ds="http://schemas.openxmlformats.org/officeDocument/2006/customXml" ds:itemID="{0D29B14D-2035-4DD6-912C-B0F31B554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8bc21-440e-4a57-9d86-6cd1d173d9e8"/>
    <ds:schemaRef ds:uri="e63536a5-5169-460c-a60f-78b4ca82d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CB4403-8F94-401E-9580-9A5C7A85EA89}">
  <ds:schemaRefs>
    <ds:schemaRef ds:uri="http://schemas.microsoft.com/sharepoint/v3/contenttype/forms"/>
  </ds:schemaRefs>
</ds:datastoreItem>
</file>

<file path=customXml/itemProps3.xml><?xml version="1.0" encoding="utf-8"?>
<ds:datastoreItem xmlns:ds="http://schemas.openxmlformats.org/officeDocument/2006/customXml" ds:itemID="{892FA8AA-39C6-4FFD-B35C-2F0112F0BE54}">
  <ds:schemaRefs>
    <ds:schemaRef ds:uri="http://schemas.openxmlformats.org/officeDocument/2006/bibliography"/>
  </ds:schemaRefs>
</ds:datastoreItem>
</file>

<file path=customXml/itemProps4.xml><?xml version="1.0" encoding="utf-8"?>
<ds:datastoreItem xmlns:ds="http://schemas.openxmlformats.org/officeDocument/2006/customXml" ds:itemID="{982DBEC5-1AFA-4D1F-8C4E-7240FED41691}">
  <ds:schemaRefs>
    <ds:schemaRef ds:uri="http://schemas.microsoft.com/office/2006/metadata/properties"/>
    <ds:schemaRef ds:uri="http://schemas.microsoft.com/office/infopath/2007/PartnerControls"/>
    <ds:schemaRef ds:uri="49f8bc21-440e-4a57-9d86-6cd1d173d9e8"/>
    <ds:schemaRef ds:uri="e63536a5-5169-460c-a60f-78b4ca82d9f8"/>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11</Pages>
  <Words>3874</Words>
  <Characters>21797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NCC edits</vt:lpstr>
    </vt:vector>
  </TitlesOfParts>
  <Company/>
  <LinksUpToDate>false</LinksUpToDate>
  <CharactersWithSpaces>25620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edits</dc:title>
  <dc:creator>Jenna Darrah</dc:creator>
  <cp:lastModifiedBy>Jeleniewski, Stacy (NHTSA)</cp:lastModifiedBy>
  <cp:revision>5</cp:revision>
  <cp:lastPrinted>2023-05-31T23:26:00Z</cp:lastPrinted>
  <dcterms:created xsi:type="dcterms:W3CDTF">2025-07-23T12:55:00Z</dcterms:created>
  <dcterms:modified xsi:type="dcterms:W3CDTF">2025-09-19T12:48:00Z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0x010100B873E38FDB8E604D8658DCE4CBFB4FE7</vt:lpwstr>
  </property>
  <property fmtid="{D5CDD505-2E9C-101B-9397-08002B2CF9AE}" pid="3" name="MediaServiceImageTags">
    <vt:lpwstr/>
  </property>
  <property fmtid="{D5CDD505-2E9C-101B-9397-08002B2CF9AE}" pid="4" name="MSIP_Label_defa4170-0d19-0005-0004-bc88714345d2_ActionId">
    <vt:lpwstr>51ff890a-4e0e-4f42-9855-903a1d7fa1a3</vt:lpwstr>
  </property>
  <property fmtid="{D5CDD505-2E9C-101B-9397-08002B2CF9AE}" pid="5" name="MSIP_Label_defa4170-0d19-0005-0004-bc88714345d2_ContentBits">
    <vt:lpwstr>0</vt:lpwstr>
  </property>
  <property fmtid="{D5CDD505-2E9C-101B-9397-08002B2CF9AE}" pid="6" name="MSIP_Label_defa4170-0d19-0005-0004-bc88714345d2_Enabled">
    <vt:lpwstr>true</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etDate">
    <vt:lpwstr>2023-05-24T18:37:05Z</vt:lpwstr>
  </property>
  <property fmtid="{D5CDD505-2E9C-101B-9397-08002B2CF9AE}" pid="10" name="MSIP_Label_defa4170-0d19-0005-0004-bc88714345d2_SiteId">
    <vt:lpwstr>fe79eafd-73e6-490d-b9d0-8751013c2b91</vt:lpwstr>
  </property>
  <property fmtid="{D5CDD505-2E9C-101B-9397-08002B2CF9AE}" pid="11" name="Order">
    <vt:r8>20569200</vt:r8>
  </property>
</Properties>
</file>