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8910" w:type="dxa"/>
        <w:tblInd w:w="355" w:type="dxa"/>
        <w:tblLook w:val="04A0"/>
      </w:tblPr>
      <w:tblGrid>
        <w:gridCol w:w="8910"/>
      </w:tblGrid>
      <w:tr w14:paraId="25086D96" w14:textId="77777777" w:rsidTr="0038659C">
        <w:tblPrEx>
          <w:tblW w:w="8910" w:type="dxa"/>
          <w:tblInd w:w="355" w:type="dxa"/>
          <w:tblLook w:val="04A0"/>
        </w:tblPrEx>
        <w:trPr>
          <w:trHeight w:val="2303"/>
        </w:trPr>
        <w:tc>
          <w:tcPr>
            <w:tcW w:w="8910" w:type="dxa"/>
          </w:tcPr>
          <w:p w:rsidR="00092677" w:rsidRPr="0035646D" w:rsidP="007F0B11" w14:paraId="75F30524" w14:textId="77777777">
            <w:pPr>
              <w:rPr>
                <w:rFonts w:ascii="Times New Roman" w:hAnsi="Times New Roman" w:cs="Times New Roman"/>
                <w:sz w:val="24"/>
                <w:szCs w:val="24"/>
              </w:rPr>
            </w:pPr>
            <w:r w:rsidRPr="0035646D">
              <w:rPr>
                <w:rFonts w:ascii="Times New Roman" w:hAnsi="Times New Roman" w:cs="Times New Roman"/>
                <w:sz w:val="24"/>
                <w:szCs w:val="24"/>
              </w:rPr>
              <w:t xml:space="preserve">Summary of Changes from Previously Approved Collection </w:t>
            </w:r>
          </w:p>
          <w:p w:rsidR="00B00225" w:rsidRPr="0035646D" w:rsidP="00EC7B0A" w14:paraId="3DC9C125" w14:textId="2E9C2ED5">
            <w:pPr>
              <w:pStyle w:val="ListParagraph"/>
              <w:numPr>
                <w:ilvl w:val="0"/>
                <w:numId w:val="14"/>
              </w:numPr>
              <w:rPr>
                <w:rFonts w:ascii="Times New Roman" w:hAnsi="Times New Roman" w:cs="Times New Roman"/>
                <w:sz w:val="24"/>
                <w:szCs w:val="24"/>
              </w:rPr>
            </w:pPr>
            <w:r w:rsidRPr="0035646D">
              <w:rPr>
                <w:rFonts w:ascii="Times New Roman" w:hAnsi="Times New Roman" w:cs="Times New Roman"/>
                <w:sz w:val="24"/>
                <w:szCs w:val="24"/>
              </w:rPr>
              <w:t>The respondent burden has increase</w:t>
            </w:r>
            <w:r w:rsidR="00883048">
              <w:rPr>
                <w:rFonts w:ascii="Times New Roman" w:hAnsi="Times New Roman" w:cs="Times New Roman"/>
                <w:sz w:val="24"/>
                <w:szCs w:val="24"/>
              </w:rPr>
              <w:t>d</w:t>
            </w:r>
            <w:r w:rsidRPr="0035646D">
              <w:rPr>
                <w:rFonts w:ascii="Times New Roman" w:hAnsi="Times New Roman" w:cs="Times New Roman"/>
                <w:sz w:val="24"/>
                <w:szCs w:val="24"/>
              </w:rPr>
              <w:t xml:space="preserve"> due to </w:t>
            </w:r>
            <w:r w:rsidR="00883048">
              <w:rPr>
                <w:rFonts w:ascii="Times New Roman" w:hAnsi="Times New Roman" w:cs="Times New Roman"/>
                <w:sz w:val="24"/>
                <w:szCs w:val="24"/>
              </w:rPr>
              <w:t>final r</w:t>
            </w:r>
            <w:r w:rsidRPr="0035646D">
              <w:rPr>
                <w:rFonts w:ascii="Times New Roman" w:hAnsi="Times New Roman" w:cs="Times New Roman"/>
                <w:sz w:val="24"/>
                <w:szCs w:val="24"/>
              </w:rPr>
              <w:t xml:space="preserve">egulation </w:t>
            </w:r>
            <w:r w:rsidR="00E414F7">
              <w:rPr>
                <w:rFonts w:ascii="Times New Roman" w:hAnsi="Times New Roman" w:cs="Times New Roman"/>
                <w:sz w:val="24"/>
                <w:szCs w:val="24"/>
              </w:rPr>
              <w:t>under RIN#2900-AP86</w:t>
            </w:r>
            <w:r w:rsidR="00BB41EA">
              <w:rPr>
                <w:rFonts w:ascii="Times New Roman" w:hAnsi="Times New Roman" w:cs="Times New Roman"/>
                <w:sz w:val="24"/>
                <w:szCs w:val="24"/>
              </w:rPr>
              <w:t xml:space="preserve"> </w:t>
            </w:r>
            <w:r w:rsidR="00E251D8">
              <w:rPr>
                <w:rFonts w:ascii="Times New Roman" w:hAnsi="Times New Roman" w:cs="Times New Roman"/>
                <w:sz w:val="24"/>
                <w:szCs w:val="24"/>
              </w:rPr>
              <w:t xml:space="preserve">having </w:t>
            </w:r>
            <w:r w:rsidR="005F044D">
              <w:rPr>
                <w:rFonts w:ascii="Times New Roman" w:hAnsi="Times New Roman" w:cs="Times New Roman"/>
                <w:sz w:val="24"/>
                <w:szCs w:val="24"/>
              </w:rPr>
              <w:t xml:space="preserve">taken effect January 11, 2024. </w:t>
            </w:r>
            <w:r w:rsidR="00883048">
              <w:rPr>
                <w:rFonts w:ascii="Times New Roman" w:hAnsi="Times New Roman" w:cs="Times New Roman"/>
                <w:sz w:val="24"/>
                <w:szCs w:val="24"/>
              </w:rPr>
              <w:t xml:space="preserve"> </w:t>
            </w:r>
            <w:r w:rsidR="00BB41EA">
              <w:rPr>
                <w:rFonts w:ascii="Times New Roman" w:hAnsi="Times New Roman" w:cs="Times New Roman"/>
                <w:sz w:val="24"/>
                <w:szCs w:val="24"/>
              </w:rPr>
              <w:t xml:space="preserve"> </w:t>
            </w:r>
            <w:r w:rsidRPr="0035646D">
              <w:rPr>
                <w:rFonts w:ascii="Times New Roman" w:hAnsi="Times New Roman" w:cs="Times New Roman"/>
                <w:sz w:val="24"/>
                <w:szCs w:val="24"/>
              </w:rPr>
              <w:t xml:space="preserve"> </w:t>
            </w:r>
          </w:p>
          <w:p w:rsidR="00092677" w:rsidP="0038659C" w14:paraId="4F21F0EC" w14:textId="77777777">
            <w:pPr>
              <w:pStyle w:val="ListParagraph"/>
              <w:numPr>
                <w:ilvl w:val="0"/>
                <w:numId w:val="14"/>
              </w:numPr>
              <w:rPr>
                <w:rFonts w:ascii="Times New Roman" w:hAnsi="Times New Roman" w:cs="Times New Roman"/>
                <w:sz w:val="24"/>
                <w:szCs w:val="24"/>
              </w:rPr>
            </w:pPr>
            <w:r w:rsidRPr="0035646D">
              <w:rPr>
                <w:rFonts w:ascii="Times New Roman" w:hAnsi="Times New Roman" w:cs="Times New Roman"/>
                <w:sz w:val="24"/>
                <w:szCs w:val="24"/>
              </w:rPr>
              <w:t>This collection used to</w:t>
            </w:r>
            <w:r w:rsidRPr="0035646D" w:rsidR="000453A9">
              <w:rPr>
                <w:rFonts w:ascii="Times New Roman" w:hAnsi="Times New Roman" w:cs="Times New Roman"/>
                <w:sz w:val="24"/>
                <w:szCs w:val="24"/>
              </w:rPr>
              <w:t xml:space="preserve"> refer to </w:t>
            </w:r>
            <w:r w:rsidRPr="0035646D" w:rsidR="00CA691E">
              <w:rPr>
                <w:rFonts w:ascii="Times New Roman" w:hAnsi="Times New Roman" w:cs="Times New Roman"/>
                <w:sz w:val="24"/>
                <w:szCs w:val="24"/>
              </w:rPr>
              <w:t>two forms, however, th</w:t>
            </w:r>
            <w:r w:rsidRPr="0035646D" w:rsidR="009A61DF">
              <w:rPr>
                <w:rFonts w:ascii="Times New Roman" w:hAnsi="Times New Roman" w:cs="Times New Roman"/>
                <w:sz w:val="24"/>
                <w:szCs w:val="24"/>
              </w:rPr>
              <w:t xml:space="preserve">at was in error as they are the same form only </w:t>
            </w:r>
            <w:r w:rsidRPr="0035646D" w:rsidR="00CA691E">
              <w:rPr>
                <w:rFonts w:ascii="Times New Roman" w:hAnsi="Times New Roman" w:cs="Times New Roman"/>
                <w:sz w:val="24"/>
                <w:szCs w:val="24"/>
              </w:rPr>
              <w:t>utilized</w:t>
            </w:r>
            <w:r w:rsidRPr="0035646D" w:rsidR="009A61DF">
              <w:rPr>
                <w:rFonts w:ascii="Times New Roman" w:hAnsi="Times New Roman" w:cs="Times New Roman"/>
                <w:sz w:val="24"/>
                <w:szCs w:val="24"/>
              </w:rPr>
              <w:t xml:space="preserve"> in two separate </w:t>
            </w:r>
            <w:r w:rsidRPr="0035646D" w:rsidR="00C46137">
              <w:rPr>
                <w:rFonts w:ascii="Times New Roman" w:hAnsi="Times New Roman" w:cs="Times New Roman"/>
                <w:sz w:val="24"/>
                <w:szCs w:val="24"/>
              </w:rPr>
              <w:t>forums; one as a computer</w:t>
            </w:r>
            <w:r w:rsidR="003D3BF3">
              <w:rPr>
                <w:rFonts w:ascii="Times New Roman" w:hAnsi="Times New Roman" w:cs="Times New Roman"/>
                <w:sz w:val="24"/>
                <w:szCs w:val="24"/>
              </w:rPr>
              <w:t xml:space="preserve"> </w:t>
            </w:r>
            <w:r w:rsidRPr="0035646D" w:rsidR="00C46137">
              <w:rPr>
                <w:rFonts w:ascii="Times New Roman" w:hAnsi="Times New Roman" w:cs="Times New Roman"/>
                <w:sz w:val="24"/>
                <w:szCs w:val="24"/>
              </w:rPr>
              <w:t xml:space="preserve">generated form which is dispatched as a yearly batch print and the other is made available on the One-VA website, for the usability of the claimant should </w:t>
            </w:r>
            <w:r w:rsidR="000778F2">
              <w:rPr>
                <w:rFonts w:ascii="Times New Roman" w:hAnsi="Times New Roman" w:cs="Times New Roman"/>
                <w:sz w:val="24"/>
                <w:szCs w:val="24"/>
              </w:rPr>
              <w:t>he/she</w:t>
            </w:r>
            <w:r w:rsidRPr="0035646D" w:rsidR="00C46137">
              <w:rPr>
                <w:rFonts w:ascii="Times New Roman" w:hAnsi="Times New Roman" w:cs="Times New Roman"/>
                <w:sz w:val="24"/>
                <w:szCs w:val="24"/>
              </w:rPr>
              <w:t xml:space="preserve"> not receive the batch printed form</w:t>
            </w:r>
            <w:r w:rsidRPr="0035646D">
              <w:rPr>
                <w:rFonts w:ascii="Times New Roman" w:hAnsi="Times New Roman" w:cs="Times New Roman"/>
                <w:sz w:val="24"/>
                <w:szCs w:val="24"/>
              </w:rPr>
              <w:t xml:space="preserve">. </w:t>
            </w:r>
            <w:r w:rsidRPr="0035646D" w:rsidR="00361CEC">
              <w:rPr>
                <w:rFonts w:ascii="Times New Roman" w:hAnsi="Times New Roman" w:cs="Times New Roman"/>
                <w:sz w:val="24"/>
                <w:szCs w:val="24"/>
              </w:rPr>
              <w:t xml:space="preserve">As such, VA </w:t>
            </w:r>
            <w:r w:rsidRPr="0035646D" w:rsidR="0035646D">
              <w:rPr>
                <w:rFonts w:ascii="Times New Roman" w:hAnsi="Times New Roman" w:cs="Times New Roman"/>
                <w:sz w:val="24"/>
                <w:szCs w:val="24"/>
              </w:rPr>
              <w:t xml:space="preserve">now refers to this collection as containing one </w:t>
            </w:r>
            <w:r w:rsidRPr="0035646D" w:rsidR="00724EB2">
              <w:rPr>
                <w:rFonts w:ascii="Times New Roman" w:hAnsi="Times New Roman" w:cs="Times New Roman"/>
                <w:sz w:val="24"/>
                <w:szCs w:val="24"/>
              </w:rPr>
              <w:t>form</w:t>
            </w:r>
            <w:r w:rsidRPr="0035646D" w:rsidR="00724EB2">
              <w:rPr>
                <w:sz w:val="24"/>
                <w:szCs w:val="24"/>
              </w:rPr>
              <w:t>:</w:t>
            </w:r>
            <w:r w:rsidRPr="0035646D" w:rsidR="0035646D">
              <w:rPr>
                <w:rFonts w:ascii="Times New Roman" w:hAnsi="Times New Roman" w:cs="Times New Roman"/>
                <w:sz w:val="24"/>
                <w:szCs w:val="24"/>
              </w:rPr>
              <w:t xml:space="preserve"> </w:t>
            </w:r>
            <w:r w:rsidRPr="0035646D" w:rsidR="0074594B">
              <w:rPr>
                <w:rFonts w:ascii="Times New Roman" w:hAnsi="Times New Roman" w:cs="Times New Roman"/>
                <w:sz w:val="24"/>
                <w:szCs w:val="24"/>
              </w:rPr>
              <w:t>VA</w:t>
            </w:r>
            <w:r w:rsidRPr="0035646D" w:rsidR="0035646D">
              <w:rPr>
                <w:rFonts w:ascii="Times New Roman" w:hAnsi="Times New Roman" w:cs="Times New Roman"/>
                <w:sz w:val="24"/>
                <w:szCs w:val="24"/>
              </w:rPr>
              <w:t xml:space="preserve"> </w:t>
            </w:r>
            <w:r w:rsidRPr="0035646D" w:rsidR="0074594B">
              <w:rPr>
                <w:rFonts w:ascii="Times New Roman" w:hAnsi="Times New Roman" w:cs="Times New Roman"/>
                <w:sz w:val="24"/>
                <w:szCs w:val="24"/>
              </w:rPr>
              <w:t>F</w:t>
            </w:r>
            <w:r w:rsidRPr="0035646D" w:rsidR="0035646D">
              <w:rPr>
                <w:rFonts w:ascii="Times New Roman" w:hAnsi="Times New Roman" w:cs="Times New Roman"/>
                <w:sz w:val="24"/>
                <w:szCs w:val="24"/>
              </w:rPr>
              <w:t xml:space="preserve">orm </w:t>
            </w:r>
            <w:r w:rsidRPr="0035646D" w:rsidR="0074594B">
              <w:rPr>
                <w:rFonts w:ascii="Times New Roman" w:hAnsi="Times New Roman" w:cs="Times New Roman"/>
                <w:sz w:val="24"/>
                <w:szCs w:val="24"/>
              </w:rPr>
              <w:t>21-8951</w:t>
            </w:r>
            <w:r w:rsidRPr="0035646D" w:rsidR="0035646D">
              <w:rPr>
                <w:rFonts w:ascii="Times New Roman" w:hAnsi="Times New Roman" w:cs="Times New Roman"/>
                <w:sz w:val="24"/>
                <w:szCs w:val="24"/>
              </w:rPr>
              <w:t>-2</w:t>
            </w:r>
            <w:r w:rsidRPr="0035646D" w:rsidR="0074594B">
              <w:rPr>
                <w:rFonts w:ascii="Times New Roman" w:hAnsi="Times New Roman" w:cs="Times New Roman"/>
                <w:sz w:val="24"/>
                <w:szCs w:val="24"/>
              </w:rPr>
              <w:t xml:space="preserve">. </w:t>
            </w:r>
          </w:p>
          <w:p w:rsidR="002516F5" w:rsidRPr="0038659C" w:rsidP="0038659C" w14:paraId="152E1C82" w14:textId="6505B1F3">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Two comments received during the 60-Day comment period</w:t>
            </w:r>
          </w:p>
        </w:tc>
      </w:tr>
    </w:tbl>
    <w:p w:rsidR="00092677" w:rsidRPr="00037F25" w:rsidP="00092677" w14:paraId="4F60DC79" w14:textId="77777777">
      <w:pPr>
        <w:pStyle w:val="ListParagraph"/>
        <w:rPr>
          <w:sz w:val="24"/>
          <w:szCs w:val="24"/>
        </w:rPr>
      </w:pPr>
    </w:p>
    <w:p w:rsidR="00606AD2" w:rsidRPr="00037F25" w:rsidP="00606AD2" w14:paraId="0748F693" w14:textId="4A509437">
      <w:pPr>
        <w:pStyle w:val="ListParagraph"/>
        <w:numPr>
          <w:ilvl w:val="0"/>
          <w:numId w:val="5"/>
        </w:numPr>
        <w:rPr>
          <w:b/>
          <w:sz w:val="24"/>
          <w:szCs w:val="24"/>
        </w:rPr>
      </w:pPr>
      <w:r w:rsidRPr="00037F25">
        <w:rPr>
          <w:b/>
          <w:sz w:val="24"/>
          <w:szCs w:val="24"/>
          <w:u w:val="single"/>
        </w:rPr>
        <w:t>Need for the Information Collection</w:t>
      </w:r>
      <w:r w:rsidRPr="00037F25">
        <w:rPr>
          <w:b/>
          <w:sz w:val="24"/>
          <w:szCs w:val="24"/>
        </w:rPr>
        <w:t xml:space="preserve">   </w:t>
      </w:r>
    </w:p>
    <w:p w:rsidR="00606AD2" w:rsidRPr="00037F25" w:rsidP="00606AD2" w14:paraId="152820F9" w14:textId="77777777">
      <w:pPr>
        <w:pStyle w:val="ListParagraph"/>
        <w:ind w:left="360"/>
        <w:rPr>
          <w:sz w:val="24"/>
          <w:szCs w:val="24"/>
        </w:rPr>
      </w:pPr>
    </w:p>
    <w:p w:rsidR="00117D31" w:rsidP="00EB7F58" w14:paraId="3A525F72" w14:textId="77777777">
      <w:pPr>
        <w:autoSpaceDE w:val="0"/>
        <w:autoSpaceDN w:val="0"/>
        <w:adjustRightInd w:val="0"/>
        <w:ind w:left="360"/>
        <w:rPr>
          <w:sz w:val="24"/>
        </w:rPr>
      </w:pPr>
      <w:r w:rsidRPr="00037F25">
        <w:rPr>
          <w:sz w:val="24"/>
          <w:szCs w:val="24"/>
        </w:rPr>
        <w:t>The Department of Veterans Affairs (VA) through its Veterans Benefits Administration (VBA</w:t>
      </w:r>
      <w:r w:rsidRPr="00037F25" w:rsidR="003210D0">
        <w:rPr>
          <w:sz w:val="24"/>
          <w:szCs w:val="24"/>
        </w:rPr>
        <w:t>)</w:t>
      </w:r>
      <w:r w:rsidRPr="00037F25">
        <w:rPr>
          <w:sz w:val="24"/>
          <w:szCs w:val="24"/>
        </w:rPr>
        <w:t xml:space="preserve"> administers an integrated program of benefits and ser</w:t>
      </w:r>
      <w:r w:rsidRPr="00037F25" w:rsidR="003210D0">
        <w:rPr>
          <w:sz w:val="24"/>
          <w:szCs w:val="24"/>
        </w:rPr>
        <w:t>vices, established by law, for V</w:t>
      </w:r>
      <w:r w:rsidRPr="00037F25">
        <w:rPr>
          <w:sz w:val="24"/>
          <w:szCs w:val="24"/>
        </w:rPr>
        <w:t xml:space="preserve">eterans, service personnel, and their </w:t>
      </w:r>
      <w:r w:rsidRPr="00D5148A">
        <w:rPr>
          <w:sz w:val="24"/>
          <w:szCs w:val="24"/>
        </w:rPr>
        <w:t xml:space="preserve">dependents and/or beneficiaries. </w:t>
      </w:r>
      <w:r w:rsidRPr="00D5148A" w:rsidR="00F4700A">
        <w:rPr>
          <w:sz w:val="24"/>
          <w:szCs w:val="24"/>
        </w:rPr>
        <w:t>Information is requested by VA Form 2</w:t>
      </w:r>
      <w:r w:rsidRPr="00D5148A" w:rsidR="00C309FF">
        <w:rPr>
          <w:sz w:val="24"/>
          <w:szCs w:val="24"/>
        </w:rPr>
        <w:t xml:space="preserve">1-8951-2, </w:t>
      </w:r>
      <w:r w:rsidRPr="00D5148A" w:rsidR="00C309FF">
        <w:rPr>
          <w:i/>
          <w:iCs/>
          <w:sz w:val="24"/>
          <w:szCs w:val="24"/>
        </w:rPr>
        <w:t>Notice of Waiver of VA Compensation or Pension to Receive Military Pay and Allowances</w:t>
      </w:r>
      <w:r w:rsidRPr="00D5148A" w:rsidR="00F4700A">
        <w:rPr>
          <w:sz w:val="24"/>
          <w:szCs w:val="24"/>
        </w:rPr>
        <w:t xml:space="preserve">, under </w:t>
      </w:r>
      <w:r w:rsidRPr="00D5148A" w:rsidR="00A25D47">
        <w:rPr>
          <w:sz w:val="24"/>
          <w:szCs w:val="24"/>
        </w:rPr>
        <w:t>the authorit</w:t>
      </w:r>
      <w:r w:rsidR="00EB7F58">
        <w:rPr>
          <w:sz w:val="24"/>
          <w:szCs w:val="24"/>
        </w:rPr>
        <w:t>ies</w:t>
      </w:r>
      <w:r w:rsidRPr="00D5148A" w:rsidR="00A25D47">
        <w:rPr>
          <w:sz w:val="24"/>
          <w:szCs w:val="24"/>
        </w:rPr>
        <w:t xml:space="preserve"> of </w:t>
      </w:r>
      <w:r w:rsidRPr="00D5148A" w:rsidR="00D5148A">
        <w:rPr>
          <w:sz w:val="24"/>
        </w:rPr>
        <w:t>10 U.S.C. 12316</w:t>
      </w:r>
      <w:r w:rsidR="00C33508">
        <w:rPr>
          <w:sz w:val="24"/>
        </w:rPr>
        <w:t>,</w:t>
      </w:r>
      <w:r w:rsidR="00A409B3">
        <w:rPr>
          <w:sz w:val="24"/>
        </w:rPr>
        <w:t xml:space="preserve"> </w:t>
      </w:r>
      <w:r w:rsidRPr="00A409B3" w:rsidR="00A409B3">
        <w:rPr>
          <w:i/>
          <w:iCs/>
          <w:sz w:val="24"/>
        </w:rPr>
        <w:t xml:space="preserve">Payment of </w:t>
      </w:r>
      <w:r w:rsidR="00D51680">
        <w:rPr>
          <w:i/>
          <w:iCs/>
          <w:sz w:val="24"/>
        </w:rPr>
        <w:t>C</w:t>
      </w:r>
      <w:r w:rsidRPr="00A409B3" w:rsidR="00A409B3">
        <w:rPr>
          <w:i/>
          <w:iCs/>
          <w:sz w:val="24"/>
        </w:rPr>
        <w:t xml:space="preserve">ertain </w:t>
      </w:r>
      <w:r w:rsidR="00D51680">
        <w:rPr>
          <w:i/>
          <w:iCs/>
          <w:sz w:val="24"/>
        </w:rPr>
        <w:t>R</w:t>
      </w:r>
      <w:r w:rsidRPr="00A409B3" w:rsidR="00A409B3">
        <w:rPr>
          <w:i/>
          <w:iCs/>
          <w:sz w:val="24"/>
        </w:rPr>
        <w:t xml:space="preserve">eserves </w:t>
      </w:r>
      <w:r w:rsidR="00C33508">
        <w:rPr>
          <w:i/>
          <w:iCs/>
          <w:sz w:val="24"/>
        </w:rPr>
        <w:t>W</w:t>
      </w:r>
      <w:r w:rsidRPr="00A409B3" w:rsidR="00A409B3">
        <w:rPr>
          <w:i/>
          <w:iCs/>
          <w:sz w:val="24"/>
        </w:rPr>
        <w:t xml:space="preserve">hile on </w:t>
      </w:r>
      <w:r w:rsidR="00C33508">
        <w:rPr>
          <w:i/>
          <w:iCs/>
          <w:sz w:val="24"/>
        </w:rPr>
        <w:t>D</w:t>
      </w:r>
      <w:r w:rsidRPr="00A409B3" w:rsidR="00A409B3">
        <w:rPr>
          <w:i/>
          <w:iCs/>
          <w:sz w:val="24"/>
        </w:rPr>
        <w:t>uty</w:t>
      </w:r>
      <w:r w:rsidR="00A409B3">
        <w:rPr>
          <w:sz w:val="24"/>
        </w:rPr>
        <w:t xml:space="preserve">, </w:t>
      </w:r>
      <w:r w:rsidRPr="00D5148A" w:rsidR="00D5148A">
        <w:rPr>
          <w:sz w:val="24"/>
        </w:rPr>
        <w:t>and 38 U.S.C. 5304</w:t>
      </w:r>
      <w:r w:rsidR="00C33508">
        <w:rPr>
          <w:sz w:val="24"/>
        </w:rPr>
        <w:t>,</w:t>
      </w:r>
      <w:r w:rsidR="00A409B3">
        <w:rPr>
          <w:sz w:val="24"/>
        </w:rPr>
        <w:t xml:space="preserve"> </w:t>
      </w:r>
      <w:r w:rsidRPr="00D51680" w:rsidR="00D51680">
        <w:rPr>
          <w:i/>
          <w:iCs/>
          <w:sz w:val="24"/>
        </w:rPr>
        <w:t xml:space="preserve">Prohibition </w:t>
      </w:r>
      <w:r w:rsidR="00C33508">
        <w:rPr>
          <w:i/>
          <w:iCs/>
          <w:sz w:val="24"/>
        </w:rPr>
        <w:t>A</w:t>
      </w:r>
      <w:r w:rsidRPr="00D51680" w:rsidR="00D51680">
        <w:rPr>
          <w:i/>
          <w:iCs/>
          <w:sz w:val="24"/>
        </w:rPr>
        <w:t xml:space="preserve">gainst </w:t>
      </w:r>
      <w:r w:rsidR="00C33508">
        <w:rPr>
          <w:i/>
          <w:iCs/>
          <w:sz w:val="24"/>
        </w:rPr>
        <w:t>D</w:t>
      </w:r>
      <w:r w:rsidRPr="00D51680" w:rsidR="00D51680">
        <w:rPr>
          <w:i/>
          <w:iCs/>
          <w:sz w:val="24"/>
        </w:rPr>
        <w:t xml:space="preserve">uplication of </w:t>
      </w:r>
      <w:r w:rsidR="00C33508">
        <w:rPr>
          <w:i/>
          <w:iCs/>
          <w:sz w:val="24"/>
        </w:rPr>
        <w:t>B</w:t>
      </w:r>
      <w:r w:rsidRPr="00D51680" w:rsidR="00D51680">
        <w:rPr>
          <w:i/>
          <w:iCs/>
          <w:sz w:val="24"/>
        </w:rPr>
        <w:t>enefits</w:t>
      </w:r>
      <w:r w:rsidR="00373F75">
        <w:rPr>
          <w:sz w:val="24"/>
        </w:rPr>
        <w:t xml:space="preserve">. </w:t>
      </w:r>
    </w:p>
    <w:p w:rsidR="00117D31" w:rsidP="00EB7F58" w14:paraId="60EFA86A" w14:textId="77777777">
      <w:pPr>
        <w:autoSpaceDE w:val="0"/>
        <w:autoSpaceDN w:val="0"/>
        <w:adjustRightInd w:val="0"/>
        <w:ind w:left="360"/>
        <w:rPr>
          <w:sz w:val="24"/>
        </w:rPr>
      </w:pPr>
    </w:p>
    <w:p w:rsidR="0051524F" w:rsidRPr="00037F25" w:rsidP="00EB7F58" w14:paraId="05A129E5" w14:textId="0FCC606F">
      <w:pPr>
        <w:autoSpaceDE w:val="0"/>
        <w:autoSpaceDN w:val="0"/>
        <w:adjustRightInd w:val="0"/>
        <w:ind w:left="360"/>
        <w:rPr>
          <w:sz w:val="24"/>
          <w:szCs w:val="24"/>
          <w:highlight w:val="yellow"/>
        </w:rPr>
      </w:pPr>
      <w:r>
        <w:rPr>
          <w:sz w:val="24"/>
        </w:rPr>
        <w:t xml:space="preserve">Regulatory </w:t>
      </w:r>
      <w:r w:rsidR="001F25F1">
        <w:rPr>
          <w:sz w:val="24"/>
        </w:rPr>
        <w:t xml:space="preserve">authority is found in 38 C.F.R. </w:t>
      </w:r>
      <w:r w:rsidR="008F6601">
        <w:rPr>
          <w:sz w:val="24"/>
        </w:rPr>
        <w:t xml:space="preserve">Part 3, which </w:t>
      </w:r>
      <w:r w:rsidR="00B57D51">
        <w:rPr>
          <w:sz w:val="24"/>
        </w:rPr>
        <w:t>was amended January 11, 2024</w:t>
      </w:r>
      <w:r w:rsidR="001D5878">
        <w:rPr>
          <w:sz w:val="24"/>
        </w:rPr>
        <w:t xml:space="preserve"> (RIN#2900-AP86)</w:t>
      </w:r>
      <w:r w:rsidR="00B57D51">
        <w:rPr>
          <w:sz w:val="24"/>
        </w:rPr>
        <w:t xml:space="preserve">, </w:t>
      </w:r>
      <w:r w:rsidRPr="000B6328" w:rsidR="000B6328">
        <w:rPr>
          <w:sz w:val="24"/>
        </w:rPr>
        <w:t>to permit VA to adjust</w:t>
      </w:r>
      <w:r w:rsidR="000B6328">
        <w:rPr>
          <w:sz w:val="24"/>
        </w:rPr>
        <w:t xml:space="preserve"> </w:t>
      </w:r>
      <w:r w:rsidRPr="000B6328" w:rsidR="000B6328">
        <w:rPr>
          <w:sz w:val="24"/>
        </w:rPr>
        <w:t>disability compensation payments</w:t>
      </w:r>
      <w:r w:rsidR="000B6328">
        <w:rPr>
          <w:sz w:val="24"/>
        </w:rPr>
        <w:t xml:space="preserve"> </w:t>
      </w:r>
      <w:r w:rsidRPr="000B6328" w:rsidR="000B6328">
        <w:rPr>
          <w:sz w:val="24"/>
        </w:rPr>
        <w:t>under certain circumstances upon</w:t>
      </w:r>
      <w:r w:rsidR="00EB7F58">
        <w:rPr>
          <w:sz w:val="24"/>
        </w:rPr>
        <w:t xml:space="preserve"> </w:t>
      </w:r>
      <w:r w:rsidRPr="000B6328" w:rsidR="000B6328">
        <w:rPr>
          <w:sz w:val="24"/>
        </w:rPr>
        <w:t>receipt of notice from the Department of</w:t>
      </w:r>
      <w:r w:rsidR="000B6328">
        <w:rPr>
          <w:sz w:val="24"/>
        </w:rPr>
        <w:t xml:space="preserve"> </w:t>
      </w:r>
      <w:r w:rsidRPr="000B6328" w:rsidR="000B6328">
        <w:rPr>
          <w:sz w:val="24"/>
        </w:rPr>
        <w:t>Defense (DoD) that the veteran has</w:t>
      </w:r>
      <w:r w:rsidR="00EB7F58">
        <w:rPr>
          <w:sz w:val="24"/>
        </w:rPr>
        <w:t xml:space="preserve"> </w:t>
      </w:r>
      <w:r w:rsidRPr="000B6328" w:rsidR="000B6328">
        <w:rPr>
          <w:sz w:val="24"/>
        </w:rPr>
        <w:t>received or is receiving active service</w:t>
      </w:r>
      <w:r w:rsidR="000B6328">
        <w:rPr>
          <w:sz w:val="24"/>
        </w:rPr>
        <w:t xml:space="preserve"> </w:t>
      </w:r>
      <w:r w:rsidRPr="000B6328" w:rsidR="000B6328">
        <w:rPr>
          <w:sz w:val="24"/>
        </w:rPr>
        <w:t>pay. The effect of this action is to reduce</w:t>
      </w:r>
      <w:r w:rsidR="000B6328">
        <w:rPr>
          <w:sz w:val="24"/>
        </w:rPr>
        <w:t xml:space="preserve"> </w:t>
      </w:r>
      <w:r w:rsidRPr="000B6328" w:rsidR="000B6328">
        <w:rPr>
          <w:sz w:val="24"/>
        </w:rPr>
        <w:t>overpayments and erroneous payments</w:t>
      </w:r>
      <w:r w:rsidR="000B6328">
        <w:rPr>
          <w:sz w:val="24"/>
        </w:rPr>
        <w:t xml:space="preserve"> </w:t>
      </w:r>
      <w:r w:rsidRPr="000B6328" w:rsidR="000B6328">
        <w:rPr>
          <w:sz w:val="24"/>
        </w:rPr>
        <w:t>associated with receipt of VA disability</w:t>
      </w:r>
      <w:r w:rsidR="00EB7F58">
        <w:rPr>
          <w:sz w:val="24"/>
        </w:rPr>
        <w:t xml:space="preserve"> </w:t>
      </w:r>
      <w:r w:rsidRPr="000B6328" w:rsidR="000B6328">
        <w:rPr>
          <w:sz w:val="24"/>
        </w:rPr>
        <w:t>compensation and DoD active service</w:t>
      </w:r>
      <w:r w:rsidR="000B6328">
        <w:rPr>
          <w:sz w:val="24"/>
        </w:rPr>
        <w:t xml:space="preserve"> </w:t>
      </w:r>
      <w:r w:rsidRPr="000B6328" w:rsidR="000B6328">
        <w:rPr>
          <w:sz w:val="24"/>
        </w:rPr>
        <w:t>pay by allowing VA to make necessary</w:t>
      </w:r>
      <w:r w:rsidR="00EB7F58">
        <w:rPr>
          <w:sz w:val="24"/>
        </w:rPr>
        <w:t xml:space="preserve"> </w:t>
      </w:r>
      <w:r w:rsidRPr="000B6328" w:rsidR="000B6328">
        <w:rPr>
          <w:sz w:val="24"/>
        </w:rPr>
        <w:t>adjustments as close in time to the</w:t>
      </w:r>
      <w:r w:rsidR="000B6328">
        <w:rPr>
          <w:sz w:val="24"/>
        </w:rPr>
        <w:t xml:space="preserve"> </w:t>
      </w:r>
      <w:r w:rsidRPr="000B6328" w:rsidR="000B6328">
        <w:rPr>
          <w:sz w:val="24"/>
        </w:rPr>
        <w:t>receipt of active service pay as possible.</w:t>
      </w:r>
      <w:r w:rsidR="00EB7F58">
        <w:rPr>
          <w:sz w:val="24"/>
        </w:rPr>
        <w:t xml:space="preserve"> </w:t>
      </w:r>
      <w:r w:rsidRPr="000B6328" w:rsidR="000B6328">
        <w:rPr>
          <w:sz w:val="24"/>
        </w:rPr>
        <w:t>Additionally, the amendments will</w:t>
      </w:r>
      <w:r w:rsidR="000B6328">
        <w:rPr>
          <w:sz w:val="24"/>
        </w:rPr>
        <w:t xml:space="preserve"> </w:t>
      </w:r>
      <w:r w:rsidRPr="000B6328" w:rsidR="000B6328">
        <w:rPr>
          <w:sz w:val="24"/>
        </w:rPr>
        <w:t>allow VA to resume payments</w:t>
      </w:r>
      <w:r w:rsidR="00EB7F58">
        <w:rPr>
          <w:sz w:val="24"/>
        </w:rPr>
        <w:t xml:space="preserve"> </w:t>
      </w:r>
      <w:r w:rsidRPr="000B6328" w:rsidR="000B6328">
        <w:rPr>
          <w:sz w:val="24"/>
        </w:rPr>
        <w:t>discontinued due to receipt of active</w:t>
      </w:r>
      <w:r w:rsidR="000B6328">
        <w:rPr>
          <w:sz w:val="24"/>
        </w:rPr>
        <w:t xml:space="preserve"> </w:t>
      </w:r>
      <w:r w:rsidRPr="000B6328" w:rsidR="000B6328">
        <w:rPr>
          <w:sz w:val="24"/>
        </w:rPr>
        <w:t>service pay based on information</w:t>
      </w:r>
      <w:r w:rsidR="00EB7F58">
        <w:rPr>
          <w:sz w:val="24"/>
        </w:rPr>
        <w:t xml:space="preserve"> </w:t>
      </w:r>
      <w:r w:rsidRPr="000B6328" w:rsidR="000B6328">
        <w:rPr>
          <w:sz w:val="24"/>
        </w:rPr>
        <w:t>received from DoD. The amendments</w:t>
      </w:r>
      <w:r w:rsidR="000B6328">
        <w:rPr>
          <w:sz w:val="24"/>
        </w:rPr>
        <w:t xml:space="preserve"> </w:t>
      </w:r>
      <w:r w:rsidRPr="000B6328" w:rsidR="000B6328">
        <w:rPr>
          <w:sz w:val="24"/>
        </w:rPr>
        <w:t>will also clarify how VA adjudicates</w:t>
      </w:r>
      <w:r w:rsidR="00EB7F58">
        <w:rPr>
          <w:sz w:val="24"/>
        </w:rPr>
        <w:t xml:space="preserve"> </w:t>
      </w:r>
      <w:r w:rsidRPr="000B6328" w:rsidR="000B6328">
        <w:rPr>
          <w:sz w:val="24"/>
        </w:rPr>
        <w:t>benefit adjustments based on a veteran’s</w:t>
      </w:r>
      <w:r w:rsidR="000B6328">
        <w:rPr>
          <w:sz w:val="24"/>
        </w:rPr>
        <w:t xml:space="preserve"> </w:t>
      </w:r>
      <w:r w:rsidRPr="000B6328" w:rsidR="000B6328">
        <w:rPr>
          <w:sz w:val="24"/>
        </w:rPr>
        <w:t>receipt of active service pay for certain</w:t>
      </w:r>
      <w:r w:rsidR="00EB7F58">
        <w:rPr>
          <w:sz w:val="24"/>
        </w:rPr>
        <w:t xml:space="preserve"> t</w:t>
      </w:r>
      <w:r w:rsidRPr="000B6328" w:rsidR="000B6328">
        <w:rPr>
          <w:sz w:val="24"/>
        </w:rPr>
        <w:t>ypes of service.</w:t>
      </w:r>
      <w:r w:rsidR="000B6328">
        <w:rPr>
          <w:sz w:val="24"/>
        </w:rPr>
        <w:t xml:space="preserve"> </w:t>
      </w:r>
    </w:p>
    <w:p w:rsidR="00C17C77" w:rsidRPr="00037F25" w:rsidP="00C17C77" w14:paraId="6FE9A097" w14:textId="77777777">
      <w:pPr>
        <w:rPr>
          <w:color w:val="000000"/>
          <w:sz w:val="24"/>
          <w:szCs w:val="24"/>
        </w:rPr>
      </w:pPr>
    </w:p>
    <w:p w:rsidR="00334E84" w:rsidRPr="00037F25" w:rsidP="00334E84" w14:paraId="7AD27333" w14:textId="3B370F3E">
      <w:pPr>
        <w:pStyle w:val="ListParagraph"/>
        <w:numPr>
          <w:ilvl w:val="0"/>
          <w:numId w:val="5"/>
        </w:numPr>
        <w:tabs>
          <w:tab w:val="left" w:pos="480"/>
          <w:tab w:val="right" w:pos="8640"/>
        </w:tabs>
        <w:ind w:right="684"/>
        <w:rPr>
          <w:b/>
          <w:sz w:val="24"/>
          <w:szCs w:val="24"/>
        </w:rPr>
      </w:pPr>
      <w:r w:rsidRPr="00037F25">
        <w:rPr>
          <w:b/>
          <w:sz w:val="24"/>
          <w:szCs w:val="24"/>
          <w:u w:val="single"/>
        </w:rPr>
        <w:t>Use of the Information</w:t>
      </w:r>
    </w:p>
    <w:p w:rsidR="00334E84" w:rsidRPr="00037F25" w14:paraId="769A570C" w14:textId="77777777">
      <w:pPr>
        <w:tabs>
          <w:tab w:val="left" w:pos="480"/>
          <w:tab w:val="right" w:pos="8640"/>
        </w:tabs>
        <w:ind w:right="684"/>
        <w:rPr>
          <w:sz w:val="24"/>
          <w:szCs w:val="24"/>
        </w:rPr>
      </w:pPr>
    </w:p>
    <w:p w:rsidR="00A64C05" w:rsidP="00A64C05" w14:paraId="79D5A20D" w14:textId="7C33C6FE">
      <w:pPr>
        <w:tabs>
          <w:tab w:val="left" w:pos="480"/>
          <w:tab w:val="right" w:pos="720"/>
        </w:tabs>
        <w:ind w:left="360" w:right="684"/>
        <w:rPr>
          <w:sz w:val="24"/>
          <w:szCs w:val="24"/>
        </w:rPr>
      </w:pPr>
      <w:r w:rsidRPr="00C03AB3">
        <w:rPr>
          <w:sz w:val="24"/>
          <w:szCs w:val="24"/>
        </w:rPr>
        <w:t>The respondent population for VA Form 21-</w:t>
      </w:r>
      <w:r w:rsidR="00465B21">
        <w:rPr>
          <w:sz w:val="24"/>
          <w:szCs w:val="24"/>
        </w:rPr>
        <w:t>8951-2</w:t>
      </w:r>
      <w:r w:rsidRPr="00C03AB3">
        <w:rPr>
          <w:sz w:val="24"/>
          <w:szCs w:val="24"/>
        </w:rPr>
        <w:t xml:space="preserve"> is </w:t>
      </w:r>
      <w:r w:rsidRPr="000400BD" w:rsidR="00465B21">
        <w:rPr>
          <w:sz w:val="24"/>
          <w:szCs w:val="24"/>
        </w:rPr>
        <w:t xml:space="preserve">composed of </w:t>
      </w:r>
      <w:r w:rsidRPr="000400BD" w:rsidR="00465B21">
        <w:rPr>
          <w:sz w:val="24"/>
        </w:rPr>
        <w:t xml:space="preserve">individuals filing a waiver of VA disability benefits </w:t>
      </w:r>
      <w:r w:rsidRPr="000400BD" w:rsidR="00491575">
        <w:rPr>
          <w:sz w:val="24"/>
        </w:rPr>
        <w:t>to</w:t>
      </w:r>
      <w:r w:rsidRPr="000400BD" w:rsidR="00465B21">
        <w:rPr>
          <w:sz w:val="24"/>
        </w:rPr>
        <w:t xml:space="preserve"> receive active or inactive duty training pay</w:t>
      </w:r>
      <w:r w:rsidR="009B4762">
        <w:rPr>
          <w:sz w:val="24"/>
        </w:rPr>
        <w:t xml:space="preserve"> or </w:t>
      </w:r>
      <w:r w:rsidR="00054AF6">
        <w:rPr>
          <w:sz w:val="24"/>
        </w:rPr>
        <w:t>filing notice to VA to resume payments</w:t>
      </w:r>
      <w:r w:rsidR="00D7338C">
        <w:rPr>
          <w:sz w:val="24"/>
        </w:rPr>
        <w:t xml:space="preserve"> as active service has completed</w:t>
      </w:r>
      <w:r w:rsidRPr="000400BD" w:rsidR="00465B21">
        <w:rPr>
          <w:sz w:val="24"/>
        </w:rPr>
        <w:t>.</w:t>
      </w:r>
    </w:p>
    <w:p w:rsidR="00334E84" w:rsidRPr="00037F25" w:rsidP="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34E84" w:rsidRPr="00037F25" w:rsidP="00334E84" w14:paraId="3A7F400D" w14:textId="50A539F9">
      <w:pPr>
        <w:pStyle w:val="ListParagraph"/>
        <w:numPr>
          <w:ilvl w:val="0"/>
          <w:numId w:val="5"/>
        </w:numPr>
        <w:tabs>
          <w:tab w:val="left" w:pos="547"/>
          <w:tab w:val="left" w:pos="1080"/>
          <w:tab w:val="left" w:pos="1627"/>
          <w:tab w:val="left" w:pos="2160"/>
          <w:tab w:val="left" w:pos="2880"/>
        </w:tabs>
        <w:rPr>
          <w:sz w:val="24"/>
          <w:szCs w:val="24"/>
          <w:u w:val="single"/>
        </w:rPr>
      </w:pPr>
      <w:r w:rsidRPr="00037F25">
        <w:rPr>
          <w:b/>
          <w:sz w:val="24"/>
          <w:szCs w:val="24"/>
          <w:u w:val="single"/>
        </w:rPr>
        <w:t>Use of Information Technology</w:t>
      </w:r>
    </w:p>
    <w:p w:rsidR="00334E84" w:rsidRPr="00037F25" w14:paraId="3EC9079E" w14:textId="77777777">
      <w:pPr>
        <w:pStyle w:val="BodyText2"/>
        <w:rPr>
          <w:rFonts w:ascii="Times New Roman" w:hAnsi="Times New Roman"/>
          <w:sz w:val="24"/>
          <w:szCs w:val="24"/>
        </w:rPr>
      </w:pPr>
    </w:p>
    <w:p w:rsidR="00D73BA9" w:rsidRPr="00DE674E" w:rsidP="00590A00" w14:paraId="7CB14CFB" w14:textId="21F5E219">
      <w:pPr>
        <w:pStyle w:val="NoSpacing"/>
        <w:ind w:left="360"/>
      </w:pPr>
      <w:r w:rsidRPr="001063FF">
        <w:rPr>
          <w:color w:val="000000"/>
          <w:szCs w:val="24"/>
        </w:rPr>
        <w:t>VA Form</w:t>
      </w:r>
      <w:r>
        <w:rPr>
          <w:color w:val="000000"/>
          <w:szCs w:val="24"/>
        </w:rPr>
        <w:t xml:space="preserve"> 21-8951-2 </w:t>
      </w:r>
      <w:r>
        <w:t xml:space="preserve">is available </w:t>
      </w:r>
      <w:r w:rsidRPr="0035646D">
        <w:rPr>
          <w:szCs w:val="24"/>
        </w:rPr>
        <w:t>as a computer</w:t>
      </w:r>
      <w:r>
        <w:rPr>
          <w:szCs w:val="24"/>
        </w:rPr>
        <w:t xml:space="preserve"> </w:t>
      </w:r>
      <w:r w:rsidRPr="0035646D">
        <w:rPr>
          <w:szCs w:val="24"/>
        </w:rPr>
        <w:t xml:space="preserve">generated form which is dispatched as a yearly batch print and the other is made available on the One-VA website, for the usability of the claimant should </w:t>
      </w:r>
      <w:r>
        <w:rPr>
          <w:szCs w:val="24"/>
        </w:rPr>
        <w:t>he/she</w:t>
      </w:r>
      <w:r w:rsidRPr="0035646D">
        <w:rPr>
          <w:szCs w:val="24"/>
        </w:rPr>
        <w:t xml:space="preserve"> not receive the batch printed form.</w:t>
      </w:r>
      <w:r>
        <w:rPr>
          <w:szCs w:val="24"/>
        </w:rPr>
        <w:t xml:space="preserve"> </w:t>
      </w:r>
      <w:r w:rsidRPr="00DE674E">
        <w:t xml:space="preserve">VBA is currently hosting this form on a secure server and does not currently have the technology in place to allow for the complete submission of the form. Validation edits are performed to assure data integrity.  </w:t>
      </w:r>
      <w:r w:rsidRPr="00DE674E">
        <w:t>There currently is no utility process in place that will allow the data submitted on the form to be incorporated with an existing centralized legacy database.</w:t>
      </w:r>
      <w:r>
        <w:t xml:space="preserve"> </w:t>
      </w:r>
    </w:p>
    <w:p w:rsidR="00495C22" w:rsidRPr="00037F25" w:rsidP="00617D2B" w14:paraId="513E6D27" w14:textId="1EAA0EE3">
      <w:pPr>
        <w:rPr>
          <w:sz w:val="24"/>
          <w:szCs w:val="24"/>
        </w:rPr>
      </w:pPr>
    </w:p>
    <w:p w:rsidR="005E4CE3" w:rsidRPr="00037F25" w:rsidP="005E4CE3" w14:paraId="62EE4D07" w14:textId="30E4DA2F">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037F25">
        <w:rPr>
          <w:b/>
          <w:sz w:val="24"/>
          <w:szCs w:val="24"/>
          <w:u w:val="single"/>
        </w:rPr>
        <w:t>Non-Duplication</w:t>
      </w:r>
    </w:p>
    <w:p w:rsidR="005E4CE3" w:rsidRPr="00037F25" w:rsidP="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310573" w:rsidRPr="00037F25" w:rsidP="005E4CE3" w14:paraId="3320B81D" w14:textId="3BA1ED1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037F25">
        <w:rPr>
          <w:sz w:val="24"/>
          <w:szCs w:val="24"/>
        </w:rPr>
        <w:t>The information obtained through this collection is unique and is not already available for use or adaptation from another cleared source.</w:t>
      </w:r>
    </w:p>
    <w:p w:rsidR="006B0B12" w:rsidRPr="00037F25" w:rsidP="005E4CE3" w14:paraId="51D796D0"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RPr="00037F25" w:rsidP="00726753" w14:paraId="1ED4254A" w14:textId="633FBF50">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Burden on Small Businesses</w:t>
      </w:r>
    </w:p>
    <w:p w:rsidR="00726753" w:rsidRPr="00037F25" w:rsidP="00726753" w14:paraId="6A2FA37F" w14:textId="77777777">
      <w:pPr>
        <w:pStyle w:val="ListParagraph"/>
        <w:tabs>
          <w:tab w:val="left" w:pos="547"/>
          <w:tab w:val="left" w:pos="1080"/>
          <w:tab w:val="left" w:pos="1627"/>
          <w:tab w:val="left" w:pos="2160"/>
          <w:tab w:val="left" w:pos="2880"/>
        </w:tabs>
        <w:ind w:left="360"/>
        <w:rPr>
          <w:b/>
          <w:sz w:val="24"/>
          <w:szCs w:val="24"/>
        </w:rPr>
      </w:pPr>
    </w:p>
    <w:p w:rsidR="00E36537" w:rsidRPr="00037F25" w:rsidP="00726753" w14:paraId="7D443F9C" w14:textId="15A7E8A8">
      <w:pPr>
        <w:pStyle w:val="ListParagraph"/>
        <w:tabs>
          <w:tab w:val="left" w:pos="547"/>
          <w:tab w:val="left" w:pos="1080"/>
          <w:tab w:val="left" w:pos="1627"/>
          <w:tab w:val="left" w:pos="2160"/>
          <w:tab w:val="left" w:pos="2880"/>
        </w:tabs>
        <w:ind w:left="360"/>
        <w:rPr>
          <w:b/>
          <w:sz w:val="24"/>
          <w:szCs w:val="24"/>
        </w:rPr>
      </w:pPr>
      <w:r w:rsidRPr="00037F25">
        <w:rPr>
          <w:sz w:val="24"/>
          <w:szCs w:val="24"/>
        </w:rPr>
        <w:t>This information collection does not impose a significant economic impact on a substantial number of small businesses or entities.</w:t>
      </w:r>
    </w:p>
    <w:p w:rsidR="00310573" w:rsidRPr="00037F25" w14:paraId="3E492F7E" w14:textId="77777777">
      <w:pPr>
        <w:tabs>
          <w:tab w:val="left" w:pos="480"/>
          <w:tab w:val="right" w:pos="8640"/>
        </w:tabs>
        <w:ind w:right="684"/>
        <w:rPr>
          <w:sz w:val="24"/>
          <w:szCs w:val="24"/>
        </w:rPr>
      </w:pPr>
    </w:p>
    <w:p w:rsidR="00310573" w:rsidRPr="00037F25" w:rsidP="00310573" w14:paraId="18AFDD4D" w14:textId="3BA2098F">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Less Frequent Collection</w:t>
      </w:r>
    </w:p>
    <w:p w:rsidR="00310573" w:rsidRPr="00037F25" w:rsidP="00310573" w14:paraId="2DC9955C" w14:textId="77777777">
      <w:pPr>
        <w:pStyle w:val="ListParagraph"/>
        <w:tabs>
          <w:tab w:val="left" w:pos="547"/>
          <w:tab w:val="left" w:pos="1080"/>
          <w:tab w:val="left" w:pos="1627"/>
          <w:tab w:val="left" w:pos="2160"/>
          <w:tab w:val="left" w:pos="2880"/>
        </w:tabs>
        <w:ind w:left="360"/>
        <w:rPr>
          <w:b/>
          <w:sz w:val="24"/>
          <w:szCs w:val="24"/>
        </w:rPr>
      </w:pPr>
    </w:p>
    <w:p w:rsidR="00E36537" w:rsidRPr="00037F25" w:rsidP="00C17C77" w14:paraId="2973C1B7" w14:textId="25DCC75A">
      <w:pPr>
        <w:tabs>
          <w:tab w:val="left" w:pos="480"/>
          <w:tab w:val="right" w:pos="8640"/>
        </w:tabs>
        <w:ind w:left="360" w:right="684"/>
        <w:rPr>
          <w:sz w:val="24"/>
          <w:szCs w:val="24"/>
        </w:rPr>
      </w:pPr>
      <w:r w:rsidRPr="00AF4E88">
        <w:rPr>
          <w:sz w:val="24"/>
        </w:rPr>
        <w:t>VA Form</w:t>
      </w:r>
      <w:r>
        <w:rPr>
          <w:sz w:val="24"/>
        </w:rPr>
        <w:t xml:space="preserve"> </w:t>
      </w:r>
      <w:r w:rsidRPr="00AF4E88">
        <w:rPr>
          <w:sz w:val="24"/>
        </w:rPr>
        <w:t xml:space="preserve">21-8951-2 </w:t>
      </w:r>
      <w:r>
        <w:rPr>
          <w:sz w:val="24"/>
        </w:rPr>
        <w:t>is</w:t>
      </w:r>
      <w:r w:rsidRPr="00AF4E88">
        <w:rPr>
          <w:sz w:val="24"/>
        </w:rPr>
        <w:t xml:space="preserve"> used by </w:t>
      </w:r>
      <w:r w:rsidR="00337FAB">
        <w:rPr>
          <w:sz w:val="24"/>
        </w:rPr>
        <w:t>reservists/guards</w:t>
      </w:r>
      <w:r w:rsidR="00A053FD">
        <w:rPr>
          <w:sz w:val="24"/>
        </w:rPr>
        <w:t>men</w:t>
      </w:r>
      <w:r w:rsidR="00337FAB">
        <w:rPr>
          <w:sz w:val="24"/>
        </w:rPr>
        <w:t xml:space="preserve"> filing </w:t>
      </w:r>
      <w:r w:rsidRPr="00AF4E88">
        <w:rPr>
          <w:sz w:val="24"/>
        </w:rPr>
        <w:t>a waiver of VA disability benefits</w:t>
      </w:r>
      <w:r>
        <w:rPr>
          <w:sz w:val="24"/>
        </w:rPr>
        <w:t xml:space="preserve"> </w:t>
      </w:r>
      <w:r w:rsidR="00337FAB">
        <w:rPr>
          <w:sz w:val="24"/>
        </w:rPr>
        <w:t>to</w:t>
      </w:r>
      <w:r>
        <w:rPr>
          <w:sz w:val="24"/>
        </w:rPr>
        <w:t xml:space="preserve"> receive active or inactive </w:t>
      </w:r>
      <w:r w:rsidRPr="00A053FD">
        <w:rPr>
          <w:sz w:val="24"/>
        </w:rPr>
        <w:t>duty training pay</w:t>
      </w:r>
      <w:r w:rsidRPr="00A053FD" w:rsidR="00337FAB">
        <w:rPr>
          <w:sz w:val="24"/>
        </w:rPr>
        <w:t xml:space="preserve"> or to </w:t>
      </w:r>
      <w:r w:rsidRPr="00A053FD" w:rsidR="006D0AF0">
        <w:rPr>
          <w:sz w:val="24"/>
        </w:rPr>
        <w:t xml:space="preserve">notify VA to </w:t>
      </w:r>
      <w:r w:rsidRPr="00A053FD" w:rsidR="00337FAB">
        <w:rPr>
          <w:sz w:val="24"/>
        </w:rPr>
        <w:t>resume benefits</w:t>
      </w:r>
      <w:r w:rsidRPr="00A053FD" w:rsidR="00C62D82">
        <w:rPr>
          <w:sz w:val="24"/>
        </w:rPr>
        <w:t xml:space="preserve"> </w:t>
      </w:r>
      <w:r w:rsidRPr="00A053FD" w:rsidR="00337FAB">
        <w:rPr>
          <w:sz w:val="24"/>
        </w:rPr>
        <w:t xml:space="preserve">as </w:t>
      </w:r>
      <w:r w:rsidR="005779A3">
        <w:rPr>
          <w:sz w:val="24"/>
        </w:rPr>
        <w:t>his/her</w:t>
      </w:r>
      <w:r w:rsidRPr="00A053FD" w:rsidR="00337FAB">
        <w:rPr>
          <w:sz w:val="24"/>
        </w:rPr>
        <w:t xml:space="preserve"> active service has completed</w:t>
      </w:r>
      <w:r w:rsidRPr="00A053FD">
        <w:rPr>
          <w:sz w:val="24"/>
        </w:rPr>
        <w:t>.</w:t>
      </w:r>
      <w:r w:rsidRPr="00A053FD" w:rsidR="00B21D7F">
        <w:rPr>
          <w:sz w:val="24"/>
        </w:rPr>
        <w:t xml:space="preserve"> </w:t>
      </w:r>
      <w:r w:rsidRPr="00A053FD" w:rsidR="001D52F4">
        <w:rPr>
          <w:bCs/>
          <w:sz w:val="24"/>
          <w:szCs w:val="24"/>
        </w:rPr>
        <w:t>Without this infor</w:t>
      </w:r>
      <w:r w:rsidRPr="00A053FD" w:rsidR="00142589">
        <w:rPr>
          <w:bCs/>
          <w:sz w:val="24"/>
          <w:szCs w:val="24"/>
        </w:rPr>
        <w:t xml:space="preserve">mation, </w:t>
      </w:r>
      <w:r w:rsidRPr="00A053FD" w:rsidR="00A053FD">
        <w:rPr>
          <w:bCs/>
          <w:sz w:val="24"/>
          <w:szCs w:val="24"/>
        </w:rPr>
        <w:t xml:space="preserve">the </w:t>
      </w:r>
      <w:r w:rsidRPr="000B6328" w:rsidR="00CF1D88">
        <w:rPr>
          <w:sz w:val="24"/>
        </w:rPr>
        <w:t>reduc</w:t>
      </w:r>
      <w:r w:rsidRPr="00A053FD" w:rsidR="00DE4946">
        <w:rPr>
          <w:sz w:val="24"/>
        </w:rPr>
        <w:t xml:space="preserve">tion in </w:t>
      </w:r>
      <w:r w:rsidRPr="000B6328" w:rsidR="00CF1D88">
        <w:rPr>
          <w:sz w:val="24"/>
        </w:rPr>
        <w:t>overpayments and</w:t>
      </w:r>
      <w:r w:rsidRPr="00A053FD" w:rsidR="00DE4946">
        <w:rPr>
          <w:sz w:val="24"/>
        </w:rPr>
        <w:t>/or</w:t>
      </w:r>
      <w:r w:rsidRPr="000B6328" w:rsidR="00CF1D88">
        <w:rPr>
          <w:sz w:val="24"/>
        </w:rPr>
        <w:t xml:space="preserve"> erroneous payments</w:t>
      </w:r>
      <w:r w:rsidRPr="00A053FD" w:rsidR="00CF1D88">
        <w:rPr>
          <w:sz w:val="24"/>
        </w:rPr>
        <w:t xml:space="preserve"> </w:t>
      </w:r>
      <w:r w:rsidRPr="000B6328" w:rsidR="00CF1D88">
        <w:rPr>
          <w:sz w:val="24"/>
        </w:rPr>
        <w:t>associated with receipt of VA disability</w:t>
      </w:r>
      <w:r w:rsidR="00CF1D88">
        <w:rPr>
          <w:sz w:val="24"/>
        </w:rPr>
        <w:t xml:space="preserve"> </w:t>
      </w:r>
      <w:r w:rsidRPr="000B6328" w:rsidR="00CF1D88">
        <w:rPr>
          <w:sz w:val="24"/>
        </w:rPr>
        <w:t>compensatio</w:t>
      </w:r>
      <w:r w:rsidR="00AC2BE8">
        <w:rPr>
          <w:sz w:val="24"/>
        </w:rPr>
        <w:t xml:space="preserve">n </w:t>
      </w:r>
      <w:r w:rsidR="0054592C">
        <w:rPr>
          <w:sz w:val="24"/>
        </w:rPr>
        <w:t xml:space="preserve">or pension </w:t>
      </w:r>
      <w:r w:rsidR="00AC2BE8">
        <w:rPr>
          <w:sz w:val="24"/>
        </w:rPr>
        <w:t xml:space="preserve">could </w:t>
      </w:r>
      <w:r w:rsidR="00672D31">
        <w:rPr>
          <w:sz w:val="24"/>
        </w:rPr>
        <w:t xml:space="preserve">cause </w:t>
      </w:r>
      <w:r w:rsidR="00AC2BE8">
        <w:rPr>
          <w:sz w:val="24"/>
        </w:rPr>
        <w:t xml:space="preserve">hardship on </w:t>
      </w:r>
      <w:r w:rsidR="00C032E8">
        <w:rPr>
          <w:sz w:val="24"/>
        </w:rPr>
        <w:t xml:space="preserve">behalf of the </w:t>
      </w:r>
      <w:r w:rsidR="00F45633">
        <w:rPr>
          <w:sz w:val="24"/>
        </w:rPr>
        <w:t>claimant</w:t>
      </w:r>
      <w:r w:rsidR="003C77C8">
        <w:rPr>
          <w:sz w:val="24"/>
        </w:rPr>
        <w:t xml:space="preserve">. </w:t>
      </w:r>
    </w:p>
    <w:p w:rsidR="00E36537" w:rsidRPr="00037F25" w14:paraId="58DB5468" w14:textId="77777777">
      <w:pPr>
        <w:rPr>
          <w:sz w:val="24"/>
          <w:szCs w:val="24"/>
        </w:rPr>
      </w:pPr>
    </w:p>
    <w:p w:rsidR="00726753" w:rsidRPr="00037F25" w:rsidP="00726753" w14:paraId="4CDCBD61" w14:textId="1DB9CE06">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037F25">
        <w:rPr>
          <w:b/>
          <w:sz w:val="24"/>
          <w:szCs w:val="24"/>
          <w:u w:val="single"/>
        </w:rPr>
        <w:t>Paperwork Reduction Act Guidelines</w:t>
      </w:r>
    </w:p>
    <w:p w:rsidR="00726753" w:rsidRPr="00037F25" w:rsidP="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D94A38" w:rsidRPr="00037F25" w:rsidP="00310573" w14:paraId="0CA4B7F5" w14:textId="66E07F5F">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eastAsiaTheme="minorHAnsi"/>
          <w:sz w:val="24"/>
          <w:szCs w:val="24"/>
        </w:rPr>
      </w:pPr>
      <w:r w:rsidRPr="00037F25">
        <w:rPr>
          <w:rFonts w:eastAsiaTheme="minorHAnsi"/>
          <w:sz w:val="24"/>
          <w:szCs w:val="24"/>
        </w:rPr>
        <w:t>This collection of information does not require collection to be conducted in a manner inconsistent with the guidelines delineated in 5 CFR 1320.5(d)(2).</w:t>
      </w:r>
    </w:p>
    <w:p w:rsidR="006B0B12" w:rsidRPr="00037F25" w:rsidP="00310573" w14:paraId="4D8344F7"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726753" w:rsidRPr="00037F25" w:rsidP="006B0B12" w14:paraId="17B66F6B" w14:textId="6D56C118">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Consultation and Public Comments</w:t>
      </w:r>
    </w:p>
    <w:p w:rsidR="006B0B12" w:rsidRPr="00F45633" w:rsidP="006B0B12" w14:paraId="4A77905C" w14:textId="06793A6B">
      <w:pPr>
        <w:pStyle w:val="NormalWeb"/>
        <w:spacing w:line="288" w:lineRule="atLeast"/>
        <w:ind w:left="360"/>
        <w:rPr>
          <w:rFonts w:eastAsiaTheme="minorHAnsi"/>
          <w:sz w:val="24"/>
          <w:szCs w:val="24"/>
        </w:rPr>
      </w:pPr>
      <w:r w:rsidRPr="00037F25">
        <w:rPr>
          <w:rFonts w:eastAsiaTheme="minorHAnsi"/>
          <w:sz w:val="24"/>
          <w:szCs w:val="24"/>
        </w:rPr>
        <w:t xml:space="preserve">Part A: PUBLIC </w:t>
      </w:r>
      <w:r w:rsidRPr="00F45633">
        <w:rPr>
          <w:rFonts w:eastAsiaTheme="minorHAnsi"/>
          <w:sz w:val="24"/>
          <w:szCs w:val="24"/>
        </w:rPr>
        <w:t>NOTICE</w:t>
      </w:r>
    </w:p>
    <w:p w:rsidR="006B0B12" w:rsidRPr="00F45633" w:rsidP="006B0B12" w14:paraId="67EA0265" w14:textId="2810F6EF">
      <w:pPr>
        <w:pStyle w:val="NormalWeb"/>
        <w:spacing w:line="288" w:lineRule="atLeast"/>
        <w:ind w:left="360"/>
        <w:rPr>
          <w:rFonts w:eastAsiaTheme="minorHAnsi"/>
          <w:sz w:val="24"/>
          <w:szCs w:val="24"/>
        </w:rPr>
      </w:pPr>
      <w:r w:rsidRPr="00F45633">
        <w:rPr>
          <w:rFonts w:eastAsiaTheme="minorHAnsi"/>
          <w:sz w:val="24"/>
          <w:szCs w:val="24"/>
        </w:rPr>
        <w:t xml:space="preserve">A 60-Day Federal Register Notice (FRN) for the collection published on </w:t>
      </w:r>
      <w:r w:rsidR="00FE5E22">
        <w:rPr>
          <w:rFonts w:eastAsiaTheme="minorHAnsi"/>
          <w:sz w:val="24"/>
          <w:szCs w:val="24"/>
        </w:rPr>
        <w:t>Monday, September 15, 2025</w:t>
      </w:r>
      <w:r w:rsidR="005E3FBF">
        <w:rPr>
          <w:rFonts w:eastAsiaTheme="minorHAnsi"/>
          <w:sz w:val="24"/>
          <w:szCs w:val="24"/>
        </w:rPr>
        <w:t xml:space="preserve">. </w:t>
      </w:r>
      <w:r w:rsidRPr="00F45633">
        <w:rPr>
          <w:rFonts w:eastAsiaTheme="minorHAnsi"/>
          <w:sz w:val="24"/>
          <w:szCs w:val="24"/>
        </w:rPr>
        <w:t xml:space="preserve">The 60-Day FRN citation is </w:t>
      </w:r>
      <w:r w:rsidR="005E3FBF">
        <w:rPr>
          <w:rFonts w:eastAsiaTheme="minorHAnsi"/>
          <w:sz w:val="24"/>
          <w:szCs w:val="24"/>
        </w:rPr>
        <w:t xml:space="preserve">90 </w:t>
      </w:r>
      <w:r w:rsidRPr="00F45633">
        <w:rPr>
          <w:rFonts w:eastAsiaTheme="minorHAnsi"/>
          <w:sz w:val="24"/>
          <w:szCs w:val="24"/>
        </w:rPr>
        <w:t xml:space="preserve">FRN </w:t>
      </w:r>
      <w:r w:rsidR="005E3FBF">
        <w:rPr>
          <w:rFonts w:eastAsiaTheme="minorHAnsi"/>
          <w:sz w:val="24"/>
          <w:szCs w:val="24"/>
        </w:rPr>
        <w:t>44478</w:t>
      </w:r>
      <w:r w:rsidRPr="00F45633">
        <w:rPr>
          <w:rFonts w:eastAsiaTheme="minorHAnsi"/>
          <w:sz w:val="24"/>
          <w:szCs w:val="24"/>
        </w:rPr>
        <w:t>.</w:t>
      </w:r>
      <w:r w:rsidR="005E3FBF">
        <w:rPr>
          <w:rFonts w:eastAsiaTheme="minorHAnsi"/>
          <w:sz w:val="24"/>
          <w:szCs w:val="24"/>
        </w:rPr>
        <w:t xml:space="preserve"> </w:t>
      </w:r>
      <w:r w:rsidRPr="00F45633">
        <w:rPr>
          <w:rFonts w:eastAsiaTheme="minorHAnsi"/>
          <w:sz w:val="24"/>
          <w:szCs w:val="24"/>
        </w:rPr>
        <w:t xml:space="preserve"> </w:t>
      </w:r>
    </w:p>
    <w:p w:rsidR="006B0B12" w:rsidRPr="00F45633" w:rsidP="006B0B12" w14:paraId="176AC8E4" w14:textId="055A8EA6">
      <w:pPr>
        <w:pStyle w:val="NormalWeb"/>
        <w:spacing w:line="288" w:lineRule="atLeast"/>
        <w:ind w:left="360"/>
        <w:rPr>
          <w:rFonts w:eastAsiaTheme="minorHAnsi"/>
          <w:sz w:val="24"/>
          <w:szCs w:val="24"/>
        </w:rPr>
      </w:pPr>
      <w:r>
        <w:rPr>
          <w:rFonts w:eastAsiaTheme="minorHAnsi"/>
          <w:sz w:val="24"/>
          <w:szCs w:val="24"/>
        </w:rPr>
        <w:t>Two</w:t>
      </w:r>
      <w:r w:rsidRPr="00F45633">
        <w:rPr>
          <w:rFonts w:eastAsiaTheme="minorHAnsi"/>
          <w:sz w:val="24"/>
          <w:szCs w:val="24"/>
        </w:rPr>
        <w:t xml:space="preserve"> comments were received during the 60-Day </w:t>
      </w:r>
      <w:r w:rsidR="005E3FBF">
        <w:rPr>
          <w:rFonts w:eastAsiaTheme="minorHAnsi"/>
          <w:sz w:val="24"/>
          <w:szCs w:val="24"/>
        </w:rPr>
        <w:t>c</w:t>
      </w:r>
      <w:r w:rsidRPr="00F45633">
        <w:rPr>
          <w:rFonts w:eastAsiaTheme="minorHAnsi"/>
          <w:sz w:val="24"/>
          <w:szCs w:val="24"/>
        </w:rPr>
        <w:t xml:space="preserve">omment </w:t>
      </w:r>
      <w:r w:rsidR="005E3FBF">
        <w:rPr>
          <w:rFonts w:eastAsiaTheme="minorHAnsi"/>
          <w:sz w:val="24"/>
          <w:szCs w:val="24"/>
        </w:rPr>
        <w:t>p</w:t>
      </w:r>
      <w:r w:rsidRPr="00F45633">
        <w:rPr>
          <w:rFonts w:eastAsiaTheme="minorHAnsi"/>
          <w:sz w:val="24"/>
          <w:szCs w:val="24"/>
        </w:rPr>
        <w:t xml:space="preserve">eriod. </w:t>
      </w:r>
    </w:p>
    <w:p w:rsidR="006B0B12" w:rsidRPr="00F45633" w:rsidP="006B0B12" w14:paraId="623B9CDE" w14:textId="40F8F29A">
      <w:pPr>
        <w:pStyle w:val="NormalWeb"/>
        <w:spacing w:line="288" w:lineRule="atLeast"/>
        <w:ind w:left="360"/>
        <w:rPr>
          <w:rFonts w:eastAsiaTheme="minorHAnsi"/>
          <w:sz w:val="24"/>
          <w:szCs w:val="24"/>
        </w:rPr>
      </w:pPr>
      <w:r w:rsidRPr="00F45633">
        <w:rPr>
          <w:rFonts w:eastAsiaTheme="minorHAnsi"/>
          <w:sz w:val="24"/>
          <w:szCs w:val="24"/>
        </w:rPr>
        <w:t xml:space="preserve">A 30-Day Federal Register Notice for the collection published on </w:t>
      </w:r>
      <w:r w:rsidR="00C03A72">
        <w:rPr>
          <w:rFonts w:eastAsiaTheme="minorHAnsi"/>
          <w:sz w:val="24"/>
          <w:szCs w:val="24"/>
        </w:rPr>
        <w:t>Thursday, November 20, 2025</w:t>
      </w:r>
      <w:r w:rsidRPr="00F45633">
        <w:rPr>
          <w:rFonts w:eastAsiaTheme="minorHAnsi"/>
          <w:sz w:val="24"/>
          <w:szCs w:val="24"/>
        </w:rPr>
        <w:t xml:space="preserve">. The 30-Day FRN citation is </w:t>
      </w:r>
      <w:r w:rsidR="00C03A72">
        <w:rPr>
          <w:rFonts w:eastAsiaTheme="minorHAnsi"/>
          <w:sz w:val="24"/>
          <w:szCs w:val="24"/>
        </w:rPr>
        <w:t xml:space="preserve">90 </w:t>
      </w:r>
      <w:r w:rsidRPr="00F45633">
        <w:rPr>
          <w:rFonts w:eastAsiaTheme="minorHAnsi"/>
          <w:sz w:val="24"/>
          <w:szCs w:val="24"/>
        </w:rPr>
        <w:t xml:space="preserve">FRN </w:t>
      </w:r>
      <w:r w:rsidR="00C03A72">
        <w:rPr>
          <w:rFonts w:eastAsiaTheme="minorHAnsi"/>
          <w:sz w:val="24"/>
          <w:szCs w:val="24"/>
        </w:rPr>
        <w:t>52493</w:t>
      </w:r>
      <w:r w:rsidRPr="00F45633">
        <w:rPr>
          <w:rFonts w:eastAsiaTheme="minorHAnsi"/>
          <w:sz w:val="24"/>
          <w:szCs w:val="24"/>
        </w:rPr>
        <w:t>.</w:t>
      </w:r>
    </w:p>
    <w:p w:rsidR="006B0B12" w:rsidRPr="00F45633" w:rsidP="006B0B12" w14:paraId="66900121" w14:textId="5C04A336">
      <w:pPr>
        <w:pStyle w:val="NormalWeb"/>
        <w:spacing w:line="288" w:lineRule="atLeast"/>
        <w:ind w:left="360"/>
        <w:rPr>
          <w:rFonts w:eastAsiaTheme="minorHAnsi"/>
          <w:sz w:val="24"/>
          <w:szCs w:val="24"/>
        </w:rPr>
      </w:pPr>
      <w:r w:rsidRPr="00F45633">
        <w:rPr>
          <w:rFonts w:eastAsiaTheme="minorHAnsi"/>
          <w:sz w:val="24"/>
          <w:szCs w:val="24"/>
        </w:rPr>
        <w:t xml:space="preserve">Part B: CONSULTATION </w:t>
      </w:r>
    </w:p>
    <w:p w:rsidR="006B0B12" w:rsidRPr="00037F25" w:rsidP="006B0B12" w14:paraId="2FA9E1C7" w14:textId="483A6A89">
      <w:pPr>
        <w:pStyle w:val="NormalWeb"/>
        <w:spacing w:line="288" w:lineRule="atLeast"/>
        <w:ind w:left="360"/>
        <w:rPr>
          <w:i/>
          <w:sz w:val="24"/>
          <w:szCs w:val="24"/>
        </w:rPr>
      </w:pPr>
      <w:r w:rsidRPr="00F45633">
        <w:rPr>
          <w:rFonts w:eastAsiaTheme="minorHAnsi"/>
          <w:sz w:val="24"/>
          <w:szCs w:val="24"/>
        </w:rPr>
        <w:t>No additional consultation apart from soliciting public comments through the Federal Register was conducted for this submission.</w:t>
      </w:r>
      <w:r w:rsidRPr="00037F25">
        <w:rPr>
          <w:rFonts w:eastAsiaTheme="minorHAnsi"/>
          <w:sz w:val="24"/>
          <w:szCs w:val="24"/>
        </w:rPr>
        <w:t xml:space="preserve"> </w:t>
      </w:r>
    </w:p>
    <w:p w:rsidR="00F54C09" w14:paraId="569DF6D5" w14:textId="77777777">
      <w:pPr>
        <w:rPr>
          <w:b/>
          <w:sz w:val="24"/>
          <w:szCs w:val="24"/>
          <w:u w:val="single"/>
        </w:rPr>
      </w:pPr>
      <w:r>
        <w:rPr>
          <w:b/>
          <w:sz w:val="24"/>
          <w:szCs w:val="24"/>
          <w:u w:val="single"/>
        </w:rPr>
        <w:br w:type="page"/>
      </w:r>
    </w:p>
    <w:p w:rsidR="00310573" w:rsidRPr="00037F25" w:rsidP="00310573" w14:paraId="69BE1B4D" w14:textId="14A69B3C">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Gifts or Payment</w:t>
      </w:r>
    </w:p>
    <w:p w:rsidR="00310573" w:rsidRPr="00037F25" w:rsidP="00310573" w14:paraId="3D2A37E8" w14:textId="77777777">
      <w:pPr>
        <w:pStyle w:val="ListParagraph"/>
        <w:tabs>
          <w:tab w:val="left" w:pos="547"/>
          <w:tab w:val="left" w:pos="1080"/>
          <w:tab w:val="left" w:pos="1627"/>
          <w:tab w:val="left" w:pos="2160"/>
          <w:tab w:val="left" w:pos="2880"/>
        </w:tabs>
        <w:ind w:left="360"/>
        <w:rPr>
          <w:b/>
          <w:sz w:val="24"/>
          <w:szCs w:val="24"/>
        </w:rPr>
      </w:pPr>
    </w:p>
    <w:p w:rsidR="00310573" w:rsidRPr="00037F25" w:rsidP="00310573" w14:paraId="475E22C0" w14:textId="1CC8F4F9">
      <w:pPr>
        <w:pStyle w:val="ListParagraph"/>
        <w:tabs>
          <w:tab w:val="left" w:pos="547"/>
          <w:tab w:val="left" w:pos="1080"/>
          <w:tab w:val="left" w:pos="1627"/>
          <w:tab w:val="left" w:pos="2160"/>
          <w:tab w:val="left" w:pos="2880"/>
        </w:tabs>
        <w:ind w:left="360"/>
        <w:rPr>
          <w:sz w:val="24"/>
          <w:szCs w:val="24"/>
        </w:rPr>
      </w:pPr>
      <w:r w:rsidRPr="00FF0AF3">
        <w:rPr>
          <w:sz w:val="24"/>
          <w:szCs w:val="24"/>
        </w:rPr>
        <w:t>No payments or gifts are being offered to respondents as an incentive to participate in the collection.</w:t>
      </w:r>
    </w:p>
    <w:p w:rsidR="006B0B12" w:rsidRPr="00037F25" w:rsidP="00310573" w14:paraId="646AC72D" w14:textId="77777777">
      <w:pPr>
        <w:pStyle w:val="ListParagraph"/>
        <w:tabs>
          <w:tab w:val="left" w:pos="547"/>
          <w:tab w:val="left" w:pos="1080"/>
          <w:tab w:val="left" w:pos="1627"/>
          <w:tab w:val="left" w:pos="2160"/>
          <w:tab w:val="left" w:pos="2880"/>
        </w:tabs>
        <w:ind w:left="360"/>
        <w:rPr>
          <w:b/>
          <w:sz w:val="24"/>
          <w:szCs w:val="24"/>
        </w:rPr>
      </w:pPr>
    </w:p>
    <w:p w:rsidR="00726753" w:rsidRPr="00037F25" w:rsidP="00726753" w14:paraId="1B415915" w14:textId="304C22E2">
      <w:pPr>
        <w:pStyle w:val="ListParagraph"/>
        <w:numPr>
          <w:ilvl w:val="0"/>
          <w:numId w:val="5"/>
        </w:numPr>
        <w:rPr>
          <w:sz w:val="24"/>
          <w:szCs w:val="24"/>
          <w:u w:val="single"/>
        </w:rPr>
      </w:pPr>
      <w:r w:rsidRPr="00037F25">
        <w:rPr>
          <w:b/>
          <w:color w:val="000000"/>
          <w:sz w:val="24"/>
          <w:szCs w:val="24"/>
          <w:u w:val="single"/>
        </w:rPr>
        <w:t xml:space="preserve">Confidentiality </w:t>
      </w:r>
    </w:p>
    <w:p w:rsidR="00726753" w:rsidRPr="00037F25" w:rsidP="00726753" w14:paraId="59D827C4" w14:textId="77777777">
      <w:pPr>
        <w:pStyle w:val="ListParagraph"/>
        <w:ind w:left="360"/>
        <w:rPr>
          <w:b/>
          <w:color w:val="000000"/>
          <w:sz w:val="24"/>
          <w:szCs w:val="24"/>
        </w:rPr>
      </w:pPr>
    </w:p>
    <w:p w:rsidR="0057258A" w:rsidRPr="00037F25" w:rsidP="0057258A" w14:paraId="014526E7" w14:textId="63454176">
      <w:pPr>
        <w:ind w:left="360"/>
        <w:rPr>
          <w:sz w:val="24"/>
          <w:szCs w:val="24"/>
        </w:rPr>
      </w:pPr>
      <w:r w:rsidRPr="00037F25">
        <w:rPr>
          <w:sz w:val="24"/>
          <w:szCs w:val="24"/>
        </w:rPr>
        <w:t>The records are maintained in the appropriate Privacy Act System of Records identified as “Compensation, Pension, Education, and V</w:t>
      </w:r>
      <w:r w:rsidRPr="00037F25" w:rsidR="00216351">
        <w:rPr>
          <w:sz w:val="24"/>
          <w:szCs w:val="24"/>
        </w:rPr>
        <w:t>eteran</w:t>
      </w:r>
      <w:r w:rsidRPr="00037F25">
        <w:rPr>
          <w:sz w:val="24"/>
          <w:szCs w:val="24"/>
        </w:rPr>
        <w:t xml:space="preserve"> R</w:t>
      </w:r>
      <w:r w:rsidRPr="00037F25" w:rsidR="00216351">
        <w:rPr>
          <w:sz w:val="24"/>
          <w:szCs w:val="24"/>
        </w:rPr>
        <w:t>eadiness</w:t>
      </w:r>
      <w:r w:rsidRPr="00037F25">
        <w:rPr>
          <w:sz w:val="24"/>
          <w:szCs w:val="24"/>
        </w:rPr>
        <w:t xml:space="preserve"> and Employment Records-VA (58VA21/22/28),” published at </w:t>
      </w:r>
      <w:r w:rsidRPr="004F43E4">
        <w:rPr>
          <w:sz w:val="24"/>
          <w:szCs w:val="24"/>
        </w:rPr>
        <w:t>74 FR 29275 on June 19, 2009, and last amended at 87 FR 8740 (February 16, 2022).</w:t>
      </w:r>
    </w:p>
    <w:p w:rsidR="00E36537" w:rsidRPr="00037F25" w:rsidP="0057258A" w14:paraId="45CE1490" w14:textId="54F21221">
      <w:pPr>
        <w:ind w:left="360"/>
        <w:rPr>
          <w:sz w:val="24"/>
          <w:szCs w:val="24"/>
        </w:rPr>
      </w:pPr>
    </w:p>
    <w:p w:rsidR="00726753" w:rsidRPr="00037F25" w:rsidP="00726753" w14:paraId="6E484345" w14:textId="2AA8C41B">
      <w:pPr>
        <w:pStyle w:val="NormalWeb"/>
        <w:numPr>
          <w:ilvl w:val="0"/>
          <w:numId w:val="5"/>
        </w:numPr>
        <w:spacing w:before="0" w:beforeAutospacing="0" w:after="0" w:afterAutospacing="0"/>
        <w:rPr>
          <w:b/>
          <w:sz w:val="24"/>
          <w:szCs w:val="24"/>
          <w:u w:val="single"/>
        </w:rPr>
      </w:pPr>
      <w:r w:rsidRPr="00037F25">
        <w:rPr>
          <w:b/>
          <w:sz w:val="24"/>
          <w:szCs w:val="24"/>
          <w:u w:val="single"/>
        </w:rPr>
        <w:t>Sensitive Questions</w:t>
      </w:r>
    </w:p>
    <w:p w:rsidR="001D6A97" w:rsidRPr="00037F25" w:rsidP="001D6A97" w14:paraId="2778178D" w14:textId="77777777">
      <w:pPr>
        <w:pStyle w:val="NormalWeb"/>
        <w:spacing w:before="0" w:beforeAutospacing="0" w:after="0" w:afterAutospacing="0"/>
        <w:ind w:left="360"/>
        <w:rPr>
          <w:b/>
          <w:sz w:val="24"/>
          <w:szCs w:val="24"/>
          <w:u w:val="single"/>
        </w:rPr>
      </w:pPr>
    </w:p>
    <w:p w:rsidR="00E36537" w:rsidRPr="00037F25" w:rsidP="001D6A97" w14:paraId="089F24D7" w14:textId="7F08A629">
      <w:pPr>
        <w:tabs>
          <w:tab w:val="left" w:pos="360"/>
          <w:tab w:val="right" w:pos="8640"/>
        </w:tabs>
        <w:ind w:right="684"/>
        <w:rPr>
          <w:sz w:val="24"/>
          <w:szCs w:val="24"/>
        </w:rPr>
      </w:pPr>
      <w:r w:rsidRPr="00FF0AF3">
        <w:rPr>
          <w:sz w:val="24"/>
          <w:szCs w:val="24"/>
        </w:rPr>
        <w:tab/>
        <w:t>No questions considered sensitive are being asked in this collection.</w:t>
      </w:r>
    </w:p>
    <w:p w:rsidR="001D6A97" w:rsidRPr="00037F25" w:rsidP="001D6A97" w14:paraId="09DB7AE5" w14:textId="77777777">
      <w:pPr>
        <w:tabs>
          <w:tab w:val="left" w:pos="360"/>
          <w:tab w:val="right" w:pos="8640"/>
        </w:tabs>
        <w:ind w:right="684"/>
        <w:rPr>
          <w:sz w:val="24"/>
          <w:szCs w:val="24"/>
        </w:rPr>
      </w:pPr>
    </w:p>
    <w:p w:rsidR="00310573" w:rsidRPr="00037F25" w:rsidP="003B6D49" w14:paraId="5C550AF8" w14:textId="1C92F678">
      <w:pPr>
        <w:pStyle w:val="ListParagraph"/>
        <w:numPr>
          <w:ilvl w:val="0"/>
          <w:numId w:val="5"/>
        </w:numPr>
        <w:tabs>
          <w:tab w:val="left" w:pos="547"/>
          <w:tab w:val="left" w:pos="1080"/>
          <w:tab w:val="left" w:pos="1627"/>
          <w:tab w:val="left" w:pos="2160"/>
          <w:tab w:val="left" w:pos="2880"/>
        </w:tabs>
        <w:rPr>
          <w:b/>
          <w:sz w:val="24"/>
          <w:szCs w:val="24"/>
          <w:u w:val="single"/>
        </w:rPr>
      </w:pPr>
      <w:bookmarkStart w:id="0" w:name="_Hlk163624435"/>
      <w:bookmarkStart w:id="1" w:name="_Hlk100146812"/>
      <w:bookmarkStart w:id="2" w:name="_Hlk133326302"/>
      <w:r w:rsidRPr="00037F25">
        <w:rPr>
          <w:b/>
          <w:sz w:val="24"/>
          <w:szCs w:val="24"/>
          <w:u w:val="single"/>
        </w:rPr>
        <w:t>Respondent Burden and its Labor Costs</w:t>
      </w:r>
    </w:p>
    <w:p w:rsidR="00E36537" w:rsidRPr="00037F25" w14:paraId="4592B525" w14:textId="77777777">
      <w:pPr>
        <w:tabs>
          <w:tab w:val="left" w:pos="480"/>
          <w:tab w:val="right" w:pos="8640"/>
        </w:tabs>
        <w:ind w:right="684"/>
        <w:rPr>
          <w:sz w:val="24"/>
          <w:szCs w:val="24"/>
        </w:rPr>
      </w:pPr>
    </w:p>
    <w:p w:rsidR="003B6D49" w:rsidRPr="00037F25" w:rsidP="00310573" w14:paraId="283C193F" w14:textId="38D5C7DE">
      <w:pPr>
        <w:pStyle w:val="ListParagraph"/>
        <w:numPr>
          <w:ilvl w:val="0"/>
          <w:numId w:val="8"/>
        </w:numPr>
        <w:tabs>
          <w:tab w:val="left" w:pos="480"/>
          <w:tab w:val="right" w:pos="8640"/>
        </w:tabs>
        <w:ind w:right="684"/>
        <w:rPr>
          <w:sz w:val="24"/>
          <w:szCs w:val="24"/>
        </w:rPr>
      </w:pPr>
      <w:r w:rsidRPr="00037F25">
        <w:rPr>
          <w:sz w:val="24"/>
          <w:szCs w:val="24"/>
        </w:rPr>
        <w:t xml:space="preserve">Number of Respondents is estimated at </w:t>
      </w:r>
      <w:r w:rsidR="00D33C6A">
        <w:rPr>
          <w:sz w:val="24"/>
          <w:szCs w:val="24"/>
        </w:rPr>
        <w:t>34,594</w:t>
      </w:r>
      <w:r w:rsidRPr="00037F25">
        <w:rPr>
          <w:sz w:val="24"/>
          <w:szCs w:val="24"/>
        </w:rPr>
        <w:t xml:space="preserve"> </w:t>
      </w:r>
      <w:r w:rsidRPr="00037F25" w:rsidR="00430D02">
        <w:rPr>
          <w:sz w:val="24"/>
          <w:szCs w:val="24"/>
        </w:rPr>
        <w:t>per year</w:t>
      </w:r>
      <w:r w:rsidRPr="00037F25" w:rsidR="00C17C77">
        <w:rPr>
          <w:sz w:val="24"/>
          <w:szCs w:val="24"/>
        </w:rPr>
        <w:t>.</w:t>
      </w:r>
      <w:r w:rsidRPr="00037F25">
        <w:rPr>
          <w:sz w:val="24"/>
          <w:szCs w:val="24"/>
        </w:rPr>
        <w:t xml:space="preserve"> </w:t>
      </w:r>
    </w:p>
    <w:p w:rsidR="00430D02" w:rsidRPr="00037F25" w:rsidP="00430D02" w14:paraId="43566C17" w14:textId="77777777">
      <w:pPr>
        <w:pStyle w:val="ListParagraph"/>
        <w:tabs>
          <w:tab w:val="left" w:pos="480"/>
          <w:tab w:val="right" w:pos="8640"/>
        </w:tabs>
        <w:ind w:right="684"/>
        <w:rPr>
          <w:sz w:val="24"/>
          <w:szCs w:val="24"/>
        </w:rPr>
      </w:pPr>
    </w:p>
    <w:p w:rsidR="00430D02" w:rsidRPr="00037F25" w:rsidP="00310573" w14:paraId="002C8789" w14:textId="2226BE12">
      <w:pPr>
        <w:pStyle w:val="ListParagraph"/>
        <w:numPr>
          <w:ilvl w:val="0"/>
          <w:numId w:val="8"/>
        </w:numPr>
        <w:tabs>
          <w:tab w:val="left" w:pos="480"/>
          <w:tab w:val="right" w:pos="8640"/>
        </w:tabs>
        <w:ind w:right="684"/>
        <w:rPr>
          <w:sz w:val="24"/>
          <w:szCs w:val="24"/>
        </w:rPr>
      </w:pPr>
      <w:r w:rsidRPr="00037F25">
        <w:rPr>
          <w:sz w:val="24"/>
          <w:szCs w:val="24"/>
        </w:rPr>
        <w:t xml:space="preserve">Frequency of Response is one time.  </w:t>
      </w:r>
    </w:p>
    <w:p w:rsidR="00312610" w:rsidRPr="00037F25" w:rsidP="00312610" w14:paraId="24DCD669" w14:textId="77777777">
      <w:pPr>
        <w:pStyle w:val="ListParagraph"/>
        <w:rPr>
          <w:sz w:val="24"/>
          <w:szCs w:val="24"/>
        </w:rPr>
      </w:pPr>
    </w:p>
    <w:p w:rsidR="00312610" w:rsidRPr="00037F25" w:rsidP="00310573" w14:paraId="7351D171" w14:textId="743AB1D3">
      <w:pPr>
        <w:pStyle w:val="ListParagraph"/>
        <w:numPr>
          <w:ilvl w:val="0"/>
          <w:numId w:val="8"/>
        </w:numPr>
        <w:tabs>
          <w:tab w:val="left" w:pos="480"/>
          <w:tab w:val="right" w:pos="8640"/>
        </w:tabs>
        <w:ind w:right="684"/>
        <w:rPr>
          <w:sz w:val="24"/>
          <w:szCs w:val="24"/>
        </w:rPr>
      </w:pPr>
      <w:r w:rsidRPr="00037F25">
        <w:rPr>
          <w:sz w:val="24"/>
          <w:szCs w:val="24"/>
        </w:rPr>
        <w:t xml:space="preserve">Annual burden hours are </w:t>
      </w:r>
      <w:r w:rsidR="006F6C25">
        <w:rPr>
          <w:sz w:val="24"/>
          <w:szCs w:val="24"/>
        </w:rPr>
        <w:t>5,76</w:t>
      </w:r>
      <w:r w:rsidR="0056347F">
        <w:rPr>
          <w:sz w:val="24"/>
          <w:szCs w:val="24"/>
        </w:rPr>
        <w:t>6</w:t>
      </w:r>
      <w:r w:rsidRPr="00037F25">
        <w:rPr>
          <w:sz w:val="24"/>
          <w:szCs w:val="24"/>
        </w:rPr>
        <w:t xml:space="preserve"> hours.</w:t>
      </w:r>
    </w:p>
    <w:p w:rsidR="003B6D49" w:rsidRPr="00037F25" w:rsidP="003B6D49" w14:paraId="4CBBB7B9" w14:textId="77777777">
      <w:pPr>
        <w:tabs>
          <w:tab w:val="left" w:pos="480"/>
          <w:tab w:val="right" w:pos="8640"/>
        </w:tabs>
        <w:ind w:right="684"/>
        <w:rPr>
          <w:sz w:val="24"/>
          <w:szCs w:val="24"/>
        </w:rPr>
      </w:pPr>
    </w:p>
    <w:p w:rsidR="003B6D49" w:rsidRPr="00037F25" w:rsidP="003B6D49" w14:paraId="58842546" w14:textId="7D1DE020">
      <w:pPr>
        <w:pStyle w:val="ListParagraph"/>
        <w:numPr>
          <w:ilvl w:val="0"/>
          <w:numId w:val="8"/>
        </w:numPr>
        <w:tabs>
          <w:tab w:val="left" w:pos="480"/>
          <w:tab w:val="right" w:pos="8640"/>
        </w:tabs>
        <w:ind w:right="684"/>
        <w:rPr>
          <w:sz w:val="24"/>
          <w:szCs w:val="24"/>
        </w:rPr>
      </w:pPr>
      <w:r w:rsidRPr="00037F25">
        <w:rPr>
          <w:sz w:val="24"/>
          <w:szCs w:val="24"/>
        </w:rPr>
        <w:t xml:space="preserve">The </w:t>
      </w:r>
      <w:r w:rsidRPr="00037F25" w:rsidR="00312610">
        <w:rPr>
          <w:sz w:val="24"/>
          <w:szCs w:val="24"/>
        </w:rPr>
        <w:t xml:space="preserve">estimated completion time for </w:t>
      </w:r>
      <w:r w:rsidR="00AD768C">
        <w:rPr>
          <w:sz w:val="24"/>
          <w:szCs w:val="24"/>
        </w:rPr>
        <w:t>this</w:t>
      </w:r>
      <w:r w:rsidRPr="00037F25" w:rsidR="00312610">
        <w:rPr>
          <w:sz w:val="24"/>
          <w:szCs w:val="24"/>
        </w:rPr>
        <w:t xml:space="preserve"> form is </w:t>
      </w:r>
      <w:r w:rsidR="00D33C6A">
        <w:rPr>
          <w:sz w:val="24"/>
          <w:szCs w:val="24"/>
        </w:rPr>
        <w:t xml:space="preserve">10 </w:t>
      </w:r>
      <w:r w:rsidRPr="00037F25">
        <w:rPr>
          <w:sz w:val="24"/>
          <w:szCs w:val="24"/>
        </w:rPr>
        <w:t>minutes.</w:t>
      </w:r>
    </w:p>
    <w:p w:rsidR="00312610" w:rsidRPr="00037F25" w:rsidP="00312610" w14:paraId="4992F149" w14:textId="77777777">
      <w:pPr>
        <w:pStyle w:val="ListParagraph"/>
        <w:rPr>
          <w:sz w:val="24"/>
          <w:szCs w:val="24"/>
        </w:rPr>
      </w:pPr>
    </w:p>
    <w:p w:rsidR="00782C13" w:rsidRPr="00037F25" w:rsidP="00782C13" w14:paraId="3C294A41" w14:textId="307C4FA1">
      <w:pPr>
        <w:pStyle w:val="ListParagraph"/>
        <w:numPr>
          <w:ilvl w:val="0"/>
          <w:numId w:val="8"/>
        </w:numPr>
        <w:tabs>
          <w:tab w:val="left" w:pos="480"/>
          <w:tab w:val="right" w:pos="720"/>
        </w:tabs>
        <w:ind w:right="684"/>
        <w:rPr>
          <w:sz w:val="24"/>
          <w:szCs w:val="24"/>
        </w:rPr>
      </w:pPr>
      <w:bookmarkStart w:id="3" w:name="_Hlk100146777"/>
      <w:r w:rsidRPr="00037F25">
        <w:rPr>
          <w:sz w:val="24"/>
          <w:szCs w:val="24"/>
        </w:rPr>
        <w:t>VA cannot make further assumptions about the population of respondents because of the variability of factors such as the educational background and wage potential of respondents. Therefore, VBA use</w:t>
      </w:r>
      <w:r w:rsidR="001D7264">
        <w:rPr>
          <w:sz w:val="24"/>
          <w:szCs w:val="24"/>
        </w:rPr>
        <w:t>s</w:t>
      </w:r>
      <w:r w:rsidRPr="00037F25">
        <w:rPr>
          <w:sz w:val="24"/>
          <w:szCs w:val="24"/>
        </w:rPr>
        <w:t xml:space="preserve"> general wage data to estimate the respondents’ costs associated with completing the information collection. </w:t>
      </w:r>
    </w:p>
    <w:p w:rsidR="00782C13" w:rsidRPr="00037F25" w:rsidP="00782C13" w14:paraId="17128153" w14:textId="77777777">
      <w:pPr>
        <w:tabs>
          <w:tab w:val="right" w:pos="720"/>
        </w:tabs>
        <w:ind w:left="720"/>
        <w:rPr>
          <w:sz w:val="24"/>
          <w:szCs w:val="24"/>
        </w:rPr>
      </w:pPr>
    </w:p>
    <w:p w:rsidR="001E2E15" w:rsidRPr="00100128" w:rsidP="001E2E15" w14:paraId="784F1753" w14:textId="3C056DD1">
      <w:pPr>
        <w:tabs>
          <w:tab w:val="left" w:pos="480"/>
          <w:tab w:val="right" w:pos="8640"/>
          <w:tab w:val="left" w:pos="9504"/>
        </w:tabs>
        <w:ind w:left="720" w:right="54"/>
        <w:rPr>
          <w:sz w:val="24"/>
          <w:szCs w:val="24"/>
        </w:rPr>
      </w:pPr>
      <w:bookmarkStart w:id="4" w:name="_Hlk2954761"/>
      <w:r w:rsidRPr="00037F25">
        <w:rPr>
          <w:sz w:val="24"/>
          <w:szCs w:val="24"/>
        </w:rPr>
        <w:t xml:space="preserve">The Bureau of Labor Statistics (BLS) gathers information on full-time wage and salary workers. According to the latest </w:t>
      </w:r>
      <w:r w:rsidRPr="00B43037">
        <w:rPr>
          <w:sz w:val="24"/>
          <w:szCs w:val="24"/>
        </w:rPr>
        <w:t>available BLS data, the mean hourly wage is $</w:t>
      </w:r>
      <w:r w:rsidRPr="00B43037" w:rsidR="00FF22E7">
        <w:rPr>
          <w:sz w:val="24"/>
          <w:szCs w:val="24"/>
        </w:rPr>
        <w:t>3</w:t>
      </w:r>
      <w:r w:rsidRPr="00B43037" w:rsidR="00100128">
        <w:rPr>
          <w:sz w:val="24"/>
          <w:szCs w:val="24"/>
        </w:rPr>
        <w:t>2.66</w:t>
      </w:r>
      <w:r w:rsidRPr="00B43037">
        <w:rPr>
          <w:sz w:val="24"/>
          <w:szCs w:val="24"/>
        </w:rPr>
        <w:t xml:space="preserve"> based on the BLS wage code – “00-000</w:t>
      </w:r>
      <w:r w:rsidRPr="00037F25">
        <w:rPr>
          <w:sz w:val="24"/>
          <w:szCs w:val="24"/>
        </w:rPr>
        <w:t xml:space="preserve">0 All Occupations.” This </w:t>
      </w:r>
      <w:r w:rsidRPr="00100128">
        <w:rPr>
          <w:sz w:val="24"/>
          <w:szCs w:val="24"/>
        </w:rPr>
        <w:t xml:space="preserve">information was taken from the following website: </w:t>
      </w:r>
      <w:bookmarkStart w:id="5" w:name="_Hlk194585855"/>
      <w:hyperlink r:id="rId8" w:anchor="/industry/000000" w:history="1">
        <w:r w:rsidRPr="005F40C9" w:rsidR="00100128">
          <w:rPr>
            <w:rStyle w:val="Hyperlink"/>
            <w:sz w:val="24"/>
            <w:szCs w:val="24"/>
          </w:rPr>
          <w:t>https://data.bls.gov/oes/#/industry/000000</w:t>
        </w:r>
      </w:hyperlink>
      <w:bookmarkEnd w:id="5"/>
      <w:r w:rsidR="00100128">
        <w:rPr>
          <w:sz w:val="24"/>
          <w:szCs w:val="24"/>
        </w:rPr>
        <w:t>.</w:t>
      </w:r>
      <w:r w:rsidRPr="00100128">
        <w:rPr>
          <w:sz w:val="24"/>
          <w:szCs w:val="24"/>
        </w:rPr>
        <w:t xml:space="preserve">  </w:t>
      </w:r>
    </w:p>
    <w:p w:rsidR="001E2E15" w:rsidRPr="00037F25" w:rsidP="001E2E15" w14:paraId="0D3EB6FA" w14:textId="77777777">
      <w:pPr>
        <w:tabs>
          <w:tab w:val="left" w:pos="480"/>
          <w:tab w:val="right" w:pos="8640"/>
          <w:tab w:val="left" w:pos="9504"/>
        </w:tabs>
        <w:ind w:left="720" w:right="54"/>
        <w:rPr>
          <w:sz w:val="24"/>
          <w:szCs w:val="24"/>
        </w:rPr>
      </w:pPr>
    </w:p>
    <w:p w:rsidR="001E2E15" w:rsidRPr="00037F25" w:rsidP="001E2E15" w14:paraId="39FE56FC" w14:textId="3E94205B">
      <w:pPr>
        <w:pStyle w:val="NoSpacing"/>
        <w:ind w:left="720"/>
        <w:rPr>
          <w:szCs w:val="24"/>
        </w:rPr>
      </w:pPr>
      <w:r w:rsidRPr="00037F25">
        <w:rPr>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B43037">
        <w:rPr>
          <w:szCs w:val="24"/>
        </w:rPr>
        <w:t>188,317.56</w:t>
      </w:r>
      <w:r w:rsidRPr="00037F25">
        <w:rPr>
          <w:szCs w:val="24"/>
        </w:rPr>
        <w:t xml:space="preserve"> (</w:t>
      </w:r>
      <w:r w:rsidR="00B43037">
        <w:rPr>
          <w:szCs w:val="24"/>
        </w:rPr>
        <w:t>5,766</w:t>
      </w:r>
      <w:r w:rsidRPr="00037F25">
        <w:rPr>
          <w:szCs w:val="24"/>
        </w:rPr>
        <w:t xml:space="preserve"> burden </w:t>
      </w:r>
      <w:r w:rsidRPr="00B43037">
        <w:rPr>
          <w:szCs w:val="24"/>
        </w:rPr>
        <w:t>hours x $</w:t>
      </w:r>
      <w:r w:rsidRPr="00B43037" w:rsidR="00FF22E7">
        <w:rPr>
          <w:szCs w:val="24"/>
        </w:rPr>
        <w:t>3</w:t>
      </w:r>
      <w:r w:rsidRPr="00B43037" w:rsidR="00100128">
        <w:rPr>
          <w:szCs w:val="24"/>
        </w:rPr>
        <w:t>2.66</w:t>
      </w:r>
      <w:r w:rsidRPr="00B43037">
        <w:rPr>
          <w:szCs w:val="24"/>
        </w:rPr>
        <w:t xml:space="preserve"> per</w:t>
      </w:r>
      <w:r w:rsidRPr="00037F25">
        <w:rPr>
          <w:szCs w:val="24"/>
        </w:rPr>
        <w:t xml:space="preserve"> hour). </w:t>
      </w:r>
      <w:bookmarkEnd w:id="0"/>
      <w:bookmarkEnd w:id="3"/>
      <w:bookmarkEnd w:id="4"/>
      <w:r w:rsidRPr="00037F25">
        <w:rPr>
          <w:szCs w:val="24"/>
        </w:rPr>
        <w:t xml:space="preserve"> </w:t>
      </w:r>
      <w:bookmarkEnd w:id="1"/>
    </w:p>
    <w:bookmarkEnd w:id="2"/>
    <w:p w:rsidR="00C17C77" w:rsidRPr="00037F25" w:rsidP="00C17C77" w14:paraId="79B895B9" w14:textId="77777777">
      <w:pPr>
        <w:tabs>
          <w:tab w:val="left" w:pos="480"/>
          <w:tab w:val="right" w:pos="8640"/>
        </w:tabs>
        <w:ind w:right="684"/>
        <w:rPr>
          <w:sz w:val="24"/>
          <w:szCs w:val="24"/>
        </w:rPr>
      </w:pPr>
    </w:p>
    <w:p w:rsidR="00C75126" w:rsidRPr="00037F25" w:rsidP="00C75126" w14:paraId="5760F770" w14:textId="7F8CB848">
      <w:pPr>
        <w:pStyle w:val="BodyText3"/>
        <w:numPr>
          <w:ilvl w:val="0"/>
          <w:numId w:val="5"/>
        </w:numPr>
        <w:tabs>
          <w:tab w:val="left" w:pos="547"/>
          <w:tab w:val="left" w:pos="1627"/>
        </w:tabs>
        <w:rPr>
          <w:b/>
          <w:sz w:val="24"/>
          <w:szCs w:val="24"/>
          <w:u w:val="single"/>
        </w:rPr>
      </w:pPr>
      <w:bookmarkStart w:id="6" w:name="_Hlk2954995"/>
      <w:r w:rsidRPr="00037F25">
        <w:rPr>
          <w:b/>
          <w:sz w:val="24"/>
          <w:szCs w:val="24"/>
          <w:u w:val="single"/>
        </w:rPr>
        <w:t>Respondent Costs Other Than Burden Hour Costs</w:t>
      </w:r>
    </w:p>
    <w:p w:rsidR="001D6A97" w:rsidRPr="004F460A" w:rsidP="00B32D2A" w14:paraId="2F8E018A" w14:textId="77777777">
      <w:pPr>
        <w:pStyle w:val="NoSpacing"/>
        <w:ind w:left="360"/>
        <w:rPr>
          <w:sz w:val="16"/>
          <w:szCs w:val="16"/>
        </w:rPr>
      </w:pPr>
    </w:p>
    <w:bookmarkEnd w:id="6"/>
    <w:p w:rsidR="004F460A" w:rsidRPr="00994D83" w:rsidP="00994D83" w14:paraId="7C85B6C8" w14:textId="4ADA55C4">
      <w:pPr>
        <w:pStyle w:val="BodyText3"/>
        <w:tabs>
          <w:tab w:val="left" w:pos="547"/>
          <w:tab w:val="left" w:pos="1627"/>
        </w:tabs>
        <w:ind w:left="360"/>
        <w:rPr>
          <w:sz w:val="24"/>
          <w:szCs w:val="24"/>
        </w:rPr>
      </w:pPr>
      <w:r w:rsidRPr="00FF0AF3">
        <w:rPr>
          <w:sz w:val="24"/>
          <w:szCs w:val="24"/>
        </w:rPr>
        <w:t>There are no annualized costs to respondents other than the labor burden costs addressed in Section 12 of this document to complete this collection.</w:t>
      </w:r>
      <w:bookmarkStart w:id="7" w:name="_Hlk92179753"/>
    </w:p>
    <w:p w:rsidR="00F54C17" w:rsidRPr="00037F25" w:rsidP="00843870" w14:paraId="0E41E681" w14:textId="0C9CF593">
      <w:pPr>
        <w:pStyle w:val="NoSpacing"/>
        <w:numPr>
          <w:ilvl w:val="0"/>
          <w:numId w:val="5"/>
        </w:numPr>
        <w:tabs>
          <w:tab w:val="left" w:pos="480"/>
          <w:tab w:val="right" w:pos="8640"/>
        </w:tabs>
        <w:ind w:right="684"/>
        <w:rPr>
          <w:b/>
          <w:bCs/>
          <w:szCs w:val="24"/>
          <w:u w:val="single"/>
        </w:rPr>
      </w:pPr>
      <w:r w:rsidRPr="00037F25">
        <w:rPr>
          <w:b/>
          <w:bCs/>
          <w:szCs w:val="24"/>
          <w:u w:val="single"/>
        </w:rPr>
        <w:t>Costs to the Federal Government</w:t>
      </w:r>
    </w:p>
    <w:p w:rsidR="00E3211D" w:rsidP="00F54C17" w14:paraId="5E5ED5E9" w14:textId="77777777">
      <w:pPr>
        <w:tabs>
          <w:tab w:val="left" w:pos="480"/>
          <w:tab w:val="right" w:pos="8640"/>
        </w:tabs>
        <w:ind w:left="360" w:right="684"/>
        <w:rPr>
          <w:sz w:val="24"/>
          <w:szCs w:val="24"/>
        </w:rPr>
      </w:pPr>
    </w:p>
    <w:tbl>
      <w:tblPr>
        <w:tblW w:w="8730" w:type="dxa"/>
        <w:tblInd w:w="350" w:type="dxa"/>
        <w:tblLook w:val="04A0"/>
      </w:tblPr>
      <w:tblGrid>
        <w:gridCol w:w="761"/>
        <w:gridCol w:w="594"/>
        <w:gridCol w:w="861"/>
        <w:gridCol w:w="1114"/>
        <w:gridCol w:w="1170"/>
        <w:gridCol w:w="1056"/>
        <w:gridCol w:w="1104"/>
        <w:gridCol w:w="2070"/>
      </w:tblGrid>
      <w:tr w14:paraId="7741644C" w14:textId="77777777" w:rsidTr="00593686">
        <w:tblPrEx>
          <w:tblW w:w="8730" w:type="dxa"/>
          <w:tblInd w:w="350" w:type="dxa"/>
          <w:tblLook w:val="04A0"/>
        </w:tblPrEx>
        <w:trPr>
          <w:trHeight w:val="765"/>
        </w:trPr>
        <w:tc>
          <w:tcPr>
            <w:tcW w:w="761" w:type="dxa"/>
            <w:tcBorders>
              <w:top w:val="single" w:sz="8" w:space="0" w:color="auto"/>
              <w:left w:val="single" w:sz="8" w:space="0" w:color="auto"/>
              <w:bottom w:val="single" w:sz="8" w:space="0" w:color="auto"/>
              <w:right w:val="single" w:sz="8" w:space="0" w:color="auto"/>
            </w:tcBorders>
            <w:shd w:val="clear" w:color="000000" w:fill="4BACC6"/>
            <w:vAlign w:val="center"/>
            <w:hideMark/>
          </w:tcPr>
          <w:p w:rsidR="00593686" w:rsidRPr="00593686" w:rsidP="00593686" w14:paraId="78A95D8C" w14:textId="77777777">
            <w:pPr>
              <w:jc w:val="center"/>
              <w:rPr>
                <w:b/>
                <w:bCs/>
                <w:color w:val="000000"/>
              </w:rPr>
            </w:pPr>
            <w:r w:rsidRPr="00593686">
              <w:rPr>
                <w:b/>
                <w:bCs/>
                <w:color w:val="000000"/>
              </w:rPr>
              <w:t>Grade</w:t>
            </w:r>
          </w:p>
        </w:tc>
        <w:tc>
          <w:tcPr>
            <w:tcW w:w="594" w:type="dxa"/>
            <w:tcBorders>
              <w:top w:val="single" w:sz="8" w:space="0" w:color="auto"/>
              <w:left w:val="nil"/>
              <w:bottom w:val="single" w:sz="8" w:space="0" w:color="auto"/>
              <w:right w:val="single" w:sz="8" w:space="0" w:color="auto"/>
            </w:tcBorders>
            <w:shd w:val="clear" w:color="000000" w:fill="4BACC6"/>
            <w:vAlign w:val="center"/>
            <w:hideMark/>
          </w:tcPr>
          <w:p w:rsidR="00593686" w:rsidRPr="00593686" w:rsidP="00593686" w14:paraId="1476B155" w14:textId="77777777">
            <w:pPr>
              <w:jc w:val="center"/>
              <w:rPr>
                <w:b/>
                <w:bCs/>
                <w:color w:val="000000"/>
              </w:rPr>
            </w:pPr>
            <w:r w:rsidRPr="00593686">
              <w:rPr>
                <w:b/>
                <w:bCs/>
                <w:color w:val="000000"/>
              </w:rPr>
              <w:t>Step</w:t>
            </w:r>
          </w:p>
        </w:tc>
        <w:tc>
          <w:tcPr>
            <w:tcW w:w="861" w:type="dxa"/>
            <w:tcBorders>
              <w:top w:val="single" w:sz="8" w:space="0" w:color="auto"/>
              <w:left w:val="nil"/>
              <w:bottom w:val="single" w:sz="8" w:space="0" w:color="auto"/>
              <w:right w:val="single" w:sz="8" w:space="0" w:color="auto"/>
            </w:tcBorders>
            <w:shd w:val="clear" w:color="000000" w:fill="4BACC6"/>
            <w:vAlign w:val="center"/>
            <w:hideMark/>
          </w:tcPr>
          <w:p w:rsidR="00593686" w:rsidRPr="00593686" w:rsidP="00593686" w14:paraId="287DCBE4" w14:textId="77777777">
            <w:pPr>
              <w:jc w:val="center"/>
              <w:rPr>
                <w:b/>
                <w:bCs/>
                <w:color w:val="000000"/>
              </w:rPr>
            </w:pPr>
            <w:r w:rsidRPr="00593686">
              <w:rPr>
                <w:b/>
                <w:bCs/>
                <w:color w:val="000000"/>
              </w:rPr>
              <w:t>Burden Time</w:t>
            </w:r>
          </w:p>
        </w:tc>
        <w:tc>
          <w:tcPr>
            <w:tcW w:w="1114" w:type="dxa"/>
            <w:tcBorders>
              <w:top w:val="single" w:sz="8" w:space="0" w:color="auto"/>
              <w:left w:val="nil"/>
              <w:bottom w:val="single" w:sz="8" w:space="0" w:color="auto"/>
              <w:right w:val="single" w:sz="8" w:space="0" w:color="auto"/>
            </w:tcBorders>
            <w:shd w:val="clear" w:color="000000" w:fill="4BACC6"/>
            <w:vAlign w:val="center"/>
            <w:hideMark/>
          </w:tcPr>
          <w:p w:rsidR="00593686" w:rsidRPr="00593686" w:rsidP="00593686" w14:paraId="7D03C4A3" w14:textId="77777777">
            <w:pPr>
              <w:jc w:val="center"/>
              <w:rPr>
                <w:b/>
                <w:bCs/>
                <w:color w:val="000000"/>
              </w:rPr>
            </w:pPr>
            <w:r w:rsidRPr="00593686">
              <w:rPr>
                <w:b/>
                <w:bCs/>
                <w:color w:val="000000"/>
              </w:rPr>
              <w:t>Fraction of Hour</w:t>
            </w:r>
          </w:p>
        </w:tc>
        <w:tc>
          <w:tcPr>
            <w:tcW w:w="1170" w:type="dxa"/>
            <w:tcBorders>
              <w:top w:val="single" w:sz="8" w:space="0" w:color="auto"/>
              <w:left w:val="nil"/>
              <w:bottom w:val="single" w:sz="8" w:space="0" w:color="auto"/>
              <w:right w:val="single" w:sz="8" w:space="0" w:color="auto"/>
            </w:tcBorders>
            <w:shd w:val="clear" w:color="000000" w:fill="4BACC6"/>
            <w:vAlign w:val="center"/>
            <w:hideMark/>
          </w:tcPr>
          <w:p w:rsidR="00593686" w:rsidRPr="00593686" w:rsidP="00593686" w14:paraId="149BA71D" w14:textId="77777777">
            <w:pPr>
              <w:jc w:val="center"/>
              <w:rPr>
                <w:b/>
                <w:bCs/>
                <w:color w:val="000000"/>
              </w:rPr>
            </w:pPr>
            <w:r w:rsidRPr="00593686">
              <w:rPr>
                <w:b/>
                <w:bCs/>
                <w:color w:val="000000"/>
              </w:rPr>
              <w:t>Hourly Rate</w:t>
            </w:r>
          </w:p>
        </w:tc>
        <w:tc>
          <w:tcPr>
            <w:tcW w:w="1056" w:type="dxa"/>
            <w:tcBorders>
              <w:top w:val="single" w:sz="8" w:space="0" w:color="auto"/>
              <w:left w:val="nil"/>
              <w:bottom w:val="single" w:sz="8" w:space="0" w:color="auto"/>
              <w:right w:val="single" w:sz="8" w:space="0" w:color="auto"/>
            </w:tcBorders>
            <w:shd w:val="clear" w:color="000000" w:fill="4BACC6"/>
            <w:vAlign w:val="center"/>
            <w:hideMark/>
          </w:tcPr>
          <w:p w:rsidR="00593686" w:rsidRPr="00593686" w:rsidP="00593686" w14:paraId="3266CDCA" w14:textId="77777777">
            <w:pPr>
              <w:jc w:val="center"/>
              <w:rPr>
                <w:b/>
                <w:bCs/>
                <w:color w:val="000000"/>
              </w:rPr>
            </w:pPr>
            <w:r w:rsidRPr="00593686">
              <w:rPr>
                <w:b/>
                <w:bCs/>
                <w:color w:val="000000"/>
              </w:rPr>
              <w:t>Cost Per Response</w:t>
            </w:r>
          </w:p>
        </w:tc>
        <w:tc>
          <w:tcPr>
            <w:tcW w:w="1104" w:type="dxa"/>
            <w:tcBorders>
              <w:top w:val="single" w:sz="8" w:space="0" w:color="auto"/>
              <w:left w:val="nil"/>
              <w:bottom w:val="single" w:sz="8" w:space="0" w:color="auto"/>
              <w:right w:val="single" w:sz="8" w:space="0" w:color="auto"/>
            </w:tcBorders>
            <w:shd w:val="clear" w:color="000000" w:fill="4BACC6"/>
            <w:vAlign w:val="center"/>
            <w:hideMark/>
          </w:tcPr>
          <w:p w:rsidR="00593686" w:rsidRPr="00593686" w:rsidP="00593686" w14:paraId="2CF19873" w14:textId="77777777">
            <w:pPr>
              <w:jc w:val="center"/>
              <w:rPr>
                <w:b/>
                <w:bCs/>
                <w:color w:val="000000"/>
              </w:rPr>
            </w:pPr>
            <w:r w:rsidRPr="00593686">
              <w:rPr>
                <w:b/>
                <w:bCs/>
                <w:color w:val="000000"/>
              </w:rPr>
              <w:t>Total Responses</w:t>
            </w:r>
          </w:p>
        </w:tc>
        <w:tc>
          <w:tcPr>
            <w:tcW w:w="2070" w:type="dxa"/>
            <w:tcBorders>
              <w:top w:val="single" w:sz="8" w:space="0" w:color="auto"/>
              <w:left w:val="nil"/>
              <w:bottom w:val="single" w:sz="8" w:space="0" w:color="auto"/>
              <w:right w:val="single" w:sz="8" w:space="0" w:color="auto"/>
            </w:tcBorders>
            <w:shd w:val="clear" w:color="000000" w:fill="4BACC6"/>
            <w:vAlign w:val="center"/>
            <w:hideMark/>
          </w:tcPr>
          <w:p w:rsidR="00593686" w:rsidRPr="00593686" w:rsidP="00593686" w14:paraId="4B7233FE" w14:textId="77777777">
            <w:pPr>
              <w:jc w:val="center"/>
              <w:rPr>
                <w:b/>
                <w:bCs/>
                <w:color w:val="000000"/>
              </w:rPr>
            </w:pPr>
            <w:r w:rsidRPr="00593686">
              <w:rPr>
                <w:b/>
                <w:bCs/>
                <w:color w:val="000000"/>
              </w:rPr>
              <w:t>Total</w:t>
            </w:r>
          </w:p>
        </w:tc>
      </w:tr>
      <w:tr w14:paraId="4278DF77" w14:textId="77777777" w:rsidTr="00593686">
        <w:tblPrEx>
          <w:tblW w:w="8730" w:type="dxa"/>
          <w:tblInd w:w="350" w:type="dxa"/>
          <w:tblLook w:val="04A0"/>
        </w:tblPrEx>
        <w:trPr>
          <w:trHeight w:val="290"/>
        </w:trPr>
        <w:tc>
          <w:tcPr>
            <w:tcW w:w="761" w:type="dxa"/>
            <w:tcBorders>
              <w:top w:val="nil"/>
              <w:left w:val="single" w:sz="8" w:space="0" w:color="auto"/>
              <w:bottom w:val="single" w:sz="4" w:space="0" w:color="auto"/>
              <w:right w:val="single" w:sz="4" w:space="0" w:color="auto"/>
            </w:tcBorders>
            <w:vAlign w:val="bottom"/>
            <w:hideMark/>
          </w:tcPr>
          <w:p w:rsidR="00593686" w:rsidRPr="00593686" w:rsidP="00593686" w14:paraId="22B1AD53" w14:textId="77777777">
            <w:pPr>
              <w:jc w:val="center"/>
              <w:rPr>
                <w:color w:val="000000"/>
              </w:rPr>
            </w:pPr>
            <w:r w:rsidRPr="00593686">
              <w:rPr>
                <w:color w:val="000000"/>
              </w:rPr>
              <w:t>7</w:t>
            </w:r>
          </w:p>
        </w:tc>
        <w:tc>
          <w:tcPr>
            <w:tcW w:w="594" w:type="dxa"/>
            <w:tcBorders>
              <w:top w:val="nil"/>
              <w:left w:val="nil"/>
              <w:bottom w:val="single" w:sz="4" w:space="0" w:color="auto"/>
              <w:right w:val="single" w:sz="4" w:space="0" w:color="auto"/>
            </w:tcBorders>
            <w:vAlign w:val="bottom"/>
            <w:hideMark/>
          </w:tcPr>
          <w:p w:rsidR="00593686" w:rsidRPr="00593686" w:rsidP="00593686" w14:paraId="15530A6B" w14:textId="77777777">
            <w:pPr>
              <w:jc w:val="center"/>
              <w:rPr>
                <w:color w:val="000000"/>
              </w:rPr>
            </w:pPr>
            <w:r w:rsidRPr="00593686">
              <w:rPr>
                <w:color w:val="000000"/>
              </w:rPr>
              <w:t>3</w:t>
            </w:r>
          </w:p>
        </w:tc>
        <w:tc>
          <w:tcPr>
            <w:tcW w:w="861" w:type="dxa"/>
            <w:tcBorders>
              <w:top w:val="nil"/>
              <w:left w:val="nil"/>
              <w:bottom w:val="single" w:sz="4" w:space="0" w:color="auto"/>
              <w:right w:val="single" w:sz="4" w:space="0" w:color="auto"/>
            </w:tcBorders>
            <w:vAlign w:val="bottom"/>
            <w:hideMark/>
          </w:tcPr>
          <w:p w:rsidR="00593686" w:rsidRPr="00593686" w:rsidP="00593686" w14:paraId="2DC3665E" w14:textId="77777777">
            <w:pPr>
              <w:jc w:val="center"/>
              <w:rPr>
                <w:color w:val="000000"/>
              </w:rPr>
            </w:pPr>
            <w:r w:rsidRPr="00593686">
              <w:rPr>
                <w:color w:val="000000"/>
              </w:rPr>
              <w:t>10</w:t>
            </w:r>
          </w:p>
        </w:tc>
        <w:tc>
          <w:tcPr>
            <w:tcW w:w="1114" w:type="dxa"/>
            <w:tcBorders>
              <w:top w:val="nil"/>
              <w:left w:val="nil"/>
              <w:bottom w:val="single" w:sz="4" w:space="0" w:color="auto"/>
              <w:right w:val="single" w:sz="4" w:space="0" w:color="auto"/>
            </w:tcBorders>
            <w:vAlign w:val="bottom"/>
            <w:hideMark/>
          </w:tcPr>
          <w:p w:rsidR="00593686" w:rsidRPr="00593686" w:rsidP="00593686" w14:paraId="3C3AE02B" w14:textId="77777777">
            <w:pPr>
              <w:jc w:val="center"/>
              <w:rPr>
                <w:color w:val="000000"/>
              </w:rPr>
            </w:pPr>
            <w:r w:rsidRPr="00593686">
              <w:rPr>
                <w:color w:val="000000"/>
              </w:rPr>
              <w:t>0.17</w:t>
            </w:r>
          </w:p>
        </w:tc>
        <w:tc>
          <w:tcPr>
            <w:tcW w:w="1170" w:type="dxa"/>
            <w:tcBorders>
              <w:top w:val="nil"/>
              <w:left w:val="nil"/>
              <w:bottom w:val="single" w:sz="4" w:space="0" w:color="auto"/>
              <w:right w:val="single" w:sz="4" w:space="0" w:color="auto"/>
            </w:tcBorders>
            <w:vAlign w:val="bottom"/>
            <w:hideMark/>
          </w:tcPr>
          <w:p w:rsidR="00593686" w:rsidRPr="00593686" w:rsidP="00593686" w14:paraId="39B6980E" w14:textId="77777777">
            <w:pPr>
              <w:jc w:val="center"/>
              <w:rPr>
                <w:color w:val="000000"/>
              </w:rPr>
            </w:pPr>
            <w:r w:rsidRPr="00593686">
              <w:rPr>
                <w:color w:val="000000"/>
              </w:rPr>
              <w:t xml:space="preserve"> $   21.81 </w:t>
            </w:r>
          </w:p>
        </w:tc>
        <w:tc>
          <w:tcPr>
            <w:tcW w:w="1056" w:type="dxa"/>
            <w:tcBorders>
              <w:top w:val="nil"/>
              <w:left w:val="nil"/>
              <w:bottom w:val="single" w:sz="4" w:space="0" w:color="auto"/>
              <w:right w:val="single" w:sz="4" w:space="0" w:color="auto"/>
            </w:tcBorders>
            <w:vAlign w:val="bottom"/>
            <w:hideMark/>
          </w:tcPr>
          <w:p w:rsidR="00593686" w:rsidRPr="00593686" w:rsidP="00593686" w14:paraId="2CF42109" w14:textId="77777777">
            <w:pPr>
              <w:jc w:val="center"/>
              <w:rPr>
                <w:color w:val="000000"/>
              </w:rPr>
            </w:pPr>
            <w:r w:rsidRPr="00593686">
              <w:rPr>
                <w:color w:val="000000"/>
              </w:rPr>
              <w:t>3.635</w:t>
            </w:r>
          </w:p>
        </w:tc>
        <w:tc>
          <w:tcPr>
            <w:tcW w:w="1104" w:type="dxa"/>
            <w:tcBorders>
              <w:top w:val="nil"/>
              <w:left w:val="nil"/>
              <w:bottom w:val="single" w:sz="4" w:space="0" w:color="auto"/>
              <w:right w:val="single" w:sz="4" w:space="0" w:color="auto"/>
            </w:tcBorders>
            <w:vAlign w:val="bottom"/>
            <w:hideMark/>
          </w:tcPr>
          <w:p w:rsidR="00593686" w:rsidRPr="00593686" w:rsidP="00593686" w14:paraId="2CA428D8" w14:textId="117651D1">
            <w:pPr>
              <w:jc w:val="center"/>
              <w:rPr>
                <w:color w:val="000000"/>
              </w:rPr>
            </w:pPr>
            <w:r w:rsidRPr="00593686">
              <w:rPr>
                <w:color w:val="000000"/>
              </w:rPr>
              <w:t xml:space="preserve">      34,594 </w:t>
            </w:r>
          </w:p>
        </w:tc>
        <w:tc>
          <w:tcPr>
            <w:tcW w:w="2070" w:type="dxa"/>
            <w:tcBorders>
              <w:top w:val="nil"/>
              <w:left w:val="nil"/>
              <w:bottom w:val="single" w:sz="4" w:space="0" w:color="auto"/>
              <w:right w:val="single" w:sz="8" w:space="0" w:color="auto"/>
            </w:tcBorders>
            <w:vAlign w:val="bottom"/>
            <w:hideMark/>
          </w:tcPr>
          <w:p w:rsidR="00593686" w:rsidRPr="00593686" w:rsidP="00593686" w14:paraId="30BFA064" w14:textId="77777777">
            <w:pPr>
              <w:jc w:val="center"/>
              <w:rPr>
                <w:color w:val="000000"/>
              </w:rPr>
            </w:pPr>
            <w:r w:rsidRPr="00593686">
              <w:rPr>
                <w:color w:val="000000"/>
              </w:rPr>
              <w:t xml:space="preserve"> $           125,749.19 </w:t>
            </w:r>
          </w:p>
        </w:tc>
      </w:tr>
      <w:tr w14:paraId="24F9B501" w14:textId="77777777" w:rsidTr="00593686">
        <w:tblPrEx>
          <w:tblW w:w="8730" w:type="dxa"/>
          <w:tblInd w:w="350" w:type="dxa"/>
          <w:tblLook w:val="04A0"/>
        </w:tblPrEx>
        <w:trPr>
          <w:trHeight w:val="290"/>
        </w:trPr>
        <w:tc>
          <w:tcPr>
            <w:tcW w:w="6660" w:type="dxa"/>
            <w:gridSpan w:val="7"/>
            <w:tcBorders>
              <w:top w:val="single" w:sz="4" w:space="0" w:color="auto"/>
              <w:left w:val="single" w:sz="8" w:space="0" w:color="auto"/>
              <w:bottom w:val="single" w:sz="4" w:space="0" w:color="auto"/>
              <w:right w:val="single" w:sz="4" w:space="0" w:color="000000"/>
            </w:tcBorders>
            <w:vAlign w:val="bottom"/>
            <w:hideMark/>
          </w:tcPr>
          <w:p w:rsidR="00593686" w:rsidRPr="00593686" w:rsidP="00593686" w14:paraId="3221A87B" w14:textId="77777777">
            <w:pPr>
              <w:rPr>
                <w:color w:val="000000"/>
              </w:rPr>
            </w:pPr>
            <w:r w:rsidRPr="00593686">
              <w:rPr>
                <w:color w:val="000000"/>
              </w:rPr>
              <w:t>Overhead at 100% Salary</w:t>
            </w:r>
          </w:p>
        </w:tc>
        <w:tc>
          <w:tcPr>
            <w:tcW w:w="2070" w:type="dxa"/>
            <w:tcBorders>
              <w:top w:val="nil"/>
              <w:left w:val="nil"/>
              <w:bottom w:val="single" w:sz="4" w:space="0" w:color="auto"/>
              <w:right w:val="single" w:sz="8" w:space="0" w:color="auto"/>
            </w:tcBorders>
            <w:vAlign w:val="bottom"/>
            <w:hideMark/>
          </w:tcPr>
          <w:p w:rsidR="00593686" w:rsidRPr="00593686" w:rsidP="00593686" w14:paraId="50493EC4" w14:textId="77777777">
            <w:pPr>
              <w:jc w:val="center"/>
              <w:rPr>
                <w:color w:val="000000"/>
              </w:rPr>
            </w:pPr>
            <w:r w:rsidRPr="00593686">
              <w:rPr>
                <w:color w:val="000000"/>
              </w:rPr>
              <w:t xml:space="preserve"> $           125,749.19 </w:t>
            </w:r>
          </w:p>
        </w:tc>
      </w:tr>
      <w:tr w14:paraId="37CBF4B6" w14:textId="77777777" w:rsidTr="00593686">
        <w:tblPrEx>
          <w:tblW w:w="8730" w:type="dxa"/>
          <w:tblInd w:w="350" w:type="dxa"/>
          <w:tblLook w:val="04A0"/>
        </w:tblPrEx>
        <w:trPr>
          <w:trHeight w:val="290"/>
        </w:trPr>
        <w:tc>
          <w:tcPr>
            <w:tcW w:w="761" w:type="dxa"/>
            <w:tcBorders>
              <w:top w:val="nil"/>
              <w:left w:val="single" w:sz="8" w:space="0" w:color="auto"/>
              <w:bottom w:val="single" w:sz="4" w:space="0" w:color="auto"/>
              <w:right w:val="single" w:sz="4" w:space="0" w:color="auto"/>
            </w:tcBorders>
            <w:vAlign w:val="bottom"/>
            <w:hideMark/>
          </w:tcPr>
          <w:p w:rsidR="00593686" w:rsidRPr="00593686" w:rsidP="00593686" w14:paraId="1AA1AC00" w14:textId="77777777">
            <w:pPr>
              <w:jc w:val="center"/>
              <w:rPr>
                <w:color w:val="000000"/>
              </w:rPr>
            </w:pPr>
            <w:r w:rsidRPr="00593686">
              <w:rPr>
                <w:color w:val="000000"/>
              </w:rPr>
              <w:t>9</w:t>
            </w:r>
          </w:p>
        </w:tc>
        <w:tc>
          <w:tcPr>
            <w:tcW w:w="594" w:type="dxa"/>
            <w:tcBorders>
              <w:top w:val="nil"/>
              <w:left w:val="nil"/>
              <w:bottom w:val="single" w:sz="4" w:space="0" w:color="auto"/>
              <w:right w:val="single" w:sz="4" w:space="0" w:color="auto"/>
            </w:tcBorders>
            <w:vAlign w:val="bottom"/>
            <w:hideMark/>
          </w:tcPr>
          <w:p w:rsidR="00593686" w:rsidRPr="00593686" w:rsidP="00593686" w14:paraId="47503E29" w14:textId="77777777">
            <w:pPr>
              <w:jc w:val="center"/>
              <w:rPr>
                <w:color w:val="000000"/>
              </w:rPr>
            </w:pPr>
            <w:r w:rsidRPr="00593686">
              <w:rPr>
                <w:color w:val="000000"/>
              </w:rPr>
              <w:t>3</w:t>
            </w:r>
          </w:p>
        </w:tc>
        <w:tc>
          <w:tcPr>
            <w:tcW w:w="861" w:type="dxa"/>
            <w:tcBorders>
              <w:top w:val="nil"/>
              <w:left w:val="nil"/>
              <w:bottom w:val="single" w:sz="4" w:space="0" w:color="auto"/>
              <w:right w:val="single" w:sz="4" w:space="0" w:color="auto"/>
            </w:tcBorders>
            <w:vAlign w:val="bottom"/>
            <w:hideMark/>
          </w:tcPr>
          <w:p w:rsidR="00593686" w:rsidRPr="00593686" w:rsidP="00593686" w14:paraId="6C6D93A4" w14:textId="77777777">
            <w:pPr>
              <w:jc w:val="center"/>
              <w:rPr>
                <w:color w:val="000000"/>
              </w:rPr>
            </w:pPr>
            <w:r w:rsidRPr="00593686">
              <w:rPr>
                <w:color w:val="000000"/>
              </w:rPr>
              <w:t>5</w:t>
            </w:r>
          </w:p>
        </w:tc>
        <w:tc>
          <w:tcPr>
            <w:tcW w:w="1114" w:type="dxa"/>
            <w:tcBorders>
              <w:top w:val="nil"/>
              <w:left w:val="nil"/>
              <w:bottom w:val="single" w:sz="4" w:space="0" w:color="auto"/>
              <w:right w:val="single" w:sz="4" w:space="0" w:color="auto"/>
            </w:tcBorders>
            <w:vAlign w:val="bottom"/>
            <w:hideMark/>
          </w:tcPr>
          <w:p w:rsidR="00593686" w:rsidRPr="00593686" w:rsidP="00593686" w14:paraId="42C5F83C" w14:textId="77777777">
            <w:pPr>
              <w:jc w:val="center"/>
              <w:rPr>
                <w:color w:val="000000"/>
              </w:rPr>
            </w:pPr>
            <w:r w:rsidRPr="00593686">
              <w:rPr>
                <w:color w:val="000000"/>
              </w:rPr>
              <w:t>0.08</w:t>
            </w:r>
          </w:p>
        </w:tc>
        <w:tc>
          <w:tcPr>
            <w:tcW w:w="1170" w:type="dxa"/>
            <w:tcBorders>
              <w:top w:val="nil"/>
              <w:left w:val="nil"/>
              <w:bottom w:val="single" w:sz="4" w:space="0" w:color="auto"/>
              <w:right w:val="single" w:sz="4" w:space="0" w:color="auto"/>
            </w:tcBorders>
            <w:vAlign w:val="bottom"/>
            <w:hideMark/>
          </w:tcPr>
          <w:p w:rsidR="00593686" w:rsidRPr="00593686" w:rsidP="00593686" w14:paraId="3FD0E0CD" w14:textId="77777777">
            <w:pPr>
              <w:jc w:val="center"/>
              <w:rPr>
                <w:color w:val="000000"/>
              </w:rPr>
            </w:pPr>
            <w:r w:rsidRPr="00593686">
              <w:rPr>
                <w:color w:val="000000"/>
              </w:rPr>
              <w:t xml:space="preserve"> $   26.68 </w:t>
            </w:r>
          </w:p>
        </w:tc>
        <w:tc>
          <w:tcPr>
            <w:tcW w:w="1056" w:type="dxa"/>
            <w:tcBorders>
              <w:top w:val="nil"/>
              <w:left w:val="nil"/>
              <w:bottom w:val="single" w:sz="4" w:space="0" w:color="auto"/>
              <w:right w:val="single" w:sz="4" w:space="0" w:color="auto"/>
            </w:tcBorders>
            <w:vAlign w:val="bottom"/>
            <w:hideMark/>
          </w:tcPr>
          <w:p w:rsidR="00593686" w:rsidRPr="00593686" w:rsidP="00593686" w14:paraId="4B4CEB7E" w14:textId="77777777">
            <w:pPr>
              <w:jc w:val="center"/>
              <w:rPr>
                <w:color w:val="000000"/>
              </w:rPr>
            </w:pPr>
            <w:r w:rsidRPr="00593686">
              <w:rPr>
                <w:color w:val="000000"/>
              </w:rPr>
              <w:t>2.223</w:t>
            </w:r>
          </w:p>
        </w:tc>
        <w:tc>
          <w:tcPr>
            <w:tcW w:w="1104" w:type="dxa"/>
            <w:tcBorders>
              <w:top w:val="nil"/>
              <w:left w:val="nil"/>
              <w:bottom w:val="single" w:sz="4" w:space="0" w:color="auto"/>
              <w:right w:val="single" w:sz="4" w:space="0" w:color="auto"/>
            </w:tcBorders>
            <w:vAlign w:val="bottom"/>
            <w:hideMark/>
          </w:tcPr>
          <w:p w:rsidR="00593686" w:rsidRPr="00593686" w:rsidP="00593686" w14:paraId="60F32480" w14:textId="009EF5B3">
            <w:pPr>
              <w:jc w:val="center"/>
              <w:rPr>
                <w:color w:val="000000"/>
              </w:rPr>
            </w:pPr>
            <w:r w:rsidRPr="00593686">
              <w:rPr>
                <w:color w:val="000000"/>
              </w:rPr>
              <w:t xml:space="preserve">      34,594 </w:t>
            </w:r>
          </w:p>
        </w:tc>
        <w:tc>
          <w:tcPr>
            <w:tcW w:w="2070" w:type="dxa"/>
            <w:tcBorders>
              <w:top w:val="nil"/>
              <w:left w:val="nil"/>
              <w:bottom w:val="single" w:sz="4" w:space="0" w:color="auto"/>
              <w:right w:val="single" w:sz="8" w:space="0" w:color="auto"/>
            </w:tcBorders>
            <w:vAlign w:val="bottom"/>
            <w:hideMark/>
          </w:tcPr>
          <w:p w:rsidR="00593686" w:rsidRPr="00593686" w:rsidP="00593686" w14:paraId="6ACC39A2" w14:textId="77777777">
            <w:pPr>
              <w:jc w:val="center"/>
              <w:rPr>
                <w:color w:val="000000"/>
              </w:rPr>
            </w:pPr>
            <w:r w:rsidRPr="00593686">
              <w:rPr>
                <w:color w:val="000000"/>
              </w:rPr>
              <w:t xml:space="preserve"> $             76,913.99 </w:t>
            </w:r>
          </w:p>
        </w:tc>
      </w:tr>
      <w:tr w14:paraId="5CADCDE4" w14:textId="77777777" w:rsidTr="00593686">
        <w:tblPrEx>
          <w:tblW w:w="8730" w:type="dxa"/>
          <w:tblInd w:w="350" w:type="dxa"/>
          <w:tblLook w:val="04A0"/>
        </w:tblPrEx>
        <w:trPr>
          <w:trHeight w:val="290"/>
        </w:trPr>
        <w:tc>
          <w:tcPr>
            <w:tcW w:w="6660" w:type="dxa"/>
            <w:gridSpan w:val="7"/>
            <w:tcBorders>
              <w:top w:val="single" w:sz="4" w:space="0" w:color="auto"/>
              <w:left w:val="single" w:sz="8" w:space="0" w:color="auto"/>
              <w:bottom w:val="single" w:sz="4" w:space="0" w:color="auto"/>
              <w:right w:val="single" w:sz="4" w:space="0" w:color="000000"/>
            </w:tcBorders>
            <w:vAlign w:val="bottom"/>
            <w:hideMark/>
          </w:tcPr>
          <w:p w:rsidR="00593686" w:rsidRPr="00593686" w:rsidP="00593686" w14:paraId="2677C382" w14:textId="77777777">
            <w:pPr>
              <w:rPr>
                <w:color w:val="000000"/>
              </w:rPr>
            </w:pPr>
            <w:r w:rsidRPr="00593686">
              <w:rPr>
                <w:color w:val="000000"/>
              </w:rPr>
              <w:t>Overhead at 100% Salary</w:t>
            </w:r>
          </w:p>
        </w:tc>
        <w:tc>
          <w:tcPr>
            <w:tcW w:w="2070" w:type="dxa"/>
            <w:tcBorders>
              <w:top w:val="nil"/>
              <w:left w:val="nil"/>
              <w:bottom w:val="single" w:sz="4" w:space="0" w:color="auto"/>
              <w:right w:val="single" w:sz="8" w:space="0" w:color="auto"/>
            </w:tcBorders>
            <w:vAlign w:val="bottom"/>
            <w:hideMark/>
          </w:tcPr>
          <w:p w:rsidR="00593686" w:rsidRPr="00593686" w:rsidP="00593686" w14:paraId="5B942073" w14:textId="77777777">
            <w:pPr>
              <w:jc w:val="center"/>
              <w:rPr>
                <w:color w:val="000000"/>
              </w:rPr>
            </w:pPr>
            <w:r w:rsidRPr="00593686">
              <w:rPr>
                <w:color w:val="000000"/>
              </w:rPr>
              <w:t xml:space="preserve"> $             76,913.99 </w:t>
            </w:r>
          </w:p>
        </w:tc>
      </w:tr>
      <w:tr w14:paraId="5F0997E5" w14:textId="77777777" w:rsidTr="00593686">
        <w:tblPrEx>
          <w:tblW w:w="8730" w:type="dxa"/>
          <w:tblInd w:w="350" w:type="dxa"/>
          <w:tblLook w:val="04A0"/>
        </w:tblPrEx>
        <w:trPr>
          <w:trHeight w:val="290"/>
        </w:trPr>
        <w:tc>
          <w:tcPr>
            <w:tcW w:w="761" w:type="dxa"/>
            <w:tcBorders>
              <w:top w:val="nil"/>
              <w:left w:val="single" w:sz="8" w:space="0" w:color="auto"/>
              <w:bottom w:val="single" w:sz="4" w:space="0" w:color="auto"/>
              <w:right w:val="single" w:sz="4" w:space="0" w:color="auto"/>
            </w:tcBorders>
            <w:vAlign w:val="bottom"/>
            <w:hideMark/>
          </w:tcPr>
          <w:p w:rsidR="00593686" w:rsidRPr="00593686" w:rsidP="00593686" w14:paraId="12C0962C" w14:textId="77777777">
            <w:pPr>
              <w:jc w:val="center"/>
              <w:rPr>
                <w:color w:val="000000"/>
              </w:rPr>
            </w:pPr>
            <w:r w:rsidRPr="00593686">
              <w:rPr>
                <w:color w:val="000000"/>
              </w:rPr>
              <w:t>11</w:t>
            </w:r>
          </w:p>
        </w:tc>
        <w:tc>
          <w:tcPr>
            <w:tcW w:w="594" w:type="dxa"/>
            <w:tcBorders>
              <w:top w:val="nil"/>
              <w:left w:val="nil"/>
              <w:bottom w:val="single" w:sz="4" w:space="0" w:color="auto"/>
              <w:right w:val="single" w:sz="4" w:space="0" w:color="auto"/>
            </w:tcBorders>
            <w:vAlign w:val="bottom"/>
            <w:hideMark/>
          </w:tcPr>
          <w:p w:rsidR="00593686" w:rsidRPr="00593686" w:rsidP="00593686" w14:paraId="014DD082" w14:textId="77777777">
            <w:pPr>
              <w:jc w:val="center"/>
              <w:rPr>
                <w:color w:val="000000"/>
              </w:rPr>
            </w:pPr>
            <w:r w:rsidRPr="00593686">
              <w:rPr>
                <w:color w:val="000000"/>
              </w:rPr>
              <w:t>3</w:t>
            </w:r>
          </w:p>
        </w:tc>
        <w:tc>
          <w:tcPr>
            <w:tcW w:w="861" w:type="dxa"/>
            <w:tcBorders>
              <w:top w:val="nil"/>
              <w:left w:val="nil"/>
              <w:bottom w:val="single" w:sz="4" w:space="0" w:color="auto"/>
              <w:right w:val="single" w:sz="4" w:space="0" w:color="auto"/>
            </w:tcBorders>
            <w:vAlign w:val="bottom"/>
            <w:hideMark/>
          </w:tcPr>
          <w:p w:rsidR="00593686" w:rsidRPr="00593686" w:rsidP="00593686" w14:paraId="2144B962" w14:textId="77777777">
            <w:pPr>
              <w:jc w:val="center"/>
              <w:rPr>
                <w:color w:val="000000"/>
              </w:rPr>
            </w:pPr>
            <w:r w:rsidRPr="00593686">
              <w:rPr>
                <w:color w:val="000000"/>
              </w:rPr>
              <w:t>5</w:t>
            </w:r>
          </w:p>
        </w:tc>
        <w:tc>
          <w:tcPr>
            <w:tcW w:w="1114" w:type="dxa"/>
            <w:tcBorders>
              <w:top w:val="nil"/>
              <w:left w:val="nil"/>
              <w:bottom w:val="single" w:sz="4" w:space="0" w:color="auto"/>
              <w:right w:val="single" w:sz="4" w:space="0" w:color="auto"/>
            </w:tcBorders>
            <w:vAlign w:val="bottom"/>
            <w:hideMark/>
          </w:tcPr>
          <w:p w:rsidR="00593686" w:rsidRPr="00593686" w:rsidP="00593686" w14:paraId="6488BA3E" w14:textId="77777777">
            <w:pPr>
              <w:jc w:val="center"/>
              <w:rPr>
                <w:color w:val="000000"/>
              </w:rPr>
            </w:pPr>
            <w:r w:rsidRPr="00593686">
              <w:rPr>
                <w:color w:val="000000"/>
              </w:rPr>
              <w:t>0.08</w:t>
            </w:r>
          </w:p>
        </w:tc>
        <w:tc>
          <w:tcPr>
            <w:tcW w:w="1170" w:type="dxa"/>
            <w:tcBorders>
              <w:top w:val="nil"/>
              <w:left w:val="nil"/>
              <w:bottom w:val="single" w:sz="4" w:space="0" w:color="auto"/>
              <w:right w:val="single" w:sz="4" w:space="0" w:color="auto"/>
            </w:tcBorders>
            <w:vAlign w:val="bottom"/>
            <w:hideMark/>
          </w:tcPr>
          <w:p w:rsidR="00593686" w:rsidRPr="00593686" w:rsidP="00593686" w14:paraId="6C5DD977" w14:textId="77777777">
            <w:pPr>
              <w:jc w:val="center"/>
              <w:rPr>
                <w:color w:val="000000"/>
              </w:rPr>
            </w:pPr>
            <w:r w:rsidRPr="00593686">
              <w:rPr>
                <w:color w:val="000000"/>
              </w:rPr>
              <w:t xml:space="preserve"> $   32.28 </w:t>
            </w:r>
          </w:p>
        </w:tc>
        <w:tc>
          <w:tcPr>
            <w:tcW w:w="1056" w:type="dxa"/>
            <w:tcBorders>
              <w:top w:val="nil"/>
              <w:left w:val="nil"/>
              <w:bottom w:val="single" w:sz="4" w:space="0" w:color="auto"/>
              <w:right w:val="single" w:sz="4" w:space="0" w:color="auto"/>
            </w:tcBorders>
            <w:vAlign w:val="bottom"/>
            <w:hideMark/>
          </w:tcPr>
          <w:p w:rsidR="00593686" w:rsidRPr="00593686" w:rsidP="00593686" w14:paraId="676C92D4" w14:textId="77777777">
            <w:pPr>
              <w:jc w:val="center"/>
              <w:rPr>
                <w:color w:val="000000"/>
              </w:rPr>
            </w:pPr>
            <w:r w:rsidRPr="00593686">
              <w:rPr>
                <w:color w:val="000000"/>
              </w:rPr>
              <w:t>2.690</w:t>
            </w:r>
          </w:p>
        </w:tc>
        <w:tc>
          <w:tcPr>
            <w:tcW w:w="1104" w:type="dxa"/>
            <w:tcBorders>
              <w:top w:val="nil"/>
              <w:left w:val="nil"/>
              <w:bottom w:val="single" w:sz="4" w:space="0" w:color="auto"/>
              <w:right w:val="single" w:sz="4" w:space="0" w:color="auto"/>
            </w:tcBorders>
            <w:vAlign w:val="bottom"/>
            <w:hideMark/>
          </w:tcPr>
          <w:p w:rsidR="00593686" w:rsidRPr="00593686" w:rsidP="00593686" w14:paraId="4B49BEBC" w14:textId="77E455FB">
            <w:pPr>
              <w:jc w:val="center"/>
              <w:rPr>
                <w:color w:val="000000"/>
              </w:rPr>
            </w:pPr>
            <w:r w:rsidRPr="00593686">
              <w:rPr>
                <w:color w:val="000000"/>
              </w:rPr>
              <w:t xml:space="preserve">      34,594 </w:t>
            </w:r>
          </w:p>
        </w:tc>
        <w:tc>
          <w:tcPr>
            <w:tcW w:w="2070" w:type="dxa"/>
            <w:tcBorders>
              <w:top w:val="nil"/>
              <w:left w:val="nil"/>
              <w:bottom w:val="single" w:sz="4" w:space="0" w:color="auto"/>
              <w:right w:val="single" w:sz="8" w:space="0" w:color="auto"/>
            </w:tcBorders>
            <w:vAlign w:val="bottom"/>
            <w:hideMark/>
          </w:tcPr>
          <w:p w:rsidR="00593686" w:rsidRPr="00593686" w:rsidP="00593686" w14:paraId="67270577" w14:textId="77777777">
            <w:pPr>
              <w:jc w:val="center"/>
              <w:rPr>
                <w:color w:val="000000"/>
              </w:rPr>
            </w:pPr>
            <w:r w:rsidRPr="00593686">
              <w:rPr>
                <w:color w:val="000000"/>
              </w:rPr>
              <w:t xml:space="preserve"> $             93,057.86 </w:t>
            </w:r>
          </w:p>
        </w:tc>
      </w:tr>
      <w:tr w14:paraId="1D0C6C6F" w14:textId="77777777" w:rsidTr="00593686">
        <w:tblPrEx>
          <w:tblW w:w="8730" w:type="dxa"/>
          <w:tblInd w:w="350" w:type="dxa"/>
          <w:tblLook w:val="04A0"/>
        </w:tblPrEx>
        <w:trPr>
          <w:trHeight w:val="290"/>
        </w:trPr>
        <w:tc>
          <w:tcPr>
            <w:tcW w:w="6660" w:type="dxa"/>
            <w:gridSpan w:val="7"/>
            <w:tcBorders>
              <w:top w:val="single" w:sz="4" w:space="0" w:color="auto"/>
              <w:left w:val="single" w:sz="8" w:space="0" w:color="auto"/>
              <w:bottom w:val="single" w:sz="4" w:space="0" w:color="auto"/>
              <w:right w:val="single" w:sz="4" w:space="0" w:color="000000"/>
            </w:tcBorders>
            <w:vAlign w:val="bottom"/>
            <w:hideMark/>
          </w:tcPr>
          <w:p w:rsidR="00593686" w:rsidRPr="00593686" w:rsidP="00593686" w14:paraId="0E151B17" w14:textId="77777777">
            <w:pPr>
              <w:rPr>
                <w:color w:val="000000"/>
              </w:rPr>
            </w:pPr>
            <w:r w:rsidRPr="00593686">
              <w:rPr>
                <w:color w:val="000000"/>
              </w:rPr>
              <w:t>Overhead at 100% Salary</w:t>
            </w:r>
          </w:p>
        </w:tc>
        <w:tc>
          <w:tcPr>
            <w:tcW w:w="2070" w:type="dxa"/>
            <w:tcBorders>
              <w:top w:val="nil"/>
              <w:left w:val="nil"/>
              <w:bottom w:val="single" w:sz="4" w:space="0" w:color="auto"/>
              <w:right w:val="single" w:sz="8" w:space="0" w:color="auto"/>
            </w:tcBorders>
            <w:vAlign w:val="bottom"/>
            <w:hideMark/>
          </w:tcPr>
          <w:p w:rsidR="00593686" w:rsidRPr="00593686" w:rsidP="00593686" w14:paraId="5ABCEE3C" w14:textId="77777777">
            <w:pPr>
              <w:jc w:val="center"/>
              <w:rPr>
                <w:color w:val="000000"/>
              </w:rPr>
            </w:pPr>
            <w:r w:rsidRPr="00593686">
              <w:rPr>
                <w:color w:val="000000"/>
              </w:rPr>
              <w:t xml:space="preserve"> $             93,057.86 </w:t>
            </w:r>
          </w:p>
        </w:tc>
      </w:tr>
      <w:tr w14:paraId="70EFDB1F" w14:textId="77777777" w:rsidTr="00593686">
        <w:tblPrEx>
          <w:tblW w:w="8730" w:type="dxa"/>
          <w:tblInd w:w="350" w:type="dxa"/>
          <w:tblLook w:val="04A0"/>
        </w:tblPrEx>
        <w:trPr>
          <w:trHeight w:val="290"/>
        </w:trPr>
        <w:tc>
          <w:tcPr>
            <w:tcW w:w="6660" w:type="dxa"/>
            <w:gridSpan w:val="7"/>
            <w:tcBorders>
              <w:top w:val="single" w:sz="4" w:space="0" w:color="auto"/>
              <w:left w:val="single" w:sz="8" w:space="0" w:color="auto"/>
              <w:bottom w:val="single" w:sz="4" w:space="0" w:color="auto"/>
              <w:right w:val="single" w:sz="4" w:space="0" w:color="000000"/>
            </w:tcBorders>
            <w:vAlign w:val="bottom"/>
            <w:hideMark/>
          </w:tcPr>
          <w:p w:rsidR="00593686" w:rsidRPr="00593686" w:rsidP="00593686" w14:paraId="00A8A2BD" w14:textId="77777777">
            <w:pPr>
              <w:jc w:val="center"/>
              <w:rPr>
                <w:color w:val="000000"/>
              </w:rPr>
            </w:pPr>
            <w:r w:rsidRPr="00593686">
              <w:rPr>
                <w:color w:val="000000"/>
              </w:rPr>
              <w:t> </w:t>
            </w:r>
          </w:p>
        </w:tc>
        <w:tc>
          <w:tcPr>
            <w:tcW w:w="2070" w:type="dxa"/>
            <w:tcBorders>
              <w:top w:val="nil"/>
              <w:left w:val="nil"/>
              <w:bottom w:val="single" w:sz="4" w:space="0" w:color="auto"/>
              <w:right w:val="single" w:sz="8" w:space="0" w:color="auto"/>
            </w:tcBorders>
            <w:vAlign w:val="bottom"/>
            <w:hideMark/>
          </w:tcPr>
          <w:p w:rsidR="00593686" w:rsidRPr="00593686" w:rsidP="00593686" w14:paraId="6077D9EA" w14:textId="77777777">
            <w:pPr>
              <w:jc w:val="center"/>
              <w:rPr>
                <w:color w:val="000000"/>
              </w:rPr>
            </w:pPr>
            <w:r w:rsidRPr="00593686">
              <w:rPr>
                <w:color w:val="000000"/>
              </w:rPr>
              <w:t> </w:t>
            </w:r>
          </w:p>
        </w:tc>
      </w:tr>
      <w:tr w14:paraId="3D32B5CA" w14:textId="77777777" w:rsidTr="00593686">
        <w:tblPrEx>
          <w:tblW w:w="8730" w:type="dxa"/>
          <w:tblInd w:w="350" w:type="dxa"/>
          <w:tblLook w:val="04A0"/>
        </w:tblPrEx>
        <w:trPr>
          <w:trHeight w:val="290"/>
        </w:trPr>
        <w:tc>
          <w:tcPr>
            <w:tcW w:w="6660" w:type="dxa"/>
            <w:gridSpan w:val="7"/>
            <w:tcBorders>
              <w:top w:val="single" w:sz="4" w:space="0" w:color="auto"/>
              <w:left w:val="single" w:sz="8" w:space="0" w:color="auto"/>
              <w:bottom w:val="single" w:sz="4" w:space="0" w:color="auto"/>
              <w:right w:val="single" w:sz="4" w:space="0" w:color="000000"/>
            </w:tcBorders>
            <w:vAlign w:val="bottom"/>
            <w:hideMark/>
          </w:tcPr>
          <w:p w:rsidR="00593686" w:rsidRPr="00593686" w:rsidP="00593686" w14:paraId="3CB615E5" w14:textId="77777777">
            <w:pPr>
              <w:rPr>
                <w:color w:val="000000"/>
              </w:rPr>
            </w:pPr>
            <w:r w:rsidRPr="00593686">
              <w:rPr>
                <w:color w:val="000000"/>
              </w:rPr>
              <w:t>Processing / Analyzing Costs</w:t>
            </w:r>
          </w:p>
        </w:tc>
        <w:tc>
          <w:tcPr>
            <w:tcW w:w="2070" w:type="dxa"/>
            <w:tcBorders>
              <w:top w:val="nil"/>
              <w:left w:val="nil"/>
              <w:bottom w:val="single" w:sz="4" w:space="0" w:color="auto"/>
              <w:right w:val="single" w:sz="8" w:space="0" w:color="auto"/>
            </w:tcBorders>
            <w:vAlign w:val="bottom"/>
            <w:hideMark/>
          </w:tcPr>
          <w:p w:rsidR="00593686" w:rsidRPr="00593686" w:rsidP="00593686" w14:paraId="3072BFBE" w14:textId="77777777">
            <w:pPr>
              <w:jc w:val="center"/>
              <w:rPr>
                <w:color w:val="000000"/>
              </w:rPr>
            </w:pPr>
            <w:r w:rsidRPr="00593686">
              <w:rPr>
                <w:color w:val="000000"/>
              </w:rPr>
              <w:t xml:space="preserve"> $           591,442.09 </w:t>
            </w:r>
          </w:p>
        </w:tc>
      </w:tr>
      <w:tr w14:paraId="641A20B6" w14:textId="77777777" w:rsidTr="00593686">
        <w:tblPrEx>
          <w:tblW w:w="8730" w:type="dxa"/>
          <w:tblInd w:w="350" w:type="dxa"/>
          <w:tblLook w:val="04A0"/>
        </w:tblPrEx>
        <w:trPr>
          <w:trHeight w:val="300"/>
        </w:trPr>
        <w:tc>
          <w:tcPr>
            <w:tcW w:w="6660" w:type="dxa"/>
            <w:gridSpan w:val="7"/>
            <w:tcBorders>
              <w:top w:val="single" w:sz="4" w:space="0" w:color="auto"/>
              <w:left w:val="single" w:sz="8" w:space="0" w:color="auto"/>
              <w:bottom w:val="single" w:sz="8" w:space="0" w:color="auto"/>
              <w:right w:val="single" w:sz="4" w:space="0" w:color="000000"/>
            </w:tcBorders>
            <w:vAlign w:val="bottom"/>
            <w:hideMark/>
          </w:tcPr>
          <w:p w:rsidR="00593686" w:rsidRPr="00593686" w:rsidP="00593686" w14:paraId="5D74D116" w14:textId="77777777">
            <w:pPr>
              <w:rPr>
                <w:color w:val="000000"/>
              </w:rPr>
            </w:pPr>
            <w:r w:rsidRPr="00593686">
              <w:rPr>
                <w:color w:val="000000"/>
              </w:rPr>
              <w:t>Total Cost to Government</w:t>
            </w:r>
          </w:p>
        </w:tc>
        <w:tc>
          <w:tcPr>
            <w:tcW w:w="2070" w:type="dxa"/>
            <w:tcBorders>
              <w:top w:val="nil"/>
              <w:left w:val="nil"/>
              <w:bottom w:val="single" w:sz="8" w:space="0" w:color="auto"/>
              <w:right w:val="single" w:sz="8" w:space="0" w:color="auto"/>
            </w:tcBorders>
            <w:vAlign w:val="bottom"/>
            <w:hideMark/>
          </w:tcPr>
          <w:p w:rsidR="00593686" w:rsidRPr="00593686" w:rsidP="00593686" w14:paraId="65861680" w14:textId="77777777">
            <w:pPr>
              <w:jc w:val="center"/>
              <w:rPr>
                <w:color w:val="000000"/>
              </w:rPr>
            </w:pPr>
            <w:r w:rsidRPr="00593686">
              <w:rPr>
                <w:color w:val="000000"/>
              </w:rPr>
              <w:t xml:space="preserve"> $           591,442.09 </w:t>
            </w:r>
          </w:p>
        </w:tc>
      </w:tr>
    </w:tbl>
    <w:p w:rsidR="00F54C17" w:rsidRPr="00037F25" w:rsidP="00F54C17" w14:paraId="0DAA24D6" w14:textId="77777777">
      <w:pPr>
        <w:pStyle w:val="ListParagraph"/>
        <w:tabs>
          <w:tab w:val="right" w:pos="8370"/>
        </w:tabs>
        <w:ind w:left="360" w:right="576"/>
        <w:jc w:val="both"/>
        <w:rPr>
          <w:sz w:val="24"/>
          <w:szCs w:val="24"/>
        </w:rPr>
      </w:pPr>
      <w:r w:rsidRPr="00037F25">
        <w:rPr>
          <w:sz w:val="24"/>
          <w:szCs w:val="24"/>
        </w:rPr>
        <w:tab/>
      </w:r>
    </w:p>
    <w:p w:rsidR="003D0AC3" w:rsidRPr="00037F25" w:rsidP="003D0AC3" w14:paraId="462C9A1C" w14:textId="77777777">
      <w:pPr>
        <w:pStyle w:val="ListParagraph"/>
        <w:ind w:left="360" w:right="576"/>
        <w:rPr>
          <w:sz w:val="24"/>
          <w:szCs w:val="24"/>
        </w:rPr>
      </w:pPr>
      <w:r w:rsidRPr="00037F25">
        <w:rPr>
          <w:sz w:val="24"/>
          <w:szCs w:val="24"/>
        </w:rPr>
        <w:t xml:space="preserve">Overhead costs are 100% of salary and are the same as the wage listed above and the amounts are included in the total.  </w:t>
      </w:r>
    </w:p>
    <w:p w:rsidR="003D0AC3" w:rsidRPr="00037F25" w:rsidP="003D0AC3" w14:paraId="3820ECDA" w14:textId="77777777">
      <w:pPr>
        <w:pStyle w:val="ListParagraph"/>
        <w:ind w:left="360" w:right="576"/>
        <w:rPr>
          <w:sz w:val="24"/>
          <w:szCs w:val="24"/>
        </w:rPr>
      </w:pPr>
    </w:p>
    <w:p w:rsidR="003D0AC3" w:rsidRPr="00593686" w:rsidP="003D0AC3" w14:paraId="4279CB3A" w14:textId="39E7C0A2">
      <w:pPr>
        <w:ind w:left="360"/>
        <w:rPr>
          <w:sz w:val="24"/>
          <w:szCs w:val="24"/>
        </w:rPr>
      </w:pPr>
      <w:bookmarkStart w:id="8" w:name="_Hlk29579534"/>
      <w:r w:rsidRPr="00593686">
        <w:rPr>
          <w:sz w:val="24"/>
          <w:szCs w:val="24"/>
        </w:rPr>
        <w:t>Note: The hourly wage information above is based on the hourly 202</w:t>
      </w:r>
      <w:r w:rsidRPr="00593686" w:rsidR="00CD6B4C">
        <w:rPr>
          <w:sz w:val="24"/>
          <w:szCs w:val="24"/>
        </w:rPr>
        <w:t>5</w:t>
      </w:r>
      <w:r w:rsidRPr="00593686">
        <w:rPr>
          <w:sz w:val="24"/>
          <w:szCs w:val="24"/>
        </w:rPr>
        <w:t xml:space="preserve"> General Schedule (Base) Pay (</w:t>
      </w:r>
      <w:hyperlink r:id="rId9" w:history="1">
        <w:r w:rsidRPr="00593686" w:rsidR="00CD6B4C">
          <w:rPr>
            <w:rStyle w:val="Hyperlink"/>
            <w:sz w:val="24"/>
            <w:szCs w:val="24"/>
          </w:rPr>
          <w:t>SALARY TABLE 2025-GS</w:t>
        </w:r>
      </w:hyperlink>
      <w:r w:rsidRPr="00593686">
        <w:rPr>
          <w:sz w:val="24"/>
          <w:szCs w:val="24"/>
        </w:rPr>
        <w:t>). This rate does not include any locality adjustment as applicable.</w:t>
      </w:r>
    </w:p>
    <w:bookmarkEnd w:id="8"/>
    <w:p w:rsidR="003D0AC3" w:rsidRPr="00593686" w:rsidP="003D0AC3" w14:paraId="55763CA5" w14:textId="77777777">
      <w:pPr>
        <w:ind w:left="360"/>
        <w:rPr>
          <w:sz w:val="24"/>
          <w:szCs w:val="24"/>
        </w:rPr>
      </w:pPr>
    </w:p>
    <w:p w:rsidR="003D0AC3" w:rsidRPr="00037F25" w:rsidP="003D0AC3" w14:paraId="34017835" w14:textId="77777777">
      <w:pPr>
        <w:ind w:left="360" w:right="684"/>
        <w:rPr>
          <w:sz w:val="24"/>
          <w:szCs w:val="24"/>
        </w:rPr>
      </w:pPr>
      <w:r w:rsidRPr="00593686">
        <w:rPr>
          <w:sz w:val="24"/>
          <w:szCs w:val="24"/>
        </w:rPr>
        <w:t>The processing time</w:t>
      </w:r>
      <w:r w:rsidRPr="00037F25">
        <w:rPr>
          <w:sz w:val="24"/>
          <w:szCs w:val="24"/>
        </w:rPr>
        <w:t xml:space="preserve"> estimates above are based on the actual amount of time employees of each grade level spend to process to completion a claim received on this form. The within-grade step (3) of each employee represents the average experience of employees within each grade.</w:t>
      </w:r>
    </w:p>
    <w:bookmarkEnd w:id="7"/>
    <w:p w:rsidR="00541318" w:rsidRPr="00037F25" w:rsidP="00541318" w14:paraId="7C3F7693" w14:textId="77777777">
      <w:pPr>
        <w:tabs>
          <w:tab w:val="left" w:pos="480"/>
          <w:tab w:val="right" w:pos="8640"/>
        </w:tabs>
        <w:ind w:right="684"/>
        <w:rPr>
          <w:sz w:val="24"/>
          <w:szCs w:val="24"/>
        </w:rPr>
      </w:pPr>
    </w:p>
    <w:p w:rsidR="00495C22" w:rsidRPr="00037F25" w:rsidP="008C254F" w14:paraId="46E5CEED" w14:textId="44FDD931">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Reason for Change in Burden</w:t>
      </w:r>
    </w:p>
    <w:p w:rsidR="008C254F" w:rsidRPr="00037F25" w14:paraId="79403E0C" w14:textId="77777777">
      <w:pPr>
        <w:pStyle w:val="OmniPage9"/>
        <w:tabs>
          <w:tab w:val="clear" w:pos="100"/>
          <w:tab w:val="left" w:pos="540"/>
          <w:tab w:val="left" w:pos="1080"/>
          <w:tab w:val="clear" w:pos="9162"/>
        </w:tabs>
        <w:rPr>
          <w:rFonts w:ascii="Times New Roman" w:hAnsi="Times New Roman"/>
          <w:sz w:val="24"/>
          <w:szCs w:val="24"/>
        </w:rPr>
      </w:pPr>
    </w:p>
    <w:p w:rsidR="00870626" w:rsidRPr="0035646D" w:rsidP="00870626" w14:paraId="1435EFA2" w14:textId="77777777">
      <w:pPr>
        <w:pStyle w:val="ListParagraph"/>
        <w:ind w:left="360"/>
        <w:rPr>
          <w:sz w:val="24"/>
          <w:szCs w:val="24"/>
        </w:rPr>
      </w:pPr>
      <w:r w:rsidRPr="0035646D">
        <w:rPr>
          <w:sz w:val="24"/>
          <w:szCs w:val="24"/>
        </w:rPr>
        <w:t>The respondent burden has increase</w:t>
      </w:r>
      <w:r>
        <w:rPr>
          <w:sz w:val="24"/>
          <w:szCs w:val="24"/>
        </w:rPr>
        <w:t>d</w:t>
      </w:r>
      <w:r w:rsidRPr="0035646D">
        <w:rPr>
          <w:sz w:val="24"/>
          <w:szCs w:val="24"/>
        </w:rPr>
        <w:t xml:space="preserve"> due to </w:t>
      </w:r>
      <w:r>
        <w:rPr>
          <w:sz w:val="24"/>
          <w:szCs w:val="24"/>
        </w:rPr>
        <w:t>final r</w:t>
      </w:r>
      <w:r w:rsidRPr="0035646D">
        <w:rPr>
          <w:sz w:val="24"/>
          <w:szCs w:val="24"/>
        </w:rPr>
        <w:t xml:space="preserve">egulation </w:t>
      </w:r>
      <w:r>
        <w:rPr>
          <w:sz w:val="24"/>
          <w:szCs w:val="24"/>
        </w:rPr>
        <w:t xml:space="preserve">under RIN#2900-AP86 having taken effect January 11, 2024.   </w:t>
      </w:r>
      <w:r w:rsidRPr="0035646D">
        <w:rPr>
          <w:sz w:val="24"/>
          <w:szCs w:val="24"/>
        </w:rPr>
        <w:t xml:space="preserve"> </w:t>
      </w:r>
    </w:p>
    <w:p w:rsidR="00037F25" w:rsidRPr="00037F25" w:rsidP="00037F25" w14:paraId="49DD5BCD" w14:textId="77777777">
      <w:pPr>
        <w:ind w:left="360" w:firstLine="720"/>
        <w:rPr>
          <w:sz w:val="24"/>
          <w:szCs w:val="24"/>
        </w:rPr>
      </w:pPr>
    </w:p>
    <w:p w:rsidR="008C254F" w:rsidRPr="00037F25" w:rsidP="008C254F" w14:paraId="2912EA89" w14:textId="57FBFB9C">
      <w:pPr>
        <w:pStyle w:val="BodyText3"/>
        <w:numPr>
          <w:ilvl w:val="0"/>
          <w:numId w:val="5"/>
        </w:numPr>
        <w:tabs>
          <w:tab w:val="left" w:pos="547"/>
          <w:tab w:val="left" w:pos="1627"/>
        </w:tabs>
        <w:rPr>
          <w:b/>
          <w:sz w:val="24"/>
          <w:szCs w:val="24"/>
          <w:u w:val="single"/>
        </w:rPr>
      </w:pPr>
      <w:r w:rsidRPr="00037F25">
        <w:rPr>
          <w:b/>
          <w:sz w:val="24"/>
          <w:szCs w:val="24"/>
          <w:u w:val="single"/>
        </w:rPr>
        <w:t>Publication of Results</w:t>
      </w:r>
    </w:p>
    <w:p w:rsidR="00E36537" w:rsidRPr="00FF0AF3" w:rsidP="00037F25" w14:paraId="3249E2C4" w14:textId="256A17AE">
      <w:pPr>
        <w:tabs>
          <w:tab w:val="left" w:pos="480"/>
          <w:tab w:val="right" w:pos="8640"/>
        </w:tabs>
        <w:ind w:left="360" w:right="684"/>
        <w:rPr>
          <w:sz w:val="24"/>
          <w:szCs w:val="24"/>
        </w:rPr>
      </w:pPr>
      <w:r w:rsidRPr="00FF0AF3">
        <w:rPr>
          <w:sz w:val="24"/>
          <w:szCs w:val="24"/>
        </w:rPr>
        <w:t>The results of this information collection will not be published.</w:t>
      </w:r>
    </w:p>
    <w:p w:rsidR="00037F25" w:rsidRPr="00FF0AF3" w14:paraId="721B27C1" w14:textId="77777777">
      <w:pPr>
        <w:tabs>
          <w:tab w:val="left" w:pos="480"/>
          <w:tab w:val="right" w:pos="8640"/>
        </w:tabs>
        <w:ind w:right="684"/>
        <w:rPr>
          <w:sz w:val="24"/>
          <w:szCs w:val="24"/>
        </w:rPr>
      </w:pPr>
    </w:p>
    <w:p w:rsidR="00037F25" w:rsidRPr="00FF0AF3" w:rsidP="00037F25" w14:paraId="10960A1B" w14:textId="0A4ED7FB">
      <w:pPr>
        <w:pStyle w:val="BodyText3"/>
        <w:numPr>
          <w:ilvl w:val="0"/>
          <w:numId w:val="5"/>
        </w:numPr>
        <w:tabs>
          <w:tab w:val="left" w:pos="547"/>
          <w:tab w:val="left" w:pos="1627"/>
        </w:tabs>
        <w:rPr>
          <w:b/>
          <w:bCs/>
          <w:sz w:val="24"/>
          <w:szCs w:val="24"/>
        </w:rPr>
      </w:pPr>
      <w:r w:rsidRPr="00FF0AF3">
        <w:rPr>
          <w:b/>
          <w:bCs/>
          <w:sz w:val="24"/>
          <w:szCs w:val="24"/>
          <w:u w:val="single"/>
        </w:rPr>
        <w:t xml:space="preserve">Non-Display of OMB Expiration Date </w:t>
      </w:r>
    </w:p>
    <w:p w:rsidR="00037F25" w:rsidRPr="00FF0AF3" w:rsidP="00037F25" w14:paraId="464E3150" w14:textId="77777777">
      <w:pPr>
        <w:ind w:left="360"/>
        <w:rPr>
          <w:sz w:val="24"/>
          <w:szCs w:val="24"/>
        </w:rPr>
      </w:pPr>
      <w:r w:rsidRPr="00FF0AF3">
        <w:rPr>
          <w:sz w:val="24"/>
          <w:szCs w:val="24"/>
        </w:rPr>
        <w:t xml:space="preserve">We are not seeking approval to omit the display of the expiration date of the OMB approval on the collection instrument. </w:t>
      </w:r>
    </w:p>
    <w:p w:rsidR="008C254F" w:rsidRPr="00FF0AF3" w14:paraId="4DBFDD39" w14:textId="77777777">
      <w:pPr>
        <w:tabs>
          <w:tab w:val="left" w:pos="480"/>
          <w:tab w:val="right" w:pos="8640"/>
        </w:tabs>
        <w:ind w:right="684"/>
        <w:rPr>
          <w:b/>
          <w:sz w:val="24"/>
          <w:szCs w:val="24"/>
        </w:rPr>
      </w:pPr>
    </w:p>
    <w:p w:rsidR="008C254F" w:rsidRPr="00FF0AF3" w:rsidP="008C254F" w14:paraId="5496B1F7" w14:textId="70BA32A6">
      <w:pPr>
        <w:pStyle w:val="BodyText3"/>
        <w:numPr>
          <w:ilvl w:val="0"/>
          <w:numId w:val="5"/>
        </w:numPr>
        <w:rPr>
          <w:b/>
          <w:bCs/>
          <w:sz w:val="24"/>
          <w:szCs w:val="24"/>
        </w:rPr>
      </w:pPr>
      <w:r w:rsidRPr="00FF0AF3">
        <w:rPr>
          <w:b/>
          <w:bCs/>
          <w:sz w:val="24"/>
          <w:szCs w:val="24"/>
          <w:u w:val="single"/>
        </w:rPr>
        <w:t>Exceptions to “Certification for Paperwork Reduction Submissions”</w:t>
      </w:r>
    </w:p>
    <w:p w:rsidR="00E36537" w:rsidRPr="00037F25" w:rsidP="00F54C17" w14:paraId="34363DE7" w14:textId="3BF7A6F7">
      <w:pPr>
        <w:pStyle w:val="BodyText3"/>
        <w:rPr>
          <w:b/>
          <w:sz w:val="24"/>
          <w:szCs w:val="24"/>
        </w:rPr>
      </w:pPr>
      <w:r w:rsidRPr="00FF0AF3">
        <w:rPr>
          <w:sz w:val="24"/>
          <w:szCs w:val="24"/>
        </w:rPr>
        <w:t xml:space="preserve">      </w:t>
      </w:r>
      <w:r w:rsidRPr="00FF0AF3" w:rsidR="00037F25">
        <w:rPr>
          <w:sz w:val="24"/>
          <w:szCs w:val="24"/>
        </w:rPr>
        <w:t>We are not requesting any exemptions to the provisions stated in 5 CFR 1320.9.</w:t>
      </w:r>
    </w:p>
    <w:p w:rsidR="008C254F" w:rsidRPr="00037F25" w:rsidP="008C254F" w14:paraId="11AE7B4D" w14:textId="77777777">
      <w:pPr>
        <w:rPr>
          <w:sz w:val="24"/>
          <w:szCs w:val="24"/>
        </w:rPr>
      </w:pPr>
    </w:p>
    <w:sectPr w:rsidSect="00606AD2">
      <w:headerReference w:type="default" r:id="rId10"/>
      <w:pgSz w:w="12240" w:h="15840"/>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677" w:rsidP="00F81B22" w14:paraId="70E6B577" w14:textId="6BC7A526">
    <w:pPr>
      <w:jc w:val="center"/>
      <w:rPr>
        <w:sz w:val="24"/>
        <w:szCs w:val="24"/>
        <w:u w:val="single"/>
      </w:rPr>
    </w:pPr>
    <w:r w:rsidRPr="00092677">
      <w:rPr>
        <w:sz w:val="24"/>
        <w:szCs w:val="24"/>
        <w:u w:val="single"/>
      </w:rPr>
      <w:t xml:space="preserve">Supporting Statement - Part A </w:t>
    </w:r>
  </w:p>
  <w:p w:rsidR="004A5D2D" w:rsidRPr="004A5D2D" w:rsidP="004A5D2D" w14:paraId="59D7D802" w14:textId="77777777">
    <w:pPr>
      <w:pStyle w:val="NoSpacing"/>
      <w:jc w:val="center"/>
      <w:rPr>
        <w:b/>
        <w:bCs/>
        <w:i/>
        <w:iCs/>
      </w:rPr>
    </w:pPr>
    <w:r w:rsidRPr="004A5D2D">
      <w:rPr>
        <w:b/>
        <w:bCs/>
        <w:i/>
        <w:iCs/>
      </w:rPr>
      <w:t>Notice of Waiver of VA Compensation or Pension to Receive Military Pay and Allowances</w:t>
    </w:r>
  </w:p>
  <w:p w:rsidR="00726753" w:rsidRPr="00F81B22" w:rsidP="00F81B22" w14:paraId="75B0C283" w14:textId="489B45B1">
    <w:pPr>
      <w:jc w:val="center"/>
      <w:rPr>
        <w:sz w:val="24"/>
        <w:szCs w:val="24"/>
      </w:rPr>
    </w:pPr>
    <w:r w:rsidRPr="004A5D2D">
      <w:rPr>
        <w:b/>
        <w:bCs/>
        <w:sz w:val="24"/>
        <w:szCs w:val="24"/>
      </w:rPr>
      <w:t xml:space="preserve">– </w:t>
    </w:r>
    <w:r w:rsidR="004A5D2D">
      <w:rPr>
        <w:b/>
        <w:bCs/>
        <w:sz w:val="24"/>
        <w:szCs w:val="24"/>
      </w:rPr>
      <w:t xml:space="preserve">OMB </w:t>
    </w:r>
    <w:r w:rsidRPr="004A5D2D">
      <w:rPr>
        <w:b/>
        <w:bCs/>
        <w:sz w:val="24"/>
        <w:szCs w:val="24"/>
      </w:rPr>
      <w:t>Control #2900-</w:t>
    </w:r>
    <w:r w:rsidRPr="004A5D2D" w:rsidR="003E0C1A">
      <w:rPr>
        <w:b/>
        <w:bCs/>
        <w:sz w:val="24"/>
        <w:szCs w:val="24"/>
      </w:rPr>
      <w:t>0463</w:t>
    </w:r>
  </w:p>
  <w:p w:rsidR="00606AD2" w:rsidRPr="00726753" w:rsidP="00606AD2" w14:paraId="35AB06CF" w14:textId="77777777">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B317CA5"/>
    <w:multiLevelType w:val="hybridMultilevel"/>
    <w:tmpl w:val="6C8EDA8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635B65"/>
    <w:multiLevelType w:val="hybridMultilevel"/>
    <w:tmpl w:val="60503D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D140C16"/>
    <w:multiLevelType w:val="hybridMultilevel"/>
    <w:tmpl w:val="BFCA1F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5">
    <w:nsid w:val="40640EC7"/>
    <w:multiLevelType w:val="hybridMultilevel"/>
    <w:tmpl w:val="ABD47D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3AD7887"/>
    <w:multiLevelType w:val="hybridMultilevel"/>
    <w:tmpl w:val="FE242DC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47E25DEE"/>
    <w:multiLevelType w:val="hybridMultilevel"/>
    <w:tmpl w:val="3A0062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0">
    <w:nsid w:val="6BE45655"/>
    <w:multiLevelType w:val="hybridMultilevel"/>
    <w:tmpl w:val="351030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6D9D676D"/>
    <w:multiLevelType w:val="hybridMultilevel"/>
    <w:tmpl w:val="9D06672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1343CA"/>
    <w:multiLevelType w:val="hybridMultilevel"/>
    <w:tmpl w:val="E8603CB6"/>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79E238C9"/>
    <w:multiLevelType w:val="hybridMultilevel"/>
    <w:tmpl w:val="055602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402823763">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2" w16cid:durableId="1418744038">
    <w:abstractNumId w:val="9"/>
  </w:num>
  <w:num w:numId="3" w16cid:durableId="1128091045">
    <w:abstractNumId w:val="3"/>
  </w:num>
  <w:num w:numId="4" w16cid:durableId="787889451">
    <w:abstractNumId w:val="5"/>
  </w:num>
  <w:num w:numId="5" w16cid:durableId="486670483">
    <w:abstractNumId w:val="10"/>
  </w:num>
  <w:num w:numId="6" w16cid:durableId="1860270195">
    <w:abstractNumId w:val="7"/>
  </w:num>
  <w:num w:numId="7" w16cid:durableId="1350983592">
    <w:abstractNumId w:val="11"/>
  </w:num>
  <w:num w:numId="8" w16cid:durableId="855777057">
    <w:abstractNumId w:val="8"/>
  </w:num>
  <w:num w:numId="9" w16cid:durableId="682322945">
    <w:abstractNumId w:val="4"/>
  </w:num>
  <w:num w:numId="10" w16cid:durableId="1658071338">
    <w:abstractNumId w:val="1"/>
  </w:num>
  <w:num w:numId="11" w16cid:durableId="1417019664">
    <w:abstractNumId w:val="12"/>
  </w:num>
  <w:num w:numId="12" w16cid:durableId="1187788720">
    <w:abstractNumId w:val="6"/>
  </w:num>
  <w:num w:numId="13" w16cid:durableId="2080594647">
    <w:abstractNumId w:val="2"/>
  </w:num>
  <w:num w:numId="14" w16cid:durableId="9167494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37F25"/>
    <w:rsid w:val="000400BD"/>
    <w:rsid w:val="000453A9"/>
    <w:rsid w:val="00054AF6"/>
    <w:rsid w:val="00072B8C"/>
    <w:rsid w:val="000778F2"/>
    <w:rsid w:val="00092677"/>
    <w:rsid w:val="000A3F32"/>
    <w:rsid w:val="000B6328"/>
    <w:rsid w:val="000B735C"/>
    <w:rsid w:val="00100128"/>
    <w:rsid w:val="001063FF"/>
    <w:rsid w:val="00117D31"/>
    <w:rsid w:val="001261AB"/>
    <w:rsid w:val="00142589"/>
    <w:rsid w:val="00145314"/>
    <w:rsid w:val="0016376A"/>
    <w:rsid w:val="00171C87"/>
    <w:rsid w:val="00174B1F"/>
    <w:rsid w:val="001968BC"/>
    <w:rsid w:val="001D52F4"/>
    <w:rsid w:val="001D5878"/>
    <w:rsid w:val="001D6A97"/>
    <w:rsid w:val="001D6D11"/>
    <w:rsid w:val="001D7264"/>
    <w:rsid w:val="001E2E15"/>
    <w:rsid w:val="001E4D59"/>
    <w:rsid w:val="001F15CB"/>
    <w:rsid w:val="001F25F1"/>
    <w:rsid w:val="00202028"/>
    <w:rsid w:val="00206557"/>
    <w:rsid w:val="00216351"/>
    <w:rsid w:val="00230A6E"/>
    <w:rsid w:val="002516F5"/>
    <w:rsid w:val="00272B57"/>
    <w:rsid w:val="00295605"/>
    <w:rsid w:val="002D5C4B"/>
    <w:rsid w:val="00303259"/>
    <w:rsid w:val="00310573"/>
    <w:rsid w:val="00312610"/>
    <w:rsid w:val="003210D0"/>
    <w:rsid w:val="00334E84"/>
    <w:rsid w:val="00337FAB"/>
    <w:rsid w:val="00347A7B"/>
    <w:rsid w:val="0035646D"/>
    <w:rsid w:val="00361CEC"/>
    <w:rsid w:val="00373F75"/>
    <w:rsid w:val="0038659C"/>
    <w:rsid w:val="003A209D"/>
    <w:rsid w:val="003B6D49"/>
    <w:rsid w:val="003B797D"/>
    <w:rsid w:val="003C5502"/>
    <w:rsid w:val="003C77C8"/>
    <w:rsid w:val="003D0AC3"/>
    <w:rsid w:val="003D3BF3"/>
    <w:rsid w:val="003E0C1A"/>
    <w:rsid w:val="003F26D8"/>
    <w:rsid w:val="003F663E"/>
    <w:rsid w:val="0043068B"/>
    <w:rsid w:val="00430D02"/>
    <w:rsid w:val="00447F48"/>
    <w:rsid w:val="00447F72"/>
    <w:rsid w:val="00465B21"/>
    <w:rsid w:val="00486812"/>
    <w:rsid w:val="00490F24"/>
    <w:rsid w:val="00491575"/>
    <w:rsid w:val="00495C22"/>
    <w:rsid w:val="004A5D2D"/>
    <w:rsid w:val="004D3BF6"/>
    <w:rsid w:val="004E0438"/>
    <w:rsid w:val="004E445A"/>
    <w:rsid w:val="004F43E4"/>
    <w:rsid w:val="004F460A"/>
    <w:rsid w:val="004F7185"/>
    <w:rsid w:val="005070A2"/>
    <w:rsid w:val="0051524F"/>
    <w:rsid w:val="00517283"/>
    <w:rsid w:val="0053151A"/>
    <w:rsid w:val="0053466D"/>
    <w:rsid w:val="00541318"/>
    <w:rsid w:val="0054592C"/>
    <w:rsid w:val="00547E0C"/>
    <w:rsid w:val="0056347F"/>
    <w:rsid w:val="00563695"/>
    <w:rsid w:val="0057258A"/>
    <w:rsid w:val="00574DB7"/>
    <w:rsid w:val="005779A3"/>
    <w:rsid w:val="00581C1C"/>
    <w:rsid w:val="00590A00"/>
    <w:rsid w:val="00593686"/>
    <w:rsid w:val="005C0CE5"/>
    <w:rsid w:val="005E3FBF"/>
    <w:rsid w:val="005E4CE3"/>
    <w:rsid w:val="005E651E"/>
    <w:rsid w:val="005F044D"/>
    <w:rsid w:val="005F40C9"/>
    <w:rsid w:val="00606AD2"/>
    <w:rsid w:val="00617D2B"/>
    <w:rsid w:val="0062093E"/>
    <w:rsid w:val="00651EF4"/>
    <w:rsid w:val="00651FB2"/>
    <w:rsid w:val="0066426E"/>
    <w:rsid w:val="00665688"/>
    <w:rsid w:val="006729B9"/>
    <w:rsid w:val="00672D31"/>
    <w:rsid w:val="006A300C"/>
    <w:rsid w:val="006A4E5C"/>
    <w:rsid w:val="006A4F03"/>
    <w:rsid w:val="006B0B12"/>
    <w:rsid w:val="006B6007"/>
    <w:rsid w:val="006C4C6F"/>
    <w:rsid w:val="006D0AF0"/>
    <w:rsid w:val="006F0393"/>
    <w:rsid w:val="006F5193"/>
    <w:rsid w:val="006F5974"/>
    <w:rsid w:val="006F6C25"/>
    <w:rsid w:val="00710DDD"/>
    <w:rsid w:val="007201B3"/>
    <w:rsid w:val="00723416"/>
    <w:rsid w:val="00724EB2"/>
    <w:rsid w:val="00726753"/>
    <w:rsid w:val="0074594B"/>
    <w:rsid w:val="00747FF1"/>
    <w:rsid w:val="00763A4D"/>
    <w:rsid w:val="00772F07"/>
    <w:rsid w:val="00773666"/>
    <w:rsid w:val="00782C13"/>
    <w:rsid w:val="00794474"/>
    <w:rsid w:val="007A094C"/>
    <w:rsid w:val="007A26A7"/>
    <w:rsid w:val="007A2786"/>
    <w:rsid w:val="007D0781"/>
    <w:rsid w:val="007D14AB"/>
    <w:rsid w:val="007D2741"/>
    <w:rsid w:val="007F0B11"/>
    <w:rsid w:val="007F3759"/>
    <w:rsid w:val="007F4953"/>
    <w:rsid w:val="0081448F"/>
    <w:rsid w:val="00823C3C"/>
    <w:rsid w:val="0084157F"/>
    <w:rsid w:val="00843870"/>
    <w:rsid w:val="00870626"/>
    <w:rsid w:val="00883048"/>
    <w:rsid w:val="0089361A"/>
    <w:rsid w:val="008A68B3"/>
    <w:rsid w:val="008B76E8"/>
    <w:rsid w:val="008C254F"/>
    <w:rsid w:val="008F2F38"/>
    <w:rsid w:val="008F6601"/>
    <w:rsid w:val="009135FA"/>
    <w:rsid w:val="0094691E"/>
    <w:rsid w:val="0095533E"/>
    <w:rsid w:val="00980677"/>
    <w:rsid w:val="00993FA5"/>
    <w:rsid w:val="00994D83"/>
    <w:rsid w:val="009A3FA7"/>
    <w:rsid w:val="009A5278"/>
    <w:rsid w:val="009A61DF"/>
    <w:rsid w:val="009B4762"/>
    <w:rsid w:val="009B5624"/>
    <w:rsid w:val="009D1D80"/>
    <w:rsid w:val="009E3506"/>
    <w:rsid w:val="00A053FD"/>
    <w:rsid w:val="00A073C3"/>
    <w:rsid w:val="00A16101"/>
    <w:rsid w:val="00A21543"/>
    <w:rsid w:val="00A22565"/>
    <w:rsid w:val="00A25D47"/>
    <w:rsid w:val="00A26BD6"/>
    <w:rsid w:val="00A350D0"/>
    <w:rsid w:val="00A409B3"/>
    <w:rsid w:val="00A411DD"/>
    <w:rsid w:val="00A64C05"/>
    <w:rsid w:val="00AB2852"/>
    <w:rsid w:val="00AC2BE8"/>
    <w:rsid w:val="00AD768C"/>
    <w:rsid w:val="00AF4E88"/>
    <w:rsid w:val="00B00225"/>
    <w:rsid w:val="00B03501"/>
    <w:rsid w:val="00B11C91"/>
    <w:rsid w:val="00B21D7F"/>
    <w:rsid w:val="00B32D2A"/>
    <w:rsid w:val="00B37719"/>
    <w:rsid w:val="00B40113"/>
    <w:rsid w:val="00B43037"/>
    <w:rsid w:val="00B47255"/>
    <w:rsid w:val="00B568DC"/>
    <w:rsid w:val="00B57D51"/>
    <w:rsid w:val="00B6651E"/>
    <w:rsid w:val="00B713C7"/>
    <w:rsid w:val="00B82974"/>
    <w:rsid w:val="00B82BB8"/>
    <w:rsid w:val="00BA0556"/>
    <w:rsid w:val="00BA45CB"/>
    <w:rsid w:val="00BB41EA"/>
    <w:rsid w:val="00BD71E3"/>
    <w:rsid w:val="00BD7201"/>
    <w:rsid w:val="00C032E8"/>
    <w:rsid w:val="00C03A72"/>
    <w:rsid w:val="00C03AB3"/>
    <w:rsid w:val="00C17C77"/>
    <w:rsid w:val="00C309FF"/>
    <w:rsid w:val="00C33508"/>
    <w:rsid w:val="00C34486"/>
    <w:rsid w:val="00C46137"/>
    <w:rsid w:val="00C47978"/>
    <w:rsid w:val="00C62D82"/>
    <w:rsid w:val="00C654DF"/>
    <w:rsid w:val="00C70E7A"/>
    <w:rsid w:val="00C75126"/>
    <w:rsid w:val="00CA0B3C"/>
    <w:rsid w:val="00CA418A"/>
    <w:rsid w:val="00CA691E"/>
    <w:rsid w:val="00CA7E43"/>
    <w:rsid w:val="00CD6B4C"/>
    <w:rsid w:val="00CF1D88"/>
    <w:rsid w:val="00D20A37"/>
    <w:rsid w:val="00D33C6A"/>
    <w:rsid w:val="00D5148A"/>
    <w:rsid w:val="00D51680"/>
    <w:rsid w:val="00D656BB"/>
    <w:rsid w:val="00D7338C"/>
    <w:rsid w:val="00D73BA9"/>
    <w:rsid w:val="00D7449F"/>
    <w:rsid w:val="00D944D7"/>
    <w:rsid w:val="00D94A38"/>
    <w:rsid w:val="00D975C9"/>
    <w:rsid w:val="00DC0CDA"/>
    <w:rsid w:val="00DD0140"/>
    <w:rsid w:val="00DD5D06"/>
    <w:rsid w:val="00DE4946"/>
    <w:rsid w:val="00DE674E"/>
    <w:rsid w:val="00E11756"/>
    <w:rsid w:val="00E251D8"/>
    <w:rsid w:val="00E3211D"/>
    <w:rsid w:val="00E36537"/>
    <w:rsid w:val="00E414F7"/>
    <w:rsid w:val="00E418EF"/>
    <w:rsid w:val="00E54CF2"/>
    <w:rsid w:val="00E62FE8"/>
    <w:rsid w:val="00E80FAB"/>
    <w:rsid w:val="00E87FDC"/>
    <w:rsid w:val="00E915F3"/>
    <w:rsid w:val="00E948A8"/>
    <w:rsid w:val="00EB7F58"/>
    <w:rsid w:val="00EC2E2D"/>
    <w:rsid w:val="00EC7B0A"/>
    <w:rsid w:val="00EF3568"/>
    <w:rsid w:val="00F01D5F"/>
    <w:rsid w:val="00F45633"/>
    <w:rsid w:val="00F458E2"/>
    <w:rsid w:val="00F4700A"/>
    <w:rsid w:val="00F47131"/>
    <w:rsid w:val="00F531B6"/>
    <w:rsid w:val="00F54C09"/>
    <w:rsid w:val="00F54C17"/>
    <w:rsid w:val="00F81B22"/>
    <w:rsid w:val="00F9546D"/>
    <w:rsid w:val="00FB23B0"/>
    <w:rsid w:val="00FD4DFF"/>
    <w:rsid w:val="00FD7F94"/>
    <w:rsid w:val="00FE5E22"/>
    <w:rsid w:val="00FE73BA"/>
    <w:rsid w:val="00FF0AF3"/>
    <w:rsid w:val="00FF22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4461C6"/>
  <w15:docId w15:val="{7EF1DA83-F037-462F-95A3-9E68B249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table" w:styleId="TableGrid">
    <w:name w:val="Table Grid"/>
    <w:basedOn w:val="TableNormal"/>
    <w:uiPriority w:val="59"/>
    <w:rsid w:val="000926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data.bls.gov/oes/" TargetMode="External" /><Relationship Id="rId9" Type="http://schemas.openxmlformats.org/officeDocument/2006/relationships/hyperlink" Target="https://www.opm.gov/policy-data-oversight/pay-leave/salaries-wages/salary-tables/pdf/2025/G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CEEAEB4-6113-4A55-969D-105A11C0860D}">
  <ds:schemaRefs>
    <ds:schemaRef ds:uri="http://schemas.openxmlformats.org/officeDocument/2006/bibliography"/>
  </ds:schemaRefs>
</ds:datastoreItem>
</file>

<file path=customXml/itemProps4.xml><?xml version="1.0" encoding="utf-8"?>
<ds:datastoreItem xmlns:ds="http://schemas.openxmlformats.org/officeDocument/2006/customXml" ds:itemID="{568927FA-CEF7-452B-8B27-97EE6DF8AFED}">
  <ds:schemaRefs>
    <ds:schemaRef ds:uri="http://schemas.microsoft.com/sharepoint/v3/contenttype/forms"/>
  </ds:schemaRefs>
</ds:datastoreItem>
</file>

<file path=docMetadata/LabelInfo.xml><?xml version="1.0" encoding="utf-8"?>
<clbl:labelList xmlns:clbl="http://schemas.microsoft.com/office/2020/mipLabelMetadata">
  <clbl:label id="{40f5b659-45e0-406d-ada9-08e0b284cfc4}" enabled="1" method="Standard" siteId="{e95f1b23-abaf-45ee-821d-b7ab251ab3bf}"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Kayce, VBAVACO</dc:creator>
  <cp:lastModifiedBy>McCleave, Kendra</cp:lastModifiedBy>
  <cp:revision>2</cp:revision>
  <dcterms:created xsi:type="dcterms:W3CDTF">2025-11-20T16:10:00Z</dcterms:created>
  <dcterms:modified xsi:type="dcterms:W3CDTF">2025-11-20T16:10:00Z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y fmtid="{D5CDD505-2E9C-101B-9397-08002B2CF9AE}" pid="3" name="MSIP_Label_40f5b659-45e0-406d-ada9-08e0b284cfc4_ActionId">
    <vt:lpwstr>00635734-c91c-4834-8eb2-9174815a265e</vt:lpwstr>
  </property>
  <property fmtid="{D5CDD505-2E9C-101B-9397-08002B2CF9AE}" pid="4" name="MSIP_Label_40f5b659-45e0-406d-ada9-08e0b284cfc4_ContentBits">
    <vt:lpwstr>0</vt:lpwstr>
  </property>
  <property fmtid="{D5CDD505-2E9C-101B-9397-08002B2CF9AE}" pid="5" name="MSIP_Label_40f5b659-45e0-406d-ada9-08e0b284cfc4_Enabled">
    <vt:lpwstr>true</vt:lpwstr>
  </property>
  <property fmtid="{D5CDD505-2E9C-101B-9397-08002B2CF9AE}" pid="6" name="MSIP_Label_40f5b659-45e0-406d-ada9-08e0b284cfc4_Method">
    <vt:lpwstr>Standard</vt:lpwstr>
  </property>
  <property fmtid="{D5CDD505-2E9C-101B-9397-08002B2CF9AE}" pid="7" name="MSIP_Label_40f5b659-45e0-406d-ada9-08e0b284cfc4_Name">
    <vt:lpwstr>General (Non-CUI)</vt:lpwstr>
  </property>
  <property fmtid="{D5CDD505-2E9C-101B-9397-08002B2CF9AE}" pid="8" name="MSIP_Label_40f5b659-45e0-406d-ada9-08e0b284cfc4_SetDate">
    <vt:lpwstr>2024-02-05T20:09:21Z</vt:lpwstr>
  </property>
  <property fmtid="{D5CDD505-2E9C-101B-9397-08002B2CF9AE}" pid="9" name="MSIP_Label_40f5b659-45e0-406d-ada9-08e0b284cfc4_SiteId">
    <vt:lpwstr>e95f1b23-abaf-45ee-821d-b7ab251ab3bf</vt:lpwstr>
  </property>
</Properties>
</file>