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4C3" w:rsidRPr="00915869" w:rsidP="5DC4D323" w14:paraId="0CE6242D" w14:textId="77777777">
      <w:pPr>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Corporation for National and Community Service (AmeriCorps)</w:t>
      </w:r>
    </w:p>
    <w:p w:rsidR="00254DEF" w:rsidRPr="009227B0" w:rsidP="5DC4D323" w14:paraId="6F0A0F5B" w14:textId="7E2C205B">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AmeriCorps State and National </w:t>
      </w:r>
      <w:r w:rsidRPr="5DC4D323" w:rsidR="38282473">
        <w:rPr>
          <w:rFonts w:ascii="Avenir Next LT Pro" w:eastAsia="Avenir Next LT Pro" w:hAnsi="Avenir Next LT Pro" w:cs="Avenir Next LT Pro"/>
          <w:b/>
          <w:bCs/>
          <w:szCs w:val="24"/>
        </w:rPr>
        <w:t xml:space="preserve">Project </w:t>
      </w:r>
      <w:r w:rsidRPr="5DC4D323">
        <w:rPr>
          <w:rFonts w:ascii="Avenir Next LT Pro" w:eastAsia="Avenir Next LT Pro" w:hAnsi="Avenir Next LT Pro" w:cs="Avenir Next LT Pro"/>
          <w:b/>
          <w:bCs/>
          <w:szCs w:val="24"/>
        </w:rPr>
        <w:t>Progress Report</w:t>
      </w:r>
      <w:r w:rsidRPr="5DC4D323" w:rsidR="01EE6A84">
        <w:rPr>
          <w:rFonts w:ascii="Avenir Next LT Pro" w:eastAsia="Avenir Next LT Pro" w:hAnsi="Avenir Next LT Pro" w:cs="Avenir Next LT Pro"/>
          <w:b/>
          <w:bCs/>
          <w:szCs w:val="24"/>
        </w:rPr>
        <w:t>s (PPRs)</w:t>
      </w:r>
    </w:p>
    <w:p w:rsidR="00254DEF" w:rsidRPr="009227B0" w:rsidP="5DC4D323" w14:paraId="0C1112EE" w14:textId="4F6DAE9C">
      <w:pPr>
        <w:widowControl w:val="0"/>
        <w:jc w:val="center"/>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rPr>
        <w:t>OMB Control Number 3045-</w:t>
      </w:r>
      <w:r w:rsidRPr="5DC4D323" w:rsidR="00DB1CC6">
        <w:rPr>
          <w:rFonts w:ascii="Avenir Next LT Pro" w:eastAsia="Avenir Next LT Pro" w:hAnsi="Avenir Next LT Pro" w:cs="Avenir Next LT Pro"/>
          <w:b/>
          <w:bCs/>
          <w:szCs w:val="24"/>
        </w:rPr>
        <w:t>0184</w:t>
      </w:r>
    </w:p>
    <w:p w:rsidR="00254DEF" w:rsidRPr="00436E5C" w:rsidP="5DC4D323" w14:paraId="26001846" w14:textId="67730DC1">
      <w:pPr>
        <w:widowControl w:val="0"/>
        <w:jc w:val="cente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Justification – Part A Supporting Statement</w:t>
      </w:r>
    </w:p>
    <w:p w:rsidR="00254DEF" w:rsidP="5DC4D323" w14:paraId="354D0985" w14:textId="4C1B8D08">
      <w:pPr>
        <w:widowControl w:val="0"/>
        <w:rPr>
          <w:rFonts w:ascii="Avenir Next LT Pro" w:eastAsia="Avenir Next LT Pro" w:hAnsi="Avenir Next LT Pro" w:cs="Avenir Next LT Pro"/>
          <w:szCs w:val="24"/>
        </w:rPr>
      </w:pPr>
    </w:p>
    <w:p w:rsidR="00B20F59" w:rsidP="5DC4D323" w14:paraId="57FE58A0" w14:textId="77777777">
      <w:pPr>
        <w:widowControl w:val="0"/>
        <w:rPr>
          <w:rFonts w:ascii="Avenir Next LT Pro" w:eastAsia="Avenir Next LT Pro" w:hAnsi="Avenir Next LT Pro" w:cs="Avenir Next LT Pro"/>
          <w:szCs w:val="24"/>
        </w:rPr>
      </w:pPr>
    </w:p>
    <w:p w:rsidR="00E76D74" w:rsidP="5DC4D323" w14:paraId="3C2BF578"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w:t>
      </w:r>
      <w:r w:rsidRPr="5DC4D323" w:rsidR="00216082">
        <w:rPr>
          <w:rFonts w:ascii="Avenir Next LT Pro" w:eastAsia="Avenir Next LT Pro" w:hAnsi="Avenir Next LT Pro" w:cs="Avenir Next LT Pro"/>
          <w:szCs w:val="24"/>
        </w:rPr>
        <w:t>requires grantees of Ameri</w:t>
      </w:r>
      <w:r w:rsidRPr="5DC4D323" w:rsidR="00006E59">
        <w:rPr>
          <w:rFonts w:ascii="Avenir Next LT Pro" w:eastAsia="Avenir Next LT Pro" w:hAnsi="Avenir Next LT Pro" w:cs="Avenir Next LT Pro"/>
          <w:szCs w:val="24"/>
        </w:rPr>
        <w:t>C</w:t>
      </w:r>
      <w:r w:rsidRPr="5DC4D323" w:rsidR="00216082">
        <w:rPr>
          <w:rFonts w:ascii="Avenir Next LT Pro" w:eastAsia="Avenir Next LT Pro" w:hAnsi="Avenir Next LT Pro" w:cs="Avenir Next LT Pro"/>
          <w:szCs w:val="24"/>
        </w:rPr>
        <w:t>orps State and Nationa</w:t>
      </w:r>
      <w:r w:rsidRPr="5DC4D323" w:rsidR="00006E59">
        <w:rPr>
          <w:rFonts w:ascii="Avenir Next LT Pro" w:eastAsia="Avenir Next LT Pro" w:hAnsi="Avenir Next LT Pro" w:cs="Avenir Next LT Pro"/>
          <w:szCs w:val="24"/>
        </w:rPr>
        <w:t>l</w:t>
      </w:r>
      <w:r w:rsidRPr="5DC4D323" w:rsidR="00216082">
        <w:rPr>
          <w:rFonts w:ascii="Avenir Next LT Pro" w:eastAsia="Avenir Next LT Pro" w:hAnsi="Avenir Next LT Pro" w:cs="Avenir Next LT Pro"/>
          <w:szCs w:val="24"/>
        </w:rPr>
        <w:t xml:space="preserve">, Commission Support Grant, and Commission Investment Fund </w:t>
      </w:r>
      <w:r w:rsidRPr="5DC4D323" w:rsidR="00006E59">
        <w:rPr>
          <w:rFonts w:ascii="Avenir Next LT Pro" w:eastAsia="Avenir Next LT Pro" w:hAnsi="Avenir Next LT Pro" w:cs="Avenir Next LT Pro"/>
          <w:szCs w:val="24"/>
        </w:rPr>
        <w:t>to submit Project Progress Reports (PPRs)</w:t>
      </w:r>
      <w:r w:rsidRPr="5DC4D323" w:rsidR="000B1FF8">
        <w:rPr>
          <w:rFonts w:ascii="Avenir Next LT Pro" w:eastAsia="Avenir Next LT Pro" w:hAnsi="Avenir Next LT Pro" w:cs="Avenir Next LT Pro"/>
          <w:szCs w:val="24"/>
        </w:rPr>
        <w:t xml:space="preserve"> (formerly known as Grantee Progress Reports (GPRs))</w:t>
      </w:r>
      <w:r w:rsidRPr="5DC4D323" w:rsidR="00006E59">
        <w:rPr>
          <w:rFonts w:ascii="Avenir Next LT Pro" w:eastAsia="Avenir Next LT Pro" w:hAnsi="Avenir Next LT Pro" w:cs="Avenir Next LT Pro"/>
          <w:szCs w:val="24"/>
        </w:rPr>
        <w:t>.</w:t>
      </w:r>
      <w:r w:rsidRPr="5DC4D323">
        <w:rPr>
          <w:rFonts w:ascii="Avenir Next LT Pro" w:eastAsia="Avenir Next LT Pro" w:hAnsi="Avenir Next LT Pro" w:cs="Avenir Next LT Pro"/>
          <w:szCs w:val="24"/>
        </w:rPr>
        <w:t xml:space="preserve"> </w:t>
      </w:r>
    </w:p>
    <w:p w:rsidR="00E76D74" w:rsidP="5DC4D323" w14:paraId="059B3A47" w14:textId="77777777">
      <w:pPr>
        <w:widowControl w:val="0"/>
        <w:rPr>
          <w:rFonts w:ascii="Avenir Next LT Pro" w:eastAsia="Avenir Next LT Pro" w:hAnsi="Avenir Next LT Pro" w:cs="Avenir Next LT Pro"/>
          <w:szCs w:val="24"/>
        </w:rPr>
      </w:pPr>
    </w:p>
    <w:p w:rsidR="00CC59BC" w:rsidRPr="00E76D74" w:rsidP="5DC4D323" w14:paraId="4E919EB4" w14:textId="7D74D1A2">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This request is for approval of a</w:t>
      </w:r>
      <w:r w:rsidRPr="5DC4D323" w:rsidR="0097122C">
        <w:rPr>
          <w:rFonts w:ascii="Avenir Next LT Pro" w:eastAsia="Avenir Next LT Pro" w:hAnsi="Avenir Next LT Pro" w:cs="Avenir Next LT Pro"/>
          <w:szCs w:val="24"/>
        </w:rPr>
        <w:t xml:space="preserve"> </w:t>
      </w:r>
      <w:r w:rsidRPr="5DC4D323" w:rsidR="00463145">
        <w:rPr>
          <w:rFonts w:ascii="Avenir Next LT Pro" w:eastAsia="Avenir Next LT Pro" w:hAnsi="Avenir Next LT Pro" w:cs="Avenir Next LT Pro"/>
          <w:szCs w:val="24"/>
        </w:rPr>
        <w:t>renewal of</w:t>
      </w:r>
      <w:r w:rsidRPr="5DC4D323" w:rsidR="0097122C">
        <w:rPr>
          <w:rFonts w:ascii="Avenir Next LT Pro" w:eastAsia="Avenir Next LT Pro" w:hAnsi="Avenir Next LT Pro" w:cs="Avenir Next LT Pro"/>
          <w:szCs w:val="24"/>
        </w:rPr>
        <w:t xml:space="preserve"> an existing collection.</w:t>
      </w:r>
      <w:r w:rsidRPr="5DC4D323">
        <w:rPr>
          <w:rFonts w:ascii="Avenir Next LT Pro" w:eastAsia="Avenir Next LT Pro" w:hAnsi="Avenir Next LT Pro" w:cs="Avenir Next LT Pro"/>
          <w:szCs w:val="24"/>
        </w:rPr>
        <w:t xml:space="preserve">  </w:t>
      </w:r>
    </w:p>
    <w:p w:rsidR="00915D3E" w:rsidRPr="00436E5C" w:rsidP="5DC4D323" w14:paraId="631F22A9" w14:textId="77777777">
      <w:pPr>
        <w:widowControl w:val="0"/>
        <w:rPr>
          <w:rFonts w:ascii="Avenir Next LT Pro" w:eastAsia="Avenir Next LT Pro" w:hAnsi="Avenir Next LT Pro" w:cs="Avenir Next LT Pro"/>
          <w:szCs w:val="24"/>
        </w:rPr>
      </w:pPr>
    </w:p>
    <w:p w:rsidR="00321071" w:rsidP="5DC4D323" w14:paraId="56DFADC7" w14:textId="23164543">
      <w:pPr>
        <w:pStyle w:val="ListParagraph"/>
        <w:widowControl w:val="0"/>
        <w:tabs>
          <w:tab w:val="left" w:pos="360"/>
          <w:tab w:val="left" w:pos="630"/>
          <w:tab w:val="left" w:pos="720"/>
          <w:tab w:val="left" w:pos="820"/>
          <w:tab w:val="left" w:pos="821"/>
          <w:tab w:val="left" w:pos="1080"/>
        </w:tabs>
        <w:overflowPunct/>
        <w:adjustRightInd/>
        <w:ind w:left="0" w:right="195"/>
        <w:textAlignment w:val="auto"/>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b/>
          <w:bCs/>
          <w:szCs w:val="24"/>
          <w:u w:val="single"/>
        </w:rPr>
        <w:t xml:space="preserve">1. </w:t>
      </w:r>
      <w:r w:rsidRPr="5DC4D323" w:rsidR="003249C8">
        <w:rPr>
          <w:rFonts w:ascii="Avenir Next LT Pro" w:eastAsia="Avenir Next LT Pro" w:hAnsi="Avenir Next LT Pro" w:cs="Avenir Next LT Pro"/>
          <w:b/>
          <w:bCs/>
          <w:szCs w:val="24"/>
          <w:u w:val="single"/>
        </w:rPr>
        <w:t>Need</w:t>
      </w:r>
      <w:r w:rsidRPr="5DC4D323" w:rsidR="00960321">
        <w:rPr>
          <w:rFonts w:ascii="Avenir Next LT Pro" w:eastAsia="Avenir Next LT Pro" w:hAnsi="Avenir Next LT Pro" w:cs="Avenir Next LT Pro"/>
          <w:b/>
          <w:bCs/>
          <w:szCs w:val="24"/>
          <w:u w:val="single"/>
        </w:rPr>
        <w:t xml:space="preserve"> &amp; Method</w:t>
      </w:r>
      <w:r w:rsidRPr="5DC4D323" w:rsidR="003249C8">
        <w:rPr>
          <w:rFonts w:ascii="Avenir Next LT Pro" w:eastAsia="Avenir Next LT Pro" w:hAnsi="Avenir Next LT Pro" w:cs="Avenir Next LT Pro"/>
          <w:b/>
          <w:bCs/>
          <w:szCs w:val="24"/>
          <w:u w:val="single"/>
        </w:rPr>
        <w:t xml:space="preserve"> for the Information Collection</w:t>
      </w:r>
      <w:r w:rsidRPr="5DC4D323" w:rsidR="00FB7D5B">
        <w:rPr>
          <w:rFonts w:ascii="Avenir Next LT Pro" w:eastAsia="Avenir Next LT Pro" w:hAnsi="Avenir Next LT Pro" w:cs="Avenir Next LT Pro"/>
          <w:b/>
          <w:bCs/>
          <w:szCs w:val="24"/>
          <w:u w:val="single"/>
        </w:rPr>
        <w:t>.</w:t>
      </w:r>
      <w:r w:rsidRPr="5DC4D323" w:rsidR="00FB7D5B">
        <w:rPr>
          <w:rFonts w:ascii="Avenir Next LT Pro" w:eastAsia="Avenir Next LT Pro" w:hAnsi="Avenir Next LT Pro" w:cs="Avenir Next LT Pro"/>
          <w:szCs w:val="24"/>
          <w:u w:val="single"/>
        </w:rPr>
        <w:t xml:space="preserve"> </w:t>
      </w:r>
    </w:p>
    <w:p w:rsidR="00E60A59" w:rsidP="5DC4D323" w14:paraId="1F52FC47" w14:textId="152CAE58">
      <w:pPr>
        <w:pStyle w:val="ListParagraph"/>
        <w:widowControl w:val="0"/>
        <w:tabs>
          <w:tab w:val="left" w:pos="360"/>
          <w:tab w:val="left" w:pos="630"/>
          <w:tab w:val="left" w:pos="720"/>
          <w:tab w:val="left" w:pos="820"/>
          <w:tab w:val="left" w:pos="821"/>
          <w:tab w:val="left" w:pos="1080"/>
        </w:tabs>
        <w:overflowPunct/>
        <w:adjustRightInd/>
        <w:ind w:left="360" w:right="195"/>
        <w:textAlignment w:val="auto"/>
        <w:rPr>
          <w:rFonts w:ascii="Avenir Next LT Pro" w:eastAsia="Avenir Next LT Pro" w:hAnsi="Avenir Next LT Pro" w:cs="Avenir Next LT Pro"/>
          <w:szCs w:val="24"/>
        </w:rPr>
      </w:pPr>
    </w:p>
    <w:p w:rsidR="00E60A59" w:rsidP="5DC4D323" w14:paraId="0E8D8042" w14:textId="339BB5B6">
      <w:pPr>
        <w:pStyle w:val="ListParagraph"/>
        <w:widowControl w:val="0"/>
        <w:tabs>
          <w:tab w:val="left" w:pos="360"/>
          <w:tab w:val="left" w:pos="630"/>
          <w:tab w:val="left" w:pos="720"/>
          <w:tab w:val="left" w:pos="820"/>
          <w:tab w:val="left" w:pos="821"/>
          <w:tab w:val="left" w:pos="1080"/>
        </w:tabs>
        <w:overflowPunct/>
        <w:adjustRightInd/>
        <w:ind w:left="0"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This information collection is required by </w:t>
      </w:r>
      <w:r w:rsidRPr="5DC4D323" w:rsidR="00BA5E0D">
        <w:rPr>
          <w:rFonts w:ascii="Avenir Next LT Pro" w:eastAsia="Avenir Next LT Pro" w:hAnsi="Avenir Next LT Pro" w:cs="Avenir Next LT Pro"/>
          <w:szCs w:val="24"/>
        </w:rPr>
        <w:t>2</w:t>
      </w:r>
      <w:r w:rsidRPr="5DC4D323" w:rsidR="00B84865">
        <w:rPr>
          <w:rFonts w:ascii="Avenir Next LT Pro" w:eastAsia="Avenir Next LT Pro" w:hAnsi="Avenir Next LT Pro" w:cs="Avenir Next LT Pro"/>
          <w:szCs w:val="24"/>
        </w:rPr>
        <w:t xml:space="preserve"> CFR 200.329</w:t>
      </w:r>
      <w:r w:rsidRPr="5DC4D323">
        <w:rPr>
          <w:rFonts w:ascii="Avenir Next LT Pro" w:eastAsia="Avenir Next LT Pro" w:hAnsi="Avenir Next LT Pro" w:cs="Avenir Next LT Pro"/>
          <w:szCs w:val="24"/>
        </w:rPr>
        <w:t>, which</w:t>
      </w:r>
      <w:r w:rsidRPr="5DC4D323" w:rsidR="007E5467">
        <w:rPr>
          <w:rFonts w:ascii="Avenir Next LT Pro" w:eastAsia="Avenir Next LT Pro" w:hAnsi="Avenir Next LT Pro" w:cs="Avenir Next LT Pro"/>
          <w:szCs w:val="24"/>
        </w:rPr>
        <w:t xml:space="preserve"> states that </w:t>
      </w:r>
      <w:r w:rsidRPr="5DC4D323" w:rsidR="00354BAD">
        <w:rPr>
          <w:rFonts w:ascii="Avenir Next LT Pro" w:eastAsia="Avenir Next LT Pro" w:hAnsi="Avenir Next LT Pro" w:cs="Avenir Next LT Pro"/>
          <w:szCs w:val="24"/>
        </w:rPr>
        <w:t xml:space="preserve">the non-Federal entity must submit performance reports at the interval required by the Federal awarding agency or pass-through </w:t>
      </w:r>
      <w:r w:rsidRPr="5DC4D323" w:rsidR="00920E6F">
        <w:rPr>
          <w:rFonts w:ascii="Avenir Next LT Pro" w:eastAsia="Avenir Next LT Pro" w:hAnsi="Avenir Next LT Pro" w:cs="Avenir Next LT Pro"/>
          <w:szCs w:val="24"/>
        </w:rPr>
        <w:t>entity to best inform improvements in program outcomes and productivity. Intervals must be no less frequent than annually, which is the reporting frequency for AmeriCorps State and National</w:t>
      </w:r>
      <w:r w:rsidRPr="5DC4D323" w:rsidR="00961953">
        <w:rPr>
          <w:rFonts w:ascii="Avenir Next LT Pro" w:eastAsia="Avenir Next LT Pro" w:hAnsi="Avenir Next LT Pro" w:cs="Avenir Next LT Pro"/>
          <w:szCs w:val="24"/>
        </w:rPr>
        <w:t xml:space="preserve">, Commission Support Grant, and </w:t>
      </w:r>
      <w:r w:rsidRPr="5DC4D323" w:rsidR="00DF681D">
        <w:rPr>
          <w:rFonts w:ascii="Avenir Next LT Pro" w:eastAsia="Avenir Next LT Pro" w:hAnsi="Avenir Next LT Pro" w:cs="Avenir Next LT Pro"/>
          <w:szCs w:val="24"/>
        </w:rPr>
        <w:t>Commission Investment Fund</w:t>
      </w:r>
      <w:r w:rsidRPr="5DC4D323" w:rsidR="00961953">
        <w:rPr>
          <w:rFonts w:ascii="Avenir Next LT Pro" w:eastAsia="Avenir Next LT Pro" w:hAnsi="Avenir Next LT Pro" w:cs="Avenir Next LT Pro"/>
          <w:szCs w:val="24"/>
        </w:rPr>
        <w:t xml:space="preserve"> grantees</w:t>
      </w:r>
      <w:r w:rsidRPr="5DC4D323" w:rsidR="00E76E25">
        <w:rPr>
          <w:rFonts w:ascii="Avenir Next LT Pro" w:eastAsia="Avenir Next LT Pro" w:hAnsi="Avenir Next LT Pro" w:cs="Avenir Next LT Pro"/>
          <w:szCs w:val="24"/>
        </w:rPr>
        <w:t>.</w:t>
      </w:r>
    </w:p>
    <w:p w:rsidR="00993A71" w:rsidP="5DC4D323" w14:paraId="405BEBAD" w14:textId="79DDDB80">
      <w:pPr>
        <w:pStyle w:val="ListParagraph"/>
        <w:widowControl w:val="0"/>
        <w:tabs>
          <w:tab w:val="left" w:pos="360"/>
          <w:tab w:val="left" w:pos="630"/>
          <w:tab w:val="left" w:pos="720"/>
          <w:tab w:val="left" w:pos="820"/>
          <w:tab w:val="left" w:pos="821"/>
          <w:tab w:val="left" w:pos="1080"/>
        </w:tabs>
        <w:overflowPunct/>
        <w:adjustRightInd/>
        <w:ind w:left="0" w:right="195"/>
        <w:textAlignment w:val="auto"/>
        <w:rPr>
          <w:rFonts w:ascii="Avenir Next LT Pro" w:eastAsia="Avenir Next LT Pro" w:hAnsi="Avenir Next LT Pro" w:cs="Avenir Next LT Pro"/>
          <w:szCs w:val="24"/>
        </w:rPr>
      </w:pPr>
    </w:p>
    <w:p w:rsidR="00960321" w:rsidP="5DC4D323" w14:paraId="6AC40FCF" w14:textId="0C04404F">
      <w:pPr>
        <w:widowControl w:val="0"/>
        <w:tabs>
          <w:tab w:val="left" w:pos="360"/>
          <w:tab w:val="left" w:pos="630"/>
          <w:tab w:val="left" w:pos="720"/>
          <w:tab w:val="left" w:pos="820"/>
          <w:tab w:val="left" w:pos="821"/>
          <w:tab w:val="left" w:pos="1080"/>
        </w:tabs>
        <w:overflowPunct/>
        <w:adjustRightInd/>
        <w:ind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The National and Community Service Act of 1990, as amended, provides authority for this information collection at 42 U.S.C. 12639(h). </w:t>
      </w:r>
      <w:r w:rsidRPr="5DC4D323" w:rsidR="00A932BA">
        <w:rPr>
          <w:rFonts w:ascii="Avenir Next LT Pro" w:eastAsia="Avenir Next LT Pro" w:hAnsi="Avenir Next LT Pro" w:cs="Avenir Next LT Pro"/>
          <w:szCs w:val="24"/>
        </w:rPr>
        <w:t xml:space="preserve">The statute </w:t>
      </w:r>
      <w:r w:rsidRPr="5DC4D323" w:rsidR="008A3B11">
        <w:rPr>
          <w:rFonts w:ascii="Avenir Next LT Pro" w:eastAsia="Avenir Next LT Pro" w:hAnsi="Avenir Next LT Pro" w:cs="Avenir Next LT Pro"/>
          <w:szCs w:val="24"/>
        </w:rPr>
        <w:t xml:space="preserve">allows </w:t>
      </w:r>
      <w:r w:rsidRPr="5DC4D323" w:rsidR="00E16E7B">
        <w:rPr>
          <w:rFonts w:ascii="Avenir Next LT Pro" w:eastAsia="Avenir Next LT Pro" w:hAnsi="Avenir Next LT Pro" w:cs="Avenir Next LT Pro"/>
          <w:szCs w:val="24"/>
        </w:rPr>
        <w:t>for reports to contain brief information on the data elements approve</w:t>
      </w:r>
      <w:r w:rsidRPr="5DC4D323" w:rsidR="00D45EA4">
        <w:rPr>
          <w:rFonts w:ascii="Avenir Next LT Pro" w:eastAsia="Avenir Next LT Pro" w:hAnsi="Avenir Next LT Pro" w:cs="Avenir Next LT Pro"/>
          <w:szCs w:val="24"/>
        </w:rPr>
        <w:t>d by OMB, including actual accomplishments and reasons why established goals were not met, if appropriate.</w:t>
      </w:r>
    </w:p>
    <w:p w:rsidR="00960321" w:rsidP="5DC4D323" w14:paraId="6E2E71B5" w14:textId="0E6A6745">
      <w:pPr>
        <w:widowControl w:val="0"/>
        <w:tabs>
          <w:tab w:val="left" w:pos="360"/>
          <w:tab w:val="left" w:pos="630"/>
          <w:tab w:val="left" w:pos="720"/>
          <w:tab w:val="left" w:pos="820"/>
          <w:tab w:val="left" w:pos="821"/>
          <w:tab w:val="left" w:pos="1080"/>
        </w:tabs>
        <w:overflowPunct/>
        <w:adjustRightInd/>
        <w:ind w:right="195"/>
        <w:textAlignment w:val="auto"/>
        <w:rPr>
          <w:rFonts w:ascii="Avenir Next LT Pro" w:eastAsia="Avenir Next LT Pro" w:hAnsi="Avenir Next LT Pro" w:cs="Avenir Next LT Pro"/>
          <w:szCs w:val="24"/>
        </w:rPr>
      </w:pPr>
    </w:p>
    <w:p w:rsidR="00960321" w:rsidRPr="00960321" w:rsidP="5DC4D323" w14:paraId="2B0B3086" w14:textId="20BB146C">
      <w:pPr>
        <w:widowControl w:val="0"/>
        <w:tabs>
          <w:tab w:val="left" w:pos="360"/>
          <w:tab w:val="left" w:pos="630"/>
          <w:tab w:val="left" w:pos="720"/>
          <w:tab w:val="left" w:pos="820"/>
          <w:tab w:val="left" w:pos="821"/>
          <w:tab w:val="left" w:pos="1080"/>
        </w:tabs>
        <w:overflowPunct/>
        <w:adjustRightInd/>
        <w:ind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w:t>
      </w:r>
      <w:r w:rsidRPr="5DC4D323" w:rsidR="00297C47">
        <w:rPr>
          <w:rFonts w:ascii="Avenir Next LT Pro" w:eastAsia="Avenir Next LT Pro" w:hAnsi="Avenir Next LT Pro" w:cs="Avenir Next LT Pro"/>
          <w:szCs w:val="24"/>
        </w:rPr>
        <w:t>elicits</w:t>
      </w:r>
      <w:r w:rsidRPr="5DC4D323">
        <w:rPr>
          <w:rFonts w:ascii="Avenir Next LT Pro" w:eastAsia="Avenir Next LT Pro" w:hAnsi="Avenir Next LT Pro" w:cs="Avenir Next LT Pro"/>
          <w:szCs w:val="24"/>
        </w:rPr>
        <w:t xml:space="preserve"> and accept</w:t>
      </w:r>
      <w:r w:rsidRPr="5DC4D323" w:rsidR="00297C47">
        <w:rPr>
          <w:rFonts w:ascii="Avenir Next LT Pro" w:eastAsia="Avenir Next LT Pro" w:hAnsi="Avenir Next LT Pro" w:cs="Avenir Next LT Pro"/>
          <w:szCs w:val="24"/>
        </w:rPr>
        <w:t>s</w:t>
      </w:r>
      <w:r w:rsidRPr="5DC4D323">
        <w:rPr>
          <w:rFonts w:ascii="Avenir Next LT Pro" w:eastAsia="Avenir Next LT Pro" w:hAnsi="Avenir Next LT Pro" w:cs="Avenir Next LT Pro"/>
          <w:szCs w:val="24"/>
        </w:rPr>
        <w:t xml:space="preserve"> grantee</w:t>
      </w:r>
      <w:r w:rsidRPr="5DC4D323" w:rsidR="00297C47">
        <w:rPr>
          <w:rFonts w:ascii="Avenir Next LT Pro" w:eastAsia="Avenir Next LT Pro" w:hAnsi="Avenir Next LT Pro" w:cs="Avenir Next LT Pro"/>
          <w:szCs w:val="24"/>
        </w:rPr>
        <w:t>s</w:t>
      </w:r>
      <w:r w:rsidRPr="5DC4D323">
        <w:rPr>
          <w:rFonts w:ascii="Avenir Next LT Pro" w:eastAsia="Avenir Next LT Pro" w:hAnsi="Avenir Next LT Pro" w:cs="Avenir Next LT Pro"/>
          <w:szCs w:val="24"/>
        </w:rPr>
        <w:t xml:space="preserve">’ responses to these questions electronically </w:t>
      </w:r>
      <w:r w:rsidRPr="5DC4D323" w:rsidR="00573BEB">
        <w:rPr>
          <w:rFonts w:ascii="Avenir Next LT Pro" w:eastAsia="Avenir Next LT Pro" w:hAnsi="Avenir Next LT Pro" w:cs="Avenir Next LT Pro"/>
          <w:szCs w:val="24"/>
        </w:rPr>
        <w:t>via eGrants, the agency’s secure online grants management system.</w:t>
      </w:r>
      <w:r w:rsidRPr="5DC4D323" w:rsidR="00F75256">
        <w:rPr>
          <w:rFonts w:ascii="Avenir Next LT Pro" w:eastAsia="Avenir Next LT Pro" w:hAnsi="Avenir Next LT Pro" w:cs="Avenir Next LT Pro"/>
          <w:szCs w:val="24"/>
        </w:rPr>
        <w:t xml:space="preserve"> The information is self-reported by grantees.</w:t>
      </w:r>
    </w:p>
    <w:p w:rsidR="00960321" w:rsidP="5DC4D323" w14:paraId="3DEC8869" w14:textId="74BCCD22">
      <w:pPr>
        <w:widowControl w:val="0"/>
        <w:tabs>
          <w:tab w:val="left" w:pos="360"/>
          <w:tab w:val="left" w:pos="630"/>
          <w:tab w:val="left" w:pos="720"/>
          <w:tab w:val="left" w:pos="820"/>
          <w:tab w:val="left" w:pos="821"/>
          <w:tab w:val="left" w:pos="1080"/>
        </w:tabs>
        <w:overflowPunct/>
        <w:adjustRightInd/>
        <w:ind w:right="195"/>
        <w:textAlignment w:val="auto"/>
        <w:rPr>
          <w:rFonts w:ascii="Avenir Next LT Pro" w:eastAsia="Avenir Next LT Pro" w:hAnsi="Avenir Next LT Pro" w:cs="Avenir Next LT Pro"/>
          <w:szCs w:val="24"/>
        </w:rPr>
      </w:pPr>
    </w:p>
    <w:p w:rsidR="00960321" w:rsidP="5DC4D323" w14:paraId="10FC57F3" w14:textId="62C9AC5C">
      <w:pPr>
        <w:widowControl w:val="0"/>
        <w:tabs>
          <w:tab w:val="left" w:pos="360"/>
          <w:tab w:val="left" w:pos="630"/>
          <w:tab w:val="left" w:pos="720"/>
          <w:tab w:val="left" w:pos="820"/>
          <w:tab w:val="left" w:pos="821"/>
          <w:tab w:val="left" w:pos="1080"/>
        </w:tabs>
        <w:overflowPunct/>
        <w:adjustRightInd/>
        <w:ind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If this </w:t>
      </w:r>
      <w:r w:rsidRPr="5DC4D323" w:rsidR="00661EA0">
        <w:rPr>
          <w:rFonts w:ascii="Avenir Next LT Pro" w:eastAsia="Avenir Next LT Pro" w:hAnsi="Avenir Next LT Pro" w:cs="Avenir Next LT Pro"/>
          <w:szCs w:val="24"/>
        </w:rPr>
        <w:t xml:space="preserve">information collection is not conducted, </w:t>
      </w:r>
      <w:r w:rsidRPr="5DC4D323" w:rsidR="00695F5D">
        <w:rPr>
          <w:rFonts w:ascii="Avenir Next LT Pro" w:eastAsia="Avenir Next LT Pro" w:hAnsi="Avenir Next LT Pro" w:cs="Avenir Next LT Pro"/>
          <w:szCs w:val="24"/>
        </w:rPr>
        <w:t xml:space="preserve">AmeriCorps will not be able to </w:t>
      </w:r>
      <w:r w:rsidRPr="5DC4D323" w:rsidR="001744E7">
        <w:rPr>
          <w:rFonts w:ascii="Avenir Next LT Pro" w:eastAsia="Avenir Next LT Pro" w:hAnsi="Avenir Next LT Pro" w:cs="Avenir Next LT Pro"/>
          <w:szCs w:val="24"/>
        </w:rPr>
        <w:t xml:space="preserve">request the necessary information to assess grantee progress or report </w:t>
      </w:r>
      <w:r w:rsidRPr="5DC4D323" w:rsidR="00EB5FD1">
        <w:rPr>
          <w:rFonts w:ascii="Avenir Next LT Pro" w:eastAsia="Avenir Next LT Pro" w:hAnsi="Avenir Next LT Pro" w:cs="Avenir Next LT Pro"/>
          <w:szCs w:val="24"/>
        </w:rPr>
        <w:t xml:space="preserve">accomplishments </w:t>
      </w:r>
      <w:r w:rsidRPr="5DC4D323" w:rsidR="001744E7">
        <w:rPr>
          <w:rFonts w:ascii="Avenir Next LT Pro" w:eastAsia="Avenir Next LT Pro" w:hAnsi="Avenir Next LT Pro" w:cs="Avenir Next LT Pro"/>
          <w:szCs w:val="24"/>
        </w:rPr>
        <w:t>to stakeholders.</w:t>
      </w:r>
    </w:p>
    <w:p w:rsidR="00FB7D5B" w:rsidRPr="00FB7D5B" w:rsidP="5DC4D323" w14:paraId="4851B423" w14:textId="77777777">
      <w:pPr>
        <w:widowControl w:val="0"/>
        <w:tabs>
          <w:tab w:val="left" w:pos="360"/>
          <w:tab w:val="left" w:pos="630"/>
          <w:tab w:val="left" w:pos="720"/>
          <w:tab w:val="left" w:pos="1080"/>
        </w:tabs>
        <w:rPr>
          <w:rFonts w:ascii="Avenir Next LT Pro" w:eastAsia="Avenir Next LT Pro" w:hAnsi="Avenir Next LT Pro" w:cs="Avenir Next LT Pro"/>
          <w:szCs w:val="24"/>
          <w:u w:val="single"/>
        </w:rPr>
      </w:pPr>
    </w:p>
    <w:p w:rsidR="000851CA" w:rsidRPr="00AB0EC9" w:rsidP="5DC4D323" w14:paraId="6B44BF0A" w14:textId="51213FF0">
      <w:pPr>
        <w:widowControl w:val="0"/>
        <w:tabs>
          <w:tab w:val="left" w:pos="360"/>
          <w:tab w:val="left" w:pos="630"/>
          <w:tab w:val="left" w:pos="720"/>
          <w:tab w:val="left" w:pos="1080"/>
        </w:tabs>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b/>
          <w:bCs/>
          <w:szCs w:val="24"/>
          <w:u w:val="single"/>
        </w:rPr>
        <w:t>2. Use of the Information</w:t>
      </w:r>
      <w:r w:rsidRPr="5DC4D323" w:rsidR="00FB7D5B">
        <w:rPr>
          <w:rFonts w:ascii="Avenir Next LT Pro" w:eastAsia="Avenir Next LT Pro" w:hAnsi="Avenir Next LT Pro" w:cs="Avenir Next LT Pro"/>
          <w:b/>
          <w:bCs/>
          <w:szCs w:val="24"/>
          <w:u w:val="single"/>
        </w:rPr>
        <w:t>.</w:t>
      </w:r>
      <w:r w:rsidRPr="5DC4D323" w:rsidR="00390F87">
        <w:rPr>
          <w:rFonts w:ascii="Avenir Next LT Pro" w:eastAsia="Avenir Next LT Pro" w:hAnsi="Avenir Next LT Pro" w:cs="Avenir Next LT Pro"/>
          <w:szCs w:val="24"/>
        </w:rPr>
        <w:t xml:space="preserve"> </w:t>
      </w:r>
    </w:p>
    <w:p w:rsidR="000851CA" w:rsidRPr="00AB0EC9" w:rsidP="5DC4D323" w14:paraId="3A1C6D48" w14:textId="24B0C671">
      <w:pPr>
        <w:widowControl w:val="0"/>
        <w:tabs>
          <w:tab w:val="left" w:pos="360"/>
          <w:tab w:val="left" w:pos="630"/>
          <w:tab w:val="left" w:pos="720"/>
          <w:tab w:val="left" w:pos="1080"/>
        </w:tabs>
        <w:rPr>
          <w:rFonts w:ascii="Avenir Next LT Pro" w:eastAsia="Avenir Next LT Pro" w:hAnsi="Avenir Next LT Pro" w:cs="Avenir Next LT Pro"/>
          <w:szCs w:val="24"/>
        </w:rPr>
      </w:pPr>
    </w:p>
    <w:p w:rsidR="000851CA" w:rsidRPr="00390F87" w:rsidP="5DC4D323" w14:paraId="4BEE8469" w14:textId="4235F21E">
      <w:pPr>
        <w:widowControl w:val="0"/>
        <w:tabs>
          <w:tab w:val="left" w:pos="360"/>
          <w:tab w:val="left" w:pos="630"/>
          <w:tab w:val="left" w:pos="720"/>
          <w:tab w:val="left" w:pos="1080"/>
        </w:tabs>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szCs w:val="24"/>
        </w:rPr>
        <w:t xml:space="preserve">Grantees respond to the questions included in the PPR in order to describe their progress toward the activities and goals of their grants. </w:t>
      </w:r>
      <w:r w:rsidRPr="5DC4D323" w:rsidR="00C76C8F">
        <w:rPr>
          <w:rFonts w:ascii="Avenir Next LT Pro" w:eastAsia="Avenir Next LT Pro" w:hAnsi="Avenir Next LT Pro" w:cs="Avenir Next LT Pro"/>
          <w:szCs w:val="24"/>
        </w:rPr>
        <w:t>The information is used for continuous improvement and reporting activities to stakeholders.</w:t>
      </w:r>
    </w:p>
    <w:p w:rsidR="311D1DAC" w:rsidP="5DC4D323" w14:paraId="12C59913" w14:textId="6772B513">
      <w:pPr>
        <w:widowControl w:val="0"/>
        <w:tabs>
          <w:tab w:val="left" w:pos="820"/>
          <w:tab w:val="left" w:pos="821"/>
        </w:tabs>
        <w:ind w:right="195"/>
        <w:rPr>
          <w:rFonts w:ascii="Avenir Next LT Pro" w:eastAsia="Avenir Next LT Pro" w:hAnsi="Avenir Next LT Pro" w:cs="Avenir Next LT Pro"/>
          <w:szCs w:val="24"/>
        </w:rPr>
      </w:pPr>
    </w:p>
    <w:p w:rsidR="00E37667" w:rsidRPr="008C03DE" w:rsidP="5DC4D323" w14:paraId="379D13F2" w14:textId="11B969EB">
      <w:pPr>
        <w:widowControl w:val="0"/>
        <w:tabs>
          <w:tab w:val="left" w:pos="820"/>
          <w:tab w:val="left" w:pos="821"/>
        </w:tabs>
        <w:overflowPunct/>
        <w:adjustRightInd/>
        <w:ind w:right="195"/>
        <w:textAlignment w:val="auto"/>
        <w:rPr>
          <w:rFonts w:ascii="Avenir Next LT Pro" w:eastAsia="Avenir Next LT Pro" w:hAnsi="Avenir Next LT Pro" w:cs="Avenir Next LT Pro"/>
          <w:color w:val="365F91" w:themeColor="accent1" w:themeShade="BF"/>
          <w:szCs w:val="24"/>
        </w:rPr>
      </w:pPr>
      <w:r w:rsidRPr="5DC4D323">
        <w:rPr>
          <w:rFonts w:ascii="Avenir Next LT Pro" w:eastAsia="Avenir Next LT Pro" w:hAnsi="Avenir Next LT Pro" w:cs="Avenir Next LT Pro"/>
          <w:szCs w:val="24"/>
        </w:rPr>
        <w:t xml:space="preserve">Grantees are aware of PPR reports as part of the </w:t>
      </w:r>
      <w:r w:rsidRPr="5DC4D323" w:rsidR="00224D33">
        <w:rPr>
          <w:rFonts w:ascii="Avenir Next LT Pro" w:eastAsia="Avenir Next LT Pro" w:hAnsi="Avenir Next LT Pro" w:cs="Avenir Next LT Pro"/>
          <w:szCs w:val="24"/>
        </w:rPr>
        <w:t xml:space="preserve">AmeriCorps State and National Program-Specific </w:t>
      </w:r>
      <w:r w:rsidRPr="5DC4D323">
        <w:rPr>
          <w:rFonts w:ascii="Avenir Next LT Pro" w:eastAsia="Avenir Next LT Pro" w:hAnsi="Avenir Next LT Pro" w:cs="Avenir Next LT Pro"/>
          <w:szCs w:val="24"/>
        </w:rPr>
        <w:t xml:space="preserve">Terms &amp; Conditions. </w:t>
      </w:r>
      <w:r w:rsidRPr="5DC4D323" w:rsidR="00315237">
        <w:rPr>
          <w:rFonts w:ascii="Avenir Next LT Pro" w:eastAsia="Avenir Next LT Pro" w:hAnsi="Avenir Next LT Pro" w:cs="Avenir Next LT Pro"/>
          <w:szCs w:val="24"/>
        </w:rPr>
        <w:t>The</w:t>
      </w:r>
      <w:r w:rsidRPr="5DC4D323" w:rsidR="00224D33">
        <w:rPr>
          <w:rFonts w:ascii="Avenir Next LT Pro" w:eastAsia="Avenir Next LT Pro" w:hAnsi="Avenir Next LT Pro" w:cs="Avenir Next LT Pro"/>
          <w:szCs w:val="24"/>
        </w:rPr>
        <w:t>se</w:t>
      </w:r>
      <w:r w:rsidRPr="5DC4D323" w:rsidR="00C05061">
        <w:rPr>
          <w:rFonts w:ascii="Avenir Next LT Pro" w:eastAsia="Avenir Next LT Pro" w:hAnsi="Avenir Next LT Pro" w:cs="Avenir Next LT Pro"/>
          <w:szCs w:val="24"/>
        </w:rPr>
        <w:t xml:space="preserve"> specific</w:t>
      </w:r>
      <w:r w:rsidRPr="5DC4D323" w:rsidR="00315237">
        <w:rPr>
          <w:rFonts w:ascii="Avenir Next LT Pro" w:eastAsia="Avenir Next LT Pro" w:hAnsi="Avenir Next LT Pro" w:cs="Avenir Next LT Pro"/>
          <w:szCs w:val="24"/>
        </w:rPr>
        <w:t xml:space="preserve"> Terms &amp; Conditions provide grantees with the reporting period and the due date for submitting </w:t>
      </w:r>
      <w:r w:rsidRPr="5DC4D323" w:rsidR="008631E8">
        <w:rPr>
          <w:rFonts w:ascii="Avenir Next LT Pro" w:eastAsia="Avenir Next LT Pro" w:hAnsi="Avenir Next LT Pro" w:cs="Avenir Next LT Pro"/>
          <w:szCs w:val="24"/>
        </w:rPr>
        <w:t xml:space="preserve">the </w:t>
      </w:r>
      <w:r w:rsidRPr="5DC4D323" w:rsidR="00315237">
        <w:rPr>
          <w:rFonts w:ascii="Avenir Next LT Pro" w:eastAsia="Avenir Next LT Pro" w:hAnsi="Avenir Next LT Pro" w:cs="Avenir Next LT Pro"/>
          <w:szCs w:val="24"/>
        </w:rPr>
        <w:t>PPR</w:t>
      </w:r>
      <w:r w:rsidRPr="5DC4D323" w:rsidR="008631E8">
        <w:rPr>
          <w:rFonts w:ascii="Avenir Next LT Pro" w:eastAsia="Avenir Next LT Pro" w:hAnsi="Avenir Next LT Pro" w:cs="Avenir Next LT Pro"/>
          <w:szCs w:val="24"/>
        </w:rPr>
        <w:t xml:space="preserve">. </w:t>
      </w:r>
      <w:r w:rsidRPr="5DC4D323" w:rsidR="008978A8">
        <w:rPr>
          <w:rFonts w:ascii="Avenir Next LT Pro" w:eastAsia="Avenir Next LT Pro" w:hAnsi="Avenir Next LT Pro" w:cs="Avenir Next LT Pro"/>
          <w:szCs w:val="24"/>
        </w:rPr>
        <w:t xml:space="preserve">A few months before the end of the grant </w:t>
      </w:r>
      <w:r w:rsidRPr="5DC4D323" w:rsidR="008A575F">
        <w:rPr>
          <w:rFonts w:ascii="Avenir Next LT Pro" w:eastAsia="Avenir Next LT Pro" w:hAnsi="Avenir Next LT Pro" w:cs="Avenir Next LT Pro"/>
          <w:szCs w:val="24"/>
        </w:rPr>
        <w:t xml:space="preserve">reporting </w:t>
      </w:r>
      <w:r w:rsidRPr="5DC4D323" w:rsidR="008978A8">
        <w:rPr>
          <w:rFonts w:ascii="Avenir Next LT Pro" w:eastAsia="Avenir Next LT Pro" w:hAnsi="Avenir Next LT Pro" w:cs="Avenir Next LT Pro"/>
          <w:szCs w:val="24"/>
        </w:rPr>
        <w:t xml:space="preserve">period, </w:t>
      </w:r>
      <w:r w:rsidRPr="5DC4D323" w:rsidR="00732CF4">
        <w:rPr>
          <w:rFonts w:ascii="Avenir Next LT Pro" w:eastAsia="Avenir Next LT Pro" w:hAnsi="Avenir Next LT Pro" w:cs="Avenir Next LT Pro"/>
          <w:szCs w:val="24"/>
        </w:rPr>
        <w:t xml:space="preserve">grantees are provided </w:t>
      </w:r>
      <w:r w:rsidRPr="5DC4D323" w:rsidR="00732CF4">
        <w:rPr>
          <w:rFonts w:ascii="Avenir Next LT Pro" w:eastAsia="Avenir Next LT Pro" w:hAnsi="Avenir Next LT Pro" w:cs="Avenir Next LT Pro"/>
          <w:szCs w:val="24"/>
        </w:rPr>
        <w:t>instructions on how to complete the PPR; the structure of the PPR does not change year to year.</w:t>
      </w:r>
      <w:r w:rsidRPr="5DC4D323" w:rsidR="00BE1487">
        <w:rPr>
          <w:rFonts w:ascii="Avenir Next LT Pro" w:eastAsia="Avenir Next LT Pro" w:hAnsi="Avenir Next LT Pro" w:cs="Avenir Next LT Pro"/>
          <w:szCs w:val="24"/>
        </w:rPr>
        <w:t xml:space="preserve"> </w:t>
      </w:r>
      <w:r w:rsidRPr="5DC4D323" w:rsidR="00560335">
        <w:rPr>
          <w:rFonts w:ascii="Avenir Next LT Pro" w:eastAsia="Avenir Next LT Pro" w:hAnsi="Avenir Next LT Pro" w:cs="Avenir Next LT Pro"/>
          <w:szCs w:val="24"/>
        </w:rPr>
        <w:t xml:space="preserve">The instructions remind grantees when the PPR is due to AmeriCorps and provides guidance on how to fill out the PPR in eGrants, AmeriCorps’ grant management system. </w:t>
      </w:r>
      <w:r w:rsidRPr="5DC4D323" w:rsidR="005B65DD">
        <w:rPr>
          <w:rFonts w:ascii="Avenir Next LT Pro" w:eastAsia="Avenir Next LT Pro" w:hAnsi="Avenir Next LT Pro" w:cs="Avenir Next LT Pro"/>
          <w:szCs w:val="24"/>
        </w:rPr>
        <w:t>The</w:t>
      </w:r>
      <w:r w:rsidRPr="5DC4D323" w:rsidR="00A84F4D">
        <w:rPr>
          <w:rFonts w:ascii="Avenir Next LT Pro" w:eastAsia="Avenir Next LT Pro" w:hAnsi="Avenir Next LT Pro" w:cs="Avenir Next LT Pro"/>
          <w:szCs w:val="24"/>
        </w:rPr>
        <w:t xml:space="preserve"> Progress Report is </w:t>
      </w:r>
      <w:r w:rsidRPr="5DC4D323" w:rsidR="00891ED5">
        <w:rPr>
          <w:rFonts w:ascii="Avenir Next LT Pro" w:eastAsia="Avenir Next LT Pro" w:hAnsi="Avenir Next LT Pro" w:cs="Avenir Next LT Pro"/>
          <w:szCs w:val="24"/>
        </w:rPr>
        <w:t>visible</w:t>
      </w:r>
      <w:r w:rsidRPr="5DC4D323" w:rsidR="00A84F4D">
        <w:rPr>
          <w:rFonts w:ascii="Avenir Next LT Pro" w:eastAsia="Avenir Next LT Pro" w:hAnsi="Avenir Next LT Pro" w:cs="Avenir Next LT Pro"/>
          <w:szCs w:val="24"/>
        </w:rPr>
        <w:t xml:space="preserve"> to grantees in eGrants four months before the</w:t>
      </w:r>
      <w:r w:rsidRPr="5DC4D323" w:rsidR="00891ED5">
        <w:rPr>
          <w:rFonts w:ascii="Avenir Next LT Pro" w:eastAsia="Avenir Next LT Pro" w:hAnsi="Avenir Next LT Pro" w:cs="Avenir Next LT Pro"/>
          <w:szCs w:val="24"/>
        </w:rPr>
        <w:t xml:space="preserve"> due date.</w:t>
      </w:r>
      <w:r w:rsidRPr="5DC4D323" w:rsidR="00A84F4D">
        <w:rPr>
          <w:rFonts w:ascii="Avenir Next LT Pro" w:eastAsia="Avenir Next LT Pro" w:hAnsi="Avenir Next LT Pro" w:cs="Avenir Next LT Pro"/>
          <w:szCs w:val="24"/>
        </w:rPr>
        <w:t xml:space="preserve"> </w:t>
      </w:r>
      <w:r w:rsidRPr="5DC4D323" w:rsidR="00BE1487">
        <w:rPr>
          <w:rFonts w:ascii="Avenir Next LT Pro" w:eastAsia="Avenir Next LT Pro" w:hAnsi="Avenir Next LT Pro" w:cs="Avenir Next LT Pro"/>
          <w:szCs w:val="24"/>
        </w:rPr>
        <w:t>Grantee</w:t>
      </w:r>
      <w:r w:rsidRPr="5DC4D323" w:rsidR="00732CF4">
        <w:rPr>
          <w:rFonts w:ascii="Avenir Next LT Pro" w:eastAsia="Avenir Next LT Pro" w:hAnsi="Avenir Next LT Pro" w:cs="Avenir Next LT Pro"/>
          <w:szCs w:val="24"/>
        </w:rPr>
        <w:t xml:space="preserve"> </w:t>
      </w:r>
      <w:r w:rsidRPr="5DC4D323" w:rsidR="00BE1487">
        <w:rPr>
          <w:rFonts w:ascii="Avenir Next LT Pro" w:eastAsia="Avenir Next LT Pro" w:hAnsi="Avenir Next LT Pro" w:cs="Avenir Next LT Pro"/>
          <w:szCs w:val="24"/>
        </w:rPr>
        <w:t xml:space="preserve">staff have sixty days to complete the </w:t>
      </w:r>
      <w:r w:rsidRPr="5DC4D323" w:rsidR="00A246B4">
        <w:rPr>
          <w:rFonts w:ascii="Avenir Next LT Pro" w:eastAsia="Avenir Next LT Pro" w:hAnsi="Avenir Next LT Pro" w:cs="Avenir Next LT Pro"/>
          <w:szCs w:val="24"/>
        </w:rPr>
        <w:t xml:space="preserve">ASN </w:t>
      </w:r>
      <w:r w:rsidRPr="5DC4D323" w:rsidR="00BE1487">
        <w:rPr>
          <w:rFonts w:ascii="Avenir Next LT Pro" w:eastAsia="Avenir Next LT Pro" w:hAnsi="Avenir Next LT Pro" w:cs="Avenir Next LT Pro"/>
          <w:szCs w:val="24"/>
        </w:rPr>
        <w:t xml:space="preserve">PPR </w:t>
      </w:r>
      <w:r w:rsidRPr="5DC4D323" w:rsidR="00A246B4">
        <w:rPr>
          <w:rFonts w:ascii="Avenir Next LT Pro" w:eastAsia="Avenir Next LT Pro" w:hAnsi="Avenir Next LT Pro" w:cs="Avenir Next LT Pro"/>
          <w:szCs w:val="24"/>
        </w:rPr>
        <w:t>and ninety days to complete the CSG and CIF PPRs</w:t>
      </w:r>
      <w:r w:rsidRPr="5DC4D323" w:rsidR="005A3BFC">
        <w:rPr>
          <w:rFonts w:ascii="Avenir Next LT Pro" w:eastAsia="Avenir Next LT Pro" w:hAnsi="Avenir Next LT Pro" w:cs="Avenir Next LT Pro"/>
          <w:szCs w:val="24"/>
        </w:rPr>
        <w:t>.</w:t>
      </w:r>
      <w:r w:rsidRPr="5DC4D323" w:rsidR="00C82E80">
        <w:rPr>
          <w:rFonts w:ascii="Avenir Next LT Pro" w:eastAsia="Avenir Next LT Pro" w:hAnsi="Avenir Next LT Pro" w:cs="Avenir Next LT Pro"/>
          <w:szCs w:val="24"/>
        </w:rPr>
        <w:t xml:space="preserve"> The PPRs are submitted electronically through eGrants.</w:t>
      </w:r>
      <w:r w:rsidRPr="5DC4D323" w:rsidR="00560335">
        <w:rPr>
          <w:rFonts w:ascii="Avenir Next LT Pro" w:eastAsia="Avenir Next LT Pro" w:hAnsi="Avenir Next LT Pro" w:cs="Avenir Next LT Pro"/>
          <w:color w:val="365F91" w:themeColor="accent1" w:themeShade="BF"/>
          <w:szCs w:val="24"/>
        </w:rPr>
        <w:t xml:space="preserve"> </w:t>
      </w:r>
    </w:p>
    <w:p w:rsidR="008C03DE" w:rsidRPr="00D73803" w:rsidP="5DC4D323" w14:paraId="75272E87" w14:textId="769FF044">
      <w:pPr>
        <w:pStyle w:val="ListParagraph"/>
        <w:widowControl w:val="0"/>
        <w:numPr>
          <w:ilvl w:val="0"/>
          <w:numId w:val="21"/>
        </w:numPr>
        <w:tabs>
          <w:tab w:val="left" w:pos="820"/>
          <w:tab w:val="left" w:pos="821"/>
        </w:tabs>
        <w:overflowPunct/>
        <w:adjustRightInd/>
        <w:ind w:right="195"/>
        <w:contextualSpacing w:val="0"/>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does not believe there are any psychological costs to this information collection because grantees know </w:t>
      </w:r>
      <w:r w:rsidRPr="5DC4D323" w:rsidR="003F3984">
        <w:rPr>
          <w:rFonts w:ascii="Avenir Next LT Pro" w:eastAsia="Avenir Next LT Pro" w:hAnsi="Avenir Next LT Pro" w:cs="Avenir Next LT Pro"/>
          <w:szCs w:val="24"/>
        </w:rPr>
        <w:t xml:space="preserve">when accepting a grant that a PPR will be due. </w:t>
      </w:r>
    </w:p>
    <w:p w:rsidR="00D479C8" w:rsidRPr="00E27749" w:rsidP="5DC4D323" w14:paraId="6645DE2C" w14:textId="7ADC0BB3">
      <w:pPr>
        <w:pStyle w:val="ListParagraph"/>
        <w:widowControl w:val="0"/>
        <w:numPr>
          <w:ilvl w:val="0"/>
          <w:numId w:val="21"/>
        </w:numPr>
        <w:tabs>
          <w:tab w:val="left" w:pos="820"/>
          <w:tab w:val="left" w:pos="821"/>
        </w:tabs>
        <w:overflowPunct/>
        <w:adjustRightInd/>
        <w:ind w:right="195"/>
        <w:contextualSpacing w:val="0"/>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uses </w:t>
      </w:r>
      <w:r w:rsidRPr="5DC4D323" w:rsidR="00D45EA4">
        <w:rPr>
          <w:rFonts w:ascii="Avenir Next LT Pro" w:eastAsia="Avenir Next LT Pro" w:hAnsi="Avenir Next LT Pro" w:cs="Avenir Next LT Pro"/>
          <w:szCs w:val="24"/>
        </w:rPr>
        <w:t>PPR data for continuous improvement</w:t>
      </w:r>
      <w:r w:rsidRPr="5DC4D323" w:rsidR="000B7968">
        <w:rPr>
          <w:rFonts w:ascii="Avenir Next LT Pro" w:eastAsia="Avenir Next LT Pro" w:hAnsi="Avenir Next LT Pro" w:cs="Avenir Next LT Pro"/>
          <w:szCs w:val="24"/>
        </w:rPr>
        <w:t>, training and technical assistance, and reporting to stakeholders.</w:t>
      </w:r>
      <w:r w:rsidRPr="5DC4D323">
        <w:rPr>
          <w:rFonts w:ascii="Avenir Next LT Pro" w:eastAsia="Avenir Next LT Pro" w:hAnsi="Avenir Next LT Pro" w:cs="Avenir Next LT Pro"/>
          <w:szCs w:val="24"/>
        </w:rPr>
        <w:t xml:space="preserve"> </w:t>
      </w:r>
    </w:p>
    <w:p w:rsidR="00D479C8" w:rsidRPr="003C564B" w:rsidP="5DC4D323" w14:paraId="7AF63F38" w14:textId="6209E93D">
      <w:pPr>
        <w:pStyle w:val="ListParagraph"/>
        <w:widowControl w:val="0"/>
        <w:numPr>
          <w:ilvl w:val="0"/>
          <w:numId w:val="21"/>
        </w:numPr>
        <w:tabs>
          <w:tab w:val="left" w:pos="360"/>
          <w:tab w:val="left" w:pos="630"/>
          <w:tab w:val="left" w:pos="720"/>
          <w:tab w:val="left" w:pos="820"/>
          <w:tab w:val="left" w:pos="821"/>
          <w:tab w:val="left" w:pos="1080"/>
        </w:tabs>
        <w:overflowPunct/>
        <w:adjustRightInd/>
        <w:ind w:right="195"/>
        <w:contextualSpacing w:val="0"/>
        <w:textAlignment w:val="auto"/>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szCs w:val="24"/>
        </w:rPr>
        <w:t>PPR data is provided to other Federal agencies</w:t>
      </w:r>
      <w:r w:rsidRPr="5DC4D323" w:rsidR="00CD347F">
        <w:rPr>
          <w:rFonts w:ascii="Avenir Next LT Pro" w:eastAsia="Avenir Next LT Pro" w:hAnsi="Avenir Next LT Pro" w:cs="Avenir Next LT Pro"/>
          <w:szCs w:val="24"/>
        </w:rPr>
        <w:t xml:space="preserve">, as one of the AmeriCorps’ stakeholders. </w:t>
      </w:r>
      <w:r w:rsidRPr="5DC4D323" w:rsidR="003C564B">
        <w:rPr>
          <w:rFonts w:ascii="Avenir Next LT Pro" w:eastAsia="Avenir Next LT Pro" w:hAnsi="Avenir Next LT Pro" w:cs="Avenir Next LT Pro"/>
          <w:szCs w:val="24"/>
        </w:rPr>
        <w:t>The information collection does not include questions of a sensitive nature. Responses to the information collection will be disclosed as appropriate unless prohibited by law</w:t>
      </w:r>
      <w:r w:rsidRPr="5DC4D323" w:rsidR="00721338">
        <w:rPr>
          <w:rFonts w:ascii="Avenir Next LT Pro" w:eastAsia="Avenir Next LT Pro" w:hAnsi="Avenir Next LT Pro" w:cs="Avenir Next LT Pro"/>
          <w:szCs w:val="24"/>
        </w:rPr>
        <w:t>.</w:t>
      </w:r>
    </w:p>
    <w:p w:rsidR="00500D46" w:rsidP="5DC4D323" w14:paraId="0A6DC8DB" w14:textId="77777777">
      <w:pPr>
        <w:widowControl w:val="0"/>
        <w:tabs>
          <w:tab w:val="left" w:pos="360"/>
          <w:tab w:val="left" w:pos="630"/>
          <w:tab w:val="left" w:pos="720"/>
          <w:tab w:val="left" w:pos="1080"/>
        </w:tabs>
        <w:rPr>
          <w:rFonts w:ascii="Avenir Next LT Pro" w:eastAsia="Avenir Next LT Pro" w:hAnsi="Avenir Next LT Pro" w:cs="Avenir Next LT Pro"/>
          <w:szCs w:val="24"/>
          <w:u w:val="single"/>
        </w:rPr>
      </w:pPr>
    </w:p>
    <w:p w:rsidR="00F359F8" w:rsidRPr="00B460D3" w:rsidP="5DC4D323" w14:paraId="398D1262" w14:textId="1B0182F9">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u w:val="single"/>
        </w:rPr>
        <w:t>3. Use of Information Technology</w:t>
      </w:r>
      <w:r w:rsidRPr="5DC4D323" w:rsidR="00B460D3">
        <w:rPr>
          <w:rFonts w:ascii="Avenir Next LT Pro" w:eastAsia="Avenir Next LT Pro" w:hAnsi="Avenir Next LT Pro" w:cs="Avenir Next LT Pro"/>
          <w:b/>
          <w:bCs/>
          <w:szCs w:val="24"/>
          <w:u w:val="single"/>
        </w:rPr>
        <w:t>.</w:t>
      </w:r>
      <w:r w:rsidRPr="5DC4D323" w:rsidR="00B460D3">
        <w:rPr>
          <w:rFonts w:ascii="Avenir Next LT Pro" w:eastAsia="Avenir Next LT Pro" w:hAnsi="Avenir Next LT Pro" w:cs="Avenir Next LT Pro"/>
          <w:szCs w:val="24"/>
          <w:u w:val="single"/>
        </w:rPr>
        <w:t xml:space="preserve"> </w:t>
      </w:r>
    </w:p>
    <w:p w:rsidR="00F359F8" w:rsidRPr="00B460D3" w:rsidP="5DC4D323" w14:paraId="1F46C6B0" w14:textId="724B7C4E">
      <w:pPr>
        <w:widowControl w:val="0"/>
        <w:tabs>
          <w:tab w:val="left" w:pos="360"/>
          <w:tab w:val="left" w:pos="720"/>
          <w:tab w:val="left" w:pos="1080"/>
        </w:tabs>
        <w:rPr>
          <w:rFonts w:ascii="Avenir Next LT Pro" w:eastAsia="Avenir Next LT Pro" w:hAnsi="Avenir Next LT Pro" w:cs="Avenir Next LT Pro"/>
          <w:szCs w:val="24"/>
        </w:rPr>
      </w:pPr>
    </w:p>
    <w:p w:rsidR="00F359F8" w:rsidRPr="002C010F" w:rsidP="5DC4D323" w14:paraId="22ABDC05" w14:textId="5E054B15">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The collection of information </w:t>
      </w:r>
      <w:r w:rsidRPr="5DC4D323" w:rsidR="00AA0A85">
        <w:rPr>
          <w:rFonts w:ascii="Avenir Next LT Pro" w:eastAsia="Avenir Next LT Pro" w:hAnsi="Avenir Next LT Pro" w:cs="Avenir Next LT Pro"/>
          <w:szCs w:val="24"/>
        </w:rPr>
        <w:t>occurs through</w:t>
      </w:r>
      <w:r w:rsidRPr="5DC4D323">
        <w:rPr>
          <w:rFonts w:ascii="Avenir Next LT Pro" w:eastAsia="Avenir Next LT Pro" w:hAnsi="Avenir Next LT Pro" w:cs="Avenir Next LT Pro"/>
          <w:szCs w:val="24"/>
        </w:rPr>
        <w:t xml:space="preserve"> AmeriCorps’ secure electronic grants management system</w:t>
      </w:r>
      <w:r w:rsidRPr="5DC4D323" w:rsidR="00AD1C98">
        <w:rPr>
          <w:rFonts w:ascii="Avenir Next LT Pro" w:eastAsia="Avenir Next LT Pro" w:hAnsi="Avenir Next LT Pro" w:cs="Avenir Next LT Pro"/>
          <w:szCs w:val="24"/>
        </w:rPr>
        <w:t>,</w:t>
      </w:r>
      <w:r w:rsidRPr="5DC4D323">
        <w:rPr>
          <w:rFonts w:ascii="Avenir Next LT Pro" w:eastAsia="Avenir Next LT Pro" w:hAnsi="Avenir Next LT Pro" w:cs="Avenir Next LT Pro"/>
          <w:szCs w:val="24"/>
        </w:rPr>
        <w:t xml:space="preserve"> eGrants</w:t>
      </w:r>
      <w:r w:rsidRPr="5DC4D323" w:rsidR="00860DE2">
        <w:rPr>
          <w:rFonts w:ascii="Avenir Next LT Pro" w:eastAsia="Avenir Next LT Pro" w:hAnsi="Avenir Next LT Pro" w:cs="Avenir Next LT Pro"/>
          <w:szCs w:val="24"/>
        </w:rPr>
        <w:t xml:space="preserve">. </w:t>
      </w:r>
      <w:r w:rsidRPr="5DC4D323" w:rsidR="00AA0A85">
        <w:rPr>
          <w:rFonts w:ascii="Avenir Next LT Pro" w:eastAsia="Avenir Next LT Pro" w:hAnsi="Avenir Next LT Pro" w:cs="Avenir Next LT Pro"/>
          <w:szCs w:val="24"/>
        </w:rPr>
        <w:t>Data is input electronically and responses are</w:t>
      </w:r>
      <w:r w:rsidRPr="5DC4D323" w:rsidR="00667272">
        <w:rPr>
          <w:rFonts w:ascii="Avenir Next LT Pro" w:eastAsia="Avenir Next LT Pro" w:hAnsi="Avenir Next LT Pro" w:cs="Avenir Next LT Pro"/>
          <w:szCs w:val="24"/>
        </w:rPr>
        <w:t xml:space="preserve"> submitted electronically</w:t>
      </w:r>
      <w:r w:rsidRPr="5DC4D323" w:rsidR="00C3441E">
        <w:rPr>
          <w:rFonts w:ascii="Avenir Next LT Pro" w:eastAsia="Avenir Next LT Pro" w:hAnsi="Avenir Next LT Pro" w:cs="Avenir Next LT Pro"/>
          <w:szCs w:val="24"/>
        </w:rPr>
        <w:t>.</w:t>
      </w:r>
    </w:p>
    <w:p w:rsidR="00B460D3" w:rsidRPr="00B460D3" w:rsidP="5DC4D323" w14:paraId="0F87824D" w14:textId="77777777">
      <w:pPr>
        <w:widowControl w:val="0"/>
        <w:tabs>
          <w:tab w:val="left" w:pos="360"/>
          <w:tab w:val="left" w:pos="720"/>
          <w:tab w:val="left" w:pos="1080"/>
        </w:tabs>
        <w:rPr>
          <w:rFonts w:ascii="Avenir Next LT Pro" w:eastAsia="Avenir Next LT Pro" w:hAnsi="Avenir Next LT Pro" w:cs="Avenir Next LT Pro"/>
          <w:szCs w:val="24"/>
        </w:rPr>
      </w:pPr>
    </w:p>
    <w:p w:rsidR="008F57CC" w:rsidP="5DC4D323" w14:paraId="1CBD8234" w14:textId="03A28994">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b/>
          <w:bCs/>
          <w:u w:val="single"/>
        </w:rPr>
        <w:t xml:space="preserve">4. </w:t>
      </w:r>
      <w:r w:rsidRPr="5DC4D323" w:rsidR="00F359F8">
        <w:rPr>
          <w:rFonts w:ascii="Avenir Next LT Pro" w:eastAsia="Avenir Next LT Pro" w:hAnsi="Avenir Next LT Pro" w:cs="Avenir Next LT Pro"/>
          <w:b/>
          <w:bCs/>
          <w:u w:val="single"/>
        </w:rPr>
        <w:t>Non-duplication</w:t>
      </w:r>
      <w:r w:rsidRPr="5DC4D323" w:rsidR="00BE696E">
        <w:rPr>
          <w:rFonts w:ascii="Avenir Next LT Pro" w:eastAsia="Avenir Next LT Pro" w:hAnsi="Avenir Next LT Pro" w:cs="Avenir Next LT Pro"/>
          <w:b/>
          <w:bCs/>
          <w:u w:val="single"/>
        </w:rPr>
        <w:t>.</w:t>
      </w:r>
      <w:r w:rsidRPr="5DC4D323" w:rsidR="00BE696E">
        <w:rPr>
          <w:rFonts w:ascii="Avenir Next LT Pro" w:eastAsia="Avenir Next LT Pro" w:hAnsi="Avenir Next LT Pro" w:cs="Avenir Next LT Pro"/>
        </w:rPr>
        <w:t xml:space="preserve"> </w:t>
      </w:r>
      <w:r w:rsidRPr="5DC4D323">
        <w:rPr>
          <w:rFonts w:ascii="Avenir Next LT Pro" w:eastAsia="Avenir Next LT Pro" w:hAnsi="Avenir Next LT Pro" w:cs="Avenir Next LT Pro"/>
        </w:rPr>
        <w:t xml:space="preserve"> </w:t>
      </w:r>
    </w:p>
    <w:p w:rsidR="008F57CC" w:rsidP="5DC4D323" w14:paraId="4FD08915" w14:textId="284FD869">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8F57CC" w:rsidP="5DC4D323" w14:paraId="2F549CAB" w14:textId="56C6314C">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rPr>
        <w:t>There are no other sources of information by which AmeriCorps can meet the purposes described in sections 1 and 2.</w:t>
      </w:r>
      <w:r w:rsidRPr="5DC4D323" w:rsidR="008C5CD2">
        <w:rPr>
          <w:rFonts w:ascii="Avenir Next LT Pro" w:eastAsia="Avenir Next LT Pro" w:hAnsi="Avenir Next LT Pro" w:cs="Avenir Next LT Pro"/>
        </w:rPr>
        <w:t xml:space="preserve"> The PPRs collect accomplishment information every year</w:t>
      </w:r>
      <w:r w:rsidRPr="5DC4D323" w:rsidR="00FA7784">
        <w:rPr>
          <w:rFonts w:ascii="Avenir Next LT Pro" w:eastAsia="Avenir Next LT Pro" w:hAnsi="Avenir Next LT Pro" w:cs="Avenir Next LT Pro"/>
        </w:rPr>
        <w:t>, so any similar information that is already available cannot be used or modified</w:t>
      </w:r>
      <w:r w:rsidRPr="5DC4D323" w:rsidR="00635F20">
        <w:rPr>
          <w:rFonts w:ascii="Avenir Next LT Pro" w:eastAsia="Avenir Next LT Pro" w:hAnsi="Avenir Next LT Pro" w:cs="Avenir Next LT Pro"/>
        </w:rPr>
        <w:t xml:space="preserve"> since it is not current</w:t>
      </w:r>
      <w:r w:rsidRPr="5DC4D323" w:rsidR="00FA7784">
        <w:rPr>
          <w:rFonts w:ascii="Avenir Next LT Pro" w:eastAsia="Avenir Next LT Pro" w:hAnsi="Avenir Next LT Pro" w:cs="Avenir Next LT Pro"/>
        </w:rPr>
        <w:t>.</w:t>
      </w:r>
    </w:p>
    <w:p w:rsidR="001B7342" w:rsidRPr="00505E03" w:rsidP="5DC4D323" w14:paraId="7FE359ED"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F359F8" w:rsidP="5DC4D323" w14:paraId="4A416E10" w14:textId="1D3C362C">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5. Burden on Small Business</w:t>
      </w:r>
      <w:r w:rsidRPr="5DC4D323" w:rsidR="00BE696E">
        <w:rPr>
          <w:rFonts w:ascii="Avenir Next LT Pro" w:eastAsia="Avenir Next LT Pro" w:hAnsi="Avenir Next LT Pro" w:cs="Avenir Next LT Pro"/>
          <w:b/>
          <w:bCs/>
          <w:u w:val="single"/>
        </w:rPr>
        <w:t>.</w:t>
      </w:r>
      <w:r w:rsidRPr="5DC4D323" w:rsidR="00BE696E">
        <w:rPr>
          <w:rFonts w:ascii="Avenir Next LT Pro" w:eastAsia="Avenir Next LT Pro" w:hAnsi="Avenir Next LT Pro" w:cs="Avenir Next LT Pro"/>
          <w:u w:val="single"/>
        </w:rPr>
        <w:t xml:space="preserve"> </w:t>
      </w:r>
    </w:p>
    <w:p w:rsidR="00F359F8" w:rsidP="5DC4D323" w14:paraId="566ED0D4" w14:textId="52371CD9">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F359F8" w:rsidP="5DC4D323" w14:paraId="1EC2F3AB" w14:textId="429ED2F9">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rPr>
        <w:t xml:space="preserve">The collection of information does not impact small businesses because they are not eligible to apply for grants. </w:t>
      </w:r>
      <w:r w:rsidRPr="5DC4D323" w:rsidR="00784AF4">
        <w:rPr>
          <w:rFonts w:ascii="Avenir Next LT Pro" w:eastAsia="Avenir Next LT Pro" w:hAnsi="Avenir Next LT Pro" w:cs="Avenir Next LT Pro"/>
        </w:rPr>
        <w:t xml:space="preserve">There is no economic burden to any other small entities beyond the cost of staff time to collect and report the data. This </w:t>
      </w:r>
      <w:r w:rsidRPr="5DC4D323" w:rsidR="00BC3A6C">
        <w:rPr>
          <w:rFonts w:ascii="Avenir Next LT Pro" w:eastAsia="Avenir Next LT Pro" w:hAnsi="Avenir Next LT Pro" w:cs="Avenir Next LT Pro"/>
        </w:rPr>
        <w:t xml:space="preserve">burden </w:t>
      </w:r>
      <w:r w:rsidRPr="5DC4D323" w:rsidR="00784AF4">
        <w:rPr>
          <w:rFonts w:ascii="Avenir Next LT Pro" w:eastAsia="Avenir Next LT Pro" w:hAnsi="Avenir Next LT Pro" w:cs="Avenir Next LT Pro"/>
        </w:rPr>
        <w:t xml:space="preserve">is minimized to the degree </w:t>
      </w:r>
      <w:r w:rsidRPr="5DC4D323" w:rsidR="00907F25">
        <w:rPr>
          <w:rFonts w:ascii="Avenir Next LT Pro" w:eastAsia="Avenir Next LT Pro" w:hAnsi="Avenir Next LT Pro" w:cs="Avenir Next LT Pro"/>
        </w:rPr>
        <w:t>possible by only asking for information that is absolutely necessary to assess progress.</w:t>
      </w:r>
    </w:p>
    <w:p w:rsidR="00BE696E" w:rsidRPr="00505E03" w:rsidP="5DC4D323" w14:paraId="4FE15CF8"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F359F8" w:rsidRPr="00BB5AB7" w:rsidP="5DC4D323" w14:paraId="395C7995" w14:textId="137A37A6">
      <w:pPr>
        <w:widowControl w:val="0"/>
        <w:tabs>
          <w:tab w:val="left" w:pos="360"/>
          <w:tab w:val="left" w:pos="720"/>
          <w:tab w:val="left" w:pos="1080"/>
        </w:tabs>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b/>
          <w:bCs/>
          <w:szCs w:val="24"/>
          <w:u w:val="single"/>
        </w:rPr>
        <w:t>6. Less Frequent Collection</w:t>
      </w:r>
      <w:r w:rsidRPr="5DC4D323" w:rsidR="00BB5AB7">
        <w:rPr>
          <w:rFonts w:ascii="Avenir Next LT Pro" w:eastAsia="Avenir Next LT Pro" w:hAnsi="Avenir Next LT Pro" w:cs="Avenir Next LT Pro"/>
          <w:b/>
          <w:bCs/>
          <w:szCs w:val="24"/>
          <w:u w:val="single"/>
        </w:rPr>
        <w:t>.</w:t>
      </w:r>
      <w:r w:rsidRPr="5DC4D323" w:rsidR="00BB5AB7">
        <w:rPr>
          <w:rFonts w:ascii="Avenir Next LT Pro" w:eastAsia="Avenir Next LT Pro" w:hAnsi="Avenir Next LT Pro" w:cs="Avenir Next LT Pro"/>
          <w:szCs w:val="24"/>
          <w:u w:val="single"/>
        </w:rPr>
        <w:t xml:space="preserve"> </w:t>
      </w:r>
    </w:p>
    <w:p w:rsidR="00F359F8" w:rsidRPr="00BB5AB7" w:rsidP="5DC4D323" w14:paraId="26299D3B" w14:textId="4126C8D8">
      <w:pPr>
        <w:widowControl w:val="0"/>
        <w:tabs>
          <w:tab w:val="left" w:pos="360"/>
          <w:tab w:val="left" w:pos="720"/>
          <w:tab w:val="left" w:pos="1080"/>
        </w:tabs>
        <w:rPr>
          <w:rFonts w:ascii="Avenir Next LT Pro" w:eastAsia="Avenir Next LT Pro" w:hAnsi="Avenir Next LT Pro" w:cs="Avenir Next LT Pro"/>
          <w:szCs w:val="24"/>
        </w:rPr>
      </w:pPr>
    </w:p>
    <w:p w:rsidR="00BB5AB7" w:rsidP="5DC4D323" w14:paraId="58FC65EE" w14:textId="25987D31">
      <w:pPr>
        <w:widowControl w:val="0"/>
        <w:tabs>
          <w:tab w:val="left" w:pos="360"/>
          <w:tab w:val="left" w:pos="720"/>
          <w:tab w:val="left" w:pos="1080"/>
        </w:tabs>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szCs w:val="24"/>
        </w:rPr>
        <w:t xml:space="preserve">Per </w:t>
      </w:r>
      <w:r w:rsidRPr="5DC4D323" w:rsidR="00BA5E0D">
        <w:rPr>
          <w:rFonts w:ascii="Avenir Next LT Pro" w:eastAsia="Avenir Next LT Pro" w:hAnsi="Avenir Next LT Pro" w:cs="Avenir Next LT Pro"/>
          <w:szCs w:val="24"/>
        </w:rPr>
        <w:t>2</w:t>
      </w:r>
      <w:r w:rsidRPr="5DC4D323" w:rsidR="00AB4466">
        <w:rPr>
          <w:rFonts w:ascii="Avenir Next LT Pro" w:eastAsia="Avenir Next LT Pro" w:hAnsi="Avenir Next LT Pro" w:cs="Avenir Next LT Pro"/>
          <w:szCs w:val="24"/>
        </w:rPr>
        <w:t xml:space="preserve"> C</w:t>
      </w:r>
      <w:r w:rsidRPr="5DC4D323" w:rsidR="00BA5E0D">
        <w:rPr>
          <w:rFonts w:ascii="Avenir Next LT Pro" w:eastAsia="Avenir Next LT Pro" w:hAnsi="Avenir Next LT Pro" w:cs="Avenir Next LT Pro"/>
          <w:szCs w:val="24"/>
        </w:rPr>
        <w:t>FR</w:t>
      </w:r>
      <w:r w:rsidRPr="5DC4D323" w:rsidR="00AB4466">
        <w:rPr>
          <w:rFonts w:ascii="Avenir Next LT Pro" w:eastAsia="Avenir Next LT Pro" w:hAnsi="Avenir Next LT Pro" w:cs="Avenir Next LT Pro"/>
          <w:szCs w:val="24"/>
        </w:rPr>
        <w:t xml:space="preserve"> 200.329</w:t>
      </w:r>
      <w:r w:rsidRPr="5DC4D323" w:rsidR="00C8796A">
        <w:rPr>
          <w:rFonts w:ascii="Avenir Next LT Pro" w:eastAsia="Avenir Next LT Pro" w:hAnsi="Avenir Next LT Pro" w:cs="Avenir Next LT Pro"/>
          <w:szCs w:val="24"/>
        </w:rPr>
        <w:t>, reporting intervals must be no less frequent than annually, which is the current frequency of data collection for AmeriCorps State and National</w:t>
      </w:r>
      <w:r w:rsidRPr="5DC4D323">
        <w:rPr>
          <w:rFonts w:ascii="Avenir Next LT Pro" w:eastAsia="Avenir Next LT Pro" w:hAnsi="Avenir Next LT Pro" w:cs="Avenir Next LT Pro"/>
          <w:szCs w:val="24"/>
        </w:rPr>
        <w:t>, Commission Support Grant, and Commission Investment Fund</w:t>
      </w:r>
      <w:r w:rsidRPr="5DC4D323" w:rsidR="00C8796A">
        <w:rPr>
          <w:rFonts w:ascii="Avenir Next LT Pro" w:eastAsia="Avenir Next LT Pro" w:hAnsi="Avenir Next LT Pro" w:cs="Avenir Next LT Pro"/>
          <w:szCs w:val="24"/>
        </w:rPr>
        <w:t xml:space="preserve"> grantees.</w:t>
      </w:r>
      <w:r w:rsidRPr="5DC4D323" w:rsidR="00AE14A1">
        <w:rPr>
          <w:rFonts w:ascii="Avenir Next LT Pro" w:eastAsia="Avenir Next LT Pro" w:hAnsi="Avenir Next LT Pro" w:cs="Avenir Next LT Pro"/>
          <w:szCs w:val="24"/>
        </w:rPr>
        <w:t xml:space="preserve"> AmeriCorps will not be able to request the necessary information to assess grantee progress or </w:t>
      </w:r>
      <w:r w:rsidRPr="5DC4D323" w:rsidR="00AE14A1">
        <w:rPr>
          <w:rFonts w:ascii="Avenir Next LT Pro" w:eastAsia="Avenir Next LT Pro" w:hAnsi="Avenir Next LT Pro" w:cs="Avenir Next LT Pro"/>
          <w:szCs w:val="24"/>
        </w:rPr>
        <w:t>report to stakeholders if the</w:t>
      </w:r>
      <w:r w:rsidRPr="5DC4D323" w:rsidR="00AB4466">
        <w:rPr>
          <w:rFonts w:ascii="Avenir Next LT Pro" w:eastAsia="Avenir Next LT Pro" w:hAnsi="Avenir Next LT Pro" w:cs="Avenir Next LT Pro"/>
          <w:szCs w:val="24"/>
        </w:rPr>
        <w:t xml:space="preserve"> collection is not conducted.</w:t>
      </w:r>
    </w:p>
    <w:p w:rsidR="00BB5AB7" w:rsidRPr="00BB5AB7" w:rsidP="5DC4D323" w14:paraId="188015B4" w14:textId="77777777">
      <w:pPr>
        <w:widowControl w:val="0"/>
        <w:tabs>
          <w:tab w:val="left" w:pos="360"/>
          <w:tab w:val="left" w:pos="720"/>
          <w:tab w:val="left" w:pos="1080"/>
        </w:tabs>
        <w:rPr>
          <w:rFonts w:ascii="Avenir Next LT Pro" w:eastAsia="Avenir Next LT Pro" w:hAnsi="Avenir Next LT Pro" w:cs="Avenir Next LT Pro"/>
          <w:szCs w:val="24"/>
          <w:u w:val="single"/>
        </w:rPr>
      </w:pPr>
    </w:p>
    <w:p w:rsidR="00BB5AB7" w:rsidP="5DC4D323" w14:paraId="4FA16ECF" w14:textId="7208639A">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7. </w:t>
      </w:r>
      <w:r w:rsidRPr="5DC4D323" w:rsidR="002A3308">
        <w:rPr>
          <w:rFonts w:ascii="Avenir Next LT Pro" w:eastAsia="Avenir Next LT Pro" w:hAnsi="Avenir Next LT Pro" w:cs="Avenir Next LT Pro"/>
          <w:b/>
          <w:bCs/>
          <w:u w:val="single"/>
        </w:rPr>
        <w:t>Paperwork Reduction Act Guidelines</w:t>
      </w:r>
      <w:r w:rsidRPr="5DC4D323">
        <w:rPr>
          <w:rFonts w:ascii="Avenir Next LT Pro" w:eastAsia="Avenir Next LT Pro" w:hAnsi="Avenir Next LT Pro" w:cs="Avenir Next LT Pro"/>
          <w:b/>
          <w:bCs/>
          <w:u w:val="single"/>
        </w:rPr>
        <w:t>.</w:t>
      </w:r>
      <w:r w:rsidRPr="5DC4D323">
        <w:rPr>
          <w:rFonts w:ascii="Avenir Next LT Pro" w:eastAsia="Avenir Next LT Pro" w:hAnsi="Avenir Next LT Pro" w:cs="Avenir Next LT Pro"/>
          <w:u w:val="single"/>
        </w:rPr>
        <w:t xml:space="preserve"> </w:t>
      </w:r>
    </w:p>
    <w:p w:rsidR="00BB5AB7" w:rsidP="5DC4D323" w14:paraId="500688D4" w14:textId="4BFAA2DF">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BB5AB7" w:rsidP="5DC4D323" w14:paraId="2E39E0F3" w14:textId="7C59584C">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rPr>
        <w:t>There are no special circumstances</w:t>
      </w:r>
      <w:r w:rsidRPr="5DC4D323" w:rsidR="001017F0">
        <w:rPr>
          <w:rFonts w:ascii="Avenir Next LT Pro" w:eastAsia="Avenir Next LT Pro" w:hAnsi="Avenir Next LT Pro" w:cs="Avenir Next LT Pro"/>
        </w:rPr>
        <w:t xml:space="preserve"> that would require </w:t>
      </w:r>
      <w:r w:rsidRPr="5DC4D323" w:rsidR="004F48CC">
        <w:rPr>
          <w:rFonts w:ascii="Avenir Next LT Pro" w:eastAsia="Avenir Next LT Pro" w:hAnsi="Avenir Next LT Pro" w:cs="Avenir Next LT Pro"/>
        </w:rPr>
        <w:t>respondents to submit multiple copies of the document, retain records</w:t>
      </w:r>
      <w:r w:rsidRPr="5DC4D323" w:rsidR="00EA30D0">
        <w:rPr>
          <w:rFonts w:ascii="Avenir Next LT Pro" w:eastAsia="Avenir Next LT Pro" w:hAnsi="Avenir Next LT Pro" w:cs="Avenir Next LT Pro"/>
        </w:rPr>
        <w:t xml:space="preserve"> for more than three years</w:t>
      </w:r>
      <w:r w:rsidRPr="5DC4D323" w:rsidR="004F48CC">
        <w:rPr>
          <w:rFonts w:ascii="Avenir Next LT Pro" w:eastAsia="Avenir Next LT Pro" w:hAnsi="Avenir Next LT Pro" w:cs="Avenir Next LT Pro"/>
        </w:rPr>
        <w:t xml:space="preserve">, or be conducted in any other of the listed manners.  </w:t>
      </w:r>
    </w:p>
    <w:p w:rsidR="00BB5AB7" w:rsidRPr="00505E03" w:rsidP="5DC4D323" w14:paraId="4BD890C3"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092540" w:rsidP="5DC4D323" w14:paraId="29DC5035" w14:textId="29C17150">
      <w:pPr>
        <w:pStyle w:val="NormalWeb"/>
        <w:widowControl w:val="0"/>
        <w:tabs>
          <w:tab w:val="left" w:pos="360"/>
          <w:tab w:val="left" w:pos="720"/>
          <w:tab w:val="left" w:pos="1080"/>
          <w:tab w:val="left" w:pos="1440"/>
        </w:tabs>
        <w:spacing w:before="0" w:beforeAutospacing="0" w:after="0" w:afterAutospacing="0"/>
        <w:ind w:right="183"/>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8. </w:t>
      </w:r>
      <w:r w:rsidRPr="5DC4D323" w:rsidR="002A3308">
        <w:rPr>
          <w:rFonts w:ascii="Avenir Next LT Pro" w:eastAsia="Avenir Next LT Pro" w:hAnsi="Avenir Next LT Pro" w:cs="Avenir Next LT Pro"/>
          <w:b/>
          <w:bCs/>
          <w:u w:val="single"/>
        </w:rPr>
        <w:t>Consultation and Public Comments</w:t>
      </w:r>
      <w:r w:rsidRPr="5DC4D323" w:rsidR="008F1CB1">
        <w:rPr>
          <w:rFonts w:ascii="Avenir Next LT Pro" w:eastAsia="Avenir Next LT Pro" w:hAnsi="Avenir Next LT Pro" w:cs="Avenir Next LT Pro"/>
          <w:u w:val="single"/>
        </w:rPr>
        <w:t xml:space="preserve">.  </w:t>
      </w:r>
    </w:p>
    <w:p w:rsidR="00F12F45" w:rsidP="5DC4D323" w14:paraId="034BE10A" w14:textId="76BB0916">
      <w:pPr>
        <w:pStyle w:val="NormalWeb"/>
        <w:widowControl w:val="0"/>
        <w:tabs>
          <w:tab w:val="left" w:pos="360"/>
          <w:tab w:val="left" w:pos="720"/>
          <w:tab w:val="left" w:pos="1080"/>
          <w:tab w:val="left" w:pos="1440"/>
        </w:tabs>
        <w:spacing w:before="0" w:beforeAutospacing="0" w:after="0" w:afterAutospacing="0"/>
        <w:ind w:right="183"/>
        <w:rPr>
          <w:rFonts w:ascii="Avenir Next LT Pro" w:eastAsia="Avenir Next LT Pro" w:hAnsi="Avenir Next LT Pro" w:cs="Avenir Next LT Pro"/>
        </w:rPr>
      </w:pPr>
    </w:p>
    <w:p w:rsidR="00F12F45" w:rsidP="5DC4D323" w14:paraId="2FE5CAAC" w14:textId="410FF293">
      <w:pPr>
        <w:pStyle w:val="NormalWeb"/>
        <w:widowControl w:val="0"/>
        <w:tabs>
          <w:tab w:val="left" w:pos="360"/>
          <w:tab w:val="left" w:pos="720"/>
          <w:tab w:val="left" w:pos="1080"/>
          <w:tab w:val="left" w:pos="1440"/>
        </w:tabs>
        <w:spacing w:before="0" w:beforeAutospacing="0" w:after="0" w:afterAutospacing="0"/>
        <w:ind w:right="183"/>
        <w:rPr>
          <w:rFonts w:ascii="Avenir Next LT Pro" w:eastAsia="Avenir Next LT Pro" w:hAnsi="Avenir Next LT Pro" w:cs="Avenir Next LT Pro"/>
        </w:rPr>
      </w:pPr>
      <w:r w:rsidRPr="5DC4D323">
        <w:rPr>
          <w:rFonts w:ascii="Avenir Next LT Pro" w:eastAsia="Avenir Next LT Pro" w:hAnsi="Avenir Next LT Pro" w:cs="Avenir Next LT Pro"/>
        </w:rPr>
        <w:t>The 60-day</w:t>
      </w:r>
      <w:r w:rsidRPr="5DC4D323" w:rsidR="00B71B42">
        <w:rPr>
          <w:rFonts w:ascii="Avenir Next LT Pro" w:eastAsia="Avenir Next LT Pro" w:hAnsi="Avenir Next LT Pro" w:cs="Avenir Next LT Pro"/>
        </w:rPr>
        <w:t xml:space="preserve"> Notice soliciting comments on the information collection was p</w:t>
      </w:r>
      <w:r w:rsidRPr="5DC4D323" w:rsidR="006D3BE6">
        <w:rPr>
          <w:rFonts w:ascii="Avenir Next LT Pro" w:eastAsia="Avenir Next LT Pro" w:hAnsi="Avenir Next LT Pro" w:cs="Avenir Next LT Pro"/>
        </w:rPr>
        <w:t xml:space="preserve">ublished on </w:t>
      </w:r>
      <w:r w:rsidRPr="5DC4D323" w:rsidR="00EA30D0">
        <w:rPr>
          <w:rFonts w:ascii="Avenir Next LT Pro" w:eastAsia="Avenir Next LT Pro" w:hAnsi="Avenir Next LT Pro" w:cs="Avenir Next LT Pro"/>
        </w:rPr>
        <w:t>Friday, September 19, 2025 at 90 Fed. Reg. 45200</w:t>
      </w:r>
      <w:r w:rsidRPr="5DC4D323" w:rsidR="00B41485">
        <w:rPr>
          <w:rFonts w:ascii="Avenir Next LT Pro" w:eastAsia="Avenir Next LT Pro" w:hAnsi="Avenir Next LT Pro" w:cs="Avenir Next LT Pro"/>
        </w:rPr>
        <w:t>.</w:t>
      </w:r>
      <w:r w:rsidRPr="5DC4D323" w:rsidR="39C8CB18">
        <w:rPr>
          <w:rFonts w:ascii="Avenir Next LT Pro" w:eastAsia="Avenir Next LT Pro" w:hAnsi="Avenir Next LT Pro" w:cs="Avenir Next LT Pro"/>
        </w:rPr>
        <w:t xml:space="preserve"> </w:t>
      </w:r>
      <w:r w:rsidRPr="5DC4D323" w:rsidR="001017F0">
        <w:rPr>
          <w:rFonts w:ascii="Avenir Next LT Pro" w:eastAsia="Avenir Next LT Pro" w:hAnsi="Avenir Next LT Pro" w:cs="Avenir Next LT Pro"/>
        </w:rPr>
        <w:t>The agency did not receive any comments in response to the required Federal Register notice.</w:t>
      </w:r>
    </w:p>
    <w:p w:rsidR="006B3033" w:rsidP="5DC4D323" w14:paraId="4765162B" w14:textId="58E4A070">
      <w:pPr>
        <w:widowControl w:val="0"/>
        <w:tabs>
          <w:tab w:val="left" w:pos="360"/>
          <w:tab w:val="left" w:pos="720"/>
          <w:tab w:val="left" w:pos="820"/>
          <w:tab w:val="left" w:pos="821"/>
          <w:tab w:val="left" w:pos="1080"/>
          <w:tab w:val="left" w:pos="1440"/>
        </w:tabs>
        <w:ind w:right="183"/>
        <w:rPr>
          <w:rFonts w:ascii="Avenir Next LT Pro" w:eastAsia="Avenir Next LT Pro" w:hAnsi="Avenir Next LT Pro" w:cs="Avenir Next LT Pro"/>
          <w:szCs w:val="24"/>
        </w:rPr>
      </w:pPr>
    </w:p>
    <w:p w:rsidR="00F86E1D" w:rsidP="5DC4D323" w14:paraId="7076F5C6"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State and National reached out to eight grantees (three state commissions, four national direct grantees, and one Native Nation grantee) regarding completion of AmeriCorps State and National Project Progress Reports (PPRs). These grantees are geographically diverse and receive different amounts of funding from AmeriCorps. Four of the eight responded to the consultation request. Grantees were asked if they could provide views about different aspects of the PPR process, including estimates of time and cost burden, the format of the PPR, the clarity of the instructions, and any difficulties one could face in responding to the PPR. </w:t>
      </w:r>
    </w:p>
    <w:p w:rsidR="00F86E1D" w:rsidP="5DC4D323" w14:paraId="5F41573B" w14:textId="77777777">
      <w:pPr>
        <w:rPr>
          <w:rFonts w:ascii="Avenir Next LT Pro" w:eastAsia="Avenir Next LT Pro" w:hAnsi="Avenir Next LT Pro" w:cs="Avenir Next LT Pro"/>
          <w:szCs w:val="24"/>
        </w:rPr>
      </w:pPr>
    </w:p>
    <w:p w:rsidR="00F86E1D" w:rsidP="5DC4D323" w14:paraId="1EBFA8DD" w14:textId="120E208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Grantees mentioned that some of their programs operate on a calendar year, not the reporting period as written in the Terms &amp; Conditions, which makes it difficult to fully capture the data for their program in the PPR. In order for AmeriCorps to capture holistic data on the performance of the entire program at one point in time, AmeriCorps sets a standard reporting deadline in the program-specific Terms &amp; Conditions for all AmeriCorps State and National grants. Grantees also stated that estimated cost of burden should be increased from $45 to $60/hour; we have adjusted the estimated cost burden to reflect this input.</w:t>
      </w:r>
      <w:r w:rsidRPr="5DC4D323" w:rsidR="3CEF9A3E">
        <w:rPr>
          <w:rFonts w:ascii="Avenir Next LT Pro" w:eastAsia="Avenir Next LT Pro" w:hAnsi="Avenir Next LT Pro" w:cs="Avenir Next LT Pro"/>
          <w:szCs w:val="24"/>
        </w:rPr>
        <w:t xml:space="preserve"> </w:t>
      </w:r>
    </w:p>
    <w:p w:rsidR="00F86E1D" w:rsidRPr="006C59B4" w:rsidP="5DC4D323" w14:paraId="1A3FD12F" w14:textId="77777777">
      <w:pPr>
        <w:spacing w:line="278" w:lineRule="auto"/>
        <w:rPr>
          <w:rFonts w:ascii="Avenir Next LT Pro" w:eastAsia="Avenir Next LT Pro" w:hAnsi="Avenir Next LT Pro" w:cs="Avenir Next LT Pro"/>
          <w:szCs w:val="24"/>
        </w:rPr>
      </w:pPr>
    </w:p>
    <w:p w:rsidR="006715AC" w:rsidP="5DC4D323" w14:paraId="61C6A6DA" w14:textId="261C0C36">
      <w:pPr>
        <w:widowControl w:val="0"/>
        <w:overflowPunct/>
        <w:adjustRightInd/>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Grantees expressed challenges with report scheduling in eGrants. AmeriCorps State and National recently transitioned this technical assistance to the Office of Regional Operations which should help resolve the scheduling issues and increase timely support to grantees who need their reporting dates edited.</w:t>
      </w:r>
    </w:p>
    <w:p w:rsidR="00123887" w:rsidRPr="00505E03" w:rsidP="5DC4D323" w14:paraId="09B42B2D"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2B55C5" w:rsidP="5DC4D323" w14:paraId="2EBB8BBB" w14:textId="67F91516">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9. </w:t>
      </w:r>
      <w:r w:rsidRPr="5DC4D323" w:rsidR="00D3303B">
        <w:rPr>
          <w:rFonts w:ascii="Avenir Next LT Pro" w:eastAsia="Avenir Next LT Pro" w:hAnsi="Avenir Next LT Pro" w:cs="Avenir Next LT Pro"/>
          <w:b/>
          <w:bCs/>
          <w:u w:val="single"/>
        </w:rPr>
        <w:t>Gifts or Payment</w:t>
      </w:r>
      <w:r w:rsidRPr="5DC4D323" w:rsidR="00DB6E44">
        <w:rPr>
          <w:rFonts w:ascii="Avenir Next LT Pro" w:eastAsia="Avenir Next LT Pro" w:hAnsi="Avenir Next LT Pro" w:cs="Avenir Next LT Pro"/>
          <w:b/>
          <w:bCs/>
          <w:u w:val="single"/>
        </w:rPr>
        <w:t>.</w:t>
      </w:r>
      <w:r w:rsidRPr="5DC4D323" w:rsidR="00DB6E44">
        <w:rPr>
          <w:rFonts w:ascii="Avenir Next LT Pro" w:eastAsia="Avenir Next LT Pro" w:hAnsi="Avenir Next LT Pro" w:cs="Avenir Next LT Pro"/>
          <w:u w:val="single"/>
        </w:rPr>
        <w:t xml:space="preserve"> </w:t>
      </w:r>
    </w:p>
    <w:p w:rsidR="03D644CB" w:rsidP="5DC4D323" w14:paraId="154947FD" w14:textId="77241AA2">
      <w:pPr>
        <w:pStyle w:val="ListParagraph"/>
        <w:widowControl w:val="0"/>
        <w:tabs>
          <w:tab w:val="left" w:pos="360"/>
          <w:tab w:val="left" w:pos="720"/>
          <w:tab w:val="left" w:pos="820"/>
          <w:tab w:val="left" w:pos="821"/>
          <w:tab w:val="left" w:pos="1080"/>
          <w:tab w:val="left" w:pos="1440"/>
        </w:tabs>
        <w:ind w:left="360" w:right="183"/>
        <w:rPr>
          <w:rFonts w:ascii="Avenir Next LT Pro" w:eastAsia="Avenir Next LT Pro" w:hAnsi="Avenir Next LT Pro" w:cs="Avenir Next LT Pro"/>
          <w:szCs w:val="24"/>
        </w:rPr>
      </w:pPr>
    </w:p>
    <w:p w:rsidR="00B747BF" w:rsidP="5DC4D323" w14:paraId="5B4C2E05" w14:textId="1C7E6906">
      <w:pPr>
        <w:pStyle w:val="ListParagraph"/>
        <w:widowControl w:val="0"/>
        <w:tabs>
          <w:tab w:val="left" w:pos="360"/>
          <w:tab w:val="left" w:pos="720"/>
          <w:tab w:val="left" w:pos="820"/>
          <w:tab w:val="left" w:pos="821"/>
          <w:tab w:val="left" w:pos="1080"/>
          <w:tab w:val="left" w:pos="1440"/>
        </w:tabs>
        <w:overflowPunct/>
        <w:adjustRightInd/>
        <w:ind w:left="0" w:right="183"/>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The ag</w:t>
      </w:r>
      <w:r w:rsidRPr="5DC4D323" w:rsidR="0066641F">
        <w:rPr>
          <w:rFonts w:ascii="Avenir Next LT Pro" w:eastAsia="Avenir Next LT Pro" w:hAnsi="Avenir Next LT Pro" w:cs="Avenir Next LT Pro"/>
          <w:szCs w:val="24"/>
        </w:rPr>
        <w:t>ency is not proposing to provide any incentives, including payments or gifts, to respondents.</w:t>
      </w:r>
    </w:p>
    <w:p w:rsidR="00DB6E44" w:rsidRPr="00505E03" w:rsidP="5DC4D323" w14:paraId="1813E4F5"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2230BA" w:rsidP="5DC4D323" w14:paraId="5DCDF302" w14:textId="64A657AB">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10. Privacy &amp; </w:t>
      </w:r>
      <w:r w:rsidRPr="5DC4D323" w:rsidR="00D3303B">
        <w:rPr>
          <w:rFonts w:ascii="Avenir Next LT Pro" w:eastAsia="Avenir Next LT Pro" w:hAnsi="Avenir Next LT Pro" w:cs="Avenir Next LT Pro"/>
          <w:b/>
          <w:bCs/>
          <w:u w:val="single"/>
        </w:rPr>
        <w:t>Confidentiality</w:t>
      </w:r>
      <w:r w:rsidRPr="5DC4D323" w:rsidR="00F02924">
        <w:rPr>
          <w:rFonts w:ascii="Avenir Next LT Pro" w:eastAsia="Avenir Next LT Pro" w:hAnsi="Avenir Next LT Pro" w:cs="Avenir Next LT Pro"/>
          <w:b/>
          <w:bCs/>
          <w:u w:val="single"/>
        </w:rPr>
        <w:t>.</w:t>
      </w:r>
      <w:r w:rsidRPr="5DC4D323" w:rsidR="00F02924">
        <w:rPr>
          <w:rFonts w:ascii="Avenir Next LT Pro" w:eastAsia="Avenir Next LT Pro" w:hAnsi="Avenir Next LT Pro" w:cs="Avenir Next LT Pro"/>
          <w:u w:val="single"/>
        </w:rPr>
        <w:t xml:space="preserve">  </w:t>
      </w:r>
    </w:p>
    <w:p w:rsidR="002230BA" w:rsidP="5DC4D323" w14:paraId="632A6A76" w14:textId="6BD5B5CD">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2230BA" w:rsidRPr="007B5B42" w:rsidP="5DC4D323" w14:paraId="1784968B" w14:textId="52102198">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rPr>
        <w:t xml:space="preserve">No </w:t>
      </w:r>
      <w:r w:rsidRPr="5DC4D323" w:rsidR="001F4524">
        <w:rPr>
          <w:rFonts w:ascii="Avenir Next LT Pro" w:eastAsia="Avenir Next LT Pro" w:hAnsi="Avenir Next LT Pro" w:cs="Avenir Next LT Pro"/>
        </w:rPr>
        <w:t xml:space="preserve">assurance of confidentiality </w:t>
      </w:r>
      <w:r w:rsidRPr="5DC4D323">
        <w:rPr>
          <w:rFonts w:ascii="Avenir Next LT Pro" w:eastAsia="Avenir Next LT Pro" w:hAnsi="Avenir Next LT Pro" w:cs="Avenir Next LT Pro"/>
        </w:rPr>
        <w:t xml:space="preserve">is </w:t>
      </w:r>
      <w:r w:rsidRPr="5DC4D323" w:rsidR="001F4524">
        <w:rPr>
          <w:rFonts w:ascii="Avenir Next LT Pro" w:eastAsia="Avenir Next LT Pro" w:hAnsi="Avenir Next LT Pro" w:cs="Avenir Next LT Pro"/>
        </w:rPr>
        <w:t xml:space="preserve">provided to </w:t>
      </w:r>
      <w:r w:rsidRPr="5DC4D323" w:rsidR="00F67460">
        <w:rPr>
          <w:rFonts w:ascii="Avenir Next LT Pro" w:eastAsia="Avenir Next LT Pro" w:hAnsi="Avenir Next LT Pro" w:cs="Avenir Next LT Pro"/>
        </w:rPr>
        <w:t xml:space="preserve">respondents as part of this information collection as it </w:t>
      </w:r>
      <w:r w:rsidRPr="5DC4D323" w:rsidR="001F4524">
        <w:rPr>
          <w:rFonts w:ascii="Avenir Next LT Pro" w:eastAsia="Avenir Next LT Pro" w:hAnsi="Avenir Next LT Pro" w:cs="Avenir Next LT Pro"/>
        </w:rPr>
        <w:t>does not require respondents to submit proprietary trade secrets, or other confidential information</w:t>
      </w:r>
      <w:r w:rsidRPr="5DC4D323" w:rsidR="00BC458A">
        <w:rPr>
          <w:rFonts w:ascii="Avenir Next LT Pro" w:eastAsia="Avenir Next LT Pro" w:hAnsi="Avenir Next LT Pro" w:cs="Avenir Next LT Pro"/>
        </w:rPr>
        <w:t>.</w:t>
      </w:r>
    </w:p>
    <w:p w:rsidR="00F02924" w:rsidRPr="00505E03" w:rsidP="5DC4D323" w14:paraId="5B2F491D" w14:textId="77777777">
      <w:pPr>
        <w:widowControl w:val="0"/>
        <w:tabs>
          <w:tab w:val="left" w:pos="360"/>
          <w:tab w:val="left" w:pos="720"/>
          <w:tab w:val="left" w:pos="820"/>
          <w:tab w:val="left" w:pos="821"/>
          <w:tab w:val="left" w:pos="1080"/>
          <w:tab w:val="left" w:pos="1440"/>
        </w:tabs>
        <w:overflowPunct/>
        <w:adjustRightInd/>
        <w:ind w:right="183"/>
        <w:textAlignment w:val="auto"/>
        <w:rPr>
          <w:rFonts w:ascii="Avenir Next LT Pro" w:eastAsia="Avenir Next LT Pro" w:hAnsi="Avenir Next LT Pro" w:cs="Avenir Next LT Pro"/>
          <w:szCs w:val="24"/>
        </w:rPr>
      </w:pPr>
    </w:p>
    <w:p w:rsidR="00044CC3" w:rsidRPr="00044CC3" w:rsidP="5DC4D323" w14:paraId="23B4158A"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11. </w:t>
      </w:r>
      <w:r w:rsidRPr="5DC4D323" w:rsidR="00D3303B">
        <w:rPr>
          <w:rFonts w:ascii="Avenir Next LT Pro" w:eastAsia="Avenir Next LT Pro" w:hAnsi="Avenir Next LT Pro" w:cs="Avenir Next LT Pro"/>
          <w:b/>
          <w:bCs/>
          <w:u w:val="single"/>
        </w:rPr>
        <w:t>Sensitive Questions</w:t>
      </w:r>
      <w:r w:rsidRPr="5DC4D323" w:rsidR="00376161">
        <w:rPr>
          <w:rFonts w:ascii="Avenir Next LT Pro" w:eastAsia="Avenir Next LT Pro" w:hAnsi="Avenir Next LT Pro" w:cs="Avenir Next LT Pro"/>
          <w:b/>
          <w:bCs/>
          <w:u w:val="single"/>
        </w:rPr>
        <w:t>.</w:t>
      </w:r>
      <w:r w:rsidRPr="5DC4D323" w:rsidR="00376161">
        <w:rPr>
          <w:rFonts w:ascii="Avenir Next LT Pro" w:eastAsia="Avenir Next LT Pro" w:hAnsi="Avenir Next LT Pro" w:cs="Avenir Next LT Pro"/>
          <w:u w:val="single"/>
        </w:rPr>
        <w:t xml:space="preserve">  </w:t>
      </w:r>
    </w:p>
    <w:p w:rsidR="779156E0" w:rsidP="5DC4D323" w14:paraId="485C06EA" w14:textId="07FA7D0D">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p>
    <w:p w:rsidR="001B4976" w:rsidP="5DC4D323" w14:paraId="57FFE4D3" w14:textId="541ECFCF">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r w:rsidRPr="5DC4D323">
        <w:rPr>
          <w:rFonts w:ascii="Avenir Next LT Pro" w:eastAsia="Avenir Next LT Pro" w:hAnsi="Avenir Next LT Pro" w:cs="Avenir Next LT Pro"/>
        </w:rPr>
        <w:t xml:space="preserve">This information collection does not include questions of a sensitive nature. </w:t>
      </w:r>
    </w:p>
    <w:p w:rsidR="00376161" w:rsidRPr="00505E03" w:rsidP="5DC4D323" w14:paraId="1F8FDC75" w14:textId="77777777">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rPr>
      </w:pPr>
    </w:p>
    <w:p w:rsidR="006B78F1" w:rsidP="5DC4D323" w14:paraId="1869F9CE" w14:textId="5CDB7002">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r w:rsidRPr="5DC4D323">
        <w:rPr>
          <w:rFonts w:ascii="Avenir Next LT Pro" w:eastAsia="Avenir Next LT Pro" w:hAnsi="Avenir Next LT Pro" w:cs="Avenir Next LT Pro"/>
          <w:b/>
          <w:bCs/>
          <w:u w:val="single"/>
        </w:rPr>
        <w:t xml:space="preserve">12. </w:t>
      </w:r>
      <w:r w:rsidRPr="5DC4D323" w:rsidR="00D3303B">
        <w:rPr>
          <w:rFonts w:ascii="Avenir Next LT Pro" w:eastAsia="Avenir Next LT Pro" w:hAnsi="Avenir Next LT Pro" w:cs="Avenir Next LT Pro"/>
          <w:b/>
          <w:bCs/>
          <w:u w:val="single"/>
        </w:rPr>
        <w:t xml:space="preserve">Burden </w:t>
      </w:r>
      <w:r w:rsidRPr="5DC4D323" w:rsidR="00E77C9D">
        <w:rPr>
          <w:rFonts w:ascii="Avenir Next LT Pro" w:eastAsia="Avenir Next LT Pro" w:hAnsi="Avenir Next LT Pro" w:cs="Avenir Next LT Pro"/>
          <w:b/>
          <w:bCs/>
          <w:u w:val="single"/>
        </w:rPr>
        <w:t>Estimate</w:t>
      </w:r>
      <w:r w:rsidRPr="5DC4D323" w:rsidR="005E436B">
        <w:rPr>
          <w:rFonts w:ascii="Avenir Next LT Pro" w:eastAsia="Avenir Next LT Pro" w:hAnsi="Avenir Next LT Pro" w:cs="Avenir Next LT Pro"/>
          <w:b/>
          <w:bCs/>
          <w:u w:val="single"/>
        </w:rPr>
        <w:t>.</w:t>
      </w:r>
      <w:r w:rsidRPr="5DC4D323" w:rsidR="005E436B">
        <w:rPr>
          <w:rFonts w:ascii="Avenir Next LT Pro" w:eastAsia="Avenir Next LT Pro" w:hAnsi="Avenir Next LT Pro" w:cs="Avenir Next LT Pro"/>
          <w:u w:val="single"/>
        </w:rPr>
        <w:t xml:space="preserve"> </w:t>
      </w:r>
    </w:p>
    <w:p w:rsidR="58FAB88F" w:rsidP="5DC4D323" w14:paraId="5A5A6B89" w14:textId="0EF1A50F">
      <w:pPr>
        <w:pStyle w:val="ListParagraph"/>
        <w:widowControl w:val="0"/>
        <w:tabs>
          <w:tab w:val="left" w:pos="820"/>
          <w:tab w:val="left" w:pos="821"/>
        </w:tabs>
        <w:ind w:left="360" w:right="195"/>
        <w:rPr>
          <w:rFonts w:ascii="Avenir Next LT Pro" w:eastAsia="Avenir Next LT Pro" w:hAnsi="Avenir Next LT Pro" w:cs="Avenir Next LT Pro"/>
          <w:szCs w:val="24"/>
        </w:rPr>
      </w:pPr>
    </w:p>
    <w:p w:rsidR="006B78F1" w:rsidP="5DC4D323" w14:paraId="1EE60869" w14:textId="759890D8">
      <w:pPr>
        <w:pStyle w:val="ListParagraph"/>
        <w:widowControl w:val="0"/>
        <w:tabs>
          <w:tab w:val="left" w:pos="820"/>
          <w:tab w:val="left" w:pos="821"/>
        </w:tabs>
        <w:overflowPunct/>
        <w:adjustRightInd/>
        <w:ind w:left="0"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The</w:t>
      </w:r>
      <w:r w:rsidRPr="5DC4D323" w:rsidR="00CF369C">
        <w:rPr>
          <w:rFonts w:ascii="Avenir Next LT Pro" w:eastAsia="Avenir Next LT Pro" w:hAnsi="Avenir Next LT Pro" w:cs="Avenir Next LT Pro"/>
          <w:szCs w:val="24"/>
        </w:rPr>
        <w:t xml:space="preserve"> </w:t>
      </w:r>
      <w:r w:rsidRPr="5DC4D323" w:rsidR="76105C25">
        <w:rPr>
          <w:rFonts w:ascii="Avenir Next LT Pro" w:eastAsia="Avenir Next LT Pro" w:hAnsi="Avenir Next LT Pro" w:cs="Avenir Next LT Pro"/>
          <w:szCs w:val="24"/>
        </w:rPr>
        <w:t>PPR</w:t>
      </w:r>
      <w:r w:rsidRPr="5DC4D323" w:rsidR="00CF369C">
        <w:rPr>
          <w:rFonts w:ascii="Avenir Next LT Pro" w:eastAsia="Avenir Next LT Pro" w:hAnsi="Avenir Next LT Pro" w:cs="Avenir Next LT Pro"/>
          <w:szCs w:val="24"/>
        </w:rPr>
        <w:t xml:space="preserve"> information collection is </w:t>
      </w:r>
      <w:r w:rsidRPr="5DC4D323" w:rsidR="742D3EBD">
        <w:rPr>
          <w:rFonts w:ascii="Avenir Next LT Pro" w:eastAsia="Avenir Next LT Pro" w:hAnsi="Avenir Next LT Pro" w:cs="Avenir Next LT Pro"/>
          <w:szCs w:val="24"/>
        </w:rPr>
        <w:t>required</w:t>
      </w:r>
      <w:r w:rsidRPr="5DC4D323" w:rsidR="00CF369C">
        <w:rPr>
          <w:rFonts w:ascii="Avenir Next LT Pro" w:eastAsia="Avenir Next LT Pro" w:hAnsi="Avenir Next LT Pro" w:cs="Avenir Next LT Pro"/>
          <w:szCs w:val="24"/>
        </w:rPr>
        <w:t xml:space="preserve"> for AmeriCorps State and National, Commission Support Grant, and Commission Investments Funds. We expect approximately 350 respondents to use the AmeriCorps State and National PPR instructions, and 52 respondents to use the Commission Investment Funds and Commission Support Grant </w:t>
      </w:r>
      <w:r w:rsidRPr="5DC4D323" w:rsidR="00832803">
        <w:rPr>
          <w:rFonts w:ascii="Avenir Next LT Pro" w:eastAsia="Avenir Next LT Pro" w:hAnsi="Avenir Next LT Pro" w:cs="Avenir Next LT Pro"/>
          <w:szCs w:val="24"/>
        </w:rPr>
        <w:t>instructions. The frequency of reporting for all PPRs is annually, with an additional final report required at the end of the three-year award period</w:t>
      </w:r>
      <w:r w:rsidRPr="5DC4D323" w:rsidR="002F23B1">
        <w:rPr>
          <w:rFonts w:ascii="Avenir Next LT Pro" w:eastAsia="Avenir Next LT Pro" w:hAnsi="Avenir Next LT Pro" w:cs="Avenir Next LT Pro"/>
          <w:szCs w:val="24"/>
        </w:rPr>
        <w:t xml:space="preserve"> for AmeriCorps State and National grantees. </w:t>
      </w:r>
    </w:p>
    <w:p w:rsidR="006B78F1" w:rsidP="5DC4D323" w14:paraId="4025EA81" w14:textId="77777777">
      <w:pPr>
        <w:pStyle w:val="ListParagraph"/>
        <w:widowControl w:val="0"/>
        <w:tabs>
          <w:tab w:val="left" w:pos="820"/>
          <w:tab w:val="left" w:pos="821"/>
        </w:tabs>
        <w:overflowPunct/>
        <w:adjustRightInd/>
        <w:ind w:left="360" w:right="195"/>
        <w:contextualSpacing w:val="0"/>
        <w:textAlignment w:val="auto"/>
        <w:rPr>
          <w:rFonts w:ascii="Avenir Next LT Pro" w:eastAsia="Avenir Next LT Pro" w:hAnsi="Avenir Next LT Pro" w:cs="Avenir Next LT Pro"/>
          <w:szCs w:val="24"/>
        </w:rPr>
      </w:pPr>
    </w:p>
    <w:p w:rsidR="79E3A217" w:rsidP="5DC4D323" w14:paraId="50F395FD" w14:textId="6EFF29F0">
      <w:pPr>
        <w:pStyle w:val="ListParagraph"/>
        <w:widowControl w:val="0"/>
        <w:tabs>
          <w:tab w:val="left" w:pos="820"/>
          <w:tab w:val="left" w:pos="821"/>
        </w:tabs>
        <w:ind w:left="0" w:right="195"/>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We estimate t</w:t>
      </w:r>
      <w:r w:rsidRPr="5DC4D323" w:rsidR="7B6CBB3F">
        <w:rPr>
          <w:rFonts w:ascii="Avenir Next LT Pro" w:eastAsia="Avenir Next LT Pro" w:hAnsi="Avenir Next LT Pro" w:cs="Avenir Next LT Pro"/>
          <w:szCs w:val="24"/>
        </w:rPr>
        <w:t xml:space="preserve">he </w:t>
      </w:r>
      <w:r w:rsidRPr="5DC4D323" w:rsidR="3C809174">
        <w:rPr>
          <w:rFonts w:ascii="Avenir Next LT Pro" w:eastAsia="Avenir Next LT Pro" w:hAnsi="Avenir Next LT Pro" w:cs="Avenir Next LT Pro"/>
          <w:szCs w:val="24"/>
        </w:rPr>
        <w:t xml:space="preserve">annual hour burden for AmeriCorps State and National grantees </w:t>
      </w:r>
      <w:r w:rsidRPr="5DC4D323" w:rsidR="62C66C4E">
        <w:rPr>
          <w:rFonts w:ascii="Avenir Next LT Pro" w:eastAsia="Avenir Next LT Pro" w:hAnsi="Avenir Next LT Pro" w:cs="Avenir Next LT Pro"/>
          <w:szCs w:val="24"/>
        </w:rPr>
        <w:t>to be</w:t>
      </w:r>
      <w:r w:rsidRPr="5DC4D323" w:rsidR="3C809174">
        <w:rPr>
          <w:rFonts w:ascii="Avenir Next LT Pro" w:eastAsia="Avenir Next LT Pro" w:hAnsi="Avenir Next LT Pro" w:cs="Avenir Next LT Pro"/>
          <w:szCs w:val="24"/>
        </w:rPr>
        <w:t xml:space="preserve"> </w:t>
      </w:r>
      <w:r w:rsidRPr="5DC4D323" w:rsidR="4E2F325B">
        <w:rPr>
          <w:rFonts w:ascii="Avenir Next LT Pro" w:eastAsia="Avenir Next LT Pro" w:hAnsi="Avenir Next LT Pro" w:cs="Avenir Next LT Pro"/>
          <w:szCs w:val="24"/>
        </w:rPr>
        <w:t>32</w:t>
      </w:r>
      <w:r w:rsidRPr="5DC4D323" w:rsidR="3C809174">
        <w:rPr>
          <w:rFonts w:ascii="Avenir Next LT Pro" w:eastAsia="Avenir Next LT Pro" w:hAnsi="Avenir Next LT Pro" w:cs="Avenir Next LT Pro"/>
          <w:szCs w:val="24"/>
        </w:rPr>
        <w:t xml:space="preserve"> hours per respon</w:t>
      </w:r>
      <w:r w:rsidRPr="5DC4D323" w:rsidR="30C1FB62">
        <w:rPr>
          <w:rFonts w:ascii="Avenir Next LT Pro" w:eastAsia="Avenir Next LT Pro" w:hAnsi="Avenir Next LT Pro" w:cs="Avenir Next LT Pro"/>
          <w:szCs w:val="24"/>
        </w:rPr>
        <w:t>se</w:t>
      </w:r>
      <w:r w:rsidRPr="5DC4D323" w:rsidR="6DC24C52">
        <w:rPr>
          <w:rFonts w:ascii="Avenir Next LT Pro" w:eastAsia="Avenir Next LT Pro" w:hAnsi="Avenir Next LT Pro" w:cs="Avenir Next LT Pro"/>
          <w:szCs w:val="24"/>
        </w:rPr>
        <w:t>, and the</w:t>
      </w:r>
      <w:r w:rsidRPr="5DC4D323" w:rsidR="3C809174">
        <w:rPr>
          <w:rFonts w:ascii="Avenir Next LT Pro" w:eastAsia="Avenir Next LT Pro" w:hAnsi="Avenir Next LT Pro" w:cs="Avenir Next LT Pro"/>
          <w:szCs w:val="24"/>
        </w:rPr>
        <w:t xml:space="preserve"> </w:t>
      </w:r>
      <w:r w:rsidRPr="5DC4D323" w:rsidR="250938D2">
        <w:rPr>
          <w:rFonts w:ascii="Avenir Next LT Pro" w:eastAsia="Avenir Next LT Pro" w:hAnsi="Avenir Next LT Pro" w:cs="Avenir Next LT Pro"/>
          <w:szCs w:val="24"/>
        </w:rPr>
        <w:t>annual hour burden for Commission Support Grant and Commission Investment Fund</w:t>
      </w:r>
      <w:r w:rsidRPr="5DC4D323" w:rsidR="56D0CB42">
        <w:rPr>
          <w:rFonts w:ascii="Avenir Next LT Pro" w:eastAsia="Avenir Next LT Pro" w:hAnsi="Avenir Next LT Pro" w:cs="Avenir Next LT Pro"/>
          <w:szCs w:val="24"/>
        </w:rPr>
        <w:t>s</w:t>
      </w:r>
      <w:r w:rsidRPr="5DC4D323" w:rsidR="250938D2">
        <w:rPr>
          <w:rFonts w:ascii="Avenir Next LT Pro" w:eastAsia="Avenir Next LT Pro" w:hAnsi="Avenir Next LT Pro" w:cs="Avenir Next LT Pro"/>
          <w:szCs w:val="24"/>
        </w:rPr>
        <w:t xml:space="preserve"> grantees </w:t>
      </w:r>
      <w:r w:rsidRPr="5DC4D323" w:rsidR="07EA5A97">
        <w:rPr>
          <w:rFonts w:ascii="Avenir Next LT Pro" w:eastAsia="Avenir Next LT Pro" w:hAnsi="Avenir Next LT Pro" w:cs="Avenir Next LT Pro"/>
          <w:szCs w:val="24"/>
        </w:rPr>
        <w:t>to be</w:t>
      </w:r>
      <w:r w:rsidRPr="5DC4D323" w:rsidR="250938D2">
        <w:rPr>
          <w:rFonts w:ascii="Avenir Next LT Pro" w:eastAsia="Avenir Next LT Pro" w:hAnsi="Avenir Next LT Pro" w:cs="Avenir Next LT Pro"/>
          <w:szCs w:val="24"/>
        </w:rPr>
        <w:t xml:space="preserve"> 10 hours</w:t>
      </w:r>
      <w:r w:rsidRPr="5DC4D323" w:rsidR="64FD5F4C">
        <w:rPr>
          <w:rFonts w:ascii="Avenir Next LT Pro" w:eastAsia="Avenir Next LT Pro" w:hAnsi="Avenir Next LT Pro" w:cs="Avenir Next LT Pro"/>
          <w:szCs w:val="24"/>
        </w:rPr>
        <w:t xml:space="preserve"> response</w:t>
      </w:r>
      <w:r w:rsidRPr="5DC4D323" w:rsidR="56D0CB42">
        <w:rPr>
          <w:rFonts w:ascii="Avenir Next LT Pro" w:eastAsia="Avenir Next LT Pro" w:hAnsi="Avenir Next LT Pro" w:cs="Avenir Next LT Pro"/>
          <w:szCs w:val="24"/>
        </w:rPr>
        <w:t>.</w:t>
      </w:r>
      <w:r w:rsidRPr="5DC4D323" w:rsidR="250938D2">
        <w:rPr>
          <w:rFonts w:ascii="Avenir Next LT Pro" w:eastAsia="Avenir Next LT Pro" w:hAnsi="Avenir Next LT Pro" w:cs="Avenir Next LT Pro"/>
          <w:szCs w:val="24"/>
        </w:rPr>
        <w:t xml:space="preserve"> </w:t>
      </w:r>
      <w:r w:rsidRPr="5DC4D323" w:rsidR="445049A2">
        <w:rPr>
          <w:rFonts w:ascii="Avenir Next LT Pro" w:eastAsia="Avenir Next LT Pro" w:hAnsi="Avenir Next LT Pro" w:cs="Avenir Next LT Pro"/>
          <w:szCs w:val="24"/>
        </w:rPr>
        <w:t xml:space="preserve">Because of this </w:t>
      </w:r>
      <w:r w:rsidRPr="5DC4D323" w:rsidR="00827EFB">
        <w:rPr>
          <w:rFonts w:ascii="Avenir Next LT Pro" w:eastAsia="Avenir Next LT Pro" w:hAnsi="Avenir Next LT Pro" w:cs="Avenir Next LT Pro"/>
          <w:szCs w:val="24"/>
        </w:rPr>
        <w:t xml:space="preserve">difference in </w:t>
      </w:r>
      <w:r w:rsidRPr="5DC4D323" w:rsidR="445049A2">
        <w:rPr>
          <w:rFonts w:ascii="Avenir Next LT Pro" w:eastAsia="Avenir Next LT Pro" w:hAnsi="Avenir Next LT Pro" w:cs="Avenir Next LT Pro"/>
          <w:szCs w:val="24"/>
        </w:rPr>
        <w:t xml:space="preserve">hours per response between the AmeriCorps State and National and other instruction types, they have been split into two separate information collections (ICs). </w:t>
      </w:r>
    </w:p>
    <w:p w:rsidR="006B78F1" w:rsidP="5DC4D323" w14:paraId="3165448F" w14:textId="77777777">
      <w:pPr>
        <w:pStyle w:val="ListParagraph"/>
        <w:widowControl w:val="0"/>
        <w:tabs>
          <w:tab w:val="left" w:pos="820"/>
          <w:tab w:val="left" w:pos="821"/>
        </w:tabs>
        <w:overflowPunct/>
        <w:adjustRightInd/>
        <w:ind w:left="360" w:right="195"/>
        <w:contextualSpacing w:val="0"/>
        <w:textAlignment w:val="auto"/>
        <w:rPr>
          <w:rFonts w:ascii="Avenir Next LT Pro" w:eastAsia="Avenir Next LT Pro" w:hAnsi="Avenir Next LT Pro" w:cs="Avenir Next LT Pro"/>
          <w:szCs w:val="24"/>
        </w:rPr>
      </w:pPr>
    </w:p>
    <w:tbl>
      <w:tblPr>
        <w:tblW w:w="0" w:type="auto"/>
        <w:tblLayout w:type="fixed"/>
        <w:tblLook w:val="04A0"/>
      </w:tblPr>
      <w:tblGrid>
        <w:gridCol w:w="2265"/>
        <w:gridCol w:w="2295"/>
        <w:gridCol w:w="2265"/>
        <w:gridCol w:w="1800"/>
      </w:tblGrid>
      <w:tr w14:paraId="091A886D" w14:textId="77777777" w:rsidTr="5DC4D323">
        <w:tblPrEx>
          <w:tblW w:w="0" w:type="auto"/>
          <w:tblLayout w:type="fixed"/>
          <w:tblLook w:val="04A0"/>
        </w:tblPrEx>
        <w:tc>
          <w:tcPr>
            <w:tcW w:w="2265" w:type="dxa"/>
            <w:tcBorders>
              <w:top w:val="single" w:sz="8" w:space="0" w:color="auto"/>
              <w:left w:val="single" w:sz="8" w:space="0" w:color="auto"/>
              <w:bottom w:val="single" w:sz="8" w:space="0" w:color="auto"/>
              <w:right w:val="single" w:sz="8" w:space="0" w:color="auto"/>
            </w:tcBorders>
          </w:tcPr>
          <w:p w:rsidR="4A0983D7" w:rsidP="5DC4D323" w14:paraId="240A82B1" w14:textId="5D30D91A">
            <w:pP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P</w:t>
            </w:r>
            <w:r w:rsidRPr="5DC4D323" w:rsidR="28D5FA89">
              <w:rPr>
                <w:rFonts w:ascii="Avenir Next LT Pro" w:eastAsia="Avenir Next LT Pro" w:hAnsi="Avenir Next LT Pro" w:cs="Avenir Next LT Pro"/>
                <w:b/>
                <w:bCs/>
                <w:szCs w:val="24"/>
              </w:rPr>
              <w:t>PR Instructions Type</w:t>
            </w:r>
          </w:p>
        </w:tc>
        <w:tc>
          <w:tcPr>
            <w:tcW w:w="2295" w:type="dxa"/>
            <w:tcBorders>
              <w:top w:val="single" w:sz="8" w:space="0" w:color="auto"/>
              <w:left w:val="single" w:sz="8" w:space="0" w:color="auto"/>
              <w:bottom w:val="single" w:sz="8" w:space="0" w:color="auto"/>
              <w:right w:val="single" w:sz="8" w:space="0" w:color="auto"/>
            </w:tcBorders>
          </w:tcPr>
          <w:p w:rsidR="4A0983D7" w:rsidP="5DC4D323" w14:paraId="2E5D0B36" w14:textId="6E8468F7">
            <w:pP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Number of Responses</w:t>
            </w:r>
          </w:p>
        </w:tc>
        <w:tc>
          <w:tcPr>
            <w:tcW w:w="2265" w:type="dxa"/>
            <w:tcBorders>
              <w:top w:val="single" w:sz="8" w:space="0" w:color="auto"/>
              <w:left w:val="single" w:sz="8" w:space="0" w:color="auto"/>
              <w:bottom w:val="single" w:sz="8" w:space="0" w:color="auto"/>
              <w:right w:val="single" w:sz="8" w:space="0" w:color="auto"/>
            </w:tcBorders>
          </w:tcPr>
          <w:p w:rsidR="4A0983D7" w:rsidP="5DC4D323" w14:paraId="013B7230" w14:textId="5F32440D">
            <w:pP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Hours per Response</w:t>
            </w:r>
          </w:p>
        </w:tc>
        <w:tc>
          <w:tcPr>
            <w:tcW w:w="1800" w:type="dxa"/>
            <w:tcBorders>
              <w:top w:val="single" w:sz="8" w:space="0" w:color="auto"/>
              <w:left w:val="single" w:sz="8" w:space="0" w:color="auto"/>
              <w:bottom w:val="single" w:sz="8" w:space="0" w:color="auto"/>
              <w:right w:val="single" w:sz="8" w:space="0" w:color="auto"/>
            </w:tcBorders>
          </w:tcPr>
          <w:p w:rsidR="4A0983D7" w:rsidP="5DC4D323" w14:paraId="2842DCF1" w14:textId="335B8935">
            <w:pP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Total Hours</w:t>
            </w:r>
          </w:p>
        </w:tc>
      </w:tr>
      <w:tr w14:paraId="622A932B" w14:textId="77777777" w:rsidTr="5DC4D323">
        <w:tblPrEx>
          <w:tblW w:w="0" w:type="auto"/>
          <w:tblLayout w:type="fixed"/>
          <w:tblLook w:val="04A0"/>
        </w:tblPrEx>
        <w:tc>
          <w:tcPr>
            <w:tcW w:w="2265" w:type="dxa"/>
            <w:tcBorders>
              <w:top w:val="single" w:sz="8" w:space="0" w:color="auto"/>
              <w:left w:val="single" w:sz="8" w:space="0" w:color="auto"/>
              <w:bottom w:val="single" w:sz="8" w:space="0" w:color="auto"/>
              <w:right w:val="single" w:sz="8" w:space="0" w:color="auto"/>
            </w:tcBorders>
          </w:tcPr>
          <w:p w:rsidR="4A0983D7" w:rsidP="5DC4D323" w14:paraId="1EF80289" w14:textId="360778B6">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AmeriCorps State and National</w:t>
            </w:r>
          </w:p>
        </w:tc>
        <w:tc>
          <w:tcPr>
            <w:tcW w:w="2295" w:type="dxa"/>
            <w:tcBorders>
              <w:top w:val="single" w:sz="8" w:space="0" w:color="auto"/>
              <w:left w:val="single" w:sz="8" w:space="0" w:color="auto"/>
              <w:bottom w:val="single" w:sz="8" w:space="0" w:color="auto"/>
              <w:right w:val="single" w:sz="8" w:space="0" w:color="auto"/>
            </w:tcBorders>
          </w:tcPr>
          <w:p w:rsidR="4A0983D7" w:rsidP="5DC4D323" w14:paraId="46FB3FE5" w14:textId="73F00DD4">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3</w:t>
            </w:r>
            <w:r w:rsidRPr="5DC4D323" w:rsidR="14FB3C5F">
              <w:rPr>
                <w:rFonts w:ascii="Avenir Next LT Pro" w:eastAsia="Avenir Next LT Pro" w:hAnsi="Avenir Next LT Pro" w:cs="Avenir Next LT Pro"/>
                <w:szCs w:val="24"/>
              </w:rPr>
              <w:t>5</w:t>
            </w:r>
            <w:r w:rsidRPr="5DC4D323">
              <w:rPr>
                <w:rFonts w:ascii="Avenir Next LT Pro" w:eastAsia="Avenir Next LT Pro" w:hAnsi="Avenir Next LT Pro" w:cs="Avenir Next LT Pro"/>
                <w:szCs w:val="24"/>
              </w:rPr>
              <w:t>0</w:t>
            </w:r>
          </w:p>
        </w:tc>
        <w:tc>
          <w:tcPr>
            <w:tcW w:w="2265" w:type="dxa"/>
            <w:tcBorders>
              <w:top w:val="single" w:sz="8" w:space="0" w:color="auto"/>
              <w:left w:val="single" w:sz="8" w:space="0" w:color="auto"/>
              <w:bottom w:val="single" w:sz="8" w:space="0" w:color="auto"/>
              <w:right w:val="single" w:sz="8" w:space="0" w:color="auto"/>
            </w:tcBorders>
          </w:tcPr>
          <w:p w:rsidR="4A0983D7" w:rsidP="5DC4D323" w14:paraId="2387D9A8" w14:textId="4CD4F5F6">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32</w:t>
            </w:r>
          </w:p>
        </w:tc>
        <w:tc>
          <w:tcPr>
            <w:tcW w:w="1800" w:type="dxa"/>
            <w:tcBorders>
              <w:top w:val="single" w:sz="8" w:space="0" w:color="auto"/>
              <w:left w:val="single" w:sz="8" w:space="0" w:color="auto"/>
              <w:bottom w:val="single" w:sz="8" w:space="0" w:color="auto"/>
              <w:right w:val="single" w:sz="8" w:space="0" w:color="auto"/>
            </w:tcBorders>
          </w:tcPr>
          <w:p w:rsidR="4A0983D7" w:rsidP="5DC4D323" w14:paraId="3F5A1F1D" w14:textId="4BA511D9">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11,200</w:t>
            </w:r>
          </w:p>
        </w:tc>
      </w:tr>
      <w:tr w14:paraId="2894B087" w14:textId="77777777" w:rsidTr="5DC4D323">
        <w:tblPrEx>
          <w:tblW w:w="0" w:type="auto"/>
          <w:tblLayout w:type="fixed"/>
          <w:tblLook w:val="04A0"/>
        </w:tblPrEx>
        <w:tc>
          <w:tcPr>
            <w:tcW w:w="2265" w:type="dxa"/>
            <w:tcBorders>
              <w:top w:val="single" w:sz="8" w:space="0" w:color="auto"/>
              <w:left w:val="single" w:sz="8" w:space="0" w:color="auto"/>
              <w:bottom w:val="single" w:sz="8" w:space="0" w:color="auto"/>
              <w:right w:val="single" w:sz="8" w:space="0" w:color="auto"/>
            </w:tcBorders>
          </w:tcPr>
          <w:p w:rsidR="4A0983D7" w:rsidP="5DC4D323" w14:paraId="29A96DB2" w14:textId="6E69DD3D">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Commission Investment Funds</w:t>
            </w:r>
          </w:p>
        </w:tc>
        <w:tc>
          <w:tcPr>
            <w:tcW w:w="2295" w:type="dxa"/>
            <w:tcBorders>
              <w:top w:val="single" w:sz="8" w:space="0" w:color="auto"/>
              <w:left w:val="single" w:sz="8" w:space="0" w:color="auto"/>
              <w:bottom w:val="single" w:sz="8" w:space="0" w:color="auto"/>
              <w:right w:val="single" w:sz="8" w:space="0" w:color="auto"/>
            </w:tcBorders>
          </w:tcPr>
          <w:p w:rsidR="4A0983D7" w:rsidP="5DC4D323" w14:paraId="3CBD4914" w14:textId="2D3852B0">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w:t>
            </w:r>
          </w:p>
        </w:tc>
        <w:tc>
          <w:tcPr>
            <w:tcW w:w="2265" w:type="dxa"/>
            <w:tcBorders>
              <w:top w:val="single" w:sz="8" w:space="0" w:color="auto"/>
              <w:left w:val="single" w:sz="8" w:space="0" w:color="auto"/>
              <w:bottom w:val="single" w:sz="8" w:space="0" w:color="auto"/>
              <w:right w:val="single" w:sz="8" w:space="0" w:color="auto"/>
            </w:tcBorders>
          </w:tcPr>
          <w:p w:rsidR="4A0983D7" w:rsidP="5DC4D323" w14:paraId="04363210" w14:textId="60674E1D">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10</w:t>
            </w:r>
          </w:p>
        </w:tc>
        <w:tc>
          <w:tcPr>
            <w:tcW w:w="1800" w:type="dxa"/>
            <w:tcBorders>
              <w:top w:val="single" w:sz="8" w:space="0" w:color="auto"/>
              <w:left w:val="single" w:sz="8" w:space="0" w:color="auto"/>
              <w:bottom w:val="single" w:sz="8" w:space="0" w:color="auto"/>
              <w:right w:val="single" w:sz="8" w:space="0" w:color="auto"/>
            </w:tcBorders>
          </w:tcPr>
          <w:p w:rsidR="4A0983D7" w:rsidP="5DC4D323" w14:paraId="7A3E59D4" w14:textId="00930E09">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520</w:t>
            </w:r>
          </w:p>
        </w:tc>
      </w:tr>
      <w:tr w14:paraId="31C857F7" w14:textId="77777777" w:rsidTr="5DC4D323">
        <w:tblPrEx>
          <w:tblW w:w="0" w:type="auto"/>
          <w:tblLayout w:type="fixed"/>
          <w:tblLook w:val="04A0"/>
        </w:tblPrEx>
        <w:tc>
          <w:tcPr>
            <w:tcW w:w="2265" w:type="dxa"/>
            <w:tcBorders>
              <w:top w:val="single" w:sz="8" w:space="0" w:color="auto"/>
              <w:left w:val="single" w:sz="8" w:space="0" w:color="auto"/>
              <w:bottom w:val="single" w:sz="8" w:space="0" w:color="auto"/>
              <w:right w:val="single" w:sz="8" w:space="0" w:color="auto"/>
            </w:tcBorders>
          </w:tcPr>
          <w:p w:rsidR="4A0983D7" w:rsidP="5DC4D323" w14:paraId="1BD90AD9" w14:textId="57DE13C3">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Commission Support Grant</w:t>
            </w:r>
          </w:p>
        </w:tc>
        <w:tc>
          <w:tcPr>
            <w:tcW w:w="2295" w:type="dxa"/>
            <w:tcBorders>
              <w:top w:val="single" w:sz="8" w:space="0" w:color="auto"/>
              <w:left w:val="single" w:sz="8" w:space="0" w:color="auto"/>
              <w:bottom w:val="single" w:sz="8" w:space="0" w:color="auto"/>
              <w:right w:val="single" w:sz="8" w:space="0" w:color="auto"/>
            </w:tcBorders>
          </w:tcPr>
          <w:p w:rsidR="4A0983D7" w:rsidP="5DC4D323" w14:paraId="6E5CCB4F" w14:textId="5E175C7C">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w:t>
            </w:r>
          </w:p>
        </w:tc>
        <w:tc>
          <w:tcPr>
            <w:tcW w:w="2265" w:type="dxa"/>
            <w:tcBorders>
              <w:top w:val="single" w:sz="8" w:space="0" w:color="auto"/>
              <w:left w:val="single" w:sz="8" w:space="0" w:color="auto"/>
              <w:bottom w:val="single" w:sz="8" w:space="0" w:color="auto"/>
              <w:right w:val="single" w:sz="8" w:space="0" w:color="auto"/>
            </w:tcBorders>
          </w:tcPr>
          <w:p w:rsidR="4A0983D7" w:rsidP="5DC4D323" w14:paraId="628121B5" w14:textId="4E6C4CD8">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10</w:t>
            </w:r>
          </w:p>
        </w:tc>
        <w:tc>
          <w:tcPr>
            <w:tcW w:w="1800" w:type="dxa"/>
            <w:tcBorders>
              <w:top w:val="single" w:sz="8" w:space="0" w:color="auto"/>
              <w:left w:val="single" w:sz="8" w:space="0" w:color="auto"/>
              <w:bottom w:val="single" w:sz="8" w:space="0" w:color="auto"/>
              <w:right w:val="single" w:sz="8" w:space="0" w:color="auto"/>
            </w:tcBorders>
          </w:tcPr>
          <w:p w:rsidR="4A0983D7" w:rsidP="5DC4D323" w14:paraId="1B96E552" w14:textId="23756F9E">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520</w:t>
            </w:r>
          </w:p>
        </w:tc>
      </w:tr>
      <w:tr w14:paraId="5B51CD6E" w14:textId="77777777" w:rsidTr="5DC4D323">
        <w:tblPrEx>
          <w:tblW w:w="0" w:type="auto"/>
          <w:tblLayout w:type="fixed"/>
          <w:tblLook w:val="04A0"/>
        </w:tblPrEx>
        <w:tc>
          <w:tcPr>
            <w:tcW w:w="2265" w:type="dxa"/>
            <w:tcBorders>
              <w:top w:val="single" w:sz="8" w:space="0" w:color="auto"/>
              <w:left w:val="single" w:sz="8" w:space="0" w:color="auto"/>
              <w:bottom w:val="single" w:sz="8" w:space="0" w:color="auto"/>
              <w:right w:val="single" w:sz="8" w:space="0" w:color="auto"/>
            </w:tcBorders>
          </w:tcPr>
          <w:p w:rsidR="4A0983D7" w:rsidP="5DC4D323" w14:paraId="41C58AD4" w14:textId="463DF73B">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 </w:t>
            </w:r>
          </w:p>
        </w:tc>
        <w:tc>
          <w:tcPr>
            <w:tcW w:w="2295" w:type="dxa"/>
            <w:tcBorders>
              <w:top w:val="single" w:sz="8" w:space="0" w:color="auto"/>
              <w:left w:val="single" w:sz="8" w:space="0" w:color="auto"/>
              <w:bottom w:val="single" w:sz="8" w:space="0" w:color="auto"/>
              <w:right w:val="single" w:sz="8" w:space="0" w:color="auto"/>
            </w:tcBorders>
          </w:tcPr>
          <w:p w:rsidR="4A0983D7" w:rsidP="5DC4D323" w14:paraId="4BBFC8D2" w14:textId="2BAE95FC">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4</w:t>
            </w:r>
            <w:r w:rsidRPr="5DC4D323" w:rsidR="4A82CD80">
              <w:rPr>
                <w:rFonts w:ascii="Avenir Next LT Pro" w:eastAsia="Avenir Next LT Pro" w:hAnsi="Avenir Next LT Pro" w:cs="Avenir Next LT Pro"/>
                <w:szCs w:val="24"/>
              </w:rPr>
              <w:t>54</w:t>
            </w:r>
          </w:p>
        </w:tc>
        <w:tc>
          <w:tcPr>
            <w:tcW w:w="2265" w:type="dxa"/>
            <w:tcBorders>
              <w:top w:val="single" w:sz="8" w:space="0" w:color="auto"/>
              <w:left w:val="single" w:sz="8" w:space="0" w:color="auto"/>
              <w:bottom w:val="single" w:sz="8" w:space="0" w:color="auto"/>
              <w:right w:val="single" w:sz="8" w:space="0" w:color="auto"/>
            </w:tcBorders>
          </w:tcPr>
          <w:p w:rsidR="4A0983D7" w:rsidP="5DC4D323" w14:paraId="0E43BFD2" w14:textId="197AC86C">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w:t>
            </w:r>
          </w:p>
        </w:tc>
        <w:tc>
          <w:tcPr>
            <w:tcW w:w="1800" w:type="dxa"/>
            <w:tcBorders>
              <w:top w:val="single" w:sz="8" w:space="0" w:color="auto"/>
              <w:left w:val="single" w:sz="8" w:space="0" w:color="auto"/>
              <w:bottom w:val="single" w:sz="8" w:space="0" w:color="auto"/>
              <w:right w:val="single" w:sz="8" w:space="0" w:color="auto"/>
            </w:tcBorders>
          </w:tcPr>
          <w:p w:rsidR="4A0983D7" w:rsidP="5DC4D323" w14:paraId="55581A93" w14:textId="635FCE1E">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w:t>
            </w:r>
            <w:r w:rsidRPr="5DC4D323" w:rsidR="1FB859F5">
              <w:rPr>
                <w:rFonts w:ascii="Avenir Next LT Pro" w:eastAsia="Avenir Next LT Pro" w:hAnsi="Avenir Next LT Pro" w:cs="Avenir Next LT Pro"/>
                <w:szCs w:val="24"/>
              </w:rPr>
              <w:t>2,2</w:t>
            </w:r>
            <w:r w:rsidRPr="5DC4D323" w:rsidR="50B9B168">
              <w:rPr>
                <w:rFonts w:ascii="Avenir Next LT Pro" w:eastAsia="Avenir Next LT Pro" w:hAnsi="Avenir Next LT Pro" w:cs="Avenir Next LT Pro"/>
                <w:szCs w:val="24"/>
              </w:rPr>
              <w:t>40</w:t>
            </w:r>
            <w:r w:rsidRPr="5DC4D323" w:rsidR="1D275607">
              <w:rPr>
                <w:rFonts w:ascii="Avenir Next LT Pro" w:eastAsia="Avenir Next LT Pro" w:hAnsi="Avenir Next LT Pro" w:cs="Avenir Next LT Pro"/>
                <w:szCs w:val="24"/>
              </w:rPr>
              <w:t xml:space="preserve"> </w:t>
            </w:r>
          </w:p>
        </w:tc>
      </w:tr>
    </w:tbl>
    <w:p w:rsidR="6F6700D0" w:rsidP="5DC4D323" w14:paraId="4EAF7BFE" w14:textId="5D2F0D01">
      <w:pPr>
        <w:pStyle w:val="ListParagraph"/>
        <w:widowControl w:val="0"/>
        <w:tabs>
          <w:tab w:val="left" w:pos="820"/>
          <w:tab w:val="left" w:pos="821"/>
        </w:tabs>
        <w:ind w:left="360" w:right="195"/>
        <w:rPr>
          <w:rFonts w:ascii="Avenir Next LT Pro" w:eastAsia="Avenir Next LT Pro" w:hAnsi="Avenir Next LT Pro" w:cs="Avenir Next LT Pro"/>
          <w:szCs w:val="24"/>
        </w:rPr>
      </w:pPr>
    </w:p>
    <w:p w:rsidR="005E436B" w:rsidP="5DC4D323" w14:paraId="7D7658E8" w14:textId="34BA8D58">
      <w:pPr>
        <w:pStyle w:val="ListParagraph"/>
        <w:widowControl w:val="0"/>
        <w:tabs>
          <w:tab w:val="left" w:pos="820"/>
          <w:tab w:val="left" w:pos="821"/>
        </w:tabs>
        <w:overflowPunct/>
        <w:adjustRightInd/>
        <w:ind w:left="0" w:right="195"/>
        <w:textAlignment w:val="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Based on the responses received during </w:t>
      </w:r>
      <w:r w:rsidRPr="5DC4D323" w:rsidR="3A4A9DAC">
        <w:rPr>
          <w:rFonts w:ascii="Avenir Next LT Pro" w:eastAsia="Avenir Next LT Pro" w:hAnsi="Avenir Next LT Pro" w:cs="Avenir Next LT Pro"/>
          <w:szCs w:val="24"/>
        </w:rPr>
        <w:t xml:space="preserve">past </w:t>
      </w:r>
      <w:r w:rsidRPr="5DC4D323">
        <w:rPr>
          <w:rFonts w:ascii="Avenir Next LT Pro" w:eastAsia="Avenir Next LT Pro" w:hAnsi="Avenir Next LT Pro" w:cs="Avenir Next LT Pro"/>
          <w:szCs w:val="24"/>
        </w:rPr>
        <w:t>consultation with grantees, the average</w:t>
      </w:r>
      <w:r w:rsidRPr="5DC4D323" w:rsidR="45EBFB47">
        <w:rPr>
          <w:rFonts w:ascii="Avenir Next LT Pro" w:eastAsia="Avenir Next LT Pro" w:hAnsi="Avenir Next LT Pro" w:cs="Avenir Next LT Pro"/>
          <w:szCs w:val="24"/>
        </w:rPr>
        <w:t xml:space="preserve"> hourly salary for</w:t>
      </w:r>
      <w:r w:rsidRPr="5DC4D323" w:rsidR="1D872628">
        <w:rPr>
          <w:rFonts w:ascii="Avenir Next LT Pro" w:eastAsia="Avenir Next LT Pro" w:hAnsi="Avenir Next LT Pro" w:cs="Avenir Next LT Pro"/>
          <w:szCs w:val="24"/>
        </w:rPr>
        <w:t xml:space="preserve"> grantee staff is $</w:t>
      </w:r>
      <w:r w:rsidRPr="5DC4D323" w:rsidR="4FB41814">
        <w:rPr>
          <w:rFonts w:ascii="Avenir Next LT Pro" w:eastAsia="Avenir Next LT Pro" w:hAnsi="Avenir Next LT Pro" w:cs="Avenir Next LT Pro"/>
          <w:szCs w:val="24"/>
        </w:rPr>
        <w:t>60</w:t>
      </w:r>
      <w:r w:rsidRPr="5DC4D323" w:rsidR="4B54E45B">
        <w:rPr>
          <w:rFonts w:ascii="Avenir Next LT Pro" w:eastAsia="Avenir Next LT Pro" w:hAnsi="Avenir Next LT Pro" w:cs="Avenir Next LT Pro"/>
          <w:szCs w:val="24"/>
        </w:rPr>
        <w:t xml:space="preserve"> (increased from $45 per response)</w:t>
      </w:r>
      <w:r w:rsidRPr="5DC4D323" w:rsidR="3DB445DA">
        <w:rPr>
          <w:rFonts w:ascii="Avenir Next LT Pro" w:eastAsia="Avenir Next LT Pro" w:hAnsi="Avenir Next LT Pro" w:cs="Avenir Next LT Pro"/>
          <w:szCs w:val="24"/>
        </w:rPr>
        <w:t>, for a total hourly cost of $</w:t>
      </w:r>
      <w:r w:rsidRPr="5DC4D323" w:rsidR="751DABA6">
        <w:rPr>
          <w:rFonts w:ascii="Avenir Next LT Pro" w:eastAsia="Avenir Next LT Pro" w:hAnsi="Avenir Next LT Pro" w:cs="Avenir Next LT Pro"/>
          <w:szCs w:val="24"/>
        </w:rPr>
        <w:t>734</w:t>
      </w:r>
      <w:r w:rsidRPr="5DC4D323" w:rsidR="00FC75F1">
        <w:rPr>
          <w:rFonts w:ascii="Avenir Next LT Pro" w:eastAsia="Avenir Next LT Pro" w:hAnsi="Avenir Next LT Pro" w:cs="Avenir Next LT Pro"/>
          <w:szCs w:val="24"/>
        </w:rPr>
        <w:t>,400</w:t>
      </w:r>
      <w:r w:rsidRPr="5DC4D323" w:rsidR="3DB445DA">
        <w:rPr>
          <w:rFonts w:ascii="Avenir Next LT Pro" w:eastAsia="Avenir Next LT Pro" w:hAnsi="Avenir Next LT Pro" w:cs="Avenir Next LT Pro"/>
          <w:szCs w:val="24"/>
        </w:rPr>
        <w:t>.</w:t>
      </w:r>
      <w:r w:rsidRPr="5DC4D323" w:rsidR="2C89D0F3">
        <w:rPr>
          <w:rFonts w:ascii="Avenir Next LT Pro" w:eastAsia="Avenir Next LT Pro" w:hAnsi="Avenir Next LT Pro" w:cs="Avenir Next LT Pro"/>
          <w:szCs w:val="24"/>
        </w:rPr>
        <w:t xml:space="preserve"> </w:t>
      </w:r>
      <w:r w:rsidRPr="5DC4D323" w:rsidR="10BE44BB">
        <w:rPr>
          <w:rFonts w:ascii="Avenir Next LT Pro" w:eastAsia="Avenir Next LT Pro" w:hAnsi="Avenir Next LT Pro" w:cs="Avenir Next LT Pro"/>
          <w:szCs w:val="24"/>
        </w:rPr>
        <w:t xml:space="preserve">All calculations for </w:t>
      </w:r>
      <w:r w:rsidRPr="5DC4D323" w:rsidR="1C542B8B">
        <w:rPr>
          <w:rFonts w:ascii="Avenir Next LT Pro" w:eastAsia="Avenir Next LT Pro" w:hAnsi="Avenir Next LT Pro" w:cs="Avenir Next LT Pro"/>
          <w:szCs w:val="24"/>
        </w:rPr>
        <w:t>c</w:t>
      </w:r>
      <w:r w:rsidRPr="5DC4D323" w:rsidR="10BE44BB">
        <w:rPr>
          <w:rFonts w:ascii="Avenir Next LT Pro" w:eastAsia="Avenir Next LT Pro" w:hAnsi="Avenir Next LT Pro" w:cs="Avenir Next LT Pro"/>
          <w:szCs w:val="24"/>
        </w:rPr>
        <w:t xml:space="preserve">ost </w:t>
      </w:r>
      <w:r w:rsidRPr="5DC4D323" w:rsidR="1C542B8B">
        <w:rPr>
          <w:rFonts w:ascii="Avenir Next LT Pro" w:eastAsia="Avenir Next LT Pro" w:hAnsi="Avenir Next LT Pro" w:cs="Avenir Next LT Pro"/>
          <w:szCs w:val="24"/>
        </w:rPr>
        <w:t>b</w:t>
      </w:r>
      <w:r w:rsidRPr="5DC4D323" w:rsidR="10BE44BB">
        <w:rPr>
          <w:rFonts w:ascii="Avenir Next LT Pro" w:eastAsia="Avenir Next LT Pro" w:hAnsi="Avenir Next LT Pro" w:cs="Avenir Next LT Pro"/>
          <w:szCs w:val="24"/>
        </w:rPr>
        <w:t xml:space="preserve">urden use this </w:t>
      </w:r>
      <w:r w:rsidRPr="5DC4D323" w:rsidR="1C542B8B">
        <w:rPr>
          <w:rFonts w:ascii="Avenir Next LT Pro" w:eastAsia="Avenir Next LT Pro" w:hAnsi="Avenir Next LT Pro" w:cs="Avenir Next LT Pro"/>
          <w:szCs w:val="24"/>
        </w:rPr>
        <w:t xml:space="preserve">value </w:t>
      </w:r>
      <w:r w:rsidRPr="5DC4D323" w:rsidR="10BE44BB">
        <w:rPr>
          <w:rFonts w:ascii="Avenir Next LT Pro" w:eastAsia="Avenir Next LT Pro" w:hAnsi="Avenir Next LT Pro" w:cs="Avenir Next LT Pro"/>
          <w:szCs w:val="24"/>
        </w:rPr>
        <w:t xml:space="preserve">multiplied by the hours </w:t>
      </w:r>
      <w:r w:rsidRPr="5DC4D323" w:rsidR="415BC6F7">
        <w:rPr>
          <w:rFonts w:ascii="Avenir Next LT Pro" w:eastAsia="Avenir Next LT Pro" w:hAnsi="Avenir Next LT Pro" w:cs="Avenir Next LT Pro"/>
          <w:szCs w:val="24"/>
        </w:rPr>
        <w:t xml:space="preserve">dedicated to </w:t>
      </w:r>
      <w:r w:rsidRPr="5DC4D323" w:rsidR="009F6324">
        <w:rPr>
          <w:rFonts w:ascii="Avenir Next LT Pro" w:eastAsia="Avenir Next LT Pro" w:hAnsi="Avenir Next LT Pro" w:cs="Avenir Next LT Pro"/>
          <w:szCs w:val="24"/>
        </w:rPr>
        <w:t>completing the PPR.</w:t>
      </w:r>
      <w:r w:rsidRPr="5DC4D323" w:rsidR="77A92C5D">
        <w:rPr>
          <w:rFonts w:ascii="Avenir Next LT Pro" w:eastAsia="Avenir Next LT Pro" w:hAnsi="Avenir Next LT Pro" w:cs="Avenir Next LT Pro"/>
          <w:szCs w:val="24"/>
        </w:rPr>
        <w:t xml:space="preserve"> Similarly, the estimate of the cost per response for Commission Investment Funds and Commission Support Grants was increased from $225 per response to $</w:t>
      </w:r>
      <w:r w:rsidRPr="5DC4D323" w:rsidR="79087833">
        <w:rPr>
          <w:rFonts w:ascii="Avenir Next LT Pro" w:eastAsia="Avenir Next LT Pro" w:hAnsi="Avenir Next LT Pro" w:cs="Avenir Next LT Pro"/>
          <w:szCs w:val="24"/>
        </w:rPr>
        <w:t>300 per response, for a total hourly cost of $62,400.</w:t>
      </w:r>
    </w:p>
    <w:p w:rsidR="005E436B" w:rsidP="5DC4D323" w14:paraId="7DFA3AB8" w14:textId="1742377B">
      <w:pPr>
        <w:pStyle w:val="NormalWeb"/>
        <w:widowControl w:val="0"/>
        <w:tabs>
          <w:tab w:val="left" w:pos="360"/>
          <w:tab w:val="left" w:pos="720"/>
          <w:tab w:val="left" w:pos="1080"/>
          <w:tab w:val="left" w:pos="1440"/>
        </w:tabs>
        <w:spacing w:before="0" w:beforeAutospacing="0" w:after="0" w:afterAutospacing="0"/>
        <w:rPr>
          <w:rFonts w:ascii="Avenir Next LT Pro" w:eastAsia="Avenir Next LT Pro" w:hAnsi="Avenir Next LT Pro" w:cs="Avenir Next LT Pro"/>
          <w:u w:val="single"/>
        </w:rPr>
      </w:pPr>
    </w:p>
    <w:p w:rsidR="00CB0981" w:rsidRPr="00915869" w:rsidP="5DC4D323" w14:paraId="587708E3" w14:textId="77777777">
      <w:pPr>
        <w:pStyle w:val="Default"/>
        <w:widowControl w:val="0"/>
        <w:rPr>
          <w:rFonts w:ascii="Avenir Next LT Pro" w:eastAsia="Avenir Next LT Pro" w:hAnsi="Avenir Next LT Pro" w:cs="Avenir Next LT Pro"/>
          <w:color w:val="auto"/>
        </w:rPr>
      </w:pPr>
    </w:p>
    <w:tbl>
      <w:tblPr>
        <w:tblW w:w="5000" w:type="pct"/>
        <w:tblCellSpacing w:w="22" w:type="dxa"/>
        <w:tblCellMar>
          <w:left w:w="0" w:type="dxa"/>
          <w:right w:w="0" w:type="dxa"/>
        </w:tblCellMar>
        <w:tblLook w:val="04A0"/>
      </w:tblPr>
      <w:tblGrid>
        <w:gridCol w:w="9360"/>
      </w:tblGrid>
      <w:tr w14:paraId="348262C3" w14:textId="77777777" w:rsidTr="5DC4D323">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21"/>
              <w:gridCol w:w="1285"/>
              <w:gridCol w:w="1237"/>
              <w:gridCol w:w="1263"/>
              <w:gridCol w:w="1387"/>
              <w:gridCol w:w="1084"/>
              <w:gridCol w:w="1249"/>
            </w:tblGrid>
            <w:tr w14:paraId="007E05CC" w14:textId="77777777" w:rsidTr="5DC4D323">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3F424691" w14:textId="655295BC">
                  <w:pPr>
                    <w:widowControl w:val="0"/>
                    <w:rPr>
                      <w:rFonts w:ascii="Avenir Next LT Pro" w:eastAsia="Avenir Next LT Pro" w:hAnsi="Avenir Next LT Pro" w:cs="Avenir Next LT Pro"/>
                      <w:b/>
                      <w:bCs/>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6C9A0822" w14:textId="2C473F30">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6C36E9EC" w14:textId="444FF1E0">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11B90064" w14:textId="49FEE542">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0150C756" w14:textId="52ADE85F">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12FBDAE7" w14:textId="74B864B7">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63098D49" w14:textId="60FCC95F">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Previously Approved</w:t>
                  </w:r>
                </w:p>
              </w:tc>
            </w:tr>
            <w:tr w14:paraId="6750197D" w14:textId="77777777" w:rsidTr="5DC4D323">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7DB11DDA" w14:textId="5CC63C51">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0ED31DA0" w14:textId="6ED9EAC5">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454</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542431A8" w14:textId="50D17146">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0B91CC28" w14:textId="0E5D463F">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7351D100" w14:textId="188A756B">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24CBEF3A" w14:textId="63330FFE">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3EA55239" w14:textId="0A5266BE">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454</w:t>
                  </w:r>
                </w:p>
              </w:tc>
            </w:tr>
            <w:tr w14:paraId="7371ED47" w14:textId="77777777" w:rsidTr="5DC4D323">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06EEC6E0" w14:textId="3C04E4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11503986" w14:textId="3435D4F4">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12,240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4DBB7B5B" w14:textId="0DF37701">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2C783C4F" w14:textId="0F34FAAA">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1BAE6BE8" w14:textId="02079FCF">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0D6E6885" w14:textId="38F9729E">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5FAC637F" w14:textId="212CA033">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12,240</w:t>
                  </w:r>
                </w:p>
              </w:tc>
            </w:tr>
            <w:tr w14:paraId="5A736FEC" w14:textId="77777777" w:rsidTr="5DC4D323">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15869" w:rsidP="5DC4D323" w14:paraId="74A8BD71" w14:textId="22BD786F">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0878939C" w14:textId="41B57F6D">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734,400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14C38F62" w14:textId="50291C68">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2D604F8F" w14:textId="1CDE1F94">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62D8FA30" w14:textId="2C1F9630">
                  <w:pPr>
                    <w:spacing w:line="259" w:lineRule="auto"/>
                    <w:rPr>
                      <w:rFonts w:ascii="Avenir Next LT Pro" w:eastAsia="Avenir Next LT Pro" w:hAnsi="Avenir Next LT Pro" w:cs="Avenir Next LT Pro"/>
                      <w:szCs w:val="24"/>
                    </w:rPr>
                  </w:pPr>
                  <w:r>
                    <w:rPr>
                      <w:rFonts w:ascii="Avenir Next LT Pro" w:eastAsia="Avenir Next LT Pro" w:hAnsi="Avenir Next LT Pro" w:cs="Avenir Next LT Pro"/>
                      <w:szCs w:val="24"/>
                    </w:rPr>
                    <w:t>26,100</w:t>
                  </w:r>
                </w:p>
              </w:tc>
              <w:tc>
                <w:tcPr>
                  <w:tcW w:w="52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3902EA17" w14:textId="54AEEE1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B43BD8" w:rsidRPr="009468E2" w:rsidP="5DC4D323" w14:paraId="3FDB485A" w14:textId="6DE40B7A">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734,400</w:t>
                  </w:r>
                </w:p>
              </w:tc>
            </w:tr>
          </w:tbl>
          <w:p w:rsidR="00CB0981" w:rsidRPr="00915869" w:rsidP="5DC4D323" w14:paraId="199998AA" w14:textId="77777777">
            <w:pPr>
              <w:widowControl w:val="0"/>
              <w:rPr>
                <w:rFonts w:ascii="Avenir Next LT Pro" w:eastAsia="Avenir Next LT Pro" w:hAnsi="Avenir Next LT Pro" w:cs="Avenir Next LT Pro"/>
                <w:szCs w:val="24"/>
              </w:rPr>
            </w:pPr>
          </w:p>
        </w:tc>
      </w:tr>
    </w:tbl>
    <w:p w:rsidR="00CB0981" w:rsidRPr="00915869" w:rsidP="5DC4D323" w14:paraId="746F0968" w14:textId="77777777">
      <w:pPr>
        <w:pStyle w:val="Default"/>
        <w:widowControl w:val="0"/>
        <w:rPr>
          <w:rFonts w:ascii="Avenir Next LT Pro" w:eastAsia="Avenir Next LT Pro" w:hAnsi="Avenir Next LT Pro" w:cs="Avenir Next LT Pro"/>
        </w:rPr>
      </w:pPr>
    </w:p>
    <w:p w:rsidR="0D54656C" w:rsidP="5DC4D323" w14:paraId="7040365D" w14:textId="7CD6B273">
      <w:pPr>
        <w:pStyle w:val="Default"/>
        <w:widowControl w:val="0"/>
        <w:rPr>
          <w:rFonts w:ascii="Avenir Next LT Pro" w:eastAsia="Avenir Next LT Pro" w:hAnsi="Avenir Next LT Pro" w:cs="Avenir Next LT Pro"/>
          <w:color w:val="000000" w:themeColor="text1"/>
        </w:rPr>
      </w:pPr>
      <w:r w:rsidRPr="5DC4D323">
        <w:rPr>
          <w:rFonts w:ascii="Avenir Next LT Pro" w:eastAsia="Avenir Next LT Pro" w:hAnsi="Avenir Next LT Pro" w:cs="Avenir Next LT Pro"/>
          <w:b/>
          <w:bCs/>
          <w:color w:val="000000" w:themeColor="text1"/>
        </w:rPr>
        <w:t xml:space="preserve">For AmeriCorps State and National (350 respondents):  </w:t>
      </w:r>
    </w:p>
    <w:tbl>
      <w:tblPr>
        <w:tblW w:w="5000" w:type="pct"/>
        <w:tblCellSpacing w:w="22" w:type="dxa"/>
        <w:tblCellMar>
          <w:left w:w="0" w:type="dxa"/>
          <w:right w:w="0" w:type="dxa"/>
        </w:tblCellMar>
        <w:tblLook w:val="04A0"/>
      </w:tblPr>
      <w:tblGrid>
        <w:gridCol w:w="9248"/>
        <w:gridCol w:w="112"/>
      </w:tblGrid>
      <w:tr w14:paraId="4425DE0B" w14:textId="77777777" w:rsidTr="5DC4D323">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5DC4D323" w14:paraId="62C8C793"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5DC4D323">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4B9D48B7"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6BFB670D" w14:textId="6D58698A">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26AD3E02"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5F3095F0"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Cost Per Response </w:t>
                  </w:r>
                </w:p>
              </w:tc>
            </w:tr>
            <w:tr w14:paraId="065BCFFA" w14:textId="77777777" w:rsidTr="5DC4D323">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00912CBF"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5C6E4532" w14:textId="4DC0398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16</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0D6176A5" w14:textId="7748BE0C">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16</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468E2" w:rsidP="5DC4D323" w14:paraId="6F1150F6" w14:textId="1A41AC2F">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DC3D72">
                    <w:rPr>
                      <w:rFonts w:ascii="Avenir Next LT Pro" w:eastAsia="Avenir Next LT Pro" w:hAnsi="Avenir Next LT Pro" w:cs="Avenir Next LT Pro"/>
                      <w:szCs w:val="24"/>
                    </w:rPr>
                    <w:t>60</w:t>
                  </w:r>
                </w:p>
              </w:tc>
            </w:tr>
            <w:tr w14:paraId="1860E121" w14:textId="77777777" w:rsidTr="5DC4D323">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0B465ECC"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25AF7BB2" w14:textId="1738B905">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16</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58292F5C" w14:textId="3CA158ED">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16</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468E2" w:rsidP="5DC4D323" w14:paraId="3F0AB224" w14:textId="64775406">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DC3D72">
                    <w:rPr>
                      <w:rFonts w:ascii="Avenir Next LT Pro" w:eastAsia="Avenir Next LT Pro" w:hAnsi="Avenir Next LT Pro" w:cs="Avenir Next LT Pro"/>
                      <w:szCs w:val="24"/>
                    </w:rPr>
                    <w:t>60</w:t>
                  </w:r>
                </w:p>
              </w:tc>
            </w:tr>
            <w:tr w14:paraId="2B4EFC4C" w14:textId="77777777" w:rsidTr="5DC4D323">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57A95E7E"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179AE7C2" w14:textId="7E347BF8">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2CB9CB1B" w14:textId="69A527C5">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6EB1852D" w14:textId="22FAB61B">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r>
            <w:tr w14:paraId="42676A53" w14:textId="77777777" w:rsidTr="5DC4D323">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1031A749"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5BEB4D6C" w14:textId="12494C18">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  </w:t>
                  </w:r>
                  <w:r w:rsidRPr="5DC4D323" w:rsidR="08487115">
                    <w:rPr>
                      <w:rFonts w:ascii="Avenir Next LT Pro" w:eastAsia="Avenir Next LT Pro" w:hAnsi="Avenir Next LT Pro" w:cs="Avenir Next LT Pro"/>
                      <w:szCs w:val="24"/>
                    </w:rPr>
                    <w:t>32</w:t>
                  </w:r>
                </w:p>
              </w:tc>
              <w:tc>
                <w:tcPr>
                  <w:tcW w:w="122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6D060106" w14:textId="26CF18EB">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w:t>
                  </w:r>
                  <w:r w:rsidRPr="5DC4D323" w:rsidR="00181C40">
                    <w:rPr>
                      <w:rFonts w:ascii="Avenir Next LT Pro" w:eastAsia="Avenir Next LT Pro" w:hAnsi="Avenir Next LT Pro" w:cs="Avenir Next LT Pro"/>
                      <w:szCs w:val="24"/>
                    </w:rPr>
                    <w:t>32</w:t>
                  </w:r>
                </w:p>
              </w:tc>
              <w:tc>
                <w:tcPr>
                  <w:tcW w:w="141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1A622663" w14:textId="23634169">
                  <w:pPr>
                    <w:widowControl w:val="0"/>
                    <w:jc w:val="right"/>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3E43ABEF">
                    <w:rPr>
                      <w:rFonts w:ascii="Avenir Next LT Pro" w:eastAsia="Avenir Next LT Pro" w:hAnsi="Avenir Next LT Pro" w:cs="Avenir Next LT Pro"/>
                      <w:szCs w:val="24"/>
                    </w:rPr>
                    <w:t>1</w:t>
                  </w:r>
                  <w:r w:rsidRPr="5DC4D323" w:rsidR="00DD66A7">
                    <w:rPr>
                      <w:rFonts w:ascii="Avenir Next LT Pro" w:eastAsia="Avenir Next LT Pro" w:hAnsi="Avenir Next LT Pro" w:cs="Avenir Next LT Pro"/>
                      <w:szCs w:val="24"/>
                    </w:rPr>
                    <w:t>20</w:t>
                  </w:r>
                  <w:r w:rsidRPr="5DC4D323" w:rsidR="54961CAC">
                    <w:rPr>
                      <w:rFonts w:ascii="Avenir Next LT Pro" w:eastAsia="Avenir Next LT Pro" w:hAnsi="Avenir Next LT Pro" w:cs="Avenir Next LT Pro"/>
                      <w:szCs w:val="24"/>
                    </w:rPr>
                    <w:t> </w:t>
                  </w:r>
                </w:p>
              </w:tc>
            </w:tr>
          </w:tbl>
          <w:p w:rsidR="00CB0981" w:rsidRPr="00915869" w:rsidP="5DC4D323" w14:paraId="543A1140" w14:textId="38CE2648">
            <w:pPr>
              <w:widowControl w:val="0"/>
              <w:rPr>
                <w:rFonts w:ascii="Avenir Next LT Pro" w:eastAsia="Avenir Next LT Pro" w:hAnsi="Avenir Next LT Pro" w:cs="Avenir Next LT Pro"/>
                <w:szCs w:val="24"/>
              </w:rPr>
            </w:pPr>
          </w:p>
          <w:p w:rsidR="00CB0981" w:rsidRPr="007F1768" w:rsidP="5DC4D323" w14:paraId="1C12A343"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Annual Burden: </w:t>
            </w:r>
          </w:p>
          <w:tbl>
            <w:tblPr>
              <w:tblW w:w="0" w:type="auto"/>
              <w:tblBorders>
                <w:top w:val="outset" w:sz="6" w:space="0" w:color="auto"/>
                <w:left w:val="outset" w:sz="6" w:space="0" w:color="auto"/>
                <w:bottom w:val="outset" w:sz="6" w:space="0" w:color="auto"/>
                <w:right w:val="outset" w:sz="6" w:space="0" w:color="auto"/>
              </w:tblBorders>
              <w:tblLook w:val="04A0"/>
            </w:tblPr>
            <w:tblGrid>
              <w:gridCol w:w="1661"/>
              <w:gridCol w:w="3229"/>
              <w:gridCol w:w="3268"/>
            </w:tblGrid>
            <w:tr w14:paraId="490177EC" w14:textId="77777777" w:rsidTr="5DC4D323">
              <w:tblPrEx>
                <w:tblW w:w="0" w:type="auto"/>
                <w:tblBorders>
                  <w:top w:val="outset" w:sz="6" w:space="0" w:color="auto"/>
                  <w:left w:val="outset" w:sz="6" w:space="0" w:color="auto"/>
                  <w:bottom w:val="outset" w:sz="6" w:space="0" w:color="auto"/>
                  <w:right w:val="outset" w:sz="6" w:space="0" w:color="auto"/>
                </w:tblBorders>
                <w:tblLook w:val="04A0"/>
              </w:tblPrEx>
              <w:tc>
                <w:tcPr>
                  <w:tcW w:w="1661"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RPr="009468E2" w:rsidP="5DC4D323" w14:paraId="66DA685B"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  </w:t>
                  </w:r>
                </w:p>
              </w:tc>
              <w:tc>
                <w:tcPr>
                  <w:tcW w:w="3229"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RPr="009468E2" w:rsidP="5DC4D323" w14:paraId="35554DF7"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Annual Time Burden (Hours) </w:t>
                  </w:r>
                </w:p>
              </w:tc>
              <w:tc>
                <w:tcPr>
                  <w:tcW w:w="3268"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RPr="009468E2" w:rsidP="5DC4D323" w14:paraId="5E2EB392"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Annual Cost Burden</w:t>
                  </w:r>
                </w:p>
                <w:p w:rsidR="4007CB31" w:rsidRPr="009468E2" w:rsidP="5DC4D323" w14:paraId="7A50DA4D" w14:textId="6B161D14">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(Dollars) </w:t>
                  </w:r>
                </w:p>
              </w:tc>
            </w:tr>
            <w:tr w14:paraId="2D6C9CE5" w14:textId="77777777" w:rsidTr="5DC4D323">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3922C5AF"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Reporting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2DD279C0" w:rsidRPr="009468E2" w:rsidP="5DC4D323" w14:paraId="5BD462BD" w14:textId="6F766075">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5,600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2DD279C0" w:rsidRPr="009468E2" w:rsidP="5DC4D323" w14:paraId="0B700E83" w14:textId="31D10D4C">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9468E2">
                    <w:rPr>
                      <w:rFonts w:ascii="Avenir Next LT Pro" w:eastAsia="Avenir Next LT Pro" w:hAnsi="Avenir Next LT Pro" w:cs="Avenir Next LT Pro"/>
                      <w:szCs w:val="24"/>
                    </w:rPr>
                    <w:t>21,000</w:t>
                  </w:r>
                </w:p>
              </w:tc>
            </w:tr>
            <w:tr w14:paraId="470C729D" w14:textId="77777777" w:rsidTr="5DC4D323">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125F2B67"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Record Keeping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14EC8E93" w14:textId="6F766075">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5,600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77D6818B" w14:textId="3BF7E045">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9468E2">
                    <w:rPr>
                      <w:rFonts w:ascii="Avenir Next LT Pro" w:eastAsia="Avenir Next LT Pro" w:hAnsi="Avenir Next LT Pro" w:cs="Avenir Next LT Pro"/>
                      <w:szCs w:val="24"/>
                    </w:rPr>
                    <w:t>21,000</w:t>
                  </w:r>
                </w:p>
              </w:tc>
            </w:tr>
            <w:tr w14:paraId="08487838" w14:textId="77777777" w:rsidTr="5DC4D323">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13DAA48C"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Third Party Disclosure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2414BDAB" w14:textId="308B8E92">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11575E15" w14:textId="1726A4A1">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0 </w:t>
                  </w:r>
                </w:p>
              </w:tc>
            </w:tr>
            <w:tr w14:paraId="4749DCD7" w14:textId="77777777" w:rsidTr="5DC4D323">
              <w:tblPrEx>
                <w:tblW w:w="0" w:type="auto"/>
                <w:tblLook w:val="04A0"/>
              </w:tblPrEx>
              <w:tc>
                <w:tcPr>
                  <w:tcW w:w="1661"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11A7829D"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Total </w:t>
                  </w:r>
                </w:p>
              </w:tc>
              <w:tc>
                <w:tcPr>
                  <w:tcW w:w="3229"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2B28B996" w14:textId="220C55D9">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w:t>
                  </w:r>
                  <w:r w:rsidRPr="5DC4D323" w:rsidR="5A8A5F5C">
                    <w:rPr>
                      <w:rFonts w:ascii="Avenir Next LT Pro" w:eastAsia="Avenir Next LT Pro" w:hAnsi="Avenir Next LT Pro" w:cs="Avenir Next LT Pro"/>
                      <w:szCs w:val="24"/>
                    </w:rPr>
                    <w:t>1,20</w:t>
                  </w:r>
                  <w:r w:rsidRPr="5DC4D323">
                    <w:rPr>
                      <w:rFonts w:ascii="Avenir Next LT Pro" w:eastAsia="Avenir Next LT Pro" w:hAnsi="Avenir Next LT Pro" w:cs="Avenir Next LT Pro"/>
                      <w:szCs w:val="24"/>
                    </w:rPr>
                    <w:t>0</w:t>
                  </w:r>
                </w:p>
              </w:tc>
              <w:tc>
                <w:tcPr>
                  <w:tcW w:w="326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2CC1A21B" w:rsidRPr="009468E2" w:rsidP="5DC4D323" w14:paraId="0EEEE376" w14:textId="2F6391BB">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9468E2">
                    <w:rPr>
                      <w:rFonts w:ascii="Avenir Next LT Pro" w:eastAsia="Avenir Next LT Pro" w:hAnsi="Avenir Next LT Pro" w:cs="Avenir Next LT Pro"/>
                      <w:szCs w:val="24"/>
                    </w:rPr>
                    <w:t>42,000</w:t>
                  </w:r>
                </w:p>
              </w:tc>
            </w:tr>
          </w:tbl>
          <w:p w:rsidR="00CB0981" w:rsidRPr="00915869" w:rsidP="5DC4D323" w14:paraId="11FFF269" w14:textId="564772EB">
            <w:pPr>
              <w:widowControl w:val="0"/>
              <w:rPr>
                <w:rFonts w:ascii="Avenir Next LT Pro" w:eastAsia="Avenir Next LT Pro" w:hAnsi="Avenir Next LT Pro" w:cs="Avenir Next LT Pro"/>
                <w:szCs w:val="24"/>
              </w:rPr>
            </w:pPr>
          </w:p>
          <w:p w:rsidR="00CB0981" w:rsidRPr="00915869" w:rsidP="5DC4D323" w14:paraId="1466BB23" w14:textId="46E4F536">
            <w:pPr>
              <w:widowControl w:val="0"/>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For Commission Investment Funds and Commission Support Grants</w:t>
            </w:r>
            <w:r w:rsidRPr="5DC4D323" w:rsidR="00E914E3">
              <w:rPr>
                <w:rFonts w:ascii="Avenir Next LT Pro" w:eastAsia="Avenir Next LT Pro" w:hAnsi="Avenir Next LT Pro" w:cs="Avenir Next LT Pro"/>
                <w:b/>
                <w:bCs/>
                <w:szCs w:val="24"/>
              </w:rPr>
              <w:t xml:space="preserve"> (104 Respondents)</w:t>
            </w:r>
            <w:r w:rsidRPr="5DC4D323">
              <w:rPr>
                <w:rFonts w:ascii="Avenir Next LT Pro" w:eastAsia="Avenir Next LT Pro" w:hAnsi="Avenir Next LT Pro" w:cs="Avenir Next LT Pro"/>
                <w:b/>
                <w:bCs/>
                <w:szCs w:val="24"/>
              </w:rPr>
              <w:t xml:space="preserve">: </w:t>
            </w:r>
          </w:p>
        </w:tc>
      </w:tr>
      <w:tr w14:paraId="593A7842" w14:textId="77777777" w:rsidTr="5DC4D323">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5DC4D323" w14:paraId="4C05A213"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Burden per Response: </w:t>
            </w:r>
          </w:p>
          <w:tbl>
            <w:tblPr>
              <w:tblW w:w="0" w:type="auto"/>
              <w:tblBorders>
                <w:top w:val="outset" w:sz="6" w:space="0" w:color="auto"/>
                <w:left w:val="outset" w:sz="6" w:space="0" w:color="auto"/>
                <w:bottom w:val="outset" w:sz="6" w:space="0" w:color="auto"/>
                <w:right w:val="outset" w:sz="6" w:space="0" w:color="auto"/>
              </w:tblBorders>
              <w:tblLook w:val="04A0"/>
            </w:tblPr>
            <w:tblGrid>
              <w:gridCol w:w="1348"/>
              <w:gridCol w:w="2153"/>
              <w:gridCol w:w="1807"/>
              <w:gridCol w:w="2087"/>
            </w:tblGrid>
            <w:tr w14:paraId="7F9CE801" w14:textId="77777777" w:rsidTr="5DC4D323">
              <w:tblPrEx>
                <w:tblW w:w="0" w:type="auto"/>
                <w:tblBorders>
                  <w:top w:val="outset" w:sz="6" w:space="0" w:color="auto"/>
                  <w:left w:val="outset" w:sz="6" w:space="0" w:color="auto"/>
                  <w:bottom w:val="outset" w:sz="6" w:space="0" w:color="auto"/>
                  <w:right w:val="outset" w:sz="6" w:space="0" w:color="auto"/>
                </w:tblBorders>
                <w:tblLook w:val="04A0"/>
              </w:tblPrEx>
              <w:tc>
                <w:tcPr>
                  <w:tcW w:w="1348"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P="5DC4D323" w14:paraId="0232B6BA"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  </w:t>
                  </w:r>
                </w:p>
              </w:tc>
              <w:tc>
                <w:tcPr>
                  <w:tcW w:w="2153" w:type="dxa"/>
                  <w:tcBorders>
                    <w:top w:val="outset" w:sz="6" w:space="0" w:color="auto"/>
                    <w:left w:val="outset" w:sz="6" w:space="0" w:color="auto"/>
                    <w:bottom w:val="outset" w:sz="6" w:space="0" w:color="auto"/>
                    <w:right w:val="outset" w:sz="6" w:space="0" w:color="auto"/>
                  </w:tcBorders>
                  <w:shd w:val="clear" w:color="auto" w:fill="003399"/>
                  <w:vAlign w:val="center"/>
                </w:tcPr>
                <w:p w:rsidR="54961CAC" w:rsidP="5DC4D323" w14:paraId="722F7FF8"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Time Per Response </w:t>
                  </w:r>
                </w:p>
              </w:tc>
              <w:tc>
                <w:tcPr>
                  <w:tcW w:w="1807"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P="5DC4D323" w14:paraId="02F973E9"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Hours </w:t>
                  </w:r>
                </w:p>
              </w:tc>
              <w:tc>
                <w:tcPr>
                  <w:tcW w:w="2087" w:type="dxa"/>
                  <w:tcBorders>
                    <w:top w:val="outset" w:sz="6" w:space="0" w:color="auto"/>
                    <w:left w:val="outset" w:sz="6" w:space="0" w:color="auto"/>
                    <w:bottom w:val="outset" w:sz="6" w:space="0" w:color="auto"/>
                    <w:right w:val="outset" w:sz="6" w:space="0" w:color="auto"/>
                  </w:tcBorders>
                  <w:shd w:val="clear" w:color="auto" w:fill="003399"/>
                  <w:vAlign w:val="center"/>
                </w:tcPr>
                <w:p w:rsidR="4007CB31" w:rsidP="5DC4D323" w14:paraId="07FAFD16"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Cost Per Response </w:t>
                  </w:r>
                </w:p>
              </w:tc>
            </w:tr>
            <w:tr w14:paraId="78AA746C" w14:textId="77777777" w:rsidTr="5DC4D323">
              <w:tblPrEx>
                <w:tblW w:w="0" w:type="auto"/>
                <w:tblLook w:val="04A0"/>
              </w:tblPrEx>
              <w:tc>
                <w:tcPr>
                  <w:tcW w:w="134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03BD2026"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Reporting </w:t>
                  </w:r>
                </w:p>
              </w:tc>
              <w:tc>
                <w:tcPr>
                  <w:tcW w:w="2153"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70D5CFD7" w:rsidP="5DC4D323" w14:paraId="01FB9B0E" w14:textId="094E807A">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w:t>
                  </w:r>
                </w:p>
              </w:tc>
              <w:tc>
                <w:tcPr>
                  <w:tcW w:w="180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70D5CFD7" w:rsidP="5DC4D323" w14:paraId="70B15AA4" w14:textId="4A6225E3">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w:t>
                  </w:r>
                </w:p>
              </w:tc>
              <w:tc>
                <w:tcPr>
                  <w:tcW w:w="208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006327B5" w14:paraId="41C7522C" w14:textId="56BB8C43">
                  <w:pPr>
                    <w:jc w:val="right"/>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163B74">
                    <w:rPr>
                      <w:rFonts w:ascii="Avenir Next LT Pro" w:eastAsia="Avenir Next LT Pro" w:hAnsi="Avenir Next LT Pro" w:cs="Avenir Next LT Pro"/>
                      <w:szCs w:val="24"/>
                    </w:rPr>
                    <w:t>300</w:t>
                  </w:r>
                </w:p>
              </w:tc>
            </w:tr>
            <w:tr w14:paraId="22AFDB04" w14:textId="77777777" w:rsidTr="5DC4D323">
              <w:tblPrEx>
                <w:tblW w:w="0" w:type="auto"/>
                <w:tblLook w:val="04A0"/>
              </w:tblPrEx>
              <w:tc>
                <w:tcPr>
                  <w:tcW w:w="134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19EF5A4C"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Record Keeping </w:t>
                  </w:r>
                </w:p>
              </w:tc>
              <w:tc>
                <w:tcPr>
                  <w:tcW w:w="2153"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662049C0" w:rsidP="5DC4D323" w14:paraId="15E8E646" w14:textId="6ACF96F7">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w:t>
                  </w:r>
                </w:p>
              </w:tc>
              <w:tc>
                <w:tcPr>
                  <w:tcW w:w="180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B559DAA" w:rsidP="5DC4D323" w14:paraId="72902E2A" w14:textId="397A8318">
                  <w:pPr>
                    <w:widowControl w:val="0"/>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w:t>
                  </w:r>
                </w:p>
              </w:tc>
              <w:tc>
                <w:tcPr>
                  <w:tcW w:w="208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006327B5" w14:paraId="7EAE4316" w14:textId="654E0AD5">
                  <w:pPr>
                    <w:jc w:val="right"/>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163B74">
                    <w:rPr>
                      <w:rFonts w:ascii="Avenir Next LT Pro" w:eastAsia="Avenir Next LT Pro" w:hAnsi="Avenir Next LT Pro" w:cs="Avenir Next LT Pro"/>
                      <w:szCs w:val="24"/>
                    </w:rPr>
                    <w:t>300</w:t>
                  </w:r>
                </w:p>
              </w:tc>
            </w:tr>
            <w:tr w14:paraId="115E8959" w14:textId="77777777" w:rsidTr="5DC4D323">
              <w:tblPrEx>
                <w:tblW w:w="0" w:type="auto"/>
                <w:tblLook w:val="04A0"/>
              </w:tblPrEx>
              <w:tc>
                <w:tcPr>
                  <w:tcW w:w="134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253E6C20"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Third Party Disclosure </w:t>
                  </w:r>
                </w:p>
              </w:tc>
              <w:tc>
                <w:tcPr>
                  <w:tcW w:w="2153"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5E8ED667" w14:textId="7E347BF8">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180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10FE2D07" w14:textId="69A527C5">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208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006327B5" w14:paraId="359681FB" w14:textId="22FAB61B">
                  <w:pPr>
                    <w:jc w:val="right"/>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r>
            <w:tr w14:paraId="6BB6DCE0" w14:textId="77777777" w:rsidTr="5DC4D323">
              <w:tblPrEx>
                <w:tblW w:w="0" w:type="auto"/>
                <w:tblLook w:val="04A0"/>
              </w:tblPrEx>
              <w:tc>
                <w:tcPr>
                  <w:tcW w:w="1348"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20748AEE"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Total </w:t>
                  </w:r>
                </w:p>
              </w:tc>
              <w:tc>
                <w:tcPr>
                  <w:tcW w:w="2153"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6C058933" w14:textId="30C1587C">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  </w:t>
                  </w:r>
                  <w:r w:rsidRPr="5DC4D323" w:rsidR="4D90A771">
                    <w:rPr>
                      <w:rFonts w:ascii="Avenir Next LT Pro" w:eastAsia="Avenir Next LT Pro" w:hAnsi="Avenir Next LT Pro" w:cs="Avenir Next LT Pro"/>
                      <w:szCs w:val="24"/>
                    </w:rPr>
                    <w:t>10</w:t>
                  </w:r>
                </w:p>
              </w:tc>
              <w:tc>
                <w:tcPr>
                  <w:tcW w:w="180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P="5DC4D323" w14:paraId="5484D08A" w14:textId="025F2A4B">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w:t>
                  </w:r>
                  <w:r w:rsidRPr="5DC4D323" w:rsidR="5ABC5789">
                    <w:rPr>
                      <w:rFonts w:ascii="Avenir Next LT Pro" w:eastAsia="Avenir Next LT Pro" w:hAnsi="Avenir Next LT Pro" w:cs="Avenir Next LT Pro"/>
                      <w:szCs w:val="24"/>
                    </w:rPr>
                    <w:t>10</w:t>
                  </w:r>
                </w:p>
              </w:tc>
              <w:tc>
                <w:tcPr>
                  <w:tcW w:w="2087" w:type="dxa"/>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4007CB31" w:rsidRPr="009468E2" w:rsidP="5DC4D323" w14:paraId="0848549E" w14:textId="2B629344">
                  <w:pPr>
                    <w:widowControl w:val="0"/>
                    <w:jc w:val="right"/>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163B74">
                    <w:rPr>
                      <w:rFonts w:ascii="Avenir Next LT Pro" w:eastAsia="Avenir Next LT Pro" w:hAnsi="Avenir Next LT Pro" w:cs="Avenir Next LT Pro"/>
                      <w:szCs w:val="24"/>
                    </w:rPr>
                    <w:t>600</w:t>
                  </w:r>
                  <w:r w:rsidRPr="5DC4D323">
                    <w:rPr>
                      <w:rFonts w:ascii="Avenir Next LT Pro" w:eastAsia="Avenir Next LT Pro" w:hAnsi="Avenir Next LT Pro" w:cs="Avenir Next LT Pro"/>
                      <w:szCs w:val="24"/>
                    </w:rPr>
                    <w:t> </w:t>
                  </w:r>
                </w:p>
              </w:tc>
            </w:tr>
          </w:tbl>
          <w:p w:rsidR="00CB0981" w:rsidRPr="00915869" w:rsidP="5DC4D323" w14:paraId="7BC42BE7" w14:textId="69F293FD">
            <w:pPr>
              <w:widowControl w:val="0"/>
              <w:rPr>
                <w:rFonts w:ascii="Avenir Next LT Pro" w:eastAsia="Avenir Next LT Pro" w:hAnsi="Avenir Next LT Pro" w:cs="Avenir Next LT Pro"/>
                <w:szCs w:val="24"/>
              </w:rPr>
            </w:pPr>
          </w:p>
          <w:p w:rsidR="00CB0981" w:rsidRPr="00915869" w:rsidP="5DC4D323" w14:paraId="2FD529F1"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5DC4D323">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1FB6C11E"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5DC4D323" w14:paraId="411B6913"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5DC4D323" w14:paraId="052B5986" w14:textId="77777777">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Annual Cost Burden</w:t>
                  </w:r>
                </w:p>
                <w:p w:rsidR="00CB0981" w:rsidRPr="00915869" w:rsidP="5DC4D323" w14:paraId="539ADB30" w14:textId="6B161D14">
                  <w:pPr>
                    <w:widowControl w:val="0"/>
                    <w:jc w:val="center"/>
                    <w:rPr>
                      <w:rFonts w:ascii="Avenir Next LT Pro" w:eastAsia="Avenir Next LT Pro" w:hAnsi="Avenir Next LT Pro" w:cs="Avenir Next LT Pro"/>
                      <w:b/>
                      <w:bCs/>
                      <w:szCs w:val="24"/>
                    </w:rPr>
                  </w:pPr>
                  <w:r w:rsidRPr="5DC4D323">
                    <w:rPr>
                      <w:rFonts w:ascii="Avenir Next LT Pro" w:eastAsia="Avenir Next LT Pro" w:hAnsi="Avenir Next LT Pro" w:cs="Avenir Next LT Pro"/>
                      <w:b/>
                      <w:bCs/>
                      <w:szCs w:val="24"/>
                    </w:rPr>
                    <w:t xml:space="preserve">(Dollars) </w:t>
                  </w:r>
                </w:p>
              </w:tc>
            </w:tr>
            <w:tr w14:paraId="4BEFA77D" w14:textId="77777777" w:rsidTr="5DC4D323">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49183E06"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42104BB7" w14:textId="57BDB170">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468E2" w:rsidP="5DC4D323" w14:paraId="063575AA" w14:textId="57C4130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ED2165">
                    <w:rPr>
                      <w:rFonts w:ascii="Avenir Next LT Pro" w:eastAsia="Avenir Next LT Pro" w:hAnsi="Avenir Next LT Pro" w:cs="Avenir Next LT Pro"/>
                      <w:szCs w:val="24"/>
                    </w:rPr>
                    <w:t>31,200</w:t>
                  </w:r>
                </w:p>
              </w:tc>
            </w:tr>
            <w:tr w14:paraId="3F0FFA79" w14:textId="77777777" w:rsidTr="5DC4D323">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43F9511C"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4007CB31" w:rsidP="5DC4D323" w14:paraId="678120D3" w14:textId="57BDB170">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520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4007CB31" w:rsidRPr="009468E2" w:rsidP="5DC4D323" w14:paraId="64FF748B" w14:textId="30F876FE">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860900">
                    <w:rPr>
                      <w:rFonts w:ascii="Avenir Next LT Pro" w:eastAsia="Avenir Next LT Pro" w:hAnsi="Avenir Next LT Pro" w:cs="Avenir Next LT Pro"/>
                      <w:szCs w:val="24"/>
                    </w:rPr>
                    <w:t>31,200</w:t>
                  </w:r>
                </w:p>
              </w:tc>
            </w:tr>
            <w:tr w14:paraId="30FD2E5B" w14:textId="77777777" w:rsidTr="5DC4D323">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6308CCF8"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63AC3E34" w14:textId="308B8E92">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468E2" w:rsidP="5DC4D323" w14:paraId="61DB313F" w14:textId="1726A4A1">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0 </w:t>
                  </w:r>
                </w:p>
              </w:tc>
            </w:tr>
            <w:tr w14:paraId="098174DC" w14:textId="77777777" w:rsidTr="5DC4D323">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7BE8252F" w14:textId="77777777">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5DC4D323" w14:paraId="13E76AE5" w14:textId="57C3B77B">
                  <w:pPr>
                    <w:widowControl w:val="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1</w:t>
                  </w:r>
                  <w:r w:rsidRPr="5DC4D323" w:rsidR="5090F0FC">
                    <w:rPr>
                      <w:rFonts w:ascii="Avenir Next LT Pro" w:eastAsia="Avenir Next LT Pro" w:hAnsi="Avenir Next LT Pro" w:cs="Avenir Next LT Pro"/>
                      <w:szCs w:val="24"/>
                    </w:rPr>
                    <w:t>,040</w:t>
                  </w:r>
                </w:p>
              </w:tc>
              <w:tc>
                <w:tcPr>
                  <w:tcW w:w="2003"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468E2" w:rsidP="5DC4D323" w14:paraId="2FFC9F8B" w14:textId="1D81D1F1">
                  <w:pPr>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w:t>
                  </w:r>
                  <w:r w:rsidRPr="5DC4D323" w:rsidR="00860900">
                    <w:rPr>
                      <w:rFonts w:ascii="Avenir Next LT Pro" w:eastAsia="Avenir Next LT Pro" w:hAnsi="Avenir Next LT Pro" w:cs="Avenir Next LT Pro"/>
                      <w:szCs w:val="24"/>
                    </w:rPr>
                    <w:t>62,300</w:t>
                  </w:r>
                </w:p>
              </w:tc>
            </w:tr>
          </w:tbl>
          <w:p w:rsidR="00CB0981" w:rsidRPr="00915869" w:rsidP="5DC4D323" w14:paraId="466CDBD6" w14:textId="77777777">
            <w:pPr>
              <w:widowControl w:val="0"/>
              <w:rPr>
                <w:rFonts w:ascii="Avenir Next LT Pro" w:eastAsia="Avenir Next LT Pro" w:hAnsi="Avenir Next LT Pro" w:cs="Avenir Next LT Pro"/>
                <w:szCs w:val="24"/>
              </w:rPr>
            </w:pPr>
          </w:p>
        </w:tc>
      </w:tr>
    </w:tbl>
    <w:p w:rsidR="008E2B0B" w:rsidP="5DC4D323" w14:paraId="22922CF5" w14:textId="77777777">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u w:val="single"/>
        </w:rPr>
        <w:t xml:space="preserve">13. </w:t>
      </w:r>
      <w:r w:rsidRPr="5DC4D323" w:rsidR="006505E8">
        <w:rPr>
          <w:rFonts w:ascii="Avenir Next LT Pro" w:eastAsia="Avenir Next LT Pro" w:hAnsi="Avenir Next LT Pro" w:cs="Avenir Next LT Pro"/>
          <w:b/>
          <w:bCs/>
          <w:szCs w:val="24"/>
          <w:u w:val="single"/>
        </w:rPr>
        <w:t>Estimated nonrecurring costs</w:t>
      </w:r>
      <w:r w:rsidRPr="5DC4D323" w:rsidR="006505E8">
        <w:rPr>
          <w:rFonts w:ascii="Avenir Next LT Pro" w:eastAsia="Avenir Next LT Pro" w:hAnsi="Avenir Next LT Pro" w:cs="Avenir Next LT Pro"/>
          <w:szCs w:val="24"/>
        </w:rPr>
        <w:t xml:space="preserve">. </w:t>
      </w:r>
    </w:p>
    <w:p w:rsidR="008E2B0B" w:rsidP="5DC4D323" w14:paraId="362BE18E" w14:textId="77777777">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p>
    <w:p w:rsidR="00895C6B" w:rsidRPr="009277BA" w:rsidP="5DC4D323" w14:paraId="0FC49F55" w14:textId="5CD36DE5">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This data collection does not </w:t>
      </w:r>
      <w:r w:rsidRPr="5DC4D323" w:rsidR="00345E65">
        <w:rPr>
          <w:rFonts w:ascii="Avenir Next LT Pro" w:eastAsia="Avenir Next LT Pro" w:hAnsi="Avenir Next LT Pro" w:cs="Avenir Next LT Pro"/>
          <w:szCs w:val="24"/>
        </w:rPr>
        <w:t>involve any nonrecurring costs.</w:t>
      </w:r>
    </w:p>
    <w:p w:rsidR="009277BA" w:rsidRPr="009277BA" w:rsidP="5DC4D323" w14:paraId="1E2B50AA" w14:textId="77777777">
      <w:pPr>
        <w:widowControl w:val="0"/>
        <w:tabs>
          <w:tab w:val="left" w:pos="360"/>
          <w:tab w:val="left" w:pos="720"/>
          <w:tab w:val="left" w:pos="1080"/>
        </w:tabs>
        <w:rPr>
          <w:rFonts w:ascii="Avenir Next LT Pro" w:eastAsia="Avenir Next LT Pro" w:hAnsi="Avenir Next LT Pro" w:cs="Avenir Next LT Pro"/>
          <w:szCs w:val="24"/>
        </w:rPr>
      </w:pPr>
    </w:p>
    <w:p w:rsidR="002623BD" w:rsidRPr="006D3366" w:rsidP="5DC4D323" w14:paraId="7DD01A8E" w14:textId="440F1407">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u w:val="single"/>
        </w:rPr>
        <w:t xml:space="preserve">14. </w:t>
      </w:r>
      <w:r w:rsidRPr="5DC4D323" w:rsidR="006505E8">
        <w:rPr>
          <w:rFonts w:ascii="Avenir Next LT Pro" w:eastAsia="Avenir Next LT Pro" w:hAnsi="Avenir Next LT Pro" w:cs="Avenir Next LT Pro"/>
          <w:b/>
          <w:bCs/>
          <w:szCs w:val="24"/>
          <w:u w:val="single"/>
        </w:rPr>
        <w:t>Estimated cost to the Government</w:t>
      </w:r>
      <w:r w:rsidRPr="5DC4D323" w:rsidR="006505E8">
        <w:rPr>
          <w:rFonts w:ascii="Avenir Next LT Pro" w:eastAsia="Avenir Next LT Pro" w:hAnsi="Avenir Next LT Pro" w:cs="Avenir Next LT Pro"/>
          <w:szCs w:val="24"/>
        </w:rPr>
        <w:t xml:space="preserve">. </w:t>
      </w:r>
    </w:p>
    <w:p w:rsidR="002623BD" w:rsidRPr="006D3366" w:rsidP="5DC4D323" w14:paraId="45C515D5" w14:textId="440F1407">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p>
    <w:p w:rsidR="002623BD" w:rsidRPr="006D3366" w:rsidP="5DC4D323" w14:paraId="64128EDE" w14:textId="793A2B76">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Development, review, and oversight of the data collection will require approximately </w:t>
      </w:r>
      <w:r w:rsidRPr="5DC4D323" w:rsidR="13907204">
        <w:rPr>
          <w:rFonts w:ascii="Avenir Next LT Pro" w:eastAsia="Avenir Next LT Pro" w:hAnsi="Avenir Next LT Pro" w:cs="Avenir Next LT Pro"/>
          <w:szCs w:val="24"/>
        </w:rPr>
        <w:t>8</w:t>
      </w:r>
      <w:r w:rsidRPr="5DC4D323">
        <w:rPr>
          <w:rFonts w:ascii="Avenir Next LT Pro" w:eastAsia="Avenir Next LT Pro" w:hAnsi="Avenir Next LT Pro" w:cs="Avenir Next LT Pro"/>
          <w:szCs w:val="24"/>
        </w:rPr>
        <w:t>% of the staff time for one Pay Band 3 employee (</w:t>
      </w:r>
      <w:r w:rsidRPr="5DC4D323" w:rsidR="0014776E">
        <w:rPr>
          <w:rFonts w:ascii="Avenir Next LT Pro" w:eastAsia="Avenir Next LT Pro" w:hAnsi="Avenir Next LT Pro" w:cs="Avenir Next LT Pro"/>
          <w:szCs w:val="24"/>
        </w:rPr>
        <w:t>$</w:t>
      </w:r>
      <w:r w:rsidRPr="5DC4D323" w:rsidR="13907204">
        <w:rPr>
          <w:rFonts w:ascii="Avenir Next LT Pro" w:eastAsia="Avenir Next LT Pro" w:hAnsi="Avenir Next LT Pro" w:cs="Avenir Next LT Pro"/>
          <w:szCs w:val="24"/>
        </w:rPr>
        <w:t>7</w:t>
      </w:r>
      <w:r w:rsidRPr="5DC4D323" w:rsidR="0960AEE3">
        <w:rPr>
          <w:rFonts w:ascii="Avenir Next LT Pro" w:eastAsia="Avenir Next LT Pro" w:hAnsi="Avenir Next LT Pro" w:cs="Avenir Next LT Pro"/>
          <w:szCs w:val="24"/>
        </w:rPr>
        <w:t>,</w:t>
      </w:r>
      <w:r w:rsidRPr="5DC4D323" w:rsidR="34774145">
        <w:rPr>
          <w:rFonts w:ascii="Avenir Next LT Pro" w:eastAsia="Avenir Next LT Pro" w:hAnsi="Avenir Next LT Pro" w:cs="Avenir Next LT Pro"/>
          <w:szCs w:val="24"/>
        </w:rPr>
        <w:t>9</w:t>
      </w:r>
      <w:r w:rsidRPr="5DC4D323" w:rsidR="13907204">
        <w:rPr>
          <w:rFonts w:ascii="Avenir Next LT Pro" w:eastAsia="Avenir Next LT Pro" w:hAnsi="Avenir Next LT Pro" w:cs="Avenir Next LT Pro"/>
          <w:szCs w:val="24"/>
        </w:rPr>
        <w:t>20</w:t>
      </w:r>
      <w:r w:rsidRPr="5DC4D323" w:rsidR="00F678E0">
        <w:rPr>
          <w:rFonts w:ascii="Avenir Next LT Pro" w:eastAsia="Avenir Next LT Pro" w:hAnsi="Avenir Next LT Pro" w:cs="Avenir Next LT Pro"/>
          <w:szCs w:val="24"/>
        </w:rPr>
        <w:t xml:space="preserve"> per year</w:t>
      </w:r>
      <w:r w:rsidRPr="5DC4D323" w:rsidR="0014776E">
        <w:rPr>
          <w:rFonts w:ascii="Avenir Next LT Pro" w:eastAsia="Avenir Next LT Pro" w:hAnsi="Avenir Next LT Pro" w:cs="Avenir Next LT Pro"/>
          <w:szCs w:val="24"/>
        </w:rPr>
        <w:t xml:space="preserve">) and approximately 2% of the staff time for </w:t>
      </w:r>
      <w:r w:rsidRPr="5DC4D323" w:rsidR="00782D86">
        <w:rPr>
          <w:rFonts w:ascii="Avenir Next LT Pro" w:eastAsia="Avenir Next LT Pro" w:hAnsi="Avenir Next LT Pro" w:cs="Avenir Next LT Pro"/>
          <w:szCs w:val="24"/>
        </w:rPr>
        <w:t>66</w:t>
      </w:r>
      <w:r w:rsidRPr="5DC4D323" w:rsidR="0014776E">
        <w:rPr>
          <w:rFonts w:ascii="Avenir Next LT Pro" w:eastAsia="Avenir Next LT Pro" w:hAnsi="Avenir Next LT Pro" w:cs="Avenir Next LT Pro"/>
          <w:szCs w:val="24"/>
        </w:rPr>
        <w:t xml:space="preserve"> Pay Band 3 employees</w:t>
      </w:r>
      <w:r w:rsidRPr="5DC4D323" w:rsidR="00667F20">
        <w:rPr>
          <w:rFonts w:ascii="Avenir Next LT Pro" w:eastAsia="Avenir Next LT Pro" w:hAnsi="Avenir Next LT Pro" w:cs="Avenir Next LT Pro"/>
          <w:szCs w:val="24"/>
        </w:rPr>
        <w:t xml:space="preserve">. </w:t>
      </w:r>
      <w:r w:rsidRPr="5DC4D323" w:rsidR="00F678E0">
        <w:rPr>
          <w:rFonts w:ascii="Avenir Next LT Pro" w:eastAsia="Avenir Next LT Pro" w:hAnsi="Avenir Next LT Pro" w:cs="Avenir Next LT Pro"/>
          <w:szCs w:val="24"/>
        </w:rPr>
        <w:t>(</w:t>
      </w:r>
      <w:r w:rsidRPr="5DC4D323" w:rsidR="00667F20">
        <w:rPr>
          <w:rFonts w:ascii="Avenir Next LT Pro" w:eastAsia="Avenir Next LT Pro" w:hAnsi="Avenir Next LT Pro" w:cs="Avenir Next LT Pro"/>
          <w:szCs w:val="24"/>
        </w:rPr>
        <w:t>The range of Pay Band 3</w:t>
      </w:r>
      <w:r w:rsidRPr="5DC4D323" w:rsidR="0057391F">
        <w:rPr>
          <w:rFonts w:ascii="Avenir Next LT Pro" w:eastAsia="Avenir Next LT Pro" w:hAnsi="Avenir Next LT Pro" w:cs="Avenir Next LT Pro"/>
          <w:szCs w:val="24"/>
        </w:rPr>
        <w:t xml:space="preserve"> for this group of employees</w:t>
      </w:r>
      <w:r w:rsidRPr="5DC4D323" w:rsidR="00667F20">
        <w:rPr>
          <w:rFonts w:ascii="Avenir Next LT Pro" w:eastAsia="Avenir Next LT Pro" w:hAnsi="Avenir Next LT Pro" w:cs="Avenir Next LT Pro"/>
          <w:szCs w:val="24"/>
        </w:rPr>
        <w:t xml:space="preserve"> is $66,218 - $</w:t>
      </w:r>
      <w:r w:rsidRPr="5DC4D323" w:rsidR="00573137">
        <w:rPr>
          <w:rFonts w:ascii="Avenir Next LT Pro" w:eastAsia="Avenir Next LT Pro" w:hAnsi="Avenir Next LT Pro" w:cs="Avenir Next LT Pro"/>
          <w:szCs w:val="24"/>
        </w:rPr>
        <w:t>113,011, so the value chosen is the average of the minimum and maximum, which is $</w:t>
      </w:r>
      <w:r w:rsidRPr="5DC4D323" w:rsidR="00BA5444">
        <w:rPr>
          <w:rFonts w:ascii="Avenir Next LT Pro" w:eastAsia="Avenir Next LT Pro" w:hAnsi="Avenir Next LT Pro" w:cs="Avenir Next LT Pro"/>
          <w:szCs w:val="24"/>
        </w:rPr>
        <w:t>89,615</w:t>
      </w:r>
      <w:r w:rsidRPr="5DC4D323" w:rsidR="00F678E0">
        <w:rPr>
          <w:rFonts w:ascii="Avenir Next LT Pro" w:eastAsia="Avenir Next LT Pro" w:hAnsi="Avenir Next LT Pro" w:cs="Avenir Next LT Pro"/>
          <w:szCs w:val="24"/>
        </w:rPr>
        <w:t>;</w:t>
      </w:r>
      <w:r w:rsidRPr="5DC4D323" w:rsidR="0062065C">
        <w:rPr>
          <w:rFonts w:ascii="Avenir Next LT Pro" w:eastAsia="Avenir Next LT Pro" w:hAnsi="Avenir Next LT Pro" w:cs="Avenir Next LT Pro"/>
          <w:szCs w:val="24"/>
        </w:rPr>
        <w:t xml:space="preserve"> </w:t>
      </w:r>
      <w:r w:rsidRPr="5DC4D323" w:rsidR="00BD7959">
        <w:rPr>
          <w:rFonts w:ascii="Avenir Next LT Pro" w:eastAsia="Avenir Next LT Pro" w:hAnsi="Avenir Next LT Pro" w:cs="Avenir Next LT Pro"/>
          <w:szCs w:val="24"/>
        </w:rPr>
        <w:t>$</w:t>
      </w:r>
      <w:r w:rsidRPr="5DC4D323" w:rsidR="0005637C">
        <w:rPr>
          <w:rFonts w:ascii="Avenir Next LT Pro" w:eastAsia="Avenir Next LT Pro" w:hAnsi="Avenir Next LT Pro" w:cs="Avenir Next LT Pro"/>
          <w:szCs w:val="24"/>
        </w:rPr>
        <w:t>118,292</w:t>
      </w:r>
      <w:r w:rsidRPr="5DC4D323" w:rsidR="00BD7959">
        <w:rPr>
          <w:rFonts w:ascii="Avenir Next LT Pro" w:eastAsia="Avenir Next LT Pro" w:hAnsi="Avenir Next LT Pro" w:cs="Avenir Next LT Pro"/>
          <w:szCs w:val="24"/>
        </w:rPr>
        <w:t>)</w:t>
      </w:r>
      <w:r w:rsidRPr="5DC4D323" w:rsidR="00232D18">
        <w:rPr>
          <w:rFonts w:ascii="Avenir Next LT Pro" w:eastAsia="Avenir Next LT Pro" w:hAnsi="Avenir Next LT Pro" w:cs="Avenir Next LT Pro"/>
          <w:szCs w:val="24"/>
        </w:rPr>
        <w:t>, for a total of $</w:t>
      </w:r>
      <w:r w:rsidRPr="5DC4D323" w:rsidR="4E74EE9C">
        <w:rPr>
          <w:rFonts w:ascii="Avenir Next LT Pro" w:eastAsia="Avenir Next LT Pro" w:hAnsi="Avenir Next LT Pro" w:cs="Avenir Next LT Pro"/>
          <w:szCs w:val="24"/>
        </w:rPr>
        <w:t>12</w:t>
      </w:r>
      <w:r w:rsidRPr="5DC4D323" w:rsidR="2B71C3D8">
        <w:rPr>
          <w:rFonts w:ascii="Avenir Next LT Pro" w:eastAsia="Avenir Next LT Pro" w:hAnsi="Avenir Next LT Pro" w:cs="Avenir Next LT Pro"/>
          <w:szCs w:val="24"/>
        </w:rPr>
        <w:t>6</w:t>
      </w:r>
      <w:r w:rsidRPr="5DC4D323" w:rsidR="4E74EE9C">
        <w:rPr>
          <w:rFonts w:ascii="Avenir Next LT Pro" w:eastAsia="Avenir Next LT Pro" w:hAnsi="Avenir Next LT Pro" w:cs="Avenir Next LT Pro"/>
          <w:szCs w:val="24"/>
        </w:rPr>
        <w:t>,</w:t>
      </w:r>
      <w:r w:rsidRPr="5DC4D323" w:rsidR="2B71C3D8">
        <w:rPr>
          <w:rFonts w:ascii="Avenir Next LT Pro" w:eastAsia="Avenir Next LT Pro" w:hAnsi="Avenir Next LT Pro" w:cs="Avenir Next LT Pro"/>
          <w:szCs w:val="24"/>
        </w:rPr>
        <w:t>21</w:t>
      </w:r>
      <w:r w:rsidRPr="5DC4D323" w:rsidR="4E74EE9C">
        <w:rPr>
          <w:rFonts w:ascii="Avenir Next LT Pro" w:eastAsia="Avenir Next LT Pro" w:hAnsi="Avenir Next LT Pro" w:cs="Avenir Next LT Pro"/>
          <w:szCs w:val="24"/>
        </w:rPr>
        <w:t>2</w:t>
      </w:r>
      <w:r w:rsidRPr="5DC4D323" w:rsidR="00232D18">
        <w:rPr>
          <w:rFonts w:ascii="Avenir Next LT Pro" w:eastAsia="Avenir Next LT Pro" w:hAnsi="Avenir Next LT Pro" w:cs="Avenir Next LT Pro"/>
          <w:szCs w:val="24"/>
        </w:rPr>
        <w:t xml:space="preserve"> annually.</w:t>
      </w:r>
      <w:r w:rsidRPr="5DC4D323" w:rsidR="00F678E0">
        <w:rPr>
          <w:rFonts w:ascii="Avenir Next LT Pro" w:eastAsia="Avenir Next LT Pro" w:hAnsi="Avenir Next LT Pro" w:cs="Avenir Next LT Pro"/>
          <w:szCs w:val="24"/>
        </w:rPr>
        <w:t xml:space="preserve"> </w:t>
      </w:r>
      <w:r w:rsidRPr="5DC4D323" w:rsidR="0014776E">
        <w:rPr>
          <w:rFonts w:ascii="Avenir Next LT Pro" w:eastAsia="Avenir Next LT Pro" w:hAnsi="Avenir Next LT Pro" w:cs="Avenir Next LT Pro"/>
          <w:szCs w:val="24"/>
        </w:rPr>
        <w:t xml:space="preserve"> </w:t>
      </w:r>
    </w:p>
    <w:p w:rsidR="006D3366" w:rsidRPr="006D3366" w:rsidP="5DC4D323" w14:paraId="740ED973" w14:textId="77777777">
      <w:pPr>
        <w:widowControl w:val="0"/>
        <w:tabs>
          <w:tab w:val="left" w:pos="360"/>
          <w:tab w:val="left" w:pos="720"/>
          <w:tab w:val="left" w:pos="1080"/>
        </w:tabs>
        <w:rPr>
          <w:rFonts w:ascii="Avenir Next LT Pro" w:eastAsia="Avenir Next LT Pro" w:hAnsi="Avenir Next LT Pro" w:cs="Avenir Next LT Pro"/>
          <w:szCs w:val="24"/>
        </w:rPr>
      </w:pPr>
    </w:p>
    <w:p w:rsidR="008E2B0B" w:rsidP="5DC4D323" w14:paraId="27F3E2E9" w14:textId="77777777">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u w:val="single"/>
        </w:rPr>
        <w:t xml:space="preserve">15. </w:t>
      </w:r>
      <w:r w:rsidRPr="5DC4D323" w:rsidR="005B352A">
        <w:rPr>
          <w:rFonts w:ascii="Avenir Next LT Pro" w:eastAsia="Avenir Next LT Pro" w:hAnsi="Avenir Next LT Pro" w:cs="Avenir Next LT Pro"/>
          <w:b/>
          <w:bCs/>
          <w:szCs w:val="24"/>
          <w:u w:val="single"/>
        </w:rPr>
        <w:t>Reasons for changes</w:t>
      </w:r>
      <w:r w:rsidRPr="5DC4D323" w:rsidR="00F56608">
        <w:rPr>
          <w:rFonts w:ascii="Avenir Next LT Pro" w:eastAsia="Avenir Next LT Pro" w:hAnsi="Avenir Next LT Pro" w:cs="Avenir Next LT Pro"/>
          <w:b/>
          <w:bCs/>
          <w:szCs w:val="24"/>
        </w:rPr>
        <w:t>.</w:t>
      </w:r>
      <w:r w:rsidRPr="5DC4D323" w:rsidR="006D3366">
        <w:rPr>
          <w:rFonts w:ascii="Avenir Next LT Pro" w:eastAsia="Avenir Next LT Pro" w:hAnsi="Avenir Next LT Pro" w:cs="Avenir Next LT Pro"/>
          <w:szCs w:val="24"/>
        </w:rPr>
        <w:t xml:space="preserve"> </w:t>
      </w:r>
    </w:p>
    <w:p w:rsidR="008E2B0B" w:rsidP="5DC4D323" w14:paraId="1B053016" w14:textId="77777777">
      <w:pPr>
        <w:widowControl w:val="0"/>
        <w:tabs>
          <w:tab w:val="left" w:pos="360"/>
          <w:tab w:val="left" w:pos="720"/>
          <w:tab w:val="left" w:pos="1080"/>
        </w:tabs>
        <w:rPr>
          <w:rFonts w:ascii="Avenir Next LT Pro" w:eastAsia="Avenir Next LT Pro" w:hAnsi="Avenir Next LT Pro" w:cs="Avenir Next LT Pro"/>
          <w:szCs w:val="24"/>
        </w:rPr>
      </w:pPr>
    </w:p>
    <w:p w:rsidR="761B4FBD" w:rsidP="5DC4D323" w14:paraId="01C5923D" w14:textId="02FEA206">
      <w:pPr>
        <w:widowControl w:val="0"/>
        <w:tabs>
          <w:tab w:val="left" w:pos="360"/>
          <w:tab w:val="left" w:pos="720"/>
          <w:tab w:val="left" w:pos="1080"/>
        </w:tabs>
        <w:spacing w:line="259" w:lineRule="auto"/>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AmeriCorps adjusted the cost per response based on the feedback received from consultation with grantees, which resulted in a change in Annual IC Cost Bur</w:t>
      </w:r>
      <w:r w:rsidRPr="5DC4D323" w:rsidR="78F95111">
        <w:rPr>
          <w:rFonts w:ascii="Avenir Next LT Pro" w:eastAsia="Avenir Next LT Pro" w:hAnsi="Avenir Next LT Pro" w:cs="Avenir Next LT Pro"/>
          <w:szCs w:val="24"/>
        </w:rPr>
        <w:t>den of $10,500 due to adjustment</w:t>
      </w:r>
      <w:r w:rsidRPr="5DC4D323" w:rsidR="3E5266B0">
        <w:rPr>
          <w:rFonts w:ascii="Avenir Next LT Pro" w:eastAsia="Avenir Next LT Pro" w:hAnsi="Avenir Next LT Pro" w:cs="Avenir Next LT Pro"/>
          <w:szCs w:val="24"/>
        </w:rPr>
        <w:t xml:space="preserve"> for AmeriCorps State and National and $15,600 due to adjustment for Commission Investment Fund and Commission Support Grants. </w:t>
      </w:r>
      <w:r w:rsidRPr="5DC4D323" w:rsidR="7844E55E">
        <w:rPr>
          <w:rFonts w:ascii="Avenir Next LT Pro" w:eastAsia="Avenir Next LT Pro" w:hAnsi="Avenir Next LT Pro" w:cs="Avenir Next LT Pro"/>
          <w:szCs w:val="24"/>
        </w:rPr>
        <w:t xml:space="preserve">Together, these adjustments result in an increase in estimated annual cost burden of $26,100. </w:t>
      </w:r>
      <w:r w:rsidRPr="5DC4D323" w:rsidR="78F95111">
        <w:rPr>
          <w:rFonts w:ascii="Avenir Next LT Pro" w:eastAsia="Avenir Next LT Pro" w:hAnsi="Avenir Next LT Pro" w:cs="Avenir Next LT Pro"/>
          <w:szCs w:val="24"/>
        </w:rPr>
        <w:t xml:space="preserve"> </w:t>
      </w:r>
    </w:p>
    <w:p w:rsidR="00366678" w:rsidRPr="00366678" w:rsidP="5DC4D323" w14:paraId="503AC8C7" w14:textId="77777777">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p>
    <w:p w:rsidR="006D5C48" w:rsidP="5DC4D323" w14:paraId="33339C4A" w14:textId="41DA40BD">
      <w:pPr>
        <w:widowControl w:val="0"/>
        <w:tabs>
          <w:tab w:val="left" w:pos="360"/>
          <w:tab w:val="left" w:pos="720"/>
          <w:tab w:val="left" w:pos="1080"/>
        </w:tabs>
        <w:rPr>
          <w:rFonts w:ascii="Avenir Next LT Pro" w:eastAsia="Avenir Next LT Pro" w:hAnsi="Avenir Next LT Pro" w:cs="Avenir Next LT Pro"/>
          <w:szCs w:val="24"/>
          <w:u w:val="single"/>
        </w:rPr>
      </w:pPr>
      <w:r w:rsidRPr="5DC4D323">
        <w:rPr>
          <w:rFonts w:ascii="Avenir Next LT Pro" w:eastAsia="Avenir Next LT Pro" w:hAnsi="Avenir Next LT Pro" w:cs="Avenir Next LT Pro"/>
          <w:b/>
          <w:bCs/>
          <w:szCs w:val="24"/>
          <w:u w:val="single"/>
        </w:rPr>
        <w:t xml:space="preserve">16. </w:t>
      </w:r>
      <w:r w:rsidRPr="5DC4D323" w:rsidR="00366EE4">
        <w:rPr>
          <w:rFonts w:ascii="Avenir Next LT Pro" w:eastAsia="Avenir Next LT Pro" w:hAnsi="Avenir Next LT Pro" w:cs="Avenir Next LT Pro"/>
          <w:b/>
          <w:bCs/>
          <w:szCs w:val="24"/>
          <w:u w:val="single"/>
        </w:rPr>
        <w:t>Publicizing Results.</w:t>
      </w:r>
      <w:r w:rsidRPr="5DC4D323" w:rsidR="00366EE4">
        <w:rPr>
          <w:rFonts w:ascii="Avenir Next LT Pro" w:eastAsia="Avenir Next LT Pro" w:hAnsi="Avenir Next LT Pro" w:cs="Avenir Next LT Pro"/>
          <w:szCs w:val="24"/>
          <w:u w:val="single"/>
        </w:rPr>
        <w:t xml:space="preserve"> </w:t>
      </w:r>
    </w:p>
    <w:p w:rsidR="00ED0E95" w:rsidP="5DC4D323" w14:paraId="2C8F4CC9" w14:textId="77777777">
      <w:pPr>
        <w:widowControl w:val="0"/>
        <w:tabs>
          <w:tab w:val="left" w:pos="360"/>
          <w:tab w:val="left" w:pos="720"/>
          <w:tab w:val="left" w:pos="1080"/>
        </w:tabs>
        <w:rPr>
          <w:rFonts w:ascii="Avenir Next LT Pro" w:eastAsia="Avenir Next LT Pro" w:hAnsi="Avenir Next LT Pro" w:cs="Avenir Next LT Pro"/>
          <w:szCs w:val="24"/>
          <w:u w:val="single"/>
        </w:rPr>
      </w:pPr>
    </w:p>
    <w:p w:rsidR="006D3366" w:rsidP="5DC4D323" w14:paraId="08EF9C9B" w14:textId="1B937364">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will not publish responses to this information collection. </w:t>
      </w:r>
    </w:p>
    <w:p w:rsidR="006D3366" w:rsidRPr="006D3366" w:rsidP="5DC4D323" w14:paraId="567730AE" w14:textId="77777777">
      <w:pPr>
        <w:widowControl w:val="0"/>
        <w:tabs>
          <w:tab w:val="left" w:pos="360"/>
          <w:tab w:val="left" w:pos="720"/>
          <w:tab w:val="left" w:pos="1080"/>
        </w:tabs>
        <w:rPr>
          <w:rFonts w:ascii="Avenir Next LT Pro" w:eastAsia="Avenir Next LT Pro" w:hAnsi="Avenir Next LT Pro" w:cs="Avenir Next LT Pro"/>
          <w:szCs w:val="24"/>
        </w:rPr>
      </w:pPr>
    </w:p>
    <w:p w:rsidR="0086346F" w:rsidP="5DC4D323" w14:paraId="4D8C0991" w14:textId="77777777">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b/>
          <w:bCs/>
          <w:szCs w:val="24"/>
          <w:u w:val="single"/>
        </w:rPr>
        <w:t xml:space="preserve">17. </w:t>
      </w:r>
      <w:r w:rsidRPr="5DC4D323" w:rsidR="00AF35E3">
        <w:rPr>
          <w:rFonts w:ascii="Avenir Next LT Pro" w:eastAsia="Avenir Next LT Pro" w:hAnsi="Avenir Next LT Pro" w:cs="Avenir Next LT Pro"/>
          <w:b/>
          <w:bCs/>
          <w:szCs w:val="24"/>
          <w:u w:val="single"/>
        </w:rPr>
        <w:t xml:space="preserve">OMB </w:t>
      </w:r>
      <w:r w:rsidRPr="5DC4D323" w:rsidR="00683F7A">
        <w:rPr>
          <w:rFonts w:ascii="Avenir Next LT Pro" w:eastAsia="Avenir Next LT Pro" w:hAnsi="Avenir Next LT Pro" w:cs="Avenir Next LT Pro"/>
          <w:b/>
          <w:bCs/>
          <w:szCs w:val="24"/>
          <w:u w:val="single"/>
        </w:rPr>
        <w:t xml:space="preserve">Not to </w:t>
      </w:r>
      <w:r w:rsidRPr="5DC4D323" w:rsidR="00AF35E3">
        <w:rPr>
          <w:rFonts w:ascii="Avenir Next LT Pro" w:eastAsia="Avenir Next LT Pro" w:hAnsi="Avenir Next LT Pro" w:cs="Avenir Next LT Pro"/>
          <w:b/>
          <w:bCs/>
          <w:szCs w:val="24"/>
          <w:u w:val="single"/>
        </w:rPr>
        <w:t>Display</w:t>
      </w:r>
      <w:r w:rsidRPr="5DC4D323" w:rsidR="00683F7A">
        <w:rPr>
          <w:rFonts w:ascii="Avenir Next LT Pro" w:eastAsia="Avenir Next LT Pro" w:hAnsi="Avenir Next LT Pro" w:cs="Avenir Next LT Pro"/>
          <w:b/>
          <w:bCs/>
          <w:szCs w:val="24"/>
          <w:u w:val="single"/>
        </w:rPr>
        <w:t xml:space="preserve"> Approval</w:t>
      </w:r>
      <w:r w:rsidRPr="5DC4D323" w:rsidR="00F56608">
        <w:rPr>
          <w:rFonts w:ascii="Avenir Next LT Pro" w:eastAsia="Avenir Next LT Pro" w:hAnsi="Avenir Next LT Pro" w:cs="Avenir Next LT Pro"/>
          <w:b/>
          <w:bCs/>
          <w:szCs w:val="24"/>
          <w:u w:val="single"/>
        </w:rPr>
        <w:t>.</w:t>
      </w:r>
      <w:r w:rsidRPr="5DC4D323" w:rsidR="007205C9">
        <w:rPr>
          <w:rFonts w:ascii="Avenir Next LT Pro" w:eastAsia="Avenir Next LT Pro" w:hAnsi="Avenir Next LT Pro" w:cs="Avenir Next LT Pro"/>
          <w:szCs w:val="24"/>
        </w:rPr>
        <w:t xml:space="preserve"> </w:t>
      </w:r>
    </w:p>
    <w:p w:rsidR="0086346F" w:rsidP="5DC4D323" w14:paraId="131B6754" w14:textId="77777777">
      <w:pPr>
        <w:widowControl w:val="0"/>
        <w:tabs>
          <w:tab w:val="left" w:pos="360"/>
          <w:tab w:val="left" w:pos="720"/>
          <w:tab w:val="left" w:pos="1080"/>
        </w:tabs>
        <w:rPr>
          <w:rFonts w:ascii="Avenir Next LT Pro" w:eastAsia="Avenir Next LT Pro" w:hAnsi="Avenir Next LT Pro" w:cs="Avenir Next LT Pro"/>
          <w:szCs w:val="24"/>
        </w:rPr>
      </w:pPr>
    </w:p>
    <w:p w:rsidR="000149AE" w:rsidRPr="0086346F" w:rsidP="5DC4D323" w14:paraId="7D5010B4" w14:textId="3A0F1732">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AmeriCorps will display the expiration date of OMB’s approval. </w:t>
      </w:r>
    </w:p>
    <w:p w:rsidR="005338FC" w:rsidP="5DC4D323" w14:paraId="3AC825F2" w14:textId="77777777">
      <w:pPr>
        <w:pStyle w:val="ListParagraph"/>
        <w:widowControl w:val="0"/>
        <w:tabs>
          <w:tab w:val="left" w:pos="360"/>
          <w:tab w:val="left" w:pos="720"/>
          <w:tab w:val="left" w:pos="1080"/>
        </w:tabs>
        <w:ind w:left="0"/>
        <w:rPr>
          <w:rFonts w:ascii="Avenir Next LT Pro" w:eastAsia="Avenir Next LT Pro" w:hAnsi="Avenir Next LT Pro" w:cs="Avenir Next LT Pro"/>
          <w:szCs w:val="24"/>
          <w:u w:val="single"/>
        </w:rPr>
      </w:pPr>
    </w:p>
    <w:p w:rsidR="005338FC" w:rsidP="5DC4D323" w14:paraId="0A24FFE0" w14:textId="77777777">
      <w:pPr>
        <w:pStyle w:val="ListParagraph"/>
        <w:widowControl w:val="0"/>
        <w:tabs>
          <w:tab w:val="left" w:pos="360"/>
          <w:tab w:val="left" w:pos="720"/>
          <w:tab w:val="left" w:pos="1080"/>
        </w:tabs>
        <w:ind w:left="0"/>
        <w:rPr>
          <w:rFonts w:ascii="Avenir Next LT Pro" w:eastAsia="Avenir Next LT Pro" w:hAnsi="Avenir Next LT Pro" w:cs="Avenir Next LT Pro"/>
          <w:b/>
          <w:bCs/>
          <w:szCs w:val="24"/>
          <w:u w:val="single"/>
        </w:rPr>
      </w:pPr>
      <w:r w:rsidRPr="5DC4D323">
        <w:rPr>
          <w:rFonts w:ascii="Avenir Next LT Pro" w:eastAsia="Avenir Next LT Pro" w:hAnsi="Avenir Next LT Pro" w:cs="Avenir Next LT Pro"/>
          <w:b/>
          <w:bCs/>
          <w:szCs w:val="24"/>
          <w:u w:val="single"/>
        </w:rPr>
        <w:t xml:space="preserve">18. </w:t>
      </w:r>
      <w:r w:rsidRPr="5DC4D323" w:rsidR="00683F7A">
        <w:rPr>
          <w:rFonts w:ascii="Avenir Next LT Pro" w:eastAsia="Avenir Next LT Pro" w:hAnsi="Avenir Next LT Pro" w:cs="Avenir Next LT Pro"/>
          <w:b/>
          <w:bCs/>
          <w:szCs w:val="24"/>
          <w:u w:val="single"/>
        </w:rPr>
        <w:t>Exceptions to "Certification for Paperwork Reduction Submissions</w:t>
      </w:r>
      <w:r w:rsidRPr="5DC4D323" w:rsidR="00235CEA">
        <w:rPr>
          <w:rFonts w:ascii="Avenir Next LT Pro" w:eastAsia="Avenir Next LT Pro" w:hAnsi="Avenir Next LT Pro" w:cs="Avenir Next LT Pro"/>
          <w:b/>
          <w:bCs/>
          <w:szCs w:val="24"/>
          <w:u w:val="single"/>
        </w:rPr>
        <w:t>.</w:t>
      </w:r>
      <w:r w:rsidRPr="5DC4D323" w:rsidR="00683F7A">
        <w:rPr>
          <w:rFonts w:ascii="Avenir Next LT Pro" w:eastAsia="Avenir Next LT Pro" w:hAnsi="Avenir Next LT Pro" w:cs="Avenir Next LT Pro"/>
          <w:b/>
          <w:bCs/>
          <w:szCs w:val="24"/>
          <w:u w:val="single"/>
        </w:rPr>
        <w:t>"</w:t>
      </w:r>
      <w:r w:rsidRPr="5DC4D323" w:rsidR="00235CEA">
        <w:rPr>
          <w:rFonts w:ascii="Avenir Next LT Pro" w:eastAsia="Avenir Next LT Pro" w:hAnsi="Avenir Next LT Pro" w:cs="Avenir Next LT Pro"/>
          <w:b/>
          <w:bCs/>
          <w:szCs w:val="24"/>
          <w:u w:val="single"/>
        </w:rPr>
        <w:t xml:space="preserve"> </w:t>
      </w:r>
    </w:p>
    <w:p w:rsidR="005338FC" w:rsidP="5DC4D323" w14:paraId="631B3414" w14:textId="77777777">
      <w:pPr>
        <w:pStyle w:val="ListParagraph"/>
        <w:widowControl w:val="0"/>
        <w:tabs>
          <w:tab w:val="left" w:pos="360"/>
          <w:tab w:val="left" w:pos="720"/>
          <w:tab w:val="left" w:pos="1080"/>
        </w:tabs>
        <w:ind w:left="0"/>
        <w:rPr>
          <w:rFonts w:ascii="Avenir Next LT Pro" w:eastAsia="Avenir Next LT Pro" w:hAnsi="Avenir Next LT Pro" w:cs="Avenir Next LT Pro"/>
          <w:b/>
          <w:bCs/>
          <w:szCs w:val="24"/>
          <w:u w:val="single"/>
        </w:rPr>
      </w:pPr>
    </w:p>
    <w:p w:rsidR="00E7756D" w:rsidRPr="00E7756D" w:rsidP="5DC4D323" w14:paraId="5A69325D" w14:textId="25A9D250">
      <w:pPr>
        <w:pStyle w:val="ListParagraph"/>
        <w:widowControl w:val="0"/>
        <w:tabs>
          <w:tab w:val="left" w:pos="360"/>
          <w:tab w:val="left" w:pos="720"/>
          <w:tab w:val="left" w:pos="1080"/>
        </w:tabs>
        <w:ind w:left="0"/>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There are no exceptions to the certification statement.</w:t>
      </w:r>
    </w:p>
    <w:p w:rsidR="00E7756D" w:rsidRPr="00E7756D" w:rsidP="5DC4D323" w14:paraId="192AB200" w14:textId="77777777">
      <w:pPr>
        <w:widowControl w:val="0"/>
        <w:tabs>
          <w:tab w:val="left" w:pos="360"/>
          <w:tab w:val="left" w:pos="720"/>
          <w:tab w:val="left" w:pos="1080"/>
        </w:tabs>
        <w:rPr>
          <w:rFonts w:ascii="Avenir Next LT Pro" w:eastAsia="Avenir Next LT Pro" w:hAnsi="Avenir Next LT Pro" w:cs="Avenir Next LT Pro"/>
          <w:szCs w:val="24"/>
        </w:rPr>
      </w:pPr>
    </w:p>
    <w:p w:rsidR="004E5196" w:rsidP="5DC4D323" w14:paraId="2924A189" w14:textId="77777777">
      <w:pPr>
        <w:widowControl w:val="0"/>
        <w:tabs>
          <w:tab w:val="left" w:pos="360"/>
          <w:tab w:val="left" w:pos="720"/>
          <w:tab w:val="left" w:pos="1080"/>
        </w:tabs>
        <w:rPr>
          <w:rFonts w:ascii="Avenir Next LT Pro" w:eastAsia="Avenir Next LT Pro" w:hAnsi="Avenir Next LT Pro" w:cs="Avenir Next LT Pro"/>
          <w:b/>
          <w:bCs/>
          <w:szCs w:val="24"/>
          <w:u w:val="single"/>
        </w:rPr>
      </w:pPr>
      <w:r w:rsidRPr="5DC4D323">
        <w:rPr>
          <w:rFonts w:ascii="Avenir Next LT Pro" w:eastAsia="Avenir Next LT Pro" w:hAnsi="Avenir Next LT Pro" w:cs="Avenir Next LT Pro"/>
          <w:b/>
          <w:bCs/>
          <w:szCs w:val="24"/>
          <w:u w:val="single"/>
        </w:rPr>
        <w:t xml:space="preserve">19. </w:t>
      </w:r>
      <w:r w:rsidRPr="5DC4D323" w:rsidR="002C3CE5">
        <w:rPr>
          <w:rFonts w:ascii="Avenir Next LT Pro" w:eastAsia="Avenir Next LT Pro" w:hAnsi="Avenir Next LT Pro" w:cs="Avenir Next LT Pro"/>
          <w:b/>
          <w:bCs/>
          <w:szCs w:val="24"/>
          <w:u w:val="single"/>
        </w:rPr>
        <w:t>Surveys, Censuses, and Other Collections that Employ Statistical Methods</w:t>
      </w:r>
      <w:r w:rsidRPr="5DC4D323">
        <w:rPr>
          <w:rFonts w:ascii="Avenir Next LT Pro" w:eastAsia="Avenir Next LT Pro" w:hAnsi="Avenir Next LT Pro" w:cs="Avenir Next LT Pro"/>
          <w:b/>
          <w:bCs/>
          <w:szCs w:val="24"/>
          <w:u w:val="single"/>
        </w:rPr>
        <w:t>.</w:t>
      </w:r>
    </w:p>
    <w:p w:rsidR="002C3CE5" w:rsidP="5DC4D323" w14:paraId="1C5F2E24" w14:textId="2E23A95A">
      <w:pPr>
        <w:widowControl w:val="0"/>
        <w:tabs>
          <w:tab w:val="left" w:pos="360"/>
          <w:tab w:val="left" w:pos="720"/>
          <w:tab w:val="left" w:pos="1080"/>
        </w:tabs>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 xml:space="preserve"> </w:t>
      </w:r>
    </w:p>
    <w:p w:rsidR="004E5196" w:rsidRPr="007674AD" w:rsidP="5DC4D323" w14:paraId="70FA6CD5" w14:textId="77777777">
      <w:pPr>
        <w:rPr>
          <w:rFonts w:ascii="Avenir Next LT Pro" w:eastAsia="Avenir Next LT Pro" w:hAnsi="Avenir Next LT Pro" w:cs="Avenir Next LT Pro"/>
          <w:szCs w:val="24"/>
        </w:rPr>
      </w:pPr>
      <w:r w:rsidRPr="5DC4D323">
        <w:rPr>
          <w:rFonts w:ascii="Avenir Next LT Pro" w:eastAsia="Avenir Next LT Pro" w:hAnsi="Avenir Next LT Pro" w:cs="Avenir Next LT Pro"/>
          <w:szCs w:val="24"/>
        </w:rPr>
        <w:t>This request does not include surveys or censuses and does not use statistical methods.</w:t>
      </w:r>
    </w:p>
    <w:p w:rsidR="004E5196" w:rsidRPr="005338FC" w:rsidP="5DC4D323" w14:paraId="11AB3AC6" w14:textId="571A22EF">
      <w:pPr>
        <w:widowControl w:val="0"/>
        <w:tabs>
          <w:tab w:val="left" w:pos="360"/>
          <w:tab w:val="left" w:pos="720"/>
          <w:tab w:val="left" w:pos="1080"/>
        </w:tabs>
        <w:rPr>
          <w:rFonts w:ascii="Avenir Next LT Pro" w:eastAsia="Avenir Next LT Pro" w:hAnsi="Avenir Next LT Pro" w:cs="Avenir Next LT Pro"/>
          <w:szCs w:val="24"/>
        </w:rPr>
      </w:pP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7167685">
    <w:abstractNumId w:val="19"/>
  </w:num>
  <w:num w:numId="2" w16cid:durableId="1385981443">
    <w:abstractNumId w:val="9"/>
  </w:num>
  <w:num w:numId="3" w16cid:durableId="459803015">
    <w:abstractNumId w:val="13"/>
  </w:num>
  <w:num w:numId="4" w16cid:durableId="8802329">
    <w:abstractNumId w:val="1"/>
  </w:num>
  <w:num w:numId="5" w16cid:durableId="951940618">
    <w:abstractNumId w:val="25"/>
  </w:num>
  <w:num w:numId="6" w16cid:durableId="2142183611">
    <w:abstractNumId w:val="29"/>
  </w:num>
  <w:num w:numId="7" w16cid:durableId="1446078798">
    <w:abstractNumId w:val="23"/>
  </w:num>
  <w:num w:numId="8" w16cid:durableId="1990162932">
    <w:abstractNumId w:val="18"/>
  </w:num>
  <w:num w:numId="9" w16cid:durableId="189027754">
    <w:abstractNumId w:val="0"/>
  </w:num>
  <w:num w:numId="10" w16cid:durableId="903181114">
    <w:abstractNumId w:val="12"/>
  </w:num>
  <w:num w:numId="11" w16cid:durableId="287665862">
    <w:abstractNumId w:val="10"/>
  </w:num>
  <w:num w:numId="12" w16cid:durableId="819423583">
    <w:abstractNumId w:val="20"/>
  </w:num>
  <w:num w:numId="13" w16cid:durableId="835800464">
    <w:abstractNumId w:val="7"/>
  </w:num>
  <w:num w:numId="14" w16cid:durableId="211891016">
    <w:abstractNumId w:val="14"/>
  </w:num>
  <w:num w:numId="15" w16cid:durableId="687491862">
    <w:abstractNumId w:val="4"/>
  </w:num>
  <w:num w:numId="16" w16cid:durableId="480542352">
    <w:abstractNumId w:val="27"/>
  </w:num>
  <w:num w:numId="17" w16cid:durableId="426653820">
    <w:abstractNumId w:val="16"/>
  </w:num>
  <w:num w:numId="18" w16cid:durableId="1609892052">
    <w:abstractNumId w:val="28"/>
  </w:num>
  <w:num w:numId="19" w16cid:durableId="293871519">
    <w:abstractNumId w:val="22"/>
  </w:num>
  <w:num w:numId="20" w16cid:durableId="499397038">
    <w:abstractNumId w:val="8"/>
  </w:num>
  <w:num w:numId="21" w16cid:durableId="1412308833">
    <w:abstractNumId w:val="26"/>
  </w:num>
  <w:num w:numId="22" w16cid:durableId="2058387331">
    <w:abstractNumId w:val="2"/>
  </w:num>
  <w:num w:numId="23" w16cid:durableId="1040663144">
    <w:abstractNumId w:val="15"/>
  </w:num>
  <w:num w:numId="24" w16cid:durableId="1583640142">
    <w:abstractNumId w:val="3"/>
  </w:num>
  <w:num w:numId="25" w16cid:durableId="974676709">
    <w:abstractNumId w:val="24"/>
  </w:num>
  <w:num w:numId="26" w16cid:durableId="1797673270">
    <w:abstractNumId w:val="6"/>
  </w:num>
  <w:num w:numId="27" w16cid:durableId="2024356224">
    <w:abstractNumId w:val="17"/>
  </w:num>
  <w:num w:numId="28" w16cid:durableId="775172597">
    <w:abstractNumId w:val="5"/>
  </w:num>
  <w:num w:numId="29" w16cid:durableId="934049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61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8396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394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1902"/>
    <w:rsid w:val="00001BD4"/>
    <w:rsid w:val="0000295F"/>
    <w:rsid w:val="00002E6B"/>
    <w:rsid w:val="0000491F"/>
    <w:rsid w:val="00005518"/>
    <w:rsid w:val="00006E59"/>
    <w:rsid w:val="00007E76"/>
    <w:rsid w:val="00011D2E"/>
    <w:rsid w:val="00013CD6"/>
    <w:rsid w:val="000140C3"/>
    <w:rsid w:val="00014288"/>
    <w:rsid w:val="000149AE"/>
    <w:rsid w:val="00014B96"/>
    <w:rsid w:val="00016E21"/>
    <w:rsid w:val="000205BC"/>
    <w:rsid w:val="00021760"/>
    <w:rsid w:val="000222D2"/>
    <w:rsid w:val="0002341F"/>
    <w:rsid w:val="00023965"/>
    <w:rsid w:val="0002498E"/>
    <w:rsid w:val="00026F3E"/>
    <w:rsid w:val="00030AC1"/>
    <w:rsid w:val="000310AC"/>
    <w:rsid w:val="0003126D"/>
    <w:rsid w:val="000315E7"/>
    <w:rsid w:val="0003220D"/>
    <w:rsid w:val="0003501C"/>
    <w:rsid w:val="00036235"/>
    <w:rsid w:val="000379BC"/>
    <w:rsid w:val="00042FAC"/>
    <w:rsid w:val="0004462F"/>
    <w:rsid w:val="0004478F"/>
    <w:rsid w:val="00044CC3"/>
    <w:rsid w:val="000452E5"/>
    <w:rsid w:val="000462C2"/>
    <w:rsid w:val="00046E87"/>
    <w:rsid w:val="00050816"/>
    <w:rsid w:val="00053D0A"/>
    <w:rsid w:val="00054BAB"/>
    <w:rsid w:val="0005637C"/>
    <w:rsid w:val="00060C91"/>
    <w:rsid w:val="000625F2"/>
    <w:rsid w:val="0006273F"/>
    <w:rsid w:val="00065118"/>
    <w:rsid w:val="000654C7"/>
    <w:rsid w:val="000678B0"/>
    <w:rsid w:val="00071ADA"/>
    <w:rsid w:val="00073C47"/>
    <w:rsid w:val="0007581A"/>
    <w:rsid w:val="0007591C"/>
    <w:rsid w:val="00075E93"/>
    <w:rsid w:val="00081C3A"/>
    <w:rsid w:val="00084787"/>
    <w:rsid w:val="000851CA"/>
    <w:rsid w:val="00085466"/>
    <w:rsid w:val="00086D10"/>
    <w:rsid w:val="00090BD1"/>
    <w:rsid w:val="00091036"/>
    <w:rsid w:val="00091301"/>
    <w:rsid w:val="00092540"/>
    <w:rsid w:val="0009357D"/>
    <w:rsid w:val="00093C96"/>
    <w:rsid w:val="0009543A"/>
    <w:rsid w:val="000971FC"/>
    <w:rsid w:val="00097328"/>
    <w:rsid w:val="00097374"/>
    <w:rsid w:val="00097623"/>
    <w:rsid w:val="000A4ED6"/>
    <w:rsid w:val="000A5E65"/>
    <w:rsid w:val="000A6A4D"/>
    <w:rsid w:val="000B09B0"/>
    <w:rsid w:val="000B11D1"/>
    <w:rsid w:val="000B1FF8"/>
    <w:rsid w:val="000B3903"/>
    <w:rsid w:val="000B7968"/>
    <w:rsid w:val="000B7F24"/>
    <w:rsid w:val="000C020F"/>
    <w:rsid w:val="000C351A"/>
    <w:rsid w:val="000C4F25"/>
    <w:rsid w:val="000C5E8A"/>
    <w:rsid w:val="000C60C1"/>
    <w:rsid w:val="000C6C83"/>
    <w:rsid w:val="000D3375"/>
    <w:rsid w:val="000D4A96"/>
    <w:rsid w:val="000D56AC"/>
    <w:rsid w:val="000E0C51"/>
    <w:rsid w:val="000E1796"/>
    <w:rsid w:val="000E2F3F"/>
    <w:rsid w:val="000E2FF1"/>
    <w:rsid w:val="000E5530"/>
    <w:rsid w:val="000E5ECE"/>
    <w:rsid w:val="000F098C"/>
    <w:rsid w:val="000F0C87"/>
    <w:rsid w:val="000F1300"/>
    <w:rsid w:val="000F1640"/>
    <w:rsid w:val="000F1773"/>
    <w:rsid w:val="000F4A46"/>
    <w:rsid w:val="000F6D3D"/>
    <w:rsid w:val="001017F0"/>
    <w:rsid w:val="00103A0C"/>
    <w:rsid w:val="00103C07"/>
    <w:rsid w:val="00104149"/>
    <w:rsid w:val="001053FE"/>
    <w:rsid w:val="00105F88"/>
    <w:rsid w:val="001072DD"/>
    <w:rsid w:val="00107633"/>
    <w:rsid w:val="001116E7"/>
    <w:rsid w:val="00111961"/>
    <w:rsid w:val="00113ADB"/>
    <w:rsid w:val="00120ADD"/>
    <w:rsid w:val="0012293A"/>
    <w:rsid w:val="00123887"/>
    <w:rsid w:val="00127394"/>
    <w:rsid w:val="0013065B"/>
    <w:rsid w:val="0013148E"/>
    <w:rsid w:val="0013256A"/>
    <w:rsid w:val="001334C0"/>
    <w:rsid w:val="00134EF7"/>
    <w:rsid w:val="00135C7F"/>
    <w:rsid w:val="00140913"/>
    <w:rsid w:val="00140A80"/>
    <w:rsid w:val="00140AC1"/>
    <w:rsid w:val="001426A8"/>
    <w:rsid w:val="00144909"/>
    <w:rsid w:val="0014776E"/>
    <w:rsid w:val="00151AEA"/>
    <w:rsid w:val="00151BC8"/>
    <w:rsid w:val="00151F5F"/>
    <w:rsid w:val="001520A7"/>
    <w:rsid w:val="00152E6C"/>
    <w:rsid w:val="00155A61"/>
    <w:rsid w:val="00155C2F"/>
    <w:rsid w:val="00156189"/>
    <w:rsid w:val="0016369C"/>
    <w:rsid w:val="00163B74"/>
    <w:rsid w:val="001653EF"/>
    <w:rsid w:val="00171CAF"/>
    <w:rsid w:val="001744E7"/>
    <w:rsid w:val="00177DA8"/>
    <w:rsid w:val="00181C40"/>
    <w:rsid w:val="0018679A"/>
    <w:rsid w:val="00194F35"/>
    <w:rsid w:val="00196DA7"/>
    <w:rsid w:val="0019725C"/>
    <w:rsid w:val="001A1F3D"/>
    <w:rsid w:val="001A213E"/>
    <w:rsid w:val="001A44B4"/>
    <w:rsid w:val="001A7320"/>
    <w:rsid w:val="001B03E7"/>
    <w:rsid w:val="001B0A99"/>
    <w:rsid w:val="001B0BCA"/>
    <w:rsid w:val="001B3193"/>
    <w:rsid w:val="001B4976"/>
    <w:rsid w:val="001B5D2C"/>
    <w:rsid w:val="001B7342"/>
    <w:rsid w:val="001C2705"/>
    <w:rsid w:val="001C2A90"/>
    <w:rsid w:val="001C594E"/>
    <w:rsid w:val="001D21F4"/>
    <w:rsid w:val="001D6483"/>
    <w:rsid w:val="001D65E9"/>
    <w:rsid w:val="001D663A"/>
    <w:rsid w:val="001D7A5E"/>
    <w:rsid w:val="001E05C5"/>
    <w:rsid w:val="001E3368"/>
    <w:rsid w:val="001F1F35"/>
    <w:rsid w:val="001F2DEE"/>
    <w:rsid w:val="001F4524"/>
    <w:rsid w:val="001F4540"/>
    <w:rsid w:val="001F4BB1"/>
    <w:rsid w:val="001F5174"/>
    <w:rsid w:val="002012A1"/>
    <w:rsid w:val="002014EF"/>
    <w:rsid w:val="00204C05"/>
    <w:rsid w:val="00206121"/>
    <w:rsid w:val="00206D73"/>
    <w:rsid w:val="002105EC"/>
    <w:rsid w:val="00211744"/>
    <w:rsid w:val="00211C5C"/>
    <w:rsid w:val="002138DE"/>
    <w:rsid w:val="00216082"/>
    <w:rsid w:val="00220C6C"/>
    <w:rsid w:val="0022212E"/>
    <w:rsid w:val="002230BA"/>
    <w:rsid w:val="00224294"/>
    <w:rsid w:val="00224D33"/>
    <w:rsid w:val="00226AD3"/>
    <w:rsid w:val="00226E24"/>
    <w:rsid w:val="002319A5"/>
    <w:rsid w:val="00232D18"/>
    <w:rsid w:val="00234C0A"/>
    <w:rsid w:val="00235CEA"/>
    <w:rsid w:val="00242814"/>
    <w:rsid w:val="00244F01"/>
    <w:rsid w:val="0025004D"/>
    <w:rsid w:val="00251FAE"/>
    <w:rsid w:val="00252B78"/>
    <w:rsid w:val="0025388C"/>
    <w:rsid w:val="0025446F"/>
    <w:rsid w:val="00254DEF"/>
    <w:rsid w:val="0025713B"/>
    <w:rsid w:val="002623BD"/>
    <w:rsid w:val="00263CD5"/>
    <w:rsid w:val="002646D3"/>
    <w:rsid w:val="00270D13"/>
    <w:rsid w:val="00274BD4"/>
    <w:rsid w:val="0027558D"/>
    <w:rsid w:val="00276E6A"/>
    <w:rsid w:val="00280620"/>
    <w:rsid w:val="00280DC7"/>
    <w:rsid w:val="00283E87"/>
    <w:rsid w:val="00284099"/>
    <w:rsid w:val="00284994"/>
    <w:rsid w:val="00292FF0"/>
    <w:rsid w:val="00293372"/>
    <w:rsid w:val="00293BC9"/>
    <w:rsid w:val="00296B18"/>
    <w:rsid w:val="00297C47"/>
    <w:rsid w:val="002A1114"/>
    <w:rsid w:val="002A1F4F"/>
    <w:rsid w:val="002A2D3A"/>
    <w:rsid w:val="002A3308"/>
    <w:rsid w:val="002A40F8"/>
    <w:rsid w:val="002A4151"/>
    <w:rsid w:val="002A5161"/>
    <w:rsid w:val="002A6416"/>
    <w:rsid w:val="002A6787"/>
    <w:rsid w:val="002B2715"/>
    <w:rsid w:val="002B46A3"/>
    <w:rsid w:val="002B55C5"/>
    <w:rsid w:val="002B6BA9"/>
    <w:rsid w:val="002C010F"/>
    <w:rsid w:val="002C3C07"/>
    <w:rsid w:val="002C3CE5"/>
    <w:rsid w:val="002C7723"/>
    <w:rsid w:val="002C7FF3"/>
    <w:rsid w:val="002D1020"/>
    <w:rsid w:val="002D412F"/>
    <w:rsid w:val="002D4BD2"/>
    <w:rsid w:val="002D5D7F"/>
    <w:rsid w:val="002D650A"/>
    <w:rsid w:val="002D7409"/>
    <w:rsid w:val="002E2980"/>
    <w:rsid w:val="002E4D72"/>
    <w:rsid w:val="002E7134"/>
    <w:rsid w:val="002E75F6"/>
    <w:rsid w:val="002E7C48"/>
    <w:rsid w:val="002F14E6"/>
    <w:rsid w:val="002F23B1"/>
    <w:rsid w:val="002F3021"/>
    <w:rsid w:val="002F3296"/>
    <w:rsid w:val="002F58A0"/>
    <w:rsid w:val="002F65C0"/>
    <w:rsid w:val="002F71C1"/>
    <w:rsid w:val="002F7A93"/>
    <w:rsid w:val="00301237"/>
    <w:rsid w:val="00302147"/>
    <w:rsid w:val="003027CB"/>
    <w:rsid w:val="00307F99"/>
    <w:rsid w:val="00313B20"/>
    <w:rsid w:val="00315237"/>
    <w:rsid w:val="0031567F"/>
    <w:rsid w:val="00321071"/>
    <w:rsid w:val="00321966"/>
    <w:rsid w:val="003249C8"/>
    <w:rsid w:val="00324B3C"/>
    <w:rsid w:val="00330272"/>
    <w:rsid w:val="003326C3"/>
    <w:rsid w:val="00334CB5"/>
    <w:rsid w:val="00335B06"/>
    <w:rsid w:val="003365CA"/>
    <w:rsid w:val="00344425"/>
    <w:rsid w:val="00344A90"/>
    <w:rsid w:val="003459A7"/>
    <w:rsid w:val="00345E65"/>
    <w:rsid w:val="00346055"/>
    <w:rsid w:val="00346A0D"/>
    <w:rsid w:val="0034798D"/>
    <w:rsid w:val="003528E8"/>
    <w:rsid w:val="00354BAD"/>
    <w:rsid w:val="00361CBE"/>
    <w:rsid w:val="003622F2"/>
    <w:rsid w:val="00366678"/>
    <w:rsid w:val="00366EE4"/>
    <w:rsid w:val="0036703A"/>
    <w:rsid w:val="00367F88"/>
    <w:rsid w:val="0037038A"/>
    <w:rsid w:val="00370492"/>
    <w:rsid w:val="00371E69"/>
    <w:rsid w:val="003730AE"/>
    <w:rsid w:val="00375DCD"/>
    <w:rsid w:val="00376161"/>
    <w:rsid w:val="003810DC"/>
    <w:rsid w:val="0038144F"/>
    <w:rsid w:val="00382CAF"/>
    <w:rsid w:val="0038345C"/>
    <w:rsid w:val="00383BF2"/>
    <w:rsid w:val="0038561F"/>
    <w:rsid w:val="0039039C"/>
    <w:rsid w:val="00390F87"/>
    <w:rsid w:val="003915B2"/>
    <w:rsid w:val="003937BC"/>
    <w:rsid w:val="00394C89"/>
    <w:rsid w:val="003A01D7"/>
    <w:rsid w:val="003A0D2B"/>
    <w:rsid w:val="003A68AF"/>
    <w:rsid w:val="003A73AE"/>
    <w:rsid w:val="003B082E"/>
    <w:rsid w:val="003B0E85"/>
    <w:rsid w:val="003B3CFA"/>
    <w:rsid w:val="003C1BED"/>
    <w:rsid w:val="003C3669"/>
    <w:rsid w:val="003C564B"/>
    <w:rsid w:val="003C5B3A"/>
    <w:rsid w:val="003D16C7"/>
    <w:rsid w:val="003D56AC"/>
    <w:rsid w:val="003D57B0"/>
    <w:rsid w:val="003D5DE8"/>
    <w:rsid w:val="003D7CD7"/>
    <w:rsid w:val="003E0518"/>
    <w:rsid w:val="003E27EF"/>
    <w:rsid w:val="003E57D4"/>
    <w:rsid w:val="003E64D2"/>
    <w:rsid w:val="003F0211"/>
    <w:rsid w:val="003F102B"/>
    <w:rsid w:val="003F3984"/>
    <w:rsid w:val="003F583B"/>
    <w:rsid w:val="003F5B05"/>
    <w:rsid w:val="003F773B"/>
    <w:rsid w:val="004079F0"/>
    <w:rsid w:val="004105AD"/>
    <w:rsid w:val="004120DB"/>
    <w:rsid w:val="00414CA9"/>
    <w:rsid w:val="004165AA"/>
    <w:rsid w:val="00417CA0"/>
    <w:rsid w:val="00420004"/>
    <w:rsid w:val="00420BED"/>
    <w:rsid w:val="00421356"/>
    <w:rsid w:val="004226A9"/>
    <w:rsid w:val="00424068"/>
    <w:rsid w:val="004314F2"/>
    <w:rsid w:val="00432B3C"/>
    <w:rsid w:val="00434E7A"/>
    <w:rsid w:val="00436A3E"/>
    <w:rsid w:val="00436E5C"/>
    <w:rsid w:val="00440401"/>
    <w:rsid w:val="00442CC0"/>
    <w:rsid w:val="00444277"/>
    <w:rsid w:val="00445540"/>
    <w:rsid w:val="004457DA"/>
    <w:rsid w:val="00450307"/>
    <w:rsid w:val="00451BAD"/>
    <w:rsid w:val="004531CD"/>
    <w:rsid w:val="004531D2"/>
    <w:rsid w:val="0045417A"/>
    <w:rsid w:val="004544A7"/>
    <w:rsid w:val="0045707D"/>
    <w:rsid w:val="0045742A"/>
    <w:rsid w:val="004628C8"/>
    <w:rsid w:val="00463145"/>
    <w:rsid w:val="0046337F"/>
    <w:rsid w:val="00467A7A"/>
    <w:rsid w:val="0047195F"/>
    <w:rsid w:val="004761FB"/>
    <w:rsid w:val="00477CCF"/>
    <w:rsid w:val="00482B73"/>
    <w:rsid w:val="00483367"/>
    <w:rsid w:val="00484A81"/>
    <w:rsid w:val="004856A6"/>
    <w:rsid w:val="00487184"/>
    <w:rsid w:val="0049146E"/>
    <w:rsid w:val="00496B38"/>
    <w:rsid w:val="00497C2F"/>
    <w:rsid w:val="004A0F5A"/>
    <w:rsid w:val="004A1B0F"/>
    <w:rsid w:val="004A42A6"/>
    <w:rsid w:val="004A465F"/>
    <w:rsid w:val="004A4C77"/>
    <w:rsid w:val="004A59B7"/>
    <w:rsid w:val="004A7CA5"/>
    <w:rsid w:val="004A7E83"/>
    <w:rsid w:val="004B17B7"/>
    <w:rsid w:val="004C0139"/>
    <w:rsid w:val="004C0BFC"/>
    <w:rsid w:val="004C20A9"/>
    <w:rsid w:val="004C2E87"/>
    <w:rsid w:val="004C593E"/>
    <w:rsid w:val="004C6546"/>
    <w:rsid w:val="004D1209"/>
    <w:rsid w:val="004D19C2"/>
    <w:rsid w:val="004D23AA"/>
    <w:rsid w:val="004D794E"/>
    <w:rsid w:val="004E090F"/>
    <w:rsid w:val="004E2CD2"/>
    <w:rsid w:val="004E5196"/>
    <w:rsid w:val="004E5A3D"/>
    <w:rsid w:val="004E5E82"/>
    <w:rsid w:val="004E6326"/>
    <w:rsid w:val="004F0C9A"/>
    <w:rsid w:val="004F1C4C"/>
    <w:rsid w:val="004F26A1"/>
    <w:rsid w:val="004F3BF6"/>
    <w:rsid w:val="004F48CC"/>
    <w:rsid w:val="004F51B8"/>
    <w:rsid w:val="00500D46"/>
    <w:rsid w:val="00503B9A"/>
    <w:rsid w:val="00503CED"/>
    <w:rsid w:val="00504EDB"/>
    <w:rsid w:val="0050594F"/>
    <w:rsid w:val="00505E03"/>
    <w:rsid w:val="00507AD2"/>
    <w:rsid w:val="00510B5A"/>
    <w:rsid w:val="00510E83"/>
    <w:rsid w:val="00512E14"/>
    <w:rsid w:val="00513C2B"/>
    <w:rsid w:val="0051498F"/>
    <w:rsid w:val="005162E3"/>
    <w:rsid w:val="005177C0"/>
    <w:rsid w:val="005179D8"/>
    <w:rsid w:val="00520EBC"/>
    <w:rsid w:val="00522800"/>
    <w:rsid w:val="005271A4"/>
    <w:rsid w:val="005273F1"/>
    <w:rsid w:val="0053064C"/>
    <w:rsid w:val="0053089F"/>
    <w:rsid w:val="005324FD"/>
    <w:rsid w:val="00532889"/>
    <w:rsid w:val="005338FC"/>
    <w:rsid w:val="00543A9E"/>
    <w:rsid w:val="00543EAA"/>
    <w:rsid w:val="00552665"/>
    <w:rsid w:val="00555CE3"/>
    <w:rsid w:val="00555E16"/>
    <w:rsid w:val="005571CD"/>
    <w:rsid w:val="00557BFF"/>
    <w:rsid w:val="00560335"/>
    <w:rsid w:val="00560B0B"/>
    <w:rsid w:val="00561FE0"/>
    <w:rsid w:val="005678A2"/>
    <w:rsid w:val="0057135E"/>
    <w:rsid w:val="0057277B"/>
    <w:rsid w:val="00573137"/>
    <w:rsid w:val="0057391F"/>
    <w:rsid w:val="00573BEB"/>
    <w:rsid w:val="005750C0"/>
    <w:rsid w:val="00576DBC"/>
    <w:rsid w:val="0058055E"/>
    <w:rsid w:val="00581D52"/>
    <w:rsid w:val="00582FF2"/>
    <w:rsid w:val="00584E82"/>
    <w:rsid w:val="005877C2"/>
    <w:rsid w:val="005879B5"/>
    <w:rsid w:val="00590F0B"/>
    <w:rsid w:val="00591A47"/>
    <w:rsid w:val="00591B88"/>
    <w:rsid w:val="00592939"/>
    <w:rsid w:val="00592CC8"/>
    <w:rsid w:val="005A080C"/>
    <w:rsid w:val="005A3BFC"/>
    <w:rsid w:val="005A7224"/>
    <w:rsid w:val="005A74BD"/>
    <w:rsid w:val="005A7FDB"/>
    <w:rsid w:val="005B0276"/>
    <w:rsid w:val="005B2E88"/>
    <w:rsid w:val="005B352A"/>
    <w:rsid w:val="005B35C0"/>
    <w:rsid w:val="005B38E9"/>
    <w:rsid w:val="005B4333"/>
    <w:rsid w:val="005B5B26"/>
    <w:rsid w:val="005B65DD"/>
    <w:rsid w:val="005C0503"/>
    <w:rsid w:val="005C3AC3"/>
    <w:rsid w:val="005C3FA0"/>
    <w:rsid w:val="005C40A8"/>
    <w:rsid w:val="005C480E"/>
    <w:rsid w:val="005C5BDB"/>
    <w:rsid w:val="005C6963"/>
    <w:rsid w:val="005C6EC9"/>
    <w:rsid w:val="005D0B5E"/>
    <w:rsid w:val="005D2AB9"/>
    <w:rsid w:val="005D2F31"/>
    <w:rsid w:val="005D705D"/>
    <w:rsid w:val="005D7326"/>
    <w:rsid w:val="005E1E94"/>
    <w:rsid w:val="005E4273"/>
    <w:rsid w:val="005E436B"/>
    <w:rsid w:val="005E59BB"/>
    <w:rsid w:val="005E633A"/>
    <w:rsid w:val="005E65F7"/>
    <w:rsid w:val="005E7C0B"/>
    <w:rsid w:val="005F28B2"/>
    <w:rsid w:val="005F64CC"/>
    <w:rsid w:val="005F7FCE"/>
    <w:rsid w:val="00604DB2"/>
    <w:rsid w:val="00606059"/>
    <w:rsid w:val="00606E0D"/>
    <w:rsid w:val="00610950"/>
    <w:rsid w:val="00611C76"/>
    <w:rsid w:val="00613491"/>
    <w:rsid w:val="00616B3E"/>
    <w:rsid w:val="0062065C"/>
    <w:rsid w:val="006218C1"/>
    <w:rsid w:val="00622312"/>
    <w:rsid w:val="00624EC0"/>
    <w:rsid w:val="00625CA4"/>
    <w:rsid w:val="00630750"/>
    <w:rsid w:val="006327B5"/>
    <w:rsid w:val="00633B12"/>
    <w:rsid w:val="0063574E"/>
    <w:rsid w:val="00635F20"/>
    <w:rsid w:val="00640C71"/>
    <w:rsid w:val="006505E8"/>
    <w:rsid w:val="00651A73"/>
    <w:rsid w:val="00651BD5"/>
    <w:rsid w:val="006618D2"/>
    <w:rsid w:val="00661EA0"/>
    <w:rsid w:val="006624E7"/>
    <w:rsid w:val="00663CD8"/>
    <w:rsid w:val="00664D6E"/>
    <w:rsid w:val="006652C4"/>
    <w:rsid w:val="00665349"/>
    <w:rsid w:val="0066641F"/>
    <w:rsid w:val="00667272"/>
    <w:rsid w:val="00667F20"/>
    <w:rsid w:val="006715AC"/>
    <w:rsid w:val="00672D99"/>
    <w:rsid w:val="006759C6"/>
    <w:rsid w:val="00680B8E"/>
    <w:rsid w:val="00681D3E"/>
    <w:rsid w:val="00683A02"/>
    <w:rsid w:val="00683F7A"/>
    <w:rsid w:val="006844AA"/>
    <w:rsid w:val="00684D56"/>
    <w:rsid w:val="00690019"/>
    <w:rsid w:val="00691EBA"/>
    <w:rsid w:val="00692D47"/>
    <w:rsid w:val="00693FCC"/>
    <w:rsid w:val="00695F5D"/>
    <w:rsid w:val="00695F8E"/>
    <w:rsid w:val="006A5BDB"/>
    <w:rsid w:val="006B29B9"/>
    <w:rsid w:val="006B3033"/>
    <w:rsid w:val="006B391F"/>
    <w:rsid w:val="006B3B4D"/>
    <w:rsid w:val="006B7112"/>
    <w:rsid w:val="006B78F1"/>
    <w:rsid w:val="006C102B"/>
    <w:rsid w:val="006C2D42"/>
    <w:rsid w:val="006C59B4"/>
    <w:rsid w:val="006C65F4"/>
    <w:rsid w:val="006D2D21"/>
    <w:rsid w:val="006D3366"/>
    <w:rsid w:val="006D3BE6"/>
    <w:rsid w:val="006D5C48"/>
    <w:rsid w:val="006E1038"/>
    <w:rsid w:val="006E15CA"/>
    <w:rsid w:val="006E3CAD"/>
    <w:rsid w:val="006E3DA6"/>
    <w:rsid w:val="006E74E6"/>
    <w:rsid w:val="006F073C"/>
    <w:rsid w:val="006F110B"/>
    <w:rsid w:val="006F1BA5"/>
    <w:rsid w:val="006F28F0"/>
    <w:rsid w:val="006F5C34"/>
    <w:rsid w:val="006F6A21"/>
    <w:rsid w:val="00700A54"/>
    <w:rsid w:val="0070434B"/>
    <w:rsid w:val="00705548"/>
    <w:rsid w:val="007057BD"/>
    <w:rsid w:val="007079C2"/>
    <w:rsid w:val="007102AF"/>
    <w:rsid w:val="00710429"/>
    <w:rsid w:val="00715050"/>
    <w:rsid w:val="0071552E"/>
    <w:rsid w:val="0071578D"/>
    <w:rsid w:val="00716B3B"/>
    <w:rsid w:val="00720548"/>
    <w:rsid w:val="007205C9"/>
    <w:rsid w:val="00721338"/>
    <w:rsid w:val="00723403"/>
    <w:rsid w:val="00730C41"/>
    <w:rsid w:val="007316DC"/>
    <w:rsid w:val="00731A90"/>
    <w:rsid w:val="0073249E"/>
    <w:rsid w:val="00732CF4"/>
    <w:rsid w:val="007354CE"/>
    <w:rsid w:val="00736F1E"/>
    <w:rsid w:val="007370D9"/>
    <w:rsid w:val="007371AC"/>
    <w:rsid w:val="00737A02"/>
    <w:rsid w:val="00741580"/>
    <w:rsid w:val="007426BC"/>
    <w:rsid w:val="00743C9A"/>
    <w:rsid w:val="00746CC2"/>
    <w:rsid w:val="00746D63"/>
    <w:rsid w:val="00747A1A"/>
    <w:rsid w:val="00750C43"/>
    <w:rsid w:val="00754148"/>
    <w:rsid w:val="00755A0F"/>
    <w:rsid w:val="007569C4"/>
    <w:rsid w:val="00756B93"/>
    <w:rsid w:val="00757432"/>
    <w:rsid w:val="007605C9"/>
    <w:rsid w:val="00760837"/>
    <w:rsid w:val="00760A4A"/>
    <w:rsid w:val="00760B66"/>
    <w:rsid w:val="0076171B"/>
    <w:rsid w:val="00761C1B"/>
    <w:rsid w:val="00762046"/>
    <w:rsid w:val="007637D8"/>
    <w:rsid w:val="00763B21"/>
    <w:rsid w:val="0076674C"/>
    <w:rsid w:val="007674AD"/>
    <w:rsid w:val="00773F8E"/>
    <w:rsid w:val="007757BD"/>
    <w:rsid w:val="007766B6"/>
    <w:rsid w:val="00777A0A"/>
    <w:rsid w:val="00782D86"/>
    <w:rsid w:val="00784AF4"/>
    <w:rsid w:val="007859FD"/>
    <w:rsid w:val="00785ED8"/>
    <w:rsid w:val="0078636D"/>
    <w:rsid w:val="00790021"/>
    <w:rsid w:val="00793D27"/>
    <w:rsid w:val="00794716"/>
    <w:rsid w:val="00795E76"/>
    <w:rsid w:val="00796969"/>
    <w:rsid w:val="007A1E41"/>
    <w:rsid w:val="007A1E89"/>
    <w:rsid w:val="007A2A3F"/>
    <w:rsid w:val="007A4135"/>
    <w:rsid w:val="007A4AFE"/>
    <w:rsid w:val="007A595B"/>
    <w:rsid w:val="007A6C07"/>
    <w:rsid w:val="007A7294"/>
    <w:rsid w:val="007A76E9"/>
    <w:rsid w:val="007A7FBD"/>
    <w:rsid w:val="007B1629"/>
    <w:rsid w:val="007B309D"/>
    <w:rsid w:val="007B34B1"/>
    <w:rsid w:val="007B5B42"/>
    <w:rsid w:val="007B6166"/>
    <w:rsid w:val="007B7E52"/>
    <w:rsid w:val="007C1329"/>
    <w:rsid w:val="007C1471"/>
    <w:rsid w:val="007C4069"/>
    <w:rsid w:val="007C5BBB"/>
    <w:rsid w:val="007C6198"/>
    <w:rsid w:val="007C7E2E"/>
    <w:rsid w:val="007D0B7D"/>
    <w:rsid w:val="007D42A3"/>
    <w:rsid w:val="007D42B5"/>
    <w:rsid w:val="007D64C3"/>
    <w:rsid w:val="007E01E4"/>
    <w:rsid w:val="007E2520"/>
    <w:rsid w:val="007E413B"/>
    <w:rsid w:val="007E5467"/>
    <w:rsid w:val="007E560E"/>
    <w:rsid w:val="007F09C2"/>
    <w:rsid w:val="007F1768"/>
    <w:rsid w:val="007F4B93"/>
    <w:rsid w:val="007F58DB"/>
    <w:rsid w:val="007F75FF"/>
    <w:rsid w:val="007F7D0D"/>
    <w:rsid w:val="00802114"/>
    <w:rsid w:val="00802983"/>
    <w:rsid w:val="00805C83"/>
    <w:rsid w:val="00810478"/>
    <w:rsid w:val="00814982"/>
    <w:rsid w:val="00816DBF"/>
    <w:rsid w:val="00822A59"/>
    <w:rsid w:val="008241C1"/>
    <w:rsid w:val="0082543F"/>
    <w:rsid w:val="00827EFB"/>
    <w:rsid w:val="00830F6D"/>
    <w:rsid w:val="00831EDB"/>
    <w:rsid w:val="00832803"/>
    <w:rsid w:val="008336DC"/>
    <w:rsid w:val="00840E47"/>
    <w:rsid w:val="0084188E"/>
    <w:rsid w:val="00842061"/>
    <w:rsid w:val="00842DC8"/>
    <w:rsid w:val="0084401C"/>
    <w:rsid w:val="00854472"/>
    <w:rsid w:val="0085449C"/>
    <w:rsid w:val="00855D4B"/>
    <w:rsid w:val="00855E0B"/>
    <w:rsid w:val="00856834"/>
    <w:rsid w:val="0085782E"/>
    <w:rsid w:val="00860900"/>
    <w:rsid w:val="00860DE2"/>
    <w:rsid w:val="008631E8"/>
    <w:rsid w:val="0086346F"/>
    <w:rsid w:val="00867BB0"/>
    <w:rsid w:val="0087075D"/>
    <w:rsid w:val="00870DA2"/>
    <w:rsid w:val="00873DAB"/>
    <w:rsid w:val="00874D32"/>
    <w:rsid w:val="00875138"/>
    <w:rsid w:val="00880676"/>
    <w:rsid w:val="00880BAD"/>
    <w:rsid w:val="00881BB9"/>
    <w:rsid w:val="00887030"/>
    <w:rsid w:val="008873DA"/>
    <w:rsid w:val="00891ED5"/>
    <w:rsid w:val="0089223E"/>
    <w:rsid w:val="00895C6B"/>
    <w:rsid w:val="008978A8"/>
    <w:rsid w:val="008A06B5"/>
    <w:rsid w:val="008A1C06"/>
    <w:rsid w:val="008A1C7F"/>
    <w:rsid w:val="008A215B"/>
    <w:rsid w:val="008A3B11"/>
    <w:rsid w:val="008A575F"/>
    <w:rsid w:val="008B06F0"/>
    <w:rsid w:val="008B3F90"/>
    <w:rsid w:val="008B52EE"/>
    <w:rsid w:val="008B5ABD"/>
    <w:rsid w:val="008B5F1F"/>
    <w:rsid w:val="008B70D4"/>
    <w:rsid w:val="008B71E6"/>
    <w:rsid w:val="008C03DE"/>
    <w:rsid w:val="008C1EF5"/>
    <w:rsid w:val="008C4487"/>
    <w:rsid w:val="008C4C50"/>
    <w:rsid w:val="008C5CD2"/>
    <w:rsid w:val="008C742E"/>
    <w:rsid w:val="008D043B"/>
    <w:rsid w:val="008D0F04"/>
    <w:rsid w:val="008D15F8"/>
    <w:rsid w:val="008D4EC2"/>
    <w:rsid w:val="008D5957"/>
    <w:rsid w:val="008D5990"/>
    <w:rsid w:val="008E263E"/>
    <w:rsid w:val="008E2718"/>
    <w:rsid w:val="008E2B0B"/>
    <w:rsid w:val="008E5891"/>
    <w:rsid w:val="008E59CB"/>
    <w:rsid w:val="008E7A5E"/>
    <w:rsid w:val="008F1CB1"/>
    <w:rsid w:val="008F2CFC"/>
    <w:rsid w:val="008F348F"/>
    <w:rsid w:val="008F57CC"/>
    <w:rsid w:val="008F58FF"/>
    <w:rsid w:val="008F6317"/>
    <w:rsid w:val="009033ED"/>
    <w:rsid w:val="00905BDB"/>
    <w:rsid w:val="0090629C"/>
    <w:rsid w:val="00906645"/>
    <w:rsid w:val="00907F25"/>
    <w:rsid w:val="009133A9"/>
    <w:rsid w:val="009145C4"/>
    <w:rsid w:val="00915869"/>
    <w:rsid w:val="00915D3E"/>
    <w:rsid w:val="00916F97"/>
    <w:rsid w:val="00920E6F"/>
    <w:rsid w:val="009227B0"/>
    <w:rsid w:val="00923358"/>
    <w:rsid w:val="009234E9"/>
    <w:rsid w:val="00923687"/>
    <w:rsid w:val="00924044"/>
    <w:rsid w:val="0092661B"/>
    <w:rsid w:val="00927173"/>
    <w:rsid w:val="009277BA"/>
    <w:rsid w:val="00927B63"/>
    <w:rsid w:val="009304DF"/>
    <w:rsid w:val="0093630F"/>
    <w:rsid w:val="00936BBB"/>
    <w:rsid w:val="00944404"/>
    <w:rsid w:val="00945D7E"/>
    <w:rsid w:val="009468E2"/>
    <w:rsid w:val="00952722"/>
    <w:rsid w:val="00952ECE"/>
    <w:rsid w:val="0095386A"/>
    <w:rsid w:val="00953F30"/>
    <w:rsid w:val="009541D5"/>
    <w:rsid w:val="00960321"/>
    <w:rsid w:val="00961571"/>
    <w:rsid w:val="00961953"/>
    <w:rsid w:val="00962AD0"/>
    <w:rsid w:val="00962E58"/>
    <w:rsid w:val="00962FF3"/>
    <w:rsid w:val="009632A5"/>
    <w:rsid w:val="009634B0"/>
    <w:rsid w:val="00964080"/>
    <w:rsid w:val="009643BA"/>
    <w:rsid w:val="00965289"/>
    <w:rsid w:val="0097122C"/>
    <w:rsid w:val="00971EE7"/>
    <w:rsid w:val="00974625"/>
    <w:rsid w:val="009768CD"/>
    <w:rsid w:val="00976EA2"/>
    <w:rsid w:val="0098049A"/>
    <w:rsid w:val="00981375"/>
    <w:rsid w:val="00983197"/>
    <w:rsid w:val="00985945"/>
    <w:rsid w:val="00986F45"/>
    <w:rsid w:val="0098728A"/>
    <w:rsid w:val="0099028E"/>
    <w:rsid w:val="00991EA9"/>
    <w:rsid w:val="00993A71"/>
    <w:rsid w:val="00997022"/>
    <w:rsid w:val="009A1CB8"/>
    <w:rsid w:val="009A3A51"/>
    <w:rsid w:val="009A546A"/>
    <w:rsid w:val="009B0047"/>
    <w:rsid w:val="009B355C"/>
    <w:rsid w:val="009B4F6D"/>
    <w:rsid w:val="009B5E98"/>
    <w:rsid w:val="009B67FC"/>
    <w:rsid w:val="009B7384"/>
    <w:rsid w:val="009C0002"/>
    <w:rsid w:val="009C0672"/>
    <w:rsid w:val="009C1A54"/>
    <w:rsid w:val="009C3C52"/>
    <w:rsid w:val="009C4E2F"/>
    <w:rsid w:val="009C52FF"/>
    <w:rsid w:val="009C683B"/>
    <w:rsid w:val="009C6D37"/>
    <w:rsid w:val="009D0CEA"/>
    <w:rsid w:val="009D2F4B"/>
    <w:rsid w:val="009E2624"/>
    <w:rsid w:val="009F0481"/>
    <w:rsid w:val="009F111F"/>
    <w:rsid w:val="009F22DB"/>
    <w:rsid w:val="009F3865"/>
    <w:rsid w:val="009F47DA"/>
    <w:rsid w:val="009F5D95"/>
    <w:rsid w:val="009F5DCE"/>
    <w:rsid w:val="009F6324"/>
    <w:rsid w:val="009F63AB"/>
    <w:rsid w:val="009F7BD2"/>
    <w:rsid w:val="00A006F2"/>
    <w:rsid w:val="00A02D7B"/>
    <w:rsid w:val="00A05759"/>
    <w:rsid w:val="00A059FD"/>
    <w:rsid w:val="00A07C42"/>
    <w:rsid w:val="00A10547"/>
    <w:rsid w:val="00A10ED1"/>
    <w:rsid w:val="00A115B2"/>
    <w:rsid w:val="00A119DD"/>
    <w:rsid w:val="00A157D1"/>
    <w:rsid w:val="00A15BE8"/>
    <w:rsid w:val="00A22035"/>
    <w:rsid w:val="00A235D8"/>
    <w:rsid w:val="00A2402D"/>
    <w:rsid w:val="00A246B4"/>
    <w:rsid w:val="00A246F4"/>
    <w:rsid w:val="00A25543"/>
    <w:rsid w:val="00A3022D"/>
    <w:rsid w:val="00A308AA"/>
    <w:rsid w:val="00A326A0"/>
    <w:rsid w:val="00A40B87"/>
    <w:rsid w:val="00A444F9"/>
    <w:rsid w:val="00A44858"/>
    <w:rsid w:val="00A4792B"/>
    <w:rsid w:val="00A50EA7"/>
    <w:rsid w:val="00A54F08"/>
    <w:rsid w:val="00A6249A"/>
    <w:rsid w:val="00A62E02"/>
    <w:rsid w:val="00A63B93"/>
    <w:rsid w:val="00A64E67"/>
    <w:rsid w:val="00A65FB8"/>
    <w:rsid w:val="00A7090E"/>
    <w:rsid w:val="00A70D8C"/>
    <w:rsid w:val="00A71034"/>
    <w:rsid w:val="00A72BEE"/>
    <w:rsid w:val="00A7690A"/>
    <w:rsid w:val="00A77080"/>
    <w:rsid w:val="00A77674"/>
    <w:rsid w:val="00A81AEA"/>
    <w:rsid w:val="00A81D89"/>
    <w:rsid w:val="00A84846"/>
    <w:rsid w:val="00A84F4D"/>
    <w:rsid w:val="00A85BC8"/>
    <w:rsid w:val="00A9007D"/>
    <w:rsid w:val="00A932BA"/>
    <w:rsid w:val="00A942B7"/>
    <w:rsid w:val="00A9765C"/>
    <w:rsid w:val="00AA0A85"/>
    <w:rsid w:val="00AA26AE"/>
    <w:rsid w:val="00AA2E31"/>
    <w:rsid w:val="00AA3C9E"/>
    <w:rsid w:val="00AA4591"/>
    <w:rsid w:val="00AA496B"/>
    <w:rsid w:val="00AB02B0"/>
    <w:rsid w:val="00AB0415"/>
    <w:rsid w:val="00AB0EC9"/>
    <w:rsid w:val="00AB4466"/>
    <w:rsid w:val="00AB4777"/>
    <w:rsid w:val="00AC0144"/>
    <w:rsid w:val="00AC029B"/>
    <w:rsid w:val="00AC1789"/>
    <w:rsid w:val="00AC35FF"/>
    <w:rsid w:val="00AC7CFA"/>
    <w:rsid w:val="00AD0BED"/>
    <w:rsid w:val="00AD1C98"/>
    <w:rsid w:val="00AD394C"/>
    <w:rsid w:val="00AD5A73"/>
    <w:rsid w:val="00AD68BF"/>
    <w:rsid w:val="00AD70E6"/>
    <w:rsid w:val="00AD78A9"/>
    <w:rsid w:val="00AE14A1"/>
    <w:rsid w:val="00AE1895"/>
    <w:rsid w:val="00AE1A3F"/>
    <w:rsid w:val="00AE289F"/>
    <w:rsid w:val="00AE4C7F"/>
    <w:rsid w:val="00AF0C8D"/>
    <w:rsid w:val="00AF10D4"/>
    <w:rsid w:val="00AF35E3"/>
    <w:rsid w:val="00AF4DB7"/>
    <w:rsid w:val="00AF6724"/>
    <w:rsid w:val="00AF7718"/>
    <w:rsid w:val="00B00F95"/>
    <w:rsid w:val="00B019F8"/>
    <w:rsid w:val="00B10E69"/>
    <w:rsid w:val="00B12552"/>
    <w:rsid w:val="00B12715"/>
    <w:rsid w:val="00B16F6D"/>
    <w:rsid w:val="00B20172"/>
    <w:rsid w:val="00B20EE7"/>
    <w:rsid w:val="00B20F59"/>
    <w:rsid w:val="00B21BD5"/>
    <w:rsid w:val="00B21CBB"/>
    <w:rsid w:val="00B220B6"/>
    <w:rsid w:val="00B30452"/>
    <w:rsid w:val="00B31F69"/>
    <w:rsid w:val="00B3208E"/>
    <w:rsid w:val="00B32292"/>
    <w:rsid w:val="00B32538"/>
    <w:rsid w:val="00B332C1"/>
    <w:rsid w:val="00B4041C"/>
    <w:rsid w:val="00B41485"/>
    <w:rsid w:val="00B42B74"/>
    <w:rsid w:val="00B43BD8"/>
    <w:rsid w:val="00B440C0"/>
    <w:rsid w:val="00B460D3"/>
    <w:rsid w:val="00B47BF4"/>
    <w:rsid w:val="00B53D0A"/>
    <w:rsid w:val="00B54112"/>
    <w:rsid w:val="00B557F6"/>
    <w:rsid w:val="00B577A0"/>
    <w:rsid w:val="00B6013D"/>
    <w:rsid w:val="00B601BF"/>
    <w:rsid w:val="00B611AD"/>
    <w:rsid w:val="00B626C1"/>
    <w:rsid w:val="00B63F60"/>
    <w:rsid w:val="00B657C1"/>
    <w:rsid w:val="00B66FE9"/>
    <w:rsid w:val="00B704A5"/>
    <w:rsid w:val="00B71B42"/>
    <w:rsid w:val="00B71BC3"/>
    <w:rsid w:val="00B72314"/>
    <w:rsid w:val="00B7390C"/>
    <w:rsid w:val="00B73E14"/>
    <w:rsid w:val="00B74378"/>
    <w:rsid w:val="00B74592"/>
    <w:rsid w:val="00B747BF"/>
    <w:rsid w:val="00B75FBC"/>
    <w:rsid w:val="00B76572"/>
    <w:rsid w:val="00B81FD2"/>
    <w:rsid w:val="00B82F97"/>
    <w:rsid w:val="00B844AC"/>
    <w:rsid w:val="00B84865"/>
    <w:rsid w:val="00B87726"/>
    <w:rsid w:val="00B87B7E"/>
    <w:rsid w:val="00B90BB3"/>
    <w:rsid w:val="00B9486A"/>
    <w:rsid w:val="00B951FC"/>
    <w:rsid w:val="00B96394"/>
    <w:rsid w:val="00B973B9"/>
    <w:rsid w:val="00BA2016"/>
    <w:rsid w:val="00BA2538"/>
    <w:rsid w:val="00BA3037"/>
    <w:rsid w:val="00BA44C7"/>
    <w:rsid w:val="00BA5444"/>
    <w:rsid w:val="00BA5530"/>
    <w:rsid w:val="00BA5E0D"/>
    <w:rsid w:val="00BA62C2"/>
    <w:rsid w:val="00BA63C4"/>
    <w:rsid w:val="00BB4FC0"/>
    <w:rsid w:val="00BB5AB7"/>
    <w:rsid w:val="00BC3A6C"/>
    <w:rsid w:val="00BC4451"/>
    <w:rsid w:val="00BC458A"/>
    <w:rsid w:val="00BC47D6"/>
    <w:rsid w:val="00BC7077"/>
    <w:rsid w:val="00BC7DD4"/>
    <w:rsid w:val="00BD0CE4"/>
    <w:rsid w:val="00BD19EE"/>
    <w:rsid w:val="00BD37B8"/>
    <w:rsid w:val="00BD525D"/>
    <w:rsid w:val="00BD6901"/>
    <w:rsid w:val="00BD6FD9"/>
    <w:rsid w:val="00BD7959"/>
    <w:rsid w:val="00BE000E"/>
    <w:rsid w:val="00BE075A"/>
    <w:rsid w:val="00BE1487"/>
    <w:rsid w:val="00BE1B96"/>
    <w:rsid w:val="00BE5649"/>
    <w:rsid w:val="00BE5F9A"/>
    <w:rsid w:val="00BE696E"/>
    <w:rsid w:val="00BE6EE5"/>
    <w:rsid w:val="00BE73C7"/>
    <w:rsid w:val="00BE7C40"/>
    <w:rsid w:val="00BF088B"/>
    <w:rsid w:val="00BF2D2E"/>
    <w:rsid w:val="00BF3D5B"/>
    <w:rsid w:val="00BF4167"/>
    <w:rsid w:val="00C02169"/>
    <w:rsid w:val="00C04391"/>
    <w:rsid w:val="00C046F9"/>
    <w:rsid w:val="00C05061"/>
    <w:rsid w:val="00C06DED"/>
    <w:rsid w:val="00C1047B"/>
    <w:rsid w:val="00C1151F"/>
    <w:rsid w:val="00C11585"/>
    <w:rsid w:val="00C14965"/>
    <w:rsid w:val="00C14F7D"/>
    <w:rsid w:val="00C165AD"/>
    <w:rsid w:val="00C16B77"/>
    <w:rsid w:val="00C17690"/>
    <w:rsid w:val="00C209D2"/>
    <w:rsid w:val="00C22A24"/>
    <w:rsid w:val="00C2487B"/>
    <w:rsid w:val="00C25996"/>
    <w:rsid w:val="00C30391"/>
    <w:rsid w:val="00C3314C"/>
    <w:rsid w:val="00C3441E"/>
    <w:rsid w:val="00C344CC"/>
    <w:rsid w:val="00C37C7A"/>
    <w:rsid w:val="00C4082C"/>
    <w:rsid w:val="00C40D4A"/>
    <w:rsid w:val="00C411C5"/>
    <w:rsid w:val="00C425FB"/>
    <w:rsid w:val="00C43C67"/>
    <w:rsid w:val="00C4532D"/>
    <w:rsid w:val="00C50DD7"/>
    <w:rsid w:val="00C52180"/>
    <w:rsid w:val="00C54197"/>
    <w:rsid w:val="00C57D92"/>
    <w:rsid w:val="00C60CD5"/>
    <w:rsid w:val="00C63FBB"/>
    <w:rsid w:val="00C66FFD"/>
    <w:rsid w:val="00C715AD"/>
    <w:rsid w:val="00C73294"/>
    <w:rsid w:val="00C76C8F"/>
    <w:rsid w:val="00C8284A"/>
    <w:rsid w:val="00C82E80"/>
    <w:rsid w:val="00C84FE6"/>
    <w:rsid w:val="00C858D7"/>
    <w:rsid w:val="00C861F3"/>
    <w:rsid w:val="00C8796A"/>
    <w:rsid w:val="00C9112F"/>
    <w:rsid w:val="00C91CF6"/>
    <w:rsid w:val="00C92BB8"/>
    <w:rsid w:val="00C942D3"/>
    <w:rsid w:val="00C95E19"/>
    <w:rsid w:val="00CA06FC"/>
    <w:rsid w:val="00CA27B5"/>
    <w:rsid w:val="00CA2879"/>
    <w:rsid w:val="00CA39E9"/>
    <w:rsid w:val="00CA4531"/>
    <w:rsid w:val="00CA4C64"/>
    <w:rsid w:val="00CA5EFE"/>
    <w:rsid w:val="00CA5FA3"/>
    <w:rsid w:val="00CA60CD"/>
    <w:rsid w:val="00CA6E31"/>
    <w:rsid w:val="00CB07D9"/>
    <w:rsid w:val="00CB0981"/>
    <w:rsid w:val="00CB46F1"/>
    <w:rsid w:val="00CC08C4"/>
    <w:rsid w:val="00CC50D9"/>
    <w:rsid w:val="00CC59BC"/>
    <w:rsid w:val="00CC716E"/>
    <w:rsid w:val="00CC7BE2"/>
    <w:rsid w:val="00CD0019"/>
    <w:rsid w:val="00CD057C"/>
    <w:rsid w:val="00CD347F"/>
    <w:rsid w:val="00CE04D8"/>
    <w:rsid w:val="00CE2281"/>
    <w:rsid w:val="00CE4C81"/>
    <w:rsid w:val="00CE5DAB"/>
    <w:rsid w:val="00CF296A"/>
    <w:rsid w:val="00CF2C1A"/>
    <w:rsid w:val="00CF369C"/>
    <w:rsid w:val="00D052A3"/>
    <w:rsid w:val="00D115B2"/>
    <w:rsid w:val="00D15FA5"/>
    <w:rsid w:val="00D178DA"/>
    <w:rsid w:val="00D21623"/>
    <w:rsid w:val="00D22A96"/>
    <w:rsid w:val="00D232C7"/>
    <w:rsid w:val="00D249F1"/>
    <w:rsid w:val="00D25DD9"/>
    <w:rsid w:val="00D26B73"/>
    <w:rsid w:val="00D316B8"/>
    <w:rsid w:val="00D31C7C"/>
    <w:rsid w:val="00D3303B"/>
    <w:rsid w:val="00D34672"/>
    <w:rsid w:val="00D34D42"/>
    <w:rsid w:val="00D350DF"/>
    <w:rsid w:val="00D37F82"/>
    <w:rsid w:val="00D43477"/>
    <w:rsid w:val="00D45EA4"/>
    <w:rsid w:val="00D479C8"/>
    <w:rsid w:val="00D5107E"/>
    <w:rsid w:val="00D5176C"/>
    <w:rsid w:val="00D54F66"/>
    <w:rsid w:val="00D578C2"/>
    <w:rsid w:val="00D64747"/>
    <w:rsid w:val="00D64982"/>
    <w:rsid w:val="00D65A12"/>
    <w:rsid w:val="00D65DA2"/>
    <w:rsid w:val="00D66F5B"/>
    <w:rsid w:val="00D67EAB"/>
    <w:rsid w:val="00D71FF2"/>
    <w:rsid w:val="00D7327B"/>
    <w:rsid w:val="00D73803"/>
    <w:rsid w:val="00D77D9D"/>
    <w:rsid w:val="00D77F5B"/>
    <w:rsid w:val="00D8130B"/>
    <w:rsid w:val="00D85D7E"/>
    <w:rsid w:val="00D90308"/>
    <w:rsid w:val="00D935EE"/>
    <w:rsid w:val="00D94065"/>
    <w:rsid w:val="00D94DB3"/>
    <w:rsid w:val="00D95F9A"/>
    <w:rsid w:val="00DA126C"/>
    <w:rsid w:val="00DA1B53"/>
    <w:rsid w:val="00DA33C5"/>
    <w:rsid w:val="00DA6A36"/>
    <w:rsid w:val="00DB1CC6"/>
    <w:rsid w:val="00DB56CF"/>
    <w:rsid w:val="00DB6636"/>
    <w:rsid w:val="00DB6E44"/>
    <w:rsid w:val="00DB76D4"/>
    <w:rsid w:val="00DC0F26"/>
    <w:rsid w:val="00DC16B4"/>
    <w:rsid w:val="00DC2C63"/>
    <w:rsid w:val="00DC3D72"/>
    <w:rsid w:val="00DC66FA"/>
    <w:rsid w:val="00DC76D4"/>
    <w:rsid w:val="00DD030E"/>
    <w:rsid w:val="00DD22B3"/>
    <w:rsid w:val="00DD25D7"/>
    <w:rsid w:val="00DD367A"/>
    <w:rsid w:val="00DD5060"/>
    <w:rsid w:val="00DD66A7"/>
    <w:rsid w:val="00DD6CEA"/>
    <w:rsid w:val="00DE1AED"/>
    <w:rsid w:val="00DE3AF3"/>
    <w:rsid w:val="00DE573E"/>
    <w:rsid w:val="00DE5B25"/>
    <w:rsid w:val="00DE6A72"/>
    <w:rsid w:val="00DE78BB"/>
    <w:rsid w:val="00DF136D"/>
    <w:rsid w:val="00DF471A"/>
    <w:rsid w:val="00DF681D"/>
    <w:rsid w:val="00DF6EA9"/>
    <w:rsid w:val="00DF7938"/>
    <w:rsid w:val="00E008AF"/>
    <w:rsid w:val="00E0265A"/>
    <w:rsid w:val="00E1001A"/>
    <w:rsid w:val="00E164D3"/>
    <w:rsid w:val="00E16E7B"/>
    <w:rsid w:val="00E22479"/>
    <w:rsid w:val="00E2477E"/>
    <w:rsid w:val="00E2573D"/>
    <w:rsid w:val="00E26E5B"/>
    <w:rsid w:val="00E27749"/>
    <w:rsid w:val="00E27D1B"/>
    <w:rsid w:val="00E311F3"/>
    <w:rsid w:val="00E3569F"/>
    <w:rsid w:val="00E35CAC"/>
    <w:rsid w:val="00E36282"/>
    <w:rsid w:val="00E3690C"/>
    <w:rsid w:val="00E37667"/>
    <w:rsid w:val="00E41AF6"/>
    <w:rsid w:val="00E44D16"/>
    <w:rsid w:val="00E45964"/>
    <w:rsid w:val="00E46365"/>
    <w:rsid w:val="00E46A9F"/>
    <w:rsid w:val="00E5403D"/>
    <w:rsid w:val="00E55438"/>
    <w:rsid w:val="00E605A4"/>
    <w:rsid w:val="00E608AE"/>
    <w:rsid w:val="00E60A59"/>
    <w:rsid w:val="00E6460A"/>
    <w:rsid w:val="00E670AE"/>
    <w:rsid w:val="00E67566"/>
    <w:rsid w:val="00E70A33"/>
    <w:rsid w:val="00E71EDB"/>
    <w:rsid w:val="00E756B7"/>
    <w:rsid w:val="00E76D74"/>
    <w:rsid w:val="00E76E25"/>
    <w:rsid w:val="00E7756D"/>
    <w:rsid w:val="00E776F1"/>
    <w:rsid w:val="00E77C9D"/>
    <w:rsid w:val="00E85DF8"/>
    <w:rsid w:val="00E90D1A"/>
    <w:rsid w:val="00E914E3"/>
    <w:rsid w:val="00E9165D"/>
    <w:rsid w:val="00E93E1D"/>
    <w:rsid w:val="00E9438C"/>
    <w:rsid w:val="00E95EE8"/>
    <w:rsid w:val="00EA30D0"/>
    <w:rsid w:val="00EA411A"/>
    <w:rsid w:val="00EB0703"/>
    <w:rsid w:val="00EB2E61"/>
    <w:rsid w:val="00EB3C3C"/>
    <w:rsid w:val="00EB431D"/>
    <w:rsid w:val="00EB5FD1"/>
    <w:rsid w:val="00EC26EB"/>
    <w:rsid w:val="00EC460E"/>
    <w:rsid w:val="00EC5036"/>
    <w:rsid w:val="00EC6070"/>
    <w:rsid w:val="00EC7291"/>
    <w:rsid w:val="00ED01E5"/>
    <w:rsid w:val="00ED0E95"/>
    <w:rsid w:val="00ED10EC"/>
    <w:rsid w:val="00ED2165"/>
    <w:rsid w:val="00ED2834"/>
    <w:rsid w:val="00ED59CD"/>
    <w:rsid w:val="00ED5B92"/>
    <w:rsid w:val="00ED62E1"/>
    <w:rsid w:val="00ED663E"/>
    <w:rsid w:val="00EE057E"/>
    <w:rsid w:val="00EE38A0"/>
    <w:rsid w:val="00EE4CE8"/>
    <w:rsid w:val="00EE6C34"/>
    <w:rsid w:val="00EF65C0"/>
    <w:rsid w:val="00EF7E13"/>
    <w:rsid w:val="00F00D3E"/>
    <w:rsid w:val="00F02924"/>
    <w:rsid w:val="00F03A28"/>
    <w:rsid w:val="00F0437E"/>
    <w:rsid w:val="00F045A4"/>
    <w:rsid w:val="00F04B24"/>
    <w:rsid w:val="00F04C54"/>
    <w:rsid w:val="00F05A25"/>
    <w:rsid w:val="00F07B96"/>
    <w:rsid w:val="00F11115"/>
    <w:rsid w:val="00F11369"/>
    <w:rsid w:val="00F12F45"/>
    <w:rsid w:val="00F13560"/>
    <w:rsid w:val="00F13B22"/>
    <w:rsid w:val="00F143E8"/>
    <w:rsid w:val="00F15F70"/>
    <w:rsid w:val="00F16967"/>
    <w:rsid w:val="00F21DDF"/>
    <w:rsid w:val="00F23172"/>
    <w:rsid w:val="00F24554"/>
    <w:rsid w:val="00F2456E"/>
    <w:rsid w:val="00F250DE"/>
    <w:rsid w:val="00F26199"/>
    <w:rsid w:val="00F27C12"/>
    <w:rsid w:val="00F30E1A"/>
    <w:rsid w:val="00F31048"/>
    <w:rsid w:val="00F315A2"/>
    <w:rsid w:val="00F328BE"/>
    <w:rsid w:val="00F341A1"/>
    <w:rsid w:val="00F35397"/>
    <w:rsid w:val="00F359F8"/>
    <w:rsid w:val="00F35E15"/>
    <w:rsid w:val="00F36A19"/>
    <w:rsid w:val="00F3781D"/>
    <w:rsid w:val="00F40485"/>
    <w:rsid w:val="00F4194F"/>
    <w:rsid w:val="00F41C1B"/>
    <w:rsid w:val="00F4285C"/>
    <w:rsid w:val="00F43F73"/>
    <w:rsid w:val="00F440BA"/>
    <w:rsid w:val="00F45C98"/>
    <w:rsid w:val="00F47206"/>
    <w:rsid w:val="00F476E3"/>
    <w:rsid w:val="00F525B6"/>
    <w:rsid w:val="00F54C0F"/>
    <w:rsid w:val="00F54DB6"/>
    <w:rsid w:val="00F56608"/>
    <w:rsid w:val="00F567E6"/>
    <w:rsid w:val="00F605B7"/>
    <w:rsid w:val="00F63DCD"/>
    <w:rsid w:val="00F644B5"/>
    <w:rsid w:val="00F655BA"/>
    <w:rsid w:val="00F673FD"/>
    <w:rsid w:val="00F67460"/>
    <w:rsid w:val="00F67504"/>
    <w:rsid w:val="00F6754F"/>
    <w:rsid w:val="00F6789B"/>
    <w:rsid w:val="00F678E0"/>
    <w:rsid w:val="00F70641"/>
    <w:rsid w:val="00F7246B"/>
    <w:rsid w:val="00F75152"/>
    <w:rsid w:val="00F75256"/>
    <w:rsid w:val="00F8057A"/>
    <w:rsid w:val="00F80DE9"/>
    <w:rsid w:val="00F83189"/>
    <w:rsid w:val="00F84F03"/>
    <w:rsid w:val="00F85D77"/>
    <w:rsid w:val="00F86152"/>
    <w:rsid w:val="00F86E1D"/>
    <w:rsid w:val="00F87073"/>
    <w:rsid w:val="00F92988"/>
    <w:rsid w:val="00F93EA5"/>
    <w:rsid w:val="00F95AB4"/>
    <w:rsid w:val="00F969CF"/>
    <w:rsid w:val="00FA133D"/>
    <w:rsid w:val="00FA19F8"/>
    <w:rsid w:val="00FA229C"/>
    <w:rsid w:val="00FA38ED"/>
    <w:rsid w:val="00FA43D5"/>
    <w:rsid w:val="00FA6821"/>
    <w:rsid w:val="00FA7784"/>
    <w:rsid w:val="00FA79AB"/>
    <w:rsid w:val="00FB1AF3"/>
    <w:rsid w:val="00FB205B"/>
    <w:rsid w:val="00FB3305"/>
    <w:rsid w:val="00FB4255"/>
    <w:rsid w:val="00FB50C4"/>
    <w:rsid w:val="00FB591B"/>
    <w:rsid w:val="00FB5A10"/>
    <w:rsid w:val="00FB7C9E"/>
    <w:rsid w:val="00FB7D5B"/>
    <w:rsid w:val="00FC2092"/>
    <w:rsid w:val="00FC576B"/>
    <w:rsid w:val="00FC5AA7"/>
    <w:rsid w:val="00FC6330"/>
    <w:rsid w:val="00FC654E"/>
    <w:rsid w:val="00FC75F1"/>
    <w:rsid w:val="00FD0D8E"/>
    <w:rsid w:val="00FD0EAE"/>
    <w:rsid w:val="00FD2BB1"/>
    <w:rsid w:val="00FD3291"/>
    <w:rsid w:val="00FD37C4"/>
    <w:rsid w:val="00FD48A8"/>
    <w:rsid w:val="00FD5692"/>
    <w:rsid w:val="00FD6135"/>
    <w:rsid w:val="00FE0B62"/>
    <w:rsid w:val="00FE15B9"/>
    <w:rsid w:val="00FE43FE"/>
    <w:rsid w:val="00FE4A6E"/>
    <w:rsid w:val="00FE5B5A"/>
    <w:rsid w:val="00FF0776"/>
    <w:rsid w:val="00FF2221"/>
    <w:rsid w:val="00FF28E5"/>
    <w:rsid w:val="00FF4440"/>
    <w:rsid w:val="00FF6B8E"/>
    <w:rsid w:val="00FF77F8"/>
    <w:rsid w:val="017B4312"/>
    <w:rsid w:val="01EE6A84"/>
    <w:rsid w:val="02047C6E"/>
    <w:rsid w:val="02EAD405"/>
    <w:rsid w:val="03D644CB"/>
    <w:rsid w:val="03E60D86"/>
    <w:rsid w:val="04227F77"/>
    <w:rsid w:val="04650243"/>
    <w:rsid w:val="047D9340"/>
    <w:rsid w:val="04B24B77"/>
    <w:rsid w:val="04C1B591"/>
    <w:rsid w:val="04D9AEFE"/>
    <w:rsid w:val="04DCA456"/>
    <w:rsid w:val="05273540"/>
    <w:rsid w:val="055903B2"/>
    <w:rsid w:val="065D0462"/>
    <w:rsid w:val="07EA5A97"/>
    <w:rsid w:val="0820F042"/>
    <w:rsid w:val="08487115"/>
    <w:rsid w:val="086197B2"/>
    <w:rsid w:val="0865F93F"/>
    <w:rsid w:val="093BDB76"/>
    <w:rsid w:val="09539A79"/>
    <w:rsid w:val="0960AEE3"/>
    <w:rsid w:val="097E34B6"/>
    <w:rsid w:val="09BD91AA"/>
    <w:rsid w:val="0A34ED45"/>
    <w:rsid w:val="0A5E751D"/>
    <w:rsid w:val="0A9EFFC3"/>
    <w:rsid w:val="0B05BFFB"/>
    <w:rsid w:val="0B1E250E"/>
    <w:rsid w:val="0B559DAA"/>
    <w:rsid w:val="0BAC39D2"/>
    <w:rsid w:val="0BC9CD3A"/>
    <w:rsid w:val="0C3DE265"/>
    <w:rsid w:val="0CCD6991"/>
    <w:rsid w:val="0CDF96DF"/>
    <w:rsid w:val="0CF49AF4"/>
    <w:rsid w:val="0D21544F"/>
    <w:rsid w:val="0D4AED3A"/>
    <w:rsid w:val="0D54656C"/>
    <w:rsid w:val="0DFD6C51"/>
    <w:rsid w:val="0E312948"/>
    <w:rsid w:val="0E71817C"/>
    <w:rsid w:val="0EC39A4A"/>
    <w:rsid w:val="0F00D684"/>
    <w:rsid w:val="0F40EB70"/>
    <w:rsid w:val="0F47BB5C"/>
    <w:rsid w:val="0F75A460"/>
    <w:rsid w:val="107DBD0C"/>
    <w:rsid w:val="10BE44BB"/>
    <w:rsid w:val="11DAAC80"/>
    <w:rsid w:val="11DB361E"/>
    <w:rsid w:val="11ED4EE4"/>
    <w:rsid w:val="124C8C26"/>
    <w:rsid w:val="12A4C066"/>
    <w:rsid w:val="12B4844C"/>
    <w:rsid w:val="1378AE87"/>
    <w:rsid w:val="13907204"/>
    <w:rsid w:val="13BC9118"/>
    <w:rsid w:val="14FB3C5F"/>
    <w:rsid w:val="1570D701"/>
    <w:rsid w:val="1589150E"/>
    <w:rsid w:val="15AF6E3E"/>
    <w:rsid w:val="162DA558"/>
    <w:rsid w:val="163C77B7"/>
    <w:rsid w:val="1649C212"/>
    <w:rsid w:val="16ABEEC3"/>
    <w:rsid w:val="17110943"/>
    <w:rsid w:val="17237D2F"/>
    <w:rsid w:val="174AE0B6"/>
    <w:rsid w:val="17953ECF"/>
    <w:rsid w:val="18271C90"/>
    <w:rsid w:val="18C09B8C"/>
    <w:rsid w:val="196628C9"/>
    <w:rsid w:val="1A27EEFC"/>
    <w:rsid w:val="1A35646F"/>
    <w:rsid w:val="1A9E75F9"/>
    <w:rsid w:val="1AD7B074"/>
    <w:rsid w:val="1ADAFD3B"/>
    <w:rsid w:val="1AF8021F"/>
    <w:rsid w:val="1B03210A"/>
    <w:rsid w:val="1B402A73"/>
    <w:rsid w:val="1B76A254"/>
    <w:rsid w:val="1BA156D1"/>
    <w:rsid w:val="1C345D5D"/>
    <w:rsid w:val="1C542B8B"/>
    <w:rsid w:val="1D275607"/>
    <w:rsid w:val="1D872628"/>
    <w:rsid w:val="1DA2167C"/>
    <w:rsid w:val="1DAE8CC0"/>
    <w:rsid w:val="1E820A60"/>
    <w:rsid w:val="1E9BFEE5"/>
    <w:rsid w:val="1EA4A26D"/>
    <w:rsid w:val="1F10ABCD"/>
    <w:rsid w:val="1F35A701"/>
    <w:rsid w:val="1FB859F5"/>
    <w:rsid w:val="20237FFC"/>
    <w:rsid w:val="2055BA2B"/>
    <w:rsid w:val="207E487D"/>
    <w:rsid w:val="208B7D96"/>
    <w:rsid w:val="20C76A1D"/>
    <w:rsid w:val="20F6393B"/>
    <w:rsid w:val="21A2DA8F"/>
    <w:rsid w:val="21D12B3B"/>
    <w:rsid w:val="2207ED35"/>
    <w:rsid w:val="22B890E8"/>
    <w:rsid w:val="235071AC"/>
    <w:rsid w:val="2426DE5D"/>
    <w:rsid w:val="2430A0FA"/>
    <w:rsid w:val="2434E78F"/>
    <w:rsid w:val="2462945B"/>
    <w:rsid w:val="24ACCCAB"/>
    <w:rsid w:val="250938D2"/>
    <w:rsid w:val="25251C4F"/>
    <w:rsid w:val="25967035"/>
    <w:rsid w:val="25AA8E13"/>
    <w:rsid w:val="25AEA8B1"/>
    <w:rsid w:val="26493991"/>
    <w:rsid w:val="26898FC8"/>
    <w:rsid w:val="271A5D11"/>
    <w:rsid w:val="2813CB98"/>
    <w:rsid w:val="28207CC6"/>
    <w:rsid w:val="282BC505"/>
    <w:rsid w:val="28794B47"/>
    <w:rsid w:val="28D5FA89"/>
    <w:rsid w:val="28E52EC5"/>
    <w:rsid w:val="2937BE8B"/>
    <w:rsid w:val="2946F5D4"/>
    <w:rsid w:val="29A43C92"/>
    <w:rsid w:val="29E3DB1B"/>
    <w:rsid w:val="2A544C9A"/>
    <w:rsid w:val="2A6FC7FD"/>
    <w:rsid w:val="2B309478"/>
    <w:rsid w:val="2B71C3D8"/>
    <w:rsid w:val="2B731857"/>
    <w:rsid w:val="2B7AC7BC"/>
    <w:rsid w:val="2C144519"/>
    <w:rsid w:val="2C7DFF1E"/>
    <w:rsid w:val="2C89D0F3"/>
    <w:rsid w:val="2CC1A21B"/>
    <w:rsid w:val="2D31C306"/>
    <w:rsid w:val="2DA3D2B0"/>
    <w:rsid w:val="2DD279C0"/>
    <w:rsid w:val="2DED972A"/>
    <w:rsid w:val="2DFA7B5A"/>
    <w:rsid w:val="2E57D602"/>
    <w:rsid w:val="2E6CDA17"/>
    <w:rsid w:val="2E7FFA9C"/>
    <w:rsid w:val="2F10F826"/>
    <w:rsid w:val="2F38A51F"/>
    <w:rsid w:val="2F60DA30"/>
    <w:rsid w:val="2F78D39D"/>
    <w:rsid w:val="2F8D04E5"/>
    <w:rsid w:val="301C5609"/>
    <w:rsid w:val="309A4E95"/>
    <w:rsid w:val="30C1FB62"/>
    <w:rsid w:val="30F0F751"/>
    <w:rsid w:val="311D1DAC"/>
    <w:rsid w:val="315E2978"/>
    <w:rsid w:val="317EA094"/>
    <w:rsid w:val="330BC5D4"/>
    <w:rsid w:val="3333DD19"/>
    <w:rsid w:val="33E23285"/>
    <w:rsid w:val="33EC9D70"/>
    <w:rsid w:val="34774145"/>
    <w:rsid w:val="34EA8295"/>
    <w:rsid w:val="34FA6DFC"/>
    <w:rsid w:val="35841392"/>
    <w:rsid w:val="35B4D3DB"/>
    <w:rsid w:val="35D0DAAD"/>
    <w:rsid w:val="3718D06A"/>
    <w:rsid w:val="37313D60"/>
    <w:rsid w:val="3798521F"/>
    <w:rsid w:val="3803C144"/>
    <w:rsid w:val="38282473"/>
    <w:rsid w:val="38371CD4"/>
    <w:rsid w:val="39C8CB18"/>
    <w:rsid w:val="39D250DC"/>
    <w:rsid w:val="3A18A2DA"/>
    <w:rsid w:val="3A4A9DAC"/>
    <w:rsid w:val="3ABA8A25"/>
    <w:rsid w:val="3ACFF43C"/>
    <w:rsid w:val="3AE1B41D"/>
    <w:rsid w:val="3C7A273B"/>
    <w:rsid w:val="3C809174"/>
    <w:rsid w:val="3C9DA405"/>
    <w:rsid w:val="3CA39852"/>
    <w:rsid w:val="3CA62AE5"/>
    <w:rsid w:val="3CD661DD"/>
    <w:rsid w:val="3CEF9A3E"/>
    <w:rsid w:val="3D99829B"/>
    <w:rsid w:val="3D9B8A4C"/>
    <w:rsid w:val="3DB445DA"/>
    <w:rsid w:val="3E43ABEF"/>
    <w:rsid w:val="3E5266B0"/>
    <w:rsid w:val="3E699C5D"/>
    <w:rsid w:val="3E8115AA"/>
    <w:rsid w:val="3E98BAE9"/>
    <w:rsid w:val="3ED52CDA"/>
    <w:rsid w:val="3F31D583"/>
    <w:rsid w:val="3F7DB140"/>
    <w:rsid w:val="3F867364"/>
    <w:rsid w:val="4007CB31"/>
    <w:rsid w:val="4021EB4D"/>
    <w:rsid w:val="403E3DB1"/>
    <w:rsid w:val="40452DC4"/>
    <w:rsid w:val="409AA1B9"/>
    <w:rsid w:val="415BC6F7"/>
    <w:rsid w:val="4184195A"/>
    <w:rsid w:val="41EE97E1"/>
    <w:rsid w:val="4236721A"/>
    <w:rsid w:val="42888F27"/>
    <w:rsid w:val="42FDC788"/>
    <w:rsid w:val="433A0F2E"/>
    <w:rsid w:val="43DF47CA"/>
    <w:rsid w:val="4431A112"/>
    <w:rsid w:val="445049A2"/>
    <w:rsid w:val="44CFF547"/>
    <w:rsid w:val="454DB920"/>
    <w:rsid w:val="45B99590"/>
    <w:rsid w:val="45DEAD45"/>
    <w:rsid w:val="45EBFB47"/>
    <w:rsid w:val="461E5AE7"/>
    <w:rsid w:val="46506EE5"/>
    <w:rsid w:val="46A916CB"/>
    <w:rsid w:val="47446EFE"/>
    <w:rsid w:val="47D3BA89"/>
    <w:rsid w:val="47EAC9B3"/>
    <w:rsid w:val="4859A81F"/>
    <w:rsid w:val="487FE017"/>
    <w:rsid w:val="4A0983D7"/>
    <w:rsid w:val="4A30E75E"/>
    <w:rsid w:val="4A5FE52B"/>
    <w:rsid w:val="4A82CD80"/>
    <w:rsid w:val="4AC80E52"/>
    <w:rsid w:val="4AEF5AA2"/>
    <w:rsid w:val="4B54E45B"/>
    <w:rsid w:val="4B71286B"/>
    <w:rsid w:val="4BDACB68"/>
    <w:rsid w:val="4CDEA497"/>
    <w:rsid w:val="4D90A771"/>
    <w:rsid w:val="4DE706F8"/>
    <w:rsid w:val="4E2F325B"/>
    <w:rsid w:val="4E54EC01"/>
    <w:rsid w:val="4E5BE574"/>
    <w:rsid w:val="4E74EE9C"/>
    <w:rsid w:val="4E7ED5D8"/>
    <w:rsid w:val="4EA3E484"/>
    <w:rsid w:val="4ED844CD"/>
    <w:rsid w:val="4EE9A4F7"/>
    <w:rsid w:val="4F8D2083"/>
    <w:rsid w:val="4FB41814"/>
    <w:rsid w:val="4FD9A5E1"/>
    <w:rsid w:val="5025F521"/>
    <w:rsid w:val="507DC821"/>
    <w:rsid w:val="5090F0FC"/>
    <w:rsid w:val="50919CAC"/>
    <w:rsid w:val="50B9B168"/>
    <w:rsid w:val="50FFB9A6"/>
    <w:rsid w:val="51196D28"/>
    <w:rsid w:val="5180AF0F"/>
    <w:rsid w:val="52239B2F"/>
    <w:rsid w:val="52CEBD7A"/>
    <w:rsid w:val="52DD792A"/>
    <w:rsid w:val="530D9301"/>
    <w:rsid w:val="53F09667"/>
    <w:rsid w:val="54961CAC"/>
    <w:rsid w:val="549BFE64"/>
    <w:rsid w:val="54AAC8F7"/>
    <w:rsid w:val="56374D35"/>
    <w:rsid w:val="567B6F43"/>
    <w:rsid w:val="56AE50DB"/>
    <w:rsid w:val="56D0CB42"/>
    <w:rsid w:val="56D68CF6"/>
    <w:rsid w:val="56DDAA66"/>
    <w:rsid w:val="578216CF"/>
    <w:rsid w:val="57F9F366"/>
    <w:rsid w:val="58F65856"/>
    <w:rsid w:val="58FAB88F"/>
    <w:rsid w:val="595BF502"/>
    <w:rsid w:val="5994E525"/>
    <w:rsid w:val="5A5F1B46"/>
    <w:rsid w:val="5A8A5F5C"/>
    <w:rsid w:val="5ABC5789"/>
    <w:rsid w:val="5B6862A7"/>
    <w:rsid w:val="5B745604"/>
    <w:rsid w:val="5B89CA53"/>
    <w:rsid w:val="5D61E935"/>
    <w:rsid w:val="5D9DADAA"/>
    <w:rsid w:val="5DC4D323"/>
    <w:rsid w:val="5E00354A"/>
    <w:rsid w:val="5F3CD510"/>
    <w:rsid w:val="5F740057"/>
    <w:rsid w:val="5F831C62"/>
    <w:rsid w:val="6087241B"/>
    <w:rsid w:val="60B9BB98"/>
    <w:rsid w:val="60FDAB18"/>
    <w:rsid w:val="611B3E80"/>
    <w:rsid w:val="6151E4A0"/>
    <w:rsid w:val="622BFF9D"/>
    <w:rsid w:val="62C66C4E"/>
    <w:rsid w:val="62ECCECA"/>
    <w:rsid w:val="633281EC"/>
    <w:rsid w:val="63630803"/>
    <w:rsid w:val="63839508"/>
    <w:rsid w:val="63A82226"/>
    <w:rsid w:val="64CEEC48"/>
    <w:rsid w:val="64FD5F4C"/>
    <w:rsid w:val="65224A51"/>
    <w:rsid w:val="65C0E5C1"/>
    <w:rsid w:val="65E29533"/>
    <w:rsid w:val="662049C0"/>
    <w:rsid w:val="66A10877"/>
    <w:rsid w:val="66D9C755"/>
    <w:rsid w:val="67096F26"/>
    <w:rsid w:val="670B1AF5"/>
    <w:rsid w:val="690148EA"/>
    <w:rsid w:val="6A16969A"/>
    <w:rsid w:val="6AAC4155"/>
    <w:rsid w:val="6B55BD15"/>
    <w:rsid w:val="6B7EA01E"/>
    <w:rsid w:val="6BD66144"/>
    <w:rsid w:val="6C4A15AB"/>
    <w:rsid w:val="6C9CDDED"/>
    <w:rsid w:val="6CD72068"/>
    <w:rsid w:val="6CFEA982"/>
    <w:rsid w:val="6D82FD65"/>
    <w:rsid w:val="6DB7B59C"/>
    <w:rsid w:val="6DC24C52"/>
    <w:rsid w:val="6DE3E217"/>
    <w:rsid w:val="6E4170A9"/>
    <w:rsid w:val="6E73D555"/>
    <w:rsid w:val="6E852657"/>
    <w:rsid w:val="6EF72982"/>
    <w:rsid w:val="6F6700D0"/>
    <w:rsid w:val="6FFFBE25"/>
    <w:rsid w:val="70D5CFD7"/>
    <w:rsid w:val="717AD4E0"/>
    <w:rsid w:val="71D9FCDB"/>
    <w:rsid w:val="721EC0F9"/>
    <w:rsid w:val="7312F3E3"/>
    <w:rsid w:val="73632C63"/>
    <w:rsid w:val="738C7038"/>
    <w:rsid w:val="742D3EBD"/>
    <w:rsid w:val="74E8821E"/>
    <w:rsid w:val="74F42D82"/>
    <w:rsid w:val="751DABA6"/>
    <w:rsid w:val="753E8AE9"/>
    <w:rsid w:val="7544B980"/>
    <w:rsid w:val="75C1546A"/>
    <w:rsid w:val="7601532B"/>
    <w:rsid w:val="76105C25"/>
    <w:rsid w:val="761B4FBD"/>
    <w:rsid w:val="766121FC"/>
    <w:rsid w:val="76D165ED"/>
    <w:rsid w:val="779156E0"/>
    <w:rsid w:val="77A92C5D"/>
    <w:rsid w:val="7819629B"/>
    <w:rsid w:val="7844E55E"/>
    <w:rsid w:val="78B9DC5F"/>
    <w:rsid w:val="78F95111"/>
    <w:rsid w:val="79087833"/>
    <w:rsid w:val="79533457"/>
    <w:rsid w:val="79665616"/>
    <w:rsid w:val="797BFD36"/>
    <w:rsid w:val="79C7EB4F"/>
    <w:rsid w:val="79E3A217"/>
    <w:rsid w:val="79EF2EB4"/>
    <w:rsid w:val="7ACAE660"/>
    <w:rsid w:val="7B1DA121"/>
    <w:rsid w:val="7B47F826"/>
    <w:rsid w:val="7B6CBB3F"/>
    <w:rsid w:val="7B6CF195"/>
    <w:rsid w:val="7BA3134D"/>
    <w:rsid w:val="7BBC2D72"/>
    <w:rsid w:val="7BDFAD55"/>
    <w:rsid w:val="7C4AEA7F"/>
    <w:rsid w:val="7CE91F7D"/>
    <w:rsid w:val="7CFE212C"/>
    <w:rsid w:val="7E061DF6"/>
    <w:rsid w:val="7EE9C22D"/>
    <w:rsid w:val="7F973EC1"/>
    <w:rsid w:val="7FE9E2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uiPriority w:val="99"/>
    <w:semiHidden/>
    <w:unhideWhenUsed/>
    <w:rsid w:val="008C4C50"/>
    <w:rPr>
      <w:sz w:val="16"/>
      <w:szCs w:val="16"/>
    </w:rPr>
  </w:style>
  <w:style w:type="paragraph" w:styleId="CommentText">
    <w:name w:val="annotation text"/>
    <w:basedOn w:val="Normal"/>
    <w:link w:val="CommentTextChar"/>
    <w:uiPriority w:val="99"/>
    <w:unhideWhenUsed/>
    <w:rsid w:val="008C4C50"/>
    <w:rPr>
      <w:sz w:val="20"/>
    </w:rPr>
  </w:style>
  <w:style w:type="character" w:customStyle="1" w:styleId="CommentTextChar">
    <w:name w:val="Comment Text Char"/>
    <w:basedOn w:val="DefaultParagraphFont"/>
    <w:link w:val="CommentText"/>
    <w:uiPriority w:val="99"/>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styleId="Revision">
    <w:name w:val="Revision"/>
    <w:hidden/>
    <w:uiPriority w:val="99"/>
    <w:semiHidden/>
    <w:rsid w:val="00721338"/>
    <w:rPr>
      <w:rFonts w:ascii="Tms Rmn" w:hAnsi="Tms Rmn"/>
      <w:sz w:val="24"/>
    </w:rPr>
  </w:style>
  <w:style w:type="character" w:styleId="UnresolvedMention">
    <w:name w:val="Unresolved Mention"/>
    <w:basedOn w:val="DefaultParagraphFont"/>
    <w:uiPriority w:val="99"/>
    <w:unhideWhenUsed/>
    <w:rsid w:val="000310AC"/>
    <w:rPr>
      <w:color w:val="605E5C"/>
      <w:shd w:val="clear" w:color="auto" w:fill="E1DFDD"/>
    </w:rPr>
  </w:style>
  <w:style w:type="character" w:styleId="Mention">
    <w:name w:val="Mention"/>
    <w:basedOn w:val="DefaultParagraphFont"/>
    <w:uiPriority w:val="99"/>
    <w:unhideWhenUsed/>
    <w:rsid w:val="000310AC"/>
    <w:rPr>
      <w:color w:val="2B579A"/>
      <w:shd w:val="clear" w:color="auto" w:fill="E1DFDD"/>
    </w:rPr>
  </w:style>
  <w:style w:type="table" w:styleId="TableGrid">
    <w:name w:val="Table Grid"/>
    <w:basedOn w:val="TableNormal"/>
    <w:uiPriority w:val="59"/>
    <w:rsid w:val="000310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79ba95e-3014-4428-8fb1-593c923a9eef">
      <UserInfo>
        <DisplayName>Fetrow, Blake</DisplayName>
        <AccountId>181</AccountId>
        <AccountType/>
      </UserInfo>
      <UserInfo>
        <DisplayName>Saunders, Lloyd</DisplayName>
        <AccountId>52</AccountId>
        <AccountType/>
      </UserInfo>
    </SharedWithUsers>
    <lcf76f155ced4ddcb4097134ff3c332f xmlns="a43b28a6-9bb0-4696-b776-f7505fe88166">
      <Terms xmlns="http://schemas.microsoft.com/office/infopath/2007/PartnerControls"/>
    </lcf76f155ced4ddcb4097134ff3c332f>
    <TaxCatchAll xmlns="b79ba95e-3014-4428-8fb1-593c923a9eef" xsi:nil="true"/>
    <PublishingExpirationDate xmlns="a43b28a6-9bb0-4696-b776-f7505fe88166" xsi:nil="true"/>
    <PublishingStartDate xmlns="a43b28a6-9bb0-4696-b776-f7505fe881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b3916e4736e60875d89b5999c42ab30">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0673a43a3fb22c29282fd6452341a5e"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http://schemas.microsoft.com/sharepoint/v3"/>
    <ds:schemaRef ds:uri="b79ba95e-3014-4428-8fb1-593c923a9eef"/>
    <ds:schemaRef ds:uri="a43b28a6-9bb0-4696-b776-f7505fe88166"/>
  </ds:schemaRefs>
</ds:datastoreItem>
</file>

<file path=customXml/itemProps2.xml><?xml version="1.0" encoding="utf-8"?>
<ds:datastoreItem xmlns:ds="http://schemas.openxmlformats.org/officeDocument/2006/customXml" ds:itemID="{A9B62EDC-01F1-4D14-A98B-8B58C4FC0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9001FD-60E1-467C-A683-3A3ACE8A1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9710</Characters>
  <Application>Microsoft Office Word</Application>
  <DocSecurity>0</DocSecurity>
  <Lines>383</Lines>
  <Paragraphs>176</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2025-12-17T17:38:00Z</dcterms:created>
  <dcterms:modified xsi:type="dcterms:W3CDTF">2025-12-22T17:41:00Z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ntentTypeId">
    <vt:lpwstr>0x0101003263C97756FA2D47B45612684054DAE2</vt:lpwstr>
  </property>
  <property fmtid="{D5CDD505-2E9C-101B-9397-08002B2CF9AE}" pid="6" name="i8e69c9481a041089769efb26b17796a">
    <vt:lpwstr/>
  </property>
  <property fmtid="{D5CDD505-2E9C-101B-9397-08002B2CF9AE}" pid="7" name="MediaServiceImageTags">
    <vt:lpwstr/>
  </property>
  <property fmtid="{D5CDD505-2E9C-101B-9397-08002B2CF9AE}" pid="8" name="n0b82672b9064af4963ed3248f0c7c79">
    <vt:lpwstr/>
  </property>
  <property fmtid="{D5CDD505-2E9C-101B-9397-08002B2CF9AE}" pid="9" name="Sensitivity_Level">
    <vt:lpwstr/>
  </property>
  <property fmtid="{D5CDD505-2E9C-101B-9397-08002B2CF9AE}" pid="10" name="TaxCatchAll">
    <vt:lpwstr/>
  </property>
  <property fmtid="{D5CDD505-2E9C-101B-9397-08002B2CF9AE}" pid="11" name="TaxKeyword">
    <vt:lpwstr/>
  </property>
  <property fmtid="{D5CDD505-2E9C-101B-9397-08002B2CF9AE}" pid="12" name="TaxKeywordTaxHTField">
    <vt:lpwstr/>
  </property>
  <property fmtid="{D5CDD505-2E9C-101B-9397-08002B2CF9AE}" pid="13" name="_dlc_DocIdItemGuid">
    <vt:lpwstr>939a118d-f99e-423a-baa1-14934070ca59</vt:lpwstr>
  </property>
  <property fmtid="{D5CDD505-2E9C-101B-9397-08002B2CF9AE}" pid="14" name="_ExtendedDescription">
    <vt:lpwstr/>
  </property>
</Properties>
</file>