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52E" w:rsidRPr="00084D60" w:rsidP="009B2422" w14:paraId="28550786" w14:textId="77777777">
      <w:pPr>
        <w:ind w:right="-360"/>
        <w:jc w:val="center"/>
        <w:rPr>
          <w:b/>
          <w:sz w:val="22"/>
          <w:szCs w:val="22"/>
        </w:rPr>
      </w:pPr>
      <w:r w:rsidRPr="00084D60">
        <w:rPr>
          <w:b/>
          <w:sz w:val="22"/>
          <w:szCs w:val="22"/>
        </w:rPr>
        <w:t>National Credit Union Administration</w:t>
      </w:r>
    </w:p>
    <w:p w:rsidR="00D4752E" w:rsidRPr="00084D60" w:rsidP="00D4752E" w14:paraId="610E7519" w14:textId="59BD13DA">
      <w:pPr>
        <w:ind w:left="-360" w:right="-360"/>
        <w:jc w:val="center"/>
        <w:rPr>
          <w:b/>
          <w:sz w:val="22"/>
          <w:szCs w:val="22"/>
        </w:rPr>
      </w:pPr>
      <w:r w:rsidRPr="00084D60">
        <w:rPr>
          <w:b/>
          <w:sz w:val="22"/>
          <w:szCs w:val="22"/>
        </w:rPr>
        <w:t>SUPPORTING STATEMENT</w:t>
      </w:r>
    </w:p>
    <w:p w:rsidR="009C70B8" w:rsidRPr="00084D60" w:rsidP="009C70B8" w14:paraId="5A2B0C4C" w14:textId="1182199A">
      <w:pPr>
        <w:jc w:val="center"/>
        <w:rPr>
          <w:b/>
          <w:sz w:val="22"/>
          <w:szCs w:val="22"/>
        </w:rPr>
      </w:pPr>
      <w:r w:rsidRPr="00084D60">
        <w:rPr>
          <w:b/>
          <w:sz w:val="22"/>
          <w:szCs w:val="22"/>
        </w:rPr>
        <w:t>Title:</w:t>
      </w:r>
      <w:r w:rsidRPr="00084D60" w:rsidR="004D3C19">
        <w:rPr>
          <w:b/>
          <w:sz w:val="22"/>
          <w:szCs w:val="22"/>
        </w:rPr>
        <w:t xml:space="preserve"> </w:t>
      </w:r>
      <w:r w:rsidRPr="00084D60" w:rsidR="004F5148">
        <w:rPr>
          <w:b/>
          <w:sz w:val="22"/>
          <w:szCs w:val="22"/>
        </w:rPr>
        <w:t>Travel Management</w:t>
      </w:r>
      <w:r w:rsidRPr="00084D60">
        <w:rPr>
          <w:b/>
          <w:sz w:val="22"/>
          <w:szCs w:val="22"/>
        </w:rPr>
        <w:t xml:space="preserve"> </w:t>
      </w:r>
    </w:p>
    <w:p w:rsidR="009C70B8" w:rsidRPr="00084D60" w:rsidP="009C70B8" w14:paraId="7FD614FD" w14:textId="3476A2DD">
      <w:pPr>
        <w:spacing w:line="480" w:lineRule="auto"/>
        <w:jc w:val="center"/>
        <w:rPr>
          <w:b/>
          <w:sz w:val="22"/>
          <w:szCs w:val="22"/>
        </w:rPr>
      </w:pPr>
      <w:r w:rsidRPr="00084D60">
        <w:rPr>
          <w:b/>
          <w:sz w:val="22"/>
          <w:szCs w:val="22"/>
        </w:rPr>
        <w:t>OMB Number: 3133-</w:t>
      </w:r>
      <w:r w:rsidRPr="00084D60" w:rsidR="003F183B">
        <w:rPr>
          <w:b/>
          <w:sz w:val="22"/>
          <w:szCs w:val="22"/>
        </w:rPr>
        <w:t>NEW</w:t>
      </w:r>
    </w:p>
    <w:p w:rsidR="00A70166" w:rsidRPr="00A02A97" w:rsidP="00A70166" w14:paraId="25C3CC8F" w14:textId="77777777">
      <w:pPr>
        <w:jc w:val="both"/>
        <w:rPr>
          <w:i/>
          <w:iCs/>
          <w:color w:val="0066FF"/>
          <w:sz w:val="22"/>
          <w:szCs w:val="22"/>
        </w:rPr>
      </w:pPr>
    </w:p>
    <w:p w:rsidR="00D4752E" w:rsidRPr="00084D60" w:rsidP="00D4752E" w14:paraId="397B3E23" w14:textId="77777777">
      <w:pPr>
        <w:pStyle w:val="ListParagraph"/>
        <w:numPr>
          <w:ilvl w:val="0"/>
          <w:numId w:val="1"/>
        </w:numPr>
        <w:ind w:left="720" w:hanging="720"/>
        <w:rPr>
          <w:b/>
          <w:sz w:val="22"/>
          <w:szCs w:val="22"/>
        </w:rPr>
      </w:pPr>
      <w:r w:rsidRPr="00084D60">
        <w:rPr>
          <w:b/>
          <w:sz w:val="22"/>
          <w:szCs w:val="22"/>
        </w:rPr>
        <w:t>JUSTIFICATION</w:t>
      </w:r>
    </w:p>
    <w:p w:rsidR="00D4752E" w:rsidRPr="00084D60" w:rsidP="00D4752E" w14:paraId="480BAA05" w14:textId="77777777">
      <w:pPr>
        <w:pStyle w:val="ListParagraph"/>
        <w:ind w:hanging="720"/>
        <w:rPr>
          <w:b/>
          <w:sz w:val="22"/>
          <w:szCs w:val="22"/>
        </w:rPr>
      </w:pPr>
    </w:p>
    <w:p w:rsidR="00D4752E" w:rsidP="00D4752E" w14:paraId="02864B7A" w14:textId="77777777">
      <w:pPr>
        <w:pStyle w:val="ListParagraph"/>
        <w:numPr>
          <w:ilvl w:val="0"/>
          <w:numId w:val="2"/>
        </w:numPr>
        <w:ind w:left="720" w:hanging="720"/>
        <w:rPr>
          <w:b/>
          <w:sz w:val="22"/>
          <w:szCs w:val="22"/>
        </w:rPr>
      </w:pPr>
      <w:r w:rsidRPr="00084D60">
        <w:rPr>
          <w:b/>
          <w:sz w:val="22"/>
          <w:szCs w:val="22"/>
        </w:rPr>
        <w:t>Circumstances that make the collection of information necessary.</w:t>
      </w:r>
    </w:p>
    <w:p w:rsidR="0074742B" w:rsidRPr="00084D60" w:rsidP="00084D60" w14:paraId="32773FD2" w14:textId="77777777">
      <w:pPr>
        <w:pStyle w:val="ListParagraph"/>
        <w:rPr>
          <w:b/>
          <w:sz w:val="22"/>
          <w:szCs w:val="22"/>
        </w:rPr>
      </w:pPr>
    </w:p>
    <w:p w:rsidR="0076023E" w:rsidRPr="0076023E" w:rsidP="0076023E" w14:paraId="51B5FFEB" w14:textId="19183108">
      <w:pPr>
        <w:pStyle w:val="ListParagraph"/>
        <w:suppressAutoHyphens/>
        <w:rPr>
          <w:sz w:val="22"/>
          <w:szCs w:val="22"/>
        </w:rPr>
      </w:pPr>
      <w:r w:rsidRPr="0076023E">
        <w:rPr>
          <w:sz w:val="22"/>
          <w:szCs w:val="22"/>
        </w:rPr>
        <w:t xml:space="preserve">The collection of travel information is necessary to ensure efficient and timely processing of travel requests. The Travel Management Center will use the information to facilitate and procure travel on behalf of the individuals who do not have an e-Travel profile and/or do not have a government issued travel card. </w:t>
      </w:r>
    </w:p>
    <w:p w:rsidR="0076023E" w:rsidRPr="0076023E" w:rsidP="0076023E" w14:paraId="4E27B230" w14:textId="77777777">
      <w:pPr>
        <w:pStyle w:val="ListParagraph"/>
        <w:suppressAutoHyphens/>
        <w:rPr>
          <w:sz w:val="22"/>
          <w:szCs w:val="22"/>
        </w:rPr>
      </w:pPr>
      <w:r w:rsidRPr="0076023E">
        <w:rPr>
          <w:sz w:val="22"/>
          <w:szCs w:val="22"/>
        </w:rPr>
        <w:t xml:space="preserve"> </w:t>
      </w:r>
    </w:p>
    <w:p w:rsidR="0076023E" w:rsidP="0076023E" w14:paraId="5A3810F2" w14:textId="63EBB0C7">
      <w:pPr>
        <w:pStyle w:val="ListParagraph"/>
        <w:suppressAutoHyphens/>
        <w:rPr>
          <w:sz w:val="22"/>
          <w:szCs w:val="22"/>
        </w:rPr>
      </w:pPr>
      <w:r w:rsidRPr="0076023E">
        <w:rPr>
          <w:sz w:val="22"/>
          <w:szCs w:val="22"/>
        </w:rPr>
        <w:t>AUTHORITY: 5 U.S.C. Chapter 57; 12 U.S.C. 1751 et seq., 31 U.S.C. 3511-3512; E.O. 14222</w:t>
      </w:r>
    </w:p>
    <w:p w:rsidR="000F1B9B" w:rsidRPr="00084D60" w:rsidP="0076023E" w14:paraId="0AD93E93" w14:textId="77777777">
      <w:pPr>
        <w:pStyle w:val="ListParagraph"/>
        <w:suppressAutoHyphens/>
        <w:rPr>
          <w:sz w:val="22"/>
          <w:szCs w:val="22"/>
        </w:rPr>
      </w:pPr>
    </w:p>
    <w:p w:rsidR="00D4752E" w:rsidRPr="00084D60" w:rsidP="00D4752E" w14:paraId="33A27B73" w14:textId="77777777">
      <w:pPr>
        <w:pStyle w:val="BodyTextIndent2"/>
        <w:spacing w:after="0" w:line="240" w:lineRule="auto"/>
        <w:ind w:left="0"/>
        <w:rPr>
          <w:b/>
          <w:sz w:val="22"/>
          <w:szCs w:val="22"/>
        </w:rPr>
      </w:pPr>
      <w:r w:rsidRPr="00084D60">
        <w:rPr>
          <w:b/>
          <w:sz w:val="22"/>
          <w:szCs w:val="22"/>
        </w:rPr>
        <w:t>2.</w:t>
      </w:r>
      <w:r w:rsidRPr="00084D60">
        <w:rPr>
          <w:b/>
          <w:sz w:val="22"/>
          <w:szCs w:val="22"/>
        </w:rPr>
        <w:tab/>
        <w:t>Purpose and use of the information collection.</w:t>
      </w:r>
    </w:p>
    <w:p w:rsidR="0074742B" w:rsidP="00A60FFB" w14:paraId="0DB88652" w14:textId="77777777">
      <w:pPr>
        <w:ind w:left="720"/>
        <w:rPr>
          <w:sz w:val="22"/>
          <w:szCs w:val="22"/>
        </w:rPr>
      </w:pPr>
    </w:p>
    <w:p w:rsidR="00207597" w:rsidRPr="00600FA7" w:rsidP="00A60FFB" w14:paraId="42A461D7" w14:textId="6C0856D3">
      <w:pPr>
        <w:ind w:left="720"/>
        <w:rPr>
          <w:sz w:val="22"/>
          <w:szCs w:val="22"/>
        </w:rPr>
      </w:pPr>
      <w:r w:rsidRPr="00084D60">
        <w:rPr>
          <w:sz w:val="22"/>
          <w:szCs w:val="22"/>
        </w:rPr>
        <w:t xml:space="preserve">The information collected through </w:t>
      </w:r>
      <w:r w:rsidR="008D0AE1">
        <w:rPr>
          <w:sz w:val="22"/>
          <w:szCs w:val="22"/>
        </w:rPr>
        <w:t>the</w:t>
      </w:r>
      <w:r w:rsidR="00F843A5">
        <w:rPr>
          <w:sz w:val="22"/>
          <w:szCs w:val="22"/>
        </w:rPr>
        <w:t xml:space="preserve"> SSA Profile Request Form and the NCUA </w:t>
      </w:r>
      <w:r w:rsidR="00FB480B">
        <w:rPr>
          <w:sz w:val="22"/>
          <w:szCs w:val="22"/>
        </w:rPr>
        <w:t>Team Request form</w:t>
      </w:r>
      <w:r w:rsidRPr="00084D60">
        <w:rPr>
          <w:sz w:val="22"/>
          <w:szCs w:val="22"/>
        </w:rPr>
        <w:t xml:space="preserve"> is </w:t>
      </w:r>
      <w:r w:rsidR="00CB1A3E">
        <w:rPr>
          <w:sz w:val="22"/>
          <w:szCs w:val="22"/>
        </w:rPr>
        <w:t>from</w:t>
      </w:r>
      <w:r w:rsidRPr="00084D60">
        <w:rPr>
          <w:sz w:val="22"/>
          <w:szCs w:val="22"/>
        </w:rPr>
        <w:t xml:space="preserve"> </w:t>
      </w:r>
      <w:r w:rsidR="00CF07E2">
        <w:rPr>
          <w:sz w:val="22"/>
          <w:szCs w:val="22"/>
        </w:rPr>
        <w:t>State Examiners</w:t>
      </w:r>
      <w:r w:rsidR="00A52465">
        <w:rPr>
          <w:sz w:val="22"/>
          <w:szCs w:val="22"/>
        </w:rPr>
        <w:t xml:space="preserve">, </w:t>
      </w:r>
      <w:r w:rsidRPr="00600FA7" w:rsidR="00A52465">
        <w:rPr>
          <w:sz w:val="22"/>
          <w:szCs w:val="22"/>
        </w:rPr>
        <w:t>NCUA employ</w:t>
      </w:r>
      <w:r w:rsidR="002D7EE6">
        <w:rPr>
          <w:sz w:val="22"/>
          <w:szCs w:val="22"/>
        </w:rPr>
        <w:t>e</w:t>
      </w:r>
      <w:r w:rsidRPr="00600FA7" w:rsidR="00A52465">
        <w:rPr>
          <w:sz w:val="22"/>
          <w:szCs w:val="22"/>
        </w:rPr>
        <w:t>es,</w:t>
      </w:r>
      <w:r w:rsidRPr="00600FA7" w:rsidR="00CF07E2">
        <w:rPr>
          <w:sz w:val="22"/>
          <w:szCs w:val="22"/>
        </w:rPr>
        <w:t xml:space="preserve"> and </w:t>
      </w:r>
      <w:r w:rsidRPr="00600FA7">
        <w:rPr>
          <w:sz w:val="22"/>
          <w:szCs w:val="22"/>
        </w:rPr>
        <w:t xml:space="preserve">invitational travelers. The </w:t>
      </w:r>
      <w:r w:rsidRPr="00600FA7" w:rsidR="00541AAE">
        <w:rPr>
          <w:sz w:val="22"/>
          <w:szCs w:val="22"/>
        </w:rPr>
        <w:t>information</w:t>
      </w:r>
      <w:r w:rsidRPr="00600FA7">
        <w:rPr>
          <w:sz w:val="22"/>
          <w:szCs w:val="22"/>
        </w:rPr>
        <w:t xml:space="preserve"> will be used to facilitate the planning, approval, and management of official travel</w:t>
      </w:r>
      <w:r w:rsidRPr="00600FA7" w:rsidR="00541AAE">
        <w:rPr>
          <w:sz w:val="22"/>
          <w:szCs w:val="22"/>
        </w:rPr>
        <w:t xml:space="preserve"> and will </w:t>
      </w:r>
      <w:r w:rsidRPr="00600FA7">
        <w:rPr>
          <w:sz w:val="22"/>
          <w:szCs w:val="22"/>
        </w:rPr>
        <w:t xml:space="preserve">ensure that travel arrangements align with organizational policies, budgetary requirements, and operational needs. </w:t>
      </w:r>
    </w:p>
    <w:p w:rsidR="00A60FFB" w:rsidRPr="00600FA7" w:rsidP="00A60FFB" w14:paraId="6DC1FD52" w14:textId="77777777">
      <w:pPr>
        <w:ind w:left="720"/>
        <w:rPr>
          <w:sz w:val="22"/>
          <w:szCs w:val="22"/>
        </w:rPr>
      </w:pPr>
    </w:p>
    <w:p w:rsidR="00D4752E" w:rsidRPr="00600FA7" w:rsidP="00D4752E" w14:paraId="6226E12C" w14:textId="77777777">
      <w:pPr>
        <w:rPr>
          <w:b/>
          <w:sz w:val="22"/>
          <w:szCs w:val="22"/>
        </w:rPr>
      </w:pPr>
      <w:r w:rsidRPr="00600FA7">
        <w:rPr>
          <w:b/>
          <w:sz w:val="22"/>
          <w:szCs w:val="22"/>
        </w:rPr>
        <w:t>3.</w:t>
      </w:r>
      <w:r w:rsidRPr="00600FA7">
        <w:rPr>
          <w:b/>
          <w:sz w:val="22"/>
          <w:szCs w:val="22"/>
        </w:rPr>
        <w:tab/>
        <w:t>Use of information technology.</w:t>
      </w:r>
    </w:p>
    <w:p w:rsidR="0074742B" w:rsidRPr="00600FA7" w:rsidP="00A60FFB" w14:paraId="09E2A8B5" w14:textId="77777777">
      <w:pPr>
        <w:ind w:left="720"/>
        <w:rPr>
          <w:bCs/>
          <w:color w:val="0066FF"/>
          <w:sz w:val="22"/>
          <w:szCs w:val="22"/>
        </w:rPr>
      </w:pPr>
    </w:p>
    <w:p w:rsidR="00D4752E" w:rsidRPr="00600FA7" w:rsidP="00A60FFB" w14:paraId="7A5DC706" w14:textId="329CD938">
      <w:pPr>
        <w:ind w:left="720"/>
        <w:rPr>
          <w:bCs/>
          <w:sz w:val="22"/>
          <w:szCs w:val="22"/>
        </w:rPr>
      </w:pPr>
      <w:r w:rsidRPr="00600FA7">
        <w:rPr>
          <w:bCs/>
          <w:sz w:val="22"/>
          <w:szCs w:val="22"/>
        </w:rPr>
        <w:t>The forms are available on NCUA’s internal SharePoint site</w:t>
      </w:r>
      <w:r w:rsidRPr="00600FA7" w:rsidR="00AD2EE8">
        <w:rPr>
          <w:bCs/>
          <w:sz w:val="22"/>
          <w:szCs w:val="22"/>
        </w:rPr>
        <w:t>.</w:t>
      </w:r>
      <w:r w:rsidRPr="00600FA7">
        <w:rPr>
          <w:bCs/>
          <w:sz w:val="22"/>
          <w:szCs w:val="22"/>
        </w:rPr>
        <w:t xml:space="preserve"> </w:t>
      </w:r>
      <w:r w:rsidRPr="00600FA7" w:rsidR="00F87381">
        <w:rPr>
          <w:bCs/>
          <w:sz w:val="22"/>
          <w:szCs w:val="22"/>
        </w:rPr>
        <w:t xml:space="preserve">Respondents will receive copies of the forms via email and will be able to fill out the forms electronically and submit them via email. </w:t>
      </w:r>
      <w:r w:rsidRPr="00600FA7" w:rsidR="00A027F7">
        <w:rPr>
          <w:bCs/>
          <w:sz w:val="22"/>
          <w:szCs w:val="22"/>
        </w:rPr>
        <w:t xml:space="preserve">The information collected will allow </w:t>
      </w:r>
      <w:r w:rsidRPr="00600FA7" w:rsidR="00A52465">
        <w:rPr>
          <w:bCs/>
          <w:sz w:val="22"/>
          <w:szCs w:val="22"/>
        </w:rPr>
        <w:t xml:space="preserve">official travel procurement with the Travel Vendor to include </w:t>
      </w:r>
      <w:r w:rsidRPr="00600FA7" w:rsidR="00A027F7">
        <w:rPr>
          <w:bCs/>
          <w:sz w:val="22"/>
          <w:szCs w:val="22"/>
        </w:rPr>
        <w:t>a temporary profile</w:t>
      </w:r>
      <w:r w:rsidRPr="00600FA7" w:rsidR="00A52465">
        <w:rPr>
          <w:bCs/>
          <w:sz w:val="22"/>
          <w:szCs w:val="22"/>
        </w:rPr>
        <w:t xml:space="preserve"> for State Examiners and invitational travel</w:t>
      </w:r>
      <w:r w:rsidRPr="00600FA7" w:rsidR="005459B3">
        <w:rPr>
          <w:bCs/>
          <w:sz w:val="22"/>
          <w:szCs w:val="22"/>
        </w:rPr>
        <w:t>ers</w:t>
      </w:r>
      <w:r w:rsidRPr="00600FA7" w:rsidR="00A027F7">
        <w:rPr>
          <w:bCs/>
          <w:sz w:val="22"/>
          <w:szCs w:val="22"/>
        </w:rPr>
        <w:t xml:space="preserve">. </w:t>
      </w:r>
    </w:p>
    <w:p w:rsidR="00D4752E" w:rsidRPr="00600FA7" w:rsidP="00D4752E" w14:paraId="7AA93114" w14:textId="77777777">
      <w:pPr>
        <w:ind w:left="720" w:hanging="720"/>
        <w:rPr>
          <w:sz w:val="22"/>
          <w:szCs w:val="22"/>
        </w:rPr>
      </w:pPr>
    </w:p>
    <w:p w:rsidR="00D4752E" w:rsidRPr="00600FA7" w:rsidP="00D4752E" w14:paraId="47CCCEDE" w14:textId="77777777">
      <w:pPr>
        <w:rPr>
          <w:b/>
          <w:sz w:val="22"/>
          <w:szCs w:val="22"/>
        </w:rPr>
      </w:pPr>
      <w:r w:rsidRPr="00600FA7">
        <w:rPr>
          <w:b/>
          <w:sz w:val="22"/>
          <w:szCs w:val="22"/>
        </w:rPr>
        <w:t>4.</w:t>
      </w:r>
      <w:r w:rsidRPr="00600FA7">
        <w:rPr>
          <w:b/>
          <w:sz w:val="22"/>
          <w:szCs w:val="22"/>
        </w:rPr>
        <w:tab/>
        <w:t>Duplication of information.</w:t>
      </w:r>
    </w:p>
    <w:p w:rsidR="0074742B" w:rsidRPr="00600FA7" w:rsidP="00D70C72" w14:paraId="316B768D" w14:textId="77777777">
      <w:pPr>
        <w:ind w:left="720"/>
        <w:rPr>
          <w:sz w:val="22"/>
          <w:szCs w:val="22"/>
        </w:rPr>
      </w:pPr>
    </w:p>
    <w:p w:rsidR="00974A74" w:rsidRPr="00084D60" w:rsidP="00D70C72" w14:paraId="4B6586FA" w14:textId="4645FEE1">
      <w:pPr>
        <w:ind w:left="720"/>
        <w:rPr>
          <w:b/>
          <w:color w:val="0066FF"/>
          <w:sz w:val="22"/>
          <w:szCs w:val="22"/>
        </w:rPr>
      </w:pPr>
      <w:r w:rsidRPr="00600FA7">
        <w:rPr>
          <w:sz w:val="22"/>
          <w:szCs w:val="22"/>
        </w:rPr>
        <w:t>There is no duplication.  Any information which may appear duplicative is used to authenticate the response and verify</w:t>
      </w:r>
      <w:r w:rsidRPr="00394F6E">
        <w:rPr>
          <w:sz w:val="22"/>
          <w:szCs w:val="22"/>
        </w:rPr>
        <w:t xml:space="preserve"> </w:t>
      </w:r>
      <w:r w:rsidRPr="00394F6E" w:rsidR="00A52465">
        <w:rPr>
          <w:sz w:val="22"/>
          <w:szCs w:val="22"/>
        </w:rPr>
        <w:t>the</w:t>
      </w:r>
      <w:r w:rsidRPr="00600FA7" w:rsidR="00A52465">
        <w:rPr>
          <w:sz w:val="22"/>
          <w:szCs w:val="22"/>
        </w:rPr>
        <w:t xml:space="preserve"> identity</w:t>
      </w:r>
      <w:r w:rsidRPr="00600FA7">
        <w:rPr>
          <w:sz w:val="22"/>
          <w:szCs w:val="22"/>
        </w:rPr>
        <w:t xml:space="preserve"> of the respondent.</w:t>
      </w:r>
    </w:p>
    <w:p w:rsidR="00D4752E" w:rsidRPr="00084D60" w:rsidP="00D32B9C" w14:paraId="3BA36A53" w14:textId="42224DEB">
      <w:pPr>
        <w:rPr>
          <w:sz w:val="22"/>
          <w:szCs w:val="22"/>
        </w:rPr>
      </w:pPr>
      <w:r w:rsidRPr="00084D60">
        <w:rPr>
          <w:sz w:val="22"/>
          <w:szCs w:val="22"/>
        </w:rPr>
        <w:t xml:space="preserve"> </w:t>
      </w:r>
    </w:p>
    <w:p w:rsidR="00D4752E" w:rsidRPr="00084D60" w:rsidP="00D4752E" w14:paraId="0732C0AE" w14:textId="77777777">
      <w:pPr>
        <w:rPr>
          <w:b/>
          <w:sz w:val="22"/>
          <w:szCs w:val="22"/>
        </w:rPr>
      </w:pPr>
      <w:r w:rsidRPr="00084D60">
        <w:rPr>
          <w:b/>
          <w:sz w:val="22"/>
          <w:szCs w:val="22"/>
        </w:rPr>
        <w:t>5.</w:t>
      </w:r>
      <w:r w:rsidRPr="00084D60">
        <w:rPr>
          <w:b/>
          <w:sz w:val="22"/>
          <w:szCs w:val="22"/>
        </w:rPr>
        <w:tab/>
        <w:t>Efforts to reduce burden on small entities.</w:t>
      </w:r>
    </w:p>
    <w:p w:rsidR="0074742B" w:rsidP="00D70C72" w14:paraId="7B7AFC8A" w14:textId="77777777">
      <w:pPr>
        <w:ind w:left="720"/>
        <w:rPr>
          <w:sz w:val="22"/>
          <w:szCs w:val="22"/>
        </w:rPr>
      </w:pPr>
    </w:p>
    <w:p w:rsidR="00D4752E" w:rsidRPr="00084D60" w:rsidP="00D70C72" w14:paraId="41169479" w14:textId="233D232B">
      <w:pPr>
        <w:ind w:left="720"/>
        <w:rPr>
          <w:sz w:val="22"/>
          <w:szCs w:val="22"/>
        </w:rPr>
      </w:pPr>
      <w:r w:rsidRPr="00084D60">
        <w:rPr>
          <w:sz w:val="22"/>
          <w:szCs w:val="22"/>
        </w:rPr>
        <w:t>The collection of information does not impact small businesses or other small entities.</w:t>
      </w:r>
    </w:p>
    <w:p w:rsidR="00D4752E" w:rsidRPr="00084D60" w:rsidP="00D32B9C" w14:paraId="56C10258"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rPr>
          <w:sz w:val="22"/>
          <w:szCs w:val="22"/>
        </w:rPr>
      </w:pPr>
    </w:p>
    <w:p w:rsidR="00D4752E" w:rsidRPr="00084D60" w:rsidP="00D4752E" w14:paraId="4583E048" w14:textId="77777777">
      <w:pPr>
        <w:rPr>
          <w:b/>
          <w:sz w:val="22"/>
          <w:szCs w:val="22"/>
        </w:rPr>
      </w:pPr>
      <w:r w:rsidRPr="00084D60">
        <w:rPr>
          <w:b/>
          <w:sz w:val="22"/>
          <w:szCs w:val="22"/>
        </w:rPr>
        <w:t>6.</w:t>
      </w:r>
      <w:r w:rsidRPr="00084D60">
        <w:rPr>
          <w:b/>
          <w:sz w:val="22"/>
          <w:szCs w:val="22"/>
        </w:rPr>
        <w:tab/>
        <w:t xml:space="preserve">Consequences of not conducting the collection. </w:t>
      </w:r>
    </w:p>
    <w:p w:rsidR="0074742B" w:rsidP="00C21EB5" w14:paraId="09C502BA" w14:textId="77777777">
      <w:pPr>
        <w:widowControl w:val="0"/>
        <w:ind w:left="720"/>
        <w:rPr>
          <w:sz w:val="22"/>
          <w:szCs w:val="22"/>
        </w:rPr>
      </w:pPr>
    </w:p>
    <w:p w:rsidR="00D4752E" w:rsidP="00C21EB5" w14:paraId="04CF4BDB" w14:textId="3983A105">
      <w:pPr>
        <w:widowControl w:val="0"/>
        <w:ind w:left="720"/>
        <w:rPr>
          <w:sz w:val="22"/>
          <w:szCs w:val="22"/>
        </w:rPr>
      </w:pPr>
      <w:r w:rsidRPr="00084D60">
        <w:rPr>
          <w:sz w:val="22"/>
          <w:szCs w:val="22"/>
        </w:rPr>
        <w:t xml:space="preserve">Failure to complete the travel forms can directly hinder the agency’s ability to accomplish its mission. Travel forms are critical tools for planning, </w:t>
      </w:r>
      <w:r w:rsidRPr="00084D60" w:rsidR="0046310E">
        <w:rPr>
          <w:sz w:val="22"/>
          <w:szCs w:val="22"/>
        </w:rPr>
        <w:t>approval</w:t>
      </w:r>
      <w:r w:rsidRPr="00084D60">
        <w:rPr>
          <w:sz w:val="22"/>
          <w:szCs w:val="22"/>
        </w:rPr>
        <w:t xml:space="preserve">, and managing travel necessary to support operational goals. </w:t>
      </w:r>
      <w:r w:rsidRPr="00084D60" w:rsidR="0046310E">
        <w:rPr>
          <w:sz w:val="22"/>
          <w:szCs w:val="22"/>
        </w:rPr>
        <w:t xml:space="preserve">The consistent and accurate completion of travel forms is essential to sustaining operations, managing risks, safeguarding personnel, and achieving the agency’s mission objectives. </w:t>
      </w:r>
    </w:p>
    <w:p w:rsidR="000766FC" w:rsidP="00C21EB5" w14:paraId="0878B119" w14:textId="77777777">
      <w:pPr>
        <w:widowControl w:val="0"/>
        <w:ind w:left="720"/>
        <w:rPr>
          <w:sz w:val="22"/>
          <w:szCs w:val="22"/>
        </w:rPr>
      </w:pPr>
    </w:p>
    <w:p w:rsidR="000766FC" w:rsidP="00C21EB5" w14:paraId="4E5D7CB3" w14:textId="77777777">
      <w:pPr>
        <w:widowControl w:val="0"/>
        <w:ind w:left="720"/>
        <w:rPr>
          <w:sz w:val="22"/>
          <w:szCs w:val="22"/>
        </w:rPr>
      </w:pPr>
    </w:p>
    <w:p w:rsidR="000766FC" w:rsidRPr="00084D60" w:rsidP="00C21EB5" w14:paraId="58D7CFFF" w14:textId="77777777">
      <w:pPr>
        <w:widowControl w:val="0"/>
        <w:ind w:left="720"/>
        <w:rPr>
          <w:sz w:val="22"/>
          <w:szCs w:val="22"/>
        </w:rPr>
      </w:pPr>
    </w:p>
    <w:p w:rsidR="00D4752E" w:rsidRPr="006A604F" w:rsidP="00D32B9C" w14:paraId="04D203C9" w14:textId="148972D0">
      <w:pPr>
        <w:pStyle w:val="ListParagraph"/>
        <w:suppressAutoHyphens/>
        <w:ind w:hanging="720"/>
        <w:rPr>
          <w:sz w:val="22"/>
          <w:szCs w:val="22"/>
        </w:rPr>
      </w:pPr>
      <w:r w:rsidRPr="006A604F">
        <w:rPr>
          <w:sz w:val="22"/>
          <w:szCs w:val="22"/>
        </w:rPr>
        <w:tab/>
      </w:r>
    </w:p>
    <w:p w:rsidR="00D4752E" w:rsidRPr="006A604F" w:rsidP="00D4752E" w14:paraId="07E7F9FC" w14:textId="77777777">
      <w:pPr>
        <w:rPr>
          <w:b/>
          <w:sz w:val="22"/>
          <w:szCs w:val="22"/>
        </w:rPr>
      </w:pPr>
      <w:r w:rsidRPr="006A604F">
        <w:rPr>
          <w:b/>
          <w:sz w:val="22"/>
          <w:szCs w:val="22"/>
        </w:rPr>
        <w:t>7.</w:t>
      </w:r>
      <w:r w:rsidRPr="006A604F">
        <w:rPr>
          <w:b/>
          <w:sz w:val="22"/>
          <w:szCs w:val="22"/>
        </w:rPr>
        <w:tab/>
        <w:t>Inconsistencies with guidelines in 5 CFR 1320.5(d)(2).</w:t>
      </w:r>
    </w:p>
    <w:p w:rsidR="0074742B" w:rsidRPr="006A604F" w:rsidP="00084D60" w14:paraId="62D49BF0" w14:textId="77777777">
      <w:pPr>
        <w:ind w:left="720"/>
        <w:rPr>
          <w:bCs/>
          <w:color w:val="0066FF"/>
          <w:sz w:val="22"/>
          <w:szCs w:val="22"/>
        </w:rPr>
      </w:pPr>
    </w:p>
    <w:p w:rsidR="009052EE" w:rsidRPr="006A604F" w:rsidP="009052EE" w14:paraId="068B4E28" w14:textId="6067368A">
      <w:pPr>
        <w:pStyle w:val="ListParagraph"/>
        <w:numPr>
          <w:ilvl w:val="12"/>
          <w:numId w:val="0"/>
        </w:numPr>
        <w:rPr>
          <w:sz w:val="22"/>
          <w:szCs w:val="22"/>
        </w:rPr>
      </w:pPr>
      <w:r w:rsidRPr="006A604F">
        <w:rPr>
          <w:sz w:val="22"/>
          <w:szCs w:val="22"/>
        </w:rPr>
        <w:t>There are no special circumstances.  This collection is consistent with the guidelines in 5 CFR 1320.5(d)(2).</w:t>
      </w:r>
    </w:p>
    <w:p w:rsidR="00215C26" w:rsidRPr="006A604F" w:rsidP="00084D60" w14:paraId="5D140185" w14:textId="77777777">
      <w:pPr>
        <w:pStyle w:val="Level2"/>
        <w:ind w:left="1080" w:firstLine="0"/>
        <w:rPr>
          <w:bCs/>
          <w:color w:val="0066FF"/>
          <w:sz w:val="22"/>
          <w:szCs w:val="22"/>
        </w:rPr>
      </w:pPr>
    </w:p>
    <w:p w:rsidR="00D4752E" w:rsidRPr="00084D60" w:rsidP="00D4752E" w14:paraId="6B4D767A" w14:textId="77777777">
      <w:pPr>
        <w:rPr>
          <w:b/>
          <w:sz w:val="22"/>
          <w:szCs w:val="22"/>
        </w:rPr>
      </w:pPr>
      <w:r w:rsidRPr="00084D60">
        <w:rPr>
          <w:b/>
          <w:sz w:val="22"/>
          <w:szCs w:val="22"/>
        </w:rPr>
        <w:t>8.</w:t>
      </w:r>
      <w:r w:rsidRPr="00084D60">
        <w:rPr>
          <w:b/>
          <w:sz w:val="22"/>
          <w:szCs w:val="22"/>
        </w:rPr>
        <w:tab/>
        <w:t xml:space="preserve">Efforts to consult with </w:t>
      </w:r>
      <w:r w:rsidRPr="00084D60">
        <w:rPr>
          <w:b/>
          <w:sz w:val="22"/>
          <w:szCs w:val="22"/>
        </w:rPr>
        <w:t>persons</w:t>
      </w:r>
      <w:r w:rsidRPr="00084D60">
        <w:rPr>
          <w:b/>
          <w:sz w:val="22"/>
          <w:szCs w:val="22"/>
        </w:rPr>
        <w:t xml:space="preserve"> outside the agency.</w:t>
      </w:r>
    </w:p>
    <w:p w:rsidR="0074742B" w:rsidP="00D4752E" w14:paraId="5C79AADC" w14:textId="77777777">
      <w:pPr>
        <w:widowControl w:val="0"/>
        <w:tabs>
          <w:tab w:val="left" w:pos="720"/>
        </w:tabs>
        <w:ind w:left="720" w:hanging="720"/>
        <w:rPr>
          <w:bCs/>
          <w:color w:val="0066FF"/>
          <w:sz w:val="22"/>
          <w:szCs w:val="22"/>
        </w:rPr>
      </w:pPr>
      <w:r w:rsidRPr="00084D60">
        <w:rPr>
          <w:bCs/>
          <w:color w:val="0066FF"/>
          <w:sz w:val="22"/>
          <w:szCs w:val="22"/>
        </w:rPr>
        <w:tab/>
      </w:r>
    </w:p>
    <w:p w:rsidR="00D4752E" w:rsidRPr="00E94345" w:rsidP="00D4752E" w14:paraId="79AE8C9C" w14:textId="567FF4B4">
      <w:pPr>
        <w:widowControl w:val="0"/>
        <w:tabs>
          <w:tab w:val="left" w:pos="720"/>
        </w:tabs>
        <w:ind w:left="720" w:hanging="720"/>
        <w:rPr>
          <w:sz w:val="22"/>
          <w:szCs w:val="22"/>
        </w:rPr>
      </w:pPr>
      <w:r>
        <w:rPr>
          <w:bCs/>
          <w:color w:val="0066FF"/>
          <w:sz w:val="22"/>
          <w:szCs w:val="22"/>
        </w:rPr>
        <w:tab/>
      </w:r>
      <w:r w:rsidRPr="00BF5CD2" w:rsidR="00BE4D43">
        <w:rPr>
          <w:sz w:val="22"/>
          <w:szCs w:val="22"/>
        </w:rPr>
        <w:t xml:space="preserve">A 60-day notice was published in the </w:t>
      </w:r>
      <w:r w:rsidRPr="00BF5CD2" w:rsidR="00BE4D43">
        <w:rPr>
          <w:i/>
          <w:sz w:val="22"/>
          <w:szCs w:val="22"/>
        </w:rPr>
        <w:t>Federal Register</w:t>
      </w:r>
      <w:r w:rsidRPr="00BF5CD2" w:rsidR="00BE4D43">
        <w:rPr>
          <w:sz w:val="22"/>
          <w:szCs w:val="22"/>
        </w:rPr>
        <w:t xml:space="preserve"> on </w:t>
      </w:r>
      <w:r w:rsidRPr="00BF5CD2" w:rsidR="006F291A">
        <w:rPr>
          <w:sz w:val="22"/>
          <w:szCs w:val="22"/>
        </w:rPr>
        <w:t>June 12,</w:t>
      </w:r>
      <w:r w:rsidRPr="00BF5CD2" w:rsidR="00BE4D43">
        <w:rPr>
          <w:sz w:val="22"/>
          <w:szCs w:val="22"/>
        </w:rPr>
        <w:t xml:space="preserve"> 2025, at </w:t>
      </w:r>
      <w:r w:rsidRPr="00BF5CD2" w:rsidR="00912321">
        <w:rPr>
          <w:sz w:val="22"/>
          <w:szCs w:val="22"/>
        </w:rPr>
        <w:t>90</w:t>
      </w:r>
      <w:r w:rsidRPr="00BF5CD2" w:rsidR="00BE4D43">
        <w:rPr>
          <w:sz w:val="22"/>
          <w:szCs w:val="22"/>
        </w:rPr>
        <w:t xml:space="preserve"> FR </w:t>
      </w:r>
      <w:r w:rsidRPr="00BF5CD2" w:rsidR="006F291A">
        <w:rPr>
          <w:sz w:val="22"/>
          <w:szCs w:val="22"/>
        </w:rPr>
        <w:t>24817</w:t>
      </w:r>
      <w:r w:rsidRPr="00BF5CD2" w:rsidR="00BE4D43">
        <w:rPr>
          <w:sz w:val="22"/>
          <w:szCs w:val="22"/>
        </w:rPr>
        <w:t xml:space="preserve">, soliciting comments from the public. </w:t>
      </w:r>
      <w:r w:rsidR="00B85995">
        <w:rPr>
          <w:sz w:val="22"/>
          <w:szCs w:val="22"/>
        </w:rPr>
        <w:t>1</w:t>
      </w:r>
      <w:r w:rsidRPr="00BF5CD2" w:rsidR="00BE4D43">
        <w:rPr>
          <w:sz w:val="22"/>
          <w:szCs w:val="22"/>
        </w:rPr>
        <w:t xml:space="preserve"> public comment w</w:t>
      </w:r>
      <w:r w:rsidR="00B85995">
        <w:rPr>
          <w:sz w:val="22"/>
          <w:szCs w:val="22"/>
        </w:rPr>
        <w:t>as</w:t>
      </w:r>
      <w:r w:rsidRPr="00BF5CD2" w:rsidR="00BE4D43">
        <w:rPr>
          <w:sz w:val="22"/>
          <w:szCs w:val="22"/>
        </w:rPr>
        <w:t xml:space="preserve"> received in response to this notice.</w:t>
      </w:r>
    </w:p>
    <w:p w:rsidR="00D4752E" w:rsidRPr="00E94345" w:rsidP="00D4752E" w14:paraId="38554411" w14:textId="77777777">
      <w:pPr>
        <w:ind w:left="720" w:hanging="720"/>
        <w:rPr>
          <w:b/>
          <w:sz w:val="22"/>
          <w:szCs w:val="22"/>
        </w:rPr>
      </w:pPr>
    </w:p>
    <w:p w:rsidR="00D4752E" w:rsidRPr="00E94345" w:rsidP="00D4752E" w14:paraId="3A2122B5" w14:textId="77777777">
      <w:pPr>
        <w:rPr>
          <w:b/>
          <w:sz w:val="22"/>
          <w:szCs w:val="22"/>
        </w:rPr>
      </w:pPr>
      <w:r w:rsidRPr="00E94345">
        <w:rPr>
          <w:b/>
          <w:sz w:val="22"/>
          <w:szCs w:val="22"/>
        </w:rPr>
        <w:t>9.</w:t>
      </w:r>
      <w:r w:rsidRPr="00E94345">
        <w:rPr>
          <w:b/>
          <w:sz w:val="22"/>
          <w:szCs w:val="22"/>
        </w:rPr>
        <w:tab/>
        <w:t>Payment or gifts to respondents.</w:t>
      </w:r>
    </w:p>
    <w:p w:rsidR="0074742B" w:rsidP="00AA15AB" w14:paraId="66548731" w14:textId="77777777">
      <w:pPr>
        <w:ind w:left="720"/>
        <w:rPr>
          <w:sz w:val="22"/>
          <w:szCs w:val="22"/>
        </w:rPr>
      </w:pPr>
    </w:p>
    <w:p w:rsidR="00D4752E" w:rsidRPr="00E94345" w:rsidP="00AA15AB" w14:paraId="5EEAE954" w14:textId="6ED7C2AE">
      <w:pPr>
        <w:ind w:left="720"/>
        <w:rPr>
          <w:bCs/>
          <w:color w:val="0066FF"/>
          <w:sz w:val="22"/>
          <w:szCs w:val="22"/>
        </w:rPr>
      </w:pPr>
      <w:r w:rsidRPr="00E94345">
        <w:rPr>
          <w:sz w:val="22"/>
          <w:szCs w:val="22"/>
        </w:rPr>
        <w:t>There is no intent by NCUA to provide payment or gifts for information collected.</w:t>
      </w:r>
    </w:p>
    <w:p w:rsidR="00D4752E" w:rsidRPr="00E94345" w:rsidP="00D4752E" w14:paraId="75063532" w14:textId="77777777">
      <w:pPr>
        <w:suppressAutoHyphens/>
        <w:ind w:left="720" w:hanging="720"/>
        <w:rPr>
          <w:sz w:val="22"/>
          <w:szCs w:val="22"/>
        </w:rPr>
      </w:pPr>
    </w:p>
    <w:p w:rsidR="00D4752E" w:rsidRPr="00E94345" w:rsidP="00D4752E" w14:paraId="0A33BEC5" w14:textId="77777777">
      <w:pPr>
        <w:rPr>
          <w:b/>
          <w:sz w:val="22"/>
          <w:szCs w:val="22"/>
        </w:rPr>
      </w:pPr>
      <w:r w:rsidRPr="00E94345">
        <w:rPr>
          <w:b/>
          <w:sz w:val="22"/>
          <w:szCs w:val="22"/>
        </w:rPr>
        <w:t>10.</w:t>
      </w:r>
      <w:r w:rsidRPr="00E94345">
        <w:rPr>
          <w:b/>
          <w:sz w:val="22"/>
          <w:szCs w:val="22"/>
        </w:rPr>
        <w:tab/>
        <w:t>Assurance of confidentiality.</w:t>
      </w:r>
    </w:p>
    <w:p w:rsidR="0074742B" w:rsidP="00E94345" w14:paraId="08ABF6D0" w14:textId="77777777">
      <w:pPr>
        <w:suppressAutoHyphens/>
        <w:ind w:left="720"/>
        <w:rPr>
          <w:bCs/>
          <w:sz w:val="22"/>
          <w:szCs w:val="22"/>
        </w:rPr>
      </w:pPr>
    </w:p>
    <w:p w:rsidR="005B43D8" w:rsidRPr="00D9638F" w:rsidP="00E94345" w14:paraId="1D0F0798" w14:textId="33E238DB">
      <w:pPr>
        <w:suppressAutoHyphens/>
        <w:ind w:left="720"/>
      </w:pPr>
      <w:r w:rsidRPr="00084D60">
        <w:rPr>
          <w:bCs/>
          <w:sz w:val="22"/>
          <w:szCs w:val="22"/>
        </w:rPr>
        <w:t>Pursuant to 5 U.S.C. § 552a(e)(3), this Privacy Act Statement explains why the National Credit Union Administration (NCUA) requests the information on the form. AUTHORITY: 5 U.S.C. Chapter 57; 12 U.S.C. 1751 et seq. Disclosure of the requested information is not mandatory.</w:t>
      </w:r>
      <w:r w:rsidRPr="00E94345">
        <w:rPr>
          <w:bCs/>
          <w:color w:val="0066FF"/>
          <w:sz w:val="22"/>
          <w:szCs w:val="22"/>
        </w:rPr>
        <w:t xml:space="preserve"> </w:t>
      </w:r>
      <w:r w:rsidRPr="00D9638F">
        <w:t>The information collected is maintained and protected in accordance with the Privacy Act requirements.</w:t>
      </w:r>
    </w:p>
    <w:p w:rsidR="0046310E" w:rsidRPr="00E94345" w:rsidP="0046310E" w14:paraId="2C3057EB" w14:textId="77777777">
      <w:pPr>
        <w:ind w:left="720"/>
        <w:rPr>
          <w:color w:val="0066FF"/>
          <w:sz w:val="22"/>
          <w:szCs w:val="22"/>
        </w:rPr>
      </w:pPr>
    </w:p>
    <w:p w:rsidR="00D4752E" w:rsidRPr="00E94345" w:rsidP="00E94345" w14:paraId="7F9DB16E" w14:textId="77777777">
      <w:pPr>
        <w:tabs>
          <w:tab w:val="left" w:pos="6187"/>
        </w:tabs>
        <w:ind w:left="720"/>
        <w:rPr>
          <w:sz w:val="22"/>
          <w:szCs w:val="22"/>
        </w:rPr>
      </w:pPr>
      <w:r w:rsidRPr="00E94345">
        <w:rPr>
          <w:sz w:val="22"/>
          <w:szCs w:val="22"/>
        </w:rPr>
        <w:tab/>
      </w:r>
    </w:p>
    <w:p w:rsidR="00D4752E" w:rsidRPr="00E94345" w:rsidP="00D4752E" w14:paraId="5FACBB13" w14:textId="77777777">
      <w:pPr>
        <w:rPr>
          <w:b/>
          <w:sz w:val="22"/>
          <w:szCs w:val="22"/>
        </w:rPr>
      </w:pPr>
      <w:r w:rsidRPr="00E94345">
        <w:rPr>
          <w:b/>
          <w:sz w:val="22"/>
          <w:szCs w:val="22"/>
        </w:rPr>
        <w:t>11.</w:t>
      </w:r>
      <w:r w:rsidRPr="00E94345">
        <w:rPr>
          <w:b/>
          <w:sz w:val="22"/>
          <w:szCs w:val="22"/>
        </w:rPr>
        <w:tab/>
        <w:t>Questions of a sensitive nature.</w:t>
      </w:r>
    </w:p>
    <w:p w:rsidR="0074742B" w:rsidRPr="00E94345" w:rsidP="00AA15AB" w14:paraId="052CC1E1" w14:textId="77777777">
      <w:pPr>
        <w:ind w:left="720"/>
        <w:rPr>
          <w:bCs/>
          <w:color w:val="0066FF"/>
          <w:sz w:val="22"/>
          <w:szCs w:val="22"/>
        </w:rPr>
      </w:pPr>
    </w:p>
    <w:p w:rsidR="00EC445F" w:rsidRPr="00084D60" w:rsidP="00EC445F" w14:paraId="5179525C" w14:textId="5F86369D">
      <w:pPr>
        <w:ind w:left="720"/>
        <w:rPr>
          <w:bCs/>
          <w:sz w:val="22"/>
          <w:szCs w:val="22"/>
        </w:rPr>
      </w:pPr>
      <w:r w:rsidRPr="00E94345">
        <w:rPr>
          <w:spacing w:val="-3"/>
          <w:sz w:val="22"/>
          <w:szCs w:val="22"/>
        </w:rPr>
        <w:t>The forms do not contain any questions of a sensitive nature.</w:t>
      </w:r>
      <w:r w:rsidRPr="00E94345">
        <w:rPr>
          <w:spacing w:val="-3"/>
          <w:sz w:val="22"/>
          <w:szCs w:val="22"/>
        </w:rPr>
        <w:t xml:space="preserve"> </w:t>
      </w:r>
      <w:r w:rsidRPr="00084D60">
        <w:rPr>
          <w:bCs/>
          <w:sz w:val="22"/>
          <w:szCs w:val="22"/>
        </w:rPr>
        <w:t>The Systems of Records Notices (SORNs) associated with this information collection are NCUA-19 NCUA Financial and Acquisition Management System (​</w:t>
      </w:r>
      <w:hyperlink r:id="rId5" w:tgtFrame="_blank" w:tooltip="See the Federal Register notice (Link opens in new tab)" w:history="1">
        <w:r w:rsidRPr="00084D60">
          <w:rPr>
            <w:rStyle w:val="Hyperlink"/>
            <w:bCs/>
            <w:color w:val="auto"/>
            <w:sz w:val="22"/>
            <w:szCs w:val="22"/>
            <w:u w:val="none"/>
          </w:rPr>
          <w:t>81 FR 83281</w:t>
        </w:r>
      </w:hyperlink>
      <w:r w:rsidRPr="00084D60">
        <w:rPr>
          <w:bCs/>
          <w:sz w:val="22"/>
          <w:szCs w:val="22"/>
        </w:rPr>
        <w:t>)</w:t>
      </w:r>
      <w:r w:rsidRPr="00084D60" w:rsidR="008162A0">
        <w:rPr>
          <w:bCs/>
          <w:sz w:val="22"/>
          <w:szCs w:val="22"/>
        </w:rPr>
        <w:t xml:space="preserve">, and </w:t>
      </w:r>
      <w:r w:rsidRPr="00781D1C" w:rsidR="008162A0">
        <w:rPr>
          <w:sz w:val="22"/>
          <w:szCs w:val="22"/>
        </w:rPr>
        <w:t>GSA/GOVT-4, Contracted Travel Services Program (74 FR 26700)</w:t>
      </w:r>
      <w:r w:rsidRPr="00084D60">
        <w:rPr>
          <w:bCs/>
          <w:sz w:val="22"/>
          <w:szCs w:val="22"/>
        </w:rPr>
        <w:t>.</w:t>
      </w:r>
    </w:p>
    <w:p w:rsidR="00AD08BB" w:rsidRPr="00E94345" w:rsidP="00AA15AB" w14:paraId="727F0665" w14:textId="36597521">
      <w:pPr>
        <w:ind w:left="720"/>
        <w:rPr>
          <w:color w:val="0066FF"/>
          <w:sz w:val="22"/>
          <w:szCs w:val="22"/>
        </w:rPr>
      </w:pPr>
    </w:p>
    <w:p w:rsidR="00D4752E" w:rsidRPr="00E94345" w:rsidP="00D4752E" w14:paraId="0BC4F025" w14:textId="77777777">
      <w:pPr>
        <w:rPr>
          <w:b/>
          <w:sz w:val="22"/>
          <w:szCs w:val="22"/>
        </w:rPr>
      </w:pPr>
      <w:r w:rsidRPr="00E94345">
        <w:rPr>
          <w:b/>
          <w:sz w:val="22"/>
          <w:szCs w:val="22"/>
        </w:rPr>
        <w:t>12.</w:t>
      </w:r>
      <w:r w:rsidRPr="00E94345">
        <w:rPr>
          <w:b/>
          <w:sz w:val="22"/>
          <w:szCs w:val="22"/>
        </w:rPr>
        <w:tab/>
        <w:t>Burden of information collection.</w:t>
      </w:r>
    </w:p>
    <w:p w:rsidR="00573F86" w:rsidRPr="00E94345" w:rsidP="00E02770" w14:paraId="0A9EBAC1" w14:textId="77777777">
      <w:pPr>
        <w:ind w:left="720"/>
        <w:jc w:val="both"/>
        <w:rPr>
          <w:bCs/>
          <w:color w:val="0066FF"/>
          <w:sz w:val="22"/>
          <w:szCs w:val="22"/>
        </w:rPr>
      </w:pPr>
    </w:p>
    <w:p w:rsidR="00573F86" w:rsidRPr="00715B40" w:rsidP="00573F86" w14:paraId="071A751F" w14:textId="29E5AE27">
      <w:pPr>
        <w:ind w:left="720"/>
        <w:rPr>
          <w:sz w:val="22"/>
          <w:szCs w:val="22"/>
        </w:rPr>
      </w:pPr>
      <w:r w:rsidRPr="00E94345">
        <w:rPr>
          <w:sz w:val="22"/>
          <w:szCs w:val="22"/>
        </w:rPr>
        <w:t xml:space="preserve">NCUA estimates it will receive approximately </w:t>
      </w:r>
      <w:r w:rsidR="00FD4457">
        <w:rPr>
          <w:sz w:val="22"/>
          <w:szCs w:val="22"/>
        </w:rPr>
        <w:t>530</w:t>
      </w:r>
      <w:r w:rsidRPr="00E94345" w:rsidR="00FD4457">
        <w:rPr>
          <w:sz w:val="22"/>
          <w:szCs w:val="22"/>
        </w:rPr>
        <w:t xml:space="preserve"> </w:t>
      </w:r>
      <w:r w:rsidR="006F5886">
        <w:rPr>
          <w:sz w:val="22"/>
          <w:szCs w:val="22"/>
        </w:rPr>
        <w:t>responses</w:t>
      </w:r>
      <w:r w:rsidRPr="00E94345" w:rsidR="006F5886">
        <w:rPr>
          <w:sz w:val="22"/>
          <w:szCs w:val="22"/>
        </w:rPr>
        <w:t xml:space="preserve"> </w:t>
      </w:r>
      <w:r w:rsidRPr="00E94345">
        <w:rPr>
          <w:sz w:val="22"/>
          <w:szCs w:val="22"/>
        </w:rPr>
        <w:t xml:space="preserve">annually </w:t>
      </w:r>
      <w:r w:rsidR="00FD4457">
        <w:rPr>
          <w:sz w:val="22"/>
          <w:szCs w:val="22"/>
        </w:rPr>
        <w:t xml:space="preserve">and </w:t>
      </w:r>
      <w:r w:rsidRPr="00E94345">
        <w:rPr>
          <w:sz w:val="22"/>
          <w:szCs w:val="22"/>
        </w:rPr>
        <w:t xml:space="preserve">the average time to complete each form </w:t>
      </w:r>
      <w:r w:rsidR="0043437E">
        <w:rPr>
          <w:sz w:val="22"/>
          <w:szCs w:val="22"/>
        </w:rPr>
        <w:t>is</w:t>
      </w:r>
      <w:r w:rsidRPr="00E94345">
        <w:rPr>
          <w:sz w:val="22"/>
          <w:szCs w:val="22"/>
        </w:rPr>
        <w:t xml:space="preserve"> 15 minutes. The </w:t>
      </w:r>
      <w:r w:rsidRPr="00E94345" w:rsidR="00FE6286">
        <w:rPr>
          <w:sz w:val="22"/>
          <w:szCs w:val="22"/>
        </w:rPr>
        <w:t xml:space="preserve">estimated </w:t>
      </w:r>
      <w:r w:rsidRPr="00E94345">
        <w:rPr>
          <w:sz w:val="22"/>
          <w:szCs w:val="22"/>
        </w:rPr>
        <w:t>total annual burd</w:t>
      </w:r>
      <w:r w:rsidRPr="00C95D0D">
        <w:rPr>
          <w:sz w:val="22"/>
          <w:szCs w:val="22"/>
        </w:rPr>
        <w:t xml:space="preserve">en is </w:t>
      </w:r>
      <w:r w:rsidRPr="00084D60" w:rsidR="00FF435C">
        <w:rPr>
          <w:sz w:val="22"/>
          <w:szCs w:val="22"/>
        </w:rPr>
        <w:t>132.5</w:t>
      </w:r>
      <w:r w:rsidRPr="00C95D0D">
        <w:rPr>
          <w:sz w:val="22"/>
          <w:szCs w:val="22"/>
        </w:rPr>
        <w:t xml:space="preserve"> hours.</w:t>
      </w:r>
      <w:r w:rsidRPr="00E94345">
        <w:rPr>
          <w:sz w:val="22"/>
          <w:szCs w:val="22"/>
        </w:rPr>
        <w:t xml:space="preserve"> </w:t>
      </w:r>
    </w:p>
    <w:p w:rsidR="00761849" w:rsidRPr="00715B40" w:rsidP="00E02770" w14:paraId="0868D5E7" w14:textId="77777777">
      <w:pPr>
        <w:ind w:left="720"/>
        <w:jc w:val="both"/>
        <w:rPr>
          <w:bCs/>
          <w:color w:val="0066FF"/>
          <w:sz w:val="22"/>
          <w:szCs w:val="22"/>
        </w:rPr>
      </w:pPr>
    </w:p>
    <w:tbl>
      <w:tblPr>
        <w:tblStyle w:val="TableGrid"/>
        <w:tblW w:w="10170" w:type="dxa"/>
        <w:tblInd w:w="85" w:type="dxa"/>
        <w:tblLayout w:type="fixed"/>
        <w:tblLook w:val="04A0"/>
      </w:tblPr>
      <w:tblGrid>
        <w:gridCol w:w="1980"/>
        <w:gridCol w:w="1350"/>
        <w:gridCol w:w="1260"/>
        <w:gridCol w:w="1170"/>
        <w:gridCol w:w="1170"/>
        <w:gridCol w:w="1260"/>
        <w:gridCol w:w="900"/>
        <w:gridCol w:w="1080"/>
      </w:tblGrid>
      <w:tr w14:paraId="0B7E659A" w14:textId="461D9D1E" w:rsidTr="00084D60">
        <w:tblPrEx>
          <w:tblW w:w="10170" w:type="dxa"/>
          <w:tblInd w:w="85" w:type="dxa"/>
          <w:tblLayout w:type="fixed"/>
          <w:tblLook w:val="04A0"/>
        </w:tblPrEx>
        <w:trPr>
          <w:trHeight w:val="1232"/>
        </w:trPr>
        <w:tc>
          <w:tcPr>
            <w:tcW w:w="1980" w:type="dxa"/>
          </w:tcPr>
          <w:p w:rsidR="00E51175" w:rsidRPr="00084D60" w:rsidP="003E2758" w14:paraId="202167E0" w14:textId="77777777">
            <w:pPr>
              <w:jc w:val="center"/>
              <w:rPr>
                <w:sz w:val="21"/>
                <w:szCs w:val="21"/>
              </w:rPr>
            </w:pPr>
          </w:p>
          <w:p w:rsidR="000D2E05" w:rsidRPr="00084D60" w:rsidP="003E2758" w14:paraId="339D2D7C" w14:textId="53F95AE8">
            <w:pPr>
              <w:jc w:val="center"/>
              <w:rPr>
                <w:sz w:val="21"/>
                <w:szCs w:val="21"/>
              </w:rPr>
            </w:pPr>
            <w:r w:rsidRPr="00084D60">
              <w:rPr>
                <w:sz w:val="21"/>
                <w:szCs w:val="21"/>
              </w:rPr>
              <w:t>Information Collection Activity</w:t>
            </w:r>
          </w:p>
        </w:tc>
        <w:tc>
          <w:tcPr>
            <w:tcW w:w="1350" w:type="dxa"/>
            <w:vAlign w:val="center"/>
          </w:tcPr>
          <w:p w:rsidR="000D2E05" w:rsidRPr="00084D60" w:rsidP="00084D60" w14:paraId="264CACA0" w14:textId="342D2962">
            <w:pPr>
              <w:jc w:val="center"/>
              <w:rPr>
                <w:sz w:val="21"/>
                <w:szCs w:val="21"/>
              </w:rPr>
            </w:pPr>
            <w:r w:rsidRPr="00084D60">
              <w:rPr>
                <w:sz w:val="21"/>
                <w:szCs w:val="21"/>
              </w:rPr>
              <w:t>No. of Respondents</w:t>
            </w:r>
          </w:p>
        </w:tc>
        <w:tc>
          <w:tcPr>
            <w:tcW w:w="1260" w:type="dxa"/>
          </w:tcPr>
          <w:p w:rsidR="00E51175" w:rsidRPr="00084D60" w:rsidP="003E2758" w14:paraId="1775778F" w14:textId="77777777">
            <w:pPr>
              <w:jc w:val="center"/>
              <w:rPr>
                <w:sz w:val="21"/>
                <w:szCs w:val="21"/>
              </w:rPr>
            </w:pPr>
          </w:p>
          <w:p w:rsidR="000D2E05" w:rsidRPr="00084D60" w:rsidP="003E2758" w14:paraId="6FBA77E9" w14:textId="7F7FD742">
            <w:pPr>
              <w:jc w:val="center"/>
              <w:rPr>
                <w:sz w:val="21"/>
                <w:szCs w:val="21"/>
              </w:rPr>
            </w:pPr>
            <w:r w:rsidRPr="00084D60">
              <w:rPr>
                <w:sz w:val="21"/>
                <w:szCs w:val="21"/>
              </w:rPr>
              <w:t xml:space="preserve">No. of Responses per Respondent </w:t>
            </w:r>
          </w:p>
        </w:tc>
        <w:tc>
          <w:tcPr>
            <w:tcW w:w="1170" w:type="dxa"/>
            <w:vAlign w:val="center"/>
          </w:tcPr>
          <w:p w:rsidR="000D2E05" w:rsidRPr="00084D60" w:rsidP="003E2758" w14:paraId="5F971A62" w14:textId="6EA90496">
            <w:pPr>
              <w:jc w:val="center"/>
              <w:rPr>
                <w:sz w:val="21"/>
                <w:szCs w:val="21"/>
              </w:rPr>
            </w:pPr>
            <w:r w:rsidRPr="00084D60">
              <w:rPr>
                <w:sz w:val="21"/>
                <w:szCs w:val="21"/>
              </w:rPr>
              <w:t xml:space="preserve">Total </w:t>
            </w:r>
            <w:r w:rsidRPr="00084D60">
              <w:rPr>
                <w:sz w:val="21"/>
                <w:szCs w:val="21"/>
              </w:rPr>
              <w:t>Annual Responses</w:t>
            </w:r>
          </w:p>
        </w:tc>
        <w:tc>
          <w:tcPr>
            <w:tcW w:w="1170" w:type="dxa"/>
            <w:vAlign w:val="center"/>
          </w:tcPr>
          <w:p w:rsidR="000D2E05" w:rsidRPr="00084D60" w:rsidP="003E2758" w14:paraId="42DBFB71" w14:textId="7A6ABB29">
            <w:pPr>
              <w:jc w:val="center"/>
              <w:rPr>
                <w:sz w:val="21"/>
                <w:szCs w:val="21"/>
              </w:rPr>
            </w:pPr>
            <w:r w:rsidRPr="00084D60">
              <w:rPr>
                <w:sz w:val="21"/>
                <w:szCs w:val="21"/>
              </w:rPr>
              <w:t>Hrs</w:t>
            </w:r>
            <w:r w:rsidRPr="00084D60">
              <w:rPr>
                <w:sz w:val="21"/>
                <w:szCs w:val="21"/>
              </w:rPr>
              <w:t>/Min</w:t>
            </w:r>
            <w:r w:rsidRPr="00084D60" w:rsidR="00570749">
              <w:rPr>
                <w:sz w:val="21"/>
                <w:szCs w:val="21"/>
              </w:rPr>
              <w:t xml:space="preserve"> </w:t>
            </w:r>
            <w:r w:rsidRPr="00084D60">
              <w:rPr>
                <w:sz w:val="21"/>
                <w:szCs w:val="21"/>
              </w:rPr>
              <w:t>per Response</w:t>
            </w:r>
          </w:p>
        </w:tc>
        <w:tc>
          <w:tcPr>
            <w:tcW w:w="1260" w:type="dxa"/>
            <w:vAlign w:val="center"/>
          </w:tcPr>
          <w:p w:rsidR="000D2E05" w:rsidRPr="00084D60" w:rsidP="003E2758" w14:paraId="0C49EFBA" w14:textId="51BE1691">
            <w:pPr>
              <w:jc w:val="center"/>
              <w:rPr>
                <w:sz w:val="21"/>
                <w:szCs w:val="21"/>
              </w:rPr>
            </w:pPr>
            <w:r w:rsidRPr="00084D60">
              <w:rPr>
                <w:sz w:val="21"/>
                <w:szCs w:val="21"/>
              </w:rPr>
              <w:t>Total Annual Burden</w:t>
            </w:r>
          </w:p>
        </w:tc>
        <w:tc>
          <w:tcPr>
            <w:tcW w:w="900" w:type="dxa"/>
          </w:tcPr>
          <w:p w:rsidR="00E51175" w:rsidRPr="00084D60" w:rsidP="003E2758" w14:paraId="734DE0FA" w14:textId="77777777">
            <w:pPr>
              <w:jc w:val="center"/>
              <w:rPr>
                <w:sz w:val="21"/>
                <w:szCs w:val="21"/>
              </w:rPr>
            </w:pPr>
          </w:p>
          <w:p w:rsidR="000D2E05" w:rsidRPr="00084D60" w:rsidP="003E2758" w14:paraId="4C577B93" w14:textId="1078547C">
            <w:pPr>
              <w:jc w:val="center"/>
              <w:rPr>
                <w:sz w:val="21"/>
                <w:szCs w:val="21"/>
              </w:rPr>
            </w:pPr>
            <w:r w:rsidRPr="00084D60">
              <w:rPr>
                <w:sz w:val="21"/>
                <w:szCs w:val="21"/>
              </w:rPr>
              <w:t>Hourly Cost</w:t>
            </w:r>
          </w:p>
        </w:tc>
        <w:tc>
          <w:tcPr>
            <w:tcW w:w="1080" w:type="dxa"/>
          </w:tcPr>
          <w:p w:rsidR="00E51175" w:rsidRPr="00084D60" w:rsidP="003E2758" w14:paraId="1CF9FC50" w14:textId="77777777">
            <w:pPr>
              <w:jc w:val="center"/>
              <w:rPr>
                <w:sz w:val="21"/>
                <w:szCs w:val="21"/>
              </w:rPr>
            </w:pPr>
          </w:p>
          <w:p w:rsidR="000D2E05" w:rsidRPr="00084D60" w:rsidP="003E2758" w14:paraId="79216D59" w14:textId="0DBCBF0D">
            <w:pPr>
              <w:jc w:val="center"/>
              <w:rPr>
                <w:sz w:val="21"/>
                <w:szCs w:val="21"/>
              </w:rPr>
            </w:pPr>
            <w:r w:rsidRPr="00084D60">
              <w:rPr>
                <w:sz w:val="21"/>
                <w:szCs w:val="21"/>
              </w:rPr>
              <w:t xml:space="preserve">Total </w:t>
            </w:r>
            <w:r w:rsidRPr="00084D60">
              <w:rPr>
                <w:sz w:val="21"/>
                <w:szCs w:val="21"/>
              </w:rPr>
              <w:t>Annual Costs</w:t>
            </w:r>
          </w:p>
        </w:tc>
      </w:tr>
      <w:tr w14:paraId="37E35DEC" w14:textId="322E3B98" w:rsidTr="00084D60">
        <w:tblPrEx>
          <w:tblW w:w="10170" w:type="dxa"/>
          <w:tblInd w:w="85" w:type="dxa"/>
          <w:tblLayout w:type="fixed"/>
          <w:tblLook w:val="04A0"/>
        </w:tblPrEx>
        <w:trPr>
          <w:trHeight w:val="566"/>
        </w:trPr>
        <w:tc>
          <w:tcPr>
            <w:tcW w:w="1980" w:type="dxa"/>
          </w:tcPr>
          <w:p w:rsidR="000D2E05" w:rsidRPr="00084D60" w:rsidP="006950C7" w14:paraId="1923B61D" w14:textId="3DE1A8A3">
            <w:pPr>
              <w:rPr>
                <w:sz w:val="21"/>
                <w:szCs w:val="21"/>
              </w:rPr>
            </w:pPr>
            <w:r w:rsidRPr="00084D60">
              <w:rPr>
                <w:sz w:val="21"/>
                <w:szCs w:val="21"/>
              </w:rPr>
              <w:t>SSA Profile Request Form</w:t>
            </w:r>
          </w:p>
        </w:tc>
        <w:tc>
          <w:tcPr>
            <w:tcW w:w="1350" w:type="dxa"/>
            <w:vAlign w:val="center"/>
          </w:tcPr>
          <w:p w:rsidR="000D2E05" w:rsidRPr="00084D60" w:rsidP="006950C7" w14:paraId="6778B89E" w14:textId="14601185">
            <w:pPr>
              <w:jc w:val="right"/>
              <w:rPr>
                <w:sz w:val="21"/>
                <w:szCs w:val="21"/>
              </w:rPr>
            </w:pPr>
            <w:r w:rsidRPr="00084D60">
              <w:rPr>
                <w:sz w:val="21"/>
                <w:szCs w:val="21"/>
              </w:rPr>
              <w:t>500</w:t>
            </w:r>
          </w:p>
        </w:tc>
        <w:tc>
          <w:tcPr>
            <w:tcW w:w="1260" w:type="dxa"/>
            <w:vAlign w:val="center"/>
          </w:tcPr>
          <w:p w:rsidR="000D2E05" w:rsidRPr="00084D60" w:rsidP="006950C7" w14:paraId="1D4F666F" w14:textId="77777777">
            <w:pPr>
              <w:jc w:val="right"/>
              <w:rPr>
                <w:sz w:val="21"/>
                <w:szCs w:val="21"/>
              </w:rPr>
            </w:pPr>
            <w:r w:rsidRPr="00084D60">
              <w:rPr>
                <w:sz w:val="21"/>
                <w:szCs w:val="21"/>
              </w:rPr>
              <w:t>1</w:t>
            </w:r>
          </w:p>
        </w:tc>
        <w:tc>
          <w:tcPr>
            <w:tcW w:w="1170" w:type="dxa"/>
            <w:vAlign w:val="center"/>
          </w:tcPr>
          <w:p w:rsidR="000D2E05" w:rsidRPr="00084D60" w:rsidP="006950C7" w14:paraId="0A196C6C" w14:textId="7512E124">
            <w:pPr>
              <w:jc w:val="right"/>
              <w:rPr>
                <w:sz w:val="21"/>
                <w:szCs w:val="21"/>
              </w:rPr>
            </w:pPr>
            <w:r w:rsidRPr="00084D60">
              <w:rPr>
                <w:sz w:val="21"/>
                <w:szCs w:val="21"/>
              </w:rPr>
              <w:t>500</w:t>
            </w:r>
          </w:p>
        </w:tc>
        <w:tc>
          <w:tcPr>
            <w:tcW w:w="1170" w:type="dxa"/>
            <w:vAlign w:val="center"/>
          </w:tcPr>
          <w:p w:rsidR="000D2E05" w:rsidRPr="00084D60" w:rsidP="006950C7" w14:paraId="0C611247" w14:textId="7843B18A">
            <w:pPr>
              <w:jc w:val="right"/>
              <w:rPr>
                <w:sz w:val="21"/>
                <w:szCs w:val="21"/>
              </w:rPr>
            </w:pPr>
            <w:r w:rsidRPr="00084D60">
              <w:rPr>
                <w:sz w:val="21"/>
                <w:szCs w:val="21"/>
              </w:rPr>
              <w:t>.25</w:t>
            </w:r>
          </w:p>
        </w:tc>
        <w:tc>
          <w:tcPr>
            <w:tcW w:w="1260" w:type="dxa"/>
            <w:vAlign w:val="center"/>
          </w:tcPr>
          <w:p w:rsidR="000D2E05" w:rsidRPr="00084D60" w:rsidP="006950C7" w14:paraId="0306D343" w14:textId="1DAAD3DB">
            <w:pPr>
              <w:jc w:val="right"/>
              <w:rPr>
                <w:sz w:val="21"/>
                <w:szCs w:val="21"/>
              </w:rPr>
            </w:pPr>
            <w:r w:rsidRPr="00084D60">
              <w:rPr>
                <w:sz w:val="21"/>
                <w:szCs w:val="21"/>
              </w:rPr>
              <w:t>125</w:t>
            </w:r>
          </w:p>
        </w:tc>
        <w:tc>
          <w:tcPr>
            <w:tcW w:w="900" w:type="dxa"/>
          </w:tcPr>
          <w:p w:rsidR="00F919FA" w:rsidRPr="00084D60" w:rsidP="006950C7" w14:paraId="14443360" w14:textId="77777777">
            <w:pPr>
              <w:jc w:val="right"/>
              <w:rPr>
                <w:sz w:val="21"/>
                <w:szCs w:val="21"/>
              </w:rPr>
            </w:pPr>
          </w:p>
          <w:p w:rsidR="000D2E05" w:rsidRPr="00084D60" w:rsidP="006950C7" w14:paraId="585980E2" w14:textId="5618992A">
            <w:pPr>
              <w:jc w:val="right"/>
              <w:rPr>
                <w:sz w:val="21"/>
                <w:szCs w:val="21"/>
              </w:rPr>
            </w:pPr>
            <w:r w:rsidRPr="00084D60">
              <w:rPr>
                <w:sz w:val="21"/>
                <w:szCs w:val="21"/>
              </w:rPr>
              <w:t>$3</w:t>
            </w:r>
            <w:r w:rsidRPr="00084D60" w:rsidR="00D70FD7">
              <w:rPr>
                <w:sz w:val="21"/>
                <w:szCs w:val="21"/>
              </w:rPr>
              <w:t>9</w:t>
            </w:r>
          </w:p>
        </w:tc>
        <w:tc>
          <w:tcPr>
            <w:tcW w:w="1080" w:type="dxa"/>
          </w:tcPr>
          <w:p w:rsidR="000D2E05" w:rsidRPr="00084D60" w:rsidP="006950C7" w14:paraId="689C5CB7" w14:textId="77777777">
            <w:pPr>
              <w:jc w:val="right"/>
              <w:rPr>
                <w:sz w:val="21"/>
                <w:szCs w:val="21"/>
              </w:rPr>
            </w:pPr>
          </w:p>
          <w:p w:rsidR="00F919FA" w:rsidRPr="00084D60" w:rsidP="006950C7" w14:paraId="32B0F516" w14:textId="08B8B9BA">
            <w:pPr>
              <w:jc w:val="right"/>
              <w:rPr>
                <w:sz w:val="21"/>
                <w:szCs w:val="21"/>
              </w:rPr>
            </w:pPr>
            <w:r w:rsidRPr="00084D60">
              <w:rPr>
                <w:sz w:val="21"/>
                <w:szCs w:val="21"/>
              </w:rPr>
              <w:t>$4,</w:t>
            </w:r>
            <w:r w:rsidRPr="00084D60" w:rsidR="00D70FD7">
              <w:rPr>
                <w:sz w:val="21"/>
                <w:szCs w:val="21"/>
              </w:rPr>
              <w:t>8</w:t>
            </w:r>
            <w:r w:rsidRPr="00084D60">
              <w:rPr>
                <w:sz w:val="21"/>
                <w:szCs w:val="21"/>
              </w:rPr>
              <w:t>75</w:t>
            </w:r>
          </w:p>
        </w:tc>
      </w:tr>
      <w:tr w14:paraId="6FDD0E18" w14:textId="753A7AE5" w:rsidTr="00084D60">
        <w:tblPrEx>
          <w:tblW w:w="10170" w:type="dxa"/>
          <w:tblInd w:w="85" w:type="dxa"/>
          <w:tblLayout w:type="fixed"/>
          <w:tblLook w:val="04A0"/>
        </w:tblPrEx>
        <w:trPr>
          <w:trHeight w:val="566"/>
        </w:trPr>
        <w:tc>
          <w:tcPr>
            <w:tcW w:w="1980" w:type="dxa"/>
          </w:tcPr>
          <w:p w:rsidR="000D2E05" w:rsidRPr="00084D60" w:rsidP="006950C7" w14:paraId="03E0534B" w14:textId="40036B37">
            <w:pPr>
              <w:rPr>
                <w:sz w:val="21"/>
                <w:szCs w:val="21"/>
              </w:rPr>
            </w:pPr>
            <w:r w:rsidRPr="00084D60">
              <w:rPr>
                <w:sz w:val="21"/>
                <w:szCs w:val="21"/>
              </w:rPr>
              <w:t>NCUA Team Request Form</w:t>
            </w:r>
          </w:p>
        </w:tc>
        <w:tc>
          <w:tcPr>
            <w:tcW w:w="1350" w:type="dxa"/>
            <w:vAlign w:val="center"/>
          </w:tcPr>
          <w:p w:rsidR="000D2E05" w:rsidRPr="00084D60" w:rsidP="006950C7" w14:paraId="17B600DE" w14:textId="3928042D">
            <w:pPr>
              <w:jc w:val="right"/>
              <w:rPr>
                <w:sz w:val="21"/>
                <w:szCs w:val="21"/>
              </w:rPr>
            </w:pPr>
            <w:r w:rsidRPr="00084D60">
              <w:rPr>
                <w:sz w:val="21"/>
                <w:szCs w:val="21"/>
              </w:rPr>
              <w:t>15</w:t>
            </w:r>
          </w:p>
        </w:tc>
        <w:tc>
          <w:tcPr>
            <w:tcW w:w="1260" w:type="dxa"/>
            <w:vAlign w:val="center"/>
          </w:tcPr>
          <w:p w:rsidR="000D2E05" w:rsidRPr="00084D60" w:rsidP="006950C7" w14:paraId="3C4BF966" w14:textId="31B9D1CA">
            <w:pPr>
              <w:jc w:val="right"/>
              <w:rPr>
                <w:sz w:val="21"/>
                <w:szCs w:val="21"/>
              </w:rPr>
            </w:pPr>
            <w:r w:rsidRPr="00084D60">
              <w:rPr>
                <w:sz w:val="21"/>
                <w:szCs w:val="21"/>
              </w:rPr>
              <w:t>2</w:t>
            </w:r>
          </w:p>
        </w:tc>
        <w:tc>
          <w:tcPr>
            <w:tcW w:w="1170" w:type="dxa"/>
            <w:vAlign w:val="center"/>
          </w:tcPr>
          <w:p w:rsidR="000D2E05" w:rsidRPr="00084D60" w:rsidP="006950C7" w14:paraId="49AB9319" w14:textId="40B1F538">
            <w:pPr>
              <w:jc w:val="right"/>
              <w:rPr>
                <w:sz w:val="21"/>
                <w:szCs w:val="21"/>
              </w:rPr>
            </w:pPr>
            <w:r w:rsidRPr="00084D60">
              <w:rPr>
                <w:sz w:val="21"/>
                <w:szCs w:val="21"/>
              </w:rPr>
              <w:t>30</w:t>
            </w:r>
          </w:p>
        </w:tc>
        <w:tc>
          <w:tcPr>
            <w:tcW w:w="1170" w:type="dxa"/>
            <w:vAlign w:val="center"/>
          </w:tcPr>
          <w:p w:rsidR="000D2E05" w:rsidRPr="00084D60" w:rsidP="006950C7" w14:paraId="56370624" w14:textId="06194016">
            <w:pPr>
              <w:jc w:val="right"/>
              <w:rPr>
                <w:sz w:val="21"/>
                <w:szCs w:val="21"/>
              </w:rPr>
            </w:pPr>
            <w:r w:rsidRPr="00084D60">
              <w:rPr>
                <w:sz w:val="21"/>
                <w:szCs w:val="21"/>
              </w:rPr>
              <w:t>.</w:t>
            </w:r>
            <w:r w:rsidRPr="00084D60" w:rsidR="0074224C">
              <w:rPr>
                <w:sz w:val="21"/>
                <w:szCs w:val="21"/>
              </w:rPr>
              <w:t>25</w:t>
            </w:r>
          </w:p>
        </w:tc>
        <w:tc>
          <w:tcPr>
            <w:tcW w:w="1260" w:type="dxa"/>
            <w:vAlign w:val="center"/>
          </w:tcPr>
          <w:p w:rsidR="000D2E05" w:rsidRPr="00084D60" w:rsidP="006950C7" w14:paraId="17F367AD" w14:textId="6332DC23">
            <w:pPr>
              <w:jc w:val="right"/>
              <w:rPr>
                <w:sz w:val="21"/>
                <w:szCs w:val="21"/>
              </w:rPr>
            </w:pPr>
            <w:r w:rsidRPr="00084D60">
              <w:rPr>
                <w:sz w:val="21"/>
                <w:szCs w:val="21"/>
              </w:rPr>
              <w:t>7.5</w:t>
            </w:r>
          </w:p>
        </w:tc>
        <w:tc>
          <w:tcPr>
            <w:tcW w:w="900" w:type="dxa"/>
          </w:tcPr>
          <w:p w:rsidR="00F919FA" w:rsidRPr="00084D60" w:rsidP="006950C7" w14:paraId="486E429E" w14:textId="77777777">
            <w:pPr>
              <w:jc w:val="right"/>
              <w:rPr>
                <w:sz w:val="21"/>
                <w:szCs w:val="21"/>
              </w:rPr>
            </w:pPr>
          </w:p>
          <w:p w:rsidR="000D2E05" w:rsidRPr="00084D60" w:rsidP="006950C7" w14:paraId="012DE3C1" w14:textId="11BC3E33">
            <w:pPr>
              <w:jc w:val="right"/>
              <w:rPr>
                <w:sz w:val="21"/>
                <w:szCs w:val="21"/>
              </w:rPr>
            </w:pPr>
            <w:r w:rsidRPr="00084D60">
              <w:rPr>
                <w:sz w:val="21"/>
                <w:szCs w:val="21"/>
              </w:rPr>
              <w:t>$3</w:t>
            </w:r>
            <w:r w:rsidRPr="00084D60" w:rsidR="00D70FD7">
              <w:rPr>
                <w:sz w:val="21"/>
                <w:szCs w:val="21"/>
              </w:rPr>
              <w:t>9</w:t>
            </w:r>
          </w:p>
        </w:tc>
        <w:tc>
          <w:tcPr>
            <w:tcW w:w="1080" w:type="dxa"/>
          </w:tcPr>
          <w:p w:rsidR="000D2E05" w:rsidRPr="00084D60" w:rsidP="006950C7" w14:paraId="3A31496C" w14:textId="77777777">
            <w:pPr>
              <w:jc w:val="right"/>
              <w:rPr>
                <w:sz w:val="21"/>
                <w:szCs w:val="21"/>
              </w:rPr>
            </w:pPr>
          </w:p>
          <w:p w:rsidR="00F919FA" w:rsidRPr="00084D60" w:rsidP="006950C7" w14:paraId="5F89971B" w14:textId="7DAAD276">
            <w:pPr>
              <w:jc w:val="right"/>
              <w:rPr>
                <w:sz w:val="21"/>
                <w:szCs w:val="21"/>
              </w:rPr>
            </w:pPr>
            <w:r w:rsidRPr="00084D60">
              <w:rPr>
                <w:sz w:val="21"/>
                <w:szCs w:val="21"/>
              </w:rPr>
              <w:t>$2</w:t>
            </w:r>
            <w:r w:rsidRPr="00084D60" w:rsidR="00D70FD7">
              <w:rPr>
                <w:sz w:val="21"/>
                <w:szCs w:val="21"/>
              </w:rPr>
              <w:t>9</w:t>
            </w:r>
            <w:r w:rsidRPr="00084D60">
              <w:rPr>
                <w:sz w:val="21"/>
                <w:szCs w:val="21"/>
              </w:rPr>
              <w:t>2.50</w:t>
            </w:r>
          </w:p>
        </w:tc>
      </w:tr>
      <w:tr w14:paraId="563408E7" w14:textId="75265D35" w:rsidTr="00902024">
        <w:tblPrEx>
          <w:tblW w:w="10170" w:type="dxa"/>
          <w:tblInd w:w="85" w:type="dxa"/>
          <w:tblLayout w:type="fixed"/>
          <w:tblLook w:val="04A0"/>
        </w:tblPrEx>
        <w:trPr>
          <w:trHeight w:val="323"/>
        </w:trPr>
        <w:tc>
          <w:tcPr>
            <w:tcW w:w="1980" w:type="dxa"/>
          </w:tcPr>
          <w:p w:rsidR="000D2E05" w:rsidRPr="00084D60" w:rsidP="004E51B2" w14:paraId="485EA34D" w14:textId="12D06E68">
            <w:pPr>
              <w:rPr>
                <w:b/>
                <w:bCs/>
                <w:sz w:val="21"/>
                <w:szCs w:val="21"/>
              </w:rPr>
            </w:pPr>
            <w:r w:rsidRPr="00084D60">
              <w:rPr>
                <w:b/>
                <w:bCs/>
                <w:sz w:val="21"/>
                <w:szCs w:val="21"/>
              </w:rPr>
              <w:t>TOTAL</w:t>
            </w:r>
          </w:p>
        </w:tc>
        <w:tc>
          <w:tcPr>
            <w:tcW w:w="1350" w:type="dxa"/>
            <w:shd w:val="clear" w:color="auto" w:fill="3B3838" w:themeFill="background2" w:themeFillShade="40"/>
            <w:vAlign w:val="center"/>
          </w:tcPr>
          <w:p w:rsidR="000D2E05" w:rsidRPr="00084D60" w:rsidP="006950C7" w14:paraId="446E0B09" w14:textId="3FA36194">
            <w:pPr>
              <w:jc w:val="right"/>
              <w:rPr>
                <w:sz w:val="21"/>
                <w:szCs w:val="21"/>
              </w:rPr>
            </w:pPr>
          </w:p>
        </w:tc>
        <w:tc>
          <w:tcPr>
            <w:tcW w:w="1260" w:type="dxa"/>
            <w:shd w:val="clear" w:color="auto" w:fill="3B3838" w:themeFill="background2" w:themeFillShade="40"/>
          </w:tcPr>
          <w:p w:rsidR="000D2E05" w:rsidRPr="00084D60" w:rsidP="006950C7" w14:paraId="4CAA2153" w14:textId="2FEDDC26">
            <w:pPr>
              <w:jc w:val="right"/>
              <w:rPr>
                <w:sz w:val="21"/>
                <w:szCs w:val="21"/>
              </w:rPr>
            </w:pPr>
          </w:p>
        </w:tc>
        <w:tc>
          <w:tcPr>
            <w:tcW w:w="1170" w:type="dxa"/>
            <w:vAlign w:val="center"/>
          </w:tcPr>
          <w:p w:rsidR="000D2E05" w:rsidRPr="00084D60" w:rsidP="006950C7" w14:paraId="35CD4AD0" w14:textId="1D58F1F4">
            <w:pPr>
              <w:jc w:val="right"/>
              <w:rPr>
                <w:sz w:val="21"/>
                <w:szCs w:val="21"/>
              </w:rPr>
            </w:pPr>
            <w:r w:rsidRPr="00084D60">
              <w:rPr>
                <w:sz w:val="21"/>
                <w:szCs w:val="21"/>
              </w:rPr>
              <w:t>5</w:t>
            </w:r>
            <w:r w:rsidRPr="00084D60" w:rsidR="00D70FD7">
              <w:rPr>
                <w:sz w:val="21"/>
                <w:szCs w:val="21"/>
              </w:rPr>
              <w:t>30</w:t>
            </w:r>
          </w:p>
        </w:tc>
        <w:tc>
          <w:tcPr>
            <w:tcW w:w="1170" w:type="dxa"/>
            <w:shd w:val="clear" w:color="auto" w:fill="3B3838" w:themeFill="background2" w:themeFillShade="40"/>
            <w:vAlign w:val="center"/>
          </w:tcPr>
          <w:p w:rsidR="000D2E05" w:rsidRPr="00084D60" w:rsidP="006950C7" w14:paraId="1FBBE95A" w14:textId="42581685">
            <w:pPr>
              <w:jc w:val="right"/>
              <w:rPr>
                <w:sz w:val="21"/>
                <w:szCs w:val="21"/>
              </w:rPr>
            </w:pPr>
          </w:p>
        </w:tc>
        <w:tc>
          <w:tcPr>
            <w:tcW w:w="1260" w:type="dxa"/>
            <w:vAlign w:val="center"/>
          </w:tcPr>
          <w:p w:rsidR="000D2E05" w:rsidRPr="00084D60" w:rsidP="006950C7" w14:paraId="06F3E8BB" w14:textId="1A390FAC">
            <w:pPr>
              <w:jc w:val="right"/>
              <w:rPr>
                <w:b/>
                <w:bCs/>
                <w:sz w:val="21"/>
                <w:szCs w:val="21"/>
              </w:rPr>
            </w:pPr>
            <w:r w:rsidRPr="00084D60">
              <w:rPr>
                <w:b/>
                <w:bCs/>
                <w:sz w:val="21"/>
                <w:szCs w:val="21"/>
              </w:rPr>
              <w:t>132.5</w:t>
            </w:r>
          </w:p>
        </w:tc>
        <w:tc>
          <w:tcPr>
            <w:tcW w:w="900" w:type="dxa"/>
            <w:shd w:val="clear" w:color="auto" w:fill="3B3838" w:themeFill="background2" w:themeFillShade="40"/>
          </w:tcPr>
          <w:p w:rsidR="000D2E05" w:rsidRPr="00084D60" w:rsidP="006950C7" w14:paraId="3D85A7D7" w14:textId="77777777">
            <w:pPr>
              <w:jc w:val="right"/>
              <w:rPr>
                <w:b/>
                <w:bCs/>
                <w:sz w:val="21"/>
                <w:szCs w:val="21"/>
              </w:rPr>
            </w:pPr>
          </w:p>
        </w:tc>
        <w:tc>
          <w:tcPr>
            <w:tcW w:w="1080" w:type="dxa"/>
          </w:tcPr>
          <w:p w:rsidR="000D2E05" w:rsidRPr="00084D60" w:rsidP="006950C7" w14:paraId="5BD2AED7" w14:textId="52DF1A65">
            <w:pPr>
              <w:jc w:val="right"/>
              <w:rPr>
                <w:b/>
                <w:bCs/>
                <w:sz w:val="21"/>
                <w:szCs w:val="21"/>
              </w:rPr>
            </w:pPr>
            <w:r w:rsidRPr="00084D60">
              <w:rPr>
                <w:b/>
                <w:bCs/>
                <w:sz w:val="21"/>
                <w:szCs w:val="21"/>
              </w:rPr>
              <w:t>$</w:t>
            </w:r>
            <w:r w:rsidRPr="00084D60" w:rsidR="00D70FD7">
              <w:rPr>
                <w:b/>
                <w:bCs/>
                <w:sz w:val="21"/>
                <w:szCs w:val="21"/>
              </w:rPr>
              <w:t>5</w:t>
            </w:r>
            <w:r w:rsidRPr="00084D60" w:rsidR="000A2546">
              <w:rPr>
                <w:b/>
                <w:bCs/>
                <w:sz w:val="21"/>
                <w:szCs w:val="21"/>
              </w:rPr>
              <w:t>,</w:t>
            </w:r>
            <w:r w:rsidRPr="00084D60" w:rsidR="00D70FD7">
              <w:rPr>
                <w:b/>
                <w:bCs/>
                <w:sz w:val="21"/>
                <w:szCs w:val="21"/>
              </w:rPr>
              <w:t>167</w:t>
            </w:r>
            <w:r w:rsidRPr="00084D60" w:rsidR="000A2546">
              <w:rPr>
                <w:b/>
                <w:bCs/>
                <w:sz w:val="21"/>
                <w:szCs w:val="21"/>
              </w:rPr>
              <w:t>.50</w:t>
            </w:r>
          </w:p>
        </w:tc>
      </w:tr>
    </w:tbl>
    <w:p w:rsidR="00761849" w:rsidRPr="00715B40" w:rsidP="00E02770" w14:paraId="6C9A9616" w14:textId="77777777">
      <w:pPr>
        <w:ind w:left="720"/>
        <w:jc w:val="both"/>
        <w:rPr>
          <w:bCs/>
          <w:color w:val="0066FF"/>
          <w:sz w:val="22"/>
          <w:szCs w:val="22"/>
        </w:rPr>
      </w:pPr>
    </w:p>
    <w:p w:rsidR="0074224C" w:rsidRPr="00E41CB0" w:rsidP="0074224C" w14:paraId="2F8EB148" w14:textId="032DD9FB">
      <w:r>
        <w:t>The cost to respondents is b</w:t>
      </w:r>
      <w:r w:rsidRPr="00E41CB0">
        <w:t xml:space="preserve">ased on the </w:t>
      </w:r>
      <w:r>
        <w:t xml:space="preserve">2025 GS-11 RUS salary table with an hourly </w:t>
      </w:r>
      <w:r w:rsidRPr="00E41CB0">
        <w:t>labor rate of $3</w:t>
      </w:r>
      <w:r>
        <w:t>9</w:t>
      </w:r>
      <w:r w:rsidRPr="00E41CB0">
        <w:t xml:space="preserve"> per hour</w:t>
      </w:r>
      <w:r>
        <w:t xml:space="preserve">. The </w:t>
      </w:r>
      <w:r w:rsidRPr="00E41CB0">
        <w:t xml:space="preserve">total annual cost to respondents is </w:t>
      </w:r>
      <w:r>
        <w:t xml:space="preserve">estimated to be </w:t>
      </w:r>
      <w:r w:rsidRPr="00E41CB0">
        <w:t>$</w:t>
      </w:r>
      <w:r w:rsidR="00D70FD7">
        <w:t>5,167.50</w:t>
      </w:r>
      <w:r w:rsidRPr="00E41CB0">
        <w:t>.</w:t>
      </w:r>
      <w:bookmarkStart w:id="0" w:name="_Hlk75847371"/>
    </w:p>
    <w:bookmarkEnd w:id="0"/>
    <w:p w:rsidR="00C43B19" w:rsidRPr="00715B40" w:rsidP="00D4752E" w14:paraId="3E2D20CA" w14:textId="77777777">
      <w:pPr>
        <w:rPr>
          <w:sz w:val="22"/>
          <w:szCs w:val="22"/>
        </w:rPr>
      </w:pPr>
    </w:p>
    <w:p w:rsidR="00D4752E" w:rsidRPr="00715B40" w:rsidP="00D4752E" w14:paraId="5712792A" w14:textId="77777777">
      <w:pPr>
        <w:rPr>
          <w:b/>
          <w:sz w:val="22"/>
          <w:szCs w:val="22"/>
        </w:rPr>
      </w:pPr>
      <w:r w:rsidRPr="00715B40">
        <w:rPr>
          <w:b/>
          <w:sz w:val="22"/>
          <w:szCs w:val="22"/>
        </w:rPr>
        <w:t>13.</w:t>
      </w:r>
      <w:r w:rsidRPr="00715B40">
        <w:rPr>
          <w:b/>
          <w:sz w:val="22"/>
          <w:szCs w:val="22"/>
        </w:rPr>
        <w:tab/>
        <w:t>Capital start-up or on-going operation and maintenance costs.</w:t>
      </w:r>
    </w:p>
    <w:p w:rsidR="00906D5B" w:rsidRPr="00715B40" w:rsidP="00E02770" w14:paraId="09C11951" w14:textId="77777777">
      <w:pPr>
        <w:ind w:left="720"/>
        <w:rPr>
          <w:bCs/>
          <w:sz w:val="22"/>
          <w:szCs w:val="22"/>
          <w:highlight w:val="yellow"/>
        </w:rPr>
      </w:pPr>
    </w:p>
    <w:p w:rsidR="00D4752E" w:rsidRPr="00715B40" w:rsidP="00E02770" w14:paraId="19EEF9B3" w14:textId="728C41B1">
      <w:pPr>
        <w:ind w:left="720"/>
        <w:rPr>
          <w:sz w:val="22"/>
          <w:szCs w:val="22"/>
        </w:rPr>
      </w:pPr>
      <w:r w:rsidRPr="00715B40">
        <w:rPr>
          <w:bCs/>
          <w:sz w:val="22"/>
          <w:szCs w:val="22"/>
        </w:rPr>
        <w:t>There are no capital start-up or maintenance costs.</w:t>
      </w:r>
    </w:p>
    <w:p w:rsidR="00D32B9C" w:rsidRPr="00715B40" w:rsidP="00D32B9C" w14:paraId="2ECC74F2" w14:textId="77777777">
      <w:pPr>
        <w:rPr>
          <w:color w:val="0066FF"/>
          <w:sz w:val="22"/>
          <w:szCs w:val="22"/>
        </w:rPr>
      </w:pPr>
    </w:p>
    <w:p w:rsidR="00D4752E" w:rsidRPr="00715B40" w:rsidP="00D4752E" w14:paraId="7FEE09A9" w14:textId="77777777">
      <w:pPr>
        <w:rPr>
          <w:b/>
          <w:sz w:val="22"/>
          <w:szCs w:val="22"/>
        </w:rPr>
      </w:pPr>
      <w:r w:rsidRPr="00715B40">
        <w:rPr>
          <w:b/>
          <w:sz w:val="22"/>
          <w:szCs w:val="22"/>
        </w:rPr>
        <w:t>14.</w:t>
      </w:r>
      <w:r w:rsidRPr="00715B40">
        <w:rPr>
          <w:b/>
          <w:sz w:val="22"/>
          <w:szCs w:val="22"/>
        </w:rPr>
        <w:tab/>
        <w:t>Annualized costs to Federal government.</w:t>
      </w:r>
    </w:p>
    <w:p w:rsidR="0074742B" w:rsidRPr="00084D60" w:rsidP="00A91448" w14:paraId="00D3FE25" w14:textId="77777777">
      <w:pPr>
        <w:ind w:left="720"/>
        <w:rPr>
          <w:bCs/>
          <w:sz w:val="22"/>
          <w:szCs w:val="22"/>
        </w:rPr>
      </w:pPr>
    </w:p>
    <w:p w:rsidR="0036120B" w:rsidP="00972D09" w14:paraId="063A8AA2" w14:textId="5F8619FC">
      <w:pPr>
        <w:pStyle w:val="Level1"/>
        <w:numPr>
          <w:ilvl w:val="0"/>
          <w:numId w:val="0"/>
        </w:numPr>
        <w:tabs>
          <w:tab w:val="left" w:pos="900"/>
        </w:tabs>
        <w:ind w:left="720"/>
        <w:outlineLvl w:val="9"/>
        <w:rPr>
          <w:bCs/>
          <w:sz w:val="22"/>
          <w:szCs w:val="22"/>
        </w:rPr>
      </w:pPr>
      <w:r w:rsidRPr="009119FD">
        <w:rPr>
          <w:bCs/>
          <w:sz w:val="22"/>
          <w:szCs w:val="22"/>
        </w:rPr>
        <w:t>It is estimated that a CU-</w:t>
      </w:r>
      <w:r>
        <w:rPr>
          <w:bCs/>
          <w:sz w:val="22"/>
          <w:szCs w:val="22"/>
        </w:rPr>
        <w:t>8</w:t>
      </w:r>
      <w:r w:rsidRPr="009119FD">
        <w:rPr>
          <w:bCs/>
          <w:sz w:val="22"/>
          <w:szCs w:val="22"/>
        </w:rPr>
        <w:t xml:space="preserve"> analyst </w:t>
      </w:r>
      <w:r w:rsidR="00972D09">
        <w:rPr>
          <w:bCs/>
          <w:sz w:val="22"/>
          <w:szCs w:val="22"/>
        </w:rPr>
        <w:t>will spend</w:t>
      </w:r>
      <w:r w:rsidRPr="009119FD">
        <w:rPr>
          <w:bCs/>
          <w:sz w:val="22"/>
          <w:szCs w:val="22"/>
        </w:rPr>
        <w:t xml:space="preserve"> </w:t>
      </w:r>
      <w:r>
        <w:rPr>
          <w:bCs/>
          <w:sz w:val="22"/>
          <w:szCs w:val="22"/>
        </w:rPr>
        <w:t xml:space="preserve">15 minutes reviewing </w:t>
      </w:r>
      <w:r w:rsidR="00695D67">
        <w:rPr>
          <w:bCs/>
          <w:sz w:val="22"/>
          <w:szCs w:val="22"/>
        </w:rPr>
        <w:t>the NCUA Team Request Form</w:t>
      </w:r>
      <w:r w:rsidR="0093782C">
        <w:rPr>
          <w:bCs/>
          <w:sz w:val="22"/>
          <w:szCs w:val="22"/>
        </w:rPr>
        <w:t xml:space="preserve">. Based on </w:t>
      </w:r>
      <w:r w:rsidR="0093782C">
        <w:rPr>
          <w:bCs/>
          <w:sz w:val="22"/>
          <w:szCs w:val="22"/>
        </w:rPr>
        <w:t>a CU</w:t>
      </w:r>
      <w:r w:rsidR="0093782C">
        <w:rPr>
          <w:bCs/>
          <w:sz w:val="22"/>
          <w:szCs w:val="22"/>
        </w:rPr>
        <w:t xml:space="preserve">-8’s hourly wage of $35, the estimated annual cost to </w:t>
      </w:r>
      <w:r w:rsidR="00972D09">
        <w:rPr>
          <w:bCs/>
          <w:sz w:val="22"/>
          <w:szCs w:val="22"/>
        </w:rPr>
        <w:t>the Federal government is</w:t>
      </w:r>
      <w:r w:rsidR="00695D67">
        <w:rPr>
          <w:bCs/>
          <w:sz w:val="22"/>
          <w:szCs w:val="22"/>
        </w:rPr>
        <w:t xml:space="preserve"> </w:t>
      </w:r>
      <w:r w:rsidRPr="009119FD">
        <w:rPr>
          <w:bCs/>
          <w:sz w:val="22"/>
          <w:szCs w:val="22"/>
        </w:rPr>
        <w:t>$</w:t>
      </w:r>
      <w:r w:rsidR="00695D67">
        <w:rPr>
          <w:bCs/>
          <w:sz w:val="22"/>
          <w:szCs w:val="22"/>
        </w:rPr>
        <w:t>262.50</w:t>
      </w:r>
      <w:r w:rsidR="00972D09">
        <w:rPr>
          <w:bCs/>
          <w:sz w:val="22"/>
          <w:szCs w:val="22"/>
        </w:rPr>
        <w:t>.</w:t>
      </w:r>
    </w:p>
    <w:p w:rsidR="00972D09" w:rsidRPr="00715B40" w:rsidP="00084D60" w14:paraId="1DDE8A6E" w14:textId="77777777">
      <w:pPr>
        <w:pStyle w:val="Level1"/>
        <w:numPr>
          <w:ilvl w:val="0"/>
          <w:numId w:val="0"/>
        </w:numPr>
        <w:tabs>
          <w:tab w:val="left" w:pos="900"/>
        </w:tabs>
        <w:ind w:left="720"/>
        <w:outlineLvl w:val="9"/>
        <w:rPr>
          <w:color w:val="0066FF"/>
          <w:sz w:val="22"/>
          <w:szCs w:val="22"/>
        </w:rPr>
      </w:pPr>
    </w:p>
    <w:p w:rsidR="00D4752E" w:rsidRPr="00715B40" w:rsidP="00D4752E" w14:paraId="2AA0FF9B" w14:textId="77777777">
      <w:pPr>
        <w:rPr>
          <w:b/>
          <w:sz w:val="22"/>
          <w:szCs w:val="22"/>
        </w:rPr>
      </w:pPr>
      <w:r w:rsidRPr="00715B40">
        <w:rPr>
          <w:b/>
          <w:sz w:val="22"/>
          <w:szCs w:val="22"/>
        </w:rPr>
        <w:t>15.</w:t>
      </w:r>
      <w:r w:rsidRPr="00715B40">
        <w:rPr>
          <w:b/>
          <w:sz w:val="22"/>
          <w:szCs w:val="22"/>
        </w:rPr>
        <w:tab/>
        <w:t>Changes in burden.</w:t>
      </w:r>
    </w:p>
    <w:p w:rsidR="0074742B" w:rsidP="009F528B" w14:paraId="5C2DCA28" w14:textId="77777777">
      <w:pPr>
        <w:ind w:left="720"/>
        <w:rPr>
          <w:bCs/>
          <w:sz w:val="22"/>
          <w:szCs w:val="22"/>
        </w:rPr>
      </w:pPr>
    </w:p>
    <w:p w:rsidR="00D4752E" w:rsidRPr="00715B40" w:rsidP="009F528B" w14:paraId="18F1141C" w14:textId="491C4271">
      <w:pPr>
        <w:ind w:left="720"/>
        <w:rPr>
          <w:color w:val="0066FF"/>
          <w:sz w:val="22"/>
          <w:szCs w:val="22"/>
        </w:rPr>
      </w:pPr>
      <w:r w:rsidRPr="00715B40">
        <w:rPr>
          <w:bCs/>
          <w:sz w:val="22"/>
          <w:szCs w:val="22"/>
        </w:rPr>
        <w:t xml:space="preserve">Not applicable. </w:t>
      </w:r>
      <w:r w:rsidRPr="00715B40" w:rsidR="007A20C6">
        <w:rPr>
          <w:bCs/>
          <w:sz w:val="22"/>
          <w:szCs w:val="22"/>
        </w:rPr>
        <w:t>This is a new information collection request</w:t>
      </w:r>
      <w:r w:rsidRPr="00715B40" w:rsidR="007A20C6">
        <w:rPr>
          <w:bCs/>
          <w:color w:val="0066FF"/>
          <w:sz w:val="22"/>
          <w:szCs w:val="22"/>
        </w:rPr>
        <w:t>.</w:t>
      </w:r>
    </w:p>
    <w:p w:rsidR="00D4752E" w:rsidRPr="00715B40" w:rsidP="00D32B9C" w14:paraId="6F22B92C" w14:textId="77777777">
      <w:pPr>
        <w:rPr>
          <w:sz w:val="22"/>
          <w:szCs w:val="22"/>
        </w:rPr>
      </w:pPr>
    </w:p>
    <w:p w:rsidR="00D4752E" w:rsidRPr="00715B40" w:rsidP="00D4752E" w14:paraId="2226C625" w14:textId="77777777">
      <w:pPr>
        <w:rPr>
          <w:b/>
          <w:sz w:val="22"/>
          <w:szCs w:val="22"/>
        </w:rPr>
      </w:pPr>
      <w:r w:rsidRPr="00715B40">
        <w:rPr>
          <w:b/>
          <w:sz w:val="22"/>
          <w:szCs w:val="22"/>
        </w:rPr>
        <w:t>16.</w:t>
      </w:r>
      <w:r w:rsidRPr="00715B40">
        <w:rPr>
          <w:b/>
          <w:sz w:val="22"/>
          <w:szCs w:val="22"/>
        </w:rPr>
        <w:tab/>
        <w:t>Information collection planned for statistical purposes.</w:t>
      </w:r>
    </w:p>
    <w:p w:rsidR="0074742B" w:rsidP="009F528B" w14:paraId="4E2081C2" w14:textId="77777777">
      <w:pPr>
        <w:ind w:left="720"/>
        <w:rPr>
          <w:bCs/>
          <w:sz w:val="22"/>
          <w:szCs w:val="22"/>
        </w:rPr>
      </w:pPr>
    </w:p>
    <w:p w:rsidR="00D4752E" w:rsidRPr="00715B40" w:rsidP="009F528B" w14:paraId="448C4857" w14:textId="74BE9329">
      <w:pPr>
        <w:ind w:left="720"/>
        <w:rPr>
          <w:sz w:val="22"/>
          <w:szCs w:val="22"/>
        </w:rPr>
      </w:pPr>
      <w:r w:rsidRPr="00715B40">
        <w:rPr>
          <w:bCs/>
          <w:sz w:val="22"/>
          <w:szCs w:val="22"/>
        </w:rPr>
        <w:t>The information is not used for statistical purposes or planned for publication.</w:t>
      </w:r>
    </w:p>
    <w:p w:rsidR="00D4752E" w:rsidRPr="00715B40" w:rsidP="00D32B9C" w14:paraId="70CD5E66" w14:textId="2BA46520">
      <w:pPr>
        <w:suppressAutoHyphens/>
        <w:rPr>
          <w:sz w:val="22"/>
          <w:szCs w:val="22"/>
        </w:rPr>
      </w:pPr>
    </w:p>
    <w:p w:rsidR="00D4752E" w:rsidRPr="00715B40" w:rsidP="00D4752E" w14:paraId="11AB709C" w14:textId="77777777">
      <w:pPr>
        <w:rPr>
          <w:b/>
          <w:sz w:val="22"/>
          <w:szCs w:val="22"/>
        </w:rPr>
      </w:pPr>
      <w:r w:rsidRPr="00715B40">
        <w:rPr>
          <w:b/>
          <w:sz w:val="22"/>
          <w:szCs w:val="22"/>
        </w:rPr>
        <w:t>17.</w:t>
      </w:r>
      <w:r w:rsidRPr="00715B40">
        <w:rPr>
          <w:b/>
          <w:sz w:val="22"/>
          <w:szCs w:val="22"/>
        </w:rPr>
        <w:tab/>
        <w:t>Request non-display the expiration date of the OMB control number.</w:t>
      </w:r>
    </w:p>
    <w:p w:rsidR="0074742B" w:rsidP="009F528B" w14:paraId="16A08908" w14:textId="77777777">
      <w:pPr>
        <w:ind w:left="720"/>
        <w:jc w:val="both"/>
        <w:rPr>
          <w:bCs/>
          <w:sz w:val="22"/>
          <w:szCs w:val="22"/>
        </w:rPr>
      </w:pPr>
    </w:p>
    <w:p w:rsidR="00D4752E" w:rsidRPr="00715B40" w:rsidP="009F528B" w14:paraId="790BC664" w14:textId="4441427D">
      <w:pPr>
        <w:ind w:left="720"/>
        <w:jc w:val="both"/>
        <w:rPr>
          <w:sz w:val="22"/>
          <w:szCs w:val="22"/>
        </w:rPr>
      </w:pPr>
      <w:r w:rsidRPr="00715B40">
        <w:rPr>
          <w:bCs/>
          <w:sz w:val="22"/>
          <w:szCs w:val="22"/>
        </w:rPr>
        <w:t>Not applicable.</w:t>
      </w:r>
    </w:p>
    <w:p w:rsidR="00D4752E" w:rsidRPr="00715B40" w:rsidP="00D4752E" w14:paraId="3AE9266D" w14:textId="77777777">
      <w:pPr>
        <w:rPr>
          <w:sz w:val="22"/>
          <w:szCs w:val="22"/>
        </w:rPr>
      </w:pPr>
    </w:p>
    <w:p w:rsidR="00D4752E" w:rsidRPr="00715B40" w:rsidP="00D4752E" w14:paraId="1D73F8CB" w14:textId="77777777">
      <w:pPr>
        <w:rPr>
          <w:b/>
          <w:sz w:val="22"/>
          <w:szCs w:val="22"/>
        </w:rPr>
      </w:pPr>
      <w:r w:rsidRPr="00715B40">
        <w:rPr>
          <w:b/>
          <w:sz w:val="22"/>
          <w:szCs w:val="22"/>
        </w:rPr>
        <w:t>18.</w:t>
      </w:r>
      <w:r w:rsidRPr="00715B40">
        <w:rPr>
          <w:b/>
          <w:sz w:val="22"/>
          <w:szCs w:val="22"/>
        </w:rPr>
        <w:tab/>
        <w:t>Exceptions to Certification for Paperwork Reduction Act Submissions</w:t>
      </w:r>
    </w:p>
    <w:p w:rsidR="0074742B" w:rsidP="009B2422" w14:paraId="50165B25" w14:textId="77777777">
      <w:pPr>
        <w:ind w:left="720"/>
        <w:rPr>
          <w:bCs/>
          <w:sz w:val="22"/>
          <w:szCs w:val="22"/>
        </w:rPr>
      </w:pPr>
    </w:p>
    <w:p w:rsidR="00D4752E" w:rsidRPr="00715B40" w:rsidP="009B2422" w14:paraId="504EB767" w14:textId="1E80D920">
      <w:pPr>
        <w:ind w:left="720"/>
        <w:rPr>
          <w:sz w:val="22"/>
          <w:szCs w:val="22"/>
        </w:rPr>
      </w:pPr>
      <w:r w:rsidRPr="00715B40">
        <w:rPr>
          <w:bCs/>
          <w:sz w:val="22"/>
          <w:szCs w:val="22"/>
        </w:rPr>
        <w:t>There are no exceptions to the certification statement.</w:t>
      </w:r>
    </w:p>
    <w:p w:rsidR="00D4752E" w:rsidRPr="00715B40" w:rsidP="00D4752E" w14:paraId="4EFF9321" w14:textId="77777777">
      <w:pPr>
        <w:suppressAutoHyphens/>
        <w:ind w:left="720" w:hanging="720"/>
        <w:rPr>
          <w:caps/>
          <w:sz w:val="22"/>
          <w:szCs w:val="22"/>
        </w:rPr>
      </w:pPr>
    </w:p>
    <w:p w:rsidR="00D4752E" w:rsidRPr="00715B40" w:rsidP="00D4752E" w14:paraId="3DBC33CD" w14:textId="77777777">
      <w:pPr>
        <w:pStyle w:val="ListParagraph"/>
        <w:numPr>
          <w:ilvl w:val="0"/>
          <w:numId w:val="1"/>
        </w:numPr>
        <w:suppressAutoHyphens/>
        <w:ind w:left="720" w:hanging="720"/>
        <w:rPr>
          <w:b/>
          <w:caps/>
          <w:sz w:val="22"/>
          <w:szCs w:val="22"/>
        </w:rPr>
      </w:pPr>
      <w:r w:rsidRPr="00715B40">
        <w:rPr>
          <w:b/>
          <w:caps/>
          <w:sz w:val="22"/>
          <w:szCs w:val="22"/>
        </w:rPr>
        <w:t>Collections of Information Employing Statistical Methods</w:t>
      </w:r>
    </w:p>
    <w:p w:rsidR="0074742B" w:rsidP="00DF38DA" w14:paraId="5E3E156F" w14:textId="77777777">
      <w:pPr>
        <w:ind w:left="720"/>
        <w:rPr>
          <w:sz w:val="22"/>
          <w:szCs w:val="22"/>
        </w:rPr>
      </w:pPr>
    </w:p>
    <w:p w:rsidR="00D4752E" w:rsidRPr="00715B40" w:rsidP="00DF38DA" w14:paraId="781C1F01" w14:textId="0513A8C4">
      <w:pPr>
        <w:ind w:left="720"/>
        <w:rPr>
          <w:sz w:val="22"/>
          <w:szCs w:val="22"/>
        </w:rPr>
      </w:pPr>
      <w:r w:rsidRPr="00715B40">
        <w:rPr>
          <w:sz w:val="22"/>
          <w:szCs w:val="22"/>
        </w:rPr>
        <w:t>This collection does not employ statistical methods.</w:t>
      </w:r>
    </w:p>
    <w:p w:rsidR="00D4752E" w:rsidRPr="00715B40" w:rsidP="00D4752E" w14:paraId="69DE59E7" w14:textId="77777777">
      <w:pPr>
        <w:suppressAutoHyphens/>
        <w:ind w:left="720" w:hanging="720"/>
        <w:rPr>
          <w:sz w:val="22"/>
          <w:szCs w:val="22"/>
        </w:rPr>
      </w:pPr>
    </w:p>
    <w:p w:rsidR="00D4752E" w:rsidRPr="00715B40" w:rsidP="00D4752E" w14:paraId="3A1DC951" w14:textId="637EDF38">
      <w:pPr>
        <w:suppressAutoHyphens/>
        <w:ind w:left="720" w:hanging="720"/>
        <w:rPr>
          <w:sz w:val="22"/>
          <w:szCs w:val="22"/>
        </w:rPr>
      </w:pPr>
      <w:r w:rsidRPr="00715B40">
        <w:rPr>
          <w:sz w:val="22"/>
          <w:szCs w:val="22"/>
        </w:rPr>
        <w:tab/>
        <w:t xml:space="preserve"> </w:t>
      </w:r>
    </w:p>
    <w:p w:rsidR="00D4752E" w:rsidRPr="00715B40" w14:paraId="6D883B3E" w14:textId="77777777">
      <w:pPr>
        <w:rPr>
          <w:sz w:val="22"/>
          <w:szCs w:val="22"/>
        </w:rPr>
      </w:pPr>
    </w:p>
    <w:sectPr w:rsidSect="00AB209A">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iCs/>
      </w:rPr>
      <w:id w:val="906807954"/>
      <w:docPartObj>
        <w:docPartGallery w:val="Page Numbers (Bottom of Page)"/>
        <w:docPartUnique/>
      </w:docPartObj>
    </w:sdtPr>
    <w:sdtEndPr>
      <w:rPr>
        <w:noProof/>
        <w:sz w:val="20"/>
        <w:szCs w:val="20"/>
      </w:rPr>
    </w:sdtEndPr>
    <w:sdtContent>
      <w:p w:rsidR="007969CC" w:rsidRPr="00AB209A" w:rsidP="00AB209A" w14:paraId="23C0ECD6" w14:textId="1D88EF33">
        <w:pPr>
          <w:spacing w:line="480" w:lineRule="auto"/>
          <w:rPr>
            <w:b/>
            <w:sz w:val="20"/>
            <w:szCs w:val="20"/>
          </w:rPr>
        </w:pPr>
        <w:r w:rsidRPr="00AB209A">
          <w:rPr>
            <w:b/>
            <w:sz w:val="20"/>
            <w:szCs w:val="20"/>
          </w:rPr>
          <w:t>3133-</w:t>
        </w:r>
        <w:sdt>
          <w:sdtPr>
            <w:rPr>
              <w:b/>
              <w:sz w:val="20"/>
              <w:szCs w:val="20"/>
            </w:rPr>
            <w:id w:val="462858259"/>
            <w:placeholder>
              <w:docPart w:val="1615D881773241C5B81747B6932549FD"/>
            </w:placeholder>
            <w:dropDownList w:lastValue="NEW">
              <w:listItem w:value="Choose an item."/>
              <w:listItem w:value="NEW" w:displayText="NEW"/>
              <w:listItem w:value="0004" w:displayText="0004"/>
              <w:listItem w:value="0015" w:displayText="0015"/>
              <w:listItem w:value="0024" w:displayText="0024"/>
              <w:listItem w:value="0032" w:displayText="0032"/>
              <w:listItem w:value="0033" w:displayText="0033"/>
              <w:listItem w:value="0039" w:displayText="0039"/>
              <w:listItem w:value="0040" w:displayText="0040"/>
              <w:listItem w:value="0052" w:displayText="0052"/>
              <w:listItem w:value="0059" w:displayText="0059"/>
              <w:listItem w:value="0061" w:displayText="0061"/>
              <w:listItem w:value="0067" w:displayText="0067"/>
              <w:listItem w:value="0092" w:displayText="0092"/>
              <w:listItem w:value="0094" w:displayText="0094"/>
              <w:listItem w:value="0098" w:displayText="0098"/>
              <w:listItem w:value="0101" w:displayText="0101"/>
              <w:listItem w:value="0102" w:displayText="0102"/>
              <w:listItem w:value="0103" w:displayText="0103"/>
              <w:listItem w:value="0108" w:displayText="0108"/>
              <w:listItem w:value="0114" w:displayText="0114"/>
              <w:listItem w:value="0117" w:displayText="0117"/>
              <w:listItem w:value="0121" w:displayText="0121"/>
              <w:listItem w:value="0125" w:displayText="0125"/>
              <w:listItem w:value="0127" w:displayText="0127"/>
              <w:listItem w:value="0129" w:displayText="0129"/>
              <w:listItem w:value="0130" w:displayText="0130"/>
              <w:listItem w:value="0133" w:displayText="0133"/>
              <w:listItem w:value="0134" w:displayText="0134"/>
              <w:listItem w:value="0135" w:displayText="0135"/>
              <w:listItem w:value="0138" w:displayText="0138"/>
              <w:listItem w:value="0141" w:displayText="0141"/>
              <w:listItem w:value="0146" w:displayText="0146"/>
              <w:listItem w:value="0149" w:displayText="0149"/>
              <w:listItem w:value="0151" w:displayText="0151"/>
              <w:listItem w:value="0152" w:displayText="0152"/>
              <w:listItem w:value="0154" w:displayText="0154"/>
              <w:listItem w:value="0163" w:displayText="0163"/>
              <w:listItem w:value="0165" w:displayText="0165"/>
              <w:listItem w:value="0166" w:displayText="0166"/>
              <w:listItem w:value="0167" w:displayText="0167"/>
              <w:listItem w:value="0169" w:displayText="0169"/>
              <w:listItem w:value="0170" w:displayText="0170"/>
              <w:listItem w:value="0180" w:displayText="0180"/>
              <w:listItem w:value="0181" w:displayText="0181"/>
              <w:listItem w:value="0182" w:displayText="0182"/>
              <w:listItem w:value="0183" w:displayText="0183"/>
              <w:listItem w:value="0184" w:displayText="0184"/>
              <w:listItem w:value="0185" w:displayText="0185"/>
              <w:listItem w:value="0186" w:displayText="0186"/>
              <w:listItem w:value="0187" w:displayText="0187"/>
              <w:listItem w:value="0188" w:displayText="0188"/>
              <w:listItem w:value="0189" w:displayText="0189"/>
              <w:listItem w:value="0190" w:displayText="0190"/>
              <w:listItem w:value="0193" w:displayText="0193"/>
              <w:listItem w:value="0195" w:displayText="0195"/>
              <w:listItem w:value="0196" w:displayText="0196"/>
              <w:listItem w:value="0197" w:displayText="0197"/>
              <w:listItem w:value="0198" w:displayText="0198"/>
              <w:listItem w:value="0199" w:displayText="0199"/>
              <w:listItem w:value="0200" w:displayText="0200"/>
              <w:listItem w:value="0201" w:displayText="0201"/>
              <w:listItem w:value="0202" w:displayText="0202"/>
              <w:listItem w:value="0203" w:displayText="0203"/>
              <w:listItem w:value="0204" w:displayText="0204"/>
              <w:listItem w:value="0207" w:displayText="0207"/>
              <w:listItem w:value="0209" w:displayText="0209"/>
            </w:dropDownList>
            <w15:color w:val="FF0000"/>
          </w:sdtPr>
          <w:sdtContent>
            <w:r>
              <w:rPr>
                <w:b/>
                <w:sz w:val="20"/>
                <w:szCs w:val="20"/>
              </w:rPr>
              <w:t>NEW</w:t>
            </w:r>
          </w:sdtContent>
        </w:sdt>
        <w:r w:rsidRPr="00AB209A" w:rsidR="00A70166">
          <w:rPr>
            <w:b/>
            <w:i/>
            <w:iCs/>
            <w:sz w:val="20"/>
            <w:szCs w:val="20"/>
          </w:rPr>
          <w:t xml:space="preserve">; </w:t>
        </w:r>
        <w:r w:rsidRPr="00AB209A">
          <w:rPr>
            <w:b/>
            <w:i/>
            <w:iCs/>
            <w:sz w:val="20"/>
            <w:szCs w:val="20"/>
          </w:rPr>
          <w:fldChar w:fldCharType="begin"/>
        </w:r>
        <w:r w:rsidRPr="00AB209A">
          <w:rPr>
            <w:b/>
            <w:i/>
            <w:iCs/>
            <w:sz w:val="20"/>
            <w:szCs w:val="20"/>
          </w:rPr>
          <w:instrText xml:space="preserve"> DATE \@ "MMMM d, yyyy" </w:instrText>
        </w:r>
        <w:r w:rsidRPr="00AB209A">
          <w:rPr>
            <w:b/>
            <w:i/>
            <w:iCs/>
            <w:sz w:val="20"/>
            <w:szCs w:val="20"/>
          </w:rPr>
          <w:fldChar w:fldCharType="separate"/>
        </w:r>
        <w:r w:rsidR="00A2067F">
          <w:rPr>
            <w:b/>
            <w:i/>
            <w:iCs/>
            <w:noProof/>
            <w:sz w:val="20"/>
            <w:szCs w:val="20"/>
          </w:rPr>
          <w:t>January 22, 2026</w:t>
        </w:r>
        <w:r w:rsidRPr="00AB209A">
          <w:rPr>
            <w:b/>
            <w:i/>
            <w:iCs/>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307121DD"/>
    <w:multiLevelType w:val="hybridMultilevel"/>
    <w:tmpl w:val="96CC9322"/>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79061E7E"/>
    <w:multiLevelType w:val="hybridMultilevel"/>
    <w:tmpl w:val="0D5288C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58148993">
    <w:abstractNumId w:val="4"/>
  </w:num>
  <w:num w:numId="2" w16cid:durableId="1537155245">
    <w:abstractNumId w:val="5"/>
  </w:num>
  <w:num w:numId="3" w16cid:durableId="79070934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05208594">
    <w:abstractNumId w:val="7"/>
  </w:num>
  <w:num w:numId="5" w16cid:durableId="184184971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6" w16cid:durableId="2003777589">
    <w:abstractNumId w:val="2"/>
  </w:num>
  <w:num w:numId="7" w16cid:durableId="228687534">
    <w:abstractNumId w:val="6"/>
  </w:num>
  <w:num w:numId="8" w16cid:durableId="1603031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2E"/>
    <w:rsid w:val="00004A09"/>
    <w:rsid w:val="0001373A"/>
    <w:rsid w:val="00023409"/>
    <w:rsid w:val="00051F1F"/>
    <w:rsid w:val="00061E7B"/>
    <w:rsid w:val="00066C0B"/>
    <w:rsid w:val="00071298"/>
    <w:rsid w:val="000766FC"/>
    <w:rsid w:val="00084D60"/>
    <w:rsid w:val="00086FCF"/>
    <w:rsid w:val="00093DB9"/>
    <w:rsid w:val="000A111B"/>
    <w:rsid w:val="000A2546"/>
    <w:rsid w:val="000B3FC2"/>
    <w:rsid w:val="000D2E05"/>
    <w:rsid w:val="000F1B9B"/>
    <w:rsid w:val="00114534"/>
    <w:rsid w:val="001337C0"/>
    <w:rsid w:val="00134477"/>
    <w:rsid w:val="00167D69"/>
    <w:rsid w:val="0017034B"/>
    <w:rsid w:val="001B03E3"/>
    <w:rsid w:val="001F21B4"/>
    <w:rsid w:val="001F3D4D"/>
    <w:rsid w:val="0020056F"/>
    <w:rsid w:val="00207597"/>
    <w:rsid w:val="00215C26"/>
    <w:rsid w:val="00237776"/>
    <w:rsid w:val="00281A01"/>
    <w:rsid w:val="002856D7"/>
    <w:rsid w:val="00291CB5"/>
    <w:rsid w:val="002A2B6E"/>
    <w:rsid w:val="002A4E4D"/>
    <w:rsid w:val="002B136E"/>
    <w:rsid w:val="002C0446"/>
    <w:rsid w:val="002D7EE6"/>
    <w:rsid w:val="00320DBD"/>
    <w:rsid w:val="00334F64"/>
    <w:rsid w:val="0036120B"/>
    <w:rsid w:val="003722A1"/>
    <w:rsid w:val="00382848"/>
    <w:rsid w:val="00385869"/>
    <w:rsid w:val="00394F6E"/>
    <w:rsid w:val="003C04C0"/>
    <w:rsid w:val="003D1284"/>
    <w:rsid w:val="003E2758"/>
    <w:rsid w:val="003F183B"/>
    <w:rsid w:val="003F4AF5"/>
    <w:rsid w:val="00411CE1"/>
    <w:rsid w:val="0043437E"/>
    <w:rsid w:val="00435259"/>
    <w:rsid w:val="00437A83"/>
    <w:rsid w:val="004404DF"/>
    <w:rsid w:val="00442357"/>
    <w:rsid w:val="004452AD"/>
    <w:rsid w:val="00454583"/>
    <w:rsid w:val="0046260D"/>
    <w:rsid w:val="0046310E"/>
    <w:rsid w:val="00471FBD"/>
    <w:rsid w:val="00484552"/>
    <w:rsid w:val="004A5505"/>
    <w:rsid w:val="004D1F14"/>
    <w:rsid w:val="004D2130"/>
    <w:rsid w:val="004D3C19"/>
    <w:rsid w:val="004E51B2"/>
    <w:rsid w:val="004F22C0"/>
    <w:rsid w:val="004F5148"/>
    <w:rsid w:val="0050329B"/>
    <w:rsid w:val="00540A51"/>
    <w:rsid w:val="00541AAE"/>
    <w:rsid w:val="005459B3"/>
    <w:rsid w:val="00551FF5"/>
    <w:rsid w:val="00560E33"/>
    <w:rsid w:val="00570749"/>
    <w:rsid w:val="00573F86"/>
    <w:rsid w:val="00584809"/>
    <w:rsid w:val="0058579F"/>
    <w:rsid w:val="00587AC2"/>
    <w:rsid w:val="005B43D8"/>
    <w:rsid w:val="005B5A2E"/>
    <w:rsid w:val="005C3EA0"/>
    <w:rsid w:val="005D4415"/>
    <w:rsid w:val="005D47CD"/>
    <w:rsid w:val="00600FA7"/>
    <w:rsid w:val="006113D8"/>
    <w:rsid w:val="0061323E"/>
    <w:rsid w:val="00663D5B"/>
    <w:rsid w:val="0067175B"/>
    <w:rsid w:val="006737D8"/>
    <w:rsid w:val="006950C7"/>
    <w:rsid w:val="00695D67"/>
    <w:rsid w:val="006A604F"/>
    <w:rsid w:val="006B6A98"/>
    <w:rsid w:val="006C5E22"/>
    <w:rsid w:val="006C61C5"/>
    <w:rsid w:val="006C76F0"/>
    <w:rsid w:val="006F00D2"/>
    <w:rsid w:val="006F291A"/>
    <w:rsid w:val="006F5886"/>
    <w:rsid w:val="006F60F1"/>
    <w:rsid w:val="006F72C0"/>
    <w:rsid w:val="007027F9"/>
    <w:rsid w:val="0071314F"/>
    <w:rsid w:val="00715B40"/>
    <w:rsid w:val="00733E4C"/>
    <w:rsid w:val="0074224C"/>
    <w:rsid w:val="0074742B"/>
    <w:rsid w:val="0076023E"/>
    <w:rsid w:val="00761849"/>
    <w:rsid w:val="00770730"/>
    <w:rsid w:val="00781D1C"/>
    <w:rsid w:val="007969CC"/>
    <w:rsid w:val="007A20C6"/>
    <w:rsid w:val="007C791B"/>
    <w:rsid w:val="007D0A96"/>
    <w:rsid w:val="007D5040"/>
    <w:rsid w:val="00811F46"/>
    <w:rsid w:val="008162A0"/>
    <w:rsid w:val="00826F2D"/>
    <w:rsid w:val="0087322F"/>
    <w:rsid w:val="008749AA"/>
    <w:rsid w:val="00876ABE"/>
    <w:rsid w:val="00877C37"/>
    <w:rsid w:val="0089703B"/>
    <w:rsid w:val="008A23B6"/>
    <w:rsid w:val="008A282E"/>
    <w:rsid w:val="008A2EEB"/>
    <w:rsid w:val="008C604F"/>
    <w:rsid w:val="008D0AE1"/>
    <w:rsid w:val="008E7F57"/>
    <w:rsid w:val="00902024"/>
    <w:rsid w:val="00902C97"/>
    <w:rsid w:val="009052EE"/>
    <w:rsid w:val="00906D5B"/>
    <w:rsid w:val="009119FD"/>
    <w:rsid w:val="00912321"/>
    <w:rsid w:val="00913FFC"/>
    <w:rsid w:val="00914738"/>
    <w:rsid w:val="0092641F"/>
    <w:rsid w:val="009273BB"/>
    <w:rsid w:val="0093782C"/>
    <w:rsid w:val="00943F44"/>
    <w:rsid w:val="009466AE"/>
    <w:rsid w:val="009625DA"/>
    <w:rsid w:val="009632A6"/>
    <w:rsid w:val="00972D09"/>
    <w:rsid w:val="00974A74"/>
    <w:rsid w:val="00993117"/>
    <w:rsid w:val="00995162"/>
    <w:rsid w:val="009A0FB8"/>
    <w:rsid w:val="009A3787"/>
    <w:rsid w:val="009B2422"/>
    <w:rsid w:val="009B56DB"/>
    <w:rsid w:val="009C70B8"/>
    <w:rsid w:val="009E0809"/>
    <w:rsid w:val="009E25A9"/>
    <w:rsid w:val="009E43D6"/>
    <w:rsid w:val="009E58E6"/>
    <w:rsid w:val="009F528B"/>
    <w:rsid w:val="009F7123"/>
    <w:rsid w:val="00A027F7"/>
    <w:rsid w:val="00A02A97"/>
    <w:rsid w:val="00A127FE"/>
    <w:rsid w:val="00A2067F"/>
    <w:rsid w:val="00A22D97"/>
    <w:rsid w:val="00A25555"/>
    <w:rsid w:val="00A35AFB"/>
    <w:rsid w:val="00A52465"/>
    <w:rsid w:val="00A60FFB"/>
    <w:rsid w:val="00A70166"/>
    <w:rsid w:val="00A85E9B"/>
    <w:rsid w:val="00A91448"/>
    <w:rsid w:val="00A96F90"/>
    <w:rsid w:val="00AA15AB"/>
    <w:rsid w:val="00AA26E7"/>
    <w:rsid w:val="00AB209A"/>
    <w:rsid w:val="00AC5EB5"/>
    <w:rsid w:val="00AD08BB"/>
    <w:rsid w:val="00AD2EE8"/>
    <w:rsid w:val="00B7761A"/>
    <w:rsid w:val="00B80C00"/>
    <w:rsid w:val="00B85995"/>
    <w:rsid w:val="00BB3B85"/>
    <w:rsid w:val="00BC1512"/>
    <w:rsid w:val="00BC1E24"/>
    <w:rsid w:val="00BD36AE"/>
    <w:rsid w:val="00BD377D"/>
    <w:rsid w:val="00BE4D43"/>
    <w:rsid w:val="00BF5019"/>
    <w:rsid w:val="00BF57E5"/>
    <w:rsid w:val="00BF5CD2"/>
    <w:rsid w:val="00C21EB5"/>
    <w:rsid w:val="00C27572"/>
    <w:rsid w:val="00C43B19"/>
    <w:rsid w:val="00C4471E"/>
    <w:rsid w:val="00C46885"/>
    <w:rsid w:val="00C521DC"/>
    <w:rsid w:val="00C559A2"/>
    <w:rsid w:val="00C55ABE"/>
    <w:rsid w:val="00C6766E"/>
    <w:rsid w:val="00C723BE"/>
    <w:rsid w:val="00C95D0D"/>
    <w:rsid w:val="00CA2805"/>
    <w:rsid w:val="00CB1A3E"/>
    <w:rsid w:val="00CF07E2"/>
    <w:rsid w:val="00CF67CB"/>
    <w:rsid w:val="00D32B9C"/>
    <w:rsid w:val="00D4752E"/>
    <w:rsid w:val="00D624BB"/>
    <w:rsid w:val="00D70C72"/>
    <w:rsid w:val="00D70FD7"/>
    <w:rsid w:val="00D73B61"/>
    <w:rsid w:val="00D82B44"/>
    <w:rsid w:val="00D94BBA"/>
    <w:rsid w:val="00D9638F"/>
    <w:rsid w:val="00D96415"/>
    <w:rsid w:val="00D96F64"/>
    <w:rsid w:val="00DB33BF"/>
    <w:rsid w:val="00DF38DA"/>
    <w:rsid w:val="00E02770"/>
    <w:rsid w:val="00E0452E"/>
    <w:rsid w:val="00E07095"/>
    <w:rsid w:val="00E15A12"/>
    <w:rsid w:val="00E41CB0"/>
    <w:rsid w:val="00E45435"/>
    <w:rsid w:val="00E51175"/>
    <w:rsid w:val="00E94345"/>
    <w:rsid w:val="00EB53AE"/>
    <w:rsid w:val="00EC445F"/>
    <w:rsid w:val="00EE1443"/>
    <w:rsid w:val="00EE36E9"/>
    <w:rsid w:val="00EE7207"/>
    <w:rsid w:val="00EE7FB7"/>
    <w:rsid w:val="00F40314"/>
    <w:rsid w:val="00F55261"/>
    <w:rsid w:val="00F55FBA"/>
    <w:rsid w:val="00F83343"/>
    <w:rsid w:val="00F843A5"/>
    <w:rsid w:val="00F87381"/>
    <w:rsid w:val="00F919FA"/>
    <w:rsid w:val="00FA0462"/>
    <w:rsid w:val="00FA27E8"/>
    <w:rsid w:val="00FB4252"/>
    <w:rsid w:val="00FB480B"/>
    <w:rsid w:val="00FB6CCD"/>
    <w:rsid w:val="00FC1C18"/>
    <w:rsid w:val="00FC2627"/>
    <w:rsid w:val="00FD4457"/>
    <w:rsid w:val="00FE6286"/>
    <w:rsid w:val="00FF43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AAE5A"/>
  <w15:chartTrackingRefBased/>
  <w15:docId w15:val="{3609E7E4-9EAF-46FE-A939-3604EE0D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5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52E"/>
    <w:rPr>
      <w:color w:val="0000FF"/>
      <w:u w:val="single"/>
    </w:rPr>
  </w:style>
  <w:style w:type="paragraph" w:styleId="ListParagraph">
    <w:name w:val="List Paragraph"/>
    <w:basedOn w:val="Normal"/>
    <w:uiPriority w:val="34"/>
    <w:qFormat/>
    <w:rsid w:val="00D4752E"/>
    <w:pPr>
      <w:ind w:left="720"/>
      <w:contextualSpacing/>
    </w:pPr>
  </w:style>
  <w:style w:type="paragraph" w:styleId="BodyText">
    <w:name w:val="Body Text"/>
    <w:basedOn w:val="Normal"/>
    <w:link w:val="BodyTextChar"/>
    <w:rsid w:val="00D4752E"/>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D4752E"/>
    <w:rPr>
      <w:rFonts w:ascii="Arial" w:eastAsia="Times New Roman" w:hAnsi="Arial" w:cs="Times New Roman"/>
      <w:sz w:val="24"/>
      <w:szCs w:val="24"/>
    </w:rPr>
  </w:style>
  <w:style w:type="table" w:styleId="TableGrid">
    <w:name w:val="Table Grid"/>
    <w:basedOn w:val="TableNormal"/>
    <w:rsid w:val="00D4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D4752E"/>
    <w:pPr>
      <w:spacing w:after="120" w:line="480" w:lineRule="auto"/>
      <w:ind w:left="360"/>
    </w:pPr>
  </w:style>
  <w:style w:type="character" w:customStyle="1" w:styleId="BodyTextIndent2Char">
    <w:name w:val="Body Text Indent 2 Char"/>
    <w:basedOn w:val="DefaultParagraphFont"/>
    <w:link w:val="BodyTextIndent2"/>
    <w:uiPriority w:val="99"/>
    <w:rsid w:val="00D4752E"/>
    <w:rPr>
      <w:rFonts w:ascii="Times New Roman" w:eastAsia="Times New Roman" w:hAnsi="Times New Roman" w:cs="Times New Roman"/>
      <w:sz w:val="24"/>
      <w:szCs w:val="24"/>
    </w:rPr>
  </w:style>
  <w:style w:type="paragraph" w:customStyle="1" w:styleId="Level1">
    <w:name w:val="Level 1"/>
    <w:basedOn w:val="Normal"/>
    <w:rsid w:val="00D4752E"/>
    <w:pPr>
      <w:widowControl w:val="0"/>
      <w:numPr>
        <w:numId w:val="3"/>
      </w:numPr>
      <w:autoSpaceDE w:val="0"/>
      <w:autoSpaceDN w:val="0"/>
      <w:adjustRightInd w:val="0"/>
      <w:ind w:left="474" w:hanging="186"/>
      <w:outlineLvl w:val="0"/>
    </w:pPr>
  </w:style>
  <w:style w:type="paragraph" w:customStyle="1" w:styleId="Level2">
    <w:name w:val="Level 2"/>
    <w:basedOn w:val="Normal"/>
    <w:rsid w:val="00D4752E"/>
    <w:pPr>
      <w:widowControl w:val="0"/>
      <w:autoSpaceDE w:val="0"/>
      <w:autoSpaceDN w:val="0"/>
      <w:adjustRightInd w:val="0"/>
      <w:ind w:left="722" w:hanging="361"/>
    </w:pPr>
  </w:style>
  <w:style w:type="paragraph" w:styleId="Footer">
    <w:name w:val="footer"/>
    <w:basedOn w:val="Normal"/>
    <w:link w:val="FooterChar"/>
    <w:uiPriority w:val="99"/>
    <w:unhideWhenUsed/>
    <w:rsid w:val="00D4752E"/>
    <w:pPr>
      <w:tabs>
        <w:tab w:val="center" w:pos="4680"/>
        <w:tab w:val="right" w:pos="9360"/>
      </w:tabs>
    </w:pPr>
  </w:style>
  <w:style w:type="character" w:customStyle="1" w:styleId="FooterChar">
    <w:name w:val="Footer Char"/>
    <w:basedOn w:val="DefaultParagraphFont"/>
    <w:link w:val="Footer"/>
    <w:uiPriority w:val="99"/>
    <w:rsid w:val="00D4752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752E"/>
    <w:pPr>
      <w:tabs>
        <w:tab w:val="center" w:pos="4680"/>
        <w:tab w:val="right" w:pos="9360"/>
      </w:tabs>
    </w:pPr>
  </w:style>
  <w:style w:type="character" w:customStyle="1" w:styleId="HeaderChar">
    <w:name w:val="Header Char"/>
    <w:basedOn w:val="DefaultParagraphFont"/>
    <w:link w:val="Header"/>
    <w:uiPriority w:val="99"/>
    <w:rsid w:val="00D4752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C70B8"/>
    <w:rPr>
      <w:color w:val="808080"/>
    </w:rPr>
  </w:style>
  <w:style w:type="character" w:styleId="CommentReference">
    <w:name w:val="annotation reference"/>
    <w:basedOn w:val="DefaultParagraphFont"/>
    <w:uiPriority w:val="99"/>
    <w:semiHidden/>
    <w:unhideWhenUsed/>
    <w:rsid w:val="007A20C6"/>
    <w:rPr>
      <w:sz w:val="16"/>
      <w:szCs w:val="16"/>
    </w:rPr>
  </w:style>
  <w:style w:type="paragraph" w:styleId="CommentText">
    <w:name w:val="annotation text"/>
    <w:basedOn w:val="Normal"/>
    <w:link w:val="CommentTextChar"/>
    <w:uiPriority w:val="99"/>
    <w:unhideWhenUsed/>
    <w:rsid w:val="007A20C6"/>
    <w:rPr>
      <w:sz w:val="20"/>
      <w:szCs w:val="20"/>
    </w:rPr>
  </w:style>
  <w:style w:type="character" w:customStyle="1" w:styleId="CommentTextChar">
    <w:name w:val="Comment Text Char"/>
    <w:basedOn w:val="DefaultParagraphFont"/>
    <w:link w:val="CommentText"/>
    <w:uiPriority w:val="99"/>
    <w:rsid w:val="007A20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0C6"/>
    <w:rPr>
      <w:b/>
      <w:bCs/>
    </w:rPr>
  </w:style>
  <w:style w:type="character" w:customStyle="1" w:styleId="CommentSubjectChar">
    <w:name w:val="Comment Subject Char"/>
    <w:basedOn w:val="CommentTextChar"/>
    <w:link w:val="CommentSubject"/>
    <w:uiPriority w:val="99"/>
    <w:semiHidden/>
    <w:rsid w:val="007A20C6"/>
    <w:rPr>
      <w:rFonts w:ascii="Times New Roman" w:eastAsia="Times New Roman" w:hAnsi="Times New Roman" w:cs="Times New Roman"/>
      <w:b/>
      <w:bCs/>
      <w:sz w:val="20"/>
      <w:szCs w:val="20"/>
    </w:rPr>
  </w:style>
  <w:style w:type="paragraph" w:styleId="Revision">
    <w:name w:val="Revision"/>
    <w:hidden/>
    <w:uiPriority w:val="99"/>
    <w:semiHidden/>
    <w:rsid w:val="00551FF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04A09"/>
    <w:rPr>
      <w:color w:val="954F72" w:themeColor="followedHyperlink"/>
      <w:u w:val="single"/>
    </w:rPr>
  </w:style>
  <w:style w:type="character" w:styleId="UnresolvedMention">
    <w:name w:val="Unresolved Mention"/>
    <w:basedOn w:val="DefaultParagraphFont"/>
    <w:uiPriority w:val="99"/>
    <w:semiHidden/>
    <w:unhideWhenUsed/>
    <w:rsid w:val="00BD3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po.gov/fdsys/pkg/FR-2016-11-21/pdf/2016-27948.pdf"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615D881773241C5B81747B6932549FD"/>
        <w:category>
          <w:name w:val="General"/>
          <w:gallery w:val="placeholder"/>
        </w:category>
        <w:types>
          <w:type w:val="bbPlcHdr"/>
        </w:types>
        <w:behaviors>
          <w:behavior w:val="content"/>
        </w:behaviors>
        <w:guid w:val="{7C8B86D5-4A47-444B-A945-830B5BD8E0A0}"/>
      </w:docPartPr>
      <w:docPartBody>
        <w:p w:rsidR="009625DA" w:rsidP="001337C0">
          <w:pPr>
            <w:pStyle w:val="1615D881773241C5B81747B6932549FD"/>
          </w:pPr>
          <w:r w:rsidRPr="00DB33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C0"/>
    <w:rsid w:val="000425AF"/>
    <w:rsid w:val="00051F1F"/>
    <w:rsid w:val="00120ADE"/>
    <w:rsid w:val="001337C0"/>
    <w:rsid w:val="00326D02"/>
    <w:rsid w:val="004D1F14"/>
    <w:rsid w:val="00510A4C"/>
    <w:rsid w:val="00584809"/>
    <w:rsid w:val="0061323E"/>
    <w:rsid w:val="00770730"/>
    <w:rsid w:val="00826F2D"/>
    <w:rsid w:val="00877C37"/>
    <w:rsid w:val="0092641F"/>
    <w:rsid w:val="00955F09"/>
    <w:rsid w:val="009625DA"/>
    <w:rsid w:val="009632A6"/>
    <w:rsid w:val="009E0809"/>
    <w:rsid w:val="00A25555"/>
    <w:rsid w:val="00A25FF8"/>
    <w:rsid w:val="00A7379E"/>
    <w:rsid w:val="00A77E7F"/>
    <w:rsid w:val="00BB450B"/>
    <w:rsid w:val="00C43F4E"/>
    <w:rsid w:val="00CA1EE6"/>
    <w:rsid w:val="00CA2805"/>
    <w:rsid w:val="00D860CD"/>
    <w:rsid w:val="00F1113C"/>
    <w:rsid w:val="00F55261"/>
    <w:rsid w:val="00F83343"/>
    <w:rsid w:val="00FA0462"/>
    <w:rsid w:val="00FC02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0CD"/>
    <w:rPr>
      <w:color w:val="808080"/>
    </w:rPr>
  </w:style>
  <w:style w:type="paragraph" w:customStyle="1" w:styleId="1615D881773241C5B81747B6932549FD">
    <w:name w:val="1615D881773241C5B81747B6932549FD"/>
    <w:rsid w:val="00133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87378-6F84-4344-A835-76D62A6C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4305</Characters>
  <Application>Microsoft Office Word</Application>
  <DocSecurity>0</DocSecurity>
  <Lines>177</Lines>
  <Paragraphs>73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Vixamar, Mahala</dc:creator>
  <cp:lastModifiedBy>Rogers, Dacia A</cp:lastModifiedBy>
  <cp:revision>3</cp:revision>
  <cp:lastPrinted>2025-08-12T13:12:00Z</cp:lastPrinted>
  <dcterms:created xsi:type="dcterms:W3CDTF">2026-01-22T12:11:00Z</dcterms:created>
  <dcterms:modified xsi:type="dcterms:W3CDTF">2026-01-22T13:37:00Z</dcterms:modified>
</cp:coreProperties>
</file>