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50CA548" w:rsidRPr="00A06BE2" w:rsidP="22A67122" w14:paraId="37B94DB0" w14:textId="6066E9C7">
      <w:pPr>
        <w:jc w:val="center"/>
        <w:rPr>
          <w:rFonts w:ascii="Times New Roman" w:hAnsi="Times New Roman"/>
        </w:rPr>
      </w:pPr>
      <w:r w:rsidRPr="4B02738B">
        <w:rPr>
          <w:rFonts w:ascii="Times New Roman" w:hAnsi="Times New Roman"/>
        </w:rPr>
        <w:t>US Small Business Administration</w:t>
      </w:r>
    </w:p>
    <w:p w:rsidR="150CA548" w:rsidRPr="00A06BE2" w:rsidP="22A67122" w14:paraId="038FA334" w14:textId="5CA013ED">
      <w:pPr>
        <w:tabs>
          <w:tab w:val="center" w:pos="4680"/>
        </w:tabs>
        <w:jc w:val="center"/>
        <w:rPr>
          <w:rFonts w:ascii="Times New Roman" w:hAnsi="Times New Roman"/>
        </w:rPr>
      </w:pPr>
      <w:r w:rsidRPr="4B02738B">
        <w:rPr>
          <w:rFonts w:ascii="Times New Roman" w:hAnsi="Times New Roman"/>
        </w:rPr>
        <w:t>SBA Form 1366, Borrower’s Progress Certification</w:t>
      </w:r>
    </w:p>
    <w:p w:rsidR="150CA548" w:rsidRPr="00A06BE2" w:rsidP="22A67122" w14:paraId="1F2D6435" w14:textId="5DA6E4BA">
      <w:pPr>
        <w:jc w:val="center"/>
        <w:rPr>
          <w:rFonts w:ascii="Times New Roman" w:hAnsi="Times New Roman"/>
        </w:rPr>
      </w:pPr>
      <w:r w:rsidRPr="4B02738B">
        <w:rPr>
          <w:rFonts w:ascii="Times New Roman" w:hAnsi="Times New Roman"/>
        </w:rPr>
        <w:t>OMB Control Number 3245-0110</w:t>
      </w:r>
    </w:p>
    <w:p w:rsidR="150CA548" w:rsidRPr="00A06BE2" w:rsidP="22A67122" w14:paraId="1CAFBA12" w14:textId="3ADB7FDF">
      <w:pPr>
        <w:jc w:val="center"/>
        <w:rPr>
          <w:rFonts w:ascii="Times New Roman" w:hAnsi="Times New Roman"/>
        </w:rPr>
      </w:pPr>
      <w:r w:rsidRPr="4B02738B">
        <w:rPr>
          <w:rFonts w:ascii="Times New Roman" w:hAnsi="Times New Roman"/>
        </w:rPr>
        <w:t>Justification – Part A Supporting Statement</w:t>
      </w:r>
    </w:p>
    <w:p w:rsidR="22A67122" w:rsidP="22A67122" w14:paraId="2C0CEA39" w14:textId="74F4D2D9">
      <w:pPr>
        <w:widowControl w:val="0"/>
        <w:jc w:val="center"/>
        <w:rPr>
          <w:rFonts w:ascii="Times New Roman" w:hAnsi="Times New Roman"/>
        </w:rPr>
      </w:pP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B20F59" w:rsidP="00F92988" w14:paraId="5A4044F2" w14:textId="0FC60C21">
      <w:pPr>
        <w:widowControl w:val="0"/>
        <w:rPr>
          <w:rFonts w:ascii="Times New Roman" w:hAnsi="Times New Roman"/>
          <w:u w:val="single"/>
        </w:rPr>
      </w:pPr>
      <w:r w:rsidRPr="00B20F59">
        <w:rPr>
          <w:rFonts w:ascii="Times New Roman" w:hAnsi="Times New Roman"/>
          <w:u w:val="single"/>
        </w:rPr>
        <w:t>Overview of Information Collection</w:t>
      </w:r>
      <w:r w:rsidR="00AB753E">
        <w:rPr>
          <w:rFonts w:ascii="Times New Roman" w:hAnsi="Times New Roman"/>
          <w:u w:val="single"/>
        </w:rPr>
        <w:t>:</w:t>
      </w:r>
    </w:p>
    <w:p w:rsidR="00AB753E" w:rsidP="00F92988" w14:paraId="1F63613F" w14:textId="77777777">
      <w:pPr>
        <w:widowControl w:val="0"/>
        <w:rPr>
          <w:rFonts w:ascii="Times New Roman" w:hAnsi="Times New Roman"/>
        </w:rPr>
      </w:pPr>
    </w:p>
    <w:p w:rsidR="00FD00BB" w:rsidP="22A67122" w14:paraId="6265795D" w14:textId="7EDF5745">
      <w:pPr>
        <w:widowControl w:val="0"/>
        <w:rPr>
          <w:rFonts w:ascii="Times New Roman" w:hAnsi="Times New Roman"/>
        </w:rPr>
      </w:pPr>
      <w:r w:rsidRPr="00AB753E">
        <w:rPr>
          <w:rFonts w:ascii="Times New Roman" w:hAnsi="Times New Roman"/>
        </w:rPr>
        <w:t xml:space="preserve">This submission covers </w:t>
      </w:r>
      <w:r w:rsidRPr="00AB753E" w:rsidR="00236CE6">
        <w:rPr>
          <w:rFonts w:ascii="Times New Roman" w:hAnsi="Times New Roman"/>
        </w:rPr>
        <w:t>SBA</w:t>
      </w:r>
      <w:r w:rsidRPr="00AB753E">
        <w:rPr>
          <w:rFonts w:ascii="Times New Roman" w:hAnsi="Times New Roman"/>
        </w:rPr>
        <w:t xml:space="preserve"> Form 1366, Borrower’s Progress Certification, and associated record-keeping requirements.  The purpose of this submission is to request OMB renewal </w:t>
      </w:r>
      <w:r w:rsidRPr="00AB753E" w:rsidR="08444EDD">
        <w:rPr>
          <w:rFonts w:ascii="Times New Roman" w:hAnsi="Times New Roman"/>
        </w:rPr>
        <w:t xml:space="preserve">or extension </w:t>
      </w:r>
      <w:r w:rsidRPr="00AB753E">
        <w:rPr>
          <w:rFonts w:ascii="Times New Roman" w:hAnsi="Times New Roman"/>
        </w:rPr>
        <w:t>authorization of this form</w:t>
      </w:r>
      <w:r w:rsidR="005F4EC2">
        <w:rPr>
          <w:rFonts w:ascii="Times New Roman" w:hAnsi="Times New Roman"/>
        </w:rPr>
        <w:t xml:space="preserve"> with changes</w:t>
      </w:r>
      <w:r w:rsidRPr="00AB753E">
        <w:rPr>
          <w:rFonts w:ascii="Times New Roman" w:hAnsi="Times New Roman"/>
        </w:rPr>
        <w:t xml:space="preserve">.  </w:t>
      </w:r>
    </w:p>
    <w:p w:rsidR="00FD00BB" w:rsidP="22A67122" w14:paraId="44E4B97D" w14:textId="77777777">
      <w:pPr>
        <w:widowControl w:val="0"/>
        <w:rPr>
          <w:rFonts w:ascii="Times New Roman" w:hAnsi="Times New Roman"/>
        </w:rPr>
      </w:pPr>
    </w:p>
    <w:p w:rsidR="00FD00BB" w:rsidP="22A67122" w14:paraId="4BCE0FCA" w14:textId="307E8D8D">
      <w:pPr>
        <w:widowControl w:val="0"/>
        <w:rPr>
          <w:rFonts w:ascii="Times New Roman" w:hAnsi="Times New Roman"/>
        </w:rPr>
      </w:pPr>
      <w:r>
        <w:rPr>
          <w:rFonts w:ascii="Times New Roman" w:hAnsi="Times New Roman"/>
        </w:rPr>
        <w:t>Summary of Revisions</w:t>
      </w:r>
    </w:p>
    <w:p w:rsidR="00FD47CA" w:rsidP="22A67122" w14:paraId="2728FDBD" w14:textId="77777777">
      <w:pPr>
        <w:widowControl w:val="0"/>
        <w:rPr>
          <w:rFonts w:ascii="Times New Roman" w:hAnsi="Times New Roman"/>
        </w:rPr>
      </w:pPr>
    </w:p>
    <w:p w:rsidR="22A67122" w:rsidP="22A67122" w14:paraId="76C439EB" w14:textId="027677D2">
      <w:pPr>
        <w:widowControl w:val="0"/>
        <w:rPr>
          <w:rFonts w:ascii="Times New Roman" w:hAnsi="Times New Roman"/>
        </w:rPr>
      </w:pPr>
      <w:r>
        <w:rPr>
          <w:rFonts w:ascii="Times New Roman" w:hAnsi="Times New Roman"/>
        </w:rPr>
        <w:t xml:space="preserve">The SBA has </w:t>
      </w:r>
      <w:r w:rsidR="007766AB">
        <w:rPr>
          <w:rFonts w:ascii="Times New Roman" w:hAnsi="Times New Roman"/>
        </w:rPr>
        <w:t>incorporated</w:t>
      </w:r>
      <w:r>
        <w:rPr>
          <w:rFonts w:ascii="Times New Roman" w:hAnsi="Times New Roman"/>
        </w:rPr>
        <w:t xml:space="preserve"> a </w:t>
      </w:r>
      <w:r w:rsidR="00771BE6">
        <w:rPr>
          <w:rFonts w:ascii="Times New Roman" w:hAnsi="Times New Roman"/>
        </w:rPr>
        <w:t xml:space="preserve">modified </w:t>
      </w:r>
      <w:r w:rsidR="009B2922">
        <w:rPr>
          <w:rFonts w:ascii="Times New Roman" w:hAnsi="Times New Roman"/>
        </w:rPr>
        <w:t>version of t</w:t>
      </w:r>
      <w:r w:rsidR="00E33C93">
        <w:rPr>
          <w:rFonts w:ascii="Times New Roman" w:hAnsi="Times New Roman"/>
        </w:rPr>
        <w:t xml:space="preserve">he information collected on this form </w:t>
      </w:r>
      <w:r w:rsidR="00771BE6">
        <w:rPr>
          <w:rFonts w:ascii="Times New Roman" w:hAnsi="Times New Roman"/>
        </w:rPr>
        <w:t xml:space="preserve">in the </w:t>
      </w:r>
      <w:r w:rsidR="0073071F">
        <w:rPr>
          <w:rFonts w:ascii="Times New Roman" w:hAnsi="Times New Roman"/>
        </w:rPr>
        <w:t>Unified Lending Platform (ULP)</w:t>
      </w:r>
      <w:r w:rsidR="009B2922">
        <w:rPr>
          <w:rFonts w:ascii="Times New Roman" w:hAnsi="Times New Roman"/>
        </w:rPr>
        <w:t xml:space="preserve">. </w:t>
      </w:r>
      <w:r w:rsidR="00771BE6">
        <w:rPr>
          <w:rFonts w:ascii="Times New Roman" w:hAnsi="Times New Roman"/>
        </w:rPr>
        <w:t xml:space="preserve"> </w:t>
      </w:r>
      <w:r w:rsidR="008F3265">
        <w:rPr>
          <w:rFonts w:ascii="Times New Roman" w:hAnsi="Times New Roman"/>
        </w:rPr>
        <w:t xml:space="preserve">The </w:t>
      </w:r>
      <w:r w:rsidR="0073071F">
        <w:rPr>
          <w:rFonts w:ascii="Times New Roman" w:hAnsi="Times New Roman"/>
        </w:rPr>
        <w:t>ULP</w:t>
      </w:r>
      <w:r w:rsidR="008F3265">
        <w:rPr>
          <w:rFonts w:ascii="Times New Roman" w:hAnsi="Times New Roman"/>
        </w:rPr>
        <w:t xml:space="preserve"> includes a </w:t>
      </w:r>
      <w:r w:rsidR="00706412">
        <w:rPr>
          <w:rFonts w:ascii="Times New Roman" w:hAnsi="Times New Roman"/>
        </w:rPr>
        <w:t>Progress</w:t>
      </w:r>
      <w:r w:rsidR="008F3265">
        <w:rPr>
          <w:rFonts w:ascii="Times New Roman" w:hAnsi="Times New Roman"/>
        </w:rPr>
        <w:t xml:space="preserve"> Report section th</w:t>
      </w:r>
      <w:r w:rsidR="003E19D3">
        <w:rPr>
          <w:rFonts w:ascii="Times New Roman" w:hAnsi="Times New Roman"/>
        </w:rPr>
        <w:t>at displays the</w:t>
      </w:r>
      <w:r w:rsidR="000F2823">
        <w:rPr>
          <w:rFonts w:ascii="Times New Roman" w:hAnsi="Times New Roman"/>
        </w:rPr>
        <w:t xml:space="preserve"> borrower’s approved loan </w:t>
      </w:r>
      <w:r w:rsidR="00A908F6">
        <w:rPr>
          <w:rFonts w:ascii="Times New Roman" w:hAnsi="Times New Roman"/>
        </w:rPr>
        <w:t>a</w:t>
      </w:r>
      <w:r w:rsidR="000F2823">
        <w:rPr>
          <w:rFonts w:ascii="Times New Roman" w:hAnsi="Times New Roman"/>
        </w:rPr>
        <w:t xml:space="preserve">mount, the amount </w:t>
      </w:r>
      <w:r w:rsidR="00A908F6">
        <w:rPr>
          <w:rFonts w:ascii="Times New Roman" w:hAnsi="Times New Roman"/>
        </w:rPr>
        <w:t xml:space="preserve">of funds </w:t>
      </w:r>
      <w:r w:rsidR="000F2823">
        <w:rPr>
          <w:rFonts w:ascii="Times New Roman" w:hAnsi="Times New Roman"/>
        </w:rPr>
        <w:t>disbursed, the amount of funds</w:t>
      </w:r>
      <w:r w:rsidR="00A908F6">
        <w:rPr>
          <w:rFonts w:ascii="Times New Roman" w:hAnsi="Times New Roman"/>
        </w:rPr>
        <w:t xml:space="preserve"> remaining to be disbursed</w:t>
      </w:r>
      <w:r w:rsidR="0078078B">
        <w:rPr>
          <w:rFonts w:ascii="Times New Roman" w:hAnsi="Times New Roman"/>
        </w:rPr>
        <w:t>, and the total amount of receipts su</w:t>
      </w:r>
      <w:r w:rsidR="001536E1">
        <w:rPr>
          <w:rFonts w:ascii="Times New Roman" w:hAnsi="Times New Roman"/>
        </w:rPr>
        <w:t>bmitted to date,</w:t>
      </w:r>
      <w:r w:rsidR="00A908F6">
        <w:rPr>
          <w:rFonts w:ascii="Times New Roman" w:hAnsi="Times New Roman"/>
        </w:rPr>
        <w:t xml:space="preserve"> as well as</w:t>
      </w:r>
      <w:r w:rsidR="00AB33FF">
        <w:rPr>
          <w:rFonts w:ascii="Times New Roman" w:hAnsi="Times New Roman"/>
        </w:rPr>
        <w:t xml:space="preserve"> </w:t>
      </w:r>
      <w:r w:rsidR="007C3F72">
        <w:rPr>
          <w:rFonts w:ascii="Times New Roman" w:hAnsi="Times New Roman"/>
        </w:rPr>
        <w:t>notification</w:t>
      </w:r>
      <w:r w:rsidR="00AB33FF">
        <w:rPr>
          <w:rFonts w:ascii="Times New Roman" w:hAnsi="Times New Roman"/>
        </w:rPr>
        <w:t xml:space="preserve"> the borrower of the </w:t>
      </w:r>
      <w:r w:rsidR="003E19D3">
        <w:rPr>
          <w:rFonts w:ascii="Times New Roman" w:hAnsi="Times New Roman"/>
        </w:rPr>
        <w:t xml:space="preserve">following </w:t>
      </w:r>
      <w:r w:rsidR="00AB33FF">
        <w:rPr>
          <w:rFonts w:ascii="Times New Roman" w:hAnsi="Times New Roman"/>
        </w:rPr>
        <w:t>progress details</w:t>
      </w:r>
      <w:r w:rsidR="003E19D3">
        <w:rPr>
          <w:rFonts w:ascii="Times New Roman" w:hAnsi="Times New Roman"/>
        </w:rPr>
        <w:t xml:space="preserve"> and requirements:</w:t>
      </w:r>
    </w:p>
    <w:p w:rsidR="008A4884" w:rsidP="00A908F6" w14:paraId="2673FEA6" w14:textId="15DF5B4E">
      <w:pPr>
        <w:pStyle w:val="ListParagraph"/>
        <w:widowControl w:val="0"/>
        <w:numPr>
          <w:ilvl w:val="0"/>
          <w:numId w:val="34"/>
        </w:numPr>
        <w:rPr>
          <w:rFonts w:ascii="Times New Roman" w:hAnsi="Times New Roman"/>
        </w:rPr>
      </w:pPr>
      <w:r>
        <w:rPr>
          <w:rFonts w:ascii="Times New Roman" w:hAnsi="Times New Roman"/>
        </w:rPr>
        <w:t xml:space="preserve">Before </w:t>
      </w:r>
      <w:r w:rsidR="005B75F5">
        <w:rPr>
          <w:rFonts w:ascii="Times New Roman" w:hAnsi="Times New Roman"/>
        </w:rPr>
        <w:t>subsequent</w:t>
      </w:r>
      <w:r>
        <w:rPr>
          <w:rFonts w:ascii="Times New Roman" w:hAnsi="Times New Roman"/>
        </w:rPr>
        <w:t xml:space="preserve"> disbursements can be made, the borrower</w:t>
      </w:r>
      <w:r w:rsidR="005B75F5">
        <w:rPr>
          <w:rFonts w:ascii="Times New Roman" w:hAnsi="Times New Roman"/>
        </w:rPr>
        <w:t xml:space="preserve"> must provide details regarding the use of the </w:t>
      </w:r>
      <w:r>
        <w:rPr>
          <w:rFonts w:ascii="Times New Roman" w:hAnsi="Times New Roman"/>
        </w:rPr>
        <w:t xml:space="preserve">funds currently disbursed. </w:t>
      </w:r>
    </w:p>
    <w:p w:rsidR="0060057C" w:rsidP="00A908F6" w14:paraId="180A8EB8" w14:textId="09AD00B4">
      <w:pPr>
        <w:pStyle w:val="ListParagraph"/>
        <w:widowControl w:val="0"/>
        <w:numPr>
          <w:ilvl w:val="0"/>
          <w:numId w:val="34"/>
        </w:numPr>
        <w:rPr>
          <w:rFonts w:ascii="Times New Roman" w:hAnsi="Times New Roman"/>
        </w:rPr>
      </w:pPr>
      <w:r>
        <w:rPr>
          <w:rFonts w:ascii="Times New Roman" w:hAnsi="Times New Roman"/>
        </w:rPr>
        <w:t xml:space="preserve">Real estate related amounts </w:t>
      </w:r>
      <w:r>
        <w:rPr>
          <w:rFonts w:ascii="Times New Roman" w:hAnsi="Times New Roman"/>
        </w:rPr>
        <w:t xml:space="preserve">should have receipts </w:t>
      </w:r>
      <w:r w:rsidR="001536E1">
        <w:rPr>
          <w:rFonts w:ascii="Times New Roman" w:hAnsi="Times New Roman"/>
        </w:rPr>
        <w:t>which can be</w:t>
      </w:r>
      <w:r>
        <w:rPr>
          <w:rFonts w:ascii="Times New Roman" w:hAnsi="Times New Roman"/>
        </w:rPr>
        <w:t xml:space="preserve"> uploaded </w:t>
      </w:r>
      <w:r w:rsidR="00B33827">
        <w:rPr>
          <w:rFonts w:ascii="Times New Roman" w:hAnsi="Times New Roman"/>
        </w:rPr>
        <w:t>and viewed in</w:t>
      </w:r>
      <w:r>
        <w:rPr>
          <w:rFonts w:ascii="Times New Roman" w:hAnsi="Times New Roman"/>
        </w:rPr>
        <w:t xml:space="preserve"> the portal.</w:t>
      </w:r>
    </w:p>
    <w:p w:rsidR="00A908F6" w14:paraId="75948A7A" w14:textId="4F7E83E6">
      <w:pPr>
        <w:pStyle w:val="ListParagraph"/>
        <w:widowControl w:val="0"/>
        <w:numPr>
          <w:ilvl w:val="0"/>
          <w:numId w:val="34"/>
        </w:numPr>
        <w:rPr>
          <w:rFonts w:ascii="Times New Roman" w:hAnsi="Times New Roman"/>
        </w:rPr>
      </w:pPr>
      <w:r>
        <w:rPr>
          <w:rFonts w:ascii="Times New Roman" w:hAnsi="Times New Roman"/>
        </w:rPr>
        <w:t xml:space="preserve">All funds received from </w:t>
      </w:r>
      <w:r w:rsidR="00570E98">
        <w:rPr>
          <w:rFonts w:ascii="Times New Roman" w:hAnsi="Times New Roman"/>
        </w:rPr>
        <w:t>other sources (i.e. insurance, FEMA, grants, or personal sources</w:t>
      </w:r>
      <w:r w:rsidR="00577E30">
        <w:rPr>
          <w:rFonts w:ascii="Times New Roman" w:hAnsi="Times New Roman"/>
        </w:rPr>
        <w:t>) required to complete the repair</w:t>
      </w:r>
      <w:r w:rsidR="00B06439">
        <w:rPr>
          <w:rFonts w:ascii="Times New Roman" w:hAnsi="Times New Roman"/>
        </w:rPr>
        <w:t xml:space="preserve">/replacement of damaged </w:t>
      </w:r>
      <w:r w:rsidR="0076787D">
        <w:rPr>
          <w:rFonts w:ascii="Times New Roman" w:hAnsi="Times New Roman"/>
        </w:rPr>
        <w:t>property</w:t>
      </w:r>
      <w:r w:rsidR="00B06439">
        <w:rPr>
          <w:rFonts w:ascii="Times New Roman" w:hAnsi="Times New Roman"/>
        </w:rPr>
        <w:t xml:space="preserve"> must be </w:t>
      </w:r>
      <w:r w:rsidR="00B06439">
        <w:rPr>
          <w:rFonts w:ascii="Times New Roman" w:hAnsi="Times New Roman"/>
        </w:rPr>
        <w:t>receipted</w:t>
      </w:r>
      <w:r w:rsidR="00B06439">
        <w:rPr>
          <w:rFonts w:ascii="Times New Roman" w:hAnsi="Times New Roman"/>
        </w:rPr>
        <w:t xml:space="preserve"> prior to </w:t>
      </w:r>
      <w:r w:rsidR="00706412">
        <w:rPr>
          <w:rFonts w:ascii="Times New Roman" w:hAnsi="Times New Roman"/>
        </w:rPr>
        <w:t>subsequent</w:t>
      </w:r>
      <w:r w:rsidR="0060563C">
        <w:rPr>
          <w:rFonts w:ascii="Times New Roman" w:hAnsi="Times New Roman"/>
        </w:rPr>
        <w:t xml:space="preserve"> disbursements. </w:t>
      </w:r>
      <w:r w:rsidR="00F0169D">
        <w:rPr>
          <w:rFonts w:ascii="Times New Roman" w:hAnsi="Times New Roman"/>
        </w:rPr>
        <w:t xml:space="preserve"> </w:t>
      </w:r>
    </w:p>
    <w:p w:rsidR="00746ED0" w:rsidRPr="00A06BE2" w:rsidP="00A06BE2" w14:paraId="43B64556" w14:textId="22B683F8">
      <w:pPr>
        <w:pStyle w:val="ListParagraph"/>
        <w:widowControl w:val="0"/>
        <w:ind w:left="0"/>
        <w:rPr>
          <w:rFonts w:ascii="Times New Roman" w:hAnsi="Times New Roman"/>
        </w:rPr>
      </w:pPr>
      <w:r>
        <w:rPr>
          <w:rFonts w:ascii="Times New Roman" w:hAnsi="Times New Roman"/>
        </w:rPr>
        <w:t xml:space="preserve">The </w:t>
      </w:r>
      <w:r w:rsidR="0073071F">
        <w:rPr>
          <w:rFonts w:ascii="Times New Roman" w:hAnsi="Times New Roman"/>
        </w:rPr>
        <w:t>ULP</w:t>
      </w:r>
      <w:r>
        <w:rPr>
          <w:rFonts w:ascii="Times New Roman" w:hAnsi="Times New Roman"/>
        </w:rPr>
        <w:t xml:space="preserve"> differs from the paper version of the</w:t>
      </w:r>
      <w:r w:rsidR="005F6851">
        <w:rPr>
          <w:rFonts w:ascii="Times New Roman" w:hAnsi="Times New Roman"/>
        </w:rPr>
        <w:t xml:space="preserve"> SBA Form 1366 in that the borrower is not required </w:t>
      </w:r>
      <w:r w:rsidR="004A7960">
        <w:rPr>
          <w:rFonts w:ascii="Times New Roman" w:hAnsi="Times New Roman"/>
        </w:rPr>
        <w:t>to</w:t>
      </w:r>
      <w:r w:rsidR="005F6851">
        <w:rPr>
          <w:rFonts w:ascii="Times New Roman" w:hAnsi="Times New Roman"/>
        </w:rPr>
        <w:t xml:space="preserve"> list all f</w:t>
      </w:r>
      <w:r w:rsidR="00651E46">
        <w:rPr>
          <w:rFonts w:ascii="Times New Roman" w:hAnsi="Times New Roman"/>
        </w:rPr>
        <w:t xml:space="preserve">unds </w:t>
      </w:r>
      <w:r w:rsidR="006A3BE7">
        <w:rPr>
          <w:rFonts w:ascii="Times New Roman" w:hAnsi="Times New Roman"/>
        </w:rPr>
        <w:t>spent individually</w:t>
      </w:r>
      <w:r w:rsidR="00C5489A">
        <w:rPr>
          <w:rFonts w:ascii="Times New Roman" w:hAnsi="Times New Roman"/>
        </w:rPr>
        <w:t xml:space="preserve"> </w:t>
      </w:r>
      <w:r w:rsidR="00771F22">
        <w:rPr>
          <w:rFonts w:ascii="Times New Roman" w:hAnsi="Times New Roman"/>
        </w:rPr>
        <w:t>and report how the receipts were paid.  T</w:t>
      </w:r>
      <w:r w:rsidR="00651E46">
        <w:rPr>
          <w:rFonts w:ascii="Times New Roman" w:hAnsi="Times New Roman"/>
        </w:rPr>
        <w:t xml:space="preserve">he system </w:t>
      </w:r>
      <w:r w:rsidR="00212125">
        <w:rPr>
          <w:rFonts w:ascii="Times New Roman" w:hAnsi="Times New Roman"/>
        </w:rPr>
        <w:t xml:space="preserve">calculates the total </w:t>
      </w:r>
      <w:r w:rsidR="00771F22">
        <w:rPr>
          <w:rFonts w:ascii="Times New Roman" w:hAnsi="Times New Roman"/>
        </w:rPr>
        <w:t>amount of funds spent based on the receipts uploaded in the loan portal.</w:t>
      </w:r>
      <w:r w:rsidR="00C5489A">
        <w:rPr>
          <w:rFonts w:ascii="Times New Roman" w:hAnsi="Times New Roman"/>
        </w:rPr>
        <w:t xml:space="preserve"> In addition, the</w:t>
      </w:r>
      <w:r w:rsidR="00F87671">
        <w:rPr>
          <w:rFonts w:ascii="Times New Roman" w:hAnsi="Times New Roman"/>
        </w:rPr>
        <w:t xml:space="preserve"> </w:t>
      </w:r>
      <w:r w:rsidR="0073071F">
        <w:rPr>
          <w:rFonts w:ascii="Times New Roman" w:hAnsi="Times New Roman"/>
        </w:rPr>
        <w:t>ULP</w:t>
      </w:r>
      <w:r w:rsidR="00F87671">
        <w:rPr>
          <w:rFonts w:ascii="Times New Roman" w:hAnsi="Times New Roman"/>
        </w:rPr>
        <w:t xml:space="preserve"> does not require the </w:t>
      </w:r>
      <w:r w:rsidR="00D65C05">
        <w:rPr>
          <w:rFonts w:ascii="Times New Roman" w:hAnsi="Times New Roman"/>
        </w:rPr>
        <w:t xml:space="preserve">borrower to </w:t>
      </w:r>
      <w:r w:rsidR="00807992">
        <w:rPr>
          <w:rFonts w:ascii="Times New Roman" w:hAnsi="Times New Roman"/>
        </w:rPr>
        <w:t xml:space="preserve">list items </w:t>
      </w:r>
      <w:r w:rsidR="00BB2599">
        <w:rPr>
          <w:rFonts w:ascii="Times New Roman" w:hAnsi="Times New Roman"/>
        </w:rPr>
        <w:t xml:space="preserve">purchased or contracted for but not yet paid </w:t>
      </w:r>
      <w:r w:rsidR="00F87671">
        <w:rPr>
          <w:rFonts w:ascii="Times New Roman" w:hAnsi="Times New Roman"/>
        </w:rPr>
        <w:t xml:space="preserve">as requested on the paper version of the form. </w:t>
      </w:r>
    </w:p>
    <w:p w:rsidR="00915D3E" w:rsidRPr="00436E5C" w:rsidP="00F92988" w14:paraId="631F22A9" w14:textId="77777777">
      <w:pPr>
        <w:widowControl w:val="0"/>
        <w:rPr>
          <w:rFonts w:ascii="Times New Roman" w:hAnsi="Times New Roman"/>
        </w:rPr>
      </w:pPr>
    </w:p>
    <w:p w:rsidR="00AB753E" w:rsidRPr="00AB753E" w:rsidP="00AB753E" w14:paraId="3DC49C86"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AB753E" w:rsidP="00AB753E" w14:paraId="65E9DB7C" w14:textId="77777777">
      <w:pPr>
        <w:pStyle w:val="ListParagraph"/>
        <w:widowControl w:val="0"/>
        <w:tabs>
          <w:tab w:val="left" w:pos="360"/>
          <w:tab w:val="left" w:pos="630"/>
          <w:tab w:val="left" w:pos="720"/>
          <w:tab w:val="left" w:pos="1080"/>
        </w:tabs>
        <w:ind w:left="0"/>
        <w:rPr>
          <w:rFonts w:ascii="Times New Roman" w:hAnsi="Times New Roman"/>
          <w:u w:val="single"/>
        </w:rPr>
      </w:pPr>
    </w:p>
    <w:p w:rsidR="72F2C953" w:rsidRPr="00137302" w:rsidP="00AB753E" w14:paraId="078A3DA8" w14:textId="3AB5A78F">
      <w:pPr>
        <w:pStyle w:val="ListParagraph"/>
        <w:widowControl w:val="0"/>
        <w:tabs>
          <w:tab w:val="left" w:pos="360"/>
          <w:tab w:val="left" w:pos="630"/>
          <w:tab w:val="left" w:pos="720"/>
          <w:tab w:val="left" w:pos="1080"/>
        </w:tabs>
        <w:ind w:left="0"/>
        <w:rPr>
          <w:rFonts w:ascii="Times New Roman" w:hAnsi="Times New Roman"/>
        </w:rPr>
      </w:pPr>
      <w:r w:rsidRPr="00137302">
        <w:rPr>
          <w:rFonts w:ascii="Times New Roman" w:hAnsi="Times New Roman"/>
        </w:rPr>
        <w:t>SBA’s disaster loan proceeds are available to restore or replace a borrower’s primary residence, personal or business property as nearly as possible to pre-disaster conditions.  The disaster program regulations and procedures require borrowers to submit and maintain records to show that loan proceeds were used solely for authorized purposes.   The pertinent portions of each referenced authority are attached (13 CFR 123.7 and 13 CFR 123.12).</w:t>
      </w:r>
    </w:p>
    <w:p w:rsidR="22A67122" w:rsidP="22A67122" w14:paraId="2B9B99E0" w14:textId="575DCCB5">
      <w:pPr>
        <w:widowControl w:val="0"/>
        <w:tabs>
          <w:tab w:val="left" w:pos="360"/>
          <w:tab w:val="left" w:pos="630"/>
          <w:tab w:val="left" w:pos="720"/>
          <w:tab w:val="left" w:pos="1080"/>
        </w:tabs>
        <w:rPr>
          <w:rFonts w:ascii="Times New Roman" w:hAnsi="Times New Roman"/>
          <w:u w:val="single"/>
        </w:rPr>
      </w:pP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D479C8" w:rsidRPr="00137302" w:rsidP="00D77227" w14:paraId="7AF63F38" w14:textId="166E561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E938EA">
        <w:rPr>
          <w:rFonts w:ascii="Times New Roman" w:hAnsi="Times New Roman"/>
          <w:u w:val="single"/>
        </w:rPr>
        <w:t>Use of the Information</w:t>
      </w:r>
      <w:r w:rsidRPr="00E938EA" w:rsidR="00FB7D5B">
        <w:rPr>
          <w:rFonts w:ascii="Times New Roman" w:hAnsi="Times New Roman"/>
          <w:u w:val="single"/>
        </w:rPr>
        <w:t>.</w:t>
      </w:r>
      <w:r w:rsidRPr="00A06BE2" w:rsidR="00390F87">
        <w:rPr>
          <w:rFonts w:ascii="Times New Roman" w:hAnsi="Times New Roman"/>
        </w:rPr>
        <w:t xml:space="preserve"> </w:t>
      </w:r>
    </w:p>
    <w:p w:rsidR="00137302" w:rsidRPr="00E938EA" w:rsidP="00137302" w14:paraId="30516960" w14:textId="77777777">
      <w:pPr>
        <w:pStyle w:val="ListParagraph"/>
        <w:widowControl w:val="0"/>
        <w:tabs>
          <w:tab w:val="left" w:pos="360"/>
          <w:tab w:val="left" w:pos="630"/>
          <w:tab w:val="left" w:pos="720"/>
          <w:tab w:val="left" w:pos="1080"/>
        </w:tabs>
        <w:ind w:left="0"/>
        <w:rPr>
          <w:rFonts w:ascii="Times New Roman" w:hAnsi="Times New Roman"/>
          <w:u w:val="single"/>
        </w:rPr>
      </w:pPr>
    </w:p>
    <w:p w:rsidR="1FA181A5" w:rsidRPr="00137302" w:rsidP="08CFFC98" w14:paraId="6D6CA071" w14:textId="00CBE12D">
      <w:pPr>
        <w:widowControl w:val="0"/>
        <w:tabs>
          <w:tab w:val="left" w:pos="360"/>
          <w:tab w:val="left" w:pos="630"/>
          <w:tab w:val="left" w:pos="720"/>
          <w:tab w:val="left" w:pos="1080"/>
        </w:tabs>
        <w:rPr>
          <w:rStyle w:val="normaltextrun"/>
          <w:color w:val="000000" w:themeColor="text1"/>
        </w:rPr>
      </w:pPr>
      <w:r w:rsidRPr="00137302">
        <w:rPr>
          <w:rStyle w:val="normaltextrun"/>
          <w:color w:val="000000" w:themeColor="text1"/>
        </w:rPr>
        <w:t xml:space="preserve">SBA Form 1366 provides a simple format for borrowers to organize and present documentation and information to SBA to show how loan funds have been used in the disaster </w:t>
      </w:r>
      <w:r w:rsidRPr="00137302" w:rsidR="0040744F">
        <w:rPr>
          <w:rStyle w:val="normaltextrun"/>
          <w:color w:val="000000" w:themeColor="text1"/>
        </w:rPr>
        <w:t>restoration,</w:t>
      </w:r>
      <w:r w:rsidR="0040744F">
        <w:rPr>
          <w:rStyle w:val="normaltextrun"/>
          <w:color w:val="000000" w:themeColor="text1"/>
        </w:rPr>
        <w:t xml:space="preserve"> when</w:t>
      </w:r>
      <w:r w:rsidR="007E6F82">
        <w:rPr>
          <w:rStyle w:val="normaltextrun"/>
          <w:color w:val="000000" w:themeColor="text1"/>
        </w:rPr>
        <w:t xml:space="preserve"> </w:t>
      </w:r>
      <w:r w:rsidR="007E6F82">
        <w:rPr>
          <w:rStyle w:val="normaltextrun"/>
          <w:color w:val="000000" w:themeColor="text1"/>
        </w:rPr>
        <w:t>a borrower is ready to request a subsequent disbursement</w:t>
      </w:r>
      <w:r w:rsidRPr="00137302">
        <w:rPr>
          <w:rStyle w:val="normaltextrun"/>
          <w:color w:val="000000" w:themeColor="text1"/>
        </w:rPr>
        <w:t>. The information collected provides assurances to SBA that loan proceeds are used for authorized purposes only</w:t>
      </w:r>
      <w:r w:rsidR="00807357">
        <w:rPr>
          <w:rStyle w:val="normaltextrun"/>
          <w:color w:val="000000" w:themeColor="text1"/>
        </w:rPr>
        <w:t xml:space="preserve"> and </w:t>
      </w:r>
      <w:r w:rsidRPr="00137302">
        <w:rPr>
          <w:rStyle w:val="normaltextrun"/>
          <w:color w:val="000000" w:themeColor="text1"/>
        </w:rPr>
        <w:t xml:space="preserve">includes a </w:t>
      </w:r>
      <w:r w:rsidRPr="00137302">
        <w:rPr>
          <w:rStyle w:val="normaltextrun"/>
          <w:color w:val="000000" w:themeColor="text1"/>
        </w:rPr>
        <w:t>listing</w:t>
      </w:r>
      <w:r w:rsidRPr="00137302">
        <w:rPr>
          <w:rStyle w:val="normaltextrun"/>
          <w:color w:val="000000" w:themeColor="text1"/>
        </w:rPr>
        <w:t xml:space="preserve"> of expenditures and copies of certain receipts. </w:t>
      </w:r>
      <w:r w:rsidR="00D4085B">
        <w:rPr>
          <w:rStyle w:val="normaltextrun"/>
          <w:color w:val="000000" w:themeColor="text1"/>
        </w:rPr>
        <w:t xml:space="preserve">This information </w:t>
      </w:r>
      <w:r w:rsidR="00601CDF">
        <w:rPr>
          <w:rStyle w:val="normaltextrun"/>
          <w:color w:val="000000" w:themeColor="text1"/>
        </w:rPr>
        <w:t xml:space="preserve">assists SBA in determining whether additional funds can be disbursed. </w:t>
      </w:r>
      <w:r w:rsidR="00807357">
        <w:rPr>
          <w:rStyle w:val="normaltextrun"/>
          <w:color w:val="000000" w:themeColor="text1"/>
        </w:rPr>
        <w:t xml:space="preserve">The information is submitted by the borrower </w:t>
      </w:r>
      <w:r w:rsidR="00210F08">
        <w:rPr>
          <w:rStyle w:val="normaltextrun"/>
          <w:color w:val="000000" w:themeColor="text1"/>
        </w:rPr>
        <w:t>by completing the form or uploading documentation through t</w:t>
      </w:r>
      <w:r w:rsidR="00807357">
        <w:rPr>
          <w:rStyle w:val="normaltextrun"/>
          <w:color w:val="000000" w:themeColor="text1"/>
        </w:rPr>
        <w:t xml:space="preserve">he </w:t>
      </w:r>
      <w:r w:rsidR="0073071F">
        <w:rPr>
          <w:rStyle w:val="normaltextrun"/>
          <w:color w:val="000000" w:themeColor="text1"/>
        </w:rPr>
        <w:t>ULP</w:t>
      </w:r>
      <w:r w:rsidR="00807357">
        <w:rPr>
          <w:rStyle w:val="normaltextrun"/>
          <w:color w:val="000000" w:themeColor="text1"/>
        </w:rPr>
        <w:t xml:space="preserve">. </w:t>
      </w:r>
      <w:r w:rsidRPr="00137302">
        <w:rPr>
          <w:rStyle w:val="normaltextrun"/>
          <w:color w:val="000000" w:themeColor="text1"/>
        </w:rPr>
        <w:t xml:space="preserve">Exceptions to the </w:t>
      </w:r>
      <w:r w:rsidR="00807357">
        <w:rPr>
          <w:rStyle w:val="normaltextrun"/>
          <w:color w:val="000000" w:themeColor="text1"/>
        </w:rPr>
        <w:t>authorized use of funds</w:t>
      </w:r>
      <w:r w:rsidRPr="00137302" w:rsidR="00807357">
        <w:rPr>
          <w:rStyle w:val="normaltextrun"/>
          <w:color w:val="000000" w:themeColor="text1"/>
        </w:rPr>
        <w:t xml:space="preserve"> </w:t>
      </w:r>
      <w:r w:rsidRPr="00137302">
        <w:rPr>
          <w:rStyle w:val="normaltextrun"/>
          <w:color w:val="000000" w:themeColor="text1"/>
        </w:rPr>
        <w:t xml:space="preserve">might involve credit factors and would be referred </w:t>
      </w:r>
      <w:r w:rsidRPr="00137302">
        <w:rPr>
          <w:rStyle w:val="normaltextrun"/>
          <w:color w:val="000000" w:themeColor="text1"/>
        </w:rPr>
        <w:t>to</w:t>
      </w:r>
      <w:r w:rsidRPr="00137302">
        <w:rPr>
          <w:rStyle w:val="normaltextrun"/>
          <w:color w:val="000000" w:themeColor="text1"/>
        </w:rPr>
        <w:t xml:space="preserve"> a loan officer for review.  All information related to the use of proceeds is reviewed by </w:t>
      </w:r>
      <w:r w:rsidRPr="00137302" w:rsidR="439B910D">
        <w:rPr>
          <w:rStyle w:val="normaltextrun"/>
          <w:color w:val="000000" w:themeColor="text1"/>
        </w:rPr>
        <w:t>SBA</w:t>
      </w:r>
      <w:r w:rsidRPr="00137302">
        <w:rPr>
          <w:rStyle w:val="normaltextrun"/>
          <w:color w:val="000000" w:themeColor="text1"/>
        </w:rPr>
        <w:t xml:space="preserve"> to assure that loan proceeds have been used as authorized.  Representatives of the SBA’s Inspector General and other auditors also use the information collected on Form 1366 and the records which borrowers are required to retain for audit trail purposes.  Evidence of misuse of proceeds would be used by U.S. Attorneys and the Office of Inspector General prosecuting for misuse of loan proceeds. </w:t>
      </w:r>
      <w:r w:rsidRPr="00137302" w:rsidR="61267B6E">
        <w:rPr>
          <w:rStyle w:val="normaltextrun"/>
          <w:color w:val="000000" w:themeColor="text1"/>
        </w:rPr>
        <w:t xml:space="preserve"> There </w:t>
      </w:r>
      <w:r w:rsidRPr="00137302" w:rsidR="61267B6E">
        <w:rPr>
          <w:rStyle w:val="normaltextrun"/>
          <w:color w:val="000000" w:themeColor="text1"/>
        </w:rPr>
        <w:t>are</w:t>
      </w:r>
      <w:r w:rsidRPr="00137302" w:rsidR="61267B6E">
        <w:rPr>
          <w:rStyle w:val="normaltextrun"/>
          <w:color w:val="000000" w:themeColor="text1"/>
        </w:rPr>
        <w:t xml:space="preserve"> no privacy concerns related to this information sharing.</w:t>
      </w:r>
    </w:p>
    <w:p w:rsidR="245ACE1A" w:rsidP="245ACE1A" w14:paraId="034C0795" w14:textId="4F1E94F4">
      <w:pPr>
        <w:widowControl w:val="0"/>
        <w:tabs>
          <w:tab w:val="left" w:pos="360"/>
          <w:tab w:val="left" w:pos="630"/>
          <w:tab w:val="left" w:pos="720"/>
          <w:tab w:val="left" w:pos="1080"/>
        </w:tabs>
        <w:rPr>
          <w:rFonts w:ascii="Times New Roman" w:hAnsi="Times New Roman"/>
          <w:u w:val="single"/>
        </w:rPr>
      </w:pP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F359F8" w:rsidRPr="00B460D3" w:rsidP="245ACE1A" w14:paraId="22ABDC05" w14:textId="5A0A911D">
      <w:pPr>
        <w:pStyle w:val="ListParagraph"/>
        <w:widowControl w:val="0"/>
        <w:numPr>
          <w:ilvl w:val="0"/>
          <w:numId w:val="19"/>
        </w:numPr>
        <w:tabs>
          <w:tab w:val="left" w:pos="360"/>
          <w:tab w:val="left" w:pos="720"/>
          <w:tab w:val="left" w:pos="1080"/>
        </w:tabs>
        <w:ind w:left="0"/>
        <w:rPr>
          <w:rFonts w:ascii="Times New Roman" w:hAnsi="Times New Roman"/>
        </w:rPr>
      </w:pPr>
      <w:r w:rsidRPr="1B40FE33">
        <w:rPr>
          <w:rFonts w:ascii="Times New Roman" w:hAnsi="Times New Roman"/>
          <w:u w:val="single"/>
        </w:rPr>
        <w:t>Use of Information Technology</w:t>
      </w:r>
      <w:r w:rsidRPr="1B40FE33" w:rsidR="00B460D3">
        <w:rPr>
          <w:rFonts w:ascii="Times New Roman" w:hAnsi="Times New Roman"/>
          <w:u w:val="single"/>
        </w:rPr>
        <w:t xml:space="preserve">. </w:t>
      </w:r>
    </w:p>
    <w:p w:rsidR="00B460D3" w:rsidP="245ACE1A" w14:paraId="00800C19" w14:textId="29BE083A">
      <w:pPr>
        <w:pStyle w:val="ListParagraph"/>
        <w:widowControl w:val="0"/>
        <w:tabs>
          <w:tab w:val="left" w:pos="360"/>
          <w:tab w:val="left" w:pos="720"/>
          <w:tab w:val="left" w:pos="1080"/>
        </w:tabs>
        <w:ind w:left="0"/>
        <w:rPr>
          <w:rFonts w:ascii="Times New Roman" w:hAnsi="Times New Roman"/>
        </w:rPr>
      </w:pPr>
    </w:p>
    <w:p w:rsidR="00B460D3" w:rsidRPr="00E938EA" w:rsidP="08CFFC98" w14:paraId="2F37B3DD" w14:textId="7256794B">
      <w:pPr>
        <w:widowControl w:val="0"/>
        <w:jc w:val="both"/>
        <w:rPr>
          <w:rFonts w:ascii="Times New Roman" w:hAnsi="Times New Roman"/>
        </w:rPr>
      </w:pPr>
      <w:r w:rsidRPr="1B40FE33">
        <w:rPr>
          <w:rFonts w:ascii="Times New Roman" w:hAnsi="Times New Roman"/>
          <w:color w:val="000000" w:themeColor="text1"/>
        </w:rPr>
        <w:t>Form</w:t>
      </w:r>
      <w:r w:rsidRPr="1B40FE33" w:rsidR="5ACA344D">
        <w:rPr>
          <w:rFonts w:ascii="Times New Roman" w:hAnsi="Times New Roman"/>
          <w:color w:val="000000" w:themeColor="text1"/>
        </w:rPr>
        <w:t xml:space="preserve"> 1366 is currently available online at </w:t>
      </w:r>
      <w:hyperlink r:id="rId8">
        <w:r w:rsidRPr="1B40FE33" w:rsidR="0952D773">
          <w:rPr>
            <w:rStyle w:val="Hyperlink"/>
            <w:rFonts w:ascii="Times New Roman" w:hAnsi="Times New Roman"/>
          </w:rPr>
          <w:t>www.sba.gov</w:t>
        </w:r>
      </w:hyperlink>
      <w:r w:rsidRPr="1B40FE33" w:rsidR="5ACA344D">
        <w:rPr>
          <w:rFonts w:ascii="Times New Roman" w:hAnsi="Times New Roman"/>
          <w:color w:val="000000" w:themeColor="text1"/>
        </w:rPr>
        <w:t xml:space="preserve"> for downloading and printing</w:t>
      </w:r>
      <w:r w:rsidRPr="1B40FE33" w:rsidR="00210F08">
        <w:rPr>
          <w:rFonts w:ascii="Times New Roman" w:hAnsi="Times New Roman"/>
          <w:color w:val="000000" w:themeColor="text1"/>
        </w:rPr>
        <w:t xml:space="preserve">. The information can </w:t>
      </w:r>
      <w:r w:rsidRPr="1B40FE33" w:rsidR="00EF722A">
        <w:rPr>
          <w:rFonts w:ascii="Times New Roman" w:hAnsi="Times New Roman"/>
          <w:color w:val="000000" w:themeColor="text1"/>
        </w:rPr>
        <w:t xml:space="preserve">also </w:t>
      </w:r>
      <w:r w:rsidRPr="1B40FE33" w:rsidR="00210F08">
        <w:rPr>
          <w:rFonts w:ascii="Times New Roman" w:hAnsi="Times New Roman"/>
          <w:color w:val="000000" w:themeColor="text1"/>
        </w:rPr>
        <w:t xml:space="preserve">be submitted </w:t>
      </w:r>
      <w:r w:rsidRPr="1B40FE33" w:rsidR="006A0571">
        <w:rPr>
          <w:rFonts w:ascii="Times New Roman" w:hAnsi="Times New Roman"/>
          <w:color w:val="000000" w:themeColor="text1"/>
        </w:rPr>
        <w:t xml:space="preserve">electronically </w:t>
      </w:r>
      <w:r w:rsidRPr="1B40FE33" w:rsidR="36EF2E18">
        <w:rPr>
          <w:rFonts w:ascii="Times New Roman" w:hAnsi="Times New Roman"/>
          <w:color w:val="000000" w:themeColor="text1"/>
        </w:rPr>
        <w:t xml:space="preserve">in the </w:t>
      </w:r>
      <w:r w:rsidR="0073071F">
        <w:rPr>
          <w:rFonts w:ascii="Times New Roman" w:hAnsi="Times New Roman"/>
          <w:color w:val="000000" w:themeColor="text1"/>
        </w:rPr>
        <w:t>ULP</w:t>
      </w:r>
      <w:r w:rsidRPr="1B40FE33" w:rsidR="00210F08">
        <w:rPr>
          <w:rFonts w:ascii="Times New Roman" w:hAnsi="Times New Roman"/>
          <w:color w:val="000000" w:themeColor="text1"/>
        </w:rPr>
        <w:t xml:space="preserve"> allow</w:t>
      </w:r>
      <w:r w:rsidRPr="1B40FE33" w:rsidR="00E4482A">
        <w:rPr>
          <w:rFonts w:ascii="Times New Roman" w:hAnsi="Times New Roman"/>
          <w:color w:val="000000" w:themeColor="text1"/>
        </w:rPr>
        <w:t>ing</w:t>
      </w:r>
      <w:r w:rsidRPr="1B40FE33" w:rsidR="00210F08">
        <w:rPr>
          <w:rFonts w:ascii="Times New Roman" w:hAnsi="Times New Roman"/>
          <w:color w:val="000000" w:themeColor="text1"/>
        </w:rPr>
        <w:t xml:space="preserve"> submission of </w:t>
      </w:r>
      <w:r w:rsidRPr="1B40FE33" w:rsidR="002C63D7">
        <w:rPr>
          <w:rFonts w:ascii="Times New Roman" w:hAnsi="Times New Roman"/>
          <w:color w:val="000000" w:themeColor="text1"/>
        </w:rPr>
        <w:t xml:space="preserve">receipts </w:t>
      </w:r>
      <w:r w:rsidRPr="1B40FE33" w:rsidR="006357F7">
        <w:rPr>
          <w:rFonts w:ascii="Times New Roman" w:hAnsi="Times New Roman"/>
          <w:color w:val="000000" w:themeColor="text1"/>
        </w:rPr>
        <w:t>for review</w:t>
      </w:r>
      <w:r w:rsidRPr="1B40FE33" w:rsidR="002C63D7">
        <w:rPr>
          <w:rFonts w:ascii="Times New Roman" w:hAnsi="Times New Roman"/>
          <w:color w:val="000000" w:themeColor="text1"/>
        </w:rPr>
        <w:t xml:space="preserve"> by SBA prior to subsequent disbursement</w:t>
      </w:r>
      <w:r w:rsidRPr="1B40FE33" w:rsidR="005E0A3E">
        <w:rPr>
          <w:rFonts w:ascii="Times New Roman" w:hAnsi="Times New Roman"/>
          <w:color w:val="000000" w:themeColor="text1"/>
        </w:rPr>
        <w:t>s</w:t>
      </w:r>
      <w:r w:rsidRPr="1B40FE33" w:rsidR="00210F08">
        <w:rPr>
          <w:rFonts w:ascii="Times New Roman" w:hAnsi="Times New Roman"/>
          <w:color w:val="000000" w:themeColor="text1"/>
        </w:rPr>
        <w:t xml:space="preserve">. </w:t>
      </w:r>
    </w:p>
    <w:p w:rsidR="00B460D3" w:rsidRPr="00E938EA" w:rsidP="08CFFC98" w14:paraId="057B5D91" w14:textId="300D843B">
      <w:pPr>
        <w:widowControl w:val="0"/>
        <w:tabs>
          <w:tab w:val="left" w:pos="360"/>
          <w:tab w:val="left" w:pos="720"/>
          <w:tab w:val="left" w:pos="1080"/>
        </w:tabs>
        <w:rPr>
          <w:rFonts w:ascii="Times New Roman" w:hAnsi="Times New Roman"/>
          <w:highlight w:val="yellow"/>
        </w:rPr>
      </w:pP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P="00F92988" w14:paraId="5E3B72AD" w14:textId="58B447EA">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w:t>
      </w:r>
      <w:r w:rsidR="00BE696E">
        <w:t xml:space="preserve"> </w:t>
      </w:r>
    </w:p>
    <w:p w:rsidR="008F57CC" w:rsidRPr="00A06BE2" w:rsidP="245ACE1A" w14:paraId="76770BF8" w14:textId="6894B0D8">
      <w:pPr>
        <w:pStyle w:val="ListParagraph"/>
        <w:widowControl w:val="0"/>
        <w:tabs>
          <w:tab w:val="left" w:pos="820"/>
          <w:tab w:val="left" w:pos="821"/>
        </w:tabs>
        <w:ind w:left="360"/>
        <w:rPr>
          <w:rFonts w:ascii="Times New Roman" w:hAnsi="Times New Roman"/>
        </w:rPr>
      </w:pPr>
    </w:p>
    <w:p w:rsidR="008F57CC" w:rsidRPr="00A06BE2" w:rsidP="245ACE1A" w14:paraId="742234CC" w14:textId="7A7835BE">
      <w:pPr>
        <w:widowControl w:val="0"/>
        <w:rPr>
          <w:rFonts w:ascii="Times New Roman" w:hAnsi="Times New Roman"/>
        </w:rPr>
      </w:pPr>
      <w:r w:rsidRPr="00E938EA">
        <w:rPr>
          <w:rFonts w:ascii="Times New Roman" w:hAnsi="Times New Roman"/>
          <w:color w:val="000000" w:themeColor="text1"/>
        </w:rPr>
        <w:t>Th</w:t>
      </w:r>
      <w:r w:rsidRPr="00E938EA" w:rsidR="4540AE7C">
        <w:rPr>
          <w:rFonts w:ascii="Times New Roman" w:hAnsi="Times New Roman"/>
          <w:color w:val="000000" w:themeColor="text1"/>
        </w:rPr>
        <w:t xml:space="preserve">ere is no duplication in SBA’s files and any similar information that might be available could not be substituted.  If Form 1366 is submitted on multiple occasions the information is not cumulative but is specific to use of disbursed funds not previously reported.  In other words, the borrower is not asked to submit the same information more than once.  Minimal duplication (borrower name, loan number, etc.) is necessary to distinguish and organize records appropriately. </w:t>
      </w:r>
      <w:r w:rsidRPr="00A06BE2" w:rsidR="4540AE7C">
        <w:rPr>
          <w:rFonts w:ascii="Times New Roman" w:hAnsi="Times New Roman"/>
        </w:rPr>
        <w:t xml:space="preserve"> </w:t>
      </w:r>
    </w:p>
    <w:p w:rsidR="008F57CC" w:rsidRPr="00B9708D" w:rsidP="245ACE1A" w14:paraId="2F549CAB" w14:textId="07BCDA3E">
      <w:pPr>
        <w:pStyle w:val="NormalWeb"/>
        <w:widowControl w:val="0"/>
        <w:tabs>
          <w:tab w:val="left" w:pos="360"/>
          <w:tab w:val="left" w:pos="720"/>
          <w:tab w:val="left" w:pos="1080"/>
          <w:tab w:val="left" w:pos="1440"/>
        </w:tabs>
        <w:spacing w:before="0" w:beforeAutospacing="0" w:after="0" w:afterAutospacing="0"/>
        <w:rPr>
          <w:b/>
          <w:bCs/>
        </w:rPr>
      </w:pP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E696E" w:rsidRPr="00E938EA" w:rsidP="002D7869" w14:paraId="5F3A2B1B" w14:textId="465C8DFA">
      <w:pPr>
        <w:pStyle w:val="NormalWeb"/>
        <w:widowControl w:val="0"/>
        <w:numPr>
          <w:ilvl w:val="0"/>
          <w:numId w:val="19"/>
        </w:numPr>
        <w:tabs>
          <w:tab w:val="left" w:pos="360"/>
          <w:tab w:val="left" w:pos="720"/>
          <w:tab w:val="left" w:pos="1080"/>
          <w:tab w:val="left" w:pos="1440"/>
        </w:tabs>
        <w:spacing w:before="0" w:beforeAutospacing="0" w:after="0" w:afterAutospacing="0"/>
        <w:ind w:left="0"/>
        <w:rPr>
          <w:color w:val="000000" w:themeColor="text1"/>
        </w:rPr>
      </w:pPr>
      <w:r w:rsidRPr="00E938EA">
        <w:rPr>
          <w:u w:val="single"/>
        </w:rPr>
        <w:t>Burden on Small Business</w:t>
      </w:r>
      <w:r w:rsidRPr="00E938EA">
        <w:rPr>
          <w:u w:val="single"/>
        </w:rPr>
        <w:t xml:space="preserve">. </w:t>
      </w:r>
    </w:p>
    <w:p w:rsidR="00E938EA" w:rsidRPr="00E938EA" w:rsidP="00E938EA" w14:paraId="615C7B5C" w14:textId="77777777">
      <w:pPr>
        <w:pStyle w:val="NormalWeb"/>
        <w:widowControl w:val="0"/>
        <w:tabs>
          <w:tab w:val="left" w:pos="360"/>
          <w:tab w:val="left" w:pos="720"/>
          <w:tab w:val="left" w:pos="1080"/>
          <w:tab w:val="left" w:pos="1440"/>
        </w:tabs>
        <w:spacing w:before="0" w:beforeAutospacing="0" w:after="0" w:afterAutospacing="0"/>
        <w:rPr>
          <w:color w:val="000000" w:themeColor="text1"/>
        </w:rPr>
      </w:pPr>
    </w:p>
    <w:p w:rsidR="00BE696E" w:rsidRPr="00E938EA" w:rsidP="245ACE1A" w14:paraId="0DC48DF0" w14:textId="50242DC3">
      <w:pPr>
        <w:widowControl w:val="0"/>
        <w:rPr>
          <w:rFonts w:ascii="Times New Roman" w:hAnsi="Times New Roman"/>
          <w:color w:val="000000" w:themeColor="text1"/>
        </w:rPr>
      </w:pPr>
      <w:r w:rsidRPr="1B40FE33">
        <w:rPr>
          <w:rFonts w:ascii="Times New Roman" w:hAnsi="Times New Roman"/>
          <w:color w:val="000000" w:themeColor="text1"/>
        </w:rPr>
        <w:t>The respondents to this information collection include small businesses; however, the information collection does not impose a substantial burden on these respondents. Record-keeping requirements are not more than the customary records maintained by businesses for internal management and tax and securities law purposes.  The information collected is limited to specific program requirements and has been designed to minimize paperwork while satisfying legal and policy mandates.</w:t>
      </w:r>
      <w:r w:rsidRPr="1B40FE33" w:rsidR="00837E0A">
        <w:rPr>
          <w:rFonts w:ascii="Times New Roman" w:hAnsi="Times New Roman"/>
          <w:color w:val="000000" w:themeColor="text1"/>
        </w:rPr>
        <w:t xml:space="preserve"> </w:t>
      </w:r>
      <w:r w:rsidRPr="1B40FE33" w:rsidR="00693A1A">
        <w:rPr>
          <w:rFonts w:ascii="Times New Roman" w:hAnsi="Times New Roman"/>
          <w:color w:val="000000" w:themeColor="text1"/>
        </w:rPr>
        <w:t>Based on the number of businesses that submitted this information in Fiscal Years 2022 (370), 2023 (741), and 2024 (343), we estimate that 485 respondents a year will be small businesses.</w:t>
      </w:r>
    </w:p>
    <w:p w:rsidR="00BE696E" w:rsidP="245ACE1A" w14:paraId="3EE26CC2" w14:textId="5FEE73A4">
      <w:pPr>
        <w:pStyle w:val="NormalWeb"/>
        <w:widowControl w:val="0"/>
        <w:tabs>
          <w:tab w:val="left" w:pos="360"/>
          <w:tab w:val="left" w:pos="720"/>
          <w:tab w:val="left" w:pos="1080"/>
          <w:tab w:val="left" w:pos="1440"/>
        </w:tabs>
        <w:spacing w:before="0" w:beforeAutospacing="0" w:after="0" w:afterAutospacing="0"/>
      </w:pPr>
    </w:p>
    <w:p w:rsidR="245ACE1A" w:rsidP="245ACE1A" w14:paraId="32AA917D" w14:textId="122493B2">
      <w:pPr>
        <w:pStyle w:val="NormalWeb"/>
        <w:widowControl w:val="0"/>
        <w:tabs>
          <w:tab w:val="left" w:pos="360"/>
          <w:tab w:val="left" w:pos="720"/>
          <w:tab w:val="left" w:pos="1080"/>
          <w:tab w:val="left" w:pos="1440"/>
        </w:tabs>
        <w:spacing w:before="0" w:beforeAutospacing="0" w:after="0" w:afterAutospacing="0"/>
      </w:pPr>
    </w:p>
    <w:p w:rsidR="00F359F8" w:rsidRPr="00BB5AB7" w:rsidP="00F92988" w14:paraId="388B8B91" w14:textId="1259D3FB">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w:t>
      </w:r>
      <w:r w:rsidRPr="00505E03">
        <w:rPr>
          <w:rFonts w:ascii="Times New Roman" w:hAnsi="Times New Roman"/>
          <w:u w:val="single"/>
        </w:rPr>
        <w:t xml:space="preserve"> Frequent Collection</w:t>
      </w:r>
      <w:r w:rsidR="00BB5AB7">
        <w:rPr>
          <w:rFonts w:ascii="Times New Roman" w:hAnsi="Times New Roman"/>
          <w:u w:val="single"/>
        </w:rPr>
        <w:t xml:space="preserve">. </w:t>
      </w:r>
    </w:p>
    <w:p w:rsidR="00BB5AB7" w:rsidP="00F92988" w14:paraId="58FC65EE" w14:textId="37C8415B">
      <w:pPr>
        <w:widowControl w:val="0"/>
        <w:tabs>
          <w:tab w:val="left" w:pos="360"/>
          <w:tab w:val="left" w:pos="720"/>
          <w:tab w:val="left" w:pos="1080"/>
        </w:tabs>
        <w:rPr>
          <w:rFonts w:ascii="Times New Roman" w:hAnsi="Times New Roman"/>
          <w:u w:val="single"/>
        </w:rPr>
      </w:pPr>
    </w:p>
    <w:p w:rsidR="7A1B76C2" w:rsidP="46B41E5E" w14:paraId="68D5B21F" w14:textId="13319A04">
      <w:pPr>
        <w:rPr>
          <w:rFonts w:ascii="Times New Roman" w:hAnsi="Times New Roman"/>
        </w:rPr>
      </w:pPr>
      <w:r w:rsidRPr="46B41E5E">
        <w:rPr>
          <w:rFonts w:ascii="Times New Roman" w:hAnsi="Times New Roman"/>
          <w:color w:val="000000" w:themeColor="text1"/>
        </w:rPr>
        <w:t>The information collection is conducted only as needed.  If the record-keeping and reporting requirements were not imposed, SBA would not have a mechanism for ensuring documentation of proper use of loan proceeds, or for determining that subsequent disbursements are prudent and justified.  Failure to conduct this collection of information could also impair SBA’s ability to conduct audits or take action in cases of misuse.  As the disaster-damaged property is generally the collateral securing the loan, misuse of loan proceeds can also weaken the value of the collateral securing the loan and therefore may impact SBA’s recovery on the loan.</w:t>
      </w:r>
    </w:p>
    <w:p w:rsidR="245ACE1A" w:rsidP="245ACE1A" w14:paraId="4EB75B2F" w14:textId="3C9ABC64">
      <w:pPr>
        <w:widowControl w:val="0"/>
        <w:tabs>
          <w:tab w:val="left" w:pos="360"/>
          <w:tab w:val="left" w:pos="720"/>
          <w:tab w:val="left" w:pos="1080"/>
        </w:tabs>
        <w:rPr>
          <w:rFonts w:ascii="Times New Roman" w:hAnsi="Times New Roman"/>
          <w:u w:val="single"/>
        </w:rPr>
      </w:pP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BB5AB7" w:rsidRPr="00A06BE2" w:rsidP="0058435E" w14:paraId="7725A00B" w14:textId="056705DD">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E938EA">
        <w:rPr>
          <w:u w:val="single"/>
        </w:rPr>
        <w:t>Paperwork Reduction Act Guidelines</w:t>
      </w:r>
      <w:r w:rsidRPr="00E938EA">
        <w:rPr>
          <w:u w:val="single"/>
        </w:rPr>
        <w:t xml:space="preserve">. </w:t>
      </w:r>
    </w:p>
    <w:p w:rsidR="00E938EA" w:rsidP="00E938EA" w14:paraId="13A1C5A5" w14:textId="77777777">
      <w:pPr>
        <w:pStyle w:val="NormalWeb"/>
        <w:widowControl w:val="0"/>
        <w:tabs>
          <w:tab w:val="left" w:pos="360"/>
          <w:tab w:val="left" w:pos="720"/>
          <w:tab w:val="left" w:pos="1080"/>
          <w:tab w:val="left" w:pos="1440"/>
        </w:tabs>
        <w:spacing w:before="0" w:beforeAutospacing="0" w:after="0" w:afterAutospacing="0"/>
      </w:pPr>
    </w:p>
    <w:p w:rsidR="00BB5AB7" w:rsidP="245ACE1A" w14:paraId="4BD890C3" w14:textId="3CD544C3">
      <w:pPr>
        <w:pStyle w:val="NormalWeb"/>
        <w:widowControl w:val="0"/>
        <w:tabs>
          <w:tab w:val="left" w:pos="360"/>
          <w:tab w:val="left" w:pos="720"/>
          <w:tab w:val="left" w:pos="1080"/>
          <w:tab w:val="left" w:pos="1440"/>
        </w:tabs>
        <w:spacing w:before="0" w:beforeAutospacing="0" w:after="0" w:afterAutospacing="0"/>
      </w:pPr>
      <w:r>
        <w:t>There are no special circumstances.</w:t>
      </w:r>
    </w:p>
    <w:p w:rsidR="00CB2DF7" w:rsidRPr="00505E03" w:rsidP="245ACE1A" w14:paraId="4C856579" w14:textId="77777777">
      <w:pPr>
        <w:pStyle w:val="NormalWeb"/>
        <w:widowControl w:val="0"/>
        <w:tabs>
          <w:tab w:val="left" w:pos="360"/>
          <w:tab w:val="left" w:pos="720"/>
          <w:tab w:val="left" w:pos="1080"/>
          <w:tab w:val="left" w:pos="1440"/>
        </w:tabs>
        <w:spacing w:before="0" w:beforeAutospacing="0" w:after="0" w:afterAutospacing="0"/>
      </w:pPr>
    </w:p>
    <w:p w:rsidR="245ACE1A" w:rsidP="245ACE1A" w14:paraId="09DACEEC" w14:textId="1E23FE66">
      <w:pPr>
        <w:pStyle w:val="NormalWeb"/>
        <w:widowControl w:val="0"/>
        <w:tabs>
          <w:tab w:val="left" w:pos="360"/>
          <w:tab w:val="left" w:pos="720"/>
          <w:tab w:val="left" w:pos="1080"/>
          <w:tab w:val="left" w:pos="1440"/>
        </w:tabs>
        <w:spacing w:before="0" w:beforeAutospacing="0" w:after="0" w:afterAutospacing="0"/>
      </w:pPr>
    </w:p>
    <w:p w:rsidR="008F1CB1" w:rsidRPr="00A06BE2" w:rsidP="002A4231" w14:paraId="21072DD3" w14:textId="1045713A">
      <w:pPr>
        <w:pStyle w:val="NormalWeb"/>
        <w:widowControl w:val="0"/>
        <w:numPr>
          <w:ilvl w:val="0"/>
          <w:numId w:val="19"/>
        </w:numPr>
        <w:tabs>
          <w:tab w:val="left" w:pos="360"/>
          <w:tab w:val="left" w:pos="720"/>
          <w:tab w:val="left" w:pos="1080"/>
          <w:tab w:val="left" w:pos="1440"/>
        </w:tabs>
        <w:spacing w:before="0" w:beforeAutospacing="0" w:after="0" w:afterAutospacing="0"/>
        <w:ind w:left="0" w:right="187" w:firstLine="0"/>
        <w:rPr>
          <w:u w:val="single"/>
        </w:rPr>
      </w:pPr>
      <w:r w:rsidRPr="008F1CB1">
        <w:rPr>
          <w:u w:val="single"/>
        </w:rPr>
        <w:t>Consultation and Public Comments</w:t>
      </w:r>
    </w:p>
    <w:p w:rsidR="002A4231" w:rsidP="002A4231" w14:paraId="28B332B4" w14:textId="77777777">
      <w:pPr>
        <w:pStyle w:val="NormalWeb"/>
        <w:widowControl w:val="0"/>
        <w:tabs>
          <w:tab w:val="left" w:pos="360"/>
          <w:tab w:val="left" w:pos="720"/>
          <w:tab w:val="left" w:pos="1080"/>
          <w:tab w:val="left" w:pos="1440"/>
        </w:tabs>
        <w:spacing w:before="0" w:beforeAutospacing="0" w:after="0" w:afterAutospacing="0"/>
        <w:ind w:right="187"/>
      </w:pPr>
    </w:p>
    <w:p w:rsidR="08639604" w:rsidP="5315FC11" w14:paraId="41B268E4" w14:textId="3BF91B5B">
      <w:pPr>
        <w:pStyle w:val="NormalWeb"/>
        <w:widowControl w:val="0"/>
        <w:tabs>
          <w:tab w:val="left" w:pos="360"/>
          <w:tab w:val="left" w:pos="720"/>
          <w:tab w:val="left" w:pos="1080"/>
          <w:tab w:val="left" w:pos="1440"/>
        </w:tabs>
        <w:spacing w:before="0" w:beforeAutospacing="0" w:after="0" w:afterAutospacing="0"/>
      </w:pPr>
      <w:r w:rsidRPr="00E938EA">
        <w:t xml:space="preserve">Comments were solicited in a Federal Register notice published on June 17, 2025, at 90 FR 25733, copy attached.  </w:t>
      </w:r>
      <w:r w:rsidR="3BC6A8AA">
        <w:t xml:space="preserve">The comment period ended on August 18, 2025.  </w:t>
      </w:r>
      <w:r>
        <w:t>There</w:t>
      </w:r>
      <w:r w:rsidRPr="00E938EA">
        <w:t xml:space="preserve"> were no comments received.</w:t>
      </w:r>
    </w:p>
    <w:p w:rsidR="00CB2DF7" w:rsidRPr="00E938EA" w:rsidP="5315FC11" w14:paraId="68579CE6" w14:textId="77777777">
      <w:pPr>
        <w:pStyle w:val="NormalWeb"/>
        <w:widowControl w:val="0"/>
        <w:tabs>
          <w:tab w:val="left" w:pos="360"/>
          <w:tab w:val="left" w:pos="720"/>
          <w:tab w:val="left" w:pos="1080"/>
          <w:tab w:val="left" w:pos="1440"/>
        </w:tabs>
        <w:spacing w:before="0" w:beforeAutospacing="0" w:after="0" w:afterAutospacing="0"/>
      </w:pPr>
    </w:p>
    <w:p w:rsidR="005F28B2" w:rsidRPr="00505E03" w:rsidP="5315FC11" w14:paraId="6418D3B1" w14:textId="77777777">
      <w:pPr>
        <w:pStyle w:val="NormalWeb"/>
        <w:widowControl w:val="0"/>
        <w:tabs>
          <w:tab w:val="left" w:pos="360"/>
          <w:tab w:val="left" w:pos="720"/>
          <w:tab w:val="left" w:pos="1080"/>
          <w:tab w:val="left" w:pos="1440"/>
        </w:tabs>
        <w:spacing w:before="0" w:beforeAutospacing="0" w:after="0" w:afterAutospacing="0"/>
      </w:pPr>
    </w:p>
    <w:p w:rsidR="00B747BF" w:rsidRPr="00A06BE2" w:rsidP="002A4231" w14:paraId="5B4C2E05" w14:textId="69596505">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Gifts or Payment</w:t>
      </w:r>
      <w:r w:rsidR="00DB6E44">
        <w:rPr>
          <w:u w:val="single"/>
        </w:rPr>
        <w:t xml:space="preserve">. </w:t>
      </w:r>
    </w:p>
    <w:p w:rsidR="00E938EA" w:rsidP="00E938EA" w14:paraId="702E75FD" w14:textId="77777777">
      <w:pPr>
        <w:pStyle w:val="NormalWeb"/>
        <w:widowControl w:val="0"/>
        <w:tabs>
          <w:tab w:val="left" w:pos="360"/>
          <w:tab w:val="left" w:pos="720"/>
          <w:tab w:val="left" w:pos="1080"/>
          <w:tab w:val="left" w:pos="1440"/>
        </w:tabs>
        <w:spacing w:before="0" w:beforeAutospacing="0" w:after="0" w:afterAutospacing="0"/>
      </w:pPr>
    </w:p>
    <w:p w:rsidR="00DB6E44" w:rsidP="00B9708D" w14:paraId="1813E4F5" w14:textId="4679C71C">
      <w:pPr>
        <w:pStyle w:val="NormalWeb"/>
        <w:widowControl w:val="0"/>
        <w:tabs>
          <w:tab w:val="left" w:pos="360"/>
          <w:tab w:val="left" w:pos="720"/>
          <w:tab w:val="left" w:pos="1080"/>
          <w:tab w:val="left" w:pos="1440"/>
        </w:tabs>
        <w:spacing w:before="0" w:beforeAutospacing="0" w:after="0" w:afterAutospacing="0"/>
        <w:rPr>
          <w:color w:val="000000" w:themeColor="text1"/>
        </w:rPr>
      </w:pPr>
      <w:r w:rsidRPr="00E938EA">
        <w:rPr>
          <w:color w:val="000000" w:themeColor="text1"/>
        </w:rPr>
        <w:t>There are no payments made or gifts given to respondents.</w:t>
      </w:r>
    </w:p>
    <w:p w:rsidR="00CB2DF7" w:rsidRPr="00A06BE2" w:rsidP="00B9708D" w14:paraId="2DA1AF35" w14:textId="77777777">
      <w:pPr>
        <w:pStyle w:val="NormalWeb"/>
        <w:widowControl w:val="0"/>
        <w:tabs>
          <w:tab w:val="left" w:pos="360"/>
          <w:tab w:val="left" w:pos="720"/>
          <w:tab w:val="left" w:pos="1080"/>
          <w:tab w:val="left" w:pos="1440"/>
        </w:tabs>
        <w:spacing w:before="0" w:beforeAutospacing="0" w:after="0" w:afterAutospacing="0"/>
        <w:rPr>
          <w:color w:val="000000" w:themeColor="text1"/>
        </w:rPr>
      </w:pPr>
    </w:p>
    <w:p w:rsidR="245ACE1A" w:rsidP="245ACE1A" w14:paraId="22F23FBC" w14:textId="4255FAB3">
      <w:pPr>
        <w:pStyle w:val="NormalWeb"/>
        <w:widowControl w:val="0"/>
        <w:tabs>
          <w:tab w:val="left" w:pos="360"/>
          <w:tab w:val="left" w:pos="720"/>
          <w:tab w:val="left" w:pos="1080"/>
          <w:tab w:val="left" w:pos="1440"/>
        </w:tabs>
        <w:spacing w:before="0" w:beforeAutospacing="0" w:after="0" w:afterAutospacing="0"/>
      </w:pPr>
    </w:p>
    <w:p w:rsidR="46B41E5E" w:rsidRPr="00A06BE2" w:rsidP="002A4231" w14:paraId="09A4E508" w14:textId="09EEA7D5">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Pr>
          <w:u w:val="single"/>
        </w:rPr>
        <w:t xml:space="preserve">Privacy &amp; </w:t>
      </w:r>
      <w:r w:rsidRPr="00505E03" w:rsidR="00D3303B">
        <w:rPr>
          <w:u w:val="single"/>
        </w:rPr>
        <w:t>Confidentiality</w:t>
      </w:r>
      <w:r w:rsidR="00F02924">
        <w:rPr>
          <w:u w:val="single"/>
        </w:rPr>
        <w:t xml:space="preserve">.  </w:t>
      </w:r>
    </w:p>
    <w:p w:rsidR="00CB2DF7" w:rsidP="00A06BE2" w14:paraId="6D30C79D" w14:textId="77777777">
      <w:pPr>
        <w:widowControl w:val="0"/>
        <w:tabs>
          <w:tab w:val="left" w:pos="360"/>
          <w:tab w:val="left" w:pos="720"/>
          <w:tab w:val="left" w:pos="1080"/>
          <w:tab w:val="left" w:pos="1440"/>
        </w:tabs>
      </w:pPr>
    </w:p>
    <w:p w:rsidR="2829CEC5" w:rsidRPr="00A06BE2" w:rsidP="00A06BE2" w14:paraId="345EF28C" w14:textId="4AA13192">
      <w:pPr>
        <w:rPr>
          <w:rFonts w:ascii="Times New Roman" w:hAnsi="Times New Roman"/>
        </w:rPr>
      </w:pPr>
      <w:r w:rsidRPr="00A06BE2">
        <w:rPr>
          <w:rFonts w:ascii="Times New Roman" w:hAnsi="Times New Roman"/>
        </w:rPr>
        <w:t>There is no assurance of confidentiality provided.</w:t>
      </w:r>
    </w:p>
    <w:p w:rsidR="46B41E5E" w:rsidRPr="00A06BE2" w:rsidP="46B41E5E" w14:paraId="1B82B710" w14:textId="0416276A">
      <w:pPr>
        <w:pStyle w:val="ListParagraph"/>
        <w:widowControl w:val="0"/>
        <w:tabs>
          <w:tab w:val="left" w:pos="360"/>
          <w:tab w:val="left" w:pos="720"/>
          <w:tab w:val="left" w:pos="820"/>
          <w:tab w:val="left" w:pos="821"/>
          <w:tab w:val="left" w:pos="1080"/>
          <w:tab w:val="left" w:pos="1440"/>
        </w:tabs>
        <w:ind w:left="360" w:right="183"/>
        <w:rPr>
          <w:rFonts w:ascii="Times New Roman" w:hAnsi="Times New Roman"/>
        </w:rPr>
      </w:pPr>
    </w:p>
    <w:p w:rsidR="59990190" w:rsidRPr="002C04DE" w:rsidP="00A06BE2" w14:paraId="59615511" w14:textId="4BED6EF6">
      <w:pPr>
        <w:tabs>
          <w:tab w:val="left" w:pos="270"/>
        </w:tabs>
        <w:rPr>
          <w:rFonts w:ascii="Times New Roman" w:eastAsia="Segoe UI" w:hAnsi="Times New Roman"/>
          <w:color w:val="000000" w:themeColor="text1"/>
        </w:rPr>
      </w:pPr>
      <w:r w:rsidRPr="002C04DE">
        <w:rPr>
          <w:rFonts w:ascii="Times New Roman" w:eastAsia="Segoe UI" w:hAnsi="Times New Roman"/>
          <w:color w:val="000000" w:themeColor="text1"/>
        </w:rPr>
        <w:t xml:space="preserve">The information collected is protected to the extent permitted by law, including the Privacy Act, 5 U.S.C. 552a, and the Freedom of Information Act, 5 U.S.C. 552, which prohibits disclosure of confidential or privileged commercial or financial information.  The form includes notices to the respondents regarding the use and disclosure of information submitted to SBA on this form.  </w:t>
      </w:r>
      <w:r w:rsidRPr="00A06BE2" w:rsidR="00A54A41">
        <w:rPr>
          <w:rFonts w:ascii="Times New Roman" w:eastAsia="Segoe UI" w:hAnsi="Times New Roman"/>
          <w:color w:val="000000" w:themeColor="text1"/>
        </w:rPr>
        <w:t xml:space="preserve">The Privacy Act Statement (PAS) and consent from the respondents </w:t>
      </w:r>
      <w:r w:rsidRPr="00A06BE2" w:rsidR="00A54A41">
        <w:rPr>
          <w:rFonts w:ascii="Times New Roman" w:eastAsia="Segoe UI" w:hAnsi="Times New Roman"/>
          <w:color w:val="000000" w:themeColor="text1"/>
        </w:rPr>
        <w:t>is</w:t>
      </w:r>
      <w:r w:rsidRPr="00A06BE2" w:rsidR="00A54A41">
        <w:rPr>
          <w:rFonts w:ascii="Times New Roman" w:eastAsia="Segoe UI" w:hAnsi="Times New Roman"/>
          <w:color w:val="000000" w:themeColor="text1"/>
        </w:rPr>
        <w:t xml:space="preserve"> not included </w:t>
      </w:r>
      <w:r w:rsidRPr="0073071F" w:rsidR="0073071F">
        <w:rPr>
          <w:rFonts w:ascii="Times New Roman" w:eastAsia="Segoe UI" w:hAnsi="Times New Roman"/>
          <w:color w:val="000000" w:themeColor="text1"/>
        </w:rPr>
        <w:t>in</w:t>
      </w:r>
      <w:r w:rsidRPr="00A06BE2" w:rsidR="00A54A41">
        <w:rPr>
          <w:rFonts w:ascii="Times New Roman" w:eastAsia="Segoe UI" w:hAnsi="Times New Roman"/>
          <w:color w:val="000000" w:themeColor="text1"/>
        </w:rPr>
        <w:t xml:space="preserve"> the electronic version within SBA’s </w:t>
      </w:r>
      <w:r w:rsidRPr="00A06BE2" w:rsidR="0073071F">
        <w:rPr>
          <w:rFonts w:ascii="Times New Roman" w:eastAsia="Segoe UI" w:hAnsi="Times New Roman"/>
          <w:color w:val="000000" w:themeColor="text1"/>
        </w:rPr>
        <w:t>ULP</w:t>
      </w:r>
      <w:r w:rsidRPr="00A06BE2" w:rsidR="00A54A41">
        <w:rPr>
          <w:rFonts w:ascii="Times New Roman" w:eastAsia="Segoe UI" w:hAnsi="Times New Roman"/>
          <w:color w:val="000000" w:themeColor="text1"/>
        </w:rPr>
        <w:t xml:space="preserve"> (ULP) </w:t>
      </w:r>
      <w:r w:rsidRPr="00A06BE2" w:rsidR="00A54A41">
        <w:rPr>
          <w:rFonts w:ascii="Times New Roman" w:eastAsia="Segoe UI" w:hAnsi="Times New Roman"/>
          <w:color w:val="000000" w:themeColor="text1"/>
        </w:rPr>
        <w:t>at this time</w:t>
      </w:r>
      <w:r w:rsidRPr="00A06BE2" w:rsidR="00A54A41">
        <w:rPr>
          <w:rFonts w:ascii="Times New Roman" w:eastAsia="Segoe UI" w:hAnsi="Times New Roman"/>
          <w:color w:val="000000" w:themeColor="text1"/>
        </w:rPr>
        <w:t>. A system change request will be made to have the PAS and consent from the respondents incorporated. In addition, SBA will request to add the purpose for collecting the information, burden hours, OMB approval # and expiration date, and certification (including Criminal and Other Penalties for False Statements) in the ULP.</w:t>
      </w:r>
      <w:r w:rsidR="0073071F">
        <w:rPr>
          <w:rFonts w:ascii="Times New Roman" w:eastAsia="Segoe UI" w:hAnsi="Times New Roman"/>
          <w:color w:val="000000" w:themeColor="text1"/>
        </w:rPr>
        <w:t xml:space="preserve"> </w:t>
      </w:r>
      <w:r w:rsidRPr="002C04DE">
        <w:rPr>
          <w:rFonts w:ascii="Times New Roman" w:eastAsia="Segoe UI" w:hAnsi="Times New Roman"/>
          <w:color w:val="000000" w:themeColor="text1"/>
        </w:rPr>
        <w:t xml:space="preserve">Information collected on SBA Form </w:t>
      </w:r>
      <w:r w:rsidRPr="002C04DE" w:rsidR="4D3730B5">
        <w:rPr>
          <w:rFonts w:ascii="Times New Roman" w:eastAsia="Segoe UI" w:hAnsi="Times New Roman"/>
          <w:color w:val="000000" w:themeColor="text1"/>
        </w:rPr>
        <w:t>1366</w:t>
      </w:r>
      <w:r w:rsidRPr="002C04DE">
        <w:rPr>
          <w:rFonts w:ascii="Times New Roman" w:eastAsia="Segoe UI" w:hAnsi="Times New Roman"/>
          <w:color w:val="000000" w:themeColor="text1"/>
        </w:rPr>
        <w:t xml:space="preserve"> is maintained in the Agency’s Privacy Act System of Records as follows:</w:t>
      </w:r>
    </w:p>
    <w:p w:rsidR="00F02924" w:rsidRPr="002C04DE" w:rsidP="00F92988" w14:paraId="5B2F491D" w14:textId="56D2DD38">
      <w:pPr>
        <w:widowControl w:val="0"/>
        <w:tabs>
          <w:tab w:val="left" w:pos="360"/>
          <w:tab w:val="left" w:pos="720"/>
          <w:tab w:val="left" w:pos="820"/>
          <w:tab w:val="left" w:pos="821"/>
          <w:tab w:val="left" w:pos="1080"/>
          <w:tab w:val="left" w:pos="1440"/>
        </w:tabs>
        <w:overflowPunct/>
        <w:adjustRightInd/>
        <w:ind w:right="183"/>
        <w:textAlignment w:val="auto"/>
        <w:rPr>
          <w:rFonts w:ascii="Times New Roman" w:eastAsia="Segoe UI" w:hAnsi="Times New Roman"/>
          <w:color w:val="000000" w:themeColor="text1"/>
        </w:rPr>
      </w:pPr>
      <w:r w:rsidRPr="002C04DE">
        <w:rPr>
          <w:rFonts w:ascii="Times New Roman" w:eastAsia="Segoe UI" w:hAnsi="Times New Roman"/>
          <w:color w:val="000000" w:themeColor="text1"/>
        </w:rPr>
        <w:t xml:space="preserve">SBA 20 -- Disaster Loans Case Files </w:t>
      </w:r>
      <w:hyperlink r:id="rId9" w:anchor="sba20">
        <w:r w:rsidRPr="00A06BE2" w:rsidR="01DAF748">
          <w:rPr>
            <w:rStyle w:val="Hyperlink"/>
            <w:rFonts w:ascii="Times New Roman" w:hAnsi="Times New Roman"/>
          </w:rPr>
          <w:t>https://www.govinfo.gov/content/pkg/PAI-2017-SBA/xml/PAI-2017-SBA.xml#sba20</w:t>
        </w:r>
      </w:hyperlink>
      <w:r w:rsidRPr="00A06BE2" w:rsidR="01DAF748">
        <w:rPr>
          <w:rFonts w:ascii="Times New Roman" w:hAnsi="Times New Roman"/>
          <w:color w:val="000000" w:themeColor="text1"/>
        </w:rPr>
        <w:t>.</w:t>
      </w:r>
      <w:r w:rsidRPr="002C04DE">
        <w:rPr>
          <w:rFonts w:ascii="Times New Roman" w:eastAsia="Segoe UI" w:hAnsi="Times New Roman"/>
          <w:color w:val="000000" w:themeColor="text1"/>
        </w:rPr>
        <w:t xml:space="preserve"> SBA most recently published an updated SORN for SBA 20 on November 19, 2021 (86 FR 64979), which can be located here: </w:t>
      </w:r>
      <w:hyperlink r:id="rId10">
        <w:r w:rsidRPr="00A06BE2" w:rsidR="01DAF748">
          <w:rPr>
            <w:rStyle w:val="Hyperlink"/>
            <w:rFonts w:ascii="Times New Roman" w:hAnsi="Times New Roman"/>
          </w:rPr>
          <w:t>https://www.federalregister.gov/documents/2021/11/19/2021-25276/privacy-act-of-1974-system-of-records-notice</w:t>
        </w:r>
      </w:hyperlink>
      <w:r w:rsidR="0073071F">
        <w:t xml:space="preserve">. </w:t>
      </w:r>
      <w:r w:rsidRPr="002C04DE">
        <w:rPr>
          <w:rFonts w:ascii="Times New Roman" w:eastAsia="Segoe UI" w:hAnsi="Times New Roman"/>
          <w:color w:val="000000" w:themeColor="text1"/>
        </w:rPr>
        <w:t xml:space="preserve">SBA </w:t>
      </w:r>
      <w:r w:rsidRPr="002C04DE">
        <w:rPr>
          <w:rFonts w:ascii="Times New Roman" w:eastAsia="Segoe UI" w:hAnsi="Times New Roman"/>
          <w:color w:val="000000" w:themeColor="text1"/>
        </w:rPr>
        <w:t>adheres</w:t>
      </w:r>
      <w:r w:rsidRPr="002C04DE">
        <w:rPr>
          <w:rFonts w:ascii="Times New Roman" w:eastAsia="Segoe UI" w:hAnsi="Times New Roman"/>
          <w:color w:val="000000" w:themeColor="text1"/>
        </w:rPr>
        <w:t xml:space="preserve"> and complies with its Cybersecurity and Privacy Policy </w:t>
      </w:r>
      <w:r w:rsidRPr="002C04DE">
        <w:rPr>
          <w:rFonts w:ascii="Times New Roman" w:eastAsia="Segoe UI" w:hAnsi="Times New Roman"/>
          <w:color w:val="000000" w:themeColor="text1"/>
        </w:rPr>
        <w:t xml:space="preserve">to maintain privacy and confidentiality of the data collections that are stated in the applicable Privacy Impact Assessment (PIA), specifically, the Capital Access Financial System PIA and </w:t>
      </w:r>
      <w:r w:rsidR="0073071F">
        <w:rPr>
          <w:rFonts w:ascii="Times New Roman" w:eastAsia="Segoe UI" w:hAnsi="Times New Roman"/>
          <w:color w:val="000000" w:themeColor="text1"/>
        </w:rPr>
        <w:t>ULP</w:t>
      </w:r>
      <w:r w:rsidRPr="002C04DE">
        <w:rPr>
          <w:rFonts w:ascii="Times New Roman" w:eastAsia="Segoe UI" w:hAnsi="Times New Roman"/>
          <w:color w:val="000000" w:themeColor="text1"/>
        </w:rPr>
        <w:t xml:space="preserve"> PIA.  The SBA collects controlled unclassified information to include its subcategories of business proprietary information and personally identifiable information such as the business name, individual owner’s name, social security number, address, phone number, and financial assets and debts.  </w:t>
      </w:r>
      <w:r w:rsidRPr="002C04DE" w:rsidR="56A65724">
        <w:rPr>
          <w:rFonts w:ascii="Times New Roman" w:eastAsia="Segoe UI" w:hAnsi="Times New Roman"/>
          <w:color w:val="000000" w:themeColor="text1"/>
        </w:rPr>
        <w:t xml:space="preserve">SBA Form 1366 does not collect respondents’ social security numbers.  </w:t>
      </w:r>
      <w:r w:rsidRPr="002C04DE">
        <w:rPr>
          <w:rFonts w:ascii="Times New Roman" w:eastAsia="Segoe UI" w:hAnsi="Times New Roman"/>
          <w:color w:val="000000" w:themeColor="text1"/>
        </w:rPr>
        <w:t>Applicants are not required to submit proprietary trade secrets, or other confidential information.</w:t>
      </w:r>
      <w:r w:rsidR="007610FE">
        <w:rPr>
          <w:rFonts w:ascii="Times New Roman" w:eastAsia="Segoe UI" w:hAnsi="Times New Roman"/>
          <w:color w:val="000000" w:themeColor="text1"/>
        </w:rPr>
        <w:t xml:space="preserve"> </w:t>
      </w:r>
      <w:r w:rsidRPr="00E938EA">
        <w:rPr>
          <w:rFonts w:ascii="Times New Roman" w:eastAsia="Segoe UI" w:hAnsi="Times New Roman"/>
          <w:color w:val="000000" w:themeColor="text1"/>
        </w:rPr>
        <w:t>Applicants are not required to submit proprietary trade secrets, or other confidential information.</w:t>
      </w:r>
    </w:p>
    <w:p w:rsidR="00E938EA" w:rsidRPr="00E938EA" w:rsidP="00F92988" w14:paraId="758DCD4F"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rPr>
      </w:pPr>
    </w:p>
    <w:p w:rsidR="001B4976" w:rsidRPr="00A06BE2" w:rsidP="00BF468D" w14:paraId="75CAE4A1" w14:textId="151E8AF6">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Sensitive Questions</w:t>
      </w:r>
      <w:r w:rsidR="00376161">
        <w:rPr>
          <w:u w:val="single"/>
        </w:rPr>
        <w:t xml:space="preserve">.  </w:t>
      </w:r>
    </w:p>
    <w:p w:rsidR="00BF468D" w:rsidRPr="001B4976" w:rsidP="00BF468D" w14:paraId="38FDEF37" w14:textId="77777777">
      <w:pPr>
        <w:pStyle w:val="NormalWeb"/>
        <w:widowControl w:val="0"/>
        <w:tabs>
          <w:tab w:val="left" w:pos="360"/>
          <w:tab w:val="left" w:pos="720"/>
          <w:tab w:val="left" w:pos="1080"/>
          <w:tab w:val="left" w:pos="1440"/>
        </w:tabs>
        <w:spacing w:before="0" w:beforeAutospacing="0" w:after="0" w:afterAutospacing="0"/>
      </w:pPr>
    </w:p>
    <w:p w:rsidR="001B4976" w:rsidP="00BA15D9" w14:paraId="54369E5D" w14:textId="5C0A4CC1">
      <w:pPr>
        <w:widowControl w:val="0"/>
        <w:tabs>
          <w:tab w:val="left" w:pos="820"/>
          <w:tab w:val="left" w:pos="821"/>
        </w:tabs>
        <w:overflowPunct/>
        <w:adjustRightInd/>
        <w:ind w:right="195"/>
        <w:textAlignment w:val="auto"/>
        <w:rPr>
          <w:rFonts w:ascii="Times New Roman" w:hAnsi="Times New Roman"/>
        </w:rPr>
      </w:pPr>
      <w:r w:rsidRPr="00A06BE2">
        <w:rPr>
          <w:rFonts w:ascii="Times New Roman" w:hAnsi="Times New Roman"/>
          <w:color w:val="000000" w:themeColor="text1"/>
        </w:rPr>
        <w:t>No questions of a sensitive nature are asked in this information collection; however, because certain loan records are retrieved by a personal identifier, SBA maintains a Privacy Act system of record to protect the disclosure of collected information that is covered by that act.</w:t>
      </w:r>
      <w:r w:rsidRPr="00A06BE2">
        <w:rPr>
          <w:rFonts w:ascii="Times New Roman" w:hAnsi="Times New Roman"/>
        </w:rPr>
        <w:t xml:space="preserve"> </w:t>
      </w:r>
    </w:p>
    <w:p w:rsidR="00BA15D9" w:rsidRPr="00A06BE2" w:rsidP="00A06BE2" w14:paraId="2583D5D3" w14:textId="77777777">
      <w:pPr>
        <w:widowControl w:val="0"/>
        <w:tabs>
          <w:tab w:val="left" w:pos="820"/>
          <w:tab w:val="left" w:pos="821"/>
        </w:tabs>
        <w:overflowPunct/>
        <w:adjustRightInd/>
        <w:ind w:right="195"/>
        <w:textAlignment w:val="auto"/>
        <w:rPr>
          <w:rFonts w:ascii="Times New Roman" w:hAnsi="Times New Roman"/>
        </w:rPr>
      </w:pPr>
    </w:p>
    <w:p w:rsidR="001B4976"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5E436B" w:rsidP="00BF468D" w14:paraId="7DFA3AB8" w14:textId="630DAFEC">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B</w:t>
      </w:r>
      <w:r w:rsidRPr="002F3296" w:rsidR="00D3303B">
        <w:rPr>
          <w:u w:val="single"/>
        </w:rPr>
        <w:t xml:space="preserve">urden </w:t>
      </w:r>
      <w:r w:rsidR="00E77C9D">
        <w:rPr>
          <w:u w:val="single"/>
        </w:rPr>
        <w:t>Estimate</w:t>
      </w:r>
      <w:r w:rsidRPr="002F3296">
        <w:rPr>
          <w:u w:val="single"/>
        </w:rPr>
        <w:t xml:space="preserve">. </w:t>
      </w:r>
    </w:p>
    <w:p w:rsidR="005958EF" w:rsidP="00B9708D" w14:paraId="6109AA70" w14:textId="77777777">
      <w:pPr>
        <w:rPr>
          <w:rFonts w:ascii="Times New Roman" w:hAnsi="Times New Roman"/>
          <w:b/>
        </w:rPr>
      </w:pPr>
    </w:p>
    <w:p w:rsidR="003A71E2" w:rsidRPr="00A06BE2" w:rsidP="00A06BE2" w14:paraId="33965162" w14:textId="188A8D7D">
      <w:pPr>
        <w:tabs>
          <w:tab w:val="left" w:pos="5797"/>
        </w:tabs>
        <w:rPr>
          <w:rFonts w:ascii="Times New Roman" w:hAnsi="Times New Roman"/>
          <w:b/>
        </w:rPr>
      </w:pPr>
      <w:r>
        <w:rPr>
          <w:rFonts w:ascii="Times New Roman" w:hAnsi="Times New Roman"/>
          <w:b/>
        </w:rPr>
        <w:tab/>
      </w:r>
      <w:r>
        <w:rPr>
          <w:rFonts w:ascii="Times New Roman" w:hAnsi="Times New Roman"/>
          <w:b/>
        </w:rPr>
        <w:br w:type="textWrapping" w:clear="all"/>
      </w:r>
      <w:r w:rsidRPr="00A06BE2">
        <w:rPr>
          <w:rFonts w:ascii="Times New Roman" w:hAnsi="Times New Roman"/>
          <w:b/>
        </w:rPr>
        <w:t>Estimate of the hour burden of the collection of information for the respondents:</w:t>
      </w:r>
    </w:p>
    <w:p w:rsidR="003A71E2" w:rsidRPr="00A06BE2" w:rsidP="003A71E2" w14:paraId="28BCF611" w14:textId="77777777">
      <w:pPr>
        <w:pStyle w:val="NoSpacing"/>
        <w:rPr>
          <w:rFonts w:eastAsia="Times New Roman" w:cs="Times New Roman"/>
        </w:rPr>
      </w:pPr>
    </w:p>
    <w:p w:rsidR="003A71E2" w:rsidRPr="00A06BE2" w:rsidP="003A71E2" w14:paraId="7438BF5E" w14:textId="77777777">
      <w:pPr>
        <w:pStyle w:val="NoSpacing"/>
        <w:rPr>
          <w:rFonts w:eastAsia="Times New Roman" w:cs="Times New Roman"/>
        </w:rPr>
      </w:pPr>
      <w:r w:rsidRPr="00A06BE2">
        <w:rPr>
          <w:rFonts w:eastAsia="Times New Roman" w:cs="Times New Roman"/>
        </w:rPr>
        <w:t>Annual number of responses has been determined using the average number of certifications received over the three fiscal years of FY 2022, 2023 and 2024.</w:t>
      </w:r>
    </w:p>
    <w:p w:rsidR="003A71E2" w:rsidRPr="00A06BE2" w:rsidP="003A71E2" w14:paraId="40126725" w14:textId="77777777">
      <w:pPr>
        <w:pStyle w:val="NoSpacing"/>
        <w:rPr>
          <w:rFonts w:eastAsia="Times New Roman" w:cs="Times New Roman"/>
        </w:rPr>
      </w:pPr>
    </w:p>
    <w:tbl>
      <w:tblPr>
        <w:tblW w:w="4964" w:type="dxa"/>
        <w:tblCellMar>
          <w:left w:w="0" w:type="dxa"/>
          <w:right w:w="0" w:type="dxa"/>
        </w:tblCellMar>
        <w:tblLook w:val="04A0"/>
      </w:tblPr>
      <w:tblGrid>
        <w:gridCol w:w="1609"/>
        <w:gridCol w:w="3355"/>
      </w:tblGrid>
      <w:tr w14:paraId="2115C917" w14:textId="77777777" w:rsidTr="539782B5">
        <w:tblPrEx>
          <w:tblW w:w="4964" w:type="dxa"/>
          <w:tblCellMar>
            <w:left w:w="0" w:type="dxa"/>
            <w:right w:w="0" w:type="dxa"/>
          </w:tblCellMar>
          <w:tblLook w:val="04A0"/>
        </w:tblPrEx>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A71E2" w:rsidRPr="00A06BE2" w14:paraId="1D0BC2CC" w14:textId="77777777">
            <w:pPr>
              <w:pStyle w:val="NoSpacing"/>
              <w:rPr>
                <w:rFonts w:eastAsia="Times New Roman" w:cs="Times New Roman"/>
              </w:rPr>
            </w:pP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1E2" w:rsidRPr="00A06BE2" w14:paraId="673CC31B" w14:textId="1E47AAB5">
            <w:pPr>
              <w:pStyle w:val="NoSpacing"/>
              <w:rPr>
                <w:rFonts w:eastAsia="Times New Roman" w:cs="Times New Roman"/>
              </w:rPr>
            </w:pPr>
            <w:r w:rsidRPr="00A06BE2">
              <w:rPr>
                <w:rFonts w:eastAsia="Times New Roman" w:cs="Times New Roman"/>
              </w:rPr>
              <w:t xml:space="preserve">Files </w:t>
            </w:r>
            <w:r w:rsidR="00633F0E">
              <w:rPr>
                <w:rFonts w:eastAsia="Times New Roman" w:cs="Times New Roman"/>
              </w:rPr>
              <w:t xml:space="preserve"> with receipts submitted </w:t>
            </w:r>
            <w:r w:rsidR="004D5BF3">
              <w:rPr>
                <w:rFonts w:eastAsia="Times New Roman" w:cs="Times New Roman"/>
              </w:rPr>
              <w:t>for SBA review</w:t>
            </w:r>
          </w:p>
        </w:tc>
      </w:tr>
      <w:tr w14:paraId="5F499C80" w14:textId="77777777" w:rsidTr="539782B5">
        <w:tblPrEx>
          <w:tblW w:w="4964" w:type="dxa"/>
          <w:tblCellMar>
            <w:left w:w="0" w:type="dxa"/>
            <w:right w:w="0" w:type="dxa"/>
          </w:tblCellMar>
          <w:tblLook w:val="04A0"/>
        </w:tblPrEx>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A71E2" w:rsidRPr="00A06BE2" w14:paraId="5BD02882" w14:textId="77777777">
            <w:pPr>
              <w:pStyle w:val="NoSpacing"/>
              <w:rPr>
                <w:rFonts w:eastAsia="Times New Roman" w:cs="Times New Roman"/>
              </w:rPr>
            </w:pPr>
            <w:r w:rsidRPr="00A06BE2">
              <w:rPr>
                <w:rFonts w:eastAsia="Times New Roman" w:cs="Times New Roman"/>
              </w:rPr>
              <w:t>FY 2022</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3A71E2" w:rsidRPr="00A06BE2" w14:paraId="5BAEE30F" w14:textId="3E6C9FA5">
            <w:pPr>
              <w:pStyle w:val="NoSpacing"/>
              <w:rPr>
                <w:rFonts w:eastAsia="Times New Roman" w:cs="Times New Roman"/>
              </w:rPr>
            </w:pPr>
            <w:r>
              <w:rPr>
                <w:rFonts w:eastAsia="Times New Roman" w:cs="Times New Roman"/>
              </w:rPr>
              <w:t>2,125</w:t>
            </w:r>
          </w:p>
        </w:tc>
      </w:tr>
      <w:tr w14:paraId="29EBEE19" w14:textId="77777777" w:rsidTr="539782B5">
        <w:tblPrEx>
          <w:tblW w:w="4964" w:type="dxa"/>
          <w:tblCellMar>
            <w:left w:w="0" w:type="dxa"/>
            <w:right w:w="0" w:type="dxa"/>
          </w:tblCellMar>
          <w:tblLook w:val="04A0"/>
        </w:tblPrEx>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A71E2" w:rsidRPr="00A06BE2" w14:paraId="2605C37A" w14:textId="77777777">
            <w:pPr>
              <w:pStyle w:val="NoSpacing"/>
              <w:rPr>
                <w:rFonts w:eastAsia="Times New Roman" w:cs="Times New Roman"/>
              </w:rPr>
            </w:pPr>
            <w:r w:rsidRPr="00A06BE2">
              <w:rPr>
                <w:rFonts w:eastAsia="Times New Roman" w:cs="Times New Roman"/>
              </w:rPr>
              <w:t>FY 2023</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3A71E2" w:rsidRPr="00A06BE2" w14:paraId="4628E527" w14:textId="68355821">
            <w:pPr>
              <w:pStyle w:val="NoSpacing"/>
              <w:rPr>
                <w:rFonts w:eastAsia="Times New Roman" w:cs="Times New Roman"/>
              </w:rPr>
            </w:pPr>
            <w:r>
              <w:rPr>
                <w:rFonts w:eastAsia="Times New Roman" w:cs="Times New Roman"/>
              </w:rPr>
              <w:t>5,486</w:t>
            </w:r>
          </w:p>
        </w:tc>
      </w:tr>
      <w:tr w14:paraId="0BE698A7" w14:textId="77777777" w:rsidTr="539782B5">
        <w:tblPrEx>
          <w:tblW w:w="4964" w:type="dxa"/>
          <w:tblCellMar>
            <w:left w:w="0" w:type="dxa"/>
            <w:right w:w="0" w:type="dxa"/>
          </w:tblCellMar>
          <w:tblLook w:val="04A0"/>
        </w:tblPrEx>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A71E2" w:rsidRPr="00A06BE2" w14:paraId="5B1A0242" w14:textId="77777777">
            <w:pPr>
              <w:pStyle w:val="NoSpacing"/>
              <w:rPr>
                <w:rFonts w:eastAsia="Times New Roman" w:cs="Times New Roman"/>
              </w:rPr>
            </w:pPr>
            <w:r w:rsidRPr="00A06BE2">
              <w:rPr>
                <w:rFonts w:eastAsia="Times New Roman" w:cs="Times New Roman"/>
              </w:rPr>
              <w:t>FY 2024</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3A71E2" w:rsidRPr="00A06BE2" w14:paraId="0FD57B44" w14:textId="70F2C9EF">
            <w:pPr>
              <w:pStyle w:val="NoSpacing"/>
              <w:rPr>
                <w:rFonts w:eastAsia="Times New Roman" w:cs="Times New Roman"/>
              </w:rPr>
            </w:pPr>
            <w:r>
              <w:rPr>
                <w:rFonts w:eastAsia="Times New Roman" w:cs="Times New Roman"/>
              </w:rPr>
              <w:t>1,896</w:t>
            </w:r>
          </w:p>
        </w:tc>
      </w:tr>
      <w:tr w14:paraId="1C56EA4E" w14:textId="77777777" w:rsidTr="539782B5">
        <w:tblPrEx>
          <w:tblW w:w="4964" w:type="dxa"/>
          <w:tblCellMar>
            <w:left w:w="0" w:type="dxa"/>
            <w:right w:w="0" w:type="dxa"/>
          </w:tblCellMar>
          <w:tblLook w:val="04A0"/>
        </w:tblPrEx>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A71E2" w:rsidRPr="00A06BE2" w14:paraId="287AF3F2" w14:textId="77777777">
            <w:pPr>
              <w:pStyle w:val="NoSpacing"/>
              <w:rPr>
                <w:rFonts w:eastAsia="Times New Roman" w:cs="Times New Roman"/>
              </w:rPr>
            </w:pPr>
            <w:r w:rsidRPr="00A06BE2">
              <w:rPr>
                <w:rFonts w:eastAsia="Times New Roman" w:cs="Times New Roman"/>
              </w:rPr>
              <w:t>Total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3A71E2" w:rsidRPr="00A06BE2" w14:paraId="0FED4403" w14:textId="2D39D128">
            <w:pPr>
              <w:pStyle w:val="NoSpacing"/>
              <w:rPr>
                <w:rFonts w:eastAsia="Times New Roman" w:cs="Times New Roman"/>
              </w:rPr>
            </w:pPr>
            <w:r>
              <w:rPr>
                <w:rFonts w:eastAsia="Times New Roman" w:cs="Times New Roman"/>
              </w:rPr>
              <w:t>9,507</w:t>
            </w:r>
          </w:p>
        </w:tc>
      </w:tr>
    </w:tbl>
    <w:p w:rsidR="003A71E2" w:rsidRPr="00A06BE2" w:rsidP="003A71E2" w14:paraId="4D676330" w14:textId="77777777">
      <w:pPr>
        <w:pStyle w:val="NoSpacing"/>
        <w:rPr>
          <w:rFonts w:eastAsia="Times New Roman" w:cs="Times New Roman"/>
        </w:rPr>
      </w:pPr>
    </w:p>
    <w:p w:rsidR="003A71E2" w:rsidRPr="00A06BE2" w:rsidP="003A71E2" w14:paraId="125512C4" w14:textId="5D9EA037">
      <w:pPr>
        <w:pStyle w:val="NoSpacing"/>
        <w:rPr>
          <w:rFonts w:eastAsia="Times New Roman" w:cs="Times New Roman"/>
        </w:rPr>
      </w:pPr>
      <w:r>
        <w:rPr>
          <w:rFonts w:eastAsia="Times New Roman" w:cs="Times New Roman"/>
        </w:rPr>
        <w:t>9,507</w:t>
      </w:r>
      <w:r w:rsidRPr="00A06BE2">
        <w:rPr>
          <w:rFonts w:eastAsia="Times New Roman" w:cs="Times New Roman"/>
        </w:rPr>
        <w:t xml:space="preserve"> / 3 = </w:t>
      </w:r>
      <w:r>
        <w:rPr>
          <w:rFonts w:eastAsia="Times New Roman" w:cs="Times New Roman"/>
        </w:rPr>
        <w:t>3,169</w:t>
      </w:r>
      <w:r w:rsidRPr="00A06BE2">
        <w:rPr>
          <w:rFonts w:eastAsia="Times New Roman" w:cs="Times New Roman"/>
        </w:rPr>
        <w:t xml:space="preserve"> average per fiscal year.</w:t>
      </w:r>
    </w:p>
    <w:p w:rsidR="003A71E2" w:rsidRPr="00A06BE2" w:rsidP="003A71E2" w14:paraId="64BD9303" w14:textId="77777777">
      <w:pPr>
        <w:pStyle w:val="NoSpacing"/>
        <w:rPr>
          <w:rFonts w:eastAsia="Times New Roman" w:cs="Times New Roman"/>
        </w:rPr>
      </w:pPr>
    </w:p>
    <w:p w:rsidR="003A71E2" w:rsidRPr="00A06BE2" w:rsidP="539782B5" w14:paraId="57BDC191" w14:textId="2A895AB4">
      <w:pPr>
        <w:pStyle w:val="NoSpacing"/>
        <w:rPr>
          <w:rFonts w:eastAsia="Times New Roman" w:cs="Times New Roman"/>
          <w:b/>
          <w:kern w:val="0"/>
          <w14:ligatures w14:val="none"/>
        </w:rPr>
      </w:pPr>
      <w:r w:rsidRPr="00A06BE2">
        <w:rPr>
          <w:rFonts w:eastAsia="Times New Roman" w:cs="Times New Roman"/>
          <w:b/>
          <w:kern w:val="0"/>
          <w14:ligatures w14:val="none"/>
        </w:rPr>
        <w:t xml:space="preserve">Total burden hours for Respondents: </w:t>
      </w:r>
      <w:r w:rsidR="00B51BF6">
        <w:rPr>
          <w:rFonts w:eastAsia="Times New Roman" w:cs="Times New Roman"/>
          <w:b/>
          <w:kern w:val="0"/>
          <w14:ligatures w14:val="none"/>
        </w:rPr>
        <w:t>3,169</w:t>
      </w:r>
      <w:r w:rsidRPr="00A06BE2" w:rsidR="00B51BF6">
        <w:rPr>
          <w:rFonts w:eastAsia="Times New Roman" w:cs="Times New Roman"/>
          <w:b/>
          <w:kern w:val="0"/>
          <w14:ligatures w14:val="none"/>
        </w:rPr>
        <w:t xml:space="preserve"> </w:t>
      </w:r>
      <w:r w:rsidRPr="00A06BE2">
        <w:rPr>
          <w:rFonts w:eastAsia="Times New Roman" w:cs="Times New Roman"/>
          <w:b/>
          <w:kern w:val="0"/>
          <w14:ligatures w14:val="none"/>
        </w:rPr>
        <w:t xml:space="preserve">x .5 = </w:t>
      </w:r>
      <w:r w:rsidR="00B51BF6">
        <w:rPr>
          <w:rFonts w:eastAsia="Times New Roman" w:cs="Times New Roman"/>
          <w:b/>
          <w:kern w:val="0"/>
          <w14:ligatures w14:val="none"/>
        </w:rPr>
        <w:t>1,584.5</w:t>
      </w:r>
    </w:p>
    <w:p w:rsidR="003A71E2" w:rsidRPr="00A06BE2" w:rsidP="539782B5" w14:paraId="25B7AB99" w14:textId="77777777">
      <w:pPr>
        <w:pStyle w:val="NoSpacing"/>
        <w:rPr>
          <w:rFonts w:eastAsia="Times New Roman" w:cs="Times New Roman"/>
          <w:b/>
          <w:kern w:val="0"/>
          <w14:ligatures w14:val="none"/>
        </w:rPr>
      </w:pPr>
    </w:p>
    <w:p w:rsidR="003A71E2" w:rsidRPr="00A06BE2" w:rsidP="00A06BE2" w14:paraId="123ED0D8" w14:textId="5C8D9F04">
      <w:pPr>
        <w:spacing w:line="259" w:lineRule="auto"/>
        <w:rPr>
          <w:rFonts w:ascii="Times New Roman" w:hAnsi="Times New Roman"/>
        </w:rPr>
      </w:pPr>
      <w:r w:rsidRPr="00A06BE2">
        <w:rPr>
          <w:rFonts w:ascii="Times New Roman" w:hAnsi="Times New Roman"/>
        </w:rPr>
        <w:t>The estimated cost to respondents for the hour burden of information collection is calculated at a salary equivalent to a GS-09, Step 1 Federal employee’s annual salary of $5</w:t>
      </w:r>
      <w:r w:rsidRPr="00A06BE2" w:rsidR="064DF079">
        <w:rPr>
          <w:rFonts w:ascii="Times New Roman" w:hAnsi="Times New Roman"/>
        </w:rPr>
        <w:t>1,332</w:t>
      </w:r>
      <w:r w:rsidRPr="00A06BE2">
        <w:rPr>
          <w:rFonts w:ascii="Times New Roman" w:hAnsi="Times New Roman"/>
        </w:rPr>
        <w:t xml:space="preserve"> or $25/hour (rounded to the nearest whole number) based on the 202</w:t>
      </w:r>
      <w:r w:rsidRPr="00A06BE2" w:rsidR="6E09014C">
        <w:rPr>
          <w:rFonts w:ascii="Times New Roman" w:hAnsi="Times New Roman"/>
        </w:rPr>
        <w:t>4</w:t>
      </w:r>
      <w:r w:rsidRPr="00A06BE2">
        <w:rPr>
          <w:rFonts w:ascii="Times New Roman" w:hAnsi="Times New Roman"/>
        </w:rPr>
        <w:t xml:space="preserve"> General Schedule (Base). The GS-09 pay grade is utilized in preparing this estimate as it is equivalent to the expertise normally required to complete this form.</w:t>
      </w:r>
    </w:p>
    <w:p w:rsidR="003A71E2" w:rsidRPr="00A06BE2" w:rsidP="003A71E2" w14:paraId="0EDEB428" w14:textId="77777777">
      <w:pPr>
        <w:pStyle w:val="NoSpacing"/>
        <w:rPr>
          <w:rFonts w:eastAsia="Times New Roman" w:cs="Times New Roman"/>
        </w:rPr>
      </w:pPr>
    </w:p>
    <w:p w:rsidR="003A71E2" w:rsidRPr="00A06BE2" w:rsidP="003A71E2" w14:paraId="10B2132A" w14:textId="0E15D74E">
      <w:pPr>
        <w:pStyle w:val="NoSpacing"/>
        <w:rPr>
          <w:rFonts w:eastAsia="Times New Roman" w:cs="Times New Roman"/>
          <w:b/>
        </w:rPr>
      </w:pPr>
      <w:r w:rsidRPr="00A06BE2">
        <w:rPr>
          <w:rFonts w:eastAsia="Times New Roman" w:cs="Times New Roman"/>
          <w:b/>
          <w:kern w:val="0"/>
          <w14:ligatures w14:val="none"/>
        </w:rPr>
        <w:t xml:space="preserve">Total combined cost to respondents for burden hours: </w:t>
      </w:r>
      <w:r w:rsidR="00A06BE2">
        <w:rPr>
          <w:rFonts w:eastAsia="Times New Roman" w:cs="Times New Roman"/>
          <w:b/>
          <w:kern w:val="0"/>
          <w14:ligatures w14:val="none"/>
        </w:rPr>
        <w:t xml:space="preserve">1,584.5 </w:t>
      </w:r>
      <w:r w:rsidRPr="00A06BE2" w:rsidR="00A06BE2">
        <w:rPr>
          <w:rFonts w:eastAsia="Times New Roman" w:cs="Times New Roman"/>
          <w:b/>
          <w:kern w:val="0"/>
          <w14:ligatures w14:val="none"/>
        </w:rPr>
        <w:t>x</w:t>
      </w:r>
      <w:r w:rsidRPr="00A06BE2">
        <w:rPr>
          <w:rFonts w:eastAsia="Times New Roman" w:cs="Times New Roman"/>
          <w:b/>
          <w:kern w:val="0"/>
          <w14:ligatures w14:val="none"/>
        </w:rPr>
        <w:t xml:space="preserve"> $25 = $</w:t>
      </w:r>
      <w:r w:rsidR="00B51BF6">
        <w:rPr>
          <w:rFonts w:eastAsia="Times New Roman" w:cs="Times New Roman"/>
          <w:b/>
          <w:kern w:val="0"/>
          <w14:ligatures w14:val="none"/>
        </w:rPr>
        <w:t>39,612.5</w:t>
      </w:r>
    </w:p>
    <w:p w:rsidR="00731F09" w:rsidP="539782B5" w14:paraId="48BCE7D2" w14:textId="77777777">
      <w:pPr>
        <w:pStyle w:val="NormalWeb"/>
        <w:widowControl w:val="0"/>
        <w:tabs>
          <w:tab w:val="left" w:pos="360"/>
          <w:tab w:val="left" w:pos="720"/>
          <w:tab w:val="left" w:pos="1080"/>
          <w:tab w:val="left" w:pos="1440"/>
        </w:tabs>
        <w:spacing w:before="0" w:beforeAutospacing="0" w:after="0" w:afterAutospacing="0"/>
        <w:rPr>
          <w:u w:val="single"/>
        </w:rPr>
      </w:pPr>
    </w:p>
    <w:p w:rsidR="00731F09" w:rsidP="600DB2C3" w14:paraId="7AFB4B52" w14:textId="77777777">
      <w:pPr>
        <w:pStyle w:val="NormalWeb"/>
        <w:widowControl w:val="0"/>
        <w:tabs>
          <w:tab w:val="left" w:pos="360"/>
          <w:tab w:val="left" w:pos="720"/>
          <w:tab w:val="left" w:pos="1080"/>
          <w:tab w:val="left" w:pos="1440"/>
        </w:tabs>
        <w:spacing w:before="0" w:beforeAutospacing="0" w:after="0" w:afterAutospacing="0"/>
        <w:rPr>
          <w:u w:val="single"/>
        </w:rPr>
      </w:pPr>
    </w:p>
    <w:p w:rsidR="00CB0981" w:rsidRPr="00A06BE2" w:rsidP="00F92988" w14:paraId="587708E3" w14:textId="77777777">
      <w:pPr>
        <w:pStyle w:val="Default"/>
        <w:widowControl w:val="0"/>
        <w:rPr>
          <w:rFonts w:ascii="Times New Roman" w:eastAsia="Times New Roman" w:hAnsi="Times New Roman"/>
          <w:color w:val="auto"/>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922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0"/>
            </w:tblGrid>
            <w:tr w14:paraId="007E05CC" w14:textId="77777777" w:rsidTr="00A06BE2">
              <w:tblPrEx>
                <w:tblW w:w="922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3F424691" w14:textId="655295BC">
                  <w:pPr>
                    <w:widowControl w:val="0"/>
                    <w:rPr>
                      <w:rFonts w:ascii="Times New Roman" w:hAnsi="Times New Roman"/>
                      <w:b/>
                    </w:rPr>
                  </w:pPr>
                </w:p>
              </w:tc>
              <w:tc>
                <w:tcPr>
                  <w:tcW w:w="1334"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6C9A0822" w14:textId="2C473F30">
                  <w:pPr>
                    <w:widowControl w:val="0"/>
                    <w:rPr>
                      <w:rFonts w:ascii="Times New Roman" w:hAnsi="Times New Roman"/>
                      <w:b/>
                    </w:rPr>
                  </w:pPr>
                  <w:r w:rsidRPr="00A06BE2">
                    <w:rPr>
                      <w:rFonts w:ascii="Times New Roman" w:hAnsi="Times New Roman"/>
                      <w:b/>
                    </w:rPr>
                    <w:t>Requested</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6C36E9EC" w14:textId="444FF1E0">
                  <w:pPr>
                    <w:widowControl w:val="0"/>
                    <w:rPr>
                      <w:rFonts w:ascii="Times New Roman" w:hAnsi="Times New Roman"/>
                      <w:b/>
                    </w:rPr>
                  </w:pPr>
                  <w:r w:rsidRPr="00A06BE2">
                    <w:rPr>
                      <w:rFonts w:ascii="Times New Roman" w:hAnsi="Times New Roman"/>
                      <w:b/>
                    </w:rPr>
                    <w:t>Program Change Due to New Statute</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11B90064" w14:textId="49FEE542">
                  <w:pPr>
                    <w:widowControl w:val="0"/>
                    <w:rPr>
                      <w:rFonts w:ascii="Times New Roman" w:hAnsi="Times New Roman"/>
                      <w:b/>
                    </w:rPr>
                  </w:pPr>
                  <w:r w:rsidRPr="00A06BE2">
                    <w:rPr>
                      <w:rFonts w:ascii="Times New Roman" w:hAnsi="Times New Roman"/>
                      <w:b/>
                    </w:rPr>
                    <w:t>Program Change Due to Agency Discretion</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0150C756" w14:textId="52ADE85F">
                  <w:pPr>
                    <w:widowControl w:val="0"/>
                    <w:rPr>
                      <w:rFonts w:ascii="Times New Roman" w:hAnsi="Times New Roman"/>
                      <w:b/>
                    </w:rPr>
                  </w:pPr>
                  <w:r w:rsidRPr="00A06BE2">
                    <w:rPr>
                      <w:rFonts w:ascii="Times New Roman" w:hAnsi="Times New Roman"/>
                      <w:b/>
                    </w:rPr>
                    <w:t>Change Due to Adjustment in Agency Estimate</w:t>
                  </w:r>
                </w:p>
              </w:tc>
              <w:tc>
                <w:tcPr>
                  <w:tcW w:w="977"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12FBDAE7" w14:textId="74B864B7">
                  <w:pPr>
                    <w:widowControl w:val="0"/>
                    <w:rPr>
                      <w:rFonts w:ascii="Times New Roman" w:hAnsi="Times New Roman"/>
                      <w:b/>
                    </w:rPr>
                  </w:pPr>
                  <w:r w:rsidRPr="00A06BE2">
                    <w:rPr>
                      <w:rFonts w:ascii="Times New Roman" w:hAnsi="Times New Roman"/>
                      <w:b/>
                    </w:rPr>
                    <w:t>Change Due to Potential Violation of the PRA</w:t>
                  </w:r>
                </w:p>
              </w:tc>
              <w:tc>
                <w:tcPr>
                  <w:tcW w:w="1110"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63098D49" w14:textId="60FCC95F">
                  <w:pPr>
                    <w:widowControl w:val="0"/>
                    <w:rPr>
                      <w:rFonts w:ascii="Times New Roman" w:hAnsi="Times New Roman"/>
                      <w:b/>
                    </w:rPr>
                  </w:pPr>
                  <w:r w:rsidRPr="00A06BE2">
                    <w:rPr>
                      <w:rFonts w:ascii="Times New Roman" w:hAnsi="Times New Roman"/>
                      <w:b/>
                    </w:rPr>
                    <w:t>Previously Approved</w:t>
                  </w:r>
                </w:p>
              </w:tc>
            </w:tr>
            <w:tr w14:paraId="6750197D" w14:textId="77777777" w:rsidTr="00E65CD0">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7DB11DDA" w14:textId="5CC63C51">
                  <w:pPr>
                    <w:widowControl w:val="0"/>
                    <w:rPr>
                      <w:rFonts w:ascii="Times New Roman" w:hAnsi="Times New Roman"/>
                    </w:rPr>
                  </w:pPr>
                  <w:r w:rsidRPr="00A06BE2">
                    <w:rPr>
                      <w:rFonts w:ascii="Times New Roman" w:hAnsi="Times New Roman"/>
                    </w:rPr>
                    <w:t>Annual Number of Responses for this IC</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ED31DA0" w14:textId="385AB843">
                  <w:pPr>
                    <w:widowControl w:val="0"/>
                    <w:rPr>
                      <w:rFonts w:ascii="Times New Roman" w:hAnsi="Times New Roman"/>
                    </w:rPr>
                  </w:pPr>
                  <w:r>
                    <w:rPr>
                      <w:rFonts w:ascii="Times New Roman" w:hAnsi="Times New Roman"/>
                    </w:rPr>
                    <w:t>3,169</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42431A8" w14:textId="77777777">
                  <w:pPr>
                    <w:widowControl w:val="0"/>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B91CC28" w14:textId="77777777">
                  <w:pPr>
                    <w:widowControl w:val="0"/>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7351D100" w14:textId="3A04A44E">
                  <w:pPr>
                    <w:widowControl w:val="0"/>
                    <w:rPr>
                      <w:rFonts w:ascii="Times New Roman" w:hAnsi="Times New Roman"/>
                    </w:rPr>
                  </w:pPr>
                  <w:r>
                    <w:rPr>
                      <w:rFonts w:ascii="Times New Roman" w:hAnsi="Times New Roman"/>
                    </w:rPr>
                    <w:t>-</w:t>
                  </w:r>
                  <w:r w:rsidR="004D5BF3">
                    <w:rPr>
                      <w:rFonts w:ascii="Times New Roman" w:hAnsi="Times New Roman"/>
                    </w:rPr>
                    <w:t>22,513</w:t>
                  </w: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24CBEF3A" w14:textId="77777777">
                  <w:pPr>
                    <w:widowControl w:val="0"/>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3EA55239" w14:textId="372DD208">
                  <w:pPr>
                    <w:widowControl w:val="0"/>
                    <w:rPr>
                      <w:rFonts w:ascii="Times New Roman" w:hAnsi="Times New Roman"/>
                    </w:rPr>
                  </w:pPr>
                  <w:r w:rsidRPr="00A06BE2">
                    <w:rPr>
                      <w:rFonts w:ascii="Times New Roman" w:hAnsi="Times New Roman"/>
                    </w:rPr>
                    <w:t>25,682</w:t>
                  </w:r>
                </w:p>
              </w:tc>
            </w:tr>
            <w:tr w14:paraId="7371ED47" w14:textId="77777777" w:rsidTr="00E65CD0">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6EEC6E0" w14:textId="3C04E477">
                  <w:pPr>
                    <w:widowControl w:val="0"/>
                    <w:rPr>
                      <w:rFonts w:ascii="Times New Roman" w:hAnsi="Times New Roman"/>
                    </w:rPr>
                  </w:pPr>
                  <w:r w:rsidRPr="00A06BE2">
                    <w:rPr>
                      <w:rFonts w:ascii="Times New Roman" w:hAnsi="Times New Roman"/>
                    </w:rPr>
                    <w:t>Annual IC Time Burden (Hour)</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1503986" w14:textId="0B5BA3E8">
                  <w:pPr>
                    <w:widowControl w:val="0"/>
                    <w:rPr>
                      <w:rFonts w:ascii="Times New Roman" w:hAnsi="Times New Roman"/>
                    </w:rPr>
                  </w:pPr>
                  <w:r>
                    <w:rPr>
                      <w:rFonts w:ascii="Times New Roman" w:hAnsi="Times New Roman"/>
                    </w:rPr>
                    <w:t>1,584.5</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4DBB7B5B" w14:textId="77777777">
                  <w:pPr>
                    <w:widowControl w:val="0"/>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2C783C4F" w14:textId="77777777">
                  <w:pPr>
                    <w:widowControl w:val="0"/>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BAE6BE8" w14:textId="0162FFCA">
                  <w:pPr>
                    <w:widowControl w:val="0"/>
                    <w:rPr>
                      <w:rFonts w:ascii="Times New Roman" w:hAnsi="Times New Roman"/>
                    </w:rPr>
                  </w:pPr>
                  <w:r>
                    <w:rPr>
                      <w:rFonts w:ascii="Times New Roman" w:hAnsi="Times New Roman"/>
                    </w:rPr>
                    <w:t>-11,256.5</w:t>
                  </w: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D6E6885" w14:textId="77777777">
                  <w:pPr>
                    <w:widowControl w:val="0"/>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FAC637F" w14:textId="5D9A0D78">
                  <w:pPr>
                    <w:widowControl w:val="0"/>
                    <w:rPr>
                      <w:rFonts w:ascii="Times New Roman" w:hAnsi="Times New Roman"/>
                    </w:rPr>
                  </w:pPr>
                  <w:r w:rsidRPr="00A06BE2">
                    <w:rPr>
                      <w:rFonts w:ascii="Times New Roman" w:hAnsi="Times New Roman"/>
                    </w:rPr>
                    <w:t>12,841</w:t>
                  </w:r>
                </w:p>
              </w:tc>
            </w:tr>
            <w:tr w14:paraId="5A736FEC" w14:textId="77777777" w:rsidTr="00E65CD0">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74A8BD71" w14:textId="22BD786F">
                  <w:pPr>
                    <w:widowControl w:val="0"/>
                    <w:rPr>
                      <w:rFonts w:ascii="Times New Roman" w:hAnsi="Times New Roman"/>
                    </w:rPr>
                  </w:pPr>
                  <w:r w:rsidRPr="00A06BE2">
                    <w:rPr>
                      <w:rFonts w:ascii="Times New Roman" w:hAnsi="Times New Roman"/>
                    </w:rPr>
                    <w:t>Annual IC Cost Burden (Dollars)</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878939C" w14:textId="35FD3E6B">
                  <w:pPr>
                    <w:widowControl w:val="0"/>
                    <w:rPr>
                      <w:rFonts w:ascii="Times New Roman" w:hAnsi="Times New Roman"/>
                    </w:rPr>
                  </w:pPr>
                  <w:r>
                    <w:rPr>
                      <w:rFonts w:ascii="Times New Roman" w:hAnsi="Times New Roman"/>
                    </w:rPr>
                    <w:t>39,612.5</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4C38F62" w14:textId="77777777">
                  <w:pPr>
                    <w:widowControl w:val="0"/>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2D604F8F" w14:textId="77777777">
                  <w:pPr>
                    <w:widowControl w:val="0"/>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2D8FA30" w14:textId="1F620AA9">
                  <w:pPr>
                    <w:widowControl w:val="0"/>
                    <w:rPr>
                      <w:rFonts w:ascii="Times New Roman" w:hAnsi="Times New Roman"/>
                    </w:rPr>
                  </w:pPr>
                  <w:r>
                    <w:rPr>
                      <w:rFonts w:ascii="Times New Roman" w:hAnsi="Times New Roman"/>
                    </w:rPr>
                    <w:t>-324,558.5</w:t>
                  </w: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3902EA17" w14:textId="77777777">
                  <w:pPr>
                    <w:widowControl w:val="0"/>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3FDB485A" w14:textId="41DABE31">
                  <w:pPr>
                    <w:widowControl w:val="0"/>
                    <w:rPr>
                      <w:rFonts w:ascii="Times New Roman" w:hAnsi="Times New Roman"/>
                    </w:rPr>
                  </w:pPr>
                  <w:r w:rsidRPr="00A06BE2">
                    <w:rPr>
                      <w:rFonts w:ascii="Times New Roman" w:hAnsi="Times New Roman"/>
                    </w:rPr>
                    <w:t>364,171</w:t>
                  </w:r>
                </w:p>
              </w:tc>
            </w:tr>
          </w:tbl>
          <w:p w:rsidR="00CB0981" w:rsidRPr="00A06BE2" w:rsidP="00F92988" w14:paraId="199998AA" w14:textId="77777777">
            <w:pPr>
              <w:widowControl w:val="0"/>
              <w:rPr>
                <w:rFonts w:ascii="Times New Roman" w:hAnsi="Times New Roman"/>
              </w:rPr>
            </w:pPr>
          </w:p>
        </w:tc>
      </w:tr>
    </w:tbl>
    <w:p w:rsidR="00CB0981" w:rsidRPr="00A06BE2" w:rsidP="00F92988" w14:paraId="1BB11874" w14:textId="77777777">
      <w:pPr>
        <w:pStyle w:val="Default"/>
        <w:widowControl w:val="0"/>
        <w:rPr>
          <w:rFonts w:ascii="Times New Roman" w:eastAsia="Times New Roman" w:hAnsi="Times New Roman"/>
        </w:rPr>
      </w:pPr>
    </w:p>
    <w:p w:rsidR="00CB0981" w:rsidRPr="00A06BE2" w:rsidP="00F92988" w14:paraId="746F0968" w14:textId="77777777">
      <w:pPr>
        <w:pStyle w:val="Default"/>
        <w:widowControl w:val="0"/>
        <w:rPr>
          <w:rFonts w:ascii="Times New Roman" w:eastAsia="Times New Roman" w:hAnsi="Times New Roman"/>
        </w:rPr>
      </w:pPr>
    </w:p>
    <w:tbl>
      <w:tblPr>
        <w:tblW w:w="5000" w:type="pct"/>
        <w:tblCellSpacing w:w="22" w:type="dxa"/>
        <w:tblCellMar>
          <w:left w:w="0" w:type="dxa"/>
          <w:right w:w="0" w:type="dxa"/>
        </w:tblCellMar>
        <w:tblLook w:val="04A0"/>
      </w:tblPr>
      <w:tblGrid>
        <w:gridCol w:w="9248"/>
        <w:gridCol w:w="112"/>
      </w:tblGrid>
      <w:tr w14:paraId="4425DE0B" w14:textId="77777777" w:rsidTr="00D679BB">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A06BE2" w:rsidP="00F92988" w14:paraId="62C8C793" w14:textId="77777777">
            <w:pPr>
              <w:widowControl w:val="0"/>
              <w:rPr>
                <w:rFonts w:ascii="Times New Roman" w:hAnsi="Times New Roman"/>
              </w:rPr>
            </w:pPr>
            <w:r w:rsidRPr="00A06BE2">
              <w:rPr>
                <w:rFonts w:ascii="Times New Roman" w:hAnsi="Times New Roman"/>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4B9D48B7" w14:textId="77777777">
                  <w:pPr>
                    <w:widowControl w:val="0"/>
                    <w:jc w:val="center"/>
                    <w:rPr>
                      <w:rFonts w:ascii="Times New Roman" w:hAnsi="Times New Roman"/>
                      <w:b/>
                    </w:rPr>
                  </w:pPr>
                  <w:r w:rsidRPr="00A06BE2">
                    <w:rPr>
                      <w:rFonts w:ascii="Times New Roman" w:hAnsi="Times New Roman"/>
                      <w:b/>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6BFB670D" w14:textId="77777777">
                  <w:pPr>
                    <w:widowControl w:val="0"/>
                    <w:jc w:val="center"/>
                    <w:rPr>
                      <w:rFonts w:ascii="Times New Roman" w:hAnsi="Times New Roman"/>
                      <w:b/>
                    </w:rPr>
                  </w:pPr>
                  <w:r w:rsidRPr="00A06BE2">
                    <w:rPr>
                      <w:rFonts w:ascii="Times New Roman" w:hAnsi="Times New Roman"/>
                      <w:b/>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26AD3E02" w14:textId="77777777">
                  <w:pPr>
                    <w:widowControl w:val="0"/>
                    <w:jc w:val="center"/>
                    <w:rPr>
                      <w:rFonts w:ascii="Times New Roman" w:hAnsi="Times New Roman"/>
                      <w:b/>
                    </w:rPr>
                  </w:pPr>
                  <w:r w:rsidRPr="00A06BE2">
                    <w:rPr>
                      <w:rFonts w:ascii="Times New Roman" w:hAnsi="Times New Roman"/>
                      <w:b/>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5F3095F0" w14:textId="77777777">
                  <w:pPr>
                    <w:widowControl w:val="0"/>
                    <w:jc w:val="center"/>
                    <w:rPr>
                      <w:rFonts w:ascii="Times New Roman" w:hAnsi="Times New Roman"/>
                      <w:b/>
                    </w:rPr>
                  </w:pPr>
                  <w:r w:rsidRPr="00A06BE2">
                    <w:rPr>
                      <w:rFonts w:ascii="Times New Roman" w:hAnsi="Times New Roman"/>
                      <w:b/>
                    </w:rPr>
                    <w:t xml:space="preserve">Cost Per Response </w:t>
                  </w:r>
                </w:p>
              </w:tc>
            </w:tr>
            <w:tr w14:paraId="065BCFFA" w14:textId="77777777" w:rsidTr="4B02738B">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0912CBF" w14:textId="77777777">
                  <w:pPr>
                    <w:widowControl w:val="0"/>
                    <w:rPr>
                      <w:rFonts w:ascii="Times New Roman" w:hAnsi="Times New Roman"/>
                    </w:rPr>
                  </w:pPr>
                  <w:r w:rsidRPr="00A06BE2">
                    <w:rPr>
                      <w:rFonts w:ascii="Times New Roman" w:hAnsi="Times New Roman"/>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C6E4532" w14:textId="073A3888">
                  <w:pPr>
                    <w:widowControl w:val="0"/>
                    <w:rPr>
                      <w:rFonts w:ascii="Times New Roman" w:hAnsi="Times New Roman"/>
                    </w:rPr>
                  </w:pPr>
                  <w:r w:rsidRPr="00A06BE2">
                    <w:rPr>
                      <w:rFonts w:ascii="Times New Roman" w:hAnsi="Times New Roman"/>
                    </w:rPr>
                    <w:t>.5</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D6176A5" w14:textId="4C5E682C">
                  <w:pPr>
                    <w:widowControl w:val="0"/>
                    <w:rPr>
                      <w:rFonts w:ascii="Times New Roman" w:hAnsi="Times New Roman"/>
                    </w:rPr>
                  </w:pPr>
                  <w:r w:rsidRPr="00A06BE2">
                    <w:rPr>
                      <w:rFonts w:ascii="Times New Roman" w:hAnsi="Times New Roman"/>
                    </w:rPr>
                    <w:t>.</w:t>
                  </w:r>
                  <w:r w:rsidRPr="00A06BE2" w:rsidR="00B7428F">
                    <w:rPr>
                      <w:rFonts w:ascii="Times New Roman" w:hAnsi="Times New Roman"/>
                    </w:rPr>
                    <w:t>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F1150F6" w14:textId="552838C3">
                  <w:pPr>
                    <w:widowControl w:val="0"/>
                    <w:rPr>
                      <w:rFonts w:ascii="Times New Roman" w:hAnsi="Times New Roman"/>
                    </w:rPr>
                  </w:pPr>
                  <w:r w:rsidRPr="00A06BE2">
                    <w:rPr>
                      <w:rFonts w:ascii="Times New Roman" w:hAnsi="Times New Roman"/>
                    </w:rPr>
                    <w:t>$12.50</w:t>
                  </w:r>
                </w:p>
              </w:tc>
            </w:tr>
            <w:tr w14:paraId="1860E121" w14:textId="77777777" w:rsidTr="4B02738B">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B465ECC" w14:textId="77777777">
                  <w:pPr>
                    <w:widowControl w:val="0"/>
                    <w:rPr>
                      <w:rFonts w:ascii="Times New Roman" w:hAnsi="Times New Roman"/>
                    </w:rPr>
                  </w:pPr>
                  <w:r w:rsidRPr="00A06BE2">
                    <w:rPr>
                      <w:rFonts w:ascii="Times New Roman" w:hAnsi="Times New Roman"/>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25AF7BB2" w14:textId="77777777">
                  <w:pPr>
                    <w:widowControl w:val="0"/>
                    <w:rPr>
                      <w:rFonts w:ascii="Times New Roman" w:hAnsi="Times New Roman"/>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8292F5C" w14:textId="77777777">
                  <w:pPr>
                    <w:widowControl w:val="0"/>
                    <w:rPr>
                      <w:rFonts w:ascii="Times New Roman" w:hAnsi="Times New Roman"/>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3F0AB224" w14:textId="77777777">
                  <w:pPr>
                    <w:widowControl w:val="0"/>
                    <w:rPr>
                      <w:rFonts w:ascii="Times New Roman" w:hAnsi="Times New Roman"/>
                    </w:rPr>
                  </w:pPr>
                </w:p>
              </w:tc>
            </w:tr>
            <w:tr w14:paraId="2B4EFC4C" w14:textId="77777777" w:rsidTr="4B02738B">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7A95E7E" w14:textId="77777777">
                  <w:pPr>
                    <w:widowControl w:val="0"/>
                    <w:rPr>
                      <w:rFonts w:ascii="Times New Roman" w:hAnsi="Times New Roman"/>
                    </w:rPr>
                  </w:pPr>
                  <w:r w:rsidRPr="00A06BE2">
                    <w:rPr>
                      <w:rFonts w:ascii="Times New Roman" w:hAnsi="Times New Roman"/>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79AE7C2" w14:textId="77777777">
                  <w:pPr>
                    <w:widowControl w:val="0"/>
                    <w:rPr>
                      <w:rFonts w:ascii="Times New Roman" w:hAnsi="Times New Roman"/>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2CB9CB1B" w14:textId="77777777">
                  <w:pPr>
                    <w:widowControl w:val="0"/>
                    <w:rPr>
                      <w:rFonts w:ascii="Times New Roman" w:hAnsi="Times New Roman"/>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EB1852D" w14:textId="77777777">
                  <w:pPr>
                    <w:widowControl w:val="0"/>
                    <w:rPr>
                      <w:rFonts w:ascii="Times New Roman" w:hAnsi="Times New Roman"/>
                    </w:rPr>
                  </w:pPr>
                </w:p>
              </w:tc>
            </w:tr>
            <w:tr w14:paraId="42676A53" w14:textId="77777777" w:rsidTr="4B02738B">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031A749" w14:textId="77777777">
                  <w:pPr>
                    <w:widowControl w:val="0"/>
                    <w:rPr>
                      <w:rFonts w:ascii="Times New Roman" w:hAnsi="Times New Roman"/>
                    </w:rPr>
                  </w:pPr>
                  <w:r w:rsidRPr="00A06BE2">
                    <w:rPr>
                      <w:rFonts w:ascii="Times New Roman" w:hAnsi="Times New Roman"/>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BEB4D6C" w14:textId="225DCCC7">
                  <w:pPr>
                    <w:widowControl w:val="0"/>
                    <w:rPr>
                      <w:rFonts w:ascii="Times New Roman" w:hAnsi="Times New Roman"/>
                    </w:rPr>
                  </w:pPr>
                  <w:r w:rsidRPr="00A06BE2">
                    <w:rPr>
                      <w:rFonts w:ascii="Times New Roman" w:hAnsi="Times New Roman"/>
                    </w:rPr>
                    <w:t xml:space="preserve">  </w:t>
                  </w:r>
                  <w:r w:rsidRPr="00A06BE2" w:rsidR="00DB01E0">
                    <w:rPr>
                      <w:rFonts w:ascii="Times New Roman" w:hAnsi="Times New Roman"/>
                    </w:rPr>
                    <w:t>.5</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D060106" w14:textId="401A3159">
                  <w:pPr>
                    <w:widowControl w:val="0"/>
                    <w:rPr>
                      <w:rFonts w:ascii="Times New Roman" w:hAnsi="Times New Roman"/>
                    </w:rPr>
                  </w:pPr>
                  <w:r w:rsidRPr="00A06BE2">
                    <w:rPr>
                      <w:rFonts w:ascii="Times New Roman" w:hAnsi="Times New Roman"/>
                    </w:rPr>
                    <w:t>.5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A622663" w14:textId="36D9B4D0">
                  <w:pPr>
                    <w:widowControl w:val="0"/>
                    <w:jc w:val="right"/>
                    <w:rPr>
                      <w:rFonts w:ascii="Times New Roman" w:hAnsi="Times New Roman"/>
                    </w:rPr>
                  </w:pPr>
                  <w:r w:rsidRPr="00A06BE2">
                    <w:rPr>
                      <w:rFonts w:ascii="Times New Roman" w:hAnsi="Times New Roman"/>
                    </w:rPr>
                    <w:t>$12.50</w:t>
                  </w:r>
                  <w:r w:rsidRPr="00A06BE2">
                    <w:rPr>
                      <w:rFonts w:ascii="Times New Roman" w:hAnsi="Times New Roman"/>
                    </w:rPr>
                    <w:t> </w:t>
                  </w:r>
                </w:p>
              </w:tc>
            </w:tr>
          </w:tbl>
          <w:p w:rsidR="00CB0981" w:rsidRPr="00A06BE2" w:rsidP="00F92988" w14:paraId="1466BB23" w14:textId="77777777">
            <w:pPr>
              <w:widowControl w:val="0"/>
              <w:rPr>
                <w:rFonts w:ascii="Times New Roman" w:hAnsi="Times New Roman"/>
              </w:rPr>
            </w:pPr>
          </w:p>
        </w:tc>
      </w:tr>
      <w:tr w14:paraId="593A7842" w14:textId="77777777" w:rsidTr="00D679BB">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A06BE2" w:rsidP="00F92988" w14:paraId="7BC42BE7" w14:textId="77777777">
            <w:pPr>
              <w:widowControl w:val="0"/>
              <w:rPr>
                <w:rFonts w:ascii="Times New Roman" w:hAnsi="Times New Roman"/>
              </w:rPr>
            </w:pPr>
          </w:p>
          <w:p w:rsidR="00CB0981" w:rsidRPr="00A06BE2" w:rsidP="00F92988" w14:paraId="2FD529F1" w14:textId="77777777">
            <w:pPr>
              <w:widowControl w:val="0"/>
              <w:rPr>
                <w:rFonts w:ascii="Times New Roman" w:hAnsi="Times New Roman"/>
              </w:rPr>
            </w:pPr>
            <w:r w:rsidRPr="00A06BE2">
              <w:rPr>
                <w:rFonts w:ascii="Times New Roman" w:hAnsi="Times New Roman"/>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1FB6C11E" w14:textId="77777777">
                  <w:pPr>
                    <w:widowControl w:val="0"/>
                    <w:jc w:val="center"/>
                    <w:rPr>
                      <w:rFonts w:ascii="Times New Roman" w:hAnsi="Times New Roman"/>
                      <w:b/>
                    </w:rPr>
                  </w:pPr>
                  <w:r w:rsidRPr="00A06BE2">
                    <w:rPr>
                      <w:rFonts w:ascii="Times New Roman" w:hAnsi="Times New Roman"/>
                      <w:b/>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A06BE2" w:rsidP="00F92988" w14:paraId="411B6913" w14:textId="77777777">
                  <w:pPr>
                    <w:widowControl w:val="0"/>
                    <w:jc w:val="center"/>
                    <w:rPr>
                      <w:rFonts w:ascii="Times New Roman" w:hAnsi="Times New Roman"/>
                      <w:b/>
                    </w:rPr>
                  </w:pPr>
                  <w:r w:rsidRPr="00A06BE2">
                    <w:rPr>
                      <w:rFonts w:ascii="Times New Roman" w:hAnsi="Times New Roman"/>
                      <w:b/>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A06BE2" w:rsidP="00F92988" w14:paraId="052B5986" w14:textId="77777777">
                  <w:pPr>
                    <w:widowControl w:val="0"/>
                    <w:jc w:val="center"/>
                    <w:rPr>
                      <w:rFonts w:ascii="Times New Roman" w:hAnsi="Times New Roman"/>
                      <w:b/>
                    </w:rPr>
                  </w:pPr>
                  <w:r w:rsidRPr="00A06BE2">
                    <w:rPr>
                      <w:rFonts w:ascii="Times New Roman" w:hAnsi="Times New Roman"/>
                      <w:b/>
                    </w:rPr>
                    <w:t>Annual Cost Burden</w:t>
                  </w:r>
                </w:p>
                <w:p w:rsidR="00CB0981" w:rsidRPr="00A06BE2" w:rsidP="00F92988" w14:paraId="539ADB30" w14:textId="6B161D14">
                  <w:pPr>
                    <w:widowControl w:val="0"/>
                    <w:jc w:val="center"/>
                    <w:rPr>
                      <w:rFonts w:ascii="Times New Roman" w:hAnsi="Times New Roman"/>
                      <w:b/>
                    </w:rPr>
                  </w:pPr>
                  <w:r w:rsidRPr="00A06BE2">
                    <w:rPr>
                      <w:rFonts w:ascii="Times New Roman" w:hAnsi="Times New Roman"/>
                      <w:b/>
                    </w:rPr>
                    <w:t xml:space="preserve">(Dollars) </w:t>
                  </w:r>
                </w:p>
              </w:tc>
            </w:tr>
            <w:tr w14:paraId="4BEFA77D" w14:textId="77777777" w:rsidTr="4B02738B">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49183E06" w14:textId="77777777">
                  <w:pPr>
                    <w:widowControl w:val="0"/>
                    <w:rPr>
                      <w:rFonts w:ascii="Times New Roman" w:hAnsi="Times New Roman"/>
                    </w:rPr>
                  </w:pPr>
                  <w:r w:rsidRPr="00A06BE2">
                    <w:rPr>
                      <w:rFonts w:ascii="Times New Roman" w:hAnsi="Times New Roman"/>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42104BB7" w14:textId="4F5056CD">
                  <w:pPr>
                    <w:widowControl w:val="0"/>
                    <w:rPr>
                      <w:rFonts w:ascii="Times New Roman" w:hAnsi="Times New Roman"/>
                    </w:rPr>
                  </w:pPr>
                  <w:r>
                    <w:rPr>
                      <w:rFonts w:ascii="Times New Roman" w:hAnsi="Times New Roman"/>
                    </w:rPr>
                    <w:t>1,584.5</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063575AA" w14:textId="581EDEB2">
                  <w:pPr>
                    <w:widowControl w:val="0"/>
                    <w:jc w:val="right"/>
                    <w:rPr>
                      <w:rFonts w:ascii="Times New Roman" w:hAnsi="Times New Roman"/>
                    </w:rPr>
                  </w:pPr>
                  <w:r w:rsidRPr="00A06BE2">
                    <w:rPr>
                      <w:rFonts w:ascii="Times New Roman" w:hAnsi="Times New Roman"/>
                    </w:rPr>
                    <w:t>$</w:t>
                  </w:r>
                  <w:r w:rsidR="004D5BF3">
                    <w:rPr>
                      <w:rFonts w:ascii="Times New Roman" w:hAnsi="Times New Roman"/>
                    </w:rPr>
                    <w:t>39,612.50</w:t>
                  </w:r>
                  <w:r w:rsidRPr="00A06BE2">
                    <w:rPr>
                      <w:rFonts w:ascii="Times New Roman" w:hAnsi="Times New Roman"/>
                    </w:rPr>
                    <w:t> </w:t>
                  </w:r>
                </w:p>
              </w:tc>
            </w:tr>
            <w:tr w14:paraId="3F0FFA79" w14:textId="77777777" w:rsidTr="4B02738B">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43F9511C" w14:textId="77777777">
                  <w:pPr>
                    <w:widowControl w:val="0"/>
                    <w:rPr>
                      <w:rFonts w:ascii="Times New Roman" w:hAnsi="Times New Roman"/>
                    </w:rPr>
                  </w:pPr>
                  <w:r w:rsidRPr="00A06BE2">
                    <w:rPr>
                      <w:rFonts w:ascii="Times New Roman" w:hAnsi="Times New Roman"/>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4EA96BD3" w14:textId="77777777">
                  <w:pPr>
                    <w:widowControl w:val="0"/>
                    <w:rPr>
                      <w:rFonts w:ascii="Times New Roman" w:hAnsi="Times New Roman"/>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549A5086" w14:textId="77777777">
                  <w:pPr>
                    <w:widowControl w:val="0"/>
                    <w:jc w:val="right"/>
                    <w:rPr>
                      <w:rFonts w:ascii="Times New Roman" w:hAnsi="Times New Roman"/>
                    </w:rPr>
                  </w:pPr>
                  <w:r w:rsidRPr="00A06BE2">
                    <w:rPr>
                      <w:rFonts w:ascii="Times New Roman" w:hAnsi="Times New Roman"/>
                    </w:rPr>
                    <w:t> </w:t>
                  </w:r>
                </w:p>
              </w:tc>
            </w:tr>
            <w:tr w14:paraId="30FD2E5B" w14:textId="77777777" w:rsidTr="4B02738B">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308CCF8" w14:textId="77777777">
                  <w:pPr>
                    <w:widowControl w:val="0"/>
                    <w:rPr>
                      <w:rFonts w:ascii="Times New Roman" w:hAnsi="Times New Roman"/>
                    </w:rPr>
                  </w:pPr>
                  <w:r w:rsidRPr="00A06BE2">
                    <w:rPr>
                      <w:rFonts w:ascii="Times New Roman" w:hAnsi="Times New Roman"/>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3AC3E34" w14:textId="77777777">
                  <w:pPr>
                    <w:widowControl w:val="0"/>
                    <w:rPr>
                      <w:rFonts w:ascii="Times New Roman" w:hAnsi="Times New Roman"/>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61DB313F" w14:textId="77777777">
                  <w:pPr>
                    <w:widowControl w:val="0"/>
                    <w:jc w:val="right"/>
                    <w:rPr>
                      <w:rFonts w:ascii="Times New Roman" w:hAnsi="Times New Roman"/>
                    </w:rPr>
                  </w:pPr>
                  <w:r w:rsidRPr="00A06BE2">
                    <w:rPr>
                      <w:rFonts w:ascii="Times New Roman" w:hAnsi="Times New Roman"/>
                    </w:rPr>
                    <w:t> </w:t>
                  </w:r>
                </w:p>
              </w:tc>
            </w:tr>
            <w:tr w14:paraId="098174DC" w14:textId="77777777" w:rsidTr="4B02738B">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7BE8252F" w14:textId="77777777">
                  <w:pPr>
                    <w:widowControl w:val="0"/>
                    <w:rPr>
                      <w:rFonts w:ascii="Times New Roman" w:hAnsi="Times New Roman"/>
                    </w:rPr>
                  </w:pPr>
                  <w:r w:rsidRPr="00A06BE2">
                    <w:rPr>
                      <w:rFonts w:ascii="Times New Roman" w:hAnsi="Times New Roman"/>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13E76AE5" w14:textId="335245E8">
                  <w:pPr>
                    <w:widowControl w:val="0"/>
                    <w:rPr>
                      <w:rFonts w:ascii="Times New Roman" w:hAnsi="Times New Roman"/>
                    </w:rPr>
                  </w:pPr>
                  <w:r>
                    <w:rPr>
                      <w:rFonts w:ascii="Times New Roman" w:hAnsi="Times New Roman"/>
                    </w:rPr>
                    <w:t>1,584.5</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A06BE2" w:rsidP="00F92988" w14:paraId="2FFC9F8B" w14:textId="765096B1">
                  <w:pPr>
                    <w:widowControl w:val="0"/>
                    <w:rPr>
                      <w:rFonts w:ascii="Times New Roman" w:hAnsi="Times New Roman"/>
                    </w:rPr>
                  </w:pPr>
                  <w:r w:rsidRPr="00A06BE2">
                    <w:rPr>
                      <w:rFonts w:ascii="Times New Roman" w:hAnsi="Times New Roman"/>
                    </w:rPr>
                    <w:t>$</w:t>
                  </w:r>
                  <w:r w:rsidR="004D5BF3">
                    <w:rPr>
                      <w:rFonts w:ascii="Times New Roman" w:hAnsi="Times New Roman"/>
                    </w:rPr>
                    <w:t>39,612.50</w:t>
                  </w:r>
                </w:p>
              </w:tc>
            </w:tr>
          </w:tbl>
          <w:p w:rsidR="00CB0981" w:rsidRPr="00A06BE2" w:rsidP="00F92988" w14:paraId="466CDBD6" w14:textId="77777777">
            <w:pPr>
              <w:widowControl w:val="0"/>
              <w:rPr>
                <w:rFonts w:ascii="Times New Roman" w:hAnsi="Times New Roman"/>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RPr="00A06BE2" w:rsidP="00EC38DE" w14:paraId="6DF8B0F1" w14:textId="669EB6BA">
      <w:pPr>
        <w:pStyle w:val="ListParagraph"/>
        <w:widowControl w:val="0"/>
        <w:numPr>
          <w:ilvl w:val="0"/>
          <w:numId w:val="19"/>
        </w:numPr>
        <w:tabs>
          <w:tab w:val="left" w:pos="360"/>
          <w:tab w:val="left" w:pos="720"/>
          <w:tab w:val="left" w:pos="1080"/>
        </w:tabs>
        <w:ind w:left="0"/>
        <w:rPr>
          <w:rFonts w:ascii="Times New Roman" w:hAnsi="Times New Roman"/>
          <w:color w:val="000000" w:themeColor="text1"/>
        </w:rPr>
      </w:pPr>
      <w:r w:rsidRPr="4B02738B">
        <w:rPr>
          <w:rFonts w:ascii="Times New Roman" w:hAnsi="Times New Roman"/>
          <w:u w:val="single"/>
        </w:rPr>
        <w:t>Estimated nonrecurring costs</w:t>
      </w:r>
      <w:r w:rsidRPr="4B02738B">
        <w:rPr>
          <w:rFonts w:ascii="Times New Roman" w:hAnsi="Times New Roman"/>
        </w:rPr>
        <w:t xml:space="preserve">. </w:t>
      </w:r>
    </w:p>
    <w:p w:rsidR="009D2599" w:rsidRPr="009277BA" w:rsidP="00A06BE2" w14:paraId="6D49EF1C" w14:textId="77777777">
      <w:pPr>
        <w:pStyle w:val="ListParagraph"/>
        <w:widowControl w:val="0"/>
        <w:tabs>
          <w:tab w:val="left" w:pos="360"/>
          <w:tab w:val="left" w:pos="720"/>
          <w:tab w:val="left" w:pos="1080"/>
        </w:tabs>
        <w:ind w:left="0"/>
        <w:rPr>
          <w:rFonts w:ascii="Times New Roman" w:hAnsi="Times New Roman"/>
          <w:color w:val="000000" w:themeColor="text1"/>
        </w:rPr>
      </w:pPr>
    </w:p>
    <w:p w:rsidR="009277BA" w:rsidRPr="009277BA" w:rsidP="539782B5" w14:paraId="1E2B50AA" w14:textId="3BFC879F">
      <w:pPr>
        <w:widowControl w:val="0"/>
        <w:tabs>
          <w:tab w:val="left" w:pos="360"/>
          <w:tab w:val="left" w:pos="720"/>
          <w:tab w:val="left" w:pos="1080"/>
        </w:tabs>
        <w:rPr>
          <w:rFonts w:ascii="Times New Roman" w:hAnsi="Times New Roman"/>
        </w:rPr>
      </w:pPr>
      <w:r w:rsidRPr="4B02738B">
        <w:rPr>
          <w:rFonts w:ascii="Times New Roman" w:hAnsi="Times New Roman"/>
          <w:color w:val="000000" w:themeColor="text1"/>
        </w:rPr>
        <w:t>No additional annual costs beyond those identified in #12 above are anticipated.</w:t>
      </w:r>
    </w:p>
    <w:p w:rsidR="539782B5" w:rsidP="539782B5" w14:paraId="72D4479B" w14:textId="71E19020">
      <w:pPr>
        <w:widowControl w:val="0"/>
        <w:tabs>
          <w:tab w:val="left" w:pos="360"/>
          <w:tab w:val="left" w:pos="720"/>
          <w:tab w:val="left" w:pos="1080"/>
        </w:tabs>
        <w:rPr>
          <w:rFonts w:ascii="Times New Roman" w:hAnsi="Times New Roman"/>
        </w:rPr>
      </w:pPr>
    </w:p>
    <w:p w:rsidR="539782B5" w:rsidP="539782B5" w14:paraId="257BE0FE" w14:textId="1A654E08">
      <w:pPr>
        <w:widowControl w:val="0"/>
        <w:tabs>
          <w:tab w:val="left" w:pos="360"/>
          <w:tab w:val="left" w:pos="720"/>
          <w:tab w:val="left" w:pos="1080"/>
        </w:tabs>
        <w:rPr>
          <w:rFonts w:ascii="Times New Roman" w:hAnsi="Times New Roman"/>
        </w:rPr>
      </w:pPr>
    </w:p>
    <w:p w:rsidR="002623BD" w:rsidRPr="006D3366" w:rsidP="00F92988" w14:paraId="64128EDE" w14:textId="21EE16DC">
      <w:pPr>
        <w:pStyle w:val="ListParagraph"/>
        <w:widowControl w:val="0"/>
        <w:numPr>
          <w:ilvl w:val="0"/>
          <w:numId w:val="19"/>
        </w:numPr>
        <w:tabs>
          <w:tab w:val="left" w:pos="360"/>
          <w:tab w:val="left" w:pos="720"/>
          <w:tab w:val="left" w:pos="1080"/>
        </w:tabs>
        <w:ind w:left="0"/>
        <w:rPr>
          <w:rFonts w:ascii="Times New Roman" w:hAnsi="Times New Roman"/>
        </w:rPr>
      </w:pPr>
      <w:r w:rsidRPr="32D3439C">
        <w:rPr>
          <w:rFonts w:ascii="Times New Roman" w:hAnsi="Times New Roman"/>
          <w:u w:val="single"/>
        </w:rPr>
        <w:t>Estimated cost to the Government</w:t>
      </w:r>
      <w:r w:rsidRPr="32D3439C">
        <w:rPr>
          <w:rFonts w:ascii="Times New Roman" w:hAnsi="Times New Roman"/>
        </w:rPr>
        <w:t xml:space="preserve">. </w:t>
      </w:r>
    </w:p>
    <w:p w:rsidR="006D3366" w:rsidP="00F92988" w14:paraId="001732B4" w14:textId="72F675B7">
      <w:pPr>
        <w:widowControl w:val="0"/>
        <w:tabs>
          <w:tab w:val="left" w:pos="360"/>
          <w:tab w:val="left" w:pos="720"/>
          <w:tab w:val="left" w:pos="1080"/>
        </w:tabs>
        <w:rPr>
          <w:rFonts w:ascii="Times New Roman" w:hAnsi="Times New Roman"/>
        </w:rPr>
      </w:pPr>
    </w:p>
    <w:p w:rsidR="00D8502A" w:rsidRPr="00A06BE2" w:rsidP="00B9708D" w14:paraId="2A75B21D" w14:textId="239A7C52">
      <w:pPr>
        <w:spacing w:line="259" w:lineRule="auto"/>
        <w:ind w:left="90"/>
        <w:rPr>
          <w:rFonts w:ascii="Times New Roman" w:hAnsi="Times New Roman"/>
          <w:szCs w:val="24"/>
        </w:rPr>
      </w:pPr>
      <w:r w:rsidRPr="00A06BE2">
        <w:rPr>
          <w:rFonts w:ascii="Times New Roman" w:hAnsi="Times New Roman"/>
          <w:szCs w:val="24"/>
        </w:rPr>
        <w:t>The estimated cost to SBA for the hour burden of information collection is calculated at a salary equivalent to a GS-11, Step 1 Federal employee’s annual salary of $ 6</w:t>
      </w:r>
      <w:r w:rsidRPr="00A06BE2" w:rsidR="5DFBB300">
        <w:rPr>
          <w:rFonts w:ascii="Times New Roman" w:hAnsi="Times New Roman"/>
          <w:szCs w:val="24"/>
        </w:rPr>
        <w:t>2,107</w:t>
      </w:r>
      <w:r w:rsidRPr="00A06BE2">
        <w:rPr>
          <w:rFonts w:ascii="Times New Roman" w:hAnsi="Times New Roman"/>
          <w:szCs w:val="24"/>
        </w:rPr>
        <w:t xml:space="preserve"> or $30/hour (rounded to the nearest whole number) based on the 202</w:t>
      </w:r>
      <w:r w:rsidRPr="00A06BE2" w:rsidR="10F557CC">
        <w:rPr>
          <w:rFonts w:ascii="Times New Roman" w:hAnsi="Times New Roman"/>
          <w:szCs w:val="24"/>
        </w:rPr>
        <w:t>4</w:t>
      </w:r>
      <w:r w:rsidRPr="00A06BE2">
        <w:rPr>
          <w:rFonts w:ascii="Times New Roman" w:hAnsi="Times New Roman"/>
          <w:szCs w:val="24"/>
        </w:rPr>
        <w:t xml:space="preserve"> General Schedule (Base). The GS-11 pay grade is utilized in preparing this estimate as it is equivalent to the position normally held by the personnel performing this review.</w:t>
      </w:r>
    </w:p>
    <w:p w:rsidR="00D8502A" w:rsidRPr="002C04DE" w:rsidP="00D8502A" w14:paraId="003EC36D" w14:textId="77777777">
      <w:pPr>
        <w:widowControl w:val="0"/>
        <w:tabs>
          <w:tab w:val="left" w:pos="360"/>
          <w:tab w:val="left" w:pos="720"/>
          <w:tab w:val="left" w:pos="1080"/>
        </w:tabs>
        <w:rPr>
          <w:rFonts w:ascii="Times New Roman" w:hAnsi="Times New Roman"/>
          <w:szCs w:val="24"/>
        </w:rPr>
      </w:pPr>
    </w:p>
    <w:p w:rsidR="00D8502A" w:rsidRPr="00A06BE2" w:rsidP="00D8502A" w14:paraId="02DBEB9E" w14:textId="77777777">
      <w:pPr>
        <w:tabs>
          <w:tab w:val="left" w:pos="180"/>
        </w:tabs>
        <w:ind w:left="180"/>
        <w:rPr>
          <w:rFonts w:ascii="Times New Roman" w:hAnsi="Times New Roman"/>
          <w:b/>
          <w:szCs w:val="24"/>
        </w:rPr>
      </w:pPr>
      <w:r w:rsidRPr="00A06BE2">
        <w:rPr>
          <w:rFonts w:ascii="Times New Roman" w:hAnsi="Times New Roman"/>
          <w:b/>
          <w:szCs w:val="24"/>
        </w:rPr>
        <w:t>Estimate of the burden hours of the collection of information for the Agency:</w:t>
      </w:r>
    </w:p>
    <w:p w:rsidR="00D8502A" w:rsidRPr="00A06BE2" w:rsidP="00D8502A" w14:paraId="49EAB6A9" w14:textId="77777777">
      <w:pPr>
        <w:ind w:left="450"/>
        <w:rPr>
          <w:rFonts w:ascii="Times New Roman" w:hAnsi="Times New Roman"/>
          <w:szCs w:val="24"/>
        </w:rPr>
      </w:pPr>
    </w:p>
    <w:p w:rsidR="00D8502A" w:rsidRPr="00A06BE2" w:rsidP="00D8502A" w14:paraId="4C6E4454" w14:textId="19367DB7">
      <w:pPr>
        <w:tabs>
          <w:tab w:val="left" w:pos="90"/>
          <w:tab w:val="left" w:pos="360"/>
        </w:tabs>
        <w:ind w:left="90"/>
        <w:rPr>
          <w:rFonts w:ascii="Times New Roman" w:hAnsi="Times New Roman"/>
          <w:b/>
          <w:szCs w:val="24"/>
        </w:rPr>
      </w:pPr>
      <w:r>
        <w:rPr>
          <w:rFonts w:ascii="Times New Roman" w:hAnsi="Times New Roman"/>
          <w:b/>
          <w:szCs w:val="24"/>
        </w:rPr>
        <w:t>3,169</w:t>
      </w:r>
      <w:r w:rsidRPr="00A06BE2">
        <w:rPr>
          <w:rFonts w:ascii="Times New Roman" w:hAnsi="Times New Roman"/>
          <w:b/>
          <w:szCs w:val="24"/>
        </w:rPr>
        <w:t xml:space="preserve"> </w:t>
      </w:r>
      <w:r w:rsidRPr="00A06BE2">
        <w:rPr>
          <w:rFonts w:ascii="Times New Roman" w:hAnsi="Times New Roman"/>
          <w:b/>
          <w:szCs w:val="24"/>
        </w:rPr>
        <w:t xml:space="preserve">x 1 hour per review = </w:t>
      </w:r>
      <w:r>
        <w:rPr>
          <w:rFonts w:ascii="Times New Roman" w:hAnsi="Times New Roman"/>
          <w:b/>
          <w:szCs w:val="24"/>
        </w:rPr>
        <w:t>3,169</w:t>
      </w:r>
    </w:p>
    <w:p w:rsidR="00D8502A" w:rsidRPr="00A06BE2" w:rsidP="00D8502A" w14:paraId="3D40275A" w14:textId="77777777">
      <w:pPr>
        <w:tabs>
          <w:tab w:val="left" w:pos="360"/>
        </w:tabs>
        <w:ind w:left="90"/>
        <w:rPr>
          <w:rFonts w:ascii="Times New Roman" w:hAnsi="Times New Roman"/>
          <w:szCs w:val="24"/>
        </w:rPr>
      </w:pPr>
    </w:p>
    <w:p w:rsidR="00D8502A" w:rsidRPr="00A06BE2" w:rsidP="00D8502A" w14:paraId="6132838E" w14:textId="77777777">
      <w:pPr>
        <w:tabs>
          <w:tab w:val="left" w:pos="360"/>
        </w:tabs>
        <w:ind w:left="90"/>
        <w:rPr>
          <w:rFonts w:ascii="Times New Roman" w:hAnsi="Times New Roman"/>
          <w:szCs w:val="24"/>
        </w:rPr>
      </w:pPr>
      <w:r w:rsidRPr="00A06BE2">
        <w:rPr>
          <w:rFonts w:ascii="Times New Roman" w:hAnsi="Times New Roman"/>
          <w:szCs w:val="24"/>
        </w:rPr>
        <w:t>Estimate of the annualized cost to the Agency for the hour burden:</w:t>
      </w:r>
    </w:p>
    <w:p w:rsidR="00D8502A" w:rsidRPr="00A06BE2" w:rsidP="00D8502A" w14:paraId="69EDD2F3" w14:textId="77777777">
      <w:pPr>
        <w:ind w:left="450"/>
        <w:rPr>
          <w:rFonts w:ascii="Times New Roman" w:hAnsi="Times New Roman"/>
          <w:szCs w:val="24"/>
        </w:rPr>
      </w:pPr>
    </w:p>
    <w:p w:rsidR="00D8502A" w:rsidRPr="00A06BE2" w:rsidP="00D8502A" w14:paraId="63C2917C" w14:textId="77777777">
      <w:pPr>
        <w:jc w:val="both"/>
        <w:rPr>
          <w:rFonts w:ascii="Times New Roman" w:hAnsi="Times New Roman"/>
          <w:szCs w:val="24"/>
        </w:rPr>
      </w:pPr>
    </w:p>
    <w:p w:rsidR="00D8502A" w:rsidRPr="00A06BE2" w:rsidP="00D8502A" w14:paraId="3A5440C0" w14:textId="3AAB9FEC">
      <w:pPr>
        <w:tabs>
          <w:tab w:val="left" w:pos="90"/>
          <w:tab w:val="left" w:pos="360"/>
        </w:tabs>
        <w:ind w:left="90"/>
        <w:rPr>
          <w:rFonts w:ascii="Times New Roman" w:hAnsi="Times New Roman"/>
          <w:szCs w:val="24"/>
        </w:rPr>
      </w:pPr>
      <w:r w:rsidRPr="00A06BE2">
        <w:rPr>
          <w:rFonts w:ascii="Times New Roman" w:hAnsi="Times New Roman"/>
          <w:b/>
          <w:szCs w:val="24"/>
        </w:rPr>
        <w:t xml:space="preserve">Total combined cost for the Agency:  </w:t>
      </w:r>
      <w:r w:rsidR="004D5BF3">
        <w:rPr>
          <w:rFonts w:ascii="Times New Roman" w:hAnsi="Times New Roman"/>
          <w:b/>
          <w:szCs w:val="24"/>
        </w:rPr>
        <w:t>3,169</w:t>
      </w:r>
      <w:r w:rsidRPr="00A06BE2" w:rsidR="004D5BF3">
        <w:rPr>
          <w:rFonts w:ascii="Times New Roman" w:hAnsi="Times New Roman"/>
          <w:b/>
          <w:szCs w:val="24"/>
        </w:rPr>
        <w:t xml:space="preserve"> </w:t>
      </w:r>
      <w:r w:rsidRPr="00A06BE2">
        <w:rPr>
          <w:rFonts w:ascii="Times New Roman" w:hAnsi="Times New Roman"/>
          <w:b/>
          <w:szCs w:val="24"/>
        </w:rPr>
        <w:t>x $30 = $</w:t>
      </w:r>
      <w:r w:rsidR="00837E0A">
        <w:rPr>
          <w:rFonts w:ascii="Times New Roman" w:hAnsi="Times New Roman"/>
          <w:b/>
          <w:szCs w:val="24"/>
        </w:rPr>
        <w:t>95,070</w:t>
      </w:r>
    </w:p>
    <w:p w:rsidR="006D3366" w:rsidP="00F92988" w14:paraId="740ED973" w14:textId="77777777">
      <w:pPr>
        <w:widowControl w:val="0"/>
        <w:tabs>
          <w:tab w:val="left" w:pos="360"/>
          <w:tab w:val="left" w:pos="720"/>
          <w:tab w:val="left" w:pos="1080"/>
        </w:tabs>
        <w:rPr>
          <w:rFonts w:ascii="Times New Roman" w:hAnsi="Times New Roman"/>
        </w:rPr>
      </w:pPr>
    </w:p>
    <w:p w:rsidR="00D8502A" w:rsidRPr="006D3366" w:rsidP="00F92988" w14:paraId="34F366B8" w14:textId="77777777">
      <w:pPr>
        <w:widowControl w:val="0"/>
        <w:tabs>
          <w:tab w:val="left" w:pos="360"/>
          <w:tab w:val="left" w:pos="720"/>
          <w:tab w:val="left" w:pos="1080"/>
        </w:tabs>
        <w:rPr>
          <w:rFonts w:ascii="Times New Roman" w:hAnsi="Times New Roman"/>
        </w:rPr>
      </w:pPr>
    </w:p>
    <w:p w:rsidR="00366678" w:rsidRPr="008B3AB3" w:rsidP="00561CFF" w14:paraId="759D25B2" w14:textId="0348883E">
      <w:pPr>
        <w:pStyle w:val="ListParagraph"/>
        <w:widowControl w:val="0"/>
        <w:numPr>
          <w:ilvl w:val="0"/>
          <w:numId w:val="19"/>
        </w:numPr>
        <w:tabs>
          <w:tab w:val="left" w:pos="360"/>
          <w:tab w:val="left" w:pos="720"/>
          <w:tab w:val="left" w:pos="1080"/>
        </w:tabs>
        <w:ind w:left="0"/>
        <w:rPr>
          <w:rFonts w:ascii="Times New Roman" w:hAnsi="Times New Roman"/>
        </w:rPr>
      </w:pPr>
      <w:r w:rsidRPr="4B02738B">
        <w:rPr>
          <w:rFonts w:ascii="Times New Roman" w:hAnsi="Times New Roman"/>
          <w:u w:val="single"/>
        </w:rPr>
        <w:t>Reasons for changes</w:t>
      </w:r>
      <w:r w:rsidRPr="4B02738B" w:rsidR="00F56608">
        <w:rPr>
          <w:rFonts w:ascii="Times New Roman" w:hAnsi="Times New Roman"/>
        </w:rPr>
        <w:t>.</w:t>
      </w:r>
      <w:r w:rsidRPr="4B02738B" w:rsidR="006D3366">
        <w:rPr>
          <w:rFonts w:ascii="Times New Roman" w:hAnsi="Times New Roman"/>
        </w:rPr>
        <w:t xml:space="preserve">  </w:t>
      </w:r>
    </w:p>
    <w:p w:rsidR="008B3AB3" w:rsidRPr="008B3AB3" w:rsidP="008B3AB3" w14:paraId="571324FE" w14:textId="77777777">
      <w:pPr>
        <w:pStyle w:val="ListParagraph"/>
        <w:widowControl w:val="0"/>
        <w:tabs>
          <w:tab w:val="left" w:pos="360"/>
          <w:tab w:val="left" w:pos="720"/>
          <w:tab w:val="left" w:pos="1080"/>
        </w:tabs>
        <w:ind w:left="0"/>
        <w:rPr>
          <w:rFonts w:ascii="Times New Roman" w:hAnsi="Times New Roman"/>
        </w:rPr>
      </w:pPr>
    </w:p>
    <w:p w:rsidR="4D491A9A" w:rsidP="539782B5" w14:paraId="098EFC78" w14:textId="6A3B38B7">
      <w:pPr>
        <w:pStyle w:val="ListParagraph"/>
        <w:widowControl w:val="0"/>
        <w:tabs>
          <w:tab w:val="left" w:pos="360"/>
          <w:tab w:val="left" w:pos="720"/>
          <w:tab w:val="left" w:pos="1080"/>
        </w:tabs>
        <w:ind w:left="0"/>
        <w:rPr>
          <w:rFonts w:ascii="Times New Roman" w:hAnsi="Times New Roman"/>
        </w:rPr>
      </w:pPr>
      <w:r>
        <w:rPr>
          <w:rFonts w:ascii="Times New Roman" w:hAnsi="Times New Roman"/>
        </w:rPr>
        <w:t xml:space="preserve">The change was due to the previous PRA submission </w:t>
      </w:r>
      <w:r w:rsidR="004577F4">
        <w:rPr>
          <w:rFonts w:ascii="Times New Roman" w:hAnsi="Times New Roman"/>
        </w:rPr>
        <w:t xml:space="preserve">being over inclusive and including accounts that did not </w:t>
      </w:r>
      <w:r w:rsidR="00A06BE2">
        <w:rPr>
          <w:rFonts w:ascii="Times New Roman" w:hAnsi="Times New Roman"/>
        </w:rPr>
        <w:t>require the</w:t>
      </w:r>
      <w:r>
        <w:rPr>
          <w:rFonts w:ascii="Times New Roman" w:hAnsi="Times New Roman"/>
        </w:rPr>
        <w:t xml:space="preserve"> SBA Form 1366. </w:t>
      </w:r>
      <w:r w:rsidR="00BF6F85">
        <w:rPr>
          <w:rFonts w:ascii="Times New Roman" w:hAnsi="Times New Roman"/>
        </w:rPr>
        <w:t xml:space="preserve">Record keeping has been updated and </w:t>
      </w:r>
      <w:r w:rsidR="00E74D4B">
        <w:rPr>
          <w:rFonts w:ascii="Times New Roman" w:hAnsi="Times New Roman"/>
        </w:rPr>
        <w:t>will be more accurate</w:t>
      </w:r>
      <w:r w:rsidR="004D0B5E">
        <w:rPr>
          <w:rFonts w:ascii="Times New Roman" w:hAnsi="Times New Roman"/>
        </w:rPr>
        <w:t xml:space="preserve"> for this and</w:t>
      </w:r>
      <w:r w:rsidR="00E74D4B">
        <w:rPr>
          <w:rFonts w:ascii="Times New Roman" w:hAnsi="Times New Roman"/>
        </w:rPr>
        <w:t xml:space="preserve"> </w:t>
      </w:r>
      <w:r w:rsidR="004D0B5E">
        <w:rPr>
          <w:rFonts w:ascii="Times New Roman" w:hAnsi="Times New Roman"/>
        </w:rPr>
        <w:t>future</w:t>
      </w:r>
      <w:r w:rsidR="00E74D4B">
        <w:rPr>
          <w:rFonts w:ascii="Times New Roman" w:hAnsi="Times New Roman"/>
        </w:rPr>
        <w:t xml:space="preserve"> submission</w:t>
      </w:r>
      <w:r w:rsidR="004D0B5E">
        <w:rPr>
          <w:rFonts w:ascii="Times New Roman" w:hAnsi="Times New Roman"/>
        </w:rPr>
        <w:t>s.</w:t>
      </w:r>
    </w:p>
    <w:p w:rsidR="009D2599" w:rsidP="539782B5" w14:paraId="33E80BB1" w14:textId="77777777">
      <w:pPr>
        <w:pStyle w:val="ListParagraph"/>
        <w:widowControl w:val="0"/>
        <w:tabs>
          <w:tab w:val="left" w:pos="360"/>
          <w:tab w:val="left" w:pos="720"/>
          <w:tab w:val="left" w:pos="1080"/>
        </w:tabs>
        <w:ind w:left="0"/>
        <w:rPr>
          <w:rFonts w:ascii="Times New Roman" w:hAnsi="Times New Roman"/>
        </w:rPr>
      </w:pP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rPr>
      </w:pPr>
    </w:p>
    <w:p w:rsidR="006D3366" w:rsidRPr="008B3AB3" w:rsidP="000C02F0" w14:paraId="08EF9C9B" w14:textId="5F29CE78">
      <w:pPr>
        <w:pStyle w:val="ListParagraph"/>
        <w:widowControl w:val="0"/>
        <w:numPr>
          <w:ilvl w:val="0"/>
          <w:numId w:val="19"/>
        </w:numPr>
        <w:tabs>
          <w:tab w:val="left" w:pos="360"/>
          <w:tab w:val="left" w:pos="720"/>
          <w:tab w:val="left" w:pos="1080"/>
        </w:tabs>
        <w:ind w:left="0"/>
        <w:rPr>
          <w:rFonts w:ascii="Times New Roman" w:hAnsi="Times New Roman"/>
        </w:rPr>
      </w:pPr>
      <w:r w:rsidRPr="00A06BE2">
        <w:rPr>
          <w:rFonts w:ascii="Times New Roman" w:hAnsi="Times New Roman"/>
          <w:u w:val="single"/>
        </w:rPr>
        <w:t xml:space="preserve">Publicizing Results. </w:t>
      </w:r>
    </w:p>
    <w:p w:rsidR="008B3AB3" w:rsidRPr="008B3AB3" w:rsidP="008B3AB3" w14:paraId="48A84623" w14:textId="77777777">
      <w:pPr>
        <w:pStyle w:val="ListParagraph"/>
        <w:widowControl w:val="0"/>
        <w:tabs>
          <w:tab w:val="left" w:pos="360"/>
          <w:tab w:val="left" w:pos="720"/>
          <w:tab w:val="left" w:pos="1080"/>
        </w:tabs>
        <w:ind w:left="0"/>
        <w:rPr>
          <w:rFonts w:ascii="Times New Roman" w:hAnsi="Times New Roman"/>
        </w:rPr>
      </w:pPr>
    </w:p>
    <w:p w:rsidR="2EAF6679" w:rsidP="539782B5" w14:paraId="6ADEE962" w14:textId="5C781339">
      <w:pPr>
        <w:widowControl w:val="0"/>
        <w:tabs>
          <w:tab w:val="left" w:pos="360"/>
          <w:tab w:val="left" w:pos="720"/>
          <w:tab w:val="left" w:pos="1080"/>
        </w:tabs>
        <w:rPr>
          <w:rFonts w:ascii="Times New Roman" w:hAnsi="Times New Roman"/>
        </w:rPr>
      </w:pPr>
      <w:r w:rsidRPr="539782B5">
        <w:rPr>
          <w:rFonts w:ascii="Times New Roman" w:hAnsi="Times New Roman"/>
        </w:rPr>
        <w:t>Not applicable.  No publication is planned, and no statistical methods will be employed.</w:t>
      </w:r>
    </w:p>
    <w:p w:rsidR="009D2599" w:rsidP="539782B5" w14:paraId="72459182" w14:textId="77777777">
      <w:pPr>
        <w:widowControl w:val="0"/>
        <w:tabs>
          <w:tab w:val="left" w:pos="360"/>
          <w:tab w:val="left" w:pos="720"/>
          <w:tab w:val="left" w:pos="1080"/>
        </w:tabs>
        <w:rPr>
          <w:rFonts w:ascii="Times New Roman" w:hAnsi="Times New Roman"/>
        </w:rPr>
      </w:pPr>
    </w:p>
    <w:p w:rsidR="006D3366" w:rsidRPr="006D3366" w:rsidP="00F92988" w14:paraId="567730AE" w14:textId="77777777">
      <w:pPr>
        <w:widowControl w:val="0"/>
        <w:tabs>
          <w:tab w:val="left" w:pos="360"/>
          <w:tab w:val="left" w:pos="720"/>
          <w:tab w:val="left" w:pos="1080"/>
        </w:tabs>
        <w:rPr>
          <w:rFonts w:ascii="Times New Roman" w:hAnsi="Times New Roman"/>
        </w:rPr>
      </w:pPr>
    </w:p>
    <w:p w:rsidR="00AF35E3" w:rsidRPr="003A7F9A" w:rsidP="006E2E07" w14:paraId="1388C285" w14:textId="008EBC6C">
      <w:pPr>
        <w:pStyle w:val="ListParagraph"/>
        <w:widowControl w:val="0"/>
        <w:numPr>
          <w:ilvl w:val="0"/>
          <w:numId w:val="19"/>
        </w:numPr>
        <w:tabs>
          <w:tab w:val="left" w:pos="360"/>
          <w:tab w:val="left" w:pos="720"/>
          <w:tab w:val="left" w:pos="1080"/>
        </w:tabs>
        <w:ind w:left="0"/>
        <w:rPr>
          <w:rFonts w:ascii="Times New Roman" w:hAnsi="Times New Roman"/>
        </w:rPr>
      </w:pPr>
      <w:r w:rsidRPr="4B02738B">
        <w:rPr>
          <w:rFonts w:ascii="Times New Roman" w:hAnsi="Times New Roman"/>
          <w:u w:val="single"/>
        </w:rPr>
        <w:t xml:space="preserve">OMB </w:t>
      </w:r>
      <w:r w:rsidRPr="4B02738B" w:rsidR="00683F7A">
        <w:rPr>
          <w:rFonts w:ascii="Times New Roman" w:hAnsi="Times New Roman"/>
          <w:u w:val="single"/>
        </w:rPr>
        <w:t xml:space="preserve">Not to </w:t>
      </w:r>
      <w:r w:rsidRPr="4B02738B">
        <w:rPr>
          <w:rFonts w:ascii="Times New Roman" w:hAnsi="Times New Roman"/>
          <w:u w:val="single"/>
        </w:rPr>
        <w:t>Display</w:t>
      </w:r>
      <w:r w:rsidRPr="4B02738B" w:rsidR="00683F7A">
        <w:rPr>
          <w:rFonts w:ascii="Times New Roman" w:hAnsi="Times New Roman"/>
          <w:u w:val="single"/>
        </w:rPr>
        <w:t xml:space="preserve"> Approval</w:t>
      </w:r>
      <w:r w:rsidRPr="4B02738B" w:rsidR="00F56608">
        <w:rPr>
          <w:rFonts w:ascii="Times New Roman" w:hAnsi="Times New Roman"/>
          <w:u w:val="single"/>
        </w:rPr>
        <w:t>.</w:t>
      </w:r>
      <w:r w:rsidRPr="4B02738B" w:rsidR="007205C9">
        <w:rPr>
          <w:rFonts w:ascii="Times New Roman" w:hAnsi="Times New Roman"/>
        </w:rPr>
        <w:t xml:space="preserve"> </w:t>
      </w:r>
    </w:p>
    <w:p w:rsidR="003A7F9A" w:rsidRPr="008B3AB3" w:rsidP="003A7F9A" w14:paraId="31B57917" w14:textId="77777777">
      <w:pPr>
        <w:pStyle w:val="ListParagraph"/>
        <w:widowControl w:val="0"/>
        <w:tabs>
          <w:tab w:val="left" w:pos="360"/>
          <w:tab w:val="left" w:pos="720"/>
          <w:tab w:val="left" w:pos="1080"/>
        </w:tabs>
        <w:ind w:left="0"/>
        <w:rPr>
          <w:rFonts w:ascii="Times New Roman" w:hAnsi="Times New Roman"/>
        </w:rPr>
      </w:pPr>
    </w:p>
    <w:p w:rsidR="75EFE7F8" w:rsidP="539782B5" w14:paraId="7D26D776" w14:textId="364B7E00">
      <w:pPr>
        <w:widowControl w:val="0"/>
        <w:tabs>
          <w:tab w:val="left" w:pos="360"/>
          <w:tab w:val="left" w:pos="720"/>
          <w:tab w:val="left" w:pos="1080"/>
        </w:tabs>
        <w:rPr>
          <w:rFonts w:ascii="Times New Roman" w:hAnsi="Times New Roman"/>
        </w:rPr>
      </w:pPr>
      <w:r w:rsidRPr="539782B5">
        <w:rPr>
          <w:rFonts w:ascii="Times New Roman" w:hAnsi="Times New Roman"/>
        </w:rPr>
        <w:t>Expiration date will be displayed.</w:t>
      </w:r>
    </w:p>
    <w:p w:rsidR="009D2599" w:rsidP="539782B5" w14:paraId="660C56C9" w14:textId="77777777">
      <w:pPr>
        <w:widowControl w:val="0"/>
        <w:tabs>
          <w:tab w:val="left" w:pos="360"/>
          <w:tab w:val="left" w:pos="720"/>
          <w:tab w:val="left" w:pos="1080"/>
        </w:tabs>
        <w:rPr>
          <w:rFonts w:ascii="Times New Roman" w:hAnsi="Times New Roman"/>
        </w:rPr>
      </w:pPr>
    </w:p>
    <w:p w:rsidR="00AF35E3" w:rsidRPr="00AF35E3" w:rsidP="00F92988" w14:paraId="477DA76F" w14:textId="77777777">
      <w:pPr>
        <w:widowControl w:val="0"/>
        <w:tabs>
          <w:tab w:val="left" w:pos="360"/>
          <w:tab w:val="left" w:pos="720"/>
          <w:tab w:val="left" w:pos="1080"/>
        </w:tabs>
        <w:rPr>
          <w:rFonts w:ascii="Times New Roman" w:hAnsi="Times New Roman"/>
        </w:rPr>
      </w:pPr>
    </w:p>
    <w:p w:rsidR="003A7F9A" w:rsidRPr="003A7F9A" w:rsidP="00B72237" w14:paraId="77D634DC" w14:textId="77777777">
      <w:pPr>
        <w:pStyle w:val="ListParagraph"/>
        <w:widowControl w:val="0"/>
        <w:numPr>
          <w:ilvl w:val="0"/>
          <w:numId w:val="19"/>
        </w:numPr>
        <w:tabs>
          <w:tab w:val="left" w:pos="360"/>
          <w:tab w:val="left" w:pos="720"/>
          <w:tab w:val="left" w:pos="1080"/>
        </w:tabs>
        <w:ind w:left="0"/>
        <w:rPr>
          <w:rFonts w:ascii="Times New Roman" w:hAnsi="Times New Roman"/>
        </w:rPr>
      </w:pPr>
      <w:r w:rsidRPr="4B02738B">
        <w:rPr>
          <w:rFonts w:ascii="Times New Roman" w:hAnsi="Times New Roman"/>
        </w:rPr>
        <w:t xml:space="preserve"> </w:t>
      </w:r>
      <w:r w:rsidRPr="4B02738B" w:rsidR="00683F7A">
        <w:rPr>
          <w:rFonts w:ascii="Times New Roman" w:hAnsi="Times New Roman"/>
          <w:u w:val="single"/>
        </w:rPr>
        <w:t>Exceptions to "Certification for Paperwork Reduction Submissions</w:t>
      </w:r>
      <w:r w:rsidRPr="4B02738B" w:rsidR="00235CEA">
        <w:rPr>
          <w:rFonts w:ascii="Times New Roman" w:hAnsi="Times New Roman"/>
          <w:u w:val="single"/>
        </w:rPr>
        <w:t>.</w:t>
      </w:r>
      <w:r w:rsidRPr="4B02738B" w:rsidR="00683F7A">
        <w:rPr>
          <w:rFonts w:ascii="Times New Roman" w:hAnsi="Times New Roman"/>
          <w:u w:val="single"/>
        </w:rPr>
        <w:t>"</w:t>
      </w:r>
      <w:r w:rsidRPr="4B02738B" w:rsidR="00235CEA">
        <w:rPr>
          <w:rFonts w:ascii="Times New Roman" w:hAnsi="Times New Roman"/>
          <w:u w:val="single"/>
        </w:rPr>
        <w:t xml:space="preserve"> </w:t>
      </w:r>
    </w:p>
    <w:p w:rsidR="003A7F9A" w:rsidP="003A7F9A" w14:paraId="541F1545" w14:textId="77777777">
      <w:pPr>
        <w:pStyle w:val="ListParagraph"/>
        <w:widowControl w:val="0"/>
        <w:tabs>
          <w:tab w:val="left" w:pos="360"/>
          <w:tab w:val="left" w:pos="720"/>
          <w:tab w:val="left" w:pos="1080"/>
        </w:tabs>
        <w:ind w:left="0"/>
        <w:rPr>
          <w:rFonts w:ascii="Times New Roman" w:hAnsi="Times New Roman"/>
          <w:u w:val="single"/>
        </w:rPr>
      </w:pPr>
    </w:p>
    <w:p w:rsidR="003A7F9A" w:rsidP="003A7F9A" w14:paraId="7AE9E75B" w14:textId="2986B1EA">
      <w:pPr>
        <w:pStyle w:val="ListParagraph"/>
        <w:widowControl w:val="0"/>
        <w:tabs>
          <w:tab w:val="left" w:pos="360"/>
          <w:tab w:val="left" w:pos="720"/>
          <w:tab w:val="left" w:pos="1080"/>
        </w:tabs>
        <w:ind w:left="0"/>
        <w:rPr>
          <w:rFonts w:ascii="Times New Roman" w:hAnsi="Times New Roman"/>
        </w:rPr>
      </w:pPr>
      <w:r w:rsidRPr="003A7F9A">
        <w:rPr>
          <w:rFonts w:ascii="Times New Roman" w:hAnsi="Times New Roman"/>
        </w:rPr>
        <w:t>There are no exceptions to the certification statement.</w:t>
      </w:r>
    </w:p>
    <w:p w:rsidR="00D90CAA" w:rsidP="00D90CAA" w14:paraId="48ED76FF" w14:textId="77777777">
      <w:pPr>
        <w:widowControl w:val="0"/>
        <w:tabs>
          <w:tab w:val="left" w:pos="360"/>
          <w:tab w:val="left" w:pos="720"/>
          <w:tab w:val="left" w:pos="1080"/>
        </w:tabs>
        <w:rPr>
          <w:rFonts w:ascii="Times New Roman" w:hAnsi="Times New Roman"/>
        </w:rPr>
      </w:pPr>
    </w:p>
    <w:p w:rsidR="00D90CAA" w:rsidRPr="00A06BE2" w:rsidP="00A06BE2" w14:paraId="2B9E6A2C" w14:textId="77777777">
      <w:pPr>
        <w:widowControl w:val="0"/>
        <w:tabs>
          <w:tab w:val="left" w:pos="360"/>
          <w:tab w:val="left" w:pos="720"/>
          <w:tab w:val="left" w:pos="1080"/>
        </w:tabs>
        <w:rPr>
          <w:rFonts w:ascii="Times New Roman" w:hAnsi="Times New Roman"/>
        </w:rPr>
      </w:pPr>
    </w:p>
    <w:p w:rsidR="002C3CE5" w:rsidP="00A06BE2" w14:paraId="6871883E" w14:textId="7C1CF75F">
      <w:r w:rsidRPr="42E19883">
        <w:rPr>
          <w:u w:val="single"/>
        </w:rPr>
        <w:t>Part</w:t>
      </w:r>
      <w:r w:rsidRPr="13A04DD8">
        <w:rPr>
          <w:u w:val="single"/>
        </w:rPr>
        <w:t xml:space="preserve"> B:</w:t>
      </w:r>
      <w:r w:rsidRPr="42E19883">
        <w:rPr>
          <w:u w:val="single"/>
        </w:rPr>
        <w:t xml:space="preserve"> </w:t>
      </w:r>
      <w:r w:rsidRPr="539782B5">
        <w:rPr>
          <w:u w:val="single"/>
        </w:rPr>
        <w:t>Surveys, Censuses, and Other Collections that Employ Statistical Methods.</w:t>
      </w:r>
      <w:r w:rsidRPr="539782B5">
        <w:t xml:space="preserve">  </w:t>
      </w:r>
    </w:p>
    <w:p w:rsidR="539782B5" w:rsidP="539782B5" w14:paraId="5572E690" w14:textId="4CD9D455">
      <w:pPr>
        <w:pStyle w:val="ListParagraph"/>
        <w:widowControl w:val="0"/>
        <w:tabs>
          <w:tab w:val="left" w:pos="360"/>
          <w:tab w:val="left" w:pos="720"/>
          <w:tab w:val="left" w:pos="1080"/>
        </w:tabs>
        <w:ind w:left="-360"/>
        <w:rPr>
          <w:rFonts w:ascii="Times New Roman" w:hAnsi="Times New Roman"/>
        </w:rPr>
      </w:pPr>
    </w:p>
    <w:p w:rsidR="02387362" w:rsidP="539782B5" w14:paraId="18EBF61B" w14:textId="563A5ACF">
      <w:pPr>
        <w:pStyle w:val="ListParagraph"/>
        <w:widowControl w:val="0"/>
        <w:tabs>
          <w:tab w:val="left" w:pos="360"/>
          <w:tab w:val="left" w:pos="720"/>
          <w:tab w:val="left" w:pos="1080"/>
        </w:tabs>
        <w:ind w:left="-360"/>
        <w:rPr>
          <w:rFonts w:ascii="Times New Roman" w:hAnsi="Times New Roman"/>
        </w:rPr>
      </w:pPr>
      <w:r>
        <w:rPr>
          <w:rFonts w:ascii="Times New Roman" w:hAnsi="Times New Roman"/>
        </w:rPr>
        <w:tab/>
      </w:r>
      <w:r w:rsidRPr="539782B5">
        <w:rPr>
          <w:rFonts w:ascii="Times New Roman" w:hAnsi="Times New Roman"/>
        </w:rPr>
        <w:t>N/A</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322C1A"/>
    <w:multiLevelType w:val="hybridMultilevel"/>
    <w:tmpl w:val="3EB892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4A2AD6"/>
    <w:multiLevelType w:val="hybridMultilevel"/>
    <w:tmpl w:val="38009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807030">
    <w:abstractNumId w:val="19"/>
  </w:num>
  <w:num w:numId="2" w16cid:durableId="178546291">
    <w:abstractNumId w:val="9"/>
  </w:num>
  <w:num w:numId="3" w16cid:durableId="269508958">
    <w:abstractNumId w:val="13"/>
  </w:num>
  <w:num w:numId="4" w16cid:durableId="1324116013">
    <w:abstractNumId w:val="1"/>
  </w:num>
  <w:num w:numId="5" w16cid:durableId="1734889335">
    <w:abstractNumId w:val="27"/>
  </w:num>
  <w:num w:numId="6" w16cid:durableId="1417746293">
    <w:abstractNumId w:val="31"/>
  </w:num>
  <w:num w:numId="7" w16cid:durableId="1736194921">
    <w:abstractNumId w:val="23"/>
  </w:num>
  <w:num w:numId="8" w16cid:durableId="894197190">
    <w:abstractNumId w:val="18"/>
  </w:num>
  <w:num w:numId="9" w16cid:durableId="1260723204">
    <w:abstractNumId w:val="0"/>
  </w:num>
  <w:num w:numId="10" w16cid:durableId="1905411664">
    <w:abstractNumId w:val="12"/>
  </w:num>
  <w:num w:numId="11" w16cid:durableId="377168930">
    <w:abstractNumId w:val="10"/>
  </w:num>
  <w:num w:numId="12" w16cid:durableId="721904905">
    <w:abstractNumId w:val="20"/>
  </w:num>
  <w:num w:numId="13" w16cid:durableId="1076052455">
    <w:abstractNumId w:val="7"/>
  </w:num>
  <w:num w:numId="14" w16cid:durableId="332730420">
    <w:abstractNumId w:val="14"/>
  </w:num>
  <w:num w:numId="15" w16cid:durableId="1473324420">
    <w:abstractNumId w:val="4"/>
  </w:num>
  <w:num w:numId="16" w16cid:durableId="1023167287">
    <w:abstractNumId w:val="29"/>
  </w:num>
  <w:num w:numId="17" w16cid:durableId="1155608580">
    <w:abstractNumId w:val="16"/>
  </w:num>
  <w:num w:numId="18" w16cid:durableId="525487989">
    <w:abstractNumId w:val="30"/>
  </w:num>
  <w:num w:numId="19" w16cid:durableId="990254161">
    <w:abstractNumId w:val="22"/>
  </w:num>
  <w:num w:numId="20" w16cid:durableId="1967811785">
    <w:abstractNumId w:val="8"/>
  </w:num>
  <w:num w:numId="21" w16cid:durableId="1946188629">
    <w:abstractNumId w:val="28"/>
  </w:num>
  <w:num w:numId="22" w16cid:durableId="480118517">
    <w:abstractNumId w:val="2"/>
  </w:num>
  <w:num w:numId="23" w16cid:durableId="1742872744">
    <w:abstractNumId w:val="15"/>
  </w:num>
  <w:num w:numId="24" w16cid:durableId="1982032674">
    <w:abstractNumId w:val="3"/>
  </w:num>
  <w:num w:numId="25" w16cid:durableId="830415858">
    <w:abstractNumId w:val="25"/>
  </w:num>
  <w:num w:numId="26" w16cid:durableId="1979072087">
    <w:abstractNumId w:val="6"/>
  </w:num>
  <w:num w:numId="27" w16cid:durableId="746686">
    <w:abstractNumId w:val="17"/>
  </w:num>
  <w:num w:numId="28" w16cid:durableId="1514683693">
    <w:abstractNumId w:val="5"/>
  </w:num>
  <w:num w:numId="29" w16cid:durableId="1856070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1595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95715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1580770">
    <w:abstractNumId w:val="24"/>
  </w:num>
  <w:num w:numId="33" w16cid:durableId="1253663776">
    <w:abstractNumId w:val="11"/>
  </w:num>
  <w:num w:numId="34" w16cid:durableId="15215100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49A"/>
    <w:rsid w:val="000140C3"/>
    <w:rsid w:val="000149AE"/>
    <w:rsid w:val="00016E21"/>
    <w:rsid w:val="00023965"/>
    <w:rsid w:val="0002498E"/>
    <w:rsid w:val="00026F3E"/>
    <w:rsid w:val="00030AC1"/>
    <w:rsid w:val="0003126D"/>
    <w:rsid w:val="0003220D"/>
    <w:rsid w:val="0003501C"/>
    <w:rsid w:val="00036235"/>
    <w:rsid w:val="000405A6"/>
    <w:rsid w:val="00042FAC"/>
    <w:rsid w:val="00043BC4"/>
    <w:rsid w:val="0004462F"/>
    <w:rsid w:val="000462C2"/>
    <w:rsid w:val="00046E87"/>
    <w:rsid w:val="00050816"/>
    <w:rsid w:val="00051A35"/>
    <w:rsid w:val="00053D0A"/>
    <w:rsid w:val="00060C91"/>
    <w:rsid w:val="000625F2"/>
    <w:rsid w:val="000678B0"/>
    <w:rsid w:val="0007581A"/>
    <w:rsid w:val="00081C3A"/>
    <w:rsid w:val="000834F7"/>
    <w:rsid w:val="00084787"/>
    <w:rsid w:val="000851CA"/>
    <w:rsid w:val="00086F62"/>
    <w:rsid w:val="00087831"/>
    <w:rsid w:val="00087C3B"/>
    <w:rsid w:val="00090BD1"/>
    <w:rsid w:val="00091301"/>
    <w:rsid w:val="00092540"/>
    <w:rsid w:val="0009357D"/>
    <w:rsid w:val="00093C96"/>
    <w:rsid w:val="000971FC"/>
    <w:rsid w:val="00097374"/>
    <w:rsid w:val="00097623"/>
    <w:rsid w:val="000A5E65"/>
    <w:rsid w:val="000B09B0"/>
    <w:rsid w:val="000B2FC3"/>
    <w:rsid w:val="000B3903"/>
    <w:rsid w:val="000B3C60"/>
    <w:rsid w:val="000B7F24"/>
    <w:rsid w:val="000C020F"/>
    <w:rsid w:val="000C02F0"/>
    <w:rsid w:val="000C22FD"/>
    <w:rsid w:val="000C351A"/>
    <w:rsid w:val="000C4C85"/>
    <w:rsid w:val="000C5E8A"/>
    <w:rsid w:val="000C60C1"/>
    <w:rsid w:val="000C6C83"/>
    <w:rsid w:val="000D2529"/>
    <w:rsid w:val="000D3375"/>
    <w:rsid w:val="000D4A96"/>
    <w:rsid w:val="000D540C"/>
    <w:rsid w:val="000E0C51"/>
    <w:rsid w:val="000E2F3F"/>
    <w:rsid w:val="000E5530"/>
    <w:rsid w:val="000F0C87"/>
    <w:rsid w:val="000F1640"/>
    <w:rsid w:val="000F2823"/>
    <w:rsid w:val="00103A0C"/>
    <w:rsid w:val="00103C07"/>
    <w:rsid w:val="001053FE"/>
    <w:rsid w:val="001054D8"/>
    <w:rsid w:val="001072DD"/>
    <w:rsid w:val="00107633"/>
    <w:rsid w:val="001116E7"/>
    <w:rsid w:val="00113ADB"/>
    <w:rsid w:val="001172F7"/>
    <w:rsid w:val="00117A78"/>
    <w:rsid w:val="00120ADD"/>
    <w:rsid w:val="001255A5"/>
    <w:rsid w:val="00127394"/>
    <w:rsid w:val="0013256A"/>
    <w:rsid w:val="001334C0"/>
    <w:rsid w:val="00137302"/>
    <w:rsid w:val="001373E7"/>
    <w:rsid w:val="001426A8"/>
    <w:rsid w:val="0014325E"/>
    <w:rsid w:val="00151AEA"/>
    <w:rsid w:val="00151BC8"/>
    <w:rsid w:val="00151F5F"/>
    <w:rsid w:val="001520A7"/>
    <w:rsid w:val="001536E1"/>
    <w:rsid w:val="00155F7E"/>
    <w:rsid w:val="0016201E"/>
    <w:rsid w:val="001628C5"/>
    <w:rsid w:val="0016369C"/>
    <w:rsid w:val="00166363"/>
    <w:rsid w:val="001673BF"/>
    <w:rsid w:val="00170FB8"/>
    <w:rsid w:val="00171CAF"/>
    <w:rsid w:val="001733FE"/>
    <w:rsid w:val="0017455B"/>
    <w:rsid w:val="00174ED2"/>
    <w:rsid w:val="0018198A"/>
    <w:rsid w:val="0018679A"/>
    <w:rsid w:val="0019262F"/>
    <w:rsid w:val="00194F35"/>
    <w:rsid w:val="0019659F"/>
    <w:rsid w:val="00196DA7"/>
    <w:rsid w:val="0019725C"/>
    <w:rsid w:val="001A213E"/>
    <w:rsid w:val="001A5179"/>
    <w:rsid w:val="001A7320"/>
    <w:rsid w:val="001B03E7"/>
    <w:rsid w:val="001B3193"/>
    <w:rsid w:val="001B4976"/>
    <w:rsid w:val="001B5D2C"/>
    <w:rsid w:val="001C1BDD"/>
    <w:rsid w:val="001C24F3"/>
    <w:rsid w:val="001C4BC1"/>
    <w:rsid w:val="001D17B5"/>
    <w:rsid w:val="001D5994"/>
    <w:rsid w:val="001D7A5E"/>
    <w:rsid w:val="001E3368"/>
    <w:rsid w:val="001F1F35"/>
    <w:rsid w:val="001F4540"/>
    <w:rsid w:val="001F4BB1"/>
    <w:rsid w:val="001F5174"/>
    <w:rsid w:val="00206121"/>
    <w:rsid w:val="00206D73"/>
    <w:rsid w:val="002105EC"/>
    <w:rsid w:val="00210F08"/>
    <w:rsid w:val="00211744"/>
    <w:rsid w:val="00211C5C"/>
    <w:rsid w:val="00212125"/>
    <w:rsid w:val="00220C6C"/>
    <w:rsid w:val="0022212E"/>
    <w:rsid w:val="002230BA"/>
    <w:rsid w:val="00226AD3"/>
    <w:rsid w:val="00226E24"/>
    <w:rsid w:val="002319A5"/>
    <w:rsid w:val="00231EB6"/>
    <w:rsid w:val="00235CEA"/>
    <w:rsid w:val="00236CE6"/>
    <w:rsid w:val="0024019F"/>
    <w:rsid w:val="002428F7"/>
    <w:rsid w:val="00244F01"/>
    <w:rsid w:val="00247D7C"/>
    <w:rsid w:val="0025004D"/>
    <w:rsid w:val="00254DEF"/>
    <w:rsid w:val="0025713B"/>
    <w:rsid w:val="002623BD"/>
    <w:rsid w:val="00267593"/>
    <w:rsid w:val="002700FB"/>
    <w:rsid w:val="00270D13"/>
    <w:rsid w:val="00271585"/>
    <w:rsid w:val="0027412E"/>
    <w:rsid w:val="00280620"/>
    <w:rsid w:val="00280DC7"/>
    <w:rsid w:val="00283E87"/>
    <w:rsid w:val="00284099"/>
    <w:rsid w:val="00292FF0"/>
    <w:rsid w:val="002A1F4F"/>
    <w:rsid w:val="002A3308"/>
    <w:rsid w:val="002A4151"/>
    <w:rsid w:val="002A4231"/>
    <w:rsid w:val="002A6787"/>
    <w:rsid w:val="002B0B6D"/>
    <w:rsid w:val="002B15D2"/>
    <w:rsid w:val="002B46A3"/>
    <w:rsid w:val="002B635E"/>
    <w:rsid w:val="002B6B4D"/>
    <w:rsid w:val="002B6BA9"/>
    <w:rsid w:val="002C04DE"/>
    <w:rsid w:val="002C2290"/>
    <w:rsid w:val="002C2E04"/>
    <w:rsid w:val="002C3C07"/>
    <w:rsid w:val="002C3CE5"/>
    <w:rsid w:val="002C59C6"/>
    <w:rsid w:val="002C5C44"/>
    <w:rsid w:val="002C63D7"/>
    <w:rsid w:val="002C7B94"/>
    <w:rsid w:val="002C7FF3"/>
    <w:rsid w:val="002D1020"/>
    <w:rsid w:val="002D5D7F"/>
    <w:rsid w:val="002D650A"/>
    <w:rsid w:val="002D7409"/>
    <w:rsid w:val="002D7869"/>
    <w:rsid w:val="002D7DD8"/>
    <w:rsid w:val="002E0FFC"/>
    <w:rsid w:val="002E56DC"/>
    <w:rsid w:val="002F14E6"/>
    <w:rsid w:val="002F3296"/>
    <w:rsid w:val="002F58A0"/>
    <w:rsid w:val="002F65C0"/>
    <w:rsid w:val="002F71C1"/>
    <w:rsid w:val="00300489"/>
    <w:rsid w:val="00301237"/>
    <w:rsid w:val="00301D49"/>
    <w:rsid w:val="00302147"/>
    <w:rsid w:val="003027CB"/>
    <w:rsid w:val="0030754F"/>
    <w:rsid w:val="0031159C"/>
    <w:rsid w:val="00321071"/>
    <w:rsid w:val="00321966"/>
    <w:rsid w:val="003228E2"/>
    <w:rsid w:val="003249C8"/>
    <w:rsid w:val="00324B3C"/>
    <w:rsid w:val="00331384"/>
    <w:rsid w:val="003326C3"/>
    <w:rsid w:val="0033292B"/>
    <w:rsid w:val="00334CB5"/>
    <w:rsid w:val="00335B06"/>
    <w:rsid w:val="00335E86"/>
    <w:rsid w:val="00361CBE"/>
    <w:rsid w:val="003622F2"/>
    <w:rsid w:val="00365D4F"/>
    <w:rsid w:val="00366678"/>
    <w:rsid w:val="00366EE4"/>
    <w:rsid w:val="0036703A"/>
    <w:rsid w:val="003671AD"/>
    <w:rsid w:val="00367F88"/>
    <w:rsid w:val="0037038A"/>
    <w:rsid w:val="00370492"/>
    <w:rsid w:val="00371E09"/>
    <w:rsid w:val="003730AE"/>
    <w:rsid w:val="00373F88"/>
    <w:rsid w:val="00375EE4"/>
    <w:rsid w:val="00376161"/>
    <w:rsid w:val="00376DFC"/>
    <w:rsid w:val="003810DC"/>
    <w:rsid w:val="0038144F"/>
    <w:rsid w:val="0038171A"/>
    <w:rsid w:val="00381A76"/>
    <w:rsid w:val="00382CAF"/>
    <w:rsid w:val="0038345C"/>
    <w:rsid w:val="00386A23"/>
    <w:rsid w:val="00390EF1"/>
    <w:rsid w:val="00390F87"/>
    <w:rsid w:val="003915B2"/>
    <w:rsid w:val="003937BC"/>
    <w:rsid w:val="00394B4E"/>
    <w:rsid w:val="0039726A"/>
    <w:rsid w:val="003A024C"/>
    <w:rsid w:val="003A0D2B"/>
    <w:rsid w:val="003A2FC1"/>
    <w:rsid w:val="003A475E"/>
    <w:rsid w:val="003A5B3F"/>
    <w:rsid w:val="003A71E2"/>
    <w:rsid w:val="003A73AE"/>
    <w:rsid w:val="003A7F9A"/>
    <w:rsid w:val="003B0109"/>
    <w:rsid w:val="003B082E"/>
    <w:rsid w:val="003B0E85"/>
    <w:rsid w:val="003B10B8"/>
    <w:rsid w:val="003B17DE"/>
    <w:rsid w:val="003B3446"/>
    <w:rsid w:val="003B3CFA"/>
    <w:rsid w:val="003B4296"/>
    <w:rsid w:val="003C1BED"/>
    <w:rsid w:val="003C62B5"/>
    <w:rsid w:val="003D3094"/>
    <w:rsid w:val="003D56AC"/>
    <w:rsid w:val="003D57B0"/>
    <w:rsid w:val="003D7CD7"/>
    <w:rsid w:val="003E0518"/>
    <w:rsid w:val="003E19D3"/>
    <w:rsid w:val="003E5E04"/>
    <w:rsid w:val="003E64D2"/>
    <w:rsid w:val="003E663A"/>
    <w:rsid w:val="0040278A"/>
    <w:rsid w:val="00406B95"/>
    <w:rsid w:val="0040744F"/>
    <w:rsid w:val="004120DB"/>
    <w:rsid w:val="0041262C"/>
    <w:rsid w:val="004126AC"/>
    <w:rsid w:val="004165AA"/>
    <w:rsid w:val="00417CA0"/>
    <w:rsid w:val="00420004"/>
    <w:rsid w:val="00423173"/>
    <w:rsid w:val="00424068"/>
    <w:rsid w:val="00432B3C"/>
    <w:rsid w:val="00436A3E"/>
    <w:rsid w:val="00436E5C"/>
    <w:rsid w:val="00440401"/>
    <w:rsid w:val="00442CC0"/>
    <w:rsid w:val="004457DA"/>
    <w:rsid w:val="004531D2"/>
    <w:rsid w:val="00453D47"/>
    <w:rsid w:val="0045417A"/>
    <w:rsid w:val="00454AD7"/>
    <w:rsid w:val="0045707D"/>
    <w:rsid w:val="004577F4"/>
    <w:rsid w:val="0045797A"/>
    <w:rsid w:val="00467A7A"/>
    <w:rsid w:val="00471C71"/>
    <w:rsid w:val="00471EA6"/>
    <w:rsid w:val="004761FB"/>
    <w:rsid w:val="004775A0"/>
    <w:rsid w:val="00482B73"/>
    <w:rsid w:val="004840EF"/>
    <w:rsid w:val="004856A6"/>
    <w:rsid w:val="0049676F"/>
    <w:rsid w:val="00496B38"/>
    <w:rsid w:val="00497C2F"/>
    <w:rsid w:val="004A42A6"/>
    <w:rsid w:val="004A44D5"/>
    <w:rsid w:val="004A465F"/>
    <w:rsid w:val="004A7960"/>
    <w:rsid w:val="004A7CA5"/>
    <w:rsid w:val="004ABC9C"/>
    <w:rsid w:val="004B1085"/>
    <w:rsid w:val="004B75F1"/>
    <w:rsid w:val="004C0139"/>
    <w:rsid w:val="004C0BFC"/>
    <w:rsid w:val="004C2E87"/>
    <w:rsid w:val="004C56BC"/>
    <w:rsid w:val="004C593E"/>
    <w:rsid w:val="004D0681"/>
    <w:rsid w:val="004D0B5E"/>
    <w:rsid w:val="004D5BF3"/>
    <w:rsid w:val="004E5A3D"/>
    <w:rsid w:val="004E5E82"/>
    <w:rsid w:val="004F1C4C"/>
    <w:rsid w:val="004F26A1"/>
    <w:rsid w:val="004F51B8"/>
    <w:rsid w:val="004F7AB0"/>
    <w:rsid w:val="00500D46"/>
    <w:rsid w:val="00503B9A"/>
    <w:rsid w:val="00503CED"/>
    <w:rsid w:val="00505E03"/>
    <w:rsid w:val="00506C62"/>
    <w:rsid w:val="00507AD2"/>
    <w:rsid w:val="00510B5A"/>
    <w:rsid w:val="00510E83"/>
    <w:rsid w:val="00513C2B"/>
    <w:rsid w:val="005177C0"/>
    <w:rsid w:val="005179D8"/>
    <w:rsid w:val="00520EBC"/>
    <w:rsid w:val="00526530"/>
    <w:rsid w:val="005271A4"/>
    <w:rsid w:val="0053064C"/>
    <w:rsid w:val="0053089F"/>
    <w:rsid w:val="00532889"/>
    <w:rsid w:val="00535C76"/>
    <w:rsid w:val="005369B1"/>
    <w:rsid w:val="00546957"/>
    <w:rsid w:val="00552665"/>
    <w:rsid w:val="00553D83"/>
    <w:rsid w:val="00555E16"/>
    <w:rsid w:val="005571CD"/>
    <w:rsid w:val="00557BFF"/>
    <w:rsid w:val="00561CFF"/>
    <w:rsid w:val="00566B2F"/>
    <w:rsid w:val="00570E98"/>
    <w:rsid w:val="005717B6"/>
    <w:rsid w:val="00576DBC"/>
    <w:rsid w:val="00577E30"/>
    <w:rsid w:val="0058055E"/>
    <w:rsid w:val="00581D52"/>
    <w:rsid w:val="00582FF2"/>
    <w:rsid w:val="0058435E"/>
    <w:rsid w:val="00584DE9"/>
    <w:rsid w:val="00584E82"/>
    <w:rsid w:val="005879B5"/>
    <w:rsid w:val="00590F0B"/>
    <w:rsid w:val="005911BB"/>
    <w:rsid w:val="00591A47"/>
    <w:rsid w:val="00591B88"/>
    <w:rsid w:val="00592CC8"/>
    <w:rsid w:val="005958EF"/>
    <w:rsid w:val="005976C8"/>
    <w:rsid w:val="005A6F8C"/>
    <w:rsid w:val="005A7224"/>
    <w:rsid w:val="005A74BD"/>
    <w:rsid w:val="005B0276"/>
    <w:rsid w:val="005B352A"/>
    <w:rsid w:val="005B35C0"/>
    <w:rsid w:val="005B38E9"/>
    <w:rsid w:val="005B3DD2"/>
    <w:rsid w:val="005B4333"/>
    <w:rsid w:val="005B4951"/>
    <w:rsid w:val="005B53AA"/>
    <w:rsid w:val="005B5B26"/>
    <w:rsid w:val="005B75F5"/>
    <w:rsid w:val="005C0503"/>
    <w:rsid w:val="005C480E"/>
    <w:rsid w:val="005C6EC9"/>
    <w:rsid w:val="005D0B5E"/>
    <w:rsid w:val="005D2AB9"/>
    <w:rsid w:val="005D2BF1"/>
    <w:rsid w:val="005D2F31"/>
    <w:rsid w:val="005D705D"/>
    <w:rsid w:val="005D7326"/>
    <w:rsid w:val="005E0A3E"/>
    <w:rsid w:val="005E1E94"/>
    <w:rsid w:val="005E436B"/>
    <w:rsid w:val="005E65F7"/>
    <w:rsid w:val="005F28B2"/>
    <w:rsid w:val="005F4EC2"/>
    <w:rsid w:val="005F6851"/>
    <w:rsid w:val="0060057C"/>
    <w:rsid w:val="00601CDF"/>
    <w:rsid w:val="00603C1D"/>
    <w:rsid w:val="0060563C"/>
    <w:rsid w:val="00606059"/>
    <w:rsid w:val="00606E0D"/>
    <w:rsid w:val="00610950"/>
    <w:rsid w:val="00613491"/>
    <w:rsid w:val="00616B3E"/>
    <w:rsid w:val="006257C4"/>
    <w:rsid w:val="00630750"/>
    <w:rsid w:val="00630A55"/>
    <w:rsid w:val="00633F0E"/>
    <w:rsid w:val="00634D51"/>
    <w:rsid w:val="00635724"/>
    <w:rsid w:val="006357F7"/>
    <w:rsid w:val="00640C71"/>
    <w:rsid w:val="006505E8"/>
    <w:rsid w:val="00651E46"/>
    <w:rsid w:val="0066000F"/>
    <w:rsid w:val="006624E7"/>
    <w:rsid w:val="006631E3"/>
    <w:rsid w:val="00663CD8"/>
    <w:rsid w:val="006652C4"/>
    <w:rsid w:val="00665349"/>
    <w:rsid w:val="00672D99"/>
    <w:rsid w:val="00677295"/>
    <w:rsid w:val="00680B8E"/>
    <w:rsid w:val="00681D3E"/>
    <w:rsid w:val="00683A02"/>
    <w:rsid w:val="00683F7A"/>
    <w:rsid w:val="00691EBA"/>
    <w:rsid w:val="0069270D"/>
    <w:rsid w:val="00692D47"/>
    <w:rsid w:val="00693A1A"/>
    <w:rsid w:val="00693FCC"/>
    <w:rsid w:val="006A0571"/>
    <w:rsid w:val="006A21D2"/>
    <w:rsid w:val="006A3BE7"/>
    <w:rsid w:val="006A5BDB"/>
    <w:rsid w:val="006A68BC"/>
    <w:rsid w:val="006B501D"/>
    <w:rsid w:val="006B5891"/>
    <w:rsid w:val="006B5FE6"/>
    <w:rsid w:val="006C102B"/>
    <w:rsid w:val="006C13E0"/>
    <w:rsid w:val="006D19D4"/>
    <w:rsid w:val="006D2D21"/>
    <w:rsid w:val="006D3366"/>
    <w:rsid w:val="006D5C48"/>
    <w:rsid w:val="006D688F"/>
    <w:rsid w:val="006D7A25"/>
    <w:rsid w:val="006E15CA"/>
    <w:rsid w:val="006E2E07"/>
    <w:rsid w:val="006E35AA"/>
    <w:rsid w:val="006E3DA6"/>
    <w:rsid w:val="006F073C"/>
    <w:rsid w:val="006F6A21"/>
    <w:rsid w:val="00700A54"/>
    <w:rsid w:val="00703980"/>
    <w:rsid w:val="00706412"/>
    <w:rsid w:val="007102AF"/>
    <w:rsid w:val="007145EB"/>
    <w:rsid w:val="00715050"/>
    <w:rsid w:val="0071552E"/>
    <w:rsid w:val="0071578D"/>
    <w:rsid w:val="00716B3B"/>
    <w:rsid w:val="00717123"/>
    <w:rsid w:val="00720548"/>
    <w:rsid w:val="007205C9"/>
    <w:rsid w:val="00720CDD"/>
    <w:rsid w:val="00723403"/>
    <w:rsid w:val="0073071F"/>
    <w:rsid w:val="00730C41"/>
    <w:rsid w:val="007316DC"/>
    <w:rsid w:val="00731F09"/>
    <w:rsid w:val="0073249E"/>
    <w:rsid w:val="007325AC"/>
    <w:rsid w:val="007354CE"/>
    <w:rsid w:val="007371AC"/>
    <w:rsid w:val="0074057C"/>
    <w:rsid w:val="007426BC"/>
    <w:rsid w:val="00745983"/>
    <w:rsid w:val="00746CC2"/>
    <w:rsid w:val="00746D63"/>
    <w:rsid w:val="00746ED0"/>
    <w:rsid w:val="007508EF"/>
    <w:rsid w:val="00752BD1"/>
    <w:rsid w:val="00754148"/>
    <w:rsid w:val="007605C9"/>
    <w:rsid w:val="00760837"/>
    <w:rsid w:val="00760B66"/>
    <w:rsid w:val="007610FE"/>
    <w:rsid w:val="0076336D"/>
    <w:rsid w:val="007637D8"/>
    <w:rsid w:val="00763B21"/>
    <w:rsid w:val="0076787D"/>
    <w:rsid w:val="0077198F"/>
    <w:rsid w:val="00771BE6"/>
    <w:rsid w:val="00771F22"/>
    <w:rsid w:val="007757BD"/>
    <w:rsid w:val="007757CA"/>
    <w:rsid w:val="007766AB"/>
    <w:rsid w:val="00777A0A"/>
    <w:rsid w:val="00780649"/>
    <w:rsid w:val="0078078B"/>
    <w:rsid w:val="007859FD"/>
    <w:rsid w:val="00785ED8"/>
    <w:rsid w:val="00790021"/>
    <w:rsid w:val="00793D27"/>
    <w:rsid w:val="007A4AFE"/>
    <w:rsid w:val="007A595B"/>
    <w:rsid w:val="007A6A22"/>
    <w:rsid w:val="007A6C07"/>
    <w:rsid w:val="007A6F63"/>
    <w:rsid w:val="007A7294"/>
    <w:rsid w:val="007A76E9"/>
    <w:rsid w:val="007A7FBD"/>
    <w:rsid w:val="007B1629"/>
    <w:rsid w:val="007B1FA6"/>
    <w:rsid w:val="007B5B42"/>
    <w:rsid w:val="007B7E52"/>
    <w:rsid w:val="007C11F9"/>
    <w:rsid w:val="007C1471"/>
    <w:rsid w:val="007C3F72"/>
    <w:rsid w:val="007C7E2E"/>
    <w:rsid w:val="007D0B7D"/>
    <w:rsid w:val="007E01E4"/>
    <w:rsid w:val="007E2520"/>
    <w:rsid w:val="007E560E"/>
    <w:rsid w:val="007E6F82"/>
    <w:rsid w:val="007F09C2"/>
    <w:rsid w:val="007F4B93"/>
    <w:rsid w:val="007F58DB"/>
    <w:rsid w:val="0080443A"/>
    <w:rsid w:val="00804AC8"/>
    <w:rsid w:val="00805FE3"/>
    <w:rsid w:val="00807357"/>
    <w:rsid w:val="00807992"/>
    <w:rsid w:val="00811662"/>
    <w:rsid w:val="00814982"/>
    <w:rsid w:val="0082543F"/>
    <w:rsid w:val="008259D9"/>
    <w:rsid w:val="00837E0A"/>
    <w:rsid w:val="00840E47"/>
    <w:rsid w:val="00842061"/>
    <w:rsid w:val="00842DC8"/>
    <w:rsid w:val="008506E5"/>
    <w:rsid w:val="00854472"/>
    <w:rsid w:val="0085449C"/>
    <w:rsid w:val="00855E0B"/>
    <w:rsid w:val="00856834"/>
    <w:rsid w:val="0085782E"/>
    <w:rsid w:val="008669CE"/>
    <w:rsid w:val="00881BFD"/>
    <w:rsid w:val="00883D4B"/>
    <w:rsid w:val="0088617D"/>
    <w:rsid w:val="00887030"/>
    <w:rsid w:val="008873DA"/>
    <w:rsid w:val="00895C6B"/>
    <w:rsid w:val="008A1C7F"/>
    <w:rsid w:val="008A4884"/>
    <w:rsid w:val="008B06F0"/>
    <w:rsid w:val="008B3AB3"/>
    <w:rsid w:val="008B52EE"/>
    <w:rsid w:val="008B54B0"/>
    <w:rsid w:val="008B5F1F"/>
    <w:rsid w:val="008B71E6"/>
    <w:rsid w:val="008C0E6D"/>
    <w:rsid w:val="008C4487"/>
    <w:rsid w:val="008C4C50"/>
    <w:rsid w:val="008C7964"/>
    <w:rsid w:val="008D043B"/>
    <w:rsid w:val="008D58C4"/>
    <w:rsid w:val="008D5990"/>
    <w:rsid w:val="008D7830"/>
    <w:rsid w:val="008E263E"/>
    <w:rsid w:val="008E7A5E"/>
    <w:rsid w:val="008F1CB1"/>
    <w:rsid w:val="008F2CFC"/>
    <w:rsid w:val="008F3265"/>
    <w:rsid w:val="008F57CC"/>
    <w:rsid w:val="008F69CF"/>
    <w:rsid w:val="00905BDB"/>
    <w:rsid w:val="0090629C"/>
    <w:rsid w:val="00914C8D"/>
    <w:rsid w:val="00915D3E"/>
    <w:rsid w:val="00916298"/>
    <w:rsid w:val="009227B0"/>
    <w:rsid w:val="00923687"/>
    <w:rsid w:val="00924DE1"/>
    <w:rsid w:val="009277BA"/>
    <w:rsid w:val="009313AD"/>
    <w:rsid w:val="009330E3"/>
    <w:rsid w:val="00934F91"/>
    <w:rsid w:val="00936BBB"/>
    <w:rsid w:val="00943557"/>
    <w:rsid w:val="00944404"/>
    <w:rsid w:val="00951535"/>
    <w:rsid w:val="00952ECE"/>
    <w:rsid w:val="00953B83"/>
    <w:rsid w:val="00960321"/>
    <w:rsid w:val="00961571"/>
    <w:rsid w:val="009632A5"/>
    <w:rsid w:val="009634B0"/>
    <w:rsid w:val="00964080"/>
    <w:rsid w:val="009643BA"/>
    <w:rsid w:val="00971EE7"/>
    <w:rsid w:val="00973AB5"/>
    <w:rsid w:val="00973D6A"/>
    <w:rsid w:val="0098049A"/>
    <w:rsid w:val="00983A3E"/>
    <w:rsid w:val="00985E44"/>
    <w:rsid w:val="0099028E"/>
    <w:rsid w:val="0099108A"/>
    <w:rsid w:val="00993A71"/>
    <w:rsid w:val="009B2922"/>
    <w:rsid w:val="009B355C"/>
    <w:rsid w:val="009B4F6D"/>
    <w:rsid w:val="009B67FC"/>
    <w:rsid w:val="009C0002"/>
    <w:rsid w:val="009C0672"/>
    <w:rsid w:val="009C218B"/>
    <w:rsid w:val="009C2DBA"/>
    <w:rsid w:val="009C4E2F"/>
    <w:rsid w:val="009C52FF"/>
    <w:rsid w:val="009C5555"/>
    <w:rsid w:val="009C683B"/>
    <w:rsid w:val="009D0CEA"/>
    <w:rsid w:val="009D2599"/>
    <w:rsid w:val="009D2AAB"/>
    <w:rsid w:val="009D67B4"/>
    <w:rsid w:val="009E1839"/>
    <w:rsid w:val="009E1F67"/>
    <w:rsid w:val="009F0481"/>
    <w:rsid w:val="009F111F"/>
    <w:rsid w:val="009F3865"/>
    <w:rsid w:val="009F47DA"/>
    <w:rsid w:val="009F5DCE"/>
    <w:rsid w:val="00A006F2"/>
    <w:rsid w:val="00A00A2F"/>
    <w:rsid w:val="00A02733"/>
    <w:rsid w:val="00A03CEA"/>
    <w:rsid w:val="00A059FD"/>
    <w:rsid w:val="00A06166"/>
    <w:rsid w:val="00A06B55"/>
    <w:rsid w:val="00A06BE2"/>
    <w:rsid w:val="00A10ED1"/>
    <w:rsid w:val="00A157D1"/>
    <w:rsid w:val="00A22035"/>
    <w:rsid w:val="00A2402D"/>
    <w:rsid w:val="00A25543"/>
    <w:rsid w:val="00A3022D"/>
    <w:rsid w:val="00A326A0"/>
    <w:rsid w:val="00A36171"/>
    <w:rsid w:val="00A370C8"/>
    <w:rsid w:val="00A40B87"/>
    <w:rsid w:val="00A413B7"/>
    <w:rsid w:val="00A44858"/>
    <w:rsid w:val="00A50EA7"/>
    <w:rsid w:val="00A54A41"/>
    <w:rsid w:val="00A54F08"/>
    <w:rsid w:val="00A64E67"/>
    <w:rsid w:val="00A65FB8"/>
    <w:rsid w:val="00A70D8C"/>
    <w:rsid w:val="00A71034"/>
    <w:rsid w:val="00A7127E"/>
    <w:rsid w:val="00A72BEE"/>
    <w:rsid w:val="00A7690A"/>
    <w:rsid w:val="00A77674"/>
    <w:rsid w:val="00A81AEA"/>
    <w:rsid w:val="00A81D89"/>
    <w:rsid w:val="00A82E45"/>
    <w:rsid w:val="00A908F6"/>
    <w:rsid w:val="00A95EE2"/>
    <w:rsid w:val="00A9765C"/>
    <w:rsid w:val="00A97769"/>
    <w:rsid w:val="00AA3C9E"/>
    <w:rsid w:val="00AA496B"/>
    <w:rsid w:val="00AB33FF"/>
    <w:rsid w:val="00AB4777"/>
    <w:rsid w:val="00AB753E"/>
    <w:rsid w:val="00AC35FF"/>
    <w:rsid w:val="00AC622E"/>
    <w:rsid w:val="00AC6D17"/>
    <w:rsid w:val="00AD04A9"/>
    <w:rsid w:val="00AD217A"/>
    <w:rsid w:val="00AD394C"/>
    <w:rsid w:val="00AD68BF"/>
    <w:rsid w:val="00AD6E32"/>
    <w:rsid w:val="00AD78A9"/>
    <w:rsid w:val="00AE1895"/>
    <w:rsid w:val="00AE1D78"/>
    <w:rsid w:val="00AE4C7F"/>
    <w:rsid w:val="00AF35E3"/>
    <w:rsid w:val="00B00F95"/>
    <w:rsid w:val="00B06439"/>
    <w:rsid w:val="00B07FFA"/>
    <w:rsid w:val="00B10E69"/>
    <w:rsid w:val="00B12552"/>
    <w:rsid w:val="00B12715"/>
    <w:rsid w:val="00B13F55"/>
    <w:rsid w:val="00B16F6D"/>
    <w:rsid w:val="00B20EE7"/>
    <w:rsid w:val="00B20F59"/>
    <w:rsid w:val="00B220B6"/>
    <w:rsid w:val="00B30452"/>
    <w:rsid w:val="00B31F69"/>
    <w:rsid w:val="00B32538"/>
    <w:rsid w:val="00B33827"/>
    <w:rsid w:val="00B37244"/>
    <w:rsid w:val="00B42B74"/>
    <w:rsid w:val="00B440C0"/>
    <w:rsid w:val="00B4445A"/>
    <w:rsid w:val="00B460D3"/>
    <w:rsid w:val="00B51BF6"/>
    <w:rsid w:val="00B53D0A"/>
    <w:rsid w:val="00B558DB"/>
    <w:rsid w:val="00B577A0"/>
    <w:rsid w:val="00B611AD"/>
    <w:rsid w:val="00B627A2"/>
    <w:rsid w:val="00B62CA4"/>
    <w:rsid w:val="00B63F60"/>
    <w:rsid w:val="00B66FE9"/>
    <w:rsid w:val="00B704A5"/>
    <w:rsid w:val="00B72237"/>
    <w:rsid w:val="00B7390C"/>
    <w:rsid w:val="00B7428F"/>
    <w:rsid w:val="00B742AD"/>
    <w:rsid w:val="00B74378"/>
    <w:rsid w:val="00B747BF"/>
    <w:rsid w:val="00B75FBC"/>
    <w:rsid w:val="00B76572"/>
    <w:rsid w:val="00B835C3"/>
    <w:rsid w:val="00B844AC"/>
    <w:rsid w:val="00B87726"/>
    <w:rsid w:val="00B87B7E"/>
    <w:rsid w:val="00B90BB3"/>
    <w:rsid w:val="00B93A76"/>
    <w:rsid w:val="00B951FC"/>
    <w:rsid w:val="00B96394"/>
    <w:rsid w:val="00B9697D"/>
    <w:rsid w:val="00B9708D"/>
    <w:rsid w:val="00BA15D9"/>
    <w:rsid w:val="00BA2538"/>
    <w:rsid w:val="00BA3037"/>
    <w:rsid w:val="00BA5530"/>
    <w:rsid w:val="00BA62C2"/>
    <w:rsid w:val="00BB2013"/>
    <w:rsid w:val="00BB2599"/>
    <w:rsid w:val="00BB5AB7"/>
    <w:rsid w:val="00BC4451"/>
    <w:rsid w:val="00BC47D6"/>
    <w:rsid w:val="00BC7077"/>
    <w:rsid w:val="00BD19EE"/>
    <w:rsid w:val="00BD37B8"/>
    <w:rsid w:val="00BD525D"/>
    <w:rsid w:val="00BD6FD9"/>
    <w:rsid w:val="00BE000E"/>
    <w:rsid w:val="00BE075A"/>
    <w:rsid w:val="00BE0C78"/>
    <w:rsid w:val="00BE1B96"/>
    <w:rsid w:val="00BE4E1A"/>
    <w:rsid w:val="00BE5649"/>
    <w:rsid w:val="00BE696E"/>
    <w:rsid w:val="00BE73C7"/>
    <w:rsid w:val="00BF088B"/>
    <w:rsid w:val="00BF2D2E"/>
    <w:rsid w:val="00BF4167"/>
    <w:rsid w:val="00BF468D"/>
    <w:rsid w:val="00BF6F85"/>
    <w:rsid w:val="00C04391"/>
    <w:rsid w:val="00C04591"/>
    <w:rsid w:val="00C046F9"/>
    <w:rsid w:val="00C0776E"/>
    <w:rsid w:val="00C1151F"/>
    <w:rsid w:val="00C13826"/>
    <w:rsid w:val="00C14965"/>
    <w:rsid w:val="00C14F7D"/>
    <w:rsid w:val="00C1592F"/>
    <w:rsid w:val="00C165AD"/>
    <w:rsid w:val="00C16B77"/>
    <w:rsid w:val="00C17163"/>
    <w:rsid w:val="00C20A1B"/>
    <w:rsid w:val="00C212D9"/>
    <w:rsid w:val="00C22A24"/>
    <w:rsid w:val="00C25996"/>
    <w:rsid w:val="00C27077"/>
    <w:rsid w:val="00C3314C"/>
    <w:rsid w:val="00C3448B"/>
    <w:rsid w:val="00C344CC"/>
    <w:rsid w:val="00C4082C"/>
    <w:rsid w:val="00C40D4A"/>
    <w:rsid w:val="00C411C5"/>
    <w:rsid w:val="00C425FB"/>
    <w:rsid w:val="00C43C67"/>
    <w:rsid w:val="00C4532D"/>
    <w:rsid w:val="00C5489A"/>
    <w:rsid w:val="00C57D92"/>
    <w:rsid w:val="00C60CD5"/>
    <w:rsid w:val="00C66FFD"/>
    <w:rsid w:val="00C73294"/>
    <w:rsid w:val="00C7734D"/>
    <w:rsid w:val="00C81D23"/>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2DF7"/>
    <w:rsid w:val="00CB42D7"/>
    <w:rsid w:val="00CB46F1"/>
    <w:rsid w:val="00CB6CB5"/>
    <w:rsid w:val="00CB7816"/>
    <w:rsid w:val="00CC4886"/>
    <w:rsid w:val="00CC59BC"/>
    <w:rsid w:val="00CC716E"/>
    <w:rsid w:val="00CC7BE2"/>
    <w:rsid w:val="00CD0019"/>
    <w:rsid w:val="00CD4836"/>
    <w:rsid w:val="00CE4C81"/>
    <w:rsid w:val="00CE4D4A"/>
    <w:rsid w:val="00CE7417"/>
    <w:rsid w:val="00CF2C1A"/>
    <w:rsid w:val="00D115B2"/>
    <w:rsid w:val="00D124CB"/>
    <w:rsid w:val="00D15FA5"/>
    <w:rsid w:val="00D21623"/>
    <w:rsid w:val="00D22978"/>
    <w:rsid w:val="00D22A96"/>
    <w:rsid w:val="00D249F1"/>
    <w:rsid w:val="00D25DD9"/>
    <w:rsid w:val="00D2678C"/>
    <w:rsid w:val="00D3303B"/>
    <w:rsid w:val="00D34672"/>
    <w:rsid w:val="00D34D42"/>
    <w:rsid w:val="00D3711F"/>
    <w:rsid w:val="00D37F82"/>
    <w:rsid w:val="00D37FC6"/>
    <w:rsid w:val="00D4085B"/>
    <w:rsid w:val="00D41714"/>
    <w:rsid w:val="00D440EB"/>
    <w:rsid w:val="00D44E6E"/>
    <w:rsid w:val="00D46A64"/>
    <w:rsid w:val="00D479C8"/>
    <w:rsid w:val="00D5107E"/>
    <w:rsid w:val="00D538BC"/>
    <w:rsid w:val="00D54DC8"/>
    <w:rsid w:val="00D552B7"/>
    <w:rsid w:val="00D56587"/>
    <w:rsid w:val="00D631A3"/>
    <w:rsid w:val="00D64982"/>
    <w:rsid w:val="00D65A12"/>
    <w:rsid w:val="00D65C05"/>
    <w:rsid w:val="00D65DA2"/>
    <w:rsid w:val="00D679BB"/>
    <w:rsid w:val="00D67EAB"/>
    <w:rsid w:val="00D71FF2"/>
    <w:rsid w:val="00D77227"/>
    <w:rsid w:val="00D8502A"/>
    <w:rsid w:val="00D85193"/>
    <w:rsid w:val="00D86015"/>
    <w:rsid w:val="00D90CAA"/>
    <w:rsid w:val="00DA0584"/>
    <w:rsid w:val="00DA126C"/>
    <w:rsid w:val="00DA4E37"/>
    <w:rsid w:val="00DA6A36"/>
    <w:rsid w:val="00DB01E0"/>
    <w:rsid w:val="00DB215E"/>
    <w:rsid w:val="00DB6E44"/>
    <w:rsid w:val="00DB7210"/>
    <w:rsid w:val="00DC0F26"/>
    <w:rsid w:val="00DC16B4"/>
    <w:rsid w:val="00DD030E"/>
    <w:rsid w:val="00DD1804"/>
    <w:rsid w:val="00DD25D7"/>
    <w:rsid w:val="00DD367A"/>
    <w:rsid w:val="00DD5060"/>
    <w:rsid w:val="00DD6CEA"/>
    <w:rsid w:val="00DE1EFD"/>
    <w:rsid w:val="00DE4B43"/>
    <w:rsid w:val="00DE78BB"/>
    <w:rsid w:val="00DF3B7D"/>
    <w:rsid w:val="00DF6EA9"/>
    <w:rsid w:val="00DF7938"/>
    <w:rsid w:val="00E014A0"/>
    <w:rsid w:val="00E0182C"/>
    <w:rsid w:val="00E1397B"/>
    <w:rsid w:val="00E13AE1"/>
    <w:rsid w:val="00E22479"/>
    <w:rsid w:val="00E243F1"/>
    <w:rsid w:val="00E2477E"/>
    <w:rsid w:val="00E2573D"/>
    <w:rsid w:val="00E27749"/>
    <w:rsid w:val="00E27D1B"/>
    <w:rsid w:val="00E311F3"/>
    <w:rsid w:val="00E33484"/>
    <w:rsid w:val="00E33C93"/>
    <w:rsid w:val="00E3437E"/>
    <w:rsid w:val="00E35CAC"/>
    <w:rsid w:val="00E36099"/>
    <w:rsid w:val="00E36282"/>
    <w:rsid w:val="00E36966"/>
    <w:rsid w:val="00E41AF6"/>
    <w:rsid w:val="00E4482A"/>
    <w:rsid w:val="00E45964"/>
    <w:rsid w:val="00E46A9F"/>
    <w:rsid w:val="00E605A4"/>
    <w:rsid w:val="00E60A59"/>
    <w:rsid w:val="00E65CD0"/>
    <w:rsid w:val="00E70125"/>
    <w:rsid w:val="00E70A33"/>
    <w:rsid w:val="00E71EDB"/>
    <w:rsid w:val="00E74D4B"/>
    <w:rsid w:val="00E75317"/>
    <w:rsid w:val="00E756B7"/>
    <w:rsid w:val="00E7756D"/>
    <w:rsid w:val="00E776F1"/>
    <w:rsid w:val="00E77C9D"/>
    <w:rsid w:val="00E85DF8"/>
    <w:rsid w:val="00E9165D"/>
    <w:rsid w:val="00E938EA"/>
    <w:rsid w:val="00E93E1D"/>
    <w:rsid w:val="00E9438C"/>
    <w:rsid w:val="00E96C5E"/>
    <w:rsid w:val="00EA0267"/>
    <w:rsid w:val="00EB0703"/>
    <w:rsid w:val="00EB2E61"/>
    <w:rsid w:val="00EC26EB"/>
    <w:rsid w:val="00EC38DE"/>
    <w:rsid w:val="00EC5036"/>
    <w:rsid w:val="00EC6070"/>
    <w:rsid w:val="00EC7291"/>
    <w:rsid w:val="00ED2834"/>
    <w:rsid w:val="00EE38A0"/>
    <w:rsid w:val="00EE4618"/>
    <w:rsid w:val="00EE4CE8"/>
    <w:rsid w:val="00EE6C34"/>
    <w:rsid w:val="00EF085C"/>
    <w:rsid w:val="00EF722A"/>
    <w:rsid w:val="00F00D3E"/>
    <w:rsid w:val="00F0169D"/>
    <w:rsid w:val="00F02924"/>
    <w:rsid w:val="00F03A28"/>
    <w:rsid w:val="00F0437E"/>
    <w:rsid w:val="00F045A4"/>
    <w:rsid w:val="00F05A25"/>
    <w:rsid w:val="00F07B96"/>
    <w:rsid w:val="00F11040"/>
    <w:rsid w:val="00F11369"/>
    <w:rsid w:val="00F11B90"/>
    <w:rsid w:val="00F12F45"/>
    <w:rsid w:val="00F143E8"/>
    <w:rsid w:val="00F15F70"/>
    <w:rsid w:val="00F162EE"/>
    <w:rsid w:val="00F16967"/>
    <w:rsid w:val="00F16F42"/>
    <w:rsid w:val="00F24554"/>
    <w:rsid w:val="00F2456E"/>
    <w:rsid w:val="00F25638"/>
    <w:rsid w:val="00F26199"/>
    <w:rsid w:val="00F27C12"/>
    <w:rsid w:val="00F31048"/>
    <w:rsid w:val="00F315A2"/>
    <w:rsid w:val="00F328BE"/>
    <w:rsid w:val="00F35397"/>
    <w:rsid w:val="00F359F8"/>
    <w:rsid w:val="00F35E15"/>
    <w:rsid w:val="00F40485"/>
    <w:rsid w:val="00F4285C"/>
    <w:rsid w:val="00F440BA"/>
    <w:rsid w:val="00F45C98"/>
    <w:rsid w:val="00F47206"/>
    <w:rsid w:val="00F53CC5"/>
    <w:rsid w:val="00F53F87"/>
    <w:rsid w:val="00F56518"/>
    <w:rsid w:val="00F56608"/>
    <w:rsid w:val="00F567E6"/>
    <w:rsid w:val="00F605B7"/>
    <w:rsid w:val="00F63369"/>
    <w:rsid w:val="00F63A03"/>
    <w:rsid w:val="00F63DCD"/>
    <w:rsid w:val="00F70641"/>
    <w:rsid w:val="00F75152"/>
    <w:rsid w:val="00F76571"/>
    <w:rsid w:val="00F83A71"/>
    <w:rsid w:val="00F86152"/>
    <w:rsid w:val="00F87073"/>
    <w:rsid w:val="00F87671"/>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6330"/>
    <w:rsid w:val="00FC654E"/>
    <w:rsid w:val="00FD00BB"/>
    <w:rsid w:val="00FD2BB1"/>
    <w:rsid w:val="00FD3291"/>
    <w:rsid w:val="00FD37C4"/>
    <w:rsid w:val="00FD47CA"/>
    <w:rsid w:val="00FD5692"/>
    <w:rsid w:val="00FE15B9"/>
    <w:rsid w:val="00FE3223"/>
    <w:rsid w:val="00FE7251"/>
    <w:rsid w:val="00FF2221"/>
    <w:rsid w:val="00FF2826"/>
    <w:rsid w:val="00FF4440"/>
    <w:rsid w:val="00FF6B8E"/>
    <w:rsid w:val="00FF726B"/>
    <w:rsid w:val="01764BE9"/>
    <w:rsid w:val="0181A869"/>
    <w:rsid w:val="01DAF748"/>
    <w:rsid w:val="02102438"/>
    <w:rsid w:val="02387362"/>
    <w:rsid w:val="0296AB77"/>
    <w:rsid w:val="029A8CF0"/>
    <w:rsid w:val="03E96227"/>
    <w:rsid w:val="041B5B1C"/>
    <w:rsid w:val="049C8788"/>
    <w:rsid w:val="0589731F"/>
    <w:rsid w:val="05D807B6"/>
    <w:rsid w:val="064DF079"/>
    <w:rsid w:val="06A4C2CA"/>
    <w:rsid w:val="07887F54"/>
    <w:rsid w:val="08444EDD"/>
    <w:rsid w:val="085ADECB"/>
    <w:rsid w:val="08639604"/>
    <w:rsid w:val="08CFFC98"/>
    <w:rsid w:val="08E5369F"/>
    <w:rsid w:val="0952D773"/>
    <w:rsid w:val="0A4CA497"/>
    <w:rsid w:val="0A597DBF"/>
    <w:rsid w:val="0B885281"/>
    <w:rsid w:val="0C61E9A6"/>
    <w:rsid w:val="0C67F15D"/>
    <w:rsid w:val="0D38874B"/>
    <w:rsid w:val="0D643E02"/>
    <w:rsid w:val="0D99CAE0"/>
    <w:rsid w:val="0DA2B959"/>
    <w:rsid w:val="0DE77CBB"/>
    <w:rsid w:val="0E686FA1"/>
    <w:rsid w:val="0F903B58"/>
    <w:rsid w:val="1042B303"/>
    <w:rsid w:val="1092FC46"/>
    <w:rsid w:val="10F557CC"/>
    <w:rsid w:val="11B2DC09"/>
    <w:rsid w:val="1374B421"/>
    <w:rsid w:val="13A04DD8"/>
    <w:rsid w:val="13CDA291"/>
    <w:rsid w:val="142C06D1"/>
    <w:rsid w:val="149862DB"/>
    <w:rsid w:val="150CA548"/>
    <w:rsid w:val="167251C8"/>
    <w:rsid w:val="17528D15"/>
    <w:rsid w:val="175E68DE"/>
    <w:rsid w:val="18773D1F"/>
    <w:rsid w:val="190A727D"/>
    <w:rsid w:val="1A5FCEEA"/>
    <w:rsid w:val="1B40FE33"/>
    <w:rsid w:val="1B53F364"/>
    <w:rsid w:val="1B5B1884"/>
    <w:rsid w:val="1C74C4A7"/>
    <w:rsid w:val="1FA181A5"/>
    <w:rsid w:val="2083ED32"/>
    <w:rsid w:val="21264BCB"/>
    <w:rsid w:val="214BC1F6"/>
    <w:rsid w:val="224F6C7F"/>
    <w:rsid w:val="22A67122"/>
    <w:rsid w:val="22CD92F3"/>
    <w:rsid w:val="232BE291"/>
    <w:rsid w:val="23AC9BAA"/>
    <w:rsid w:val="245ACE1A"/>
    <w:rsid w:val="24A635EA"/>
    <w:rsid w:val="25B86CD1"/>
    <w:rsid w:val="25CA581E"/>
    <w:rsid w:val="26B3154D"/>
    <w:rsid w:val="273CF10D"/>
    <w:rsid w:val="275DFFDC"/>
    <w:rsid w:val="280C865D"/>
    <w:rsid w:val="2829CEC5"/>
    <w:rsid w:val="28ADC7C2"/>
    <w:rsid w:val="294C1835"/>
    <w:rsid w:val="2C6F938C"/>
    <w:rsid w:val="2CEFCB59"/>
    <w:rsid w:val="2DAE765E"/>
    <w:rsid w:val="2E23BF04"/>
    <w:rsid w:val="2E766C0D"/>
    <w:rsid w:val="2EAF6679"/>
    <w:rsid w:val="2F0EE6C6"/>
    <w:rsid w:val="3010DDD7"/>
    <w:rsid w:val="3173C06C"/>
    <w:rsid w:val="319AD032"/>
    <w:rsid w:val="32D3439C"/>
    <w:rsid w:val="345FC0CE"/>
    <w:rsid w:val="34DB5BDD"/>
    <w:rsid w:val="3642C392"/>
    <w:rsid w:val="36EF2E18"/>
    <w:rsid w:val="39817396"/>
    <w:rsid w:val="3A56AD01"/>
    <w:rsid w:val="3AD8CB02"/>
    <w:rsid w:val="3AF08D43"/>
    <w:rsid w:val="3B5F7CDE"/>
    <w:rsid w:val="3B8E9DFA"/>
    <w:rsid w:val="3BC6A8AA"/>
    <w:rsid w:val="3C19C00E"/>
    <w:rsid w:val="3C2ECDE1"/>
    <w:rsid w:val="3D838B3A"/>
    <w:rsid w:val="3DCF306F"/>
    <w:rsid w:val="3E01D1EC"/>
    <w:rsid w:val="3E6E1435"/>
    <w:rsid w:val="3E85EBF4"/>
    <w:rsid w:val="3EBF99E1"/>
    <w:rsid w:val="3F320BC3"/>
    <w:rsid w:val="3FF8DEFE"/>
    <w:rsid w:val="4020F355"/>
    <w:rsid w:val="4116C914"/>
    <w:rsid w:val="414544EA"/>
    <w:rsid w:val="424EA2B9"/>
    <w:rsid w:val="4265A302"/>
    <w:rsid w:val="42E19883"/>
    <w:rsid w:val="439B910D"/>
    <w:rsid w:val="44125C00"/>
    <w:rsid w:val="44F56E91"/>
    <w:rsid w:val="4540AE7C"/>
    <w:rsid w:val="45CC8FAD"/>
    <w:rsid w:val="45EDD7C1"/>
    <w:rsid w:val="4644C7D3"/>
    <w:rsid w:val="46B41E5E"/>
    <w:rsid w:val="473AD1DD"/>
    <w:rsid w:val="493078E7"/>
    <w:rsid w:val="4A1B811A"/>
    <w:rsid w:val="4A409523"/>
    <w:rsid w:val="4A67B589"/>
    <w:rsid w:val="4ABCFAC3"/>
    <w:rsid w:val="4B02738B"/>
    <w:rsid w:val="4B502617"/>
    <w:rsid w:val="4B7D8B10"/>
    <w:rsid w:val="4BA11B75"/>
    <w:rsid w:val="4D3730B5"/>
    <w:rsid w:val="4D491A9A"/>
    <w:rsid w:val="4EA26BCE"/>
    <w:rsid w:val="503AAF91"/>
    <w:rsid w:val="516A1ECC"/>
    <w:rsid w:val="519DA9BB"/>
    <w:rsid w:val="5315FC11"/>
    <w:rsid w:val="535D4914"/>
    <w:rsid w:val="536BD0B3"/>
    <w:rsid w:val="538C3F0A"/>
    <w:rsid w:val="539782B5"/>
    <w:rsid w:val="53CA31A7"/>
    <w:rsid w:val="53DCC2E0"/>
    <w:rsid w:val="543B47A2"/>
    <w:rsid w:val="546D370C"/>
    <w:rsid w:val="54BCB088"/>
    <w:rsid w:val="54D72568"/>
    <w:rsid w:val="560E80CD"/>
    <w:rsid w:val="56381549"/>
    <w:rsid w:val="56A65724"/>
    <w:rsid w:val="5710E775"/>
    <w:rsid w:val="5755C009"/>
    <w:rsid w:val="5755D0A1"/>
    <w:rsid w:val="57584D79"/>
    <w:rsid w:val="575ECD14"/>
    <w:rsid w:val="58A919BC"/>
    <w:rsid w:val="58EA70CF"/>
    <w:rsid w:val="59990190"/>
    <w:rsid w:val="5ACA344D"/>
    <w:rsid w:val="5BF1FB32"/>
    <w:rsid w:val="5C04010F"/>
    <w:rsid w:val="5C5489A6"/>
    <w:rsid w:val="5CF92311"/>
    <w:rsid w:val="5D1A5689"/>
    <w:rsid w:val="5D693DF2"/>
    <w:rsid w:val="5DE54260"/>
    <w:rsid w:val="5DFBB300"/>
    <w:rsid w:val="5E4CFE84"/>
    <w:rsid w:val="5E4DC836"/>
    <w:rsid w:val="5E821C5D"/>
    <w:rsid w:val="5FF1A488"/>
    <w:rsid w:val="6009EC60"/>
    <w:rsid w:val="600DB2C3"/>
    <w:rsid w:val="605065EF"/>
    <w:rsid w:val="61267B6E"/>
    <w:rsid w:val="61458149"/>
    <w:rsid w:val="61DD713C"/>
    <w:rsid w:val="62629195"/>
    <w:rsid w:val="629574C8"/>
    <w:rsid w:val="62B44B70"/>
    <w:rsid w:val="62DAC394"/>
    <w:rsid w:val="62E4CE5A"/>
    <w:rsid w:val="63BDD47B"/>
    <w:rsid w:val="668D4F74"/>
    <w:rsid w:val="672A57C7"/>
    <w:rsid w:val="686B8FC3"/>
    <w:rsid w:val="696C0A4A"/>
    <w:rsid w:val="6A49886A"/>
    <w:rsid w:val="6A71B0A0"/>
    <w:rsid w:val="6CB32FF8"/>
    <w:rsid w:val="6E09014C"/>
    <w:rsid w:val="6E2AC9F2"/>
    <w:rsid w:val="7054464D"/>
    <w:rsid w:val="712855D5"/>
    <w:rsid w:val="71A7F6ED"/>
    <w:rsid w:val="72211B1E"/>
    <w:rsid w:val="72A465F2"/>
    <w:rsid w:val="72F2C953"/>
    <w:rsid w:val="735702F0"/>
    <w:rsid w:val="73DC9A4C"/>
    <w:rsid w:val="7435B5FB"/>
    <w:rsid w:val="75EFE7F8"/>
    <w:rsid w:val="769E764B"/>
    <w:rsid w:val="77344F2C"/>
    <w:rsid w:val="7880E87C"/>
    <w:rsid w:val="78EABE55"/>
    <w:rsid w:val="79E11FC2"/>
    <w:rsid w:val="7A1B76C2"/>
    <w:rsid w:val="7A785DF5"/>
    <w:rsid w:val="7A8CDDD1"/>
    <w:rsid w:val="7AE78FE6"/>
    <w:rsid w:val="7B1920BA"/>
    <w:rsid w:val="7B4494A6"/>
    <w:rsid w:val="7C750CEA"/>
    <w:rsid w:val="7D598C7E"/>
    <w:rsid w:val="7D638CBC"/>
    <w:rsid w:val="7F898DA1"/>
    <w:rsid w:val="7F9B86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EA5AEBD4-D336-41F3-AC8C-F385E0B8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normaltextrun">
    <w:name w:val="normaltextrun"/>
    <w:basedOn w:val="DefaultParagraphFont"/>
    <w:uiPriority w:val="1"/>
    <w:rsid w:val="245ACE1A"/>
    <w:rPr>
      <w:rFonts w:ascii="Times New Roman" w:eastAsia="Times New Roman" w:hAnsi="Times New Roman" w:cs="Times New Roman"/>
    </w:rPr>
  </w:style>
  <w:style w:type="character" w:customStyle="1" w:styleId="eop">
    <w:name w:val="eop"/>
    <w:basedOn w:val="DefaultParagraphFont"/>
    <w:uiPriority w:val="1"/>
    <w:rsid w:val="245ACE1A"/>
    <w:rPr>
      <w:rFonts w:ascii="Times New Roman" w:eastAsia="Times New Roman" w:hAnsi="Times New Roman" w:cs="Times New Roman"/>
    </w:rPr>
  </w:style>
  <w:style w:type="paragraph" w:styleId="Revision">
    <w:name w:val="Revision"/>
    <w:hidden/>
    <w:uiPriority w:val="99"/>
    <w:semiHidden/>
    <w:rsid w:val="00D552B7"/>
    <w:rPr>
      <w:rFonts w:ascii="Tms Rmn" w:hAnsi="Tms Rmn"/>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autoRedefine/>
    <w:uiPriority w:val="1"/>
    <w:qFormat/>
    <w:rsid w:val="003A71E2"/>
    <w:rPr>
      <w:rFonts w:eastAsiaTheme="minorHAnsi" w:cstheme="minorBidi"/>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11/19/2021-25276/privacy-act-of-1974-system-of-records-notic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sba.gov/" TargetMode="External" /><Relationship Id="rId9" Type="http://schemas.openxmlformats.org/officeDocument/2006/relationships/hyperlink" Target="https://www.govinfo.gov/content/pkg/PAI-2017-SBA/xml/PAI-2017-SBA.x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3" ma:contentTypeDescription="Create a new document." ma:contentTypeScope="" ma:versionID="97b334de7adb2c4eb58d20bc854493e4">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ff565d0d31b3fe62cdf58809b6655bb5"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D5F2-DA2C-4A5E-9C47-05702CA9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A30AC-DABC-4012-83F9-1EAB63722A2C}">
  <ds:schemaRefs>
    <ds:schemaRef ds:uri="b2f1c812-67b0-4a6a-9c51-309935dacdc6"/>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8d0ad5b1-1f64-4090-85ee-9fd12db0cc21"/>
    <ds:schemaRef ds:uri="http://purl.org/dc/terms/"/>
  </ds:schemaRefs>
</ds:datastoreItem>
</file>

<file path=customXml/itemProps3.xml><?xml version="1.0" encoding="utf-8"?>
<ds:datastoreItem xmlns:ds="http://schemas.openxmlformats.org/officeDocument/2006/customXml" ds:itemID="{143B6173-EE83-4A6C-92FC-83ABE998F487}">
  <ds:schemaRefs>
    <ds:schemaRef ds:uri="http://schemas.microsoft.com/sharepoint/v3/contenttype/forms"/>
  </ds:schemaRefs>
</ds:datastoreItem>
</file>

<file path=customXml/itemProps4.xml><?xml version="1.0" encoding="utf-8"?>
<ds:datastoreItem xmlns:ds="http://schemas.openxmlformats.org/officeDocument/2006/customXml" ds:itemID="{FC0ECC5A-6E52-4F7E-AD12-244E76786BF7}">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1771</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Camacho, Robert R.</dc:creator>
  <cp:lastModifiedBy>Frias, Mary S.</cp:lastModifiedBy>
  <cp:revision>2</cp:revision>
  <dcterms:created xsi:type="dcterms:W3CDTF">2025-08-22T21:37:00Z</dcterms:created>
  <dcterms:modified xsi:type="dcterms:W3CDTF">2025-08-22T21:37:00Z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0x010100B4F753E460762A44A79445FE0D4FA1F5</vt:lpwstr>
  </property>
  <property fmtid="{D5CDD505-2E9C-101B-9397-08002B2CF9AE}" pid="4" name="MediaServiceImageTags">
    <vt:lpwstr/>
  </property>
  <property fmtid="{D5CDD505-2E9C-101B-9397-08002B2CF9AE}" pid="5" name="Order">
    <vt:r8>26500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