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3385D" w:rsidRPr="00D6588C" w:rsidP="00593B63" w14:paraId="05D4ADC5" w14:textId="41BB9AE6">
      <w:pPr>
        <w:spacing w:before="120"/>
        <w:ind w:left="-90" w:firstLine="90"/>
        <w:rPr>
          <w:rFonts w:ascii="Times New Roman" w:hAnsi="Times New Roman" w:cs="Times New Roman"/>
        </w:rPr>
      </w:pPr>
      <w:r w:rsidRPr="00D6588C">
        <w:rPr>
          <w:rFonts w:ascii="Times New Roman" w:hAnsi="Times New Roman" w:cs="Times New Roman"/>
        </w:rPr>
        <w:t xml:space="preserve">DATE: </w:t>
      </w:r>
      <w:r w:rsidR="0058527A">
        <w:rPr>
          <w:rFonts w:ascii="Times New Roman" w:hAnsi="Times New Roman" w:cs="Times New Roman"/>
        </w:rPr>
        <w:t xml:space="preserve">September </w:t>
      </w:r>
      <w:r w:rsidR="00A239B8">
        <w:rPr>
          <w:rFonts w:ascii="Times New Roman" w:hAnsi="Times New Roman" w:cs="Times New Roman"/>
        </w:rPr>
        <w:t>5</w:t>
      </w:r>
      <w:r w:rsidRPr="00D6588C" w:rsidR="00C37526">
        <w:rPr>
          <w:rFonts w:ascii="Times New Roman" w:hAnsi="Times New Roman" w:cs="Times New Roman"/>
        </w:rPr>
        <w:t>, 2025</w:t>
      </w:r>
      <w:r w:rsidRPr="00D6588C">
        <w:rPr>
          <w:rFonts w:ascii="Times New Roman" w:hAnsi="Times New Roman" w:cs="Times New Roman"/>
        </w:rPr>
        <w:tab/>
      </w:r>
    </w:p>
    <w:p w:rsidR="0043385D" w:rsidRPr="00D6588C" w:rsidP="00593B63" w14:paraId="4B1B1A5C" w14:textId="77777777">
      <w:pPr>
        <w:spacing w:before="120"/>
        <w:rPr>
          <w:rFonts w:ascii="Times New Roman" w:hAnsi="Times New Roman" w:cs="Times New Roman"/>
        </w:rPr>
      </w:pPr>
      <w:r w:rsidRPr="00D6588C">
        <w:rPr>
          <w:rFonts w:ascii="Times New Roman" w:hAnsi="Times New Roman" w:cs="Times New Roman"/>
        </w:rPr>
        <w:t>TO:</w:t>
      </w:r>
      <w:r w:rsidRPr="00D6588C">
        <w:rPr>
          <w:rFonts w:ascii="Times New Roman" w:hAnsi="Times New Roman" w:cs="Times New Roman"/>
        </w:rPr>
        <w:tab/>
      </w:r>
      <w:r w:rsidRPr="00D6588C" w:rsidR="00C37526">
        <w:rPr>
          <w:rFonts w:ascii="Times New Roman" w:hAnsi="Times New Roman" w:cs="Times New Roman"/>
        </w:rPr>
        <w:t>Laurel Havas</w:t>
      </w:r>
      <w:r w:rsidRPr="00D6588C">
        <w:rPr>
          <w:rFonts w:ascii="Times New Roman" w:hAnsi="Times New Roman" w:cs="Times New Roman"/>
        </w:rPr>
        <w:t>, OMB Desk Officer</w:t>
      </w:r>
    </w:p>
    <w:p w:rsidR="00A156EE" w:rsidRPr="00D6588C" w:rsidP="00593B63" w14:paraId="69CF134F" w14:textId="5B5BE891">
      <w:pPr>
        <w:spacing w:before="120"/>
        <w:rPr>
          <w:rFonts w:ascii="Times New Roman" w:hAnsi="Times New Roman" w:cs="Times New Roman"/>
        </w:rPr>
      </w:pPr>
      <w:r w:rsidRPr="00D6588C">
        <w:rPr>
          <w:rFonts w:ascii="Times New Roman" w:hAnsi="Times New Roman" w:cs="Times New Roman"/>
        </w:rPr>
        <w:t>FROM</w:t>
      </w:r>
      <w:r w:rsidRPr="00D6588C" w:rsidR="00EB4550">
        <w:rPr>
          <w:rFonts w:ascii="Times New Roman" w:hAnsi="Times New Roman" w:cs="Times New Roman"/>
        </w:rPr>
        <w:t>: Rachelle</w:t>
      </w:r>
      <w:r w:rsidRPr="00D6588C">
        <w:rPr>
          <w:rFonts w:ascii="Times New Roman" w:hAnsi="Times New Roman" w:cs="Times New Roman"/>
        </w:rPr>
        <w:t xml:space="preserve"> Ragland Greene, </w:t>
      </w:r>
      <w:r w:rsidRPr="00D6588C" w:rsidR="00320AD0">
        <w:rPr>
          <w:rFonts w:ascii="Times New Roman" w:hAnsi="Times New Roman" w:cs="Times New Roman"/>
        </w:rPr>
        <w:t>USDA/</w:t>
      </w:r>
      <w:r w:rsidRPr="00D6588C">
        <w:rPr>
          <w:rFonts w:ascii="Times New Roman" w:hAnsi="Times New Roman" w:cs="Times New Roman"/>
        </w:rPr>
        <w:t xml:space="preserve">OCIO Desk Officer </w:t>
      </w:r>
    </w:p>
    <w:p w:rsidR="0043385D" w:rsidRPr="00D6588C" w:rsidP="00593B63" w14:paraId="4824C060" w14:textId="77777777">
      <w:pPr>
        <w:spacing w:before="120"/>
        <w:rPr>
          <w:rFonts w:ascii="Times New Roman" w:hAnsi="Times New Roman" w:cs="Times New Roman"/>
        </w:rPr>
      </w:pPr>
      <w:r w:rsidRPr="00D6588C">
        <w:rPr>
          <w:rFonts w:ascii="Times New Roman" w:hAnsi="Times New Roman" w:cs="Times New Roman"/>
        </w:rPr>
        <w:t>RE:</w:t>
      </w:r>
      <w:r w:rsidRPr="00D6588C">
        <w:rPr>
          <w:rFonts w:ascii="Times New Roman" w:hAnsi="Times New Roman" w:cs="Times New Roman"/>
        </w:rPr>
        <w:tab/>
        <w:t xml:space="preserve">Change Justification Request for Approval to revise </w:t>
      </w:r>
      <w:r w:rsidRPr="00D6588C" w:rsidR="00381F64">
        <w:rPr>
          <w:rFonts w:ascii="Times New Roman" w:hAnsi="Times New Roman" w:cs="Times New Roman"/>
        </w:rPr>
        <w:t xml:space="preserve">U.S. Department of Agriculture </w:t>
      </w:r>
      <w:r w:rsidRPr="00D6588C" w:rsidR="00320AD0">
        <w:rPr>
          <w:rFonts w:ascii="Times New Roman" w:hAnsi="Times New Roman" w:cs="Times New Roman"/>
        </w:rPr>
        <w:t xml:space="preserve">Generic Solution for Funding Opportunity </w:t>
      </w:r>
      <w:r w:rsidRPr="00D6588C" w:rsidR="00135FCE">
        <w:rPr>
          <w:rFonts w:ascii="Times New Roman" w:hAnsi="Times New Roman" w:cs="Times New Roman"/>
        </w:rPr>
        <w:t>Announcements Approved</w:t>
      </w:r>
      <w:r w:rsidRPr="00D6588C">
        <w:rPr>
          <w:rFonts w:ascii="Times New Roman" w:hAnsi="Times New Roman" w:cs="Times New Roman"/>
        </w:rPr>
        <w:t xml:space="preserve"> Generic OMB Clearance N</w:t>
      </w:r>
      <w:r w:rsidRPr="00D6588C" w:rsidR="00381F64">
        <w:rPr>
          <w:rFonts w:ascii="Times New Roman" w:hAnsi="Times New Roman" w:cs="Times New Roman"/>
        </w:rPr>
        <w:t>umber:</w:t>
      </w:r>
      <w:r w:rsidRPr="00D6588C">
        <w:rPr>
          <w:rFonts w:ascii="Times New Roman" w:hAnsi="Times New Roman" w:cs="Times New Roman"/>
        </w:rPr>
        <w:t xml:space="preserve"> </w:t>
      </w:r>
      <w:r w:rsidRPr="00D6588C" w:rsidR="000553EC">
        <w:rPr>
          <w:rFonts w:ascii="Times New Roman" w:hAnsi="Times New Roman" w:cs="Times New Roman"/>
        </w:rPr>
        <w:t>0503</w:t>
      </w:r>
      <w:r w:rsidRPr="00D6588C">
        <w:rPr>
          <w:rFonts w:ascii="Times New Roman" w:hAnsi="Times New Roman" w:cs="Times New Roman"/>
        </w:rPr>
        <w:t>-</w:t>
      </w:r>
      <w:r w:rsidRPr="00D6588C" w:rsidR="000553EC">
        <w:rPr>
          <w:rFonts w:ascii="Times New Roman" w:hAnsi="Times New Roman" w:cs="Times New Roman"/>
        </w:rPr>
        <w:t>0028</w:t>
      </w:r>
      <w:r w:rsidRPr="00D6588C" w:rsidR="00381F64">
        <w:rPr>
          <w:rFonts w:ascii="Times New Roman" w:hAnsi="Times New Roman" w:cs="Times New Roman"/>
        </w:rPr>
        <w:t>; Expiration</w:t>
      </w:r>
      <w:r w:rsidRPr="00D6588C" w:rsidR="000553EC">
        <w:rPr>
          <w:rFonts w:ascii="Times New Roman" w:hAnsi="Times New Roman" w:cs="Times New Roman"/>
        </w:rPr>
        <w:t xml:space="preserve"> </w:t>
      </w:r>
      <w:r w:rsidRPr="00D6588C" w:rsidR="00381F64">
        <w:rPr>
          <w:rFonts w:ascii="Times New Roman" w:hAnsi="Times New Roman" w:cs="Times New Roman"/>
        </w:rPr>
        <w:t>Date:</w:t>
      </w:r>
      <w:r w:rsidRPr="00D6588C" w:rsidR="005141E5">
        <w:rPr>
          <w:rFonts w:ascii="Times New Roman" w:hAnsi="Times New Roman" w:cs="Times New Roman"/>
        </w:rPr>
        <w:t xml:space="preserve"> 10/31/2027.</w:t>
      </w:r>
    </w:p>
    <w:p w:rsidR="0016544C" w:rsidP="0016544C" w14:paraId="20B92BEF" w14:textId="22067450">
      <w:pPr>
        <w:rPr>
          <w:rFonts w:ascii="Times New Roman" w:hAnsi="Times New Roman" w:cs="Times New Roman"/>
          <w:color w:val="000000"/>
        </w:rPr>
      </w:pPr>
      <w:r w:rsidRPr="00D6588C">
        <w:rPr>
          <w:rFonts w:ascii="Times New Roman" w:hAnsi="Times New Roman" w:cs="Times New Roman"/>
        </w:rPr>
        <w:t xml:space="preserve">This </w:t>
      </w:r>
      <w:r w:rsidRPr="00D6588C" w:rsidR="00135FCE">
        <w:rPr>
          <w:rFonts w:ascii="Times New Roman" w:hAnsi="Times New Roman" w:cs="Times New Roman"/>
        </w:rPr>
        <w:t xml:space="preserve">change </w:t>
      </w:r>
      <w:r w:rsidRPr="00D6588C">
        <w:rPr>
          <w:rFonts w:ascii="Times New Roman" w:hAnsi="Times New Roman" w:cs="Times New Roman"/>
        </w:rPr>
        <w:t xml:space="preserve">justification requests changes to </w:t>
      </w:r>
      <w:r w:rsidRPr="00D6588C" w:rsidR="00135FCE">
        <w:rPr>
          <w:rFonts w:ascii="Times New Roman" w:hAnsi="Times New Roman" w:cs="Times New Roman"/>
        </w:rPr>
        <w:t xml:space="preserve">increase </w:t>
      </w:r>
      <w:r w:rsidRPr="00D6588C">
        <w:rPr>
          <w:rFonts w:ascii="Times New Roman" w:hAnsi="Times New Roman" w:cs="Times New Roman"/>
        </w:rPr>
        <w:t>the number</w:t>
      </w:r>
      <w:r w:rsidR="0058527A">
        <w:rPr>
          <w:rFonts w:ascii="Times New Roman" w:hAnsi="Times New Roman" w:cs="Times New Roman"/>
        </w:rPr>
        <w:t xml:space="preserve"> of </w:t>
      </w:r>
      <w:r w:rsidRPr="00D6588C">
        <w:rPr>
          <w:rFonts w:ascii="Times New Roman" w:hAnsi="Times New Roman" w:cs="Times New Roman"/>
        </w:rPr>
        <w:t xml:space="preserve">responses </w:t>
      </w:r>
      <w:r>
        <w:rPr>
          <w:rFonts w:ascii="Times New Roman" w:hAnsi="Times New Roman" w:cs="Times New Roman"/>
        </w:rPr>
        <w:t>available under this generic collection</w:t>
      </w:r>
      <w:r w:rsidRPr="00D6588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USDA is</w:t>
      </w:r>
      <w:r w:rsidRPr="0016544C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simultaneously publishing a 60- and 30-Day Federal Register Notice to request an increase to the annual estimated number of responses and burden hours needed for this collection</w:t>
      </w:r>
      <w:r w:rsidR="00C46CDA">
        <w:rPr>
          <w:rFonts w:ascii="Times New Roman" w:hAnsi="Times New Roman" w:cs="Times New Roman"/>
          <w:color w:val="000000"/>
        </w:rPr>
        <w:t>. H</w:t>
      </w:r>
      <w:r>
        <w:rPr>
          <w:rFonts w:ascii="Times New Roman" w:hAnsi="Times New Roman" w:cs="Times New Roman"/>
          <w:color w:val="000000"/>
        </w:rPr>
        <w:t xml:space="preserve">owever, given USDA’s planned issuance of the </w:t>
      </w:r>
      <w:r w:rsidRPr="0016544C">
        <w:rPr>
          <w:rFonts w:ascii="Times New Roman" w:hAnsi="Times New Roman" w:cs="Times New Roman"/>
          <w:color w:val="000000"/>
        </w:rPr>
        <w:t>Emergency Livestock Relief Program (ELRP) 2023 and 2024 Flood and Wildfire (FW)</w:t>
      </w:r>
      <w:r>
        <w:rPr>
          <w:rFonts w:ascii="Times New Roman" w:hAnsi="Times New Roman" w:cs="Times New Roman"/>
          <w:color w:val="000000"/>
        </w:rPr>
        <w:t xml:space="preserve"> final rule (</w:t>
      </w:r>
      <w:r w:rsidRPr="00553F42">
        <w:rPr>
          <w:rFonts w:ascii="Times New Roman" w:hAnsi="Times New Roman" w:cs="Times New Roman"/>
        </w:rPr>
        <w:t>RIN 0560-AI72</w:t>
      </w:r>
      <w:r>
        <w:rPr>
          <w:rFonts w:ascii="Times New Roman" w:hAnsi="Times New Roman" w:cs="Times New Roman"/>
        </w:rPr>
        <w:t>)</w:t>
      </w:r>
      <w:r w:rsidR="00C46CDA">
        <w:rPr>
          <w:rFonts w:ascii="Times New Roman" w:hAnsi="Times New Roman" w:cs="Times New Roman"/>
        </w:rPr>
        <w:t xml:space="preserve"> </w:t>
      </w:r>
      <w:r w:rsidR="00551784">
        <w:rPr>
          <w:rFonts w:ascii="Times New Roman" w:hAnsi="Times New Roman" w:cs="Times New Roman"/>
        </w:rPr>
        <w:t xml:space="preserve">as well as </w:t>
      </w:r>
      <w:r w:rsidRPr="00551784" w:rsidR="00551784">
        <w:rPr>
          <w:rFonts w:ascii="Times New Roman" w:hAnsi="Times New Roman" w:cs="Times New Roman"/>
        </w:rPr>
        <w:t xml:space="preserve">SUPPLEMENTAL DISASTER ASSISTANCE FOR UNCOVERED LOSSES </w:t>
      </w:r>
      <w:r w:rsidR="00551784">
        <w:rPr>
          <w:rFonts w:ascii="Times New Roman" w:hAnsi="Times New Roman" w:cs="Times New Roman"/>
        </w:rPr>
        <w:t xml:space="preserve">(RIN </w:t>
      </w:r>
      <w:r w:rsidRPr="00551784" w:rsidR="00551784">
        <w:rPr>
          <w:rFonts w:ascii="Times New Roman" w:hAnsi="Times New Roman" w:cs="Times New Roman"/>
        </w:rPr>
        <w:t>0560-AI81</w:t>
      </w:r>
      <w:r w:rsidR="00551784">
        <w:rPr>
          <w:rFonts w:ascii="Times New Roman" w:hAnsi="Times New Roman" w:cs="Times New Roman"/>
        </w:rPr>
        <w:t xml:space="preserve">) </w:t>
      </w:r>
      <w:r w:rsidR="00C46CDA">
        <w:rPr>
          <w:rFonts w:ascii="Times New Roman" w:hAnsi="Times New Roman" w:cs="Times New Roman"/>
        </w:rPr>
        <w:t>later this month</w:t>
      </w:r>
      <w:r>
        <w:rPr>
          <w:rFonts w:ascii="Times New Roman" w:hAnsi="Times New Roman" w:cs="Times New Roman"/>
        </w:rPr>
        <w:t xml:space="preserve">, a non-substantive change request is </w:t>
      </w:r>
      <w:r w:rsidR="00C46CDA">
        <w:rPr>
          <w:rFonts w:ascii="Times New Roman" w:hAnsi="Times New Roman" w:cs="Times New Roman"/>
        </w:rPr>
        <w:t xml:space="preserve">simultaneously </w:t>
      </w:r>
      <w:r>
        <w:rPr>
          <w:rFonts w:ascii="Times New Roman" w:hAnsi="Times New Roman" w:cs="Times New Roman"/>
        </w:rPr>
        <w:t>being requested</w:t>
      </w:r>
      <w:r w:rsidR="00A239B8">
        <w:rPr>
          <w:rFonts w:ascii="Times New Roman" w:hAnsi="Times New Roman" w:cs="Times New Roman"/>
        </w:rPr>
        <w:t xml:space="preserve"> to increase the number of responses available.  No additional hours </w:t>
      </w:r>
      <w:r w:rsidR="0032407B">
        <w:rPr>
          <w:rFonts w:ascii="Times New Roman" w:hAnsi="Times New Roman" w:cs="Times New Roman"/>
        </w:rPr>
        <w:t>are required</w:t>
      </w:r>
      <w:r w:rsidR="00A239B8">
        <w:rPr>
          <w:rFonts w:ascii="Times New Roman" w:hAnsi="Times New Roman" w:cs="Times New Roman"/>
        </w:rPr>
        <w:t xml:space="preserve"> at this time</w:t>
      </w:r>
      <w:r>
        <w:rPr>
          <w:rFonts w:ascii="Times New Roman" w:hAnsi="Times New Roman" w:cs="Times New Roman"/>
          <w:color w:val="000000"/>
        </w:rPr>
        <w:t>.</w:t>
      </w:r>
      <w:r w:rsidRPr="0016544C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B70A66" w:rsidRPr="00627D53" w:rsidP="00B70A66" w14:paraId="3077B0D3" w14:textId="243380B4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This change request also fixes a technical error during the last IC approval on 7/1/25, for Supplemental Disaster Relief Program (SDRP) Stage 1.  USDA mistakenly exceeded what was remaining in the burden response inventory</w:t>
      </w:r>
      <w:r w:rsidR="00A239B8">
        <w:rPr>
          <w:rFonts w:ascii="Times New Roman" w:hAnsi="Times New Roman" w:cs="Times New Roman"/>
          <w:color w:val="000000"/>
        </w:rPr>
        <w:t xml:space="preserve"> for this </w:t>
      </w:r>
      <w:r w:rsidR="0032407B">
        <w:rPr>
          <w:rFonts w:ascii="Times New Roman" w:hAnsi="Times New Roman" w:cs="Times New Roman"/>
          <w:color w:val="000000"/>
        </w:rPr>
        <w:t>collection and</w:t>
      </w:r>
      <w:r w:rsidR="00A239B8">
        <w:rPr>
          <w:rFonts w:ascii="Times New Roman" w:hAnsi="Times New Roman" w:cs="Times New Roman"/>
          <w:color w:val="000000"/>
        </w:rPr>
        <w:t xml:space="preserve"> is requesting to add the delta needed to response inventory to correct this error (figure 1)</w:t>
      </w:r>
      <w:r>
        <w:rPr>
          <w:rFonts w:ascii="Times New Roman" w:hAnsi="Times New Roman" w:cs="Times New Roman"/>
          <w:color w:val="000000"/>
        </w:rPr>
        <w:t>.</w:t>
      </w:r>
    </w:p>
    <w:p w:rsidR="00B70A66" w:rsidP="00B70A66" w14:paraId="7AC755C2" w14:textId="567F74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D6588C">
        <w:rPr>
          <w:rFonts w:ascii="Times New Roman" w:eastAsia="Calibri" w:hAnsi="Times New Roman" w:cs="Times New Roman"/>
        </w:rPr>
        <w:t xml:space="preserve">FIGURE </w:t>
      </w:r>
      <w:r>
        <w:rPr>
          <w:rFonts w:ascii="Times New Roman" w:eastAsia="Calibri" w:hAnsi="Times New Roman" w:cs="Times New Roman"/>
        </w:rPr>
        <w:t>1</w:t>
      </w:r>
      <w:r w:rsidRPr="00D6588C">
        <w:rPr>
          <w:rFonts w:ascii="Times New Roman" w:eastAsia="Calibri" w:hAnsi="Times New Roman" w:cs="Times New Roman"/>
        </w:rPr>
        <w:t>:</w:t>
      </w:r>
    </w:p>
    <w:p w:rsidR="00B70A66" w:rsidP="00B70A66" w14:paraId="4C31DBC7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774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85"/>
        <w:gridCol w:w="1800"/>
        <w:gridCol w:w="1296"/>
        <w:gridCol w:w="1549"/>
        <w:gridCol w:w="1115"/>
      </w:tblGrid>
      <w:tr w14:paraId="153BC2F8" w14:textId="3060E195" w:rsidTr="00012EAB">
        <w:tblPrEx>
          <w:tblW w:w="7745" w:type="dxa"/>
          <w:tblInd w:w="-1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884"/>
        </w:trPr>
        <w:tc>
          <w:tcPr>
            <w:tcW w:w="198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2EAB" w:rsidRPr="00B96DA2" w:rsidP="009E502B" w14:paraId="2FC93524" w14:textId="7777777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7F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Supplemental Disaster Relief Program (SDRP) Stage 1 [Final Rule RIN 0560-AI71]</w:t>
            </w:r>
          </w:p>
        </w:tc>
        <w:tc>
          <w:tcPr>
            <w:tcW w:w="1800" w:type="dxa"/>
            <w:vAlign w:val="bottom"/>
          </w:tcPr>
          <w:p w:rsidR="00012EAB" w:rsidRPr="00B96DA2" w:rsidP="009E502B" w14:paraId="5508635E" w14:textId="38EC212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Available balance when SDRP was approved </w:t>
            </w:r>
            <w:r w:rsidR="007221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96" w:type="dxa"/>
          </w:tcPr>
          <w:p w:rsidR="00012EAB" w:rsidRPr="00B96DA2" w:rsidP="009E502B" w14:paraId="3DD8FD51" w14:textId="388935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6D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Needed for this rulemaking</w:t>
            </w:r>
          </w:p>
        </w:tc>
        <w:tc>
          <w:tcPr>
            <w:tcW w:w="154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2EAB" w:rsidP="009E502B" w14:paraId="45583084" w14:textId="6B58E89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Deficit </w:t>
            </w:r>
          </w:p>
          <w:p w:rsidR="00012EAB" w:rsidRPr="00B96DA2" w:rsidP="009E502B" w14:paraId="487AE30B" w14:textId="321E9AC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5" w:type="dxa"/>
          </w:tcPr>
          <w:p w:rsidR="00012EAB" w:rsidRPr="00A3208A" w:rsidP="009E502B" w14:paraId="2D64F5F0" w14:textId="792CC4A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Added back with this change request</w:t>
            </w:r>
          </w:p>
        </w:tc>
      </w:tr>
      <w:tr w14:paraId="0CA20758" w14:textId="0D120918" w:rsidTr="00012EAB">
        <w:tblPrEx>
          <w:tblW w:w="7745" w:type="dxa"/>
          <w:tblInd w:w="-10" w:type="dxa"/>
          <w:tblCellMar>
            <w:left w:w="0" w:type="dxa"/>
            <w:right w:w="0" w:type="dxa"/>
          </w:tblCellMar>
          <w:tblLook w:val="04A0"/>
        </w:tblPrEx>
        <w:trPr>
          <w:trHeight w:val="884"/>
        </w:trPr>
        <w:tc>
          <w:tcPr>
            <w:tcW w:w="198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12EAB" w:rsidRPr="002E7F46" w:rsidP="00B70A66" w14:paraId="5CFA451C" w14:textId="69E51D8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DCE">
              <w:rPr>
                <w:rFonts w:ascii="Times New Roman" w:hAnsi="Times New Roman" w:cs="Times New Roman"/>
                <w:sz w:val="20"/>
                <w:szCs w:val="20"/>
              </w:rPr>
              <w:t>Responses</w:t>
            </w:r>
          </w:p>
        </w:tc>
        <w:tc>
          <w:tcPr>
            <w:tcW w:w="1800" w:type="dxa"/>
            <w:vAlign w:val="bottom"/>
          </w:tcPr>
          <w:p w:rsidR="00012EAB" w:rsidRPr="00B96DA2" w:rsidP="00B70A66" w14:paraId="083A2CAD" w14:textId="58F48DA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6D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21BB" w:rsidR="007221BB">
              <w:rPr>
                <w:rFonts w:ascii="Times New Roman" w:hAnsi="Times New Roman" w:cs="Times New Roman"/>
                <w:sz w:val="20"/>
                <w:szCs w:val="20"/>
              </w:rPr>
              <w:t>636</w:t>
            </w:r>
            <w:r w:rsidR="007221B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221BB" w:rsidR="007221BB">
              <w:rPr>
                <w:rFonts w:ascii="Times New Roman" w:hAnsi="Times New Roman" w:cs="Times New Roman"/>
                <w:sz w:val="20"/>
                <w:szCs w:val="20"/>
              </w:rPr>
              <w:t>485</w:t>
            </w:r>
          </w:p>
        </w:tc>
        <w:tc>
          <w:tcPr>
            <w:tcW w:w="1296" w:type="dxa"/>
          </w:tcPr>
          <w:p w:rsidR="00012EAB" w:rsidRPr="00A239B8" w:rsidP="00B70A66" w14:paraId="3AD092BC" w14:textId="0F1196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D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39B8">
              <w:rPr>
                <w:rFonts w:ascii="Times New Roman" w:hAnsi="Times New Roman" w:cs="Times New Roman"/>
                <w:sz w:val="20"/>
                <w:szCs w:val="20"/>
              </w:rPr>
              <w:t>1,104,445</w:t>
            </w:r>
          </w:p>
        </w:tc>
        <w:tc>
          <w:tcPr>
            <w:tcW w:w="1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EAB" w:rsidRPr="00A239B8" w:rsidP="00B70A66" w14:paraId="6E99FE60" w14:textId="024EDA3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21BB">
              <w:rPr>
                <w:rFonts w:ascii="Times New Roman" w:hAnsi="Times New Roman" w:cs="Times New Roman"/>
                <w:sz w:val="20"/>
                <w:szCs w:val="20"/>
              </w:rPr>
              <w:t>-467,960</w:t>
            </w:r>
          </w:p>
        </w:tc>
        <w:tc>
          <w:tcPr>
            <w:tcW w:w="1115" w:type="dxa"/>
          </w:tcPr>
          <w:p w:rsidR="00012EAB" w:rsidRPr="00ED7B5E" w:rsidP="00B70A66" w14:paraId="24C09F0A" w14:textId="1961A2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7B5E">
              <w:rPr>
                <w:rFonts w:ascii="Times New Roman" w:hAnsi="Times New Roman" w:cs="Times New Roman"/>
                <w:sz w:val="20"/>
                <w:szCs w:val="20"/>
              </w:rPr>
              <w:t xml:space="preserve">+  </w:t>
            </w:r>
            <w:r w:rsidRPr="007221BB" w:rsidR="007221BB">
              <w:rPr>
                <w:rFonts w:ascii="Times New Roman" w:hAnsi="Times New Roman" w:cs="Times New Roman"/>
                <w:sz w:val="20"/>
                <w:szCs w:val="20"/>
              </w:rPr>
              <w:t>467,960</w:t>
            </w:r>
          </w:p>
        </w:tc>
      </w:tr>
      <w:tr w14:paraId="72B0AE90" w14:textId="25F09E85" w:rsidTr="00012EAB">
        <w:tblPrEx>
          <w:tblW w:w="7745" w:type="dxa"/>
          <w:tblInd w:w="-10" w:type="dxa"/>
          <w:tblCellMar>
            <w:left w:w="0" w:type="dxa"/>
            <w:right w:w="0" w:type="dxa"/>
          </w:tblCellMar>
          <w:tblLook w:val="04A0"/>
        </w:tblPrEx>
        <w:trPr>
          <w:trHeight w:val="884"/>
        </w:trPr>
        <w:tc>
          <w:tcPr>
            <w:tcW w:w="198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12EAB" w:rsidRPr="002E7F46" w:rsidP="00B70A66" w14:paraId="40CB7482" w14:textId="41FD1B8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DCE">
              <w:rPr>
                <w:rFonts w:ascii="Times New Roman" w:hAnsi="Times New Roman" w:cs="Times New Roman"/>
                <w:sz w:val="20"/>
                <w:szCs w:val="20"/>
              </w:rPr>
              <w:t>Hours</w:t>
            </w:r>
          </w:p>
        </w:tc>
        <w:tc>
          <w:tcPr>
            <w:tcW w:w="1800" w:type="dxa"/>
            <w:vAlign w:val="bottom"/>
          </w:tcPr>
          <w:p w:rsidR="00012EAB" w:rsidRPr="00B96DA2" w:rsidP="00B70A66" w14:paraId="584169A1" w14:textId="4F46CA3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6D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21BB" w:rsidR="007221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221B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221BB" w:rsidR="007221BB">
              <w:rPr>
                <w:rFonts w:ascii="Times New Roman" w:hAnsi="Times New Roman" w:cs="Times New Roman"/>
                <w:sz w:val="20"/>
                <w:szCs w:val="20"/>
              </w:rPr>
              <w:t>392</w:t>
            </w:r>
            <w:r w:rsidR="007221B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221BB" w:rsidR="007221BB">
              <w:rPr>
                <w:rFonts w:ascii="Times New Roman" w:hAnsi="Times New Roman" w:cs="Times New Roman"/>
                <w:sz w:val="20"/>
                <w:szCs w:val="20"/>
              </w:rPr>
              <w:t>029</w:t>
            </w:r>
          </w:p>
        </w:tc>
        <w:tc>
          <w:tcPr>
            <w:tcW w:w="1296" w:type="dxa"/>
          </w:tcPr>
          <w:p w:rsidR="00012EAB" w:rsidRPr="00A239B8" w:rsidP="00B70A66" w14:paraId="607E2D7D" w14:textId="0C58841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B8">
              <w:rPr>
                <w:rFonts w:ascii="Times New Roman" w:hAnsi="Times New Roman" w:cs="Times New Roman"/>
                <w:sz w:val="20"/>
                <w:szCs w:val="20"/>
              </w:rPr>
              <w:t>183,445</w:t>
            </w:r>
          </w:p>
        </w:tc>
        <w:tc>
          <w:tcPr>
            <w:tcW w:w="1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EAB" w:rsidRPr="00A239B8" w:rsidP="00B70A66" w14:paraId="63A3F2BE" w14:textId="610E9F4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115" w:type="dxa"/>
          </w:tcPr>
          <w:p w:rsidR="00012EAB" w:rsidRPr="00B70A66" w:rsidP="00B70A66" w14:paraId="23A4572A" w14:textId="7157AD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221BB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</w:tr>
    </w:tbl>
    <w:p w:rsidR="00B70A66" w:rsidP="00B70A66" w14:paraId="30B36236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highlight w:val="yellow"/>
        </w:rPr>
      </w:pPr>
    </w:p>
    <w:p w:rsidR="00700CCF" w:rsidP="00700CCF" w14:paraId="6CACCFD4" w14:textId="742210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D6588C">
        <w:rPr>
          <w:rFonts w:ascii="Times New Roman" w:eastAsia="Calibri" w:hAnsi="Times New Roman" w:cs="Times New Roman"/>
        </w:rPr>
        <w:t xml:space="preserve">FIGURE </w:t>
      </w:r>
      <w:r w:rsidR="00B70A66">
        <w:rPr>
          <w:rFonts w:ascii="Times New Roman" w:eastAsia="Calibri" w:hAnsi="Times New Roman" w:cs="Times New Roman"/>
        </w:rPr>
        <w:t>2</w:t>
      </w:r>
      <w:r w:rsidRPr="00D6588C">
        <w:rPr>
          <w:rFonts w:ascii="Times New Roman" w:eastAsia="Calibri" w:hAnsi="Times New Roman" w:cs="Times New Roman"/>
        </w:rPr>
        <w:t>:</w:t>
      </w:r>
      <w:r w:rsidR="00A239B8">
        <w:rPr>
          <w:rFonts w:ascii="Times New Roman" w:eastAsia="Calibri" w:hAnsi="Times New Roman" w:cs="Times New Roman"/>
        </w:rPr>
        <w:t xml:space="preserve"> Additional responses needed for ELRP Stage 2 (Flood and Wildfire)</w:t>
      </w:r>
    </w:p>
    <w:p w:rsidR="00700CCF" w:rsidP="00700CCF" w14:paraId="3CADFA9E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highlight w:val="yellow"/>
        </w:rPr>
      </w:pPr>
    </w:p>
    <w:tbl>
      <w:tblPr>
        <w:tblW w:w="684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97"/>
        <w:gridCol w:w="1756"/>
        <w:gridCol w:w="1498"/>
        <w:gridCol w:w="1498"/>
      </w:tblGrid>
      <w:tr w14:paraId="7D774538" w14:textId="4DE262C9" w:rsidTr="002403E4">
        <w:tblPrEx>
          <w:tblW w:w="6849" w:type="dxa"/>
          <w:tblInd w:w="-1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695"/>
        </w:trPr>
        <w:tc>
          <w:tcPr>
            <w:tcW w:w="209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03E4" w:rsidRPr="00B96DA2" w:rsidP="004B134D" w14:paraId="797449F3" w14:textId="7777777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6D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RIN 0560-AI72 Emergency Livestock Relief Program (ELRP) 2023 and </w:t>
            </w:r>
            <w:r w:rsidRPr="00B96D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2024 - Food and Wildfire Stage 2</w:t>
            </w:r>
          </w:p>
        </w:tc>
        <w:tc>
          <w:tcPr>
            <w:tcW w:w="1756" w:type="dxa"/>
            <w:vAlign w:val="bottom"/>
          </w:tcPr>
          <w:p w:rsidR="002403E4" w:rsidRPr="00B96DA2" w:rsidP="00B70A66" w14:paraId="3E4359A0" w14:textId="09CD98C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Available as of </w:t>
            </w:r>
            <w:r w:rsidR="00503D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9/5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under </w:t>
            </w:r>
            <w:r w:rsidRPr="00B96D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OMB Control number 0503-0028</w:t>
            </w:r>
            <w:r w:rsidR="00FA71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after </w:t>
            </w:r>
            <w:r w:rsidR="00FA71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technical error is fixed from Figure 1</w:t>
            </w:r>
          </w:p>
        </w:tc>
        <w:tc>
          <w:tcPr>
            <w:tcW w:w="149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03E4" w:rsidRPr="00B96DA2" w:rsidP="00B70A66" w14:paraId="7D45E536" w14:textId="4B00470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6D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Needed for this rulemaking</w:t>
            </w:r>
          </w:p>
        </w:tc>
        <w:tc>
          <w:tcPr>
            <w:tcW w:w="1498" w:type="dxa"/>
          </w:tcPr>
          <w:p w:rsidR="002403E4" w:rsidRPr="00B96DA2" w:rsidP="00B70A66" w14:paraId="00F488D3" w14:textId="4F6A812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Delta</w:t>
            </w:r>
            <w:r w:rsidR="008041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added with this change request</w:t>
            </w:r>
          </w:p>
        </w:tc>
      </w:tr>
      <w:tr w14:paraId="3FE0D79D" w14:textId="4031A4EC" w:rsidTr="00896452">
        <w:tblPrEx>
          <w:tblW w:w="6849" w:type="dxa"/>
          <w:tblInd w:w="-10" w:type="dxa"/>
          <w:tblCellMar>
            <w:left w:w="0" w:type="dxa"/>
            <w:right w:w="0" w:type="dxa"/>
          </w:tblCellMar>
          <w:tblLook w:val="04A0"/>
        </w:tblPrEx>
        <w:trPr>
          <w:trHeight w:val="347"/>
        </w:trPr>
        <w:tc>
          <w:tcPr>
            <w:tcW w:w="209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2EAB" w:rsidRPr="00B96DA2" w:rsidP="00012EAB" w14:paraId="73AD988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DA2">
              <w:rPr>
                <w:rFonts w:ascii="Times New Roman" w:hAnsi="Times New Roman" w:cs="Times New Roman"/>
                <w:sz w:val="20"/>
                <w:szCs w:val="20"/>
              </w:rPr>
              <w:t>Responses</w:t>
            </w:r>
          </w:p>
        </w:tc>
        <w:tc>
          <w:tcPr>
            <w:tcW w:w="1756" w:type="dxa"/>
          </w:tcPr>
          <w:p w:rsidR="00012EAB" w:rsidRPr="00B96DA2" w:rsidP="00012EAB" w14:paraId="1CE7A030" w14:textId="47337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2EAB" w:rsidRPr="00B96DA2" w:rsidP="00012EAB" w14:paraId="65C1337B" w14:textId="49856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DA2">
              <w:rPr>
                <w:rFonts w:ascii="Times New Roman" w:hAnsi="Times New Roman" w:cs="Times New Roman"/>
                <w:sz w:val="20"/>
                <w:szCs w:val="20"/>
              </w:rPr>
              <w:t>1,071,137</w:t>
            </w:r>
          </w:p>
        </w:tc>
        <w:tc>
          <w:tcPr>
            <w:tcW w:w="1498" w:type="dxa"/>
          </w:tcPr>
          <w:p w:rsidR="00012EAB" w:rsidRPr="00B96DA2" w:rsidP="00012EAB" w14:paraId="4B90DA43" w14:textId="028CC1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+ </w:t>
            </w:r>
            <w:r w:rsidRPr="00B96DA2">
              <w:rPr>
                <w:rFonts w:ascii="Times New Roman" w:hAnsi="Times New Roman" w:cs="Times New Roman"/>
                <w:sz w:val="20"/>
                <w:szCs w:val="20"/>
              </w:rPr>
              <w:t>1,071,137</w:t>
            </w:r>
          </w:p>
        </w:tc>
      </w:tr>
      <w:tr w14:paraId="6F55CF1D" w14:textId="0F120A32" w:rsidTr="00896452">
        <w:tblPrEx>
          <w:tblW w:w="6849" w:type="dxa"/>
          <w:tblInd w:w="-10" w:type="dxa"/>
          <w:tblCellMar>
            <w:left w:w="0" w:type="dxa"/>
            <w:right w:w="0" w:type="dxa"/>
          </w:tblCellMar>
          <w:tblLook w:val="04A0"/>
        </w:tblPrEx>
        <w:trPr>
          <w:trHeight w:val="347"/>
        </w:trPr>
        <w:tc>
          <w:tcPr>
            <w:tcW w:w="209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2EAB" w:rsidRPr="00B96DA2" w:rsidP="00012EAB" w14:paraId="2FBC8B6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DA2">
              <w:rPr>
                <w:rFonts w:ascii="Times New Roman" w:hAnsi="Times New Roman" w:cs="Times New Roman"/>
                <w:sz w:val="20"/>
                <w:szCs w:val="20"/>
              </w:rPr>
              <w:t>Hours</w:t>
            </w:r>
          </w:p>
        </w:tc>
        <w:tc>
          <w:tcPr>
            <w:tcW w:w="1756" w:type="dxa"/>
          </w:tcPr>
          <w:p w:rsidR="00012EAB" w:rsidRPr="00B96DA2" w:rsidP="00012EAB" w14:paraId="1FB0B0AC" w14:textId="0C4C7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DA2">
              <w:rPr>
                <w:rFonts w:ascii="Times New Roman" w:hAnsi="Times New Roman" w:cs="Times New Roman"/>
                <w:sz w:val="20"/>
                <w:szCs w:val="20"/>
              </w:rPr>
              <w:t>1,208,584</w:t>
            </w:r>
          </w:p>
        </w:tc>
        <w:tc>
          <w:tcPr>
            <w:tcW w:w="149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2EAB" w:rsidRPr="00B96DA2" w:rsidP="00012EAB" w14:paraId="6F3C1746" w14:textId="566E2D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DA2">
              <w:rPr>
                <w:rFonts w:ascii="Times New Roman" w:hAnsi="Times New Roman" w:cs="Times New Roman"/>
                <w:sz w:val="20"/>
                <w:szCs w:val="20"/>
              </w:rPr>
              <w:t>240,665</w:t>
            </w:r>
          </w:p>
        </w:tc>
        <w:tc>
          <w:tcPr>
            <w:tcW w:w="1498" w:type="dxa"/>
          </w:tcPr>
          <w:p w:rsidR="00012EAB" w:rsidRPr="00B96DA2" w:rsidP="00012EAB" w14:paraId="421DC913" w14:textId="72A23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0413C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</w:tr>
    </w:tbl>
    <w:p w:rsidR="009E3DF1" w:rsidRPr="00F9621B" w:rsidP="00F156B1" w14:paraId="199A0D2B" w14:textId="77777777">
      <w:pPr>
        <w:pStyle w:val="BodyText2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2E7F46" w:rsidP="00335BF3" w14:paraId="6BBC2181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:rsidR="007C3929" w:rsidP="00335BF3" w14:paraId="1DA39640" w14:textId="6FE59C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96BED">
        <w:rPr>
          <w:rFonts w:ascii="Times New Roman" w:eastAsia="Calibri" w:hAnsi="Times New Roman" w:cs="Times New Roman"/>
        </w:rPr>
        <w:t xml:space="preserve">Lastly, the agency is </w:t>
      </w:r>
      <w:r w:rsidRPr="00B96BED" w:rsidR="00701C8B">
        <w:rPr>
          <w:rFonts w:ascii="Times New Roman" w:eastAsia="Calibri" w:hAnsi="Times New Roman" w:cs="Times New Roman"/>
        </w:rPr>
        <w:t>requesting</w:t>
      </w:r>
      <w:r w:rsidRPr="00B96BED" w:rsidR="0007670B">
        <w:rPr>
          <w:rFonts w:ascii="Times New Roman" w:eastAsia="Calibri" w:hAnsi="Times New Roman" w:cs="Times New Roman"/>
        </w:rPr>
        <w:t xml:space="preserve"> </w:t>
      </w:r>
      <w:r w:rsidR="00097806">
        <w:rPr>
          <w:rFonts w:ascii="Times New Roman" w:eastAsia="Calibri" w:hAnsi="Times New Roman" w:cs="Times New Roman"/>
        </w:rPr>
        <w:t xml:space="preserve">an </w:t>
      </w:r>
      <w:r w:rsidR="0032407B">
        <w:rPr>
          <w:rFonts w:ascii="Times New Roman" w:eastAsia="Calibri" w:hAnsi="Times New Roman" w:cs="Times New Roman"/>
        </w:rPr>
        <w:t xml:space="preserve">additional </w:t>
      </w:r>
      <w:r w:rsidRPr="00B96BED" w:rsidR="0032407B">
        <w:rPr>
          <w:rFonts w:ascii="Times New Roman" w:eastAsia="Calibri" w:hAnsi="Times New Roman" w:cs="Times New Roman"/>
        </w:rPr>
        <w:t>response</w:t>
      </w:r>
      <w:r w:rsidRPr="00B96BED" w:rsidR="0007670B">
        <w:rPr>
          <w:rFonts w:ascii="Times New Roman" w:eastAsia="Calibri" w:hAnsi="Times New Roman" w:cs="Times New Roman"/>
        </w:rPr>
        <w:t xml:space="preserve"> </w:t>
      </w:r>
      <w:r w:rsidR="00D06113">
        <w:rPr>
          <w:rFonts w:ascii="Times New Roman" w:eastAsia="Calibri" w:hAnsi="Times New Roman" w:cs="Times New Roman"/>
        </w:rPr>
        <w:t xml:space="preserve">to accommodate the Department’s anticipated needs later this </w:t>
      </w:r>
      <w:r w:rsidR="0032407B">
        <w:rPr>
          <w:rFonts w:ascii="Times New Roman" w:eastAsia="Calibri" w:hAnsi="Times New Roman" w:cs="Times New Roman"/>
        </w:rPr>
        <w:t>year</w:t>
      </w:r>
      <w:r w:rsidR="00D06113">
        <w:rPr>
          <w:rFonts w:ascii="Times New Roman" w:eastAsia="Calibri" w:hAnsi="Times New Roman" w:cs="Times New Roman"/>
        </w:rPr>
        <w:t xml:space="preserve"> for SDRP </w:t>
      </w:r>
      <w:r w:rsidRPr="00551784" w:rsidR="00ED7B5E">
        <w:rPr>
          <w:rFonts w:ascii="Times New Roman" w:hAnsi="Times New Roman" w:cs="Times New Roman"/>
        </w:rPr>
        <w:t xml:space="preserve">FOR UNCOVERED LOSSES </w:t>
      </w:r>
      <w:r w:rsidR="00ED7B5E">
        <w:rPr>
          <w:rFonts w:ascii="Times New Roman" w:hAnsi="Times New Roman" w:cs="Times New Roman"/>
        </w:rPr>
        <w:t xml:space="preserve">(RIN </w:t>
      </w:r>
      <w:r w:rsidRPr="00551784" w:rsidR="00ED7B5E">
        <w:rPr>
          <w:rFonts w:ascii="Times New Roman" w:hAnsi="Times New Roman" w:cs="Times New Roman"/>
        </w:rPr>
        <w:t>0560-AI81</w:t>
      </w:r>
      <w:r w:rsidR="00ED7B5E">
        <w:rPr>
          <w:rFonts w:ascii="Times New Roman" w:hAnsi="Times New Roman" w:cs="Times New Roman"/>
        </w:rPr>
        <w:t>).</w:t>
      </w:r>
    </w:p>
    <w:p w:rsidR="00D06113" w:rsidP="00A3208A" w14:paraId="7BC73A83" w14:textId="79212F31">
      <w:pPr>
        <w:widowControl w:val="0"/>
        <w:tabs>
          <w:tab w:val="left" w:pos="334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ab/>
      </w:r>
    </w:p>
    <w:p w:rsidR="00A3208A" w:rsidP="00551784" w14:paraId="62A85568" w14:textId="29228ED7">
      <w:pPr>
        <w:widowControl w:val="0"/>
        <w:tabs>
          <w:tab w:val="left" w:pos="334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FIGURE 3</w:t>
      </w:r>
      <w:r>
        <w:rPr>
          <w:rFonts w:ascii="Times New Roman" w:eastAsia="Calibri" w:hAnsi="Times New Roman" w:cs="Times New Roman"/>
          <w:sz w:val="20"/>
          <w:szCs w:val="20"/>
        </w:rPr>
        <w:t xml:space="preserve">: </w:t>
      </w:r>
      <w:r>
        <w:rPr>
          <w:rFonts w:ascii="Times New Roman" w:eastAsia="Calibri" w:hAnsi="Times New Roman" w:cs="Times New Roman"/>
        </w:rPr>
        <w:t xml:space="preserve">Additional responses needed for </w:t>
      </w:r>
      <w:r>
        <w:rPr>
          <w:rFonts w:ascii="Times New Roman" w:eastAsia="Calibri" w:hAnsi="Times New Roman" w:cs="Times New Roman"/>
        </w:rPr>
        <w:t>SD</w:t>
      </w:r>
      <w:r>
        <w:rPr>
          <w:rFonts w:ascii="Times New Roman" w:eastAsia="Calibri" w:hAnsi="Times New Roman" w:cs="Times New Roman"/>
        </w:rPr>
        <w:t>RP Stage 2</w:t>
      </w:r>
    </w:p>
    <w:p w:rsidR="0032407B" w:rsidP="00551784" w14:paraId="5CD2A123" w14:textId="77777777">
      <w:pPr>
        <w:widowControl w:val="0"/>
        <w:tabs>
          <w:tab w:val="left" w:pos="334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641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92"/>
        <w:gridCol w:w="1310"/>
        <w:gridCol w:w="1939"/>
        <w:gridCol w:w="1473"/>
      </w:tblGrid>
      <w:tr w14:paraId="65F44FBC" w14:textId="01A22D7D" w:rsidTr="0080413C">
        <w:tblPrEx>
          <w:tblW w:w="6414" w:type="dxa"/>
          <w:tblInd w:w="-1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659"/>
        </w:trPr>
        <w:tc>
          <w:tcPr>
            <w:tcW w:w="169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13C" w:rsidRPr="00B96DA2" w:rsidP="0080413C" w14:paraId="1696C839" w14:textId="78B0245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SPRD </w:t>
            </w:r>
            <w:r w:rsidRPr="00B96D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Stage 2</w:t>
            </w:r>
          </w:p>
        </w:tc>
        <w:tc>
          <w:tcPr>
            <w:tcW w:w="1310" w:type="dxa"/>
            <w:vAlign w:val="bottom"/>
          </w:tcPr>
          <w:p w:rsidR="0080413C" w:rsidRPr="00B96DA2" w:rsidP="0080413C" w14:paraId="61CDE18E" w14:textId="0BD4C68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Available as of</w:t>
            </w:r>
            <w:r w:rsidR="00503D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9/</w:t>
            </w:r>
            <w:r w:rsidR="003240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under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96D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OMB Control</w:t>
            </w:r>
            <w:r w:rsidR="00503D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96D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number 0503-0028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after technical error is fixed from Figure 1</w:t>
            </w:r>
          </w:p>
        </w:tc>
        <w:tc>
          <w:tcPr>
            <w:tcW w:w="193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13C" w:rsidRPr="00B96DA2" w:rsidP="0080413C" w14:paraId="3D043865" w14:textId="04B89E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6D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Needed for this rulemaking</w:t>
            </w:r>
          </w:p>
        </w:tc>
        <w:tc>
          <w:tcPr>
            <w:tcW w:w="1473" w:type="dxa"/>
          </w:tcPr>
          <w:p w:rsidR="0080413C" w:rsidRPr="00B96DA2" w:rsidP="0080413C" w14:paraId="45B7C9AF" w14:textId="5015C71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Added through this change request</w:t>
            </w:r>
          </w:p>
        </w:tc>
      </w:tr>
      <w:tr w14:paraId="7E671134" w14:textId="7BE5CC1C" w:rsidTr="0080413C">
        <w:tblPrEx>
          <w:tblW w:w="6414" w:type="dxa"/>
          <w:tblInd w:w="-10" w:type="dxa"/>
          <w:tblCellMar>
            <w:left w:w="0" w:type="dxa"/>
            <w:right w:w="0" w:type="dxa"/>
          </w:tblCellMar>
          <w:tblLook w:val="04A0"/>
        </w:tblPrEx>
        <w:trPr>
          <w:trHeight w:val="329"/>
        </w:trPr>
        <w:tc>
          <w:tcPr>
            <w:tcW w:w="169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13C" w:rsidRPr="00B96DA2" w:rsidP="0080413C" w14:paraId="2AD89F8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DA2">
              <w:rPr>
                <w:rFonts w:ascii="Times New Roman" w:hAnsi="Times New Roman" w:cs="Times New Roman"/>
                <w:sz w:val="20"/>
                <w:szCs w:val="20"/>
              </w:rPr>
              <w:t>Responses</w:t>
            </w:r>
          </w:p>
        </w:tc>
        <w:tc>
          <w:tcPr>
            <w:tcW w:w="1310" w:type="dxa"/>
          </w:tcPr>
          <w:p w:rsidR="0080413C" w:rsidRPr="00B96DA2" w:rsidP="0080413C" w14:paraId="3544D28E" w14:textId="2A89D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3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13C" w:rsidRPr="00B96DA2" w:rsidP="0080413C" w14:paraId="68221406" w14:textId="3A436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7B5E">
              <w:rPr>
                <w:rFonts w:ascii="Times New Roman" w:hAnsi="Times New Roman" w:cs="Times New Roman"/>
                <w:sz w:val="20"/>
                <w:szCs w:val="20"/>
              </w:rPr>
              <w:t>206,916</w:t>
            </w:r>
          </w:p>
        </w:tc>
        <w:tc>
          <w:tcPr>
            <w:tcW w:w="1473" w:type="dxa"/>
          </w:tcPr>
          <w:p w:rsidR="0080413C" w:rsidRPr="00ED7B5E" w:rsidP="0080413C" w14:paraId="39D44E26" w14:textId="67B77B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+ 206,916</w:t>
            </w:r>
          </w:p>
        </w:tc>
      </w:tr>
      <w:tr w14:paraId="56FAF992" w14:textId="63C8D2DD" w:rsidTr="0080413C">
        <w:tblPrEx>
          <w:tblW w:w="6414" w:type="dxa"/>
          <w:tblInd w:w="-10" w:type="dxa"/>
          <w:tblCellMar>
            <w:left w:w="0" w:type="dxa"/>
            <w:right w:w="0" w:type="dxa"/>
          </w:tblCellMar>
          <w:tblLook w:val="04A0"/>
        </w:tblPrEx>
        <w:trPr>
          <w:trHeight w:val="329"/>
        </w:trPr>
        <w:tc>
          <w:tcPr>
            <w:tcW w:w="169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13C" w:rsidRPr="00B96DA2" w:rsidP="0080413C" w14:paraId="530BEEB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DA2">
              <w:rPr>
                <w:rFonts w:ascii="Times New Roman" w:hAnsi="Times New Roman" w:cs="Times New Roman"/>
                <w:sz w:val="20"/>
                <w:szCs w:val="20"/>
              </w:rPr>
              <w:t>Hours</w:t>
            </w:r>
          </w:p>
        </w:tc>
        <w:tc>
          <w:tcPr>
            <w:tcW w:w="1310" w:type="dxa"/>
          </w:tcPr>
          <w:p w:rsidR="0080413C" w:rsidRPr="00B96DA2" w:rsidP="0080413C" w14:paraId="58BDF7C9" w14:textId="04C9F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DA2">
              <w:rPr>
                <w:rFonts w:ascii="Times New Roman" w:hAnsi="Times New Roman" w:cs="Times New Roman"/>
                <w:sz w:val="20"/>
                <w:szCs w:val="20"/>
              </w:rPr>
              <w:t>1,208,584</w:t>
            </w:r>
          </w:p>
        </w:tc>
        <w:tc>
          <w:tcPr>
            <w:tcW w:w="193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13C" w:rsidRPr="00B96DA2" w:rsidP="0080413C" w14:paraId="2B4D7E82" w14:textId="01123F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7B5E">
              <w:rPr>
                <w:rFonts w:ascii="Times New Roman" w:hAnsi="Times New Roman" w:cs="Times New Roman"/>
                <w:sz w:val="20"/>
                <w:szCs w:val="20"/>
              </w:rPr>
              <w:t>93,504</w:t>
            </w:r>
          </w:p>
        </w:tc>
        <w:tc>
          <w:tcPr>
            <w:tcW w:w="1473" w:type="dxa"/>
          </w:tcPr>
          <w:p w:rsidR="0080413C" w:rsidRPr="00ED7B5E" w:rsidP="0080413C" w14:paraId="2A4E64F8" w14:textId="0AA84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</w:tr>
    </w:tbl>
    <w:p w:rsidR="00F26793" w:rsidP="00335BF3" w14:paraId="2C41B355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061A8F" w:rsidP="00335BF3" w14:paraId="7F1657E7" w14:textId="6D6EC6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FIGURE </w:t>
      </w:r>
      <w:r w:rsidR="0032407B">
        <w:rPr>
          <w:rFonts w:ascii="Times New Roman" w:eastAsia="Calibri" w:hAnsi="Times New Roman" w:cs="Times New Roman"/>
          <w:sz w:val="20"/>
          <w:szCs w:val="20"/>
        </w:rPr>
        <w:t>4:</w:t>
      </w:r>
      <w:r>
        <w:rPr>
          <w:rFonts w:ascii="Times New Roman" w:eastAsia="Calibri" w:hAnsi="Times New Roman" w:cs="Times New Roman"/>
          <w:sz w:val="20"/>
          <w:szCs w:val="20"/>
        </w:rPr>
        <w:t xml:space="preserve"> TOTAL CHANGES REQUESTED:</w:t>
      </w:r>
    </w:p>
    <w:p w:rsidR="0032407B" w:rsidRPr="007608ED" w:rsidP="00335BF3" w14:paraId="66B29E46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873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25"/>
        <w:gridCol w:w="1980"/>
        <w:gridCol w:w="2250"/>
        <w:gridCol w:w="2880"/>
      </w:tblGrid>
      <w:tr w14:paraId="20ABB4C3" w14:textId="77777777" w:rsidTr="00F26793">
        <w:tblPrEx>
          <w:tblW w:w="8735" w:type="dxa"/>
          <w:tblInd w:w="-1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761"/>
        </w:trPr>
        <w:tc>
          <w:tcPr>
            <w:tcW w:w="1625" w:type="dxa"/>
          </w:tcPr>
          <w:p w:rsidR="00097806" w:rsidRPr="007608ED" w:rsidP="00AF6BB4" w14:paraId="45FAB8A1" w14:textId="7777777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:rsidR="00097806" w:rsidRPr="007608ED" w:rsidP="00AF6BB4" w14:paraId="39378622" w14:textId="04D4D0D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Available</w:t>
            </w:r>
            <w:r w:rsidRPr="007608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as of 9/4/2025</w:t>
            </w:r>
          </w:p>
        </w:tc>
        <w:tc>
          <w:tcPr>
            <w:tcW w:w="2250" w:type="dxa"/>
          </w:tcPr>
          <w:p w:rsidR="00097806" w:rsidRPr="007608ED" w:rsidP="00AF6BB4" w14:paraId="222190D5" w14:textId="15BA05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08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Added through this change request</w:t>
            </w:r>
          </w:p>
        </w:tc>
        <w:tc>
          <w:tcPr>
            <w:tcW w:w="2880" w:type="dxa"/>
          </w:tcPr>
          <w:p w:rsidR="00097806" w:rsidRPr="007608ED" w:rsidP="00AF6BB4" w14:paraId="7CBE03FB" w14:textId="0E9DFD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08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New </w:t>
            </w:r>
            <w:r w:rsidR="00B46F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total available after SRPD Stage 2 and ELRP Stage 2 are </w:t>
            </w:r>
            <w:r w:rsidR="00222B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completed</w:t>
            </w:r>
          </w:p>
        </w:tc>
      </w:tr>
      <w:tr w14:paraId="3E1D8702" w14:textId="77777777" w:rsidTr="00F26793">
        <w:tblPrEx>
          <w:tblW w:w="8735" w:type="dxa"/>
          <w:tblInd w:w="-10" w:type="dxa"/>
          <w:tblCellMar>
            <w:left w:w="0" w:type="dxa"/>
            <w:right w:w="0" w:type="dxa"/>
          </w:tblCellMar>
          <w:tblLook w:val="04A0"/>
        </w:tblPrEx>
        <w:trPr>
          <w:trHeight w:val="380"/>
        </w:trPr>
        <w:tc>
          <w:tcPr>
            <w:tcW w:w="1625" w:type="dxa"/>
          </w:tcPr>
          <w:p w:rsidR="00C46CDA" w:rsidRPr="007608ED" w:rsidP="00C46CDA" w14:paraId="0664CD77" w14:textId="3FD7D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8ED">
              <w:rPr>
                <w:rFonts w:ascii="Times New Roman" w:hAnsi="Times New Roman" w:cs="Times New Roman"/>
                <w:sz w:val="20"/>
                <w:szCs w:val="20"/>
              </w:rPr>
              <w:t>Responses</w:t>
            </w:r>
          </w:p>
        </w:tc>
        <w:tc>
          <w:tcPr>
            <w:tcW w:w="1980" w:type="dxa"/>
          </w:tcPr>
          <w:p w:rsidR="00C46CDA" w:rsidRPr="007608ED" w:rsidP="00C46CDA" w14:paraId="642B0EAB" w14:textId="6D1017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D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96DA2">
              <w:rPr>
                <w:rFonts w:ascii="Times New Roman" w:hAnsi="Times New Roman" w:cs="Times New Roman"/>
                <w:sz w:val="20"/>
                <w:szCs w:val="20"/>
              </w:rPr>
              <w:t>1,149,531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50" w:type="dxa"/>
          </w:tcPr>
          <w:p w:rsidR="00C46CDA" w:rsidRPr="007608ED" w:rsidP="00C46CDA" w14:paraId="62DE980D" w14:textId="6407EC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2B46" w:rsidR="00222B46">
              <w:rPr>
                <w:rFonts w:ascii="Times New Roman" w:hAnsi="Times New Roman" w:cs="Times New Roman"/>
                <w:sz w:val="20"/>
                <w:szCs w:val="20"/>
              </w:rPr>
              <w:t>1,746,013</w:t>
            </w:r>
          </w:p>
        </w:tc>
        <w:tc>
          <w:tcPr>
            <w:tcW w:w="2880" w:type="dxa"/>
          </w:tcPr>
          <w:p w:rsidR="00C46CDA" w:rsidRPr="00551784" w:rsidP="00C46CDA" w14:paraId="39A3AAD8" w14:textId="066F65E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46F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2B46" w:rsidR="00222B46">
              <w:rPr>
                <w:rFonts w:ascii="Times New Roman" w:hAnsi="Times New Roman" w:cs="Times New Roman"/>
                <w:sz w:val="20"/>
                <w:szCs w:val="20"/>
              </w:rPr>
              <w:t>596,482</w:t>
            </w:r>
          </w:p>
        </w:tc>
      </w:tr>
      <w:tr w14:paraId="71AA4EEA" w14:textId="77777777" w:rsidTr="00F26793">
        <w:tblPrEx>
          <w:tblW w:w="8735" w:type="dxa"/>
          <w:tblInd w:w="-10" w:type="dxa"/>
          <w:tblCellMar>
            <w:left w:w="0" w:type="dxa"/>
            <w:right w:w="0" w:type="dxa"/>
          </w:tblCellMar>
          <w:tblLook w:val="04A0"/>
        </w:tblPrEx>
        <w:trPr>
          <w:trHeight w:val="380"/>
        </w:trPr>
        <w:tc>
          <w:tcPr>
            <w:tcW w:w="1625" w:type="dxa"/>
          </w:tcPr>
          <w:p w:rsidR="00C46CDA" w:rsidRPr="007608ED" w:rsidP="00C46CDA" w14:paraId="031ADF38" w14:textId="3B43DD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8ED">
              <w:rPr>
                <w:rFonts w:ascii="Times New Roman" w:hAnsi="Times New Roman" w:cs="Times New Roman"/>
                <w:sz w:val="20"/>
                <w:szCs w:val="20"/>
              </w:rPr>
              <w:t>Hours</w:t>
            </w:r>
          </w:p>
        </w:tc>
        <w:tc>
          <w:tcPr>
            <w:tcW w:w="1980" w:type="dxa"/>
          </w:tcPr>
          <w:p w:rsidR="00C46CDA" w:rsidRPr="007608ED" w:rsidP="00C46CDA" w14:paraId="38F2114E" w14:textId="7CA21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1,208,584</w:t>
            </w:r>
          </w:p>
        </w:tc>
        <w:tc>
          <w:tcPr>
            <w:tcW w:w="2250" w:type="dxa"/>
          </w:tcPr>
          <w:p w:rsidR="00C46CDA" w:rsidRPr="007608ED" w:rsidP="00C46CDA" w14:paraId="398EAC63" w14:textId="01F484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0.00</w:t>
            </w:r>
          </w:p>
        </w:tc>
        <w:tc>
          <w:tcPr>
            <w:tcW w:w="2880" w:type="dxa"/>
          </w:tcPr>
          <w:p w:rsidR="00C46CDA" w:rsidRPr="007608ED" w:rsidP="00C46CDA" w14:paraId="0DD13EAE" w14:textId="5D064E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39B8" w:rsidR="00A239B8">
              <w:rPr>
                <w:rFonts w:ascii="Times New Roman" w:hAnsi="Times New Roman" w:cs="Times New Roman"/>
                <w:sz w:val="20"/>
                <w:szCs w:val="20"/>
              </w:rPr>
              <w:t>690,970</w:t>
            </w:r>
          </w:p>
        </w:tc>
      </w:tr>
    </w:tbl>
    <w:p w:rsidR="00EB0AE4" w:rsidP="00335BF3" w14:paraId="1B65D565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highlight w:val="yellow"/>
        </w:rPr>
      </w:pPr>
    </w:p>
    <w:p w:rsidR="00335BF3" w:rsidP="00D6588C" w14:paraId="35B54BDE" w14:textId="1259CFA7">
      <w:pPr>
        <w:widowControl w:val="0"/>
        <w:autoSpaceDE w:val="0"/>
        <w:autoSpaceDN w:val="0"/>
        <w:adjustRightInd w:val="0"/>
        <w:spacing w:after="0" w:line="240" w:lineRule="auto"/>
      </w:pPr>
      <w:r w:rsidRPr="00D6588C">
        <w:rPr>
          <w:rFonts w:ascii="Times New Roman" w:eastAsia="Calibri" w:hAnsi="Times New Roman" w:cs="Times New Roman"/>
        </w:rPr>
        <w:t xml:space="preserve">If there are any questions, please </w:t>
      </w:r>
      <w:r w:rsidRPr="00D6588C" w:rsidR="009C1F13">
        <w:rPr>
          <w:rFonts w:ascii="Times New Roman" w:eastAsia="Calibri" w:hAnsi="Times New Roman" w:cs="Times New Roman"/>
        </w:rPr>
        <w:t>email me at</w:t>
      </w:r>
      <w:r w:rsidRPr="00D6588C">
        <w:rPr>
          <w:rFonts w:ascii="Times New Roman" w:eastAsia="Calibri" w:hAnsi="Times New Roman" w:cs="Times New Roman"/>
        </w:rPr>
        <w:t xml:space="preserve"> </w:t>
      </w:r>
      <w:hyperlink r:id="rId5" w:history="1">
        <w:r w:rsidRPr="00D6588C" w:rsidR="009C1F13">
          <w:rPr>
            <w:rStyle w:val="Hyperlink"/>
            <w:rFonts w:ascii="Times New Roman" w:eastAsia="Calibri" w:hAnsi="Times New Roman" w:cs="Times New Roman"/>
          </w:rPr>
          <w:t>Rachelle.Ragland-Greene@USDA.Gov</w:t>
        </w:r>
      </w:hyperlink>
      <w:r w:rsidRPr="00D6588C" w:rsidR="009C1F13">
        <w:rPr>
          <w:rFonts w:ascii="Times New Roman" w:eastAsia="Calibri" w:hAnsi="Times New Roman" w:cs="Times New Roman"/>
        </w:rPr>
        <w:t>.</w:t>
      </w:r>
    </w:p>
    <w:sectPr w:rsidSect="00593B63">
      <w:headerReference w:type="default" r:id="rId6"/>
      <w:footerReference w:type="default" r:id="rId7"/>
      <w:pgSz w:w="12240" w:h="15840"/>
      <w:pgMar w:top="24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0072507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650B2" w14:paraId="598CCBAC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650B2" w14:paraId="096E64C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35BF3" w14:paraId="4E2DAD3C" w14:textId="77777777">
    <w:pPr>
      <w:pStyle w:val="Header"/>
    </w:pPr>
    <w:r w:rsidRPr="00135FCE">
      <w:rPr>
        <w:rFonts w:ascii="Times New Roman" w:hAnsi="Times New Roman" w:cs="Times New Roman"/>
        <w:noProof/>
        <w:sz w:val="24"/>
        <w:szCs w:val="24"/>
      </w:rPr>
      <w:drawing>
        <wp:inline distT="0" distB="0" distL="0" distR="0">
          <wp:extent cx="1031104" cy="704850"/>
          <wp:effectExtent l="0" t="0" r="0" b="0"/>
          <wp:docPr id="12" name="Picture 0" descr="USDALOGO.ti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0" descr="USDALOGO.tif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1052998" cy="7198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35BF3" w14:paraId="495BBBB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1B0410E"/>
    <w:multiLevelType w:val="hybridMultilevel"/>
    <w:tmpl w:val="E8F81F9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3F5759"/>
    <w:multiLevelType w:val="hybridMultilevel"/>
    <w:tmpl w:val="B6E28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24377635">
    <w:abstractNumId w:val="1"/>
  </w:num>
  <w:num w:numId="2" w16cid:durableId="1540505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5DE"/>
    <w:rsid w:val="00002512"/>
    <w:rsid w:val="00012EAB"/>
    <w:rsid w:val="00016442"/>
    <w:rsid w:val="00022C0D"/>
    <w:rsid w:val="00024178"/>
    <w:rsid w:val="00027028"/>
    <w:rsid w:val="00045F4A"/>
    <w:rsid w:val="000553EC"/>
    <w:rsid w:val="00061A8F"/>
    <w:rsid w:val="0007670B"/>
    <w:rsid w:val="00076C9E"/>
    <w:rsid w:val="00077256"/>
    <w:rsid w:val="00081306"/>
    <w:rsid w:val="000871E5"/>
    <w:rsid w:val="00097806"/>
    <w:rsid w:val="000C63D3"/>
    <w:rsid w:val="000E6FFC"/>
    <w:rsid w:val="000F22B9"/>
    <w:rsid w:val="00105FB6"/>
    <w:rsid w:val="00111A58"/>
    <w:rsid w:val="001127BD"/>
    <w:rsid w:val="0011357A"/>
    <w:rsid w:val="00117481"/>
    <w:rsid w:val="00122E48"/>
    <w:rsid w:val="001266C3"/>
    <w:rsid w:val="00135FCE"/>
    <w:rsid w:val="001539A8"/>
    <w:rsid w:val="0016022A"/>
    <w:rsid w:val="0016544C"/>
    <w:rsid w:val="00172E31"/>
    <w:rsid w:val="001751A4"/>
    <w:rsid w:val="00175B37"/>
    <w:rsid w:val="00176345"/>
    <w:rsid w:val="00185401"/>
    <w:rsid w:val="00196F7B"/>
    <w:rsid w:val="001B569C"/>
    <w:rsid w:val="001C2CB3"/>
    <w:rsid w:val="001C7BDF"/>
    <w:rsid w:val="001E603F"/>
    <w:rsid w:val="001E76EF"/>
    <w:rsid w:val="001F3181"/>
    <w:rsid w:val="001F49F2"/>
    <w:rsid w:val="001F641F"/>
    <w:rsid w:val="001F6E9D"/>
    <w:rsid w:val="00217731"/>
    <w:rsid w:val="00222B46"/>
    <w:rsid w:val="00226B64"/>
    <w:rsid w:val="0023671E"/>
    <w:rsid w:val="002403E4"/>
    <w:rsid w:val="002774A2"/>
    <w:rsid w:val="00286842"/>
    <w:rsid w:val="0029512C"/>
    <w:rsid w:val="00297AAC"/>
    <w:rsid w:val="002A3B85"/>
    <w:rsid w:val="002A6B92"/>
    <w:rsid w:val="002B0DE3"/>
    <w:rsid w:val="002C1244"/>
    <w:rsid w:val="002C78BF"/>
    <w:rsid w:val="002D0C52"/>
    <w:rsid w:val="002D6E22"/>
    <w:rsid w:val="002E04EE"/>
    <w:rsid w:val="002E7F46"/>
    <w:rsid w:val="002F2D71"/>
    <w:rsid w:val="003000BD"/>
    <w:rsid w:val="0030581D"/>
    <w:rsid w:val="00307C99"/>
    <w:rsid w:val="003144A8"/>
    <w:rsid w:val="0031576E"/>
    <w:rsid w:val="00320AD0"/>
    <w:rsid w:val="0032407B"/>
    <w:rsid w:val="003242C9"/>
    <w:rsid w:val="003322D3"/>
    <w:rsid w:val="00335BF3"/>
    <w:rsid w:val="00335FF8"/>
    <w:rsid w:val="0034214F"/>
    <w:rsid w:val="003611DC"/>
    <w:rsid w:val="00363DF2"/>
    <w:rsid w:val="00380F05"/>
    <w:rsid w:val="00381F64"/>
    <w:rsid w:val="00397918"/>
    <w:rsid w:val="003A3233"/>
    <w:rsid w:val="003B1725"/>
    <w:rsid w:val="003B53F4"/>
    <w:rsid w:val="003C08A5"/>
    <w:rsid w:val="003D007A"/>
    <w:rsid w:val="003D1B80"/>
    <w:rsid w:val="003D63D8"/>
    <w:rsid w:val="003E1CFB"/>
    <w:rsid w:val="003F7266"/>
    <w:rsid w:val="00404C66"/>
    <w:rsid w:val="00412CD7"/>
    <w:rsid w:val="00417CBF"/>
    <w:rsid w:val="0042231B"/>
    <w:rsid w:val="0042362E"/>
    <w:rsid w:val="0043385D"/>
    <w:rsid w:val="0043505D"/>
    <w:rsid w:val="00436C5F"/>
    <w:rsid w:val="0044112C"/>
    <w:rsid w:val="0044166C"/>
    <w:rsid w:val="0044270A"/>
    <w:rsid w:val="00460270"/>
    <w:rsid w:val="0046684A"/>
    <w:rsid w:val="004853C9"/>
    <w:rsid w:val="00487C41"/>
    <w:rsid w:val="00492B2D"/>
    <w:rsid w:val="0049318C"/>
    <w:rsid w:val="004A1168"/>
    <w:rsid w:val="004A11BC"/>
    <w:rsid w:val="004B134D"/>
    <w:rsid w:val="004B603D"/>
    <w:rsid w:val="004C58F2"/>
    <w:rsid w:val="004D035A"/>
    <w:rsid w:val="004F342D"/>
    <w:rsid w:val="004F48D5"/>
    <w:rsid w:val="004F5F8C"/>
    <w:rsid w:val="00503D66"/>
    <w:rsid w:val="005141E5"/>
    <w:rsid w:val="00514C78"/>
    <w:rsid w:val="00521ABA"/>
    <w:rsid w:val="0052294F"/>
    <w:rsid w:val="005328A9"/>
    <w:rsid w:val="00533542"/>
    <w:rsid w:val="00537BAF"/>
    <w:rsid w:val="00542A6B"/>
    <w:rsid w:val="00551784"/>
    <w:rsid w:val="00553F42"/>
    <w:rsid w:val="0056050B"/>
    <w:rsid w:val="00572EF8"/>
    <w:rsid w:val="0057439C"/>
    <w:rsid w:val="0058287A"/>
    <w:rsid w:val="00584602"/>
    <w:rsid w:val="0058527A"/>
    <w:rsid w:val="005902BF"/>
    <w:rsid w:val="0059139A"/>
    <w:rsid w:val="00591953"/>
    <w:rsid w:val="00593843"/>
    <w:rsid w:val="00593B63"/>
    <w:rsid w:val="00596C58"/>
    <w:rsid w:val="00597A9C"/>
    <w:rsid w:val="005A1AF8"/>
    <w:rsid w:val="005A1CD4"/>
    <w:rsid w:val="005A7EAE"/>
    <w:rsid w:val="005B5CAA"/>
    <w:rsid w:val="005B65C5"/>
    <w:rsid w:val="005B7D73"/>
    <w:rsid w:val="005C4007"/>
    <w:rsid w:val="005D19F2"/>
    <w:rsid w:val="005E2135"/>
    <w:rsid w:val="005E22FC"/>
    <w:rsid w:val="00605944"/>
    <w:rsid w:val="00606EE8"/>
    <w:rsid w:val="00627D53"/>
    <w:rsid w:val="00636BAC"/>
    <w:rsid w:val="00636C0D"/>
    <w:rsid w:val="006427F6"/>
    <w:rsid w:val="006451A2"/>
    <w:rsid w:val="00656789"/>
    <w:rsid w:val="0066001D"/>
    <w:rsid w:val="00673E72"/>
    <w:rsid w:val="006766B6"/>
    <w:rsid w:val="006772F6"/>
    <w:rsid w:val="00692D98"/>
    <w:rsid w:val="00693C15"/>
    <w:rsid w:val="006A0C9A"/>
    <w:rsid w:val="006E0ECA"/>
    <w:rsid w:val="00700458"/>
    <w:rsid w:val="00700CCF"/>
    <w:rsid w:val="00701C8B"/>
    <w:rsid w:val="007034DC"/>
    <w:rsid w:val="0071272A"/>
    <w:rsid w:val="0072136B"/>
    <w:rsid w:val="007221BB"/>
    <w:rsid w:val="00724A2E"/>
    <w:rsid w:val="00727A60"/>
    <w:rsid w:val="00733D61"/>
    <w:rsid w:val="00735967"/>
    <w:rsid w:val="00753B8A"/>
    <w:rsid w:val="007574F8"/>
    <w:rsid w:val="007608ED"/>
    <w:rsid w:val="007631A8"/>
    <w:rsid w:val="0076712E"/>
    <w:rsid w:val="00774BAD"/>
    <w:rsid w:val="00792862"/>
    <w:rsid w:val="007954CF"/>
    <w:rsid w:val="007A3F55"/>
    <w:rsid w:val="007A57FF"/>
    <w:rsid w:val="007B1C71"/>
    <w:rsid w:val="007B28ED"/>
    <w:rsid w:val="007B7C59"/>
    <w:rsid w:val="007C3929"/>
    <w:rsid w:val="007D4AA7"/>
    <w:rsid w:val="007E34C3"/>
    <w:rsid w:val="007F2012"/>
    <w:rsid w:val="0080413C"/>
    <w:rsid w:val="00821C66"/>
    <w:rsid w:val="00824499"/>
    <w:rsid w:val="00827EAD"/>
    <w:rsid w:val="0083398D"/>
    <w:rsid w:val="008546B4"/>
    <w:rsid w:val="00856C56"/>
    <w:rsid w:val="008771D7"/>
    <w:rsid w:val="00893A73"/>
    <w:rsid w:val="008972B4"/>
    <w:rsid w:val="008A0335"/>
    <w:rsid w:val="008A53FA"/>
    <w:rsid w:val="008C23BA"/>
    <w:rsid w:val="008C3B6F"/>
    <w:rsid w:val="008C571C"/>
    <w:rsid w:val="008D5E12"/>
    <w:rsid w:val="008E1451"/>
    <w:rsid w:val="008E48A4"/>
    <w:rsid w:val="008E5915"/>
    <w:rsid w:val="008F5D06"/>
    <w:rsid w:val="008F6594"/>
    <w:rsid w:val="00926A2C"/>
    <w:rsid w:val="00932BC2"/>
    <w:rsid w:val="00940A13"/>
    <w:rsid w:val="0097352A"/>
    <w:rsid w:val="00975A95"/>
    <w:rsid w:val="00993945"/>
    <w:rsid w:val="009A6E16"/>
    <w:rsid w:val="009C0123"/>
    <w:rsid w:val="009C0138"/>
    <w:rsid w:val="009C1EDD"/>
    <w:rsid w:val="009C1F13"/>
    <w:rsid w:val="009C7114"/>
    <w:rsid w:val="009D20D7"/>
    <w:rsid w:val="009D23FD"/>
    <w:rsid w:val="009D4A76"/>
    <w:rsid w:val="009D5B58"/>
    <w:rsid w:val="009E03C7"/>
    <w:rsid w:val="009E0D14"/>
    <w:rsid w:val="009E3DF1"/>
    <w:rsid w:val="009E502B"/>
    <w:rsid w:val="009E632B"/>
    <w:rsid w:val="009F040B"/>
    <w:rsid w:val="00A0365F"/>
    <w:rsid w:val="00A0377C"/>
    <w:rsid w:val="00A14201"/>
    <w:rsid w:val="00A15654"/>
    <w:rsid w:val="00A156EE"/>
    <w:rsid w:val="00A160E7"/>
    <w:rsid w:val="00A20EB2"/>
    <w:rsid w:val="00A239B8"/>
    <w:rsid w:val="00A24257"/>
    <w:rsid w:val="00A30A49"/>
    <w:rsid w:val="00A3208A"/>
    <w:rsid w:val="00A35203"/>
    <w:rsid w:val="00A406E1"/>
    <w:rsid w:val="00A4100B"/>
    <w:rsid w:val="00A55AE5"/>
    <w:rsid w:val="00A610F2"/>
    <w:rsid w:val="00A650B2"/>
    <w:rsid w:val="00A7033D"/>
    <w:rsid w:val="00A72F9F"/>
    <w:rsid w:val="00A8441D"/>
    <w:rsid w:val="00A937BE"/>
    <w:rsid w:val="00A94406"/>
    <w:rsid w:val="00AB13F8"/>
    <w:rsid w:val="00AD79EE"/>
    <w:rsid w:val="00AE7359"/>
    <w:rsid w:val="00AF0395"/>
    <w:rsid w:val="00AF17F3"/>
    <w:rsid w:val="00AF4AC6"/>
    <w:rsid w:val="00AF65C5"/>
    <w:rsid w:val="00AF6BB4"/>
    <w:rsid w:val="00B02A1D"/>
    <w:rsid w:val="00B040B3"/>
    <w:rsid w:val="00B053F6"/>
    <w:rsid w:val="00B11823"/>
    <w:rsid w:val="00B21D28"/>
    <w:rsid w:val="00B238E1"/>
    <w:rsid w:val="00B3390E"/>
    <w:rsid w:val="00B33ABD"/>
    <w:rsid w:val="00B376A0"/>
    <w:rsid w:val="00B46FC9"/>
    <w:rsid w:val="00B516F4"/>
    <w:rsid w:val="00B5288C"/>
    <w:rsid w:val="00B55C3E"/>
    <w:rsid w:val="00B567C0"/>
    <w:rsid w:val="00B575DE"/>
    <w:rsid w:val="00B60FF6"/>
    <w:rsid w:val="00B70A66"/>
    <w:rsid w:val="00B810AF"/>
    <w:rsid w:val="00B84516"/>
    <w:rsid w:val="00B94F13"/>
    <w:rsid w:val="00B96BED"/>
    <w:rsid w:val="00B96DA2"/>
    <w:rsid w:val="00BB0FBB"/>
    <w:rsid w:val="00BB3DE9"/>
    <w:rsid w:val="00BC3B8A"/>
    <w:rsid w:val="00BD28D1"/>
    <w:rsid w:val="00BD4FE2"/>
    <w:rsid w:val="00BE6F58"/>
    <w:rsid w:val="00BE7199"/>
    <w:rsid w:val="00BF397B"/>
    <w:rsid w:val="00C37526"/>
    <w:rsid w:val="00C37787"/>
    <w:rsid w:val="00C40721"/>
    <w:rsid w:val="00C46CDA"/>
    <w:rsid w:val="00C56B83"/>
    <w:rsid w:val="00C61D40"/>
    <w:rsid w:val="00C6314D"/>
    <w:rsid w:val="00C714AE"/>
    <w:rsid w:val="00C72A58"/>
    <w:rsid w:val="00C73443"/>
    <w:rsid w:val="00C74360"/>
    <w:rsid w:val="00C77E81"/>
    <w:rsid w:val="00C92972"/>
    <w:rsid w:val="00C93586"/>
    <w:rsid w:val="00CA4760"/>
    <w:rsid w:val="00CA4DEB"/>
    <w:rsid w:val="00CB5ADB"/>
    <w:rsid w:val="00CC4C53"/>
    <w:rsid w:val="00CC71B9"/>
    <w:rsid w:val="00CE1187"/>
    <w:rsid w:val="00CE3C9B"/>
    <w:rsid w:val="00CE4969"/>
    <w:rsid w:val="00D0354A"/>
    <w:rsid w:val="00D03DCE"/>
    <w:rsid w:val="00D06113"/>
    <w:rsid w:val="00D115CC"/>
    <w:rsid w:val="00D14E14"/>
    <w:rsid w:val="00D174FB"/>
    <w:rsid w:val="00D30ADC"/>
    <w:rsid w:val="00D36A17"/>
    <w:rsid w:val="00D4100C"/>
    <w:rsid w:val="00D46D12"/>
    <w:rsid w:val="00D526AA"/>
    <w:rsid w:val="00D615D5"/>
    <w:rsid w:val="00D6588C"/>
    <w:rsid w:val="00D6771B"/>
    <w:rsid w:val="00D73F40"/>
    <w:rsid w:val="00D754DC"/>
    <w:rsid w:val="00D85897"/>
    <w:rsid w:val="00D85AFC"/>
    <w:rsid w:val="00D86D65"/>
    <w:rsid w:val="00D9499F"/>
    <w:rsid w:val="00DA04D6"/>
    <w:rsid w:val="00DA440C"/>
    <w:rsid w:val="00DA749C"/>
    <w:rsid w:val="00DB3397"/>
    <w:rsid w:val="00DC2EE1"/>
    <w:rsid w:val="00DC5621"/>
    <w:rsid w:val="00DC5D07"/>
    <w:rsid w:val="00DE7CD6"/>
    <w:rsid w:val="00DF102E"/>
    <w:rsid w:val="00DF241F"/>
    <w:rsid w:val="00E02F47"/>
    <w:rsid w:val="00E077FB"/>
    <w:rsid w:val="00E17C6D"/>
    <w:rsid w:val="00E258A2"/>
    <w:rsid w:val="00E5141F"/>
    <w:rsid w:val="00E52DC9"/>
    <w:rsid w:val="00E6204F"/>
    <w:rsid w:val="00E645F3"/>
    <w:rsid w:val="00E724B7"/>
    <w:rsid w:val="00E72532"/>
    <w:rsid w:val="00E76EE3"/>
    <w:rsid w:val="00E97A61"/>
    <w:rsid w:val="00EA38F5"/>
    <w:rsid w:val="00EA4888"/>
    <w:rsid w:val="00EB0AE4"/>
    <w:rsid w:val="00EB4550"/>
    <w:rsid w:val="00EC2F98"/>
    <w:rsid w:val="00EC4FCD"/>
    <w:rsid w:val="00EC53C9"/>
    <w:rsid w:val="00EC7222"/>
    <w:rsid w:val="00ED4056"/>
    <w:rsid w:val="00ED7B5E"/>
    <w:rsid w:val="00EF777C"/>
    <w:rsid w:val="00F011ED"/>
    <w:rsid w:val="00F03A5F"/>
    <w:rsid w:val="00F156B1"/>
    <w:rsid w:val="00F26793"/>
    <w:rsid w:val="00F27885"/>
    <w:rsid w:val="00F30814"/>
    <w:rsid w:val="00F32687"/>
    <w:rsid w:val="00F33DA9"/>
    <w:rsid w:val="00F348F8"/>
    <w:rsid w:val="00F35CF2"/>
    <w:rsid w:val="00F43E64"/>
    <w:rsid w:val="00F45C27"/>
    <w:rsid w:val="00F52856"/>
    <w:rsid w:val="00F56D67"/>
    <w:rsid w:val="00F7283E"/>
    <w:rsid w:val="00F7759F"/>
    <w:rsid w:val="00F84C6F"/>
    <w:rsid w:val="00F937B6"/>
    <w:rsid w:val="00F9621B"/>
    <w:rsid w:val="00FA71E4"/>
    <w:rsid w:val="00FB6104"/>
    <w:rsid w:val="00FC1524"/>
    <w:rsid w:val="00FD31B6"/>
    <w:rsid w:val="00FD32A2"/>
    <w:rsid w:val="00FD50B0"/>
    <w:rsid w:val="00FE1BF0"/>
    <w:rsid w:val="00FE4B9A"/>
    <w:rsid w:val="00FF709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EB0331C"/>
  <w15:docId w15:val="{7A6FC0AF-9BF2-4CBC-8410-1AE1D2D5D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2E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3385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338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38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38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385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85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3385D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593B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B63"/>
  </w:style>
  <w:style w:type="paragraph" w:styleId="Footer">
    <w:name w:val="footer"/>
    <w:basedOn w:val="Normal"/>
    <w:link w:val="FooterChar"/>
    <w:uiPriority w:val="99"/>
    <w:unhideWhenUsed/>
    <w:rsid w:val="00593B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B63"/>
  </w:style>
  <w:style w:type="paragraph" w:styleId="Revision">
    <w:name w:val="Revision"/>
    <w:hidden/>
    <w:uiPriority w:val="99"/>
    <w:semiHidden/>
    <w:rsid w:val="00E645F3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F348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348F8"/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7283E"/>
  </w:style>
  <w:style w:type="character" w:customStyle="1" w:styleId="eop">
    <w:name w:val="eop"/>
    <w:basedOn w:val="DefaultParagraphFont"/>
    <w:rsid w:val="00F7283E"/>
  </w:style>
  <w:style w:type="table" w:styleId="TableGrid">
    <w:name w:val="Table Grid"/>
    <w:basedOn w:val="TableNormal"/>
    <w:uiPriority w:val="59"/>
    <w:rsid w:val="008A5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C1F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1F1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9621B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621B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9621B"/>
    <w:rPr>
      <w:vertAlign w:val="superscript"/>
    </w:rPr>
  </w:style>
  <w:style w:type="paragraph" w:styleId="BodyText2">
    <w:name w:val="Body Text 2"/>
    <w:basedOn w:val="Normal"/>
    <w:link w:val="BodyText2Char"/>
    <w:uiPriority w:val="99"/>
    <w:unhideWhenUsed/>
    <w:rsid w:val="00C6314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631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Rachelle.Ragland-Greene@USDA.Gov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10AB5-16F7-4A00-8443-64E926CAA88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USDA/FNS</Company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rgreene</dc:creator>
  <cp:lastModifiedBy>Ragland-Greene, Rachelle - OCIO-OCIO, DC</cp:lastModifiedBy>
  <cp:revision>2</cp:revision>
  <cp:lastPrinted>2010-07-08T16:45:00Z</cp:lastPrinted>
  <dcterms:created xsi:type="dcterms:W3CDTF">2025-09-05T17:35:00Z</dcterms:created>
  <dcterms:modified xsi:type="dcterms:W3CDTF">2025-09-05T17:35:00Z</dcterms:modified>
</cp:coreProperties>
</file>