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02708" w:rsidRPr="00871A7A" w14:paraId="5CC0164A" w14:textId="77777777">
      <w:pPr>
        <w:rPr>
          <w:rFonts w:ascii="Arial" w:hAnsi="Arial" w:cs="Arial"/>
          <w:b/>
          <w:color w:val="auto"/>
        </w:rPr>
      </w:pPr>
      <w:r w:rsidRPr="00871A7A">
        <w:rPr>
          <w:rFonts w:ascii="Arial" w:hAnsi="Arial" w:cs="Arial"/>
          <w:b/>
          <w:color w:val="auto"/>
        </w:rPr>
        <w:t>Non-substantive Change Request</w:t>
      </w:r>
    </w:p>
    <w:p w:rsidR="00034A83" w14:paraId="5023F59D" w14:textId="04CC6DCB">
      <w:pPr>
        <w:rPr>
          <w:rFonts w:ascii="Arial" w:hAnsi="Arial" w:cs="Arial"/>
          <w:b/>
          <w:color w:val="auto"/>
        </w:rPr>
      </w:pPr>
      <w:r w:rsidRPr="00871A7A">
        <w:rPr>
          <w:rFonts w:ascii="Arial" w:hAnsi="Arial" w:cs="Arial"/>
          <w:b/>
          <w:color w:val="auto"/>
        </w:rPr>
        <w:t>0535-0</w:t>
      </w:r>
      <w:r w:rsidR="00207516">
        <w:rPr>
          <w:rFonts w:ascii="Arial" w:hAnsi="Arial" w:cs="Arial"/>
          <w:b/>
          <w:color w:val="auto"/>
        </w:rPr>
        <w:t>2</w:t>
      </w:r>
      <w:r w:rsidR="00915241">
        <w:rPr>
          <w:rFonts w:ascii="Arial" w:hAnsi="Arial" w:cs="Arial"/>
          <w:b/>
          <w:color w:val="auto"/>
        </w:rPr>
        <w:t>7</w:t>
      </w:r>
      <w:r w:rsidR="00874D66">
        <w:rPr>
          <w:rFonts w:ascii="Arial" w:hAnsi="Arial" w:cs="Arial"/>
          <w:b/>
          <w:color w:val="auto"/>
        </w:rPr>
        <w:t>4</w:t>
      </w:r>
      <w:r w:rsidRPr="00871A7A">
        <w:rPr>
          <w:rFonts w:ascii="Arial" w:hAnsi="Arial" w:cs="Arial"/>
          <w:b/>
          <w:color w:val="auto"/>
        </w:rPr>
        <w:t xml:space="preserve"> – </w:t>
      </w:r>
      <w:r w:rsidRPr="00874D66" w:rsidR="00874D66">
        <w:rPr>
          <w:rFonts w:ascii="Arial" w:hAnsi="Arial" w:cs="Arial"/>
          <w:b/>
          <w:color w:val="auto"/>
        </w:rPr>
        <w:t>NASS Data Security Requirements for Accessing Confidential Data</w:t>
      </w:r>
      <w:r w:rsidR="00CE3E57">
        <w:rPr>
          <w:rFonts w:ascii="Arial" w:hAnsi="Arial" w:cs="Arial"/>
          <w:b/>
          <w:color w:val="auto"/>
        </w:rPr>
        <w:t xml:space="preserve"> </w:t>
      </w:r>
    </w:p>
    <w:p w:rsidR="006D6B1D" w:rsidP="00874D66" w14:paraId="3E8C75D1" w14:textId="6919AE91">
      <w:pPr>
        <w:rPr>
          <w:rFonts w:ascii="Arial" w:hAnsi="Arial" w:cs="Arial"/>
          <w:color w:val="1F1F1F"/>
        </w:rPr>
      </w:pPr>
      <w:r w:rsidRPr="006D6B1D">
        <w:rPr>
          <w:rFonts w:ascii="Arial" w:hAnsi="Arial" w:cs="Arial"/>
          <w:color w:val="1F1F1F"/>
        </w:rPr>
        <w:t xml:space="preserve">NASS is requesting a non-substantive change to the </w:t>
      </w:r>
      <w:r w:rsidR="00874D66">
        <w:rPr>
          <w:rFonts w:ascii="Arial" w:hAnsi="Arial" w:cs="Arial"/>
          <w:color w:val="1F1F1F"/>
        </w:rPr>
        <w:t>Certification and Restrictions on Use of Unpublished Data Information Collection</w:t>
      </w:r>
      <w:r w:rsidRPr="006D6B1D">
        <w:rPr>
          <w:rFonts w:ascii="Arial" w:hAnsi="Arial" w:cs="Arial"/>
          <w:color w:val="1F1F1F"/>
        </w:rPr>
        <w:t xml:space="preserve">. </w:t>
      </w:r>
      <w:r w:rsidR="00874D66">
        <w:rPr>
          <w:rFonts w:ascii="Arial" w:hAnsi="Arial" w:cs="Arial"/>
          <w:color w:val="1F1F1F"/>
        </w:rPr>
        <w:t xml:space="preserve">This change is the result of </w:t>
      </w:r>
      <w:r w:rsidRPr="00874D66" w:rsidR="00874D66">
        <w:rPr>
          <w:rFonts w:ascii="Arial" w:hAnsi="Arial" w:cs="Arial"/>
          <w:color w:val="1F1F1F"/>
        </w:rPr>
        <w:t>Office of Inspector General</w:t>
      </w:r>
      <w:r w:rsidR="00874D66">
        <w:rPr>
          <w:rFonts w:ascii="Arial" w:hAnsi="Arial" w:cs="Arial"/>
          <w:color w:val="1F1F1F"/>
        </w:rPr>
        <w:t>’s requirement to include whistleblower protection language</w:t>
      </w:r>
      <w:r w:rsidRPr="006D6B1D">
        <w:rPr>
          <w:rFonts w:ascii="Arial" w:hAnsi="Arial" w:cs="Arial"/>
          <w:color w:val="1F1F1F"/>
        </w:rPr>
        <w:t>.</w:t>
      </w:r>
      <w:r w:rsidR="00874D66">
        <w:rPr>
          <w:rFonts w:ascii="Arial" w:hAnsi="Arial" w:cs="Arial"/>
          <w:color w:val="1F1F1F"/>
        </w:rPr>
        <w:t xml:space="preserve">  The following language will now appear on page 1:</w:t>
      </w:r>
    </w:p>
    <w:p w:rsidR="00874D66" w:rsidRPr="00874D66" w:rsidP="00874D66" w14:paraId="5DF016C2" w14:textId="7857C66D">
      <w:pPr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“</w:t>
      </w:r>
      <w:r w:rsidRPr="00874D66">
        <w:rPr>
          <w:rFonts w:ascii="Arial" w:hAnsi="Arial" w:cs="Arial"/>
          <w:i/>
          <w:iCs/>
          <w:color w:val="1F1F1F"/>
        </w:rPr>
        <w:t>These provisions are consistent with and do not supersede, conflict with, or otherwise alter the employee obligations, rights, or liabilities</w:t>
      </w:r>
      <w:r w:rsidRPr="00874D66">
        <w:rPr>
          <w:rFonts w:ascii="Arial" w:hAnsi="Arial" w:cs="Arial"/>
          <w:i/>
          <w:iCs/>
          <w:color w:val="1F1F1F"/>
        </w:rPr>
        <w:t xml:space="preserve"> </w:t>
      </w:r>
      <w:r w:rsidRPr="00874D66">
        <w:rPr>
          <w:rFonts w:ascii="Arial" w:hAnsi="Arial" w:cs="Arial"/>
          <w:i/>
          <w:iCs/>
          <w:color w:val="1F1F1F"/>
        </w:rPr>
        <w:t>created by existing statute or Executive order relating to (1) classified information, (2) communications to Congress, (3) the reporting to an</w:t>
      </w:r>
      <w:r w:rsidRPr="00874D66">
        <w:rPr>
          <w:rFonts w:ascii="Arial" w:hAnsi="Arial" w:cs="Arial"/>
          <w:i/>
          <w:iCs/>
          <w:color w:val="1F1F1F"/>
        </w:rPr>
        <w:t xml:space="preserve"> </w:t>
      </w:r>
      <w:r w:rsidRPr="00874D66">
        <w:rPr>
          <w:rFonts w:ascii="Arial" w:hAnsi="Arial" w:cs="Arial"/>
          <w:i/>
          <w:iCs/>
          <w:color w:val="1F1F1F"/>
        </w:rPr>
        <w:t>Inspector General or the Office of Special Counsel of a violation of any law, rule, or regulation, or mismanagement, a gross waste of funds, an</w:t>
      </w:r>
      <w:r w:rsidRPr="00874D66">
        <w:rPr>
          <w:rFonts w:ascii="Arial" w:hAnsi="Arial" w:cs="Arial"/>
          <w:i/>
          <w:iCs/>
          <w:color w:val="1F1F1F"/>
        </w:rPr>
        <w:t xml:space="preserve"> </w:t>
      </w:r>
      <w:r w:rsidRPr="00874D66">
        <w:rPr>
          <w:rFonts w:ascii="Arial" w:hAnsi="Arial" w:cs="Arial"/>
          <w:i/>
          <w:iCs/>
          <w:color w:val="1F1F1F"/>
        </w:rPr>
        <w:t>abuse of authority, or a substantial and specific danger to public health or safety, or (4) any other whistleblower protection. The definitions,</w:t>
      </w:r>
      <w:r w:rsidRPr="00874D66">
        <w:rPr>
          <w:rFonts w:ascii="Arial" w:hAnsi="Arial" w:cs="Arial"/>
          <w:i/>
          <w:iCs/>
          <w:color w:val="1F1F1F"/>
        </w:rPr>
        <w:t xml:space="preserve"> </w:t>
      </w:r>
      <w:r w:rsidRPr="00874D66">
        <w:rPr>
          <w:rFonts w:ascii="Arial" w:hAnsi="Arial" w:cs="Arial"/>
          <w:i/>
          <w:iCs/>
          <w:color w:val="1F1F1F"/>
        </w:rPr>
        <w:t>requirements, obligations, rights, sanctions, and liabilities created by controlling Executive orders and statutory provisions are incorporated</w:t>
      </w:r>
      <w:r w:rsidRPr="00874D66">
        <w:rPr>
          <w:rFonts w:ascii="Arial" w:hAnsi="Arial" w:cs="Arial"/>
          <w:i/>
          <w:iCs/>
          <w:color w:val="1F1F1F"/>
        </w:rPr>
        <w:t xml:space="preserve"> </w:t>
      </w:r>
      <w:r w:rsidRPr="00874D66">
        <w:rPr>
          <w:rFonts w:ascii="Arial" w:hAnsi="Arial" w:cs="Arial"/>
          <w:i/>
          <w:iCs/>
          <w:color w:val="1F1F1F"/>
        </w:rPr>
        <w:t>into this agreement and are controlling. (Pub. L. No. 112-199, Sec. 104, Whistleblower Protection Enhancement Act of 2012)</w:t>
      </w:r>
      <w:r>
        <w:rPr>
          <w:rFonts w:ascii="Arial" w:hAnsi="Arial" w:cs="Arial"/>
          <w:color w:val="1F1F1F"/>
        </w:rPr>
        <w:t>”</w:t>
      </w:r>
    </w:p>
    <w:p w:rsidR="0088110B" w14:paraId="5AF0A9A5" w14:textId="7CA76671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The revised form has been loaded to ROCIS.  </w:t>
      </w:r>
      <w:r>
        <w:rPr>
          <w:rFonts w:ascii="Arial" w:hAnsi="Arial" w:cs="Arial"/>
          <w:color w:val="auto"/>
        </w:rPr>
        <w:t>T</w:t>
      </w:r>
      <w:r w:rsidRPr="00C258BF">
        <w:rPr>
          <w:rFonts w:ascii="Arial" w:hAnsi="Arial" w:cs="Arial"/>
          <w:color w:val="auto"/>
        </w:rPr>
        <w:t>h</w:t>
      </w:r>
      <w:r>
        <w:rPr>
          <w:rFonts w:ascii="Arial" w:hAnsi="Arial" w:cs="Arial"/>
          <w:color w:val="auto"/>
        </w:rPr>
        <w:t>i</w:t>
      </w:r>
      <w:r w:rsidRPr="00C258BF">
        <w:rPr>
          <w:rFonts w:ascii="Arial" w:hAnsi="Arial" w:cs="Arial"/>
          <w:color w:val="auto"/>
        </w:rPr>
        <w:t xml:space="preserve">s change will not impact the </w:t>
      </w:r>
      <w:r w:rsidR="00203114">
        <w:rPr>
          <w:rFonts w:ascii="Arial" w:hAnsi="Arial" w:cs="Arial"/>
          <w:color w:val="auto"/>
        </w:rPr>
        <w:t>requested annual</w:t>
      </w:r>
      <w:r w:rsidRPr="00C258BF">
        <w:rPr>
          <w:rFonts w:ascii="Arial" w:hAnsi="Arial" w:cs="Arial"/>
          <w:color w:val="auto"/>
        </w:rPr>
        <w:t xml:space="preserve"> sample size </w:t>
      </w:r>
      <w:r w:rsidR="00203114">
        <w:rPr>
          <w:rFonts w:ascii="Arial" w:hAnsi="Arial" w:cs="Arial"/>
          <w:color w:val="auto"/>
        </w:rPr>
        <w:t>and</w:t>
      </w:r>
      <w:r w:rsidRPr="00C258BF">
        <w:rPr>
          <w:rFonts w:ascii="Arial" w:hAnsi="Arial" w:cs="Arial"/>
          <w:color w:val="auto"/>
        </w:rPr>
        <w:t xml:space="preserve"> respondent burden</w:t>
      </w:r>
      <w:r>
        <w:rPr>
          <w:rFonts w:ascii="Arial" w:hAnsi="Arial" w:cs="Arial"/>
          <w:color w:val="auto"/>
        </w:rPr>
        <w:t>.</w:t>
      </w:r>
    </w:p>
    <w:p w:rsidR="00773502" w14:paraId="564C0BA8" w14:textId="694FD3BC">
      <w:pPr>
        <w:rPr>
          <w:rFonts w:ascii="Arial" w:hAnsi="Arial" w:cs="Arial"/>
          <w:color w:val="auto"/>
        </w:rPr>
      </w:pPr>
    </w:p>
    <w:sectPr w:rsidSect="00202708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958621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6238" w14:paraId="09E76149" w14:textId="6D128A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6238" w:rsidP="00F71328" w14:paraId="5EE46E11" w14:textId="77777777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6238" w:rsidP="001020B6" w14:paraId="4C9A5EDD" w14:textId="756D6257">
    <w:pPr>
      <w:pStyle w:val="Header"/>
      <w:jc w:val="right"/>
    </w:pPr>
    <w:r>
      <w:t>August</w:t>
    </w:r>
    <w:r w:rsidR="006D6B1D">
      <w:t xml:space="preserve"> 2</w:t>
    </w:r>
    <w:r>
      <w:t>6</w:t>
    </w:r>
    <w:r w:rsidR="00843AC5">
      <w:t>, 202</w:t>
    </w:r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3B2D19"/>
    <w:multiLevelType w:val="hybridMultilevel"/>
    <w:tmpl w:val="A876573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9350774"/>
    <w:multiLevelType w:val="hybridMultilevel"/>
    <w:tmpl w:val="98545E22"/>
    <w:lvl w:ilvl="0">
      <w:start w:val="500"/>
      <w:numFmt w:val="lowerRoman"/>
      <w:lvlText w:val="%1."/>
      <w:lvlJc w:val="left"/>
      <w:pPr>
        <w:ind w:left="1080" w:hanging="72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F5E28"/>
    <w:multiLevelType w:val="hybridMultilevel"/>
    <w:tmpl w:val="F67A3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E1AA8"/>
    <w:multiLevelType w:val="hybridMultilevel"/>
    <w:tmpl w:val="4B5C69A4"/>
    <w:lvl w:ilvl="0">
      <w:start w:val="5"/>
      <w:numFmt w:val="lowerLetter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60CB6"/>
    <w:multiLevelType w:val="hybridMultilevel"/>
    <w:tmpl w:val="9F6EB0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56334"/>
    <w:multiLevelType w:val="hybridMultilevel"/>
    <w:tmpl w:val="1B9ECA38"/>
    <w:lvl w:ilvl="0">
      <w:start w:val="1"/>
      <w:numFmt w:val="lowerRoman"/>
      <w:lvlText w:val="%1."/>
      <w:lvlJc w:val="left"/>
      <w:pPr>
        <w:ind w:left="1514" w:hanging="720"/>
      </w:pPr>
    </w:lvl>
    <w:lvl w:ilvl="1">
      <w:start w:val="1"/>
      <w:numFmt w:val="lowerLetter"/>
      <w:lvlText w:val="%2."/>
      <w:lvlJc w:val="left"/>
      <w:pPr>
        <w:ind w:left="1874" w:hanging="360"/>
      </w:pPr>
    </w:lvl>
    <w:lvl w:ilvl="2">
      <w:start w:val="1"/>
      <w:numFmt w:val="lowerRoman"/>
      <w:lvlText w:val="%3."/>
      <w:lvlJc w:val="right"/>
      <w:pPr>
        <w:ind w:left="2594" w:hanging="180"/>
      </w:pPr>
    </w:lvl>
    <w:lvl w:ilvl="3">
      <w:start w:val="1"/>
      <w:numFmt w:val="decimal"/>
      <w:lvlText w:val="%4."/>
      <w:lvlJc w:val="left"/>
      <w:pPr>
        <w:ind w:left="3314" w:hanging="360"/>
      </w:pPr>
    </w:lvl>
    <w:lvl w:ilvl="4">
      <w:start w:val="1"/>
      <w:numFmt w:val="lowerLetter"/>
      <w:lvlText w:val="%5."/>
      <w:lvlJc w:val="left"/>
      <w:pPr>
        <w:ind w:left="4034" w:hanging="360"/>
      </w:pPr>
    </w:lvl>
    <w:lvl w:ilvl="5">
      <w:start w:val="1"/>
      <w:numFmt w:val="lowerRoman"/>
      <w:lvlText w:val="%6."/>
      <w:lvlJc w:val="right"/>
      <w:pPr>
        <w:ind w:left="4754" w:hanging="180"/>
      </w:pPr>
    </w:lvl>
    <w:lvl w:ilvl="6">
      <w:start w:val="1"/>
      <w:numFmt w:val="decimal"/>
      <w:lvlText w:val="%7."/>
      <w:lvlJc w:val="left"/>
      <w:pPr>
        <w:ind w:left="5474" w:hanging="360"/>
      </w:pPr>
    </w:lvl>
    <w:lvl w:ilvl="7">
      <w:start w:val="1"/>
      <w:numFmt w:val="lowerLetter"/>
      <w:lvlText w:val="%8."/>
      <w:lvlJc w:val="left"/>
      <w:pPr>
        <w:ind w:left="6194" w:hanging="360"/>
      </w:pPr>
    </w:lvl>
    <w:lvl w:ilvl="8">
      <w:start w:val="1"/>
      <w:numFmt w:val="lowerRoman"/>
      <w:lvlText w:val="%9."/>
      <w:lvlJc w:val="right"/>
      <w:pPr>
        <w:ind w:left="6914" w:hanging="180"/>
      </w:pPr>
    </w:lvl>
  </w:abstractNum>
  <w:abstractNum w:abstractNumId="6">
    <w:nsid w:val="6DC03F4E"/>
    <w:multiLevelType w:val="hybridMultilevel"/>
    <w:tmpl w:val="C1CA083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699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0644812">
    <w:abstractNumId w:val="1"/>
    <w:lvlOverride w:ilvl="0">
      <w:startOverride w:val="5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528730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440773">
    <w:abstractNumId w:val="1"/>
  </w:num>
  <w:num w:numId="5" w16cid:durableId="72557203">
    <w:abstractNumId w:val="4"/>
  </w:num>
  <w:num w:numId="6" w16cid:durableId="746272216">
    <w:abstractNumId w:val="6"/>
  </w:num>
  <w:num w:numId="7" w16cid:durableId="1211958786">
    <w:abstractNumId w:val="0"/>
  </w:num>
  <w:num w:numId="8" w16cid:durableId="579288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B7"/>
    <w:rsid w:val="000013A5"/>
    <w:rsid w:val="0000713F"/>
    <w:rsid w:val="00025A89"/>
    <w:rsid w:val="00034A83"/>
    <w:rsid w:val="0004311C"/>
    <w:rsid w:val="000674B8"/>
    <w:rsid w:val="0007155E"/>
    <w:rsid w:val="0008131B"/>
    <w:rsid w:val="000916B9"/>
    <w:rsid w:val="000C0F92"/>
    <w:rsid w:val="000C61D0"/>
    <w:rsid w:val="000D2E2A"/>
    <w:rsid w:val="000D6039"/>
    <w:rsid w:val="000E1AA7"/>
    <w:rsid w:val="000E1E79"/>
    <w:rsid w:val="000E4104"/>
    <w:rsid w:val="000F19A3"/>
    <w:rsid w:val="001020B6"/>
    <w:rsid w:val="001075AF"/>
    <w:rsid w:val="0011039A"/>
    <w:rsid w:val="001217DD"/>
    <w:rsid w:val="00122942"/>
    <w:rsid w:val="001278AC"/>
    <w:rsid w:val="00137277"/>
    <w:rsid w:val="001515EE"/>
    <w:rsid w:val="00156B8E"/>
    <w:rsid w:val="00165266"/>
    <w:rsid w:val="0016680F"/>
    <w:rsid w:val="001716F6"/>
    <w:rsid w:val="001862FE"/>
    <w:rsid w:val="001970F9"/>
    <w:rsid w:val="00197A30"/>
    <w:rsid w:val="001A5855"/>
    <w:rsid w:val="001C032C"/>
    <w:rsid w:val="001F168D"/>
    <w:rsid w:val="001F50FA"/>
    <w:rsid w:val="00200830"/>
    <w:rsid w:val="00201693"/>
    <w:rsid w:val="00202708"/>
    <w:rsid w:val="00203114"/>
    <w:rsid w:val="002069F1"/>
    <w:rsid w:val="00207516"/>
    <w:rsid w:val="00234B3F"/>
    <w:rsid w:val="002763E2"/>
    <w:rsid w:val="00277565"/>
    <w:rsid w:val="00292398"/>
    <w:rsid w:val="002938C4"/>
    <w:rsid w:val="00293B52"/>
    <w:rsid w:val="00293D4B"/>
    <w:rsid w:val="002C1BE2"/>
    <w:rsid w:val="002E60F6"/>
    <w:rsid w:val="002E73D1"/>
    <w:rsid w:val="002F3CE2"/>
    <w:rsid w:val="00312DBC"/>
    <w:rsid w:val="00330041"/>
    <w:rsid w:val="00330820"/>
    <w:rsid w:val="00332EA3"/>
    <w:rsid w:val="003667DA"/>
    <w:rsid w:val="00376F26"/>
    <w:rsid w:val="0037705E"/>
    <w:rsid w:val="0038208D"/>
    <w:rsid w:val="00394862"/>
    <w:rsid w:val="003965A5"/>
    <w:rsid w:val="003A4582"/>
    <w:rsid w:val="003B0A80"/>
    <w:rsid w:val="003D5750"/>
    <w:rsid w:val="003E46C6"/>
    <w:rsid w:val="00404D6F"/>
    <w:rsid w:val="00422CC2"/>
    <w:rsid w:val="00425154"/>
    <w:rsid w:val="004461FE"/>
    <w:rsid w:val="004633F5"/>
    <w:rsid w:val="00481EC2"/>
    <w:rsid w:val="00493D31"/>
    <w:rsid w:val="004B0D80"/>
    <w:rsid w:val="004C41B5"/>
    <w:rsid w:val="004C6389"/>
    <w:rsid w:val="004F1523"/>
    <w:rsid w:val="004F2260"/>
    <w:rsid w:val="004F2AAC"/>
    <w:rsid w:val="004F3138"/>
    <w:rsid w:val="004F3335"/>
    <w:rsid w:val="004F61C3"/>
    <w:rsid w:val="00506791"/>
    <w:rsid w:val="0051164F"/>
    <w:rsid w:val="00530117"/>
    <w:rsid w:val="005431FA"/>
    <w:rsid w:val="0055677E"/>
    <w:rsid w:val="00570B6C"/>
    <w:rsid w:val="00584B02"/>
    <w:rsid w:val="00586238"/>
    <w:rsid w:val="00587608"/>
    <w:rsid w:val="00594483"/>
    <w:rsid w:val="005D28CA"/>
    <w:rsid w:val="005D4796"/>
    <w:rsid w:val="005E1F3D"/>
    <w:rsid w:val="005F60B5"/>
    <w:rsid w:val="006005B7"/>
    <w:rsid w:val="00603F53"/>
    <w:rsid w:val="00607C6C"/>
    <w:rsid w:val="0061310D"/>
    <w:rsid w:val="00613D19"/>
    <w:rsid w:val="006141BB"/>
    <w:rsid w:val="00644CC0"/>
    <w:rsid w:val="00644E93"/>
    <w:rsid w:val="00655228"/>
    <w:rsid w:val="00655E2F"/>
    <w:rsid w:val="006673DF"/>
    <w:rsid w:val="00670FDD"/>
    <w:rsid w:val="00675E2D"/>
    <w:rsid w:val="0068667A"/>
    <w:rsid w:val="006A40CF"/>
    <w:rsid w:val="006A7F40"/>
    <w:rsid w:val="006D6B1D"/>
    <w:rsid w:val="006E1604"/>
    <w:rsid w:val="006E6D0E"/>
    <w:rsid w:val="006F5EC6"/>
    <w:rsid w:val="00722E76"/>
    <w:rsid w:val="0074208F"/>
    <w:rsid w:val="00754597"/>
    <w:rsid w:val="00773502"/>
    <w:rsid w:val="00774143"/>
    <w:rsid w:val="007755A5"/>
    <w:rsid w:val="00782C39"/>
    <w:rsid w:val="00786AFB"/>
    <w:rsid w:val="00790BF6"/>
    <w:rsid w:val="00794289"/>
    <w:rsid w:val="00794CBB"/>
    <w:rsid w:val="0079712F"/>
    <w:rsid w:val="007A0D84"/>
    <w:rsid w:val="007A13E2"/>
    <w:rsid w:val="007B0358"/>
    <w:rsid w:val="007D25AA"/>
    <w:rsid w:val="007D5AFA"/>
    <w:rsid w:val="007F0D81"/>
    <w:rsid w:val="007F5D87"/>
    <w:rsid w:val="008024D3"/>
    <w:rsid w:val="00810BD0"/>
    <w:rsid w:val="00825314"/>
    <w:rsid w:val="00843AC5"/>
    <w:rsid w:val="00871A7A"/>
    <w:rsid w:val="0087349E"/>
    <w:rsid w:val="00874D66"/>
    <w:rsid w:val="0088110B"/>
    <w:rsid w:val="00897E92"/>
    <w:rsid w:val="008B70DD"/>
    <w:rsid w:val="00901F4E"/>
    <w:rsid w:val="00915241"/>
    <w:rsid w:val="00973D80"/>
    <w:rsid w:val="00975227"/>
    <w:rsid w:val="00976C74"/>
    <w:rsid w:val="009860AE"/>
    <w:rsid w:val="0099399C"/>
    <w:rsid w:val="00997519"/>
    <w:rsid w:val="009A7330"/>
    <w:rsid w:val="009C7DE3"/>
    <w:rsid w:val="009E1FEF"/>
    <w:rsid w:val="009E3F85"/>
    <w:rsid w:val="009F75F0"/>
    <w:rsid w:val="00A04DDD"/>
    <w:rsid w:val="00A05650"/>
    <w:rsid w:val="00A11F15"/>
    <w:rsid w:val="00A14124"/>
    <w:rsid w:val="00A40F17"/>
    <w:rsid w:val="00A413EC"/>
    <w:rsid w:val="00A52F7E"/>
    <w:rsid w:val="00A63E3F"/>
    <w:rsid w:val="00A805C0"/>
    <w:rsid w:val="00A8229B"/>
    <w:rsid w:val="00A93B7E"/>
    <w:rsid w:val="00A97BAC"/>
    <w:rsid w:val="00AF11EB"/>
    <w:rsid w:val="00B010CC"/>
    <w:rsid w:val="00B21AC1"/>
    <w:rsid w:val="00B23B9A"/>
    <w:rsid w:val="00B31501"/>
    <w:rsid w:val="00B46BB7"/>
    <w:rsid w:val="00B6314E"/>
    <w:rsid w:val="00B65B28"/>
    <w:rsid w:val="00B8561C"/>
    <w:rsid w:val="00B8628C"/>
    <w:rsid w:val="00B956A3"/>
    <w:rsid w:val="00BB0F40"/>
    <w:rsid w:val="00BB0FB8"/>
    <w:rsid w:val="00BE11A3"/>
    <w:rsid w:val="00BE1A91"/>
    <w:rsid w:val="00BF23A1"/>
    <w:rsid w:val="00C045CA"/>
    <w:rsid w:val="00C14066"/>
    <w:rsid w:val="00C17159"/>
    <w:rsid w:val="00C258BF"/>
    <w:rsid w:val="00C42D3B"/>
    <w:rsid w:val="00C54646"/>
    <w:rsid w:val="00C62B2A"/>
    <w:rsid w:val="00C70BA6"/>
    <w:rsid w:val="00C73A5E"/>
    <w:rsid w:val="00C860E0"/>
    <w:rsid w:val="00C9624D"/>
    <w:rsid w:val="00CA6282"/>
    <w:rsid w:val="00CC245B"/>
    <w:rsid w:val="00CE3E57"/>
    <w:rsid w:val="00CF2C55"/>
    <w:rsid w:val="00D046FA"/>
    <w:rsid w:val="00D0685B"/>
    <w:rsid w:val="00D3234D"/>
    <w:rsid w:val="00D36E8E"/>
    <w:rsid w:val="00D36EAC"/>
    <w:rsid w:val="00D50892"/>
    <w:rsid w:val="00D63E55"/>
    <w:rsid w:val="00D721CA"/>
    <w:rsid w:val="00D75533"/>
    <w:rsid w:val="00D863E2"/>
    <w:rsid w:val="00D95C67"/>
    <w:rsid w:val="00DC1403"/>
    <w:rsid w:val="00DC37E2"/>
    <w:rsid w:val="00DC6A5C"/>
    <w:rsid w:val="00DE5CDD"/>
    <w:rsid w:val="00DF132E"/>
    <w:rsid w:val="00DF7529"/>
    <w:rsid w:val="00E16748"/>
    <w:rsid w:val="00E174E6"/>
    <w:rsid w:val="00E22B41"/>
    <w:rsid w:val="00E52FE8"/>
    <w:rsid w:val="00E57BAD"/>
    <w:rsid w:val="00E6655B"/>
    <w:rsid w:val="00E75CF7"/>
    <w:rsid w:val="00EA6818"/>
    <w:rsid w:val="00EC05C2"/>
    <w:rsid w:val="00EE2F55"/>
    <w:rsid w:val="00EE6BE9"/>
    <w:rsid w:val="00EF1115"/>
    <w:rsid w:val="00EF32B0"/>
    <w:rsid w:val="00F01EDC"/>
    <w:rsid w:val="00F02BE3"/>
    <w:rsid w:val="00F16699"/>
    <w:rsid w:val="00F33A17"/>
    <w:rsid w:val="00F37773"/>
    <w:rsid w:val="00F51AC2"/>
    <w:rsid w:val="00F52C95"/>
    <w:rsid w:val="00F56001"/>
    <w:rsid w:val="00F61ADE"/>
    <w:rsid w:val="00F637B0"/>
    <w:rsid w:val="00F71328"/>
    <w:rsid w:val="00F73E9D"/>
    <w:rsid w:val="00F84FEE"/>
    <w:rsid w:val="00F85420"/>
    <w:rsid w:val="00FC6874"/>
    <w:rsid w:val="00FF3A86"/>
    <w:rsid w:val="00FF543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CDA7FC"/>
  <w15:docId w15:val="{25A15933-3CB0-4E18-A184-1FA5A6DB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hAnsi="Courier" w:eastAsiaTheme="minorHAnsi" w:cstheme="minorBidi"/>
        <w:color w:val="4F6228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0B6"/>
  </w:style>
  <w:style w:type="paragraph" w:styleId="Footer">
    <w:name w:val="footer"/>
    <w:basedOn w:val="Normal"/>
    <w:link w:val="FooterChar"/>
    <w:uiPriority w:val="99"/>
    <w:unhideWhenUsed/>
    <w:rsid w:val="0010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0B6"/>
  </w:style>
  <w:style w:type="paragraph" w:styleId="ListParagraph">
    <w:name w:val="List Paragraph"/>
    <w:basedOn w:val="Normal"/>
    <w:uiPriority w:val="34"/>
    <w:qFormat/>
    <w:rsid w:val="004F2260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843AC5"/>
    <w:pPr>
      <w:widowControl w:val="0"/>
      <w:autoSpaceDE w:val="0"/>
      <w:autoSpaceDN w:val="0"/>
      <w:spacing w:before="75" w:after="0" w:line="240" w:lineRule="auto"/>
      <w:ind w:left="1474" w:right="1466"/>
      <w:jc w:val="center"/>
    </w:pPr>
    <w:rPr>
      <w:rFonts w:ascii="Arial" w:eastAsia="Arial" w:hAnsi="Arial" w:cs="Arial"/>
      <w:b/>
      <w:bCs/>
      <w:color w:val="auto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43AC5"/>
    <w:rPr>
      <w:rFonts w:ascii="Arial" w:eastAsia="Arial" w:hAnsi="Arial" w:cs="Arial"/>
      <w:b/>
      <w:bCs/>
      <w:color w:val="auto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92398"/>
    <w:pPr>
      <w:spacing w:before="100" w:beforeAutospacing="1" w:after="100" w:afterAutospacing="1" w:line="240" w:lineRule="auto"/>
    </w:pPr>
    <w:rPr>
      <w:rFonts w:ascii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hancda</dc:creator>
  <cp:lastModifiedBy>Hopper, Richard - REE-NASS, Washington, DC</cp:lastModifiedBy>
  <cp:revision>4</cp:revision>
  <cp:lastPrinted>2014-06-12T20:54:00Z</cp:lastPrinted>
  <dcterms:created xsi:type="dcterms:W3CDTF">2024-08-26T18:28:00Z</dcterms:created>
  <dcterms:modified xsi:type="dcterms:W3CDTF">2024-08-26T18:34:00Z</dcterms:modified>
</cp:coreProperties>
</file>