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3689" w:rsidRPr="00BD1DD0" w:rsidP="000B3689" w14:paraId="3EE013B3" w14:textId="1186248B">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 xml:space="preserve">SUPPORTING STATEMENT </w:t>
      </w:r>
      <w:r>
        <w:rPr>
          <w:rFonts w:ascii="Times New Roman" w:hAnsi="Times New Roman"/>
          <w:b/>
          <w:szCs w:val="24"/>
        </w:rPr>
        <w:t xml:space="preserve">- PART A </w:t>
      </w:r>
      <w:r w:rsidRPr="00BD1DD0">
        <w:rPr>
          <w:rFonts w:ascii="Times New Roman" w:hAnsi="Times New Roman"/>
          <w:b/>
          <w:szCs w:val="24"/>
        </w:rPr>
        <w:t>for</w:t>
      </w:r>
    </w:p>
    <w:p w:rsidR="000B3689" w:rsidP="000B3689" w14:paraId="35609777" w14:textId="0F7946FE">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Control </w:t>
      </w:r>
      <w:r w:rsidRPr="00BD1DD0">
        <w:rPr>
          <w:rFonts w:ascii="Times New Roman" w:hAnsi="Times New Roman"/>
          <w:b/>
          <w:szCs w:val="24"/>
        </w:rPr>
        <w:t>Number</w:t>
      </w:r>
      <w:r w:rsidRPr="00BD1DD0">
        <w:rPr>
          <w:rFonts w:ascii="Times New Roman" w:hAnsi="Times New Roman"/>
          <w:b/>
          <w:szCs w:val="24"/>
          <w:lang w:val=""/>
        </w:rPr>
        <w:t xml:space="preserve"> 0</w:t>
      </w:r>
      <w:r w:rsidR="00384D76">
        <w:rPr>
          <w:rFonts w:ascii="Times New Roman" w:hAnsi="Times New Roman"/>
          <w:b/>
          <w:szCs w:val="24"/>
          <w:lang w:val=""/>
        </w:rPr>
        <w:t>596</w:t>
      </w:r>
      <w:r w:rsidRPr="00BD1DD0">
        <w:rPr>
          <w:rFonts w:ascii="Times New Roman" w:hAnsi="Times New Roman"/>
          <w:b/>
          <w:szCs w:val="24"/>
          <w:lang w:val=""/>
        </w:rPr>
        <w:t>-</w:t>
      </w:r>
      <w:r w:rsidR="00384D76">
        <w:rPr>
          <w:rFonts w:ascii="Times New Roman" w:hAnsi="Times New Roman"/>
          <w:b/>
          <w:szCs w:val="24"/>
          <w:lang w:val=""/>
        </w:rPr>
        <w:t>0240</w:t>
      </w:r>
      <w:r w:rsidRPr="00BD1DD0">
        <w:rPr>
          <w:rFonts w:ascii="Times New Roman" w:hAnsi="Times New Roman"/>
          <w:b/>
          <w:szCs w:val="24"/>
          <w:lang w:val=""/>
        </w:rPr>
        <w:t xml:space="preserve">:  </w:t>
      </w:r>
    </w:p>
    <w:p w:rsidR="000B3689" w:rsidRPr="00BD1DD0" w:rsidP="000B3689" w14:paraId="559F771D" w14:textId="2A0571BA">
      <w:pPr>
        <w:tabs>
          <w:tab w:val="right" w:pos="9360"/>
        </w:tabs>
        <w:spacing w:line="480" w:lineRule="auto"/>
        <w:jc w:val="center"/>
        <w:rPr>
          <w:rFonts w:ascii="Times New Roman" w:hAnsi="Times New Roman"/>
          <w:b/>
          <w:szCs w:val="24"/>
        </w:rPr>
      </w:pPr>
      <w:r w:rsidRPr="00384D76">
        <w:rPr>
          <w:rFonts w:ascii="Times New Roman" w:hAnsi="Times New Roman"/>
          <w:b/>
          <w:szCs w:val="24"/>
        </w:rPr>
        <w:t>The Stewardship Mapping and Assessment Project (STEW-MAP)</w:t>
      </w:r>
    </w:p>
    <w:p w:rsidR="000B3689" w:rsidRPr="002568E6" w:rsidP="000B3689" w14:paraId="61A966EE" w14:textId="77777777">
      <w:pPr>
        <w:tabs>
          <w:tab w:val="right" w:pos="9360"/>
        </w:tabs>
        <w:spacing w:line="480" w:lineRule="auto"/>
        <w:jc w:val="center"/>
        <w:rPr>
          <w:rFonts w:ascii="Times New Roman" w:hAnsi="Times New Roman"/>
          <w:szCs w:val="24"/>
          <w:lang w:val=""/>
        </w:rPr>
      </w:pPr>
    </w:p>
    <w:p w:rsidR="000B3689" w:rsidRPr="002568E6" w:rsidP="000B3689" w14:paraId="289FE057" w14:textId="12A336DD">
      <w:pPr>
        <w:spacing w:line="480" w:lineRule="auto"/>
        <w:jc w:val="center"/>
        <w:rPr>
          <w:rFonts w:ascii="Times New Roman" w:hAnsi="Times New Roman"/>
          <w:szCs w:val="24"/>
          <w:lang w:val=""/>
        </w:rPr>
      </w:pPr>
      <w:r>
        <w:rPr>
          <w:rFonts w:ascii="Times New Roman" w:hAnsi="Times New Roman"/>
          <w:szCs w:val="24"/>
          <w:lang w:val=""/>
        </w:rPr>
        <w:t>Lindsay Campbell</w:t>
      </w:r>
    </w:p>
    <w:p w:rsidR="000B3689" w:rsidRPr="002568E6" w:rsidP="000B3689" w14:paraId="186E3CEE" w14:textId="612DDAC2">
      <w:pPr>
        <w:spacing w:line="480" w:lineRule="auto"/>
        <w:jc w:val="center"/>
        <w:rPr>
          <w:rFonts w:ascii="Times New Roman" w:hAnsi="Times New Roman"/>
          <w:szCs w:val="24"/>
        </w:rPr>
      </w:pPr>
      <w:r>
        <w:rPr>
          <w:rFonts w:ascii="Times New Roman" w:hAnsi="Times New Roman"/>
          <w:szCs w:val="24"/>
        </w:rPr>
        <w:t>Research Social Scientist</w:t>
      </w:r>
    </w:p>
    <w:p w:rsidR="000B3689" w:rsidRPr="002568E6" w:rsidP="000B3689" w14:paraId="58242956" w14:textId="238F19C5">
      <w:pPr>
        <w:tabs>
          <w:tab w:val="left" w:pos="-720"/>
        </w:tabs>
        <w:suppressAutoHyphens/>
        <w:spacing w:line="480" w:lineRule="auto"/>
        <w:jc w:val="center"/>
        <w:rPr>
          <w:rFonts w:ascii="Times New Roman" w:hAnsi="Times New Roman"/>
          <w:szCs w:val="24"/>
        </w:rPr>
      </w:pPr>
      <w:r>
        <w:rPr>
          <w:rFonts w:ascii="Times New Roman" w:hAnsi="Times New Roman"/>
          <w:szCs w:val="24"/>
        </w:rPr>
        <w:t>Northern Research Station</w:t>
      </w:r>
    </w:p>
    <w:p w:rsidR="000B3689" w:rsidRPr="002568E6" w:rsidP="000B3689" w14:paraId="450C5B30" w14:textId="0668E92A">
      <w:pPr>
        <w:spacing w:line="480" w:lineRule="auto"/>
        <w:jc w:val="center"/>
        <w:rPr>
          <w:rFonts w:ascii="Times New Roman" w:hAnsi="Times New Roman"/>
          <w:szCs w:val="24"/>
        </w:rPr>
      </w:pPr>
      <w:r w:rsidRPr="002568E6">
        <w:rPr>
          <w:rFonts w:ascii="Times New Roman" w:hAnsi="Times New Roman"/>
          <w:szCs w:val="24"/>
        </w:rPr>
        <w:t xml:space="preserve">USDA, </w:t>
      </w:r>
      <w:r w:rsidR="001955A0">
        <w:rPr>
          <w:rFonts w:ascii="Times New Roman" w:hAnsi="Times New Roman"/>
          <w:szCs w:val="24"/>
        </w:rPr>
        <w:t>Forest Service</w:t>
      </w:r>
    </w:p>
    <w:p w:rsidR="00765937" w:rsidRPr="00765937" w:rsidP="00765937" w14:paraId="048BB698" w14:textId="5C6A369C">
      <w:pPr>
        <w:spacing w:line="480" w:lineRule="auto"/>
        <w:jc w:val="center"/>
        <w:rPr>
          <w:rFonts w:ascii="Times New Roman" w:hAnsi="Times New Roman"/>
          <w:szCs w:val="24"/>
        </w:rPr>
      </w:pPr>
      <w:r w:rsidRPr="00765937">
        <w:rPr>
          <w:rFonts w:ascii="Times New Roman" w:hAnsi="Times New Roman"/>
          <w:szCs w:val="24"/>
        </w:rPr>
        <w:t>431 Walter Reed</w:t>
      </w:r>
      <w:r w:rsidR="00F64109">
        <w:rPr>
          <w:rFonts w:ascii="Times New Roman" w:hAnsi="Times New Roman"/>
          <w:szCs w:val="24"/>
        </w:rPr>
        <w:t xml:space="preserve"> Road</w:t>
      </w:r>
    </w:p>
    <w:p w:rsidR="000B3689" w:rsidRPr="002568E6" w:rsidP="00F64109" w14:paraId="23B6408E" w14:textId="7A5B743F">
      <w:pPr>
        <w:spacing w:line="480" w:lineRule="auto"/>
        <w:jc w:val="center"/>
        <w:rPr>
          <w:rFonts w:ascii="Times New Roman" w:hAnsi="Times New Roman"/>
          <w:szCs w:val="24"/>
        </w:rPr>
      </w:pPr>
      <w:r w:rsidRPr="00765937">
        <w:rPr>
          <w:rFonts w:ascii="Times New Roman" w:hAnsi="Times New Roman"/>
          <w:szCs w:val="24"/>
        </w:rPr>
        <w:t>Bayside, NY 11359</w:t>
      </w:r>
    </w:p>
    <w:p w:rsidR="000B3689" w:rsidP="000B3689" w14:paraId="21D75AD5" w14:textId="77777777"/>
    <w:p w:rsidR="000B3689" w14:paraId="612E0E1B" w14:textId="5DC46FA6">
      <w:pPr>
        <w:rPr>
          <w:rFonts w:cs="Tahoma"/>
          <w:b/>
          <w:bCs/>
          <w:sz w:val="28"/>
          <w:szCs w:val="28"/>
          <w:u w:val="single"/>
        </w:rPr>
      </w:pPr>
    </w:p>
    <w:p w:rsidR="000B3689" w14:paraId="7C92ACA3" w14:textId="77777777">
      <w:pPr>
        <w:rPr>
          <w:rFonts w:cs="Tahoma"/>
          <w:b/>
          <w:bCs/>
          <w:sz w:val="28"/>
          <w:szCs w:val="28"/>
          <w:u w:val="single"/>
        </w:rPr>
      </w:pPr>
      <w:r>
        <w:br w:type="page"/>
      </w:r>
    </w:p>
    <w:p w:rsidR="00453BDF" w:rsidP="009828D4" w14:paraId="37793D4D" w14:textId="0B2098CD">
      <w:pPr>
        <w:pStyle w:val="Heading1"/>
      </w:pPr>
      <w:r>
        <w:t>Supporting Statement A for OMB 0596-0240</w:t>
      </w:r>
    </w:p>
    <w:p w:rsidR="00170212" w:rsidRPr="00984242" w:rsidP="00C175C4" w14:paraId="60002CB0" w14:textId="490FD3BA">
      <w:pPr>
        <w:pStyle w:val="Heading2"/>
        <w:spacing w:before="0"/>
      </w:pPr>
      <w:r w:rsidRPr="70861518">
        <w:rPr>
          <w:rStyle w:val="Heading3Char"/>
          <w:b w:val="0"/>
          <w:bCs w:val="0"/>
          <w:sz w:val="28"/>
        </w:rPr>
        <w:t>The Stewardship Mapping and Assessment Project (STEW-MAP)</w:t>
      </w:r>
    </w:p>
    <w:p w:rsidR="00E46C94" w:rsidP="00255C28" w14:paraId="37B59F1C" w14:textId="4AB883DB">
      <w:pPr>
        <w:pStyle w:val="Heading3"/>
      </w:pPr>
      <w:r>
        <w:t>Terms of Clearance (5 CFR 1320)</w:t>
      </w:r>
    </w:p>
    <w:p w:rsidR="008B178A" w:rsidP="002C0709" w14:paraId="5B551DA6" w14:textId="77777777">
      <w:pPr>
        <w:pStyle w:val="BodyText"/>
        <w:ind w:left="-360"/>
      </w:pPr>
      <w:r w:rsidRPr="006E432E">
        <w:t>In accordance with 5 CFR 1320, the information collection is approved for three years.</w:t>
      </w:r>
    </w:p>
    <w:p w:rsidR="006230C6" w:rsidP="006230C6" w14:paraId="4E9DAE55" w14:textId="77777777">
      <w:pPr>
        <w:pStyle w:val="Heading3"/>
      </w:pPr>
      <w:r>
        <w:t>Abstract (5 CFR 1320)</w:t>
      </w:r>
    </w:p>
    <w:p w:rsidR="00FD0635" w:rsidRPr="009C6EB6" w:rsidP="2EE61CEF" w14:paraId="65F0E5D3" w14:textId="77777777">
      <w:pPr>
        <w:tabs>
          <w:tab w:val="left" w:pos="720"/>
        </w:tabs>
        <w:rPr>
          <w:rFonts w:eastAsia="Calibri" w:cs="Tahoma"/>
        </w:rPr>
      </w:pPr>
      <w:r w:rsidRPr="009C6EB6">
        <w:rPr>
          <w:rFonts w:eastAsia="Calibri" w:cs="Tahoma"/>
        </w:rPr>
        <w:t xml:space="preserve">This is a request for renewal of the Forest Service Information Collection 0596-0240, the Stewardship Mapping and Assessment Project (STEW-MAP). STEW-MAP assessments have been conducted in multiple locations by National Forest System (NFS) staff as well as </w:t>
      </w:r>
      <w:r w:rsidRPr="009C6EB6">
        <w:rPr>
          <w:rFonts w:cs="Tahoma"/>
        </w:rPr>
        <w:t>other partners</w:t>
      </w:r>
      <w:r w:rsidRPr="009C6EB6">
        <w:rPr>
          <w:rFonts w:eastAsia="Calibri" w:cs="Tahoma"/>
        </w:rPr>
        <w:t xml:space="preserve"> conducting research in consultation with Forest Service scientists working in those areas. </w:t>
      </w:r>
    </w:p>
    <w:p w:rsidR="00E424A3" w:rsidRPr="009C6EB6" w:rsidP="00E424A3" w14:paraId="4479730D" w14:textId="31763492">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Across the country civic environmental stewards are involved in activities like planting trees, maintaining trails, fostering collaborative wildfire adaptation, and cleaning up nearby natural areas. These stewardship practices are key aspects of responsible recreation in the way Americans participate in caring for the environment and local communities. In regions, towns, and rural areas including areas on or adjacent to </w:t>
      </w:r>
      <w:r w:rsidR="00D514D7">
        <w:rPr>
          <w:rFonts w:eastAsia="Calibri" w:cs="Tahoma"/>
        </w:rPr>
        <w:t>n</w:t>
      </w:r>
      <w:r w:rsidRPr="009C6EB6">
        <w:rPr>
          <w:rFonts w:eastAsia="Calibri" w:cs="Tahoma"/>
        </w:rPr>
        <w:t xml:space="preserve">ational </w:t>
      </w:r>
      <w:r w:rsidR="00D514D7">
        <w:rPr>
          <w:rFonts w:eastAsia="Calibri" w:cs="Tahoma"/>
        </w:rPr>
        <w:t>f</w:t>
      </w:r>
      <w:r w:rsidRPr="009C6EB6">
        <w:rPr>
          <w:rFonts w:eastAsia="Calibri" w:cs="Tahoma"/>
        </w:rPr>
        <w:t>orests</w:t>
      </w:r>
      <w:r w:rsidR="00D514D7">
        <w:rPr>
          <w:rFonts w:eastAsia="Calibri" w:cs="Tahoma"/>
        </w:rPr>
        <w:t>,</w:t>
      </w:r>
      <w:r w:rsidR="009214B8">
        <w:rPr>
          <w:rFonts w:eastAsia="Calibri" w:cs="Tahoma"/>
        </w:rPr>
        <w:t xml:space="preserve"> </w:t>
      </w:r>
      <w:r w:rsidRPr="009C6EB6">
        <w:rPr>
          <w:rFonts w:eastAsia="Calibri" w:cs="Tahoma"/>
        </w:rPr>
        <w:t>effective management of forests, parks, natural areas, and other open spaces increasingly relies on the work of civic environmental stewardship groups, volunteers, and networks. Their work leverages the efforts of multiple sectors, especially in lean budget times. But land managers and other decision makers often do not understand the roles and contributions of civic stewards. NFS managers have a direct need to identify effective partners across sectors as well as potential volunteers.</w:t>
      </w:r>
    </w:p>
    <w:p w:rsidR="002A6B43" w:rsidRPr="009C6EB6" w:rsidP="002A6B43" w14:paraId="5229C6D5" w14:textId="511C43A5">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The </w:t>
      </w:r>
      <w:r w:rsidR="00D514D7">
        <w:rPr>
          <w:rFonts w:eastAsia="Calibri" w:cs="Tahoma"/>
        </w:rPr>
        <w:t>U.S. Department of Agriculture (</w:t>
      </w:r>
      <w:r w:rsidRPr="009C6EB6">
        <w:rPr>
          <w:rFonts w:eastAsia="Calibri" w:cs="Tahoma"/>
        </w:rPr>
        <w:t>US</w:t>
      </w:r>
      <w:r w:rsidRPr="009C6EB6">
        <w:rPr>
          <w:rFonts w:eastAsia="Calibri" w:cs="Tahoma"/>
        </w:rPr>
        <w:t>DA</w:t>
      </w:r>
      <w:r w:rsidR="00D514D7">
        <w:rPr>
          <w:rFonts w:eastAsia="Calibri" w:cs="Tahoma"/>
        </w:rPr>
        <w:t>)</w:t>
      </w:r>
      <w:r w:rsidRPr="009C6EB6">
        <w:rPr>
          <w:rFonts w:eastAsia="Calibri" w:cs="Tahoma"/>
        </w:rPr>
        <w:t xml:space="preserve"> Forest Service works in partnership with state and local agencies, non-profit organizations, and community-based groups both on </w:t>
      </w:r>
      <w:r w:rsidR="00D514D7">
        <w:rPr>
          <w:rFonts w:eastAsia="Calibri" w:cs="Tahoma"/>
        </w:rPr>
        <w:t>n</w:t>
      </w:r>
      <w:r w:rsidRPr="009C6EB6">
        <w:rPr>
          <w:rFonts w:eastAsia="Calibri" w:cs="Tahoma"/>
        </w:rPr>
        <w:t xml:space="preserve">ational </w:t>
      </w:r>
      <w:r w:rsidR="00D514D7">
        <w:rPr>
          <w:rFonts w:eastAsia="Calibri" w:cs="Tahoma"/>
        </w:rPr>
        <w:t>f</w:t>
      </w:r>
      <w:r w:rsidRPr="009C6EB6">
        <w:rPr>
          <w:rFonts w:eastAsia="Calibri" w:cs="Tahoma"/>
        </w:rPr>
        <w:t xml:space="preserve">orests and through State, Private, and Tribal Forestry. A core component of this work is maintaining and strengthening partnerships – and leveraging volunteer capacity. However, the landscape of potential partners is not always known. STEW-MAP has developed a formalized methodology that is described in the </w:t>
      </w:r>
      <w:hyperlink r:id="rId10">
        <w:r w:rsidRPr="009C6EB6">
          <w:rPr>
            <w:rFonts w:eastAsia="Calibri" w:cs="Tahoma"/>
            <w:color w:val="0000FF"/>
            <w:u w:val="single"/>
          </w:rPr>
          <w:t>General Technical Report</w:t>
        </w:r>
      </w:hyperlink>
      <w:r w:rsidRPr="009C6EB6">
        <w:rPr>
          <w:rFonts w:eastAsia="Calibri" w:cs="Tahoma"/>
        </w:rPr>
        <w:t xml:space="preserve"> (Svendsen et al. 2016). This resource has been requested and used numerous time</w:t>
      </w:r>
      <w:sdt>
        <w:sdtPr>
          <w:rPr>
            <w:rFonts w:cs="Tahoma"/>
          </w:rPr>
          <w:tag w:val="goog_rdk_22"/>
          <w:id w:val="1709067822"/>
          <w:richText/>
        </w:sdtPr>
        <w:sdtContent>
          <w:r w:rsidRPr="009C6EB6">
            <w:rPr>
              <w:rFonts w:eastAsia="Calibri" w:cs="Tahoma"/>
            </w:rPr>
            <w:t>s</w:t>
          </w:r>
        </w:sdtContent>
      </w:sdt>
      <w:r w:rsidRPr="009C6EB6">
        <w:rPr>
          <w:rFonts w:eastAsia="Calibri" w:cs="Tahoma"/>
        </w:rPr>
        <w:t xml:space="preserve"> by NFS staff and local stakeholders who are interested in understanding the process behind the data and what one can learn from mapping stewardship partners. Given that one of the key steps in the methodology is convening a group of stakeholders/data providers in order to build the survey sampling frame, it has been crucial to have this practitioner-oriented document that explains the process. </w:t>
      </w:r>
      <w:r w:rsidRPr="009C6EB6" w:rsidR="0FF70645">
        <w:rPr>
          <w:rFonts w:eastAsia="Calibri" w:cs="Tahoma"/>
        </w:rPr>
        <w:t xml:space="preserve">STEW-MAP has also informed the fundamental science of partnerships and stewardship (Campbell et al. 2024). New innovations and results since the last renewal have focused on applying the methodology on </w:t>
      </w:r>
      <w:r w:rsidR="00D514D7">
        <w:rPr>
          <w:rFonts w:eastAsia="Calibri" w:cs="Tahoma"/>
        </w:rPr>
        <w:t>na</w:t>
      </w:r>
      <w:r w:rsidRPr="009C6EB6" w:rsidR="0FF70645">
        <w:rPr>
          <w:rFonts w:eastAsia="Calibri" w:cs="Tahoma"/>
        </w:rPr>
        <w:t xml:space="preserve">tional </w:t>
      </w:r>
      <w:r w:rsidR="00D514D7">
        <w:rPr>
          <w:rFonts w:eastAsia="Calibri" w:cs="Tahoma"/>
        </w:rPr>
        <w:t>f</w:t>
      </w:r>
      <w:r w:rsidRPr="009C6EB6" w:rsidR="0FF70645">
        <w:rPr>
          <w:rFonts w:eastAsia="Calibri" w:cs="Tahoma"/>
        </w:rPr>
        <w:t xml:space="preserve">orests and rural areas in order to strengthen partnerships across sectors related to land management, responsible recreation, wildfire management, and rural economies (see, e.g. Campbell et al. 2023; USDA FS 2025). </w:t>
      </w:r>
    </w:p>
    <w:p w:rsidR="00E424A3" w:rsidRPr="009C6EB6" w:rsidP="00E424A3" w14:paraId="1E478358" w14:textId="3C54D2B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Respondents to STEW-MAP are individuals representing civic organizations and government agencies. In each of the STEW-MAP projects under the prior approval (Bridger</w:t>
      </w:r>
      <w:r w:rsidR="00D514D7">
        <w:rPr>
          <w:rFonts w:eastAsia="Calibri" w:cs="Tahoma"/>
        </w:rPr>
        <w:t>-</w:t>
      </w:r>
      <w:r w:rsidRPr="009C6EB6">
        <w:rPr>
          <w:rFonts w:eastAsia="Calibri" w:cs="Tahoma"/>
        </w:rPr>
        <w:t>Teton National Forest region;</w:t>
      </w:r>
      <w:sdt>
        <w:sdtPr>
          <w:rPr>
            <w:rFonts w:cs="Tahoma"/>
          </w:rPr>
          <w:tag w:val="goog_rdk_1"/>
          <w:id w:val="981490270"/>
          <w:richText/>
        </w:sdtPr>
        <w:sdtContent>
          <w:r w:rsidRPr="009C6EB6">
            <w:rPr>
              <w:rFonts w:cs="Tahoma"/>
            </w:rPr>
            <w:t xml:space="preserve"> Missouri (Mark Twain National Forest, St. Louis, and surrounding areas); the Colorado Front Range; Southwest Idaho; and La Paz, Mexico and forthcoming on the Superior National Forest)</w:t>
          </w:r>
        </w:sdtContent>
      </w:sdt>
      <w:r w:rsidRPr="009C6EB6">
        <w:rPr>
          <w:rFonts w:eastAsia="Calibri" w:cs="Tahoma"/>
        </w:rPr>
        <w:t xml:space="preserve">, NFS staff, local partners, and the stewardship groups they work with have been enthusiastic about STEW-MAP and have indicated that it provides useful information that </w:t>
      </w:r>
      <w:r w:rsidRPr="009C6EB6">
        <w:rPr>
          <w:rFonts w:eastAsia="Calibri" w:cs="Tahoma"/>
        </w:rPr>
        <w:t>is not otherwise available to them in order to strengthen partnerships, recruit volunteers, and engage in more effective and efficient land management.</w:t>
      </w:r>
      <w:r w:rsidRPr="009C6EB6">
        <w:rPr>
          <w:rFonts w:eastAsia="Calibri" w:cs="Tahoma"/>
        </w:rPr>
        <w:t xml:space="preserve"> The STEW-MAP protocols being submitted for renewal are designed for implementation in any region of the United States. Given that STEW-MAP Information Collection is initiated in partnership with local and regional stakeholders, we do not know for sure where future STEW-MAP projects will be conducted. Decision makers and stewards in many </w:t>
      </w:r>
      <w:sdt>
        <w:sdtPr>
          <w:rPr>
            <w:rFonts w:cs="Tahoma"/>
          </w:rPr>
          <w:tag w:val="goog_rdk_40"/>
          <w:id w:val="-1253042725"/>
          <w:richText/>
        </w:sdtPr>
        <w:sdtContent>
          <w:r w:rsidRPr="009C6EB6">
            <w:rPr>
              <w:rFonts w:eastAsia="Calibri" w:cs="Tahoma"/>
            </w:rPr>
            <w:t xml:space="preserve">regions and </w:t>
          </w:r>
          <w:r w:rsidR="00D514D7">
            <w:rPr>
              <w:rFonts w:eastAsia="Calibri" w:cs="Tahoma"/>
            </w:rPr>
            <w:t>n</w:t>
          </w:r>
          <w:r w:rsidRPr="009C6EB6">
            <w:rPr>
              <w:rFonts w:eastAsia="Calibri" w:cs="Tahoma"/>
            </w:rPr>
            <w:t xml:space="preserve">ational </w:t>
          </w:r>
          <w:r w:rsidR="00D514D7">
            <w:rPr>
              <w:rFonts w:eastAsia="Calibri" w:cs="Tahoma"/>
            </w:rPr>
            <w:t>f</w:t>
          </w:r>
          <w:r w:rsidRPr="009C6EB6">
            <w:rPr>
              <w:rFonts w:eastAsia="Calibri" w:cs="Tahoma"/>
            </w:rPr>
            <w:t>orests</w:t>
          </w:r>
        </w:sdtContent>
      </w:sdt>
      <w:r w:rsidRPr="009C6EB6">
        <w:rPr>
          <w:rFonts w:eastAsia="Calibri" w:cs="Tahoma"/>
        </w:rPr>
        <w:t xml:space="preserve"> continue to express interest in conducting or assisting with STEW-MAP assessments in order to learn about and leverage civic environmental stewardship in their area.  </w:t>
      </w:r>
    </w:p>
    <w:p w:rsidR="008A5A15" w:rsidRPr="00170503" w:rsidP="00170503" w14:paraId="63DB63CF" w14:textId="1B442DDA">
      <w:pPr>
        <w:pStyle w:val="Heading3"/>
      </w:pPr>
      <w:r>
        <w:t xml:space="preserve">A. </w:t>
      </w:r>
      <w:r w:rsidRPr="00170503" w:rsidR="005035FF">
        <w:t>Justification</w:t>
      </w:r>
    </w:p>
    <w:p w:rsidR="0042212C" w:rsidP="00981D2D" w14:paraId="758F79D5" w14:textId="7B7E5BEB">
      <w:pPr>
        <w:pStyle w:val="ListNumber"/>
      </w:pPr>
      <w:r w:rsidRPr="00981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86967" w:rsidRPr="009C6EB6" w:rsidP="2F10CDFF" w14:paraId="72AB1742" w14:textId="11D75FA0">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color w:val="000000" w:themeColor="text1"/>
        </w:rPr>
      </w:pPr>
      <w:r w:rsidRPr="009C6EB6">
        <w:rPr>
          <w:rFonts w:eastAsia="Calibri" w:cs="Tahoma"/>
        </w:rPr>
        <w:t xml:space="preserve">The Forest Service’s mandate includes providing science-based information to land managers and decision-makers in regions across the country to support their management of natural resources and to provide the most possible benefits to local populations. The knowledge developed from stewardship mapping can support the development of strategic partnerships in support of land management, wildfire adaptation, responsible recreation, and rural economies. </w:t>
      </w:r>
      <w:r w:rsidRPr="009C6EB6">
        <w:rPr>
          <w:rFonts w:eastAsia="Calibri" w:cs="Tahoma"/>
          <w:color w:val="000000" w:themeColor="text1"/>
        </w:rPr>
        <w:t>This Information Collection will help the Forest Service better support expanding partnerships and volunteerism so that we can fulfill our role of guiding stewardship of forests and associated natural resources across the landscape in collaboration with a broad suite of partners.</w:t>
      </w:r>
      <w:sdt>
        <w:sdtPr>
          <w:rPr>
            <w:rFonts w:cs="Tahoma"/>
          </w:rPr>
          <w:tag w:val="goog_rdk_31"/>
          <w:id w:val="1736468075"/>
          <w:richText/>
        </w:sdtPr>
        <w:sdtContent>
          <w:r w:rsidRPr="009C6EB6">
            <w:rPr>
              <w:rFonts w:eastAsia="Calibri" w:cs="Tahoma"/>
              <w:color w:val="000000" w:themeColor="text1"/>
            </w:rPr>
            <w:t xml:space="preserve"> Since the last approval, STEW-MAP has successfully been applied on and around multiple </w:t>
          </w:r>
          <w:r w:rsidR="00D514D7">
            <w:rPr>
              <w:rFonts w:eastAsia="Calibri" w:cs="Tahoma"/>
              <w:color w:val="000000" w:themeColor="text1"/>
            </w:rPr>
            <w:t>n</w:t>
          </w:r>
          <w:r w:rsidRPr="009C6EB6">
            <w:rPr>
              <w:rFonts w:eastAsia="Calibri" w:cs="Tahoma"/>
              <w:color w:val="000000" w:themeColor="text1"/>
            </w:rPr>
            <w:t xml:space="preserve">ational </w:t>
          </w:r>
          <w:r w:rsidR="00D514D7">
            <w:rPr>
              <w:rFonts w:eastAsia="Calibri" w:cs="Tahoma"/>
              <w:color w:val="000000" w:themeColor="text1"/>
            </w:rPr>
            <w:t>f</w:t>
          </w:r>
          <w:r w:rsidRPr="009C6EB6">
            <w:rPr>
              <w:rFonts w:eastAsia="Calibri" w:cs="Tahoma"/>
              <w:color w:val="000000" w:themeColor="text1"/>
            </w:rPr>
            <w:t>orests, helping to inform public outreach and engagement strategies, partnership and network development, and coordination at the landscape scale -- particularly on the complex issue of wildfire adaptation and management.</w:t>
          </w:r>
          <w:r w:rsidRPr="009C6EB6">
            <w:rPr>
              <w:rFonts w:eastAsia="Calibri" w:cs="Tahoma"/>
            </w:rPr>
            <w:t xml:space="preserve"> </w:t>
          </w:r>
        </w:sdtContent>
      </w:sdt>
    </w:p>
    <w:p w:rsidR="002A6B43" w:rsidRPr="009C6EB6" w:rsidP="002A6B43" w14:paraId="33BE45CE" w14:textId="248B9F8B">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At present, no natural resource agency or organization is collecting or distributing comprehensive civic stewardship data at the local level. This Information Collection will fill this gap by surveying formal and informal groups that work on environmental conservation, monitoring, education, and/or preservation in a particular region, </w:t>
      </w:r>
      <w:r w:rsidR="00D514D7">
        <w:rPr>
          <w:rFonts w:eastAsia="Calibri" w:cs="Tahoma"/>
        </w:rPr>
        <w:t>n</w:t>
      </w:r>
      <w:r w:rsidRPr="009C6EB6">
        <w:rPr>
          <w:rFonts w:eastAsia="Calibri" w:cs="Tahoma"/>
        </w:rPr>
        <w:t xml:space="preserve">ational </w:t>
      </w:r>
      <w:r w:rsidR="00D514D7">
        <w:rPr>
          <w:rFonts w:eastAsia="Calibri" w:cs="Tahoma"/>
        </w:rPr>
        <w:t>f</w:t>
      </w:r>
      <w:r w:rsidRPr="009C6EB6">
        <w:rPr>
          <w:rFonts w:eastAsia="Calibri" w:cs="Tahoma"/>
        </w:rPr>
        <w:t>orest, or rural area. The Forest Service will use these data to inform its partnership work and meet its land management mission – including on priority issues of wildfire management and responsible recreation. STEW-MAP focuses on civic environmental stewards’ contribution to the care and management of renewable resources across the rural-urban gradient.</w:t>
      </w:r>
    </w:p>
    <w:p w:rsidR="00E86967" w:rsidRPr="009C6EB6" w:rsidP="00B74957" w14:paraId="615678A1" w14:textId="5E73417E">
      <w:pPr>
        <w:rPr>
          <w:rFonts w:eastAsia="Calibri" w:cs="Tahoma"/>
        </w:rPr>
      </w:pPr>
      <w:r w:rsidRPr="009C6EB6">
        <w:rPr>
          <w:rFonts w:eastAsia="Calibri" w:cs="Tahoma"/>
        </w:rPr>
        <w:t>STEW-MAP Information Collection is supported by the following relevant statutes and regulations</w:t>
      </w:r>
      <w:r w:rsidRPr="009C6EB6" w:rsidR="00B74957">
        <w:rPr>
          <w:rFonts w:eastAsia="Calibri" w:cs="Tahoma"/>
        </w:rPr>
        <w:t>:</w:t>
      </w:r>
    </w:p>
    <w:p w:rsidR="00E86967" w:rsidRPr="009C6EB6" w:rsidP="00B74957" w14:paraId="677C249D" w14:textId="20A1B7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u w:val="single"/>
        </w:rPr>
        <w:t xml:space="preserve">1. </w:t>
      </w:r>
      <w:r w:rsidR="00D514D7">
        <w:rPr>
          <w:rFonts w:eastAsia="Calibri" w:cs="Tahoma"/>
          <w:u w:val="single"/>
        </w:rPr>
        <w:t>T</w:t>
      </w:r>
      <w:r w:rsidRPr="009C6EB6" w:rsidR="002A6B43">
        <w:rPr>
          <w:rFonts w:eastAsia="Calibri" w:cs="Tahoma"/>
          <w:u w:val="single"/>
        </w:rPr>
        <w:t xml:space="preserve">he </w:t>
      </w:r>
      <w:r w:rsidRPr="009C6EB6" w:rsidR="02F533E1">
        <w:rPr>
          <w:rFonts w:eastAsia="Calibri" w:cs="Tahoma"/>
          <w:u w:val="single"/>
        </w:rPr>
        <w:t>Cooperative Forestry Assistance Act of 1978</w:t>
      </w:r>
      <w:r w:rsidRPr="009C6EB6" w:rsidR="002A6B43">
        <w:rPr>
          <w:rFonts w:eastAsia="Calibri" w:cs="Tahoma"/>
          <w:u w:val="single"/>
        </w:rPr>
        <w:t xml:space="preserve"> </w:t>
      </w:r>
      <w:r w:rsidRPr="009C6EB6" w:rsidR="002A6B43">
        <w:rPr>
          <w:rFonts w:eastAsia="Calibri" w:cs="Tahoma"/>
        </w:rPr>
        <w:t>(Section (9)(b)(8))</w:t>
      </w:r>
      <w:r w:rsidRPr="009C6EB6" w:rsidR="02F533E1">
        <w:rPr>
          <w:rFonts w:eastAsia="Calibri" w:cs="Tahoma"/>
        </w:rPr>
        <w:t xml:space="preserve"> states that “The purposes of this section are to—… (8) </w:t>
      </w:r>
      <w:r w:rsidRPr="009C6EB6" w:rsidR="02F533E1">
        <w:rPr>
          <w:rFonts w:eastAsia="Calibri" w:cs="Tahoma"/>
          <w:i/>
          <w:iCs/>
        </w:rPr>
        <w:t>expand existing research and</w:t>
      </w:r>
      <w:r w:rsidRPr="009C6EB6" w:rsidR="02F533E1">
        <w:rPr>
          <w:rFonts w:eastAsia="Calibri" w:cs="Tahoma"/>
        </w:rPr>
        <w:t xml:space="preserve"> </w:t>
      </w:r>
      <w:r w:rsidRPr="009C6EB6" w:rsidR="02F533E1">
        <w:rPr>
          <w:rFonts w:eastAsia="Calibri" w:cs="Tahoma"/>
          <w:i/>
          <w:iCs/>
        </w:rPr>
        <w:t>educational efforts</w:t>
      </w:r>
      <w:r w:rsidRPr="009C6EB6" w:rsidR="02F533E1">
        <w:rPr>
          <w:rFonts w:eastAsia="Calibri" w:cs="Tahoma"/>
        </w:rPr>
        <w:t xml:space="preserve"> intended to improve understanding of— (A) tree growth and maintenance, tree physiology and morphology, species adaptations, and forest ecology, (B) the value of integrating trees and ground covers, (C) </w:t>
      </w:r>
      <w:r w:rsidRPr="00D514D7" w:rsidR="02F533E1">
        <w:rPr>
          <w:rFonts w:eastAsia="Calibri" w:cs="Tahoma"/>
          <w:i/>
          <w:iCs/>
        </w:rPr>
        <w:t>t</w:t>
      </w:r>
      <w:r w:rsidRPr="009C6EB6" w:rsidR="02F533E1">
        <w:rPr>
          <w:rFonts w:eastAsia="Calibri" w:cs="Tahoma"/>
          <w:i/>
          <w:iCs/>
        </w:rPr>
        <w:t>he economic, environmental, social, and psychological benefits of trees and forest cover</w:t>
      </w:r>
      <w:r w:rsidRPr="009C6EB6" w:rsidR="02F533E1">
        <w:rPr>
          <w:rFonts w:eastAsia="Calibri" w:cs="Tahoma"/>
        </w:rPr>
        <w:t xml:space="preserve">.” </w:t>
      </w:r>
      <w:r w:rsidRPr="009C6EB6">
        <w:rPr>
          <w:rFonts w:eastAsia="Calibri" w:cs="Tahoma"/>
        </w:rPr>
        <w:t xml:space="preserve">Section 9(c) (General Authority) authorizes the Secretary to work with “State foresters or equivalent State officials,” “interested members of the public, including non-profit </w:t>
      </w:r>
      <w:r w:rsidRPr="009C6EB6">
        <w:rPr>
          <w:rFonts w:eastAsia="Calibri" w:cs="Tahoma"/>
        </w:rPr>
        <w:t>private organizations,” and “directly with units of local government and others” in carrying out the authorized activities.</w:t>
      </w:r>
    </w:p>
    <w:p w:rsidR="00B74957" w:rsidRPr="009C6EB6" w:rsidP="00D514D7" w14:paraId="61AAC7B2" w14:textId="5AF74720">
      <w:pPr>
        <w:widowControl w:val="0"/>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rPr>
          <w:rFonts w:eastAsia="Calibri" w:cs="Tahoma"/>
        </w:rPr>
      </w:pPr>
      <w:r w:rsidRPr="009C6EB6">
        <w:rPr>
          <w:rFonts w:eastAsia="Calibri" w:cs="Tahoma"/>
          <w:u w:val="single"/>
        </w:rPr>
        <w:t xml:space="preserve">2. The Forest and Rangeland Renewable Resources Research Act of 1978 </w:t>
      </w:r>
      <w:r w:rsidRPr="009C6EB6">
        <w:rPr>
          <w:rFonts w:eastAsia="Calibri" w:cs="Tahoma"/>
        </w:rPr>
        <w:t xml:space="preserve">authorizes US Forest Service “investigations, experiments, tests, and other activities… to obtain, analyze, develop, demonstrate, and disseminate scientific information about protecting, managing, and utilizing forest and rangeland renewable resources in rural, suburban, and urban areas” (SEC. 3. [16 U.S.C. 1642] (a)). </w:t>
      </w:r>
    </w:p>
    <w:p w:rsidR="00E86967" w:rsidRPr="009C6EB6" w:rsidP="00E424A3" w14:paraId="520D0CD4" w14:textId="33D500FF">
      <w:pPr>
        <w:widowControl w:val="0"/>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Style w:val="BodyText3Char"/>
          <w:rFonts w:eastAsiaTheme="minorEastAsia" w:cs="Tahoma"/>
        </w:rPr>
      </w:pPr>
      <w:r w:rsidRPr="009C6EB6">
        <w:rPr>
          <w:rFonts w:eastAsia="Calibri" w:cs="Tahoma"/>
        </w:rPr>
        <w:t xml:space="preserve">3. </w:t>
      </w:r>
      <w:r w:rsidRPr="009C6EB6" w:rsidR="7430318E">
        <w:rPr>
          <w:rFonts w:eastAsia="Calibri" w:cs="Tahoma"/>
          <w:u w:val="single"/>
        </w:rPr>
        <w:t>National Environmental Policy Act of 1969</w:t>
      </w:r>
      <w:r w:rsidRPr="009C6EB6" w:rsidR="7430318E">
        <w:rPr>
          <w:rFonts w:eastAsia="Calibri" w:cs="Tahoma"/>
        </w:rPr>
        <w:t xml:space="preserve"> (PL 91-190), Section 102(2)(A) directs </w:t>
      </w:r>
      <w:r w:rsidR="00D514D7">
        <w:rPr>
          <w:rFonts w:eastAsia="Calibri" w:cs="Tahoma"/>
        </w:rPr>
        <w:t>F</w:t>
      </w:r>
      <w:r w:rsidRPr="009C6EB6" w:rsidR="7430318E">
        <w:rPr>
          <w:rFonts w:eastAsia="Calibri" w:cs="Tahoma"/>
        </w:rPr>
        <w:t>ederal agencies to "utilize a systematic, interdisciplinary approach which will ensure the integrated use of the natural and social sciences...in decision making which may have an impact on man's environment."  This information collection will use a systematic, interdisciplinary approach to collect information on civic environmental stewardship with the goal of improving natural resource management.</w:t>
      </w:r>
    </w:p>
    <w:p w:rsidR="00115F0C" w:rsidP="00115F0C" w14:paraId="18DAC700" w14:textId="682252AF">
      <w:pPr>
        <w:pStyle w:val="ListNumber"/>
      </w:pPr>
      <w:r>
        <w:t>Indicate how, by whom, and for what purpose the information is to be used. Except for a new collection, indicate the actual use the agency has made of the information received from the current collection.</w:t>
      </w:r>
    </w:p>
    <w:p w:rsidR="00F07A1E" w:rsidP="00115F0C" w14:paraId="32170DB7" w14:textId="7441607B">
      <w:pPr>
        <w:pStyle w:val="ListNumber2"/>
      </w:pPr>
      <w:r>
        <w:t>What information will be collected</w:t>
      </w:r>
      <w:r w:rsidRPr="00D61159" w:rsidR="00D61159">
        <w:t>—</w:t>
      </w:r>
      <w:r>
        <w:t>reported or recorded? (If there are pieces of information that are especially burdensome in the collection, a specific explanation should be provided.)</w:t>
      </w:r>
    </w:p>
    <w:p w:rsidR="00E86967" w:rsidRPr="009C6EB6" w:rsidP="00B74957" w14:paraId="47D563EF" w14:textId="2C0D445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Pr>
          <w:rFonts w:eastAsia="Calibri" w:asciiTheme="majorHAnsi" w:hAnsiTheme="majorHAnsi" w:cstheme="majorHAnsi"/>
        </w:rPr>
        <w:tab/>
      </w:r>
      <w:r w:rsidRPr="009C6EB6">
        <w:rPr>
          <w:rFonts w:eastAsia="Calibri" w:cs="Tahoma"/>
        </w:rPr>
        <w:t>STEW-MAP has three phases. The information collected in each phase is described below.</w:t>
      </w:r>
    </w:p>
    <w:p w:rsidR="00E86967" w:rsidRPr="009C6EB6" w:rsidP="00D514D7" w14:paraId="431C7134" w14:textId="45F41A2B">
      <w:pPr>
        <w:widowControl w:val="0"/>
        <w:numPr>
          <w:ilvl w:val="0"/>
          <w:numId w:val="32"/>
        </w:numPr>
        <w:spacing w:after="60" w:line="240" w:lineRule="auto"/>
        <w:rPr>
          <w:rFonts w:eastAsia="Calibri" w:cs="Tahoma"/>
          <w:b/>
          <w:bCs/>
        </w:rPr>
      </w:pPr>
      <w:r w:rsidRPr="009C6EB6">
        <w:rPr>
          <w:rFonts w:eastAsia="Calibri" w:cs="Tahoma"/>
        </w:rPr>
        <w:t xml:space="preserve">Phase </w:t>
      </w:r>
      <w:r w:rsidR="00400A7D">
        <w:rPr>
          <w:rFonts w:eastAsia="Calibri" w:cs="Tahoma"/>
        </w:rPr>
        <w:t>1</w:t>
      </w:r>
      <w:r w:rsidRPr="009C6EB6">
        <w:rPr>
          <w:rFonts w:eastAsia="Calibri" w:cs="Tahoma"/>
        </w:rPr>
        <w:t>: Developing a Sampling Frame</w:t>
      </w:r>
    </w:p>
    <w:p w:rsidR="00E86967" w:rsidRPr="009C6EB6" w:rsidP="00D514D7" w14:paraId="01BA938E" w14:textId="04F5623D">
      <w:pPr>
        <w:widowControl w:val="0"/>
        <w:numPr>
          <w:ilvl w:val="1"/>
          <w:numId w:val="32"/>
        </w:numPr>
        <w:spacing w:after="60" w:line="240" w:lineRule="auto"/>
        <w:rPr>
          <w:rFonts w:eastAsia="Calibri" w:cs="Tahoma"/>
          <w:b/>
          <w:bCs/>
        </w:rPr>
      </w:pPr>
      <w:r w:rsidRPr="009C6EB6">
        <w:rPr>
          <w:rFonts w:eastAsia="Calibri" w:cs="Tahoma"/>
        </w:rPr>
        <w:t>1a Census - A comprehensive list of stewardship groups in the targeted regions will be compiled in order to define the local stewardship population.</w:t>
      </w:r>
    </w:p>
    <w:p w:rsidR="004205DD" w:rsidRPr="00D514D7" w:rsidP="00D514D7" w14:paraId="23ED847B" w14:textId="46A594A0">
      <w:pPr>
        <w:widowControl w:val="0"/>
        <w:numPr>
          <w:ilvl w:val="1"/>
          <w:numId w:val="32"/>
        </w:numPr>
        <w:spacing w:after="0" w:line="240" w:lineRule="auto"/>
        <w:rPr>
          <w:rFonts w:eastAsia="Calibri" w:cs="Tahoma"/>
        </w:rPr>
      </w:pPr>
      <w:r w:rsidRPr="009C6EB6">
        <w:rPr>
          <w:rFonts w:eastAsia="Calibri" w:cs="Tahoma"/>
        </w:rPr>
        <w:t>1b Focus groups (optional) to understand local priorities and needs, identify stewardship networks, and build a list of stewardship group</w:t>
      </w:r>
      <w:r w:rsidR="00DB15A1">
        <w:rPr>
          <w:rFonts w:eastAsia="Calibri" w:cs="Tahoma"/>
        </w:rPr>
        <w:t>s</w:t>
      </w:r>
      <w:r w:rsidRPr="009C6EB6">
        <w:rPr>
          <w:rFonts w:eastAsia="Calibri" w:cs="Tahoma"/>
        </w:rPr>
        <w:t xml:space="preserve"> in the targeted region</w:t>
      </w:r>
    </w:p>
    <w:p w:rsidR="00E86967" w:rsidRPr="009C6EB6" w:rsidP="00D514D7" w14:paraId="49FB427C" w14:textId="409CC926">
      <w:pPr>
        <w:widowControl w:val="0"/>
        <w:numPr>
          <w:ilvl w:val="0"/>
          <w:numId w:val="32"/>
        </w:numPr>
        <w:spacing w:before="120" w:after="120" w:line="240" w:lineRule="auto"/>
        <w:rPr>
          <w:rFonts w:eastAsia="Calibri" w:cs="Tahoma"/>
        </w:rPr>
      </w:pPr>
      <w:r w:rsidRPr="009C6EB6">
        <w:rPr>
          <w:rFonts w:eastAsia="Calibri" w:cs="Tahoma"/>
        </w:rPr>
        <w:t xml:space="preserve">Phase </w:t>
      </w:r>
      <w:r w:rsidR="00400A7D">
        <w:rPr>
          <w:rFonts w:eastAsia="Calibri" w:cs="Tahoma"/>
        </w:rPr>
        <w:t>2</w:t>
      </w:r>
      <w:r w:rsidRPr="009C6EB6">
        <w:rPr>
          <w:rFonts w:eastAsia="Calibri" w:cs="Tahoma"/>
        </w:rPr>
        <w:t>: A survey will be distributed to all of the stewardship groups identified in Phase One.</w:t>
      </w:r>
    </w:p>
    <w:p w:rsidR="00E424A3" w:rsidRPr="00D514D7" w:rsidP="00D514D7" w14:paraId="25B29BF3" w14:textId="4C048104">
      <w:pPr>
        <w:widowControl w:val="0"/>
        <w:numPr>
          <w:ilvl w:val="0"/>
          <w:numId w:val="32"/>
        </w:numPr>
        <w:spacing w:after="200" w:line="240" w:lineRule="auto"/>
        <w:rPr>
          <w:rFonts w:eastAsia="Calibri" w:cs="Tahoma"/>
        </w:rPr>
      </w:pPr>
      <w:r w:rsidRPr="009C6EB6">
        <w:rPr>
          <w:rFonts w:eastAsia="Calibri" w:cs="Tahoma"/>
        </w:rPr>
        <w:t xml:space="preserve">Phase </w:t>
      </w:r>
      <w:r w:rsidR="00400A7D">
        <w:rPr>
          <w:rFonts w:eastAsia="Calibri" w:cs="Tahoma"/>
        </w:rPr>
        <w:t>3</w:t>
      </w:r>
      <w:r w:rsidRPr="009C6EB6">
        <w:rPr>
          <w:rFonts w:eastAsia="Calibri" w:cs="Tahoma"/>
        </w:rPr>
        <w:t>:</w:t>
      </w:r>
      <w:r w:rsidRPr="009C6EB6">
        <w:rPr>
          <w:rFonts w:eastAsia="Calibri" w:cs="Tahoma"/>
          <w:b/>
          <w:bCs/>
        </w:rPr>
        <w:t xml:space="preserve"> </w:t>
      </w:r>
      <w:r w:rsidRPr="009C6EB6">
        <w:rPr>
          <w:rFonts w:eastAsia="Calibri" w:cs="Tahoma"/>
        </w:rPr>
        <w:t>One-on-one interviews will be conducted with key or “hub” organizations to gather detailed information about their organization’s history. Hub organizations are the groups that other groups reach out to for resources (</w:t>
      </w:r>
      <w:r w:rsidR="00983847">
        <w:rPr>
          <w:rFonts w:eastAsia="Calibri" w:cs="Tahoma"/>
        </w:rPr>
        <w:t>such as</w:t>
      </w:r>
      <w:r w:rsidRPr="009C6EB6">
        <w:rPr>
          <w:rFonts w:eastAsia="Calibri" w:cs="Tahoma"/>
        </w:rPr>
        <w:t>, funding, information, collaboration, etc.). Some STEW-MAP projects will have the need and resources to conduct follow-up interviews to better understand the network of stewards and how it functions</w:t>
      </w:r>
      <w:sdt>
        <w:sdtPr>
          <w:rPr>
            <w:rFonts w:cs="Tahoma"/>
          </w:rPr>
          <w:tag w:val="goog_rdk_41"/>
          <w:id w:val="-844623878"/>
          <w:richText/>
        </w:sdtPr>
        <w:sdtContent>
          <w:r w:rsidRPr="009C6EB6">
            <w:rPr>
              <w:rFonts w:eastAsia="Calibri" w:cs="Tahoma"/>
            </w:rPr>
            <w:t>,</w:t>
          </w:r>
        </w:sdtContent>
      </w:sdt>
      <w:r w:rsidRPr="009C6EB6">
        <w:rPr>
          <w:rFonts w:eastAsia="Calibri" w:cs="Tahoma"/>
        </w:rPr>
        <w:t xml:space="preserve"> but such interviews are not required </w:t>
      </w:r>
      <w:r w:rsidRPr="009C6EB6" w:rsidR="00983847">
        <w:rPr>
          <w:rFonts w:eastAsia="Calibri" w:cs="Tahoma"/>
        </w:rPr>
        <w:t>to</w:t>
      </w:r>
      <w:r w:rsidRPr="009C6EB6">
        <w:rPr>
          <w:rFonts w:eastAsia="Calibri" w:cs="Tahoma"/>
        </w:rPr>
        <w:t xml:space="preserve"> make use of the stewardship data provided in Phase 2. </w:t>
      </w:r>
    </w:p>
    <w:p w:rsidR="02F533E1" w:rsidRPr="009C6EB6" w:rsidP="002A6B43" w14:paraId="2DB1E120" w14:textId="369CEDA5">
      <w:pPr>
        <w:tabs>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eastAsia="Calibri" w:cs="Tahoma"/>
        </w:rPr>
      </w:pPr>
      <w:r w:rsidRPr="009C6EB6">
        <w:rPr>
          <w:rFonts w:eastAsia="Calibri" w:cs="Tahoma"/>
        </w:rPr>
        <w:tab/>
      </w:r>
      <w:r w:rsidRPr="009C6EB6">
        <w:rPr>
          <w:rFonts w:eastAsia="Calibri" w:cs="Tahoma"/>
        </w:rPr>
        <w:t>Under the prior approval, STEW-MAP has been deployed or is in progress in several locations, including in the Bridger</w:t>
      </w:r>
      <w:r w:rsidR="00983847">
        <w:rPr>
          <w:rFonts w:eastAsia="Calibri" w:cs="Tahoma"/>
        </w:rPr>
        <w:t>-</w:t>
      </w:r>
      <w:r w:rsidRPr="009C6EB6">
        <w:rPr>
          <w:rFonts w:eastAsia="Calibri" w:cs="Tahoma"/>
        </w:rPr>
        <w:t>Teton National Forest region;</w:t>
      </w:r>
      <w:sdt>
        <w:sdtPr>
          <w:rPr>
            <w:rFonts w:cs="Tahoma"/>
          </w:rPr>
          <w:tag w:val="goog_rdk_1"/>
          <w:id w:val="1210281736"/>
          <w:richText/>
        </w:sdtPr>
        <w:sdtContent>
          <w:r w:rsidRPr="009C6EB6">
            <w:rPr>
              <w:rFonts w:cs="Tahoma"/>
            </w:rPr>
            <w:t xml:space="preserve"> Missouri (Mark Twain National Forest, St. Louis, and surrounding areas); the Colorado Front Range; Southwest Idaho; and La Paz, Mexico and forthcoming on the Superior National Forest</w:t>
          </w:r>
        </w:sdtContent>
      </w:sdt>
      <w:r w:rsidRPr="009C6EB6">
        <w:rPr>
          <w:rFonts w:eastAsia="Calibri" w:cs="Tahoma"/>
        </w:rPr>
        <w:t>. In general, we have learned a lot about partnerships and collaboration across landscapes from the previous STEW-MAP projects and published peer-reviewed articles, as well as reports.</w:t>
      </w:r>
      <w:sdt>
        <w:sdtPr>
          <w:rPr>
            <w:rFonts w:cs="Tahoma"/>
          </w:rPr>
          <w:tag w:val="goog_rdk_21"/>
          <w:id w:val="971768358"/>
          <w:richText/>
        </w:sdtPr>
        <w:sdtContent>
          <w:sdt>
            <w:sdtPr>
              <w:rPr>
                <w:rFonts w:cs="Tahoma"/>
              </w:rPr>
              <w:tag w:val="goog_rdk_21"/>
              <w:id w:val="1774528560"/>
              <w:richText/>
            </w:sdtPr>
            <w:sdtContent>
              <w:r w:rsidRPr="009C6EB6">
                <w:rPr>
                  <w:rFonts w:eastAsia="Calibri" w:cs="Tahoma"/>
                </w:rPr>
                <w:t xml:space="preserve"> We have also built </w:t>
              </w:r>
              <w:hyperlink w:history="1">
                <w:hyperlink r:id="rId11" w:history="1">
                  <w:r w:rsidRPr="009C6EB6">
                    <w:rPr>
                      <w:rStyle w:val="Hyperlink"/>
                      <w:rFonts w:eastAsia="Calibri" w:cs="Tahoma"/>
                    </w:rPr>
                    <w:t xml:space="preserve">new dashboards </w:t>
                  </w:r>
                  <w:r w:rsidRPr="009C6EB6">
                    <w:rPr>
                      <w:rStyle w:val="Hyperlink"/>
                      <w:rFonts w:cs="Tahoma"/>
                    </w:rPr>
                    <w:t xml:space="preserve">in Experience Builder </w:t>
                  </w:r>
                </w:hyperlink>
              </w:hyperlink>
              <w:r w:rsidRPr="009C6EB6">
                <w:rPr>
                  <w:rFonts w:eastAsia="Calibri" w:cs="Tahoma"/>
                </w:rPr>
                <w:t xml:space="preserve"> to share information with </w:t>
              </w:r>
              <w:r w:rsidR="00983847">
                <w:rPr>
                  <w:rFonts w:eastAsia="Calibri" w:cs="Tahoma"/>
                </w:rPr>
                <w:t>n</w:t>
              </w:r>
              <w:r w:rsidRPr="009C6EB6">
                <w:rPr>
                  <w:rFonts w:eastAsia="Calibri" w:cs="Tahoma"/>
                </w:rPr>
                <w:t xml:space="preserve">ational </w:t>
              </w:r>
              <w:r w:rsidR="00983847">
                <w:rPr>
                  <w:rFonts w:eastAsia="Calibri" w:cs="Tahoma"/>
                </w:rPr>
                <w:t>f</w:t>
              </w:r>
              <w:r w:rsidRPr="009C6EB6">
                <w:rPr>
                  <w:rFonts w:eastAsia="Calibri" w:cs="Tahoma"/>
                </w:rPr>
                <w:t xml:space="preserve">orest land </w:t>
              </w:r>
              <w:r w:rsidRPr="009C6EB6">
                <w:rPr>
                  <w:rFonts w:eastAsia="Calibri" w:cs="Tahoma"/>
                </w:rPr>
                <w:t>managers and the public.</w:t>
              </w:r>
            </w:sdtContent>
          </w:sdt>
        </w:sdtContent>
      </w:sdt>
      <w:r w:rsidRPr="009C6EB6">
        <w:rPr>
          <w:rFonts w:eastAsia="Calibri" w:cs="Tahoma"/>
        </w:rPr>
        <w:t xml:space="preserve"> In each case, our NFS staff, local partners, and the stewardship groups they work with have been enthusiastic about STEW-MAP and have indicated that it provides useful information that is not otherwise available to them in order to strengthen partnerships, recruit volunteers, and engage in more effective and efficient land management.</w:t>
      </w:r>
    </w:p>
    <w:p w:rsidR="00043564" w:rsidP="00E8224F" w14:paraId="3496DF6F" w14:textId="00DC8481">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E86967" w:rsidRPr="009C6EB6" w:rsidP="00B74957" w14:paraId="7BED845E" w14:textId="3D55B180">
      <w:pPr>
        <w:pStyle w:val="BodyTextIndent"/>
        <w:spacing w:after="240"/>
        <w:rPr>
          <w:rFonts w:eastAsia="Calibri" w:cs="Tahoma"/>
          <w:color w:val="auto"/>
        </w:rPr>
      </w:pPr>
      <w:r w:rsidRPr="009C6EB6">
        <w:rPr>
          <w:rFonts w:eastAsia="Calibri" w:cs="Tahoma"/>
          <w:color w:val="auto"/>
        </w:rPr>
        <w:t>In each region, information will be collected from the stewardship groups identified during Phase 1 (as described above). They will include</w:t>
      </w:r>
      <w:r w:rsidRPr="009C6EB6" w:rsidR="00B74957">
        <w:rPr>
          <w:rFonts w:eastAsia="Calibri" w:cs="Tahoma"/>
          <w:color w:val="auto"/>
        </w:rPr>
        <w:t xml:space="preserve"> </w:t>
      </w:r>
      <w:r w:rsidRPr="009C6EB6">
        <w:rPr>
          <w:rFonts w:eastAsia="Calibri" w:cs="Tahoma"/>
          <w:color w:val="auto"/>
        </w:rPr>
        <w:t xml:space="preserve">representatives from </w:t>
      </w:r>
      <w:r w:rsidR="00983847">
        <w:rPr>
          <w:rFonts w:eastAsia="Calibri" w:cs="Tahoma"/>
          <w:color w:val="auto"/>
        </w:rPr>
        <w:t>S</w:t>
      </w:r>
      <w:r w:rsidRPr="009C6EB6">
        <w:rPr>
          <w:rFonts w:eastAsia="Calibri" w:cs="Tahoma"/>
          <w:color w:val="auto"/>
        </w:rPr>
        <w:t>tate, local, and Tribal Governments, community groups, private sector, and non-profit organizations that perform stewardship activities in the targeted region.</w:t>
      </w:r>
    </w:p>
    <w:p w:rsidR="000952F6" w:rsidRPr="000952F6" w:rsidP="007C7B3F" w14:paraId="08DBCF62" w14:textId="77777777">
      <w:pPr>
        <w:pStyle w:val="ListNumber2"/>
      </w:pPr>
      <w:r w:rsidRPr="000952F6">
        <w:t>What will this information be used for? Provide ALL uses.</w:t>
      </w:r>
    </w:p>
    <w:p w:rsidR="00E86967" w:rsidRPr="009C6EB6" w:rsidP="08BCDF0E" w14:paraId="512E2110" w14:textId="41CF4825">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eastAsia="Calibri" w:cs="Tahoma"/>
        </w:rPr>
      </w:pPr>
      <w:r w:rsidRPr="009C6EB6">
        <w:rPr>
          <w:rFonts w:eastAsia="Calibri" w:cs="Tahoma"/>
        </w:rPr>
        <w:t xml:space="preserve">This information will be used to: </w:t>
      </w:r>
    </w:p>
    <w:p w:rsidR="00E86967" w:rsidRPr="009C6EB6" w:rsidP="00983847" w14:paraId="71B73DFF" w14:textId="475E1248">
      <w:pPr>
        <w:widowControl w:val="0"/>
        <w:numPr>
          <w:ilvl w:val="1"/>
          <w:numId w:val="3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60" w:line="240" w:lineRule="auto"/>
        <w:ind w:left="1350"/>
        <w:rPr>
          <w:rFonts w:eastAsia="Calibri" w:cs="Tahoma"/>
        </w:rPr>
      </w:pPr>
      <w:r w:rsidRPr="009C6EB6">
        <w:rPr>
          <w:rFonts w:eastAsia="Calibri" w:cs="Tahoma"/>
        </w:rPr>
        <w:t>Help planners, natural resource decision makers, land managers, and the general public work across property jurisdictions, management approaches, and land ownership boundaries when caring for natural areas and natural resources;</w:t>
      </w:r>
    </w:p>
    <w:p w:rsidR="002A6B43" w:rsidRPr="009C6EB6" w:rsidP="00983847" w14:paraId="3CCD944B" w14:textId="77777777">
      <w:pPr>
        <w:widowControl w:val="0"/>
        <w:numPr>
          <w:ilvl w:val="1"/>
          <w:numId w:val="3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60" w:line="240" w:lineRule="auto"/>
        <w:ind w:left="1350"/>
        <w:rPr>
          <w:rFonts w:eastAsia="Calibri" w:cs="Tahoma"/>
        </w:rPr>
      </w:pPr>
      <w:r w:rsidRPr="009C6EB6">
        <w:rPr>
          <w:rFonts w:eastAsia="Calibri" w:cs="Tahoma"/>
        </w:rPr>
        <w:t>Help civic stewardship groups and land management agencies conserve, protect, and manage natural resources more effectively</w:t>
      </w:r>
      <w:sdt>
        <w:sdtPr>
          <w:rPr>
            <w:rFonts w:cs="Tahoma"/>
          </w:rPr>
          <w:tag w:val="goog_rdk_42"/>
          <w:id w:val="1012804816"/>
          <w:richText/>
        </w:sdtPr>
        <w:sdtContent>
          <w:r w:rsidRPr="009C6EB6">
            <w:rPr>
              <w:rFonts w:eastAsia="Calibri" w:cs="Tahoma"/>
            </w:rPr>
            <w:t xml:space="preserve"> and efficiently</w:t>
          </w:r>
        </w:sdtContent>
      </w:sdt>
      <w:r w:rsidRPr="009C6EB6">
        <w:rPr>
          <w:rFonts w:eastAsia="Calibri" w:cs="Tahoma"/>
        </w:rPr>
        <w:t>;</w:t>
      </w:r>
    </w:p>
    <w:p w:rsidR="00E86967" w:rsidRPr="009C6EB6" w:rsidP="002A6B43" w14:paraId="43268683" w14:textId="66BEB25D">
      <w:pPr>
        <w:widowControl w:val="0"/>
        <w:numPr>
          <w:ilvl w:val="1"/>
          <w:numId w:val="3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350"/>
        <w:rPr>
          <w:rFonts w:eastAsia="Calibri" w:cs="Tahoma"/>
        </w:rPr>
      </w:pPr>
      <w:r w:rsidRPr="009C6EB6">
        <w:rPr>
          <w:rFonts w:eastAsia="Calibri" w:cs="Tahoma"/>
        </w:rPr>
        <w:t>Enhance local resource management efforts by helping public officials, land managers, and civic stewards connect to local stewardship groups</w:t>
      </w:r>
      <w:sdt>
        <w:sdtPr>
          <w:rPr>
            <w:rFonts w:cs="Tahoma"/>
          </w:rPr>
          <w:tag w:val="goog_rdk_43"/>
          <w:id w:val="2120175666"/>
          <w:richText/>
        </w:sdtPr>
        <w:sdtContent>
          <w:r w:rsidRPr="009C6EB6">
            <w:rPr>
              <w:rFonts w:eastAsia="Calibri" w:cs="Tahoma"/>
            </w:rPr>
            <w:t xml:space="preserve"> in all communities across all landscape</w:t>
          </w:r>
        </w:sdtContent>
      </w:sdt>
      <w:r w:rsidRPr="009C6EB6">
        <w:rPr>
          <w:rFonts w:eastAsia="Calibri" w:cs="Tahoma"/>
        </w:rPr>
        <w:t>.</w:t>
      </w:r>
    </w:p>
    <w:p w:rsidR="00E86967" w:rsidRPr="009C6EB6" w:rsidP="00983847" w14:paraId="6C3C73EC" w14:textId="1A67C228">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0"/>
        <w:rPr>
          <w:rFonts w:eastAsia="Calibri" w:cs="Tahoma"/>
        </w:rPr>
      </w:pPr>
      <w:r w:rsidRPr="009C6EB6">
        <w:rPr>
          <w:rFonts w:eastAsia="Calibri" w:cs="Tahoma"/>
        </w:rPr>
        <w:t>Because each STEW-MAP project is different, the stewardship information will be used in a wide variety of ways by the recipients of this information. For example, the information might be used to create or adapt public land management approaches. It might be used to help government officials and/or funders and/or land managers find and connect with stewardship groups and identify sources of volunteers. It might help stewardship groups find each other.  STEW-MAP data about groups working across the landscape can be used to support agency priorities in responsible recreation, rural economic development, and wildfire management</w:t>
      </w:r>
      <w:r w:rsidR="00D540FF">
        <w:rPr>
          <w:rFonts w:eastAsia="Calibri" w:cs="Tahoma"/>
        </w:rPr>
        <w:t xml:space="preserve"> through examining stewardship networks and spatial coverage by organizational focus and mission</w:t>
      </w:r>
      <w:r w:rsidRPr="009C6EB6">
        <w:rPr>
          <w:rFonts w:eastAsia="Calibri" w:cs="Tahoma"/>
        </w:rPr>
        <w:t>.</w:t>
      </w:r>
    </w:p>
    <w:p w:rsidR="00E86967" w:rsidRPr="009C6EB6" w:rsidP="009214B8" w14:paraId="66382755" w14:textId="6FD21625">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Further, d</w:t>
      </w:r>
      <w:r w:rsidRPr="009C6EB6">
        <w:rPr>
          <w:rFonts w:eastAsia="Calibri" w:cs="Tahoma"/>
        </w:rPr>
        <w:t xml:space="preserve">ata on environmental stewardship work is of interest to local land managers, decision makers, and stewardship organizations and also to the larger natural resource research community. Therefore, we will develop a report summarizing the data for decision makers and other stakeholders and also publish articles about our research methods and findings in professional peer-reviewed journals. </w:t>
      </w:r>
    </w:p>
    <w:p w:rsidR="00E86967" w:rsidRPr="009C6EB6" w:rsidP="009214B8" w14:paraId="130ED9B0" w14:textId="2D1503E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Geographic information will be used by the Forest Service to analyze the extent and distribution of stewardship activities across the region and conduct spatial analysis on stewardship work by different types of groups. The data will also be used to identify stewardship “hotspots” (places where many groups are working) and “gaps” (places where little to no stewardship is being done). The stewardship territories will be displayed on online maps and presented in meetings </w:t>
      </w:r>
      <w:r w:rsidRPr="009C6EB6">
        <w:rPr>
          <w:rFonts w:eastAsia="Calibri" w:cs="Tahoma"/>
        </w:rPr>
        <w:t xml:space="preserve">with stewards, local land managers, decision makers, and other interested stakeholders to show how stewardship work is distributed across the region. </w:t>
      </w:r>
    </w:p>
    <w:p w:rsidR="00E86967" w:rsidRPr="009C6EB6" w:rsidP="009214B8" w14:paraId="186E42A6" w14:textId="23EE023A">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Social networking data that stewardship groups provide about other groups that they go to for funding, information, and collaboration, as well as networks related to particular disturbances</w:t>
      </w:r>
      <w:r w:rsidRPr="009C6EB6" w:rsidR="00B74957">
        <w:rPr>
          <w:rFonts w:eastAsia="Calibri" w:cs="Tahoma"/>
        </w:rPr>
        <w:t xml:space="preserve">, </w:t>
      </w:r>
      <w:r w:rsidRPr="009C6EB6">
        <w:rPr>
          <w:rFonts w:eastAsia="Calibri" w:cs="Tahoma"/>
        </w:rPr>
        <w:t>will be used to complete a social network analysis of environmental stewardship in the region. Social network data highlights effective routes of communication and outreach among stewardship groups working in the same region</w:t>
      </w:r>
      <w:sdt>
        <w:sdtPr>
          <w:rPr>
            <w:rFonts w:cs="Tahoma"/>
          </w:rPr>
          <w:tag w:val="goog_rdk_47"/>
          <w:id w:val="-1040117328"/>
          <w:richText/>
        </w:sdtPr>
        <w:sdtContent>
          <w:r w:rsidRPr="009C6EB6">
            <w:rPr>
              <w:rFonts w:eastAsia="Calibri" w:cs="Tahoma"/>
            </w:rPr>
            <w:t xml:space="preserve"> and helps strengthen planning and adaptation -- including to disturbances such as wildfire</w:t>
          </w:r>
        </w:sdtContent>
      </w:sdt>
      <w:r w:rsidRPr="009C6EB6">
        <w:rPr>
          <w:rFonts w:eastAsia="Calibri" w:cs="Tahoma"/>
        </w:rPr>
        <w:t>. The analysis diagrams and findings will be made available online at the local STEW-MAP project website, presented to stewardship groups and decision makers in the project area, and may be published in professional journals.</w:t>
      </w:r>
    </w:p>
    <w:p w:rsidR="00E86967" w:rsidRPr="009C6EB6" w:rsidP="009214B8" w14:paraId="60FFEB88" w14:textId="62F25CFE">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Information gathered in follow-up interviews with key stewardship organizations (phase 3) will be used to gain a deeper understanding of the role(s) that these groups and organizations play in caring for natural resources in the city or region. The information will also be used to try to understand how successful stewardship groups are structured, how they operate, and what makes them effective. This analysis will be presented to local stewardship groups, made available in report form, and may be published in professional journals.</w:t>
      </w:r>
    </w:p>
    <w:p w:rsidR="00E86967" w:rsidRPr="000E01E9" w:rsidP="009214B8" w14:paraId="54A0E5D1" w14:textId="7B7E9080">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Bidi"/>
        </w:rPr>
      </w:pPr>
      <w:r w:rsidRPr="009C6EB6">
        <w:rPr>
          <w:rFonts w:eastAsia="Calibri" w:cs="Tahoma"/>
        </w:rPr>
        <w:t>Information gathered about civic stewardship groups and their activities will also be shared during meeting presentations with urban foresters, other natural resource managers, and other decision makers in accordance with the Cooperative Forestry Assistance Act of 1978’s mandate to “increase public understanding of the energy conservation, economic, social, environmental, and psychological values of trees and open space in urban and community environments and expand knowledge of the ecological relationships and benefits of trees and related resources in these environments” [Section 9(d)(5)].</w:t>
      </w:r>
    </w:p>
    <w:p w:rsidR="000952F6" w:rsidRP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023313" w:rsidRPr="0038337A" w:rsidP="004E763E" w14:paraId="71C09F24" w14:textId="492083F3">
      <w:pPr>
        <w:pStyle w:val="BodyText"/>
        <w:spacing w:after="60"/>
        <w:ind w:left="360"/>
        <w:rPr>
          <w:u w:val="single"/>
        </w:rPr>
      </w:pPr>
      <w:r w:rsidRPr="0038337A">
        <w:rPr>
          <w:u w:val="single"/>
        </w:rPr>
        <w:t>Electronic Capability</w:t>
      </w:r>
      <w:r w:rsidR="006F19A3">
        <w:rPr>
          <w:u w:val="single"/>
        </w:rPr>
        <w:t>:</w:t>
      </w:r>
    </w:p>
    <w:p w:rsidR="004B2848" w:rsidRPr="00023313" w:rsidP="004E763E" w14:paraId="431B670D" w14:textId="556B1265">
      <w:pPr>
        <w:pStyle w:val="BodyText"/>
        <w:spacing w:after="60"/>
        <w:ind w:left="360"/>
      </w:pPr>
      <w:r>
        <w:t xml:space="preserve">Is this collection available electronically?  Yes </w:t>
      </w:r>
      <w:sdt>
        <w:sdtPr>
          <w:rPr>
            <w:sz w:val="24"/>
            <w:szCs w:val="24"/>
          </w:rPr>
          <w:id w:val="216481748"/>
          <w14:checkbox>
            <w14:checked w14:val="1"/>
            <w14:checkedState w14:val="2612" w14:font="MS Gothic"/>
            <w14:uncheckedState w14:val="2610" w14:font="MS Gothic"/>
          </w14:checkbox>
        </w:sdtPr>
        <w:sdtContent>
          <w:r w:rsidRPr="39E667CE">
            <w:rPr>
              <w:rFonts w:ascii="MS Gothic" w:eastAsia="MS Gothic" w:hAnsi="MS Gothic" w:cs="MS Gothic"/>
              <w:sz w:val="24"/>
              <w:szCs w:val="24"/>
            </w:rPr>
            <w:t>☒</w:t>
          </w:r>
        </w:sdtContent>
      </w:sdt>
      <w:r>
        <w:t xml:space="preserve">  No </w:t>
      </w:r>
      <w:sdt>
        <w:sdtPr>
          <w:rPr>
            <w:sz w:val="24"/>
            <w:szCs w:val="24"/>
          </w:rPr>
          <w:id w:val="-799224642"/>
          <w14:checkbox>
            <w14:checked w14:val="0"/>
            <w14:checkedState w14:val="2612" w14:font="MS Gothic"/>
            <w14:uncheckedState w14:val="2610" w14:font="MS Gothic"/>
          </w14:checkbox>
        </w:sdtPr>
        <w:sdtContent>
          <w:r w:rsidRPr="39E667CE">
            <w:rPr>
              <w:rFonts w:ascii="MS Gothic" w:eastAsia="MS Gothic" w:hAnsi="MS Gothic" w:cs="MS Gothic"/>
              <w:sz w:val="24"/>
              <w:szCs w:val="24"/>
            </w:rPr>
            <w:t>☐</w:t>
          </w:r>
        </w:sdtContent>
      </w:sdt>
    </w:p>
    <w:p w:rsidR="004B2848" w:rsidRPr="00023313" w:rsidP="004E763E" w14:paraId="0D4D27E8" w14:textId="6F4AA5C1">
      <w:pPr>
        <w:pStyle w:val="BodyText"/>
        <w:spacing w:after="60"/>
        <w:ind w:left="360"/>
      </w:pPr>
      <w:r>
        <w:t xml:space="preserve">If yes, can this collection be submitted electronically?  Yes </w:t>
      </w:r>
      <w:sdt>
        <w:sdtPr>
          <w:rPr>
            <w:sz w:val="24"/>
            <w:szCs w:val="24"/>
          </w:rPr>
          <w:id w:val="1773971386"/>
          <w14:checkbox>
            <w14:checked w14:val="1"/>
            <w14:checkedState w14:val="2612" w14:font="MS Gothic"/>
            <w14:uncheckedState w14:val="2610" w14:font="MS Gothic"/>
          </w14:checkbox>
        </w:sdtPr>
        <w:sdtContent>
          <w:r w:rsidRPr="39E667CE">
            <w:rPr>
              <w:rFonts w:ascii="MS Gothic" w:eastAsia="MS Gothic" w:hAnsi="MS Gothic" w:cs="MS Gothic"/>
              <w:sz w:val="24"/>
              <w:szCs w:val="24"/>
            </w:rPr>
            <w:t>☒</w:t>
          </w:r>
        </w:sdtContent>
      </w:sdt>
      <w:r>
        <w:t xml:space="preserve">  No </w:t>
      </w:r>
      <w:sdt>
        <w:sdtPr>
          <w:rPr>
            <w:sz w:val="24"/>
            <w:szCs w:val="24"/>
          </w:rPr>
          <w:id w:val="1447428802"/>
          <w14:checkbox>
            <w14:checked w14:val="0"/>
            <w14:checkedState w14:val="2612" w14:font="MS Gothic"/>
            <w14:uncheckedState w14:val="2610" w14:font="MS Gothic"/>
          </w14:checkbox>
        </w:sdtPr>
        <w:sdtContent>
          <w:r w:rsidRPr="39E667CE">
            <w:rPr>
              <w:rFonts w:ascii="MS Gothic" w:eastAsia="MS Gothic" w:hAnsi="MS Gothic" w:cs="MS Gothic"/>
              <w:sz w:val="24"/>
              <w:szCs w:val="24"/>
            </w:rPr>
            <w:t>☐</w:t>
          </w:r>
        </w:sdtContent>
      </w:sdt>
    </w:p>
    <w:p w:rsidR="004B2848" w:rsidRPr="0038337A" w:rsidP="004E763E" w14:paraId="066E09CB" w14:textId="77777777">
      <w:pPr>
        <w:pStyle w:val="BodyText"/>
        <w:spacing w:after="60"/>
        <w:ind w:left="360"/>
      </w:pPr>
      <w:r w:rsidRPr="0038337A">
        <w:t>Each avenue of information collected will need to choose one of the descriptions below:</w:t>
      </w:r>
    </w:p>
    <w:p w:rsidR="004B2848" w:rsidRPr="0038337A" w:rsidP="004E763E" w14:paraId="467A5709" w14:textId="02D9C346">
      <w:pPr>
        <w:pStyle w:val="BodyText"/>
        <w:spacing w:after="60"/>
        <w:ind w:left="720"/>
      </w:pPr>
      <w:sdt>
        <w:sdtPr>
          <w:rPr>
            <w:sz w:val="24"/>
            <w:szCs w:val="24"/>
          </w:rPr>
          <w:id w:val="-363588701"/>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9D34B6">
        <w:rPr>
          <w:sz w:val="24"/>
          <w:szCs w:val="24"/>
        </w:rPr>
        <w:t xml:space="preserve"> </w:t>
      </w:r>
      <w:r w:rsidRPr="0038337A">
        <w:t>Fillable, Fileable</w:t>
      </w:r>
    </w:p>
    <w:p w:rsidR="004B2848" w:rsidRPr="0038337A" w:rsidP="004E763E" w14:paraId="5E69C724" w14:textId="7CA49609">
      <w:pPr>
        <w:pStyle w:val="BodyText"/>
        <w:spacing w:after="60"/>
        <w:ind w:left="720"/>
      </w:pPr>
      <w:sdt>
        <w:sdtPr>
          <w:rPr>
            <w:sz w:val="24"/>
            <w:szCs w:val="24"/>
          </w:rPr>
          <w:id w:val="1052884981"/>
          <w14:checkbox>
            <w14:checked w14:val="1"/>
            <w14:checkedState w14:val="2612" w14:font="MS Gothic"/>
            <w14:uncheckedState w14:val="2610" w14:font="MS Gothic"/>
          </w14:checkbox>
        </w:sdtPr>
        <w:sdtContent>
          <w:r w:rsidR="00900AB5">
            <w:rPr>
              <w:rFonts w:ascii="MS Gothic" w:eastAsia="MS Gothic" w:hAnsi="MS Gothic" w:cs="MS Gothic" w:hint="eastAsia"/>
              <w:sz w:val="24"/>
              <w:szCs w:val="24"/>
            </w:rPr>
            <w:t>☒</w:t>
          </w:r>
        </w:sdtContent>
      </w:sdt>
      <w:r w:rsidR="009D34B6">
        <w:rPr>
          <w:sz w:val="24"/>
          <w:szCs w:val="24"/>
        </w:rPr>
        <w:t xml:space="preserve"> </w:t>
      </w:r>
      <w:r w:rsidRPr="0038337A">
        <w:t>Fillable, Printable</w:t>
      </w:r>
    </w:p>
    <w:p w:rsidR="004B2848" w:rsidRPr="0038337A" w:rsidP="004E763E" w14:paraId="1B0985E0" w14:textId="5FC1C294">
      <w:pPr>
        <w:pStyle w:val="BodyText"/>
        <w:spacing w:after="60"/>
        <w:ind w:left="720"/>
      </w:pPr>
      <w:sdt>
        <w:sdtPr>
          <w:rPr>
            <w:sz w:val="24"/>
            <w:szCs w:val="24"/>
          </w:rPr>
          <w:id w:val="-1481387204"/>
          <w14:checkbox>
            <w14:checked w14:val="0"/>
            <w14:checkedState w14:val="2612" w14:font="MS Gothic"/>
            <w14:uncheckedState w14:val="2610" w14:font="MS Gothic"/>
          </w14:checkbox>
        </w:sdtPr>
        <w:sdtContent>
          <w:r w:rsidR="00363EE6">
            <w:rPr>
              <w:rFonts w:ascii="MS Gothic" w:eastAsia="MS Gothic" w:hAnsi="MS Gothic" w:cs="MS Gothic" w:hint="eastAsia"/>
              <w:sz w:val="24"/>
              <w:szCs w:val="24"/>
            </w:rPr>
            <w:t>☐</w:t>
          </w:r>
        </w:sdtContent>
      </w:sdt>
      <w:r w:rsidR="009D34B6">
        <w:rPr>
          <w:sz w:val="24"/>
          <w:szCs w:val="24"/>
        </w:rPr>
        <w:t xml:space="preserve"> </w:t>
      </w:r>
      <w:r w:rsidRPr="0038337A">
        <w:t>Fillable, Fileable, Signable</w:t>
      </w:r>
    </w:p>
    <w:p w:rsidR="004B2848" w:rsidRPr="0038337A" w:rsidP="004E763E" w14:paraId="57619507" w14:textId="1E9E4775">
      <w:pPr>
        <w:pStyle w:val="BodyText"/>
        <w:spacing w:after="60"/>
        <w:ind w:left="720"/>
      </w:pPr>
      <w:sdt>
        <w:sdtPr>
          <w:rPr>
            <w:sz w:val="24"/>
            <w:szCs w:val="24"/>
          </w:rPr>
          <w:id w:val="358320611"/>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Paper only</w:t>
      </w:r>
    </w:p>
    <w:p w:rsidR="004B2848" w:rsidRPr="0038337A" w:rsidP="004E763E" w14:paraId="559EFF4A" w14:textId="39281524">
      <w:pPr>
        <w:pStyle w:val="BodyText"/>
        <w:spacing w:after="60"/>
        <w:ind w:left="720"/>
      </w:pPr>
      <w:sdt>
        <w:sdtPr>
          <w:rPr>
            <w:sz w:val="24"/>
            <w:szCs w:val="24"/>
          </w:rPr>
          <w:id w:val="-1275317905"/>
          <w14:checkbox>
            <w14:checked w14:val="0"/>
            <w14:checkedState w14:val="2612" w14:font="MS Gothic"/>
            <w14:uncheckedState w14:val="2610" w14:font="MS Gothic"/>
          </w14:checkbox>
        </w:sdtPr>
        <w:sdtContent>
          <w:r w:rsidRPr="00363EE6" w:rsidR="00844F77">
            <w:rPr>
              <w:rFonts w:ascii="MS Gothic" w:eastAsia="MS Gothic" w:hAnsi="MS Gothic" w:cs="MS Gothic" w:hint="eastAsia"/>
              <w:sz w:val="24"/>
              <w:szCs w:val="24"/>
            </w:rPr>
            <w:t>☐</w:t>
          </w:r>
        </w:sdtContent>
      </w:sdt>
      <w:r w:rsidR="0027229D">
        <w:rPr>
          <w:sz w:val="24"/>
          <w:szCs w:val="24"/>
        </w:rPr>
        <w:t xml:space="preserve"> </w:t>
      </w:r>
      <w:r w:rsidRPr="0038337A">
        <w:t>Printable only</w:t>
      </w:r>
    </w:p>
    <w:p w:rsidR="004B2848" w:rsidP="39E667CE" w14:paraId="4FB49A3D" w14:textId="39A72689">
      <w:pPr>
        <w:pStyle w:val="BodyText"/>
        <w:ind w:left="360"/>
        <w:rPr>
          <w:rStyle w:val="Hyperlink"/>
        </w:rPr>
      </w:pPr>
      <w:r>
        <w:t xml:space="preserve">Include the Uniform Resource Locator (URL): </w:t>
      </w:r>
      <w:hyperlink r:id="rId12">
        <w:r w:rsidRPr="2115A7D5">
          <w:rPr>
            <w:rStyle w:val="Hyperlink"/>
          </w:rPr>
          <w:t>https://survey123.arcgis.com/share/7c63324e02a04d49a77b4a43cb29d6ca</w:t>
        </w:r>
      </w:hyperlink>
    </w:p>
    <w:p w:rsidR="004205DD" w:rsidRPr="009C6EB6" w:rsidP="009C6EB6" w14:paraId="35C03BBD" w14:textId="192AA29F">
      <w:pPr>
        <w:tabs>
          <w:tab w:val="left" w:pos="360"/>
        </w:tabs>
        <w:ind w:left="360"/>
        <w:rPr>
          <w:rFonts w:eastAsia="Calibri" w:cs="Tahoma"/>
        </w:rPr>
      </w:pPr>
      <w:r w:rsidRPr="009C6EB6">
        <w:rPr>
          <w:rFonts w:eastAsia="Calibri" w:cs="Tahoma"/>
        </w:rPr>
        <w:t>Phase 1a</w:t>
      </w:r>
      <w:r w:rsidRPr="009C6EB6">
        <w:rPr>
          <w:rFonts w:eastAsia="Calibri" w:cs="Tahoma"/>
        </w:rPr>
        <w:t xml:space="preserve"> </w:t>
      </w:r>
      <w:r w:rsidRPr="009C6EB6">
        <w:rPr>
          <w:rFonts w:eastAsia="Calibri" w:cs="Tahoma"/>
        </w:rPr>
        <w:t>(Census) will involve asking large stewardship organizations and local government agencies in person or by email to share existing</w:t>
      </w:r>
      <w:r w:rsidRPr="009C6EB6">
        <w:rPr>
          <w:rFonts w:eastAsia="Calibri" w:cs="Tahoma"/>
          <w:i/>
          <w:iCs/>
        </w:rPr>
        <w:t xml:space="preserve"> </w:t>
      </w:r>
      <w:r w:rsidRPr="009C6EB6">
        <w:rPr>
          <w:rFonts w:eastAsia="Calibri" w:cs="Tahoma"/>
        </w:rPr>
        <w:t xml:space="preserve">contact lists of the stewardship organizations that they work with or know of. Online research </w:t>
      </w:r>
      <w:r w:rsidRPr="009C6EB6" w:rsidR="00152BC9">
        <w:rPr>
          <w:rFonts w:eastAsia="Calibri" w:cs="Tahoma"/>
        </w:rPr>
        <w:t xml:space="preserve">is </w:t>
      </w:r>
      <w:r w:rsidRPr="009C6EB6">
        <w:rPr>
          <w:rFonts w:eastAsia="Calibri" w:cs="Tahoma"/>
        </w:rPr>
        <w:t xml:space="preserve">done to identify additional organizations. </w:t>
      </w:r>
    </w:p>
    <w:p w:rsidR="00E86967" w:rsidRPr="009C6EB6" w:rsidP="009C6EB6" w14:paraId="50BA40AA" w14:textId="6E8F483C">
      <w:pPr>
        <w:tabs>
          <w:tab w:val="left" w:pos="360"/>
        </w:tabs>
        <w:ind w:left="360"/>
        <w:rPr>
          <w:rFonts w:eastAsia="Calibri" w:cs="Tahoma"/>
        </w:rPr>
      </w:pPr>
      <w:r w:rsidRPr="009C6EB6">
        <w:rPr>
          <w:rFonts w:eastAsia="Calibri" w:cs="Tahoma"/>
        </w:rPr>
        <w:t xml:space="preserve">Phase 1b (focus groups - optional) </w:t>
      </w:r>
      <w:r w:rsidRPr="009C6EB6" w:rsidR="2D17780D">
        <w:rPr>
          <w:rFonts w:eastAsia="Calibri" w:cs="Tahoma"/>
        </w:rPr>
        <w:t xml:space="preserve">will </w:t>
      </w:r>
      <w:bookmarkStart w:id="0" w:name="_Hlk195087236"/>
      <w:r w:rsidRPr="009C6EB6" w:rsidR="2D17780D">
        <w:rPr>
          <w:rFonts w:eastAsia="Calibri" w:cs="Tahoma"/>
        </w:rPr>
        <w:t>involve</w:t>
      </w:r>
      <w:r w:rsidRPr="009C6EB6">
        <w:rPr>
          <w:rFonts w:eastAsia="Calibri" w:cs="Tahoma"/>
        </w:rPr>
        <w:t xml:space="preserve"> inviting representatives of key stewardship organizations to participate in focus groups (8 to 12 people) and asking them to identify additional organizations and their contact information via chain referral. </w:t>
      </w:r>
      <w:bookmarkEnd w:id="0"/>
      <w:r w:rsidRPr="009C6EB6">
        <w:rPr>
          <w:rFonts w:eastAsia="Calibri" w:cs="Tahoma"/>
        </w:rPr>
        <w:t xml:space="preserve">Online research </w:t>
      </w:r>
      <w:r w:rsidRPr="009C6EB6" w:rsidR="2D17780D">
        <w:rPr>
          <w:rFonts w:eastAsia="Calibri" w:cs="Tahoma"/>
        </w:rPr>
        <w:t>will also be</w:t>
      </w:r>
      <w:r w:rsidRPr="009C6EB6">
        <w:rPr>
          <w:rFonts w:eastAsia="Calibri" w:cs="Tahoma"/>
        </w:rPr>
        <w:t xml:space="preserve"> done to identify additional organizations if Phase 1b is conducted separately. Depending upon the STEW-MAP location, Phase 1a, Phase 1b, or both Phases 1a and 1b may be implemented to develop the survey frame for Phase 2.</w:t>
      </w:r>
    </w:p>
    <w:p w:rsidR="00E86967" w:rsidRPr="009C6EB6" w:rsidP="009C6EB6" w14:paraId="4CEC5A19" w14:textId="37249FF8">
      <w:pPr>
        <w:tabs>
          <w:tab w:val="left" w:pos="360"/>
        </w:tabs>
        <w:ind w:left="360"/>
        <w:rPr>
          <w:rFonts w:eastAsia="Calibri" w:cs="Tahoma"/>
        </w:rPr>
      </w:pPr>
      <w:r w:rsidRPr="009C6EB6">
        <w:rPr>
          <w:rFonts w:eastAsia="Calibri" w:cs="Tahoma"/>
        </w:rPr>
        <w:t>In Phase 2</w:t>
      </w:r>
      <w:r w:rsidRPr="009C6EB6" w:rsidR="004205DD">
        <w:rPr>
          <w:rFonts w:eastAsia="Calibri" w:cs="Tahoma"/>
        </w:rPr>
        <w:t xml:space="preserve"> </w:t>
      </w:r>
      <w:r w:rsidRPr="009C6EB6">
        <w:rPr>
          <w:rFonts w:eastAsia="Calibri" w:cs="Tahoma"/>
        </w:rPr>
        <w:t xml:space="preserve">(Survey), all of the stewardship groups identified in Phase </w:t>
      </w:r>
      <w:r w:rsidR="00400A7D">
        <w:rPr>
          <w:rFonts w:eastAsia="Calibri" w:cs="Tahoma"/>
        </w:rPr>
        <w:t>1</w:t>
      </w:r>
      <w:r w:rsidRPr="009C6EB6" w:rsidR="00400A7D">
        <w:rPr>
          <w:rFonts w:eastAsia="Calibri" w:cs="Tahoma"/>
        </w:rPr>
        <w:t xml:space="preserve"> </w:t>
      </w:r>
      <w:r w:rsidRPr="009C6EB6">
        <w:rPr>
          <w:rFonts w:eastAsia="Calibri" w:cs="Tahoma"/>
        </w:rPr>
        <w:t xml:space="preserve">will be asked to complete an online survey. Stewardship group representatives will be sent an email invitation with a link to participate in an online survey. Alternatively, paper copies of the survey will be provided to anyone who does not have Internet access or is not comfortable using the online survey. It is also possible for respondents to speak to a researcher by phone to answer the survey questions. </w:t>
      </w:r>
    </w:p>
    <w:p w:rsidR="00E86967" w:rsidRPr="009C6EB6" w:rsidP="009C6EB6" w14:paraId="702B18A5" w14:textId="098C8582">
      <w:pPr>
        <w:tabs>
          <w:tab w:val="left" w:pos="360"/>
        </w:tabs>
        <w:ind w:left="360"/>
        <w:rPr>
          <w:rFonts w:eastAsia="Calibri" w:cs="Tahoma"/>
        </w:rPr>
      </w:pPr>
      <w:r w:rsidRPr="009C6EB6">
        <w:rPr>
          <w:rFonts w:eastAsia="Calibri" w:cs="Tahoma"/>
        </w:rPr>
        <w:t xml:space="preserve">Phase 3 (Follow-up Interviews - optional) involves in-person or, if necessary, </w:t>
      </w:r>
      <w:sdt>
        <w:sdtPr>
          <w:rPr>
            <w:rFonts w:cs="Tahoma"/>
          </w:rPr>
          <w:tag w:val="goog_rdk_48"/>
          <w:id w:val="-949465332"/>
          <w:richText/>
        </w:sdtPr>
        <w:sdtContent>
          <w:r w:rsidRPr="009C6EB6">
            <w:rPr>
              <w:rFonts w:eastAsia="Calibri" w:cs="Tahoma"/>
            </w:rPr>
            <w:t>video conference</w:t>
          </w:r>
          <w:sdt>
            <w:sdtPr>
              <w:rPr>
                <w:rFonts w:cs="Tahoma"/>
              </w:rPr>
              <w:tag w:val="goog_rdk_48"/>
              <w:id w:val="1764340791"/>
              <w:richText/>
            </w:sdtPr>
            <w:sdtContent>
              <w:r w:rsidRPr="009C6EB6">
                <w:rPr>
                  <w:rFonts w:eastAsia="Calibri" w:cs="Tahoma"/>
                </w:rPr>
                <w:t xml:space="preserve"> or </w:t>
              </w:r>
            </w:sdtContent>
          </w:sdt>
        </w:sdtContent>
      </w:sdt>
      <w:r w:rsidRPr="009C6EB6">
        <w:rPr>
          <w:rFonts w:eastAsia="Calibri" w:cs="Tahoma"/>
        </w:rPr>
        <w:t xml:space="preserve">over-the-phone interviews of leaders from key stewardship groups identified in Phase 2. These interviews </w:t>
      </w:r>
      <w:r w:rsidRPr="009C6EB6" w:rsidR="2D17780D">
        <w:rPr>
          <w:rFonts w:eastAsia="Calibri" w:cs="Tahoma"/>
        </w:rPr>
        <w:t>will be</w:t>
      </w:r>
      <w:r w:rsidRPr="009C6EB6">
        <w:rPr>
          <w:rFonts w:eastAsia="Calibri" w:cs="Tahoma"/>
        </w:rPr>
        <w:t xml:space="preserve"> recorded with the interviewee’s permission and later transcribed and analyzed.</w:t>
      </w:r>
    </w:p>
    <w:p w:rsidR="00C0791B" w:rsidRPr="00C0791B" w:rsidP="006D4140" w14:paraId="5D79CAB2" w14:textId="77777777">
      <w:pPr>
        <w:pStyle w:val="ListNumber2"/>
      </w:pPr>
      <w:r w:rsidRPr="00C0791B">
        <w:t>How frequently will the information be collected?</w:t>
      </w:r>
    </w:p>
    <w:p w:rsidR="00E86967" w:rsidRPr="009C6EB6" w:rsidP="00211A03" w14:paraId="58060152" w14:textId="24AA4D92">
      <w:pPr>
        <w:tabs>
          <w:tab w:val="left" w:pos="720"/>
        </w:tabs>
        <w:ind w:left="360"/>
        <w:rPr>
          <w:rFonts w:eastAsia="Calibri" w:cs="Tahoma"/>
        </w:rPr>
      </w:pPr>
      <w:r w:rsidRPr="009C6EB6">
        <w:rPr>
          <w:rFonts w:eastAsia="Calibri" w:cs="Tahoma"/>
        </w:rPr>
        <w:t>The information will initially be collected one time in each location. Ideally, data collection will then be repeated every 5-10 years so that stewardship groups can update their information and additional groups can have an opportunity to participate. For research purposes, collecting the information every 5-10 years allows analysis of how stewardship organizations and stewardship patterns change over time. STEW-MAP locations may elect to conduct yearly updates or hold open seasons where surveys are collected more often than every 5-10 years, to give initial nonrespondents an opportunity to reply. We estimate that these yearly/open season updates would add no more than 10% of the total number of responses at a give</w:t>
      </w:r>
      <w:r w:rsidRPr="009C6EB6" w:rsidR="00211A03">
        <w:rPr>
          <w:rFonts w:eastAsia="Calibri" w:cs="Tahoma"/>
        </w:rPr>
        <w:t>n time.</w:t>
      </w:r>
    </w:p>
    <w:p w:rsidR="00C0791B" w:rsidRPr="00C0791B" w:rsidP="006D4140" w14:paraId="5DB3B0EB" w14:textId="77777777">
      <w:pPr>
        <w:pStyle w:val="ListNumber2"/>
      </w:pPr>
      <w:r w:rsidRPr="00C0791B">
        <w:t>Will the information be shared with any other organizations inside or outside USDA or the government?</w:t>
      </w:r>
    </w:p>
    <w:p w:rsidR="00E86967" w:rsidRPr="009C6EB6" w:rsidP="00211A03" w14:paraId="15FEA34E" w14:textId="78ED0D1C">
      <w:pPr>
        <w:tabs>
          <w:tab w:val="left" w:pos="720"/>
        </w:tabs>
        <w:ind w:left="360"/>
        <w:rPr>
          <w:rFonts w:eastAsia="Calibri" w:cs="Tahoma"/>
        </w:rPr>
      </w:pPr>
      <w:r w:rsidRPr="009C6EB6">
        <w:rPr>
          <w:rFonts w:eastAsia="Calibri" w:cs="Tahoma"/>
        </w:rPr>
        <w:t xml:space="preserve">This information will be published on various websites for anyone to access. Each respondent can indicate on their survey whether or not they want the information they provide to be publicly available when the survey is completed and the results are published online. Only organization-level information, not information about individuals, will be made available online. </w:t>
      </w:r>
    </w:p>
    <w:p w:rsidR="00C0791B" w:rsidRPr="00C0791B" w:rsidP="006D4140" w14:paraId="2B524C8E" w14:textId="77777777">
      <w:pPr>
        <w:pStyle w:val="ListNumber2"/>
      </w:pPr>
      <w:r w:rsidRPr="00C0791B">
        <w:t>If this is an ongoing collection, how have the collection requirements changed over time?</w:t>
      </w:r>
    </w:p>
    <w:p w:rsidR="002A6B43" w:rsidRPr="009C6EB6" w:rsidP="002A6B43" w14:paraId="4EA6C2B7" w14:textId="77777777">
      <w:pPr>
        <w:pStyle w:val="BodyTextIndent"/>
        <w:rPr>
          <w:rFonts w:eastAsia="Calibri" w:cs="Tahoma"/>
          <w:color w:val="auto"/>
        </w:rPr>
      </w:pPr>
      <w:r w:rsidRPr="009C6EB6">
        <w:rPr>
          <w:rFonts w:eastAsia="Calibri" w:cs="Tahoma"/>
          <w:color w:val="auto"/>
        </w:rPr>
        <w:t xml:space="preserve">This is a renewal Information Collection for the Agency. STEW-MAP assessments have been conducted in multiple locations by National Forest System staff, university, local government, and nongovernmental organizations conducting research in consultation with Forest Service scientists working in those areas. </w:t>
      </w:r>
    </w:p>
    <w:p w:rsidR="002A6B43" w:rsidRPr="009C6EB6" w:rsidP="002A6B43" w14:paraId="5FC312C7" w14:textId="77777777">
      <w:pPr>
        <w:pStyle w:val="BodyTextIndent"/>
        <w:rPr>
          <w:rFonts w:cs="Tahoma"/>
          <w:color w:val="auto"/>
        </w:rPr>
      </w:pPr>
      <w:r w:rsidRPr="009C6EB6">
        <w:rPr>
          <w:rFonts w:eastAsia="Calibri" w:cs="Tahoma"/>
          <w:color w:val="auto"/>
        </w:rPr>
        <w:t>We have adjusted the survey over time based on our experience implementing the survey previously.</w:t>
      </w:r>
      <w:sdt>
        <w:sdtPr>
          <w:rPr>
            <w:rFonts w:cs="Tahoma"/>
            <w:color w:val="auto"/>
          </w:rPr>
          <w:tag w:val="goog_rdk_26"/>
          <w:id w:val="1034631066"/>
          <w:richText/>
        </w:sdtPr>
        <w:sdtContent>
          <w:r w:rsidRPr="009C6EB6">
            <w:rPr>
              <w:rFonts w:eastAsia="Calibri" w:cs="Tahoma"/>
              <w:color w:val="auto"/>
            </w:rPr>
            <w:t xml:space="preserve"> We streamlined the survey by removing questions about respondent’s perceptions of the impacts of policies and programs. This substantially cuts down on the cognitive load for respondents. Based on our research on wildfire adaptation and governance, in Idaho and Colorado we have added questions about the perception of collaborative processes and collaborative outcomes. These questions have been vetted across multiple surveys about wildfire adaptation led by the Co-Management of Fire Risk Transmission (CoMFRT) team and have been harmonized with the STEW-MAP approach and will provide key insights on the outcomes of cross-sector partnerships. We continue to track organizational network data describing collaboration (partnership), resources, and knowledge; and disturbances, and also whether partners have a formal agreement or not.  We updated formatting of these network questions as a matrix with tick boxes as it appears in Survey123, which eases the burden or response time.</w:t>
          </w:r>
        </w:sdtContent>
      </w:sdt>
    </w:p>
    <w:p w:rsidR="155BA2A3" w:rsidRPr="009C6EB6" w:rsidP="002A6B43" w14:paraId="72241870" w14:textId="5E34A98B">
      <w:pPr>
        <w:pStyle w:val="BodyTextIndent"/>
        <w:rPr>
          <w:rFonts w:eastAsia="Calibri" w:cs="Tahoma"/>
          <w:color w:val="auto"/>
        </w:rPr>
      </w:pPr>
      <w:r w:rsidRPr="009C6EB6">
        <w:rPr>
          <w:rFonts w:eastAsia="Calibri" w:cs="Tahoma"/>
          <w:color w:val="auto"/>
        </w:rPr>
        <w:t>The STEW-MAP survey instruments used in each case were essentially the same with minor adjustments in wording for clarification and changes to the geographic questions to reflect specific local geography. STEW-MAP collection instruments for new regions have typically added specificity or subtracted questions, based on local relevance, but all possible questions are contained in the submitted appendices. For certain questions on the survey, we may make minor changes to make the survey applicable to certain groups/locations. For example, the following question "in the last year, what sites has your group’s stewardship work focused on" may be modified to include a locally relevant list of site types, including those of specific relevance to National Forest System managers.</w:t>
      </w:r>
    </w:p>
    <w:p w:rsidR="00E86967" w:rsidRPr="009C6EB6" w:rsidP="67477854" w14:paraId="6AF43AEB" w14:textId="0CCAC87C">
      <w:pPr>
        <w:pStyle w:val="BodyTextIndent"/>
        <w:rPr>
          <w:rFonts w:eastAsia="Calibri" w:cs="Tahoma"/>
          <w:color w:val="auto"/>
        </w:rPr>
      </w:pPr>
      <w:r w:rsidRPr="009C6EB6">
        <w:rPr>
          <w:rFonts w:eastAsia="Calibri" w:cs="Tahoma"/>
          <w:color w:val="auto"/>
        </w:rPr>
        <w:t>Some burden hour estimates have been adjusted since the prior approval. There is a slight increase in overall burden hours per project, due to the addition of the optional (1b) focus group protocol. For this approval, we’ve estimated an average of 8 different STEW-MAP projects per year, based on our experience with the prior renewal. Therefore, overall burden hours have not increased.</w:t>
      </w:r>
    </w:p>
    <w:p w:rsidR="009B16C5" w:rsidRPr="009B16C5" w:rsidP="009B16C5"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E86967" w:rsidRPr="009C6EB6" w:rsidP="00FD0635" w14:paraId="38E8F6D5" w14:textId="56E17629">
      <w:pPr>
        <w:tabs>
          <w:tab w:val="left" w:pos="630"/>
        </w:tabs>
        <w:rPr>
          <w:rFonts w:eastAsia="Calibri" w:cs="Tahoma"/>
        </w:rPr>
      </w:pPr>
      <w:r w:rsidRPr="009C6EB6">
        <w:rPr>
          <w:rFonts w:eastAsia="Calibri" w:cs="Tahoma"/>
        </w:rPr>
        <w:t xml:space="preserve">The survey will be conducted primarily online. Paper copies of the survey will also be made available for anyone who does not have Internet access or requests a paper copy. In rare cases, respondents may speak to a researcher by phone to answer the survey questions.  Information provided on paper surveys or over the phone will be entered into the online survey </w:t>
      </w:r>
      <w:r w:rsidRPr="009C6EB6">
        <w:rPr>
          <w:rFonts w:eastAsia="Calibri" w:cs="Tahoma"/>
        </w:rPr>
        <w:t>by a member of the research team on behalf of the respondent so that all of the survey data is in the same electronic database.</w:t>
      </w:r>
      <w:r w:rsidRPr="009C6EB6" w:rsidR="006017F7">
        <w:rPr>
          <w:rFonts w:eastAsia="Calibri" w:cs="Tahoma"/>
        </w:rPr>
        <w:t xml:space="preserve"> In general, we have found that digital survey reduce</w:t>
      </w:r>
      <w:r w:rsidRPr="009C6EB6" w:rsidR="00B74957">
        <w:rPr>
          <w:rFonts w:eastAsia="Calibri" w:cs="Tahoma"/>
        </w:rPr>
        <w:t>s</w:t>
      </w:r>
      <w:r w:rsidRPr="009C6EB6" w:rsidR="006017F7">
        <w:rPr>
          <w:rFonts w:eastAsia="Calibri" w:cs="Tahoma"/>
        </w:rPr>
        <w:t xml:space="preserve"> the burden </w:t>
      </w:r>
      <w:r w:rsidRPr="009C6EB6" w:rsidR="00192BAC">
        <w:rPr>
          <w:rFonts w:eastAsia="Calibri" w:cs="Tahoma"/>
        </w:rPr>
        <w:t xml:space="preserve">to respondents. </w:t>
      </w:r>
      <w:r w:rsidRPr="009C6EB6" w:rsidR="00066B9C">
        <w:rPr>
          <w:rFonts w:eastAsia="Calibri" w:cs="Tahoma"/>
        </w:rPr>
        <w:t>Final results will be made available via the STEW-MAP website as well as Forest Service reports.</w:t>
      </w:r>
    </w:p>
    <w:p w:rsidR="00A23B00" w:rsidRPr="00A23B00" w:rsidP="00A23B00"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E86967" w:rsidRPr="009C6EB6" w:rsidP="00211A03" w14:paraId="69B7EA67" w14:textId="4FE3A27D">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As stated in question 2g above, STEW-MAP assessments have been conducted in multiple locations with Forest Service researchers acting as consultants and technical advisors. In all cases, there were no other systematic efforts to collect the kind of detailed information about local stewardship that STEW-MAP provides. We expect this to be the case as additional STEW-MAP assessments are conducted in other locations. </w:t>
      </w:r>
      <w:r w:rsidRPr="009C6EB6" w:rsidR="00192BAC">
        <w:rPr>
          <w:rFonts w:eastAsia="Calibri" w:cs="Tahoma"/>
        </w:rPr>
        <w:t>Further, as noted above, the stewardship collaborative landscape is highly dynamic, which is why many previous STEW-MAP regions are interested in repeating the process after 5 or 10 years.</w:t>
      </w:r>
    </w:p>
    <w:p w:rsidR="00E86967" w:rsidRPr="009C6EB6" w:rsidP="67477854" w14:paraId="081F4059" w14:textId="3FAD185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All of the researchers already connected with STEW-MAP (both in Forest Service and at partner organizations) have an active professional interest in civic environmental stewardship and keep abreast of the professional literature on this topic. None of the existing articles and books on civic environmental stewardship are connected to systematic, science-based efforts to collect detailed original data on local civic stewardship groups in the United States. Andrews and Edwards (2005) surveyed local environmental groups in North Carolina to see how the groups were structured and what they worked on; however, they focused mainly on formal stewardship groups (such as local affiliates of national organizations), did not map the groups’ geographic stewardship areas (‘turfs’), did not conduct a network analysis of ties between the groups, and focused on “environmentalism” meaning environmental advocacy more than on-the-ground stewardship.</w:t>
      </w:r>
    </w:p>
    <w:p w:rsidR="00B74957" w:rsidRPr="009C6EB6" w:rsidP="00211A03" w14:paraId="03821B04" w14:textId="26A43184">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We thoroughly searched the OMB OIRA database for similar information collections that have been submitted for OMB review by </w:t>
      </w:r>
      <w:r w:rsidR="00602965">
        <w:rPr>
          <w:rFonts w:eastAsia="Calibri" w:cs="Tahoma"/>
        </w:rPr>
        <w:t>F</w:t>
      </w:r>
      <w:r w:rsidRPr="009C6EB6">
        <w:rPr>
          <w:rFonts w:eastAsia="Calibri" w:cs="Tahoma"/>
        </w:rPr>
        <w:t xml:space="preserve">ederal agencies. We searched Forest Service, National Park Service, Bureau of Land Management, </w:t>
      </w:r>
      <w:r w:rsidR="00602965">
        <w:rPr>
          <w:rFonts w:eastAsia="Calibri" w:cs="Tahoma"/>
        </w:rPr>
        <w:t xml:space="preserve">U.S. </w:t>
      </w:r>
      <w:r w:rsidRPr="009C6EB6">
        <w:rPr>
          <w:rFonts w:eastAsia="Calibri" w:cs="Tahoma"/>
        </w:rPr>
        <w:t>Fish &amp; Wildlife Service, and Environmental Protection Agency surveys because these agencies have natural resource management or environment-focused missions. We used the search terms “volunteer,” “stewardship,” and “trees.” We found no information collections that collect comparable data.</w:t>
      </w:r>
    </w:p>
    <w:p w:rsidR="00A23B00" w:rsidRPr="00B74957" w:rsidP="00B74957" w14:paraId="377834F8" w14:textId="7785463B">
      <w:pPr>
        <w:pStyle w:val="ListNumber"/>
        <w:tabs>
          <w:tab w:val="num" w:pos="36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hanging="360"/>
        <w:rPr>
          <w:rFonts w:eastAsia="Calibri" w:asciiTheme="majorHAnsi" w:hAnsiTheme="majorHAnsi" w:cstheme="majorHAnsi"/>
        </w:rPr>
      </w:pPr>
      <w:r w:rsidRPr="00A23B00">
        <w:t>If the collection of information impacts small businesses or other small entities, Describe any methods used to minimize burden.</w:t>
      </w:r>
    </w:p>
    <w:p w:rsidR="00095DB3" w:rsidRPr="009C6EB6" w:rsidP="00095DB3" w14:paraId="622F70E6"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Style w:val="BodyText3Char"/>
          <w:rFonts w:eastAsiaTheme="minorEastAsia" w:cs="Tahoma"/>
          <w:color w:val="auto"/>
        </w:rPr>
      </w:pPr>
      <w:r w:rsidRPr="009C6EB6">
        <w:rPr>
          <w:rStyle w:val="BodyText3Char"/>
          <w:rFonts w:eastAsiaTheme="minorEastAsia" w:cs="Tahoma"/>
          <w:color w:val="auto"/>
        </w:rPr>
        <w:t xml:space="preserve">This collection of information does not identify any small businesses as the affected public. </w:t>
      </w:r>
    </w:p>
    <w:p w:rsidR="00E86967" w:rsidRPr="009C6EB6" w:rsidP="00095DB3" w14:paraId="26D07545" w14:textId="55C61719">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Style w:val="BodyText3Char"/>
          <w:rFonts w:eastAsiaTheme="minorEastAsia" w:cs="Tahoma"/>
        </w:rPr>
      </w:pPr>
      <w:r w:rsidRPr="009C6EB6">
        <w:rPr>
          <w:rFonts w:eastAsia="Calibri" w:cs="Tahoma"/>
        </w:rPr>
        <w:t xml:space="preserve">Small nonprofit or informal community groups that do environmental stewardship work are part of the target population for STEW-MAP. We have made every effort to keep the survey as short as possible, use uncomplicated wording for each question, provide clear response instructions, and ask only questions that have clear research and application value. The survey questions are designed such that someone in a leadership role with a stewardship group will not have to research their responses. The online survey eases some response burden by allowing participants to stop completing the survey if they run out of time or are interrupted and return </w:t>
      </w:r>
      <w:r w:rsidRPr="009C6EB6">
        <w:rPr>
          <w:rFonts w:eastAsia="Calibri" w:cs="Tahoma"/>
        </w:rPr>
        <w:t>at a later time to continue. We have also tried to reduce the response burden by allowing participants to complete the survey on paper or by phone.</w:t>
      </w:r>
    </w:p>
    <w:p w:rsidR="0087495A" w:rsidP="007224F7" w14:paraId="6A72083F" w14:textId="32D70331">
      <w:pPr>
        <w:pStyle w:val="ListNumber"/>
      </w:pPr>
      <w:r>
        <w:t>Describe the consequence to Federal program or policy activities if the collection is not conducted or is conducted less frequently, as well as any technical or legal obstacles to reducing burden.</w:t>
      </w:r>
    </w:p>
    <w:p w:rsidR="00E86967" w:rsidRPr="009C6EB6" w:rsidP="00095DB3" w14:paraId="78CF8D49" w14:textId="1AA4A79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The Forest Service’s mission includes care of the </w:t>
      </w:r>
      <w:r w:rsidR="00217674">
        <w:rPr>
          <w:rFonts w:eastAsia="Calibri" w:cs="Tahoma"/>
        </w:rPr>
        <w:t>N</w:t>
      </w:r>
      <w:r w:rsidRPr="009C6EB6">
        <w:rPr>
          <w:rFonts w:eastAsia="Calibri" w:cs="Tahoma"/>
        </w:rPr>
        <w:t xml:space="preserve">ation’s forests. Another part of the mission is to provide technical assistance to municipalities, states, and nongovernmental organizations regarding stewardship of natural resources.  Care of the </w:t>
      </w:r>
      <w:r w:rsidR="00217674">
        <w:rPr>
          <w:rFonts w:eastAsia="Calibri" w:cs="Tahoma"/>
        </w:rPr>
        <w:t>N</w:t>
      </w:r>
      <w:r w:rsidRPr="009C6EB6">
        <w:rPr>
          <w:rFonts w:eastAsia="Calibri" w:cs="Tahoma"/>
        </w:rPr>
        <w:t xml:space="preserve">ation’s forests and other natural resources and providing technical assistance requires partnering with outside organizations including community organizations, not-for-profits, businesses, and government agencies at the local, </w:t>
      </w:r>
      <w:r w:rsidR="00217674">
        <w:rPr>
          <w:rFonts w:eastAsia="Calibri" w:cs="Tahoma"/>
        </w:rPr>
        <w:t>S</w:t>
      </w:r>
      <w:r w:rsidRPr="009C6EB6">
        <w:rPr>
          <w:rFonts w:eastAsia="Calibri" w:cs="Tahoma"/>
        </w:rPr>
        <w:t>tate, and national level in order to help reach shared goals.</w:t>
      </w:r>
    </w:p>
    <w:p w:rsidR="00E86967" w:rsidRPr="009C6EB6" w:rsidP="00095DB3" w14:paraId="461867A1" w14:textId="235B19A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Without this information collection, we would be unable to understand the current state of civic natural resource stewardship and we would be unable to identify the organizations that we may provide assistance to for a given geographical area. Without the ability to identify the stewardship community, we would be unable to provide efficient and effective technical assistance and would be unable to provide scientific information about stewardship to planners and decision-makers.</w:t>
      </w:r>
    </w:p>
    <w:p w:rsidR="00A23B00" w:rsidP="0087495A" w14:paraId="0044F7A1" w14:textId="77421F41">
      <w:pPr>
        <w:pStyle w:val="ListNumber"/>
      </w:pPr>
      <w:r>
        <w:t>Explain any special circumstances that would cause an information collection to be conducted in a manner:</w:t>
      </w:r>
    </w:p>
    <w:p w:rsidR="70861518" w:rsidRPr="009C6EB6" w:rsidP="00095DB3" w14:paraId="040D1FF3" w14:textId="62E40431">
      <w:pPr>
        <w:pStyle w:val="BodyText2"/>
        <w:ind w:left="0"/>
        <w:rPr>
          <w:rFonts w:eastAsia="Calibri" w:cs="Tahoma"/>
        </w:rPr>
      </w:pPr>
      <w:r w:rsidRPr="009C6EB6">
        <w:rPr>
          <w:rFonts w:cs="Tahoma"/>
        </w:rPr>
        <w:t>There are no special circumstances. The collection of information is conducted in a manner consistent with the guidelines in 5 CFR 1320.6.</w:t>
      </w:r>
      <w:r w:rsidRPr="009C6EB6">
        <w:rPr>
          <w:rFonts w:eastAsia="Calibri" w:cs="Tahoma"/>
        </w:rPr>
        <w:t xml:space="preserve"> Although there is no requirement to do so, typically respondents will complete a survey response in fewer than 30 days of receipt.  </w:t>
      </w:r>
    </w:p>
    <w:p w:rsidR="00943797" w:rsidP="00943797" w14:paraId="0D2E653A" w14:textId="5220ABC2">
      <w:pPr>
        <w:pStyle w:val="ListNumber2"/>
        <w:numPr>
          <w:ilvl w:val="0"/>
          <w:numId w:val="25"/>
        </w:numPr>
        <w:ind w:left="360"/>
      </w:pPr>
      <w:r>
        <w:t>Requiring respondents to report information to the agency more often than quarterly.</w:t>
      </w:r>
    </w:p>
    <w:p w:rsidR="39E667CE" w:rsidRPr="00095DB3" w:rsidP="39E667CE" w14:paraId="2A639F9B" w14:textId="310388EB">
      <w:pPr>
        <w:pStyle w:val="BodyTextIndent"/>
        <w:rPr>
          <w:color w:val="000000" w:themeColor="text1"/>
        </w:rPr>
      </w:pPr>
      <w:r w:rsidRPr="00095DB3">
        <w:rPr>
          <w:color w:val="000000" w:themeColor="text1"/>
        </w:rPr>
        <w:t>This collection of information does not have a requirement for the information to be collected quarterly or more.</w:t>
      </w:r>
    </w:p>
    <w:p w:rsidR="00943797" w:rsidP="00B26C78" w14:paraId="16865B1E" w14:textId="321D900F">
      <w:pPr>
        <w:pStyle w:val="ListNumber2"/>
      </w:pPr>
      <w:r>
        <w:t>Requiring respondents to prepare a written response to a collection of information in fewer than 30 days after receipt.</w:t>
      </w:r>
    </w:p>
    <w:p w:rsidR="39E667CE" w:rsidRPr="00095DB3" w:rsidP="39E667CE" w14:paraId="5E0FE6D8" w14:textId="7F995F85">
      <w:pPr>
        <w:pStyle w:val="BodyTextIndent"/>
        <w:rPr>
          <w:color w:val="000000" w:themeColor="text1"/>
        </w:rPr>
      </w:pPr>
      <w:r w:rsidRPr="00095DB3">
        <w:rPr>
          <w:color w:val="000000" w:themeColor="text1"/>
        </w:rPr>
        <w:t>This collection of information does not have a requirement for the information to prepare a written response to the collection of information in fewer than 30 days after receipt.</w:t>
      </w:r>
    </w:p>
    <w:p w:rsidR="00943797" w:rsidP="00B26C78" w14:paraId="449AE43A" w14:textId="09186574">
      <w:pPr>
        <w:pStyle w:val="ListNumber2"/>
      </w:pPr>
      <w:r>
        <w:t>Requiring respondents to submit more than an original and two copies of any document.</w:t>
      </w:r>
    </w:p>
    <w:p w:rsidR="39E667CE" w:rsidRPr="00095DB3" w:rsidP="39E667CE" w14:paraId="52F5C8D6" w14:textId="12BFD285">
      <w:pPr>
        <w:pStyle w:val="BodyTextIndent"/>
        <w:rPr>
          <w:color w:val="000000" w:themeColor="text1"/>
        </w:rPr>
      </w:pPr>
      <w:r w:rsidRPr="00095DB3">
        <w:rPr>
          <w:color w:val="000000" w:themeColor="text1"/>
        </w:rPr>
        <w:t>This collection of information does not have a requirement for the respondents to submit more than an original document.</w:t>
      </w:r>
    </w:p>
    <w:p w:rsidR="00943797" w:rsidP="00B26C78" w14:paraId="77FFC75B" w14:textId="511E6487">
      <w:pPr>
        <w:pStyle w:val="ListNumber2"/>
      </w:pPr>
      <w:r>
        <w:t>Requiring respondents to retain records, other than health, medical, government contract, grant-in-aid, or tax records for more than three years.</w:t>
      </w:r>
    </w:p>
    <w:p w:rsidR="00A124A3" w:rsidRPr="00A124A3" w:rsidP="00A124A3" w14:paraId="17354BD0" w14:textId="6B9C0F44">
      <w:pPr>
        <w:pStyle w:val="BodyTextIndent"/>
        <w:rPr>
          <w:color w:val="auto"/>
        </w:rPr>
      </w:pPr>
      <w:bookmarkStart w:id="1" w:name="_Hlk208820610"/>
      <w:r w:rsidRPr="00A124A3">
        <w:rPr>
          <w:rFonts w:cs="Tahoma"/>
          <w:color w:val="auto"/>
        </w:rPr>
        <w:t xml:space="preserve">The collection of information is conducted in a manner consistent with the guidelines in 5 CFR 1320.6. </w:t>
      </w:r>
      <w:r w:rsidRPr="00A124A3">
        <w:rPr>
          <w:color w:val="auto"/>
        </w:rPr>
        <w:t>This collection of information does not have a requirement for the respondents to retain records for more than three years.</w:t>
      </w:r>
    </w:p>
    <w:bookmarkEnd w:id="1"/>
    <w:p w:rsidR="00943797" w:rsidP="00B26C78" w14:paraId="6FB9E664" w14:textId="7BFB3562">
      <w:pPr>
        <w:pStyle w:val="ListNumber2"/>
      </w:pPr>
      <w:r>
        <w:t>In connection with a statistical survey, that is not designed to produce valid and reliable results that can be generalized to the universe of study.</w:t>
      </w:r>
    </w:p>
    <w:p w:rsidR="00E23ED8" w:rsidRPr="00095DB3" w:rsidP="00E77216" w14:paraId="131C1C4C" w14:textId="195E3A7F">
      <w:pPr>
        <w:pStyle w:val="BodyTextIndent"/>
        <w:rPr>
          <w:color w:val="000000" w:themeColor="text1"/>
        </w:rPr>
      </w:pPr>
      <w:r w:rsidRPr="00095DB3">
        <w:rPr>
          <w:color w:val="000000" w:themeColor="text1"/>
        </w:rPr>
        <w:t xml:space="preserve">This information collection would draw on a universe of stewardship organizations in Phase 1; </w:t>
      </w:r>
      <w:r w:rsidRPr="00095DB3" w:rsidR="0073036C">
        <w:rPr>
          <w:color w:val="000000" w:themeColor="text1"/>
        </w:rPr>
        <w:t>the Phase 2 statistical survey would be collected so as to draw conclusions about the groups including in the sampling frame</w:t>
      </w:r>
      <w:r w:rsidRPr="007E5366" w:rsidR="0073036C">
        <w:rPr>
          <w:color w:val="000000" w:themeColor="text1"/>
        </w:rPr>
        <w:t xml:space="preserve">. </w:t>
      </w:r>
      <w:r w:rsidR="007E5366">
        <w:rPr>
          <w:color w:val="000000" w:themeColor="text1"/>
        </w:rPr>
        <w:t>See Supporting Statement B for more details.</w:t>
      </w:r>
    </w:p>
    <w:p w:rsidR="00943797" w:rsidP="00B26C78" w14:paraId="2B07914B" w14:textId="59B9813C">
      <w:pPr>
        <w:pStyle w:val="ListNumber2"/>
      </w:pPr>
      <w:r>
        <w:t>Requiring the use of a statistical data classification that has not been reviewed and approved by OMB.</w:t>
      </w:r>
    </w:p>
    <w:p w:rsidR="0073036C" w:rsidRPr="00095DB3" w:rsidP="00E77216" w14:paraId="71C08FF3" w14:textId="39BDCDF4">
      <w:pPr>
        <w:pStyle w:val="BodyTextIndent"/>
        <w:rPr>
          <w:color w:val="000000" w:themeColor="text1"/>
        </w:rPr>
      </w:pPr>
      <w:r w:rsidRPr="00095DB3">
        <w:rPr>
          <w:color w:val="000000" w:themeColor="text1"/>
        </w:rPr>
        <w:t xml:space="preserve">Results of the survey in </w:t>
      </w:r>
      <w:r w:rsidR="00400A7D">
        <w:rPr>
          <w:color w:val="000000" w:themeColor="text1"/>
        </w:rPr>
        <w:t>P</w:t>
      </w:r>
      <w:r w:rsidRPr="00095DB3">
        <w:rPr>
          <w:color w:val="000000" w:themeColor="text1"/>
        </w:rPr>
        <w:t>hase 2 may be used to develop a statistical data classification via factor analysis or PCA, drawing upon a subset of survey responses (</w:t>
      </w:r>
      <w:r w:rsidR="00217674">
        <w:rPr>
          <w:color w:val="000000" w:themeColor="text1"/>
        </w:rPr>
        <w:t>such as</w:t>
      </w:r>
      <w:r w:rsidRPr="00095DB3">
        <w:rPr>
          <w:color w:val="000000" w:themeColor="text1"/>
        </w:rPr>
        <w:t>, percent time spent on stewardship, primary site type).</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3036C" w:rsidRPr="00095DB3" w:rsidP="00E77216" w14:paraId="5974C343" w14:textId="4CAE40E9">
      <w:pPr>
        <w:pStyle w:val="BodyTextIndent"/>
        <w:rPr>
          <w:color w:val="000000" w:themeColor="text1"/>
        </w:rPr>
      </w:pPr>
      <w:r w:rsidRPr="00095DB3">
        <w:rPr>
          <w:color w:val="000000" w:themeColor="text1"/>
        </w:rPr>
        <w:t>Survey respondents may elect to be added to a public map or to keep their responses confidential with the research team. PII included in any response will be subject to confidentiality.</w:t>
      </w:r>
    </w:p>
    <w:p w:rsidR="00943797" w:rsidP="00B26C78" w14:paraId="50C30CF3" w14:textId="3F78B726">
      <w:pPr>
        <w:pStyle w:val="ListNumber2"/>
      </w:pPr>
      <w:r>
        <w:t>Requiring respondents to submit proprietary trade secret, or other confidential information unless the agency can demonstrate that it has instituted procedures to protect the information's confidentiality to the extent permitted by law.</w:t>
      </w:r>
    </w:p>
    <w:p w:rsidR="00066B9C" w:rsidRPr="00066B9C" w:rsidP="00066B9C" w14:paraId="19E83923" w14:textId="77777777">
      <w:pPr>
        <w:pStyle w:val="BodyText3"/>
        <w:ind w:left="360"/>
        <w:rPr>
          <w:color w:val="auto"/>
        </w:rPr>
      </w:pPr>
      <w:r w:rsidRPr="00066B9C">
        <w:rPr>
          <w:bCs w:val="0"/>
          <w:color w:val="auto"/>
        </w:rPr>
        <w:t xml:space="preserve">Not applicable. </w:t>
      </w:r>
      <w:r w:rsidRPr="00066B9C">
        <w:rPr>
          <w:color w:val="auto"/>
        </w:rPr>
        <w:t>No information of a sensitive nature are included with this information collection.</w:t>
      </w:r>
    </w:p>
    <w:p w:rsidR="000C3E7B" w:rsidP="003A4730" w14:paraId="09FE34B8" w14:textId="2F6E0DD3">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86967" w:rsidRPr="00FB3C51" w:rsidP="009C6EB6" w14:paraId="31546643" w14:textId="54543F2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color w:val="215E99" w:themeColor="text2" w:themeTint="BF"/>
        </w:rPr>
      </w:pPr>
      <w:r w:rsidRPr="009C6EB6">
        <w:rPr>
          <w:rFonts w:eastAsia="Calibri" w:cs="Tahoma"/>
        </w:rPr>
        <w:t xml:space="preserve">The 60-day request for public comment was published in the Federal register on </w:t>
      </w:r>
      <w:r w:rsidR="00FB3C51">
        <w:rPr>
          <w:rFonts w:eastAsia="Calibri" w:cs="Tahoma"/>
        </w:rPr>
        <w:t>June 24, 2025, Vol 90, No. 19</w:t>
      </w:r>
      <w:r w:rsidRPr="009C6EB6">
        <w:rPr>
          <w:rFonts w:eastAsia="Calibri" w:cs="Tahoma"/>
        </w:rPr>
        <w:t xml:space="preserve"> pages </w:t>
      </w:r>
      <w:r w:rsidR="00FB3C51">
        <w:rPr>
          <w:rFonts w:cs="Tahoma"/>
        </w:rPr>
        <w:t>26780-26781</w:t>
      </w:r>
      <w:r w:rsidRPr="009C6EB6">
        <w:rPr>
          <w:rFonts w:eastAsia="Calibri" w:cs="Tahoma"/>
        </w:rPr>
        <w:t xml:space="preserve">. </w:t>
      </w:r>
      <w:r w:rsidR="0040744A">
        <w:rPr>
          <w:rFonts w:eastAsia="Calibri" w:cs="Tahoma"/>
        </w:rPr>
        <w:t>Two comments were received, see Table 1</w:t>
      </w:r>
    </w:p>
    <w:p w:rsidR="009C6EB6" w:rsidP="009C6EB6" w14:paraId="1CF7ED3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p>
    <w:p w:rsidR="00400A7D" w:rsidP="00400A7D" w14:paraId="4D8AEA4C" w14:textId="1E599775">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40744A">
        <w:t>Summary of public comments received, and agency response or action taken related to the comment(s)</w:t>
      </w:r>
    </w:p>
    <w:tbl>
      <w:tblPr>
        <w:tblStyle w:val="TableStyleTEAMS"/>
        <w:tblW w:w="0" w:type="auto"/>
        <w:tblLook w:val="04E0"/>
      </w:tblPr>
      <w:tblGrid>
        <w:gridCol w:w="3106"/>
        <w:gridCol w:w="3149"/>
        <w:gridCol w:w="3105"/>
      </w:tblGrid>
      <w:tr w14:paraId="1EBA6BAB" w14:textId="77777777" w:rsidTr="0040744A">
        <w:tblPrEx>
          <w:tblW w:w="0" w:type="auto"/>
          <w:tblLook w:val="04E0"/>
        </w:tblPrEx>
        <w:trPr>
          <w:tblHeader/>
        </w:trPr>
        <w:tc>
          <w:tcPr>
            <w:tcW w:w="3106" w:type="dxa"/>
          </w:tcPr>
          <w:p w:rsidR="00607FED" w:rsidRPr="00607FED" w:rsidP="000A15F8" w14:paraId="13B8960C" w14:textId="575335DA">
            <w:pPr>
              <w:pStyle w:val="TableHeading"/>
            </w:pPr>
            <w:r w:rsidRPr="00607FED">
              <w:t xml:space="preserve">Commenter </w:t>
            </w:r>
            <w:r w:rsidR="00854CAF">
              <w:t>(u</w:t>
            </w:r>
            <w:r w:rsidRPr="00607FED">
              <w:t xml:space="preserve">sing Personal Identifier </w:t>
            </w:r>
            <w:r w:rsidR="009E3315">
              <w:t>p</w:t>
            </w:r>
            <w:r w:rsidRPr="00607FED">
              <w:t>rotocols</w:t>
            </w:r>
            <w:r w:rsidR="009E3315">
              <w:t>)</w:t>
            </w:r>
          </w:p>
        </w:tc>
        <w:tc>
          <w:tcPr>
            <w:tcW w:w="3149" w:type="dxa"/>
          </w:tcPr>
          <w:p w:rsidR="00607FED" w:rsidRPr="00607FED" w:rsidP="000A15F8" w14:paraId="2B61021C" w14:textId="77777777">
            <w:pPr>
              <w:pStyle w:val="TableHeading"/>
            </w:pPr>
            <w:r w:rsidRPr="00607FED">
              <w:t>Comment</w:t>
            </w:r>
          </w:p>
        </w:tc>
        <w:tc>
          <w:tcPr>
            <w:tcW w:w="3105" w:type="dxa"/>
          </w:tcPr>
          <w:p w:rsidR="00607FED" w:rsidRPr="00607FED" w:rsidP="000A15F8" w14:paraId="439AA50B" w14:textId="404D57F7">
            <w:pPr>
              <w:pStyle w:val="TableHeading"/>
            </w:pPr>
            <w:r w:rsidRPr="00607FED">
              <w:t>Forest Service response</w:t>
            </w:r>
            <w:r w:rsidR="004B4D84">
              <w:t xml:space="preserve"> or </w:t>
            </w:r>
            <w:r w:rsidRPr="00607FED">
              <w:t xml:space="preserve">action </w:t>
            </w:r>
            <w:r w:rsidR="005C1827">
              <w:t xml:space="preserve">related </w:t>
            </w:r>
            <w:r w:rsidRPr="00607FED">
              <w:t>to comment</w:t>
            </w:r>
          </w:p>
        </w:tc>
      </w:tr>
      <w:tr w14:paraId="06567AF4" w14:textId="77777777" w:rsidTr="0040744A">
        <w:tblPrEx>
          <w:tblW w:w="0" w:type="auto"/>
          <w:tblLook w:val="04E0"/>
        </w:tblPrEx>
        <w:tc>
          <w:tcPr>
            <w:tcW w:w="3106" w:type="dxa"/>
          </w:tcPr>
          <w:p w:rsidR="00607FED" w:rsidRPr="0040744A" w:rsidP="00607FED" w14:paraId="70C13C56" w14:textId="04F9C6B3">
            <w:pPr>
              <w:pStyle w:val="TableCellLeft"/>
              <w:rPr>
                <w:color w:val="auto"/>
              </w:rPr>
            </w:pPr>
            <w:r w:rsidRPr="0040744A">
              <w:rPr>
                <w:color w:val="auto"/>
              </w:rPr>
              <w:t>Jean Public</w:t>
            </w:r>
          </w:p>
        </w:tc>
        <w:tc>
          <w:tcPr>
            <w:tcW w:w="3149" w:type="dxa"/>
          </w:tcPr>
          <w:p w:rsidR="00607FED" w:rsidRPr="0040744A" w:rsidP="0040744A" w14:paraId="40349871" w14:textId="231973F0">
            <w:pPr>
              <w:pStyle w:val="TableCellLeft"/>
              <w:rPr>
                <w:color w:val="auto"/>
              </w:rPr>
            </w:pPr>
            <w:r w:rsidRPr="0040744A">
              <w:rPr>
                <w:color w:val="auto"/>
              </w:rPr>
              <w:t xml:space="preserve">alleged stewardshp is so fake most of the time and so corrupt. turnsout to be disaster for our forests. mandkind is not protectiveof nature at all. mankind is destru ctive and destroys for money and profit. the indian crying over destroyed land is a perfect example. usda  puts their profiteering pals in stew groups. they blackball any animal protector groups.blackball them when they should be part of environmental assessments.the plant people want wildlife dead. animal protectors need to be 50% o f any groups. animal protection groups need to be 50% of these groups. phase 3 must show fairness to all americans and not blackball animal protectors. </w:t>
            </w:r>
          </w:p>
        </w:tc>
        <w:tc>
          <w:tcPr>
            <w:tcW w:w="3105" w:type="dxa"/>
          </w:tcPr>
          <w:p w:rsidR="00607FED" w:rsidRPr="0040744A" w:rsidP="00607FED" w14:paraId="3CC901CA" w14:textId="0C0D29B7">
            <w:pPr>
              <w:pStyle w:val="TableCellLeft"/>
              <w:rPr>
                <w:color w:val="auto"/>
              </w:rPr>
            </w:pPr>
            <w:r w:rsidRPr="0040744A">
              <w:rPr>
                <w:color w:val="auto"/>
              </w:rPr>
              <w:t>No action required. STEW-MAP currently uses a protocol to robustly identify all stewardship groups in a region, including animal and wildlife-related groups.</w:t>
            </w:r>
          </w:p>
        </w:tc>
      </w:tr>
      <w:tr w14:paraId="23DC5AF6" w14:textId="77777777" w:rsidTr="0040744A">
        <w:tblPrEx>
          <w:tblW w:w="0" w:type="auto"/>
          <w:tblLook w:val="04E0"/>
        </w:tblPrEx>
        <w:tc>
          <w:tcPr>
            <w:tcW w:w="3106" w:type="dxa"/>
          </w:tcPr>
          <w:p w:rsidR="00607FED" w:rsidRPr="0040744A" w:rsidP="00607FED" w14:paraId="3EB78A94" w14:textId="76712027">
            <w:pPr>
              <w:pStyle w:val="TableCellLeft"/>
              <w:rPr>
                <w:color w:val="auto"/>
              </w:rPr>
            </w:pPr>
            <w:r w:rsidRPr="0040744A">
              <w:rPr>
                <w:color w:val="auto"/>
              </w:rPr>
              <w:t>Ailla Wasstrom-Evans</w:t>
            </w:r>
          </w:p>
        </w:tc>
        <w:tc>
          <w:tcPr>
            <w:tcW w:w="3149" w:type="dxa"/>
          </w:tcPr>
          <w:p w:rsidR="00607FED" w:rsidRPr="0040744A" w:rsidP="0040744A" w14:paraId="224C227D" w14:textId="268AD1FE">
            <w:pPr>
              <w:pStyle w:val="TableCellLeft"/>
              <w:rPr>
                <w:color w:val="auto"/>
              </w:rPr>
            </w:pPr>
            <w:r w:rsidRPr="0040744A">
              <w:rPr>
                <w:color w:val="auto"/>
              </w:rPr>
              <w:t>As per the notice in the Federal Register on Tues. June 24 (attached), can you please send an electronic copy of the draft supporting statement? Thank you so much for your help with this.</w:t>
            </w:r>
          </w:p>
        </w:tc>
        <w:tc>
          <w:tcPr>
            <w:tcW w:w="3105" w:type="dxa"/>
          </w:tcPr>
          <w:p w:rsidR="00607FED" w:rsidRPr="0040744A" w:rsidP="00607FED" w14:paraId="5DD3DD44" w14:textId="76680B01">
            <w:pPr>
              <w:pStyle w:val="TableCellLeft"/>
              <w:rPr>
                <w:color w:val="auto"/>
              </w:rPr>
            </w:pPr>
            <w:r w:rsidRPr="0040744A">
              <w:rPr>
                <w:color w:val="auto"/>
              </w:rPr>
              <w:t>Copy of draft Supporting Statement A sent via email.</w:t>
            </w:r>
          </w:p>
        </w:tc>
      </w:tr>
    </w:tbl>
    <w:p w:rsidR="00CE3C24" w:rsidP="00217674" w14:paraId="25B0FE6E" w14:textId="4A2EDD4B">
      <w:pPr>
        <w:pStyle w:val="BodyTextBold"/>
        <w:spacing w:before="360" w:after="120"/>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E86967" w:rsidRPr="009C6EB6" w:rsidP="00095DB3" w14:paraId="65D42AD0" w14:textId="3BAC31AA">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The STEW-MAP survey used in Phase </w:t>
      </w:r>
      <w:r w:rsidR="00400A7D">
        <w:rPr>
          <w:rFonts w:eastAsia="Calibri" w:cs="Tahoma"/>
        </w:rPr>
        <w:t>2</w:t>
      </w:r>
      <w:r w:rsidRPr="009C6EB6" w:rsidR="00400A7D">
        <w:rPr>
          <w:rFonts w:eastAsia="Calibri" w:cs="Tahoma"/>
        </w:rPr>
        <w:t xml:space="preserve"> </w:t>
      </w:r>
      <w:r w:rsidRPr="009C6EB6">
        <w:rPr>
          <w:rFonts w:eastAsia="Calibri" w:cs="Tahoma"/>
        </w:rPr>
        <w:t>has previously been approved by the institutional review boards (IRBs) at Rutgers University, The Field Museum, Columbia University, the University of Washington, the University of Vermont</w:t>
      </w:r>
      <w:r w:rsidRPr="009C6EB6" w:rsidR="00B34E7A">
        <w:rPr>
          <w:rFonts w:eastAsia="Calibri" w:cs="Tahoma"/>
        </w:rPr>
        <w:t>, and Portland State University</w:t>
      </w:r>
      <w:r w:rsidRPr="009C6EB6">
        <w:rPr>
          <w:rFonts w:eastAsia="Calibri" w:cs="Tahoma"/>
        </w:rPr>
        <w:t xml:space="preserve">. For Phase </w:t>
      </w:r>
      <w:r w:rsidR="00400A7D">
        <w:rPr>
          <w:rFonts w:eastAsia="Calibri" w:cs="Tahoma"/>
        </w:rPr>
        <w:t>3</w:t>
      </w:r>
      <w:r w:rsidRPr="009C6EB6">
        <w:rPr>
          <w:rFonts w:eastAsia="Calibri" w:cs="Tahoma"/>
        </w:rPr>
        <w:t>, the follow-up interview protocol for leaders of key organizations was approved by Columbia University</w:t>
      </w:r>
      <w:sdt>
        <w:sdtPr>
          <w:rPr>
            <w:rFonts w:cs="Tahoma"/>
          </w:rPr>
          <w:tag w:val="goog_rdk_58"/>
          <w:id w:val="1707449512"/>
          <w:richText/>
        </w:sdtPr>
        <w:sdtContent>
          <w:r w:rsidRPr="009C6EB6">
            <w:rPr>
              <w:rFonts w:eastAsia="Calibri" w:cs="Tahoma"/>
            </w:rPr>
            <w:t xml:space="preserve"> and Rutgers University</w:t>
          </w:r>
        </w:sdtContent>
      </w:sdt>
      <w:r w:rsidRPr="009C6EB6">
        <w:rPr>
          <w:rFonts w:eastAsia="Calibri" w:cs="Tahoma"/>
        </w:rPr>
        <w:t>’s IRB.</w:t>
      </w:r>
    </w:p>
    <w:p w:rsidR="00E86967" w:rsidRPr="009C6EB6" w:rsidP="00A32CAD" w14:paraId="7293E7E0" w14:textId="3B9461C2">
      <w:pPr>
        <w:tabs>
          <w:tab w:val="left"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eastAsia="Calibri" w:cs="Tahoma"/>
        </w:rPr>
      </w:pPr>
      <w:r w:rsidRPr="009C6EB6">
        <w:rPr>
          <w:rFonts w:eastAsia="Calibri" w:cs="Tahoma"/>
        </w:rPr>
        <w:t xml:space="preserve">The following individuals were consulted about development of the STEW-MAP survey instrument for the place they work in, the availability of existing stewardship data in their area, the clarity of instructions on the survey, disclosure guidelines, reporting format, and the data elements to be recorded, disclosed, or reported. </w:t>
      </w:r>
    </w:p>
    <w:sdt>
      <w:sdtPr>
        <w:rPr>
          <w:rFonts w:cs="Tahoma"/>
        </w:rPr>
        <w:tag w:val="goog_rdk_62"/>
        <w:id w:val="-374537764"/>
        <w:richText/>
      </w:sdtPr>
      <w:sdtContent>
        <w:p w:rsidR="007E5366" w:rsidRPr="009C6EB6" w:rsidP="00A32CAD" w14:paraId="0661EB6B" w14:textId="45E2F168">
          <w:p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rPr>
              <w:rFonts w:eastAsia="Calibri" w:cs="Tahoma"/>
            </w:rPr>
          </w:pPr>
          <w:r w:rsidRPr="009C6EB6">
            <w:rPr>
              <w:rFonts w:cs="Tahoma"/>
            </w:rPr>
            <w:t>Specific input was provided on this renewal by:</w:t>
          </w:r>
        </w:p>
        <w:p w:rsidR="00E86967" w:rsidRPr="009C6EB6" w:rsidP="00A32CAD" w14:paraId="5868F5C4" w14:textId="160A03AF">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r w:rsidRPr="009C6EB6">
            <w:rPr>
              <w:rFonts w:cs="Tahoma"/>
            </w:rPr>
            <w:t>Alison Koopman, Forest Service R9</w:t>
          </w:r>
        </w:p>
        <w:p w:rsidR="00E86967" w:rsidRPr="009C6EB6" w:rsidP="00A32CAD" w14:paraId="60BA0595" w14:textId="3A0BBF3A">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rPr>
            <w:t>Christopher Stockdale, Mark Twain National Forest</w:t>
          </w:r>
        </w:p>
        <w:p w:rsidR="15F107DF" w:rsidRPr="009C6EB6" w:rsidP="00A32CAD" w14:paraId="46574DFC" w14:textId="675FA203">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szCs w:val="22"/>
            </w:rPr>
            <w:t>Sonja Lin, Forest Service R9</w:t>
          </w:r>
        </w:p>
        <w:p w:rsidR="15F107DF" w:rsidRPr="009C6EB6" w:rsidP="00A32CAD" w14:paraId="5C5BB5B4" w14:textId="716B60D6">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szCs w:val="22"/>
            </w:rPr>
            <w:t>Emily Munter, Superior National Forest</w:t>
          </w:r>
        </w:p>
        <w:p w:rsidR="15F107DF" w:rsidRPr="009C6EB6" w:rsidP="00A32CAD" w14:paraId="222A3490" w14:textId="145042E3">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szCs w:val="22"/>
            </w:rPr>
            <w:t xml:space="preserve">Thomas Hall, Superior National Forest </w:t>
          </w:r>
        </w:p>
        <w:p w:rsidR="69964EB3" w:rsidRPr="009C6EB6" w:rsidP="00A32CAD" w14:paraId="55DACDEF" w14:textId="39732245">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szCs w:val="22"/>
            </w:rPr>
            <w:t>Max Nielsen-Pincus, Portland State University</w:t>
          </w:r>
        </w:p>
        <w:p w:rsidR="007E5366" w:rsidRPr="009C6EB6" w:rsidP="00A32CAD" w14:paraId="760B3801" w14:textId="77777777">
          <w:p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rPr>
              <w:rFonts w:eastAsia="Calibri" w:cs="Tahoma"/>
              <w:szCs w:val="22"/>
            </w:rPr>
          </w:pPr>
        </w:p>
        <w:p w:rsidR="007E5366" w:rsidRPr="009C6EB6" w:rsidP="00A32CAD" w14:paraId="50F44C67" w14:textId="140D47E3">
          <w:p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rPr>
              <w:rFonts w:eastAsia="Calibri" w:cs="Tahoma"/>
              <w:szCs w:val="22"/>
            </w:rPr>
          </w:pPr>
          <w:r w:rsidRPr="009C6EB6">
            <w:rPr>
              <w:rFonts w:eastAsia="Calibri" w:cs="Tahoma"/>
              <w:szCs w:val="22"/>
            </w:rPr>
            <w:t>Input on prior ICRs and renewals was provided by:</w:t>
          </w:r>
        </w:p>
        <w:p w:rsidR="00E86967" w:rsidRPr="009C6EB6" w:rsidP="00A32CAD" w14:paraId="64BAD176" w14:textId="7C6D9C48">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rPr>
            <w:t>Brian Goldberg, formerly Bridger Teton National Forest</w:t>
          </w:r>
        </w:p>
      </w:sdtContent>
    </w:sdt>
    <w:sdt>
      <w:sdtPr>
        <w:rPr>
          <w:rFonts w:cs="Tahoma"/>
        </w:rPr>
        <w:tag w:val="goog_rdk_64"/>
        <w:id w:val="-1258594735"/>
        <w:richText/>
      </w:sdtPr>
      <w:sdtContent>
        <w:p w:rsidR="00E86967" w:rsidRPr="009C6EB6" w:rsidP="00A32CAD" w14:paraId="6E0279FA"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sdt>
            <w:sdtPr>
              <w:rPr>
                <w:rFonts w:cs="Tahoma"/>
              </w:rPr>
              <w:tag w:val="goog_rdk_63"/>
              <w:id w:val="-1948386319"/>
              <w:richText/>
            </w:sdtPr>
            <w:sdtContent>
              <w:r w:rsidRPr="009C6EB6">
                <w:rPr>
                  <w:rFonts w:eastAsia="Calibri" w:cs="Tahoma"/>
                </w:rPr>
                <w:t>Heather McMillen, State of Hawaii</w:t>
              </w:r>
            </w:sdtContent>
          </w:sdt>
        </w:p>
      </w:sdtContent>
    </w:sdt>
    <w:sdt>
      <w:sdtPr>
        <w:rPr>
          <w:rFonts w:cs="Tahoma"/>
        </w:rPr>
        <w:tag w:val="goog_rdk_67"/>
        <w:id w:val="-1239471212"/>
        <w:richText/>
      </w:sdtPr>
      <w:sdtContent>
        <w:p w:rsidR="00E86967" w:rsidRPr="009C6EB6" w:rsidP="00A32CAD" w14:paraId="700E4B0D"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sdt>
            <w:sdtPr>
              <w:rPr>
                <w:rFonts w:cs="Tahoma"/>
              </w:rPr>
              <w:tag w:val="goog_rdk_65"/>
              <w:id w:val="-1513748688"/>
              <w:richText/>
            </w:sdtPr>
            <w:sdtContent>
              <w:r w:rsidRPr="009C6EB6">
                <w:rPr>
                  <w:rFonts w:eastAsia="Calibri" w:cs="Tahoma"/>
                </w:rPr>
                <w:t>Can Sucuoglu, Pratt Spatial Analysis and Visualization Initiative</w:t>
              </w:r>
            </w:sdtContent>
          </w:sdt>
          <w:sdt>
            <w:sdtPr>
              <w:rPr>
                <w:rFonts w:cs="Tahoma"/>
              </w:rPr>
              <w:tag w:val="goog_rdk_66"/>
              <w:id w:val="359171709"/>
              <w:richText/>
            </w:sdtPr>
            <w:sdtContent/>
          </w:sdt>
        </w:p>
      </w:sdtContent>
    </w:sdt>
    <w:p w:rsidR="00E86967" w:rsidRPr="009C6EB6" w:rsidP="00A32CAD" w14:paraId="3E9F882A"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r w:rsidRPr="009C6EB6">
        <w:rPr>
          <w:rFonts w:eastAsia="Calibri" w:cs="Tahoma"/>
        </w:rPr>
        <w:t xml:space="preserve">Dana Fisher, PhD, Associate Professor, University of Maryland, Dept of Sociology </w:t>
      </w:r>
    </w:p>
    <w:p w:rsidR="39E667CE" w:rsidRPr="009C6EB6" w:rsidP="00A32CAD" w14:paraId="49126A8E" w14:textId="46D52DF9">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szCs w:val="22"/>
        </w:rPr>
      </w:pPr>
      <w:r w:rsidRPr="009C6EB6">
        <w:rPr>
          <w:rFonts w:eastAsia="Calibri" w:cs="Tahoma"/>
          <w:szCs w:val="22"/>
        </w:rPr>
        <w:t>Rob Pirani, NY/NJ Harbor &amp; Estuary Program</w:t>
      </w:r>
    </w:p>
    <w:p w:rsidR="00E86967" w:rsidRPr="009C6EB6" w:rsidP="00A32CAD" w14:paraId="1B212817"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r w:rsidRPr="009C6EB6">
        <w:rPr>
          <w:rFonts w:eastAsia="Calibri" w:cs="Tahoma"/>
        </w:rPr>
        <w:t xml:space="preserve">Michele Romolini, PhD, Loyola Marymount University’s Center for Urban Resilience </w:t>
      </w:r>
    </w:p>
    <w:p w:rsidR="00E86967" w:rsidRPr="009C6EB6" w:rsidP="00A32CAD" w14:paraId="27328C5C"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40" w:line="240" w:lineRule="auto"/>
        <w:ind w:left="908" w:hanging="274"/>
        <w:rPr>
          <w:rFonts w:eastAsia="Calibri" w:cs="Tahoma"/>
        </w:rPr>
      </w:pPr>
      <w:r w:rsidRPr="009C6EB6">
        <w:rPr>
          <w:rFonts w:eastAsia="Calibri" w:cs="Tahoma"/>
        </w:rPr>
        <w:t>David Hancock, National Agricultural Statistical Service</w:t>
      </w:r>
    </w:p>
    <w:p w:rsidR="00E86967" w:rsidRPr="009C6EB6" w:rsidP="00E86967" w14:paraId="593F7B10" w14:textId="77777777">
      <w:pPr>
        <w:numPr>
          <w:ilvl w:val="0"/>
          <w:numId w:val="34"/>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908" w:hanging="274"/>
        <w:rPr>
          <w:rFonts w:eastAsia="Calibri" w:cs="Tahoma"/>
        </w:rPr>
      </w:pPr>
      <w:r w:rsidRPr="009C6EB6">
        <w:rPr>
          <w:rFonts w:eastAsia="Calibri" w:cs="Tahoma"/>
        </w:rPr>
        <w:t>Lorien Jasny, University of Exeter, Department of Politics</w:t>
      </w:r>
    </w:p>
    <w:p w:rsidR="00E86967" w:rsidP="00E86967" w14:paraId="73610640" w14:textId="77777777">
      <w:p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asciiTheme="majorHAnsi" w:hAnsiTheme="majorHAnsi" w:cstheme="majorHAnsi"/>
        </w:rPr>
      </w:pPr>
    </w:p>
    <w:p w:rsidR="000C3891" w:rsidP="002F2C2C" w14:paraId="06DF78BF" w14:textId="121D9270">
      <w:pPr>
        <w:pStyle w:val="BodyTextBold"/>
        <w:spacing w:before="120" w:after="12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E86967" w:rsidRPr="009C6EB6" w:rsidP="3DC0836D" w14:paraId="4A7DED47" w14:textId="5EACAD7E">
      <w:p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The following three individuals provided an external review of this information collection, see table </w:t>
      </w:r>
      <w:r w:rsidR="0040744A">
        <w:rPr>
          <w:rFonts w:eastAsia="Calibri" w:cs="Tahoma"/>
        </w:rPr>
        <w:t>2</w:t>
      </w:r>
      <w:r w:rsidRPr="009C6EB6">
        <w:rPr>
          <w:rFonts w:eastAsia="Calibri" w:cs="Tahoma"/>
        </w:rPr>
        <w:t>.</w:t>
      </w:r>
    </w:p>
    <w:p w:rsidR="00E86967" w:rsidRPr="009C6EB6" w:rsidP="00A32CAD" w14:paraId="7D85D6E7" w14:textId="42A7276A">
      <w:pPr>
        <w:pStyle w:val="ListParagraph"/>
        <w:numPr>
          <w:ilvl w:val="0"/>
          <w:numId w:val="35"/>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60" w:line="240" w:lineRule="auto"/>
        <w:contextualSpacing/>
        <w:rPr>
          <w:rFonts w:eastAsia="Calibri" w:cs="Tahoma"/>
          <w:szCs w:val="22"/>
        </w:rPr>
      </w:pPr>
      <w:r w:rsidRPr="009C6EB6">
        <w:rPr>
          <w:rFonts w:eastAsia="Calibri" w:cs="Tahoma"/>
        </w:rPr>
        <w:t>Cody Evers, Portland State University</w:t>
      </w:r>
    </w:p>
    <w:p w:rsidR="009214B8" w:rsidRPr="009C6EB6" w:rsidP="00A32CAD" w14:paraId="2B6A71B0" w14:textId="77777777">
      <w:pPr>
        <w:pStyle w:val="ListParagraph"/>
        <w:numPr>
          <w:ilvl w:val="0"/>
          <w:numId w:val="35"/>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60" w:line="240" w:lineRule="auto"/>
        <w:contextualSpacing/>
        <w:rPr>
          <w:rFonts w:eastAsia="Calibri" w:cs="Tahoma"/>
        </w:rPr>
      </w:pPr>
      <w:r w:rsidRPr="009C6EB6">
        <w:rPr>
          <w:rFonts w:eastAsia="Calibri" w:cs="Tahoma"/>
        </w:rPr>
        <w:t xml:space="preserve">Emily </w:t>
      </w:r>
      <w:r>
        <w:rPr>
          <w:rFonts w:eastAsia="Calibri" w:cs="Tahoma"/>
        </w:rPr>
        <w:t>Silver</w:t>
      </w:r>
      <w:r w:rsidRPr="009C6EB6">
        <w:rPr>
          <w:rFonts w:eastAsia="Calibri" w:cs="Tahoma"/>
        </w:rPr>
        <w:t>, Michigan State University</w:t>
      </w:r>
    </w:p>
    <w:p w:rsidR="00E86967" w:rsidRPr="009C6EB6" w:rsidP="3DC0836D" w14:paraId="5C048E17" w14:textId="1F037116">
      <w:pPr>
        <w:pStyle w:val="ListParagraph"/>
        <w:numPr>
          <w:ilvl w:val="0"/>
          <w:numId w:val="35"/>
        </w:numPr>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contextualSpacing/>
        <w:rPr>
          <w:rFonts w:eastAsia="Calibri" w:cs="Tahoma"/>
        </w:rPr>
      </w:pPr>
      <w:r w:rsidRPr="009C6EB6">
        <w:rPr>
          <w:rFonts w:eastAsia="Calibri" w:cs="Tahoma"/>
        </w:rPr>
        <w:t>Kathleen Bell, University of Maine</w:t>
      </w:r>
    </w:p>
    <w:p w:rsidR="193223DE" w:rsidRPr="009C6EB6" w:rsidP="193223DE" w14:paraId="54D33E5F" w14:textId="0976EDCF">
      <w:pPr>
        <w:pStyle w:val="ListParagraph"/>
        <w:tabs>
          <w:tab w:val="left" w:pos="90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080"/>
        <w:contextualSpacing/>
        <w:rPr>
          <w:rFonts w:eastAsia="Calibri" w:cs="Tahoma"/>
        </w:rPr>
      </w:pPr>
    </w:p>
    <w:p w:rsidR="00E86967" w:rsidRPr="009C6EB6" w:rsidP="193223DE" w14:paraId="4EEEB4D8" w14:textId="5D4DEC1F">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We consulted with several participants from previous STEW-MAP projects in Idaho, Colorado, and Missouri for their feedback about how to make the Phase 2 survey </w:t>
      </w:r>
      <w:sdt>
        <w:sdtPr>
          <w:rPr>
            <w:rFonts w:cs="Tahoma"/>
          </w:rPr>
          <w:tag w:val="goog_rdk_75"/>
          <w:id w:val="-885801571"/>
          <w:richText/>
        </w:sdtPr>
        <w:sdtContent>
          <w:r w:rsidRPr="009C6EB6">
            <w:rPr>
              <w:rFonts w:eastAsia="Calibri" w:cs="Tahoma"/>
            </w:rPr>
            <w:t xml:space="preserve">most applicable, </w:t>
          </w:r>
        </w:sdtContent>
      </w:sdt>
      <w:r w:rsidRPr="009C6EB6">
        <w:rPr>
          <w:rFonts w:eastAsia="Calibri" w:cs="Tahoma"/>
        </w:rPr>
        <w:t>shorter and easier to fill out -- this led to the cuts on the perceptions of policies and programs. To ensure relevance for collaborative management and cross-sector partnerships on and around National Forests (particularly as related to wildfire management and responsible recreation), we have added vetted questions about perceptions of collaborative processes and outcomes. Having used Survey123 for multiple locations, we now show the network questions as asked in a matrix format, which eases the response time and cognitive load for respondents.</w:t>
      </w:r>
    </w:p>
    <w:p w:rsidR="004205DD" w:rsidRPr="0040744A" w:rsidP="193223DE" w14:paraId="026D0404" w14:textId="716831C7">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9C6EB6">
        <w:rPr>
          <w:rFonts w:eastAsia="Calibri" w:cs="Tahoma"/>
        </w:rPr>
        <w:t xml:space="preserve">For Phase 1a (Census), there is one question, “Please can you provide a list of stewardship </w:t>
      </w:r>
      <w:r w:rsidRPr="0040744A">
        <w:rPr>
          <w:rFonts w:eastAsia="Calibri" w:cs="Tahoma"/>
        </w:rPr>
        <w:t>group names and contact information?” We have not received any negative feedback.</w:t>
      </w:r>
    </w:p>
    <w:p w:rsidR="00E86967" w:rsidRPr="0040744A" w:rsidP="193223DE" w14:paraId="33DD0421" w14:textId="13C7F3CB">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eastAsia="Calibri" w:cs="Tahoma"/>
        </w:rPr>
      </w:pPr>
      <w:r w:rsidRPr="0040744A">
        <w:rPr>
          <w:rFonts w:eastAsia="Calibri" w:cs="Tahoma"/>
        </w:rPr>
        <w:t xml:space="preserve">For Phase 3 (Follow-up Interviews), participants have not suggested any changes about the Phase </w:t>
      </w:r>
      <w:r w:rsidR="00A32CAD">
        <w:rPr>
          <w:rFonts w:eastAsia="Calibri" w:cs="Tahoma"/>
        </w:rPr>
        <w:t>3</w:t>
      </w:r>
      <w:r w:rsidRPr="0040744A">
        <w:rPr>
          <w:rFonts w:eastAsia="Calibri" w:cs="Tahoma"/>
        </w:rPr>
        <w:t xml:space="preserve"> interviews. To ensure relevance to an increased emphasis by partners on metrics, we have added a vetted question about ways of assessing outcomes.</w:t>
      </w:r>
    </w:p>
    <w:p w:rsidR="00400A7D" w:rsidP="00400A7D" w14:paraId="6303A221" w14:textId="7FFCF283">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w:t>
      </w:r>
      <w:r w:rsidRPr="00400A7D">
        <w:rPr>
          <w:rStyle w:val="CaptionTableChar"/>
          <w:b/>
          <w:bCs/>
        </w:rPr>
        <w:t>Efforts to consult with persons outside the agency</w:t>
      </w:r>
    </w:p>
    <w:tbl>
      <w:tblPr>
        <w:tblStyle w:val="TableStyleTEAMS"/>
        <w:tblW w:w="9721" w:type="dxa"/>
        <w:tblLook w:val="04E0"/>
      </w:tblPr>
      <w:tblGrid>
        <w:gridCol w:w="2665"/>
        <w:gridCol w:w="7056"/>
      </w:tblGrid>
      <w:tr w14:paraId="28BFB935" w14:textId="77777777" w:rsidTr="155BA2A3">
        <w:tblPrEx>
          <w:tblW w:w="9721" w:type="dxa"/>
          <w:tblLook w:val="04E0"/>
        </w:tblPrEx>
        <w:trPr>
          <w:tblHeader/>
        </w:trPr>
        <w:tc>
          <w:tcPr>
            <w:tcW w:w="2665" w:type="dxa"/>
          </w:tcPr>
          <w:p w:rsidR="003E6BCE" w:rsidRPr="003E6BCE" w:rsidP="00247678" w14:paraId="40702AB6" w14:textId="77777777">
            <w:pPr>
              <w:pStyle w:val="TableHeading"/>
            </w:pPr>
            <w:r w:rsidRPr="003E6BCE">
              <w:t>Contact</w:t>
            </w:r>
          </w:p>
        </w:tc>
        <w:tc>
          <w:tcPr>
            <w:tcW w:w="7056" w:type="dxa"/>
          </w:tcPr>
          <w:p w:rsidR="003E6BCE" w:rsidRPr="003E6BCE" w:rsidP="00247678" w14:paraId="2A2356A5" w14:textId="77777777">
            <w:pPr>
              <w:pStyle w:val="TableHeading"/>
            </w:pPr>
            <w:r w:rsidRPr="003E6BCE">
              <w:t>Information Received</w:t>
            </w:r>
          </w:p>
        </w:tc>
      </w:tr>
      <w:tr w14:paraId="0BE1D201" w14:textId="77777777" w:rsidTr="155BA2A3">
        <w:tblPrEx>
          <w:tblW w:w="9721" w:type="dxa"/>
          <w:tblLook w:val="04E0"/>
        </w:tblPrEx>
        <w:tc>
          <w:tcPr>
            <w:tcW w:w="2665" w:type="dxa"/>
          </w:tcPr>
          <w:p w:rsidR="009C6EB6" w:rsidP="00247678" w14:paraId="5444C3B6" w14:textId="77777777">
            <w:pPr>
              <w:pStyle w:val="TableCellLeft"/>
            </w:pPr>
            <w:r>
              <w:t xml:space="preserve">Cody Evers, Research Associate, Portland State University </w:t>
            </w:r>
          </w:p>
          <w:p w:rsidR="003E6BCE" w:rsidRPr="003E6BCE" w:rsidP="00247678" w14:paraId="5E30E1BF" w14:textId="3F5252F1">
            <w:pPr>
              <w:pStyle w:val="TableCellLeft"/>
            </w:pPr>
            <w:hyperlink r:id="rId13">
              <w:r w:rsidRPr="3DC0836D">
                <w:rPr>
                  <w:rStyle w:val="Hyperlink"/>
                </w:rPr>
                <w:t>cevers@pdx.edu</w:t>
              </w:r>
            </w:hyperlink>
          </w:p>
        </w:tc>
        <w:tc>
          <w:tcPr>
            <w:tcW w:w="7056" w:type="dxa"/>
          </w:tcPr>
          <w:p w:rsidR="003E6BCE" w:rsidRPr="003E6BCE" w:rsidP="00247678" w14:paraId="14513EC5" w14:textId="1B748935">
            <w:pPr>
              <w:pStyle w:val="TableCellLeft"/>
            </w:pPr>
            <w:r>
              <w:t>Drawing on his extensive experience of collaborative wildfire governance, Cody Evers provided review and input on this ICR. Specifically, he advised on how to integrate the optional focus groups and chain referral as an alternate way to build the sampling frame. He also reviewed the survey instrument’s questions on collaboration and networks. He agreed that the proposed approach minimizes the burden on the public and that the frequency of data collection is appropriate, given the dynamic nature of collaborative networks. He concurred that there is no other existing federal instrument that collects comparable data on collaboration.</w:t>
            </w:r>
          </w:p>
        </w:tc>
      </w:tr>
      <w:tr w14:paraId="2B52D244" w14:textId="77777777" w:rsidTr="155BA2A3">
        <w:tblPrEx>
          <w:tblW w:w="9721" w:type="dxa"/>
          <w:tblLook w:val="04E0"/>
        </w:tblPrEx>
        <w:tc>
          <w:tcPr>
            <w:tcW w:w="2665" w:type="dxa"/>
          </w:tcPr>
          <w:p w:rsidR="003E6BCE" w:rsidP="00247678" w14:paraId="45875B51" w14:textId="572262BF">
            <w:pPr>
              <w:pStyle w:val="TableCellLeft"/>
            </w:pPr>
            <w:r>
              <w:t>Emily Silver, Associate Professor, Human Dimensions of Forestry, Michigan State University</w:t>
            </w:r>
          </w:p>
          <w:p w:rsidR="009C6EB6" w:rsidP="00247678" w14:paraId="5576513C" w14:textId="77777777">
            <w:pPr>
              <w:pStyle w:val="TableCellLeft"/>
            </w:pPr>
          </w:p>
          <w:p w:rsidR="009C6EB6" w:rsidP="00247678" w14:paraId="6CF5AED3" w14:textId="4AC603AC">
            <w:pPr>
              <w:pStyle w:val="TableCellLeft"/>
            </w:pPr>
            <w:hyperlink r:id="rId14" w:history="1">
              <w:r w:rsidRPr="009F72CD">
                <w:rPr>
                  <w:rStyle w:val="Hyperlink"/>
                </w:rPr>
                <w:t>esilver@msu.edu</w:t>
              </w:r>
            </w:hyperlink>
          </w:p>
          <w:p w:rsidR="009C6EB6" w:rsidRPr="003E6BCE" w:rsidP="00247678" w14:paraId="714219F2" w14:textId="50E82989">
            <w:pPr>
              <w:pStyle w:val="TableCellLeft"/>
            </w:pPr>
          </w:p>
        </w:tc>
        <w:tc>
          <w:tcPr>
            <w:tcW w:w="7056" w:type="dxa"/>
          </w:tcPr>
          <w:p w:rsidR="003E6BCE" w:rsidRPr="003E6BCE" w:rsidP="009C6EB6" w14:paraId="0FEA51DA" w14:textId="46C8D530">
            <w:pPr>
              <w:pStyle w:val="TableCellLeft"/>
            </w:pPr>
            <w:r>
              <w:t xml:space="preserve">Dr. Silver has a decade of experience working on individual and family forest owner behavior and related research. They also recently worked with the </w:t>
            </w:r>
            <w:r w:rsidR="009C68ED">
              <w:t>Forest Service</w:t>
            </w:r>
            <w:r>
              <w:t xml:space="preserve"> on work related to nature + wellbeing, wildfire management and social acceptability, and industry perceptions of cross-boundary participation. She agreed that the proposed approach minimizes the burden on the public and that the frequency of data collection is appropriate and that the protocol is flexible to be deployed when a geographic region (e.g., city, National Forest, other landscape) has a desire to map and understand civic environmental organizations operating within that region. She noted that there is little extant data other than prior iterations of STEW-MAP and thus this still constitutes a novel approach. She noted: “the program has expanded to include National Forests and other rural regions, which will be well received by both research and practitioner communities.”</w:t>
            </w:r>
          </w:p>
        </w:tc>
      </w:tr>
      <w:tr w14:paraId="6EE927CD" w14:textId="77777777" w:rsidTr="155BA2A3">
        <w:tblPrEx>
          <w:tblW w:w="9721" w:type="dxa"/>
          <w:tblLook w:val="04E0"/>
        </w:tblPrEx>
        <w:tc>
          <w:tcPr>
            <w:tcW w:w="2665" w:type="dxa"/>
          </w:tcPr>
          <w:p w:rsidR="003E6BCE" w:rsidP="00247678" w14:paraId="239F6292" w14:textId="77777777">
            <w:pPr>
              <w:pStyle w:val="TableCellLeft"/>
            </w:pPr>
            <w:r>
              <w:t>Kathleen Bell, Professor, School of Economics, University of Maine</w:t>
            </w:r>
          </w:p>
          <w:p w:rsidR="009C6EB6" w:rsidP="00247678" w14:paraId="5CAD1286" w14:textId="77777777">
            <w:pPr>
              <w:pStyle w:val="TableCellLeft"/>
            </w:pPr>
          </w:p>
          <w:p w:rsidR="009C6EB6" w:rsidP="00247678" w14:paraId="19D5A1B1" w14:textId="2C34BBC2">
            <w:pPr>
              <w:pStyle w:val="TableCellLeft"/>
            </w:pPr>
            <w:hyperlink r:id="rId15" w:history="1">
              <w:r w:rsidRPr="009F72CD">
                <w:rPr>
                  <w:rStyle w:val="Hyperlink"/>
                </w:rPr>
                <w:t>kpbell@maine.edu</w:t>
              </w:r>
            </w:hyperlink>
          </w:p>
          <w:p w:rsidR="009C6EB6" w:rsidRPr="003E6BCE" w:rsidP="00247678" w14:paraId="23594BC7" w14:textId="5535120B">
            <w:pPr>
              <w:pStyle w:val="TableCellLeft"/>
            </w:pPr>
          </w:p>
        </w:tc>
        <w:tc>
          <w:tcPr>
            <w:tcW w:w="7056" w:type="dxa"/>
          </w:tcPr>
          <w:p w:rsidR="009C6EB6" w:rsidRPr="003E6BCE" w:rsidP="00D540FF" w14:paraId="33BCD94D" w14:textId="05253711">
            <w:pPr>
              <w:spacing w:after="160" w:line="259" w:lineRule="auto"/>
            </w:pPr>
            <w:r w:rsidRPr="00D540FF">
              <w:t>Dr. Bell has extensive experience with surveys related to economic questions, land use and management issues, and sustainability topics</w:t>
            </w:r>
            <w:r w:rsidRPr="00D540FF" w:rsidR="00D540FF">
              <w:t xml:space="preserve"> in rural areas</w:t>
            </w:r>
            <w:r w:rsidRPr="00D540FF">
              <w:t xml:space="preserve">, bringing </w:t>
            </w:r>
            <w:r w:rsidRPr="00D540FF" w:rsidR="00D540FF">
              <w:t>an economic but also interdisciplinary lens to these topics</w:t>
            </w:r>
            <w:r w:rsidRPr="00D540FF">
              <w:t xml:space="preserve">. </w:t>
            </w:r>
            <w:r w:rsidRPr="00D540FF" w:rsidR="00D540FF">
              <w:t xml:space="preserve">Her comments assisted with connecting the survey with an expanded focus on supporting wildfire adaptation, responsible recreation, and rural economies. She also noted an appreciation of the </w:t>
            </w:r>
            <w:r w:rsidRPr="00EA17A3">
              <w:t>simplified reporting format (i.e., the survey123) for some of the data collection. T</w:t>
            </w:r>
            <w:r w:rsidR="00D540FF">
              <w:t>o her, t</w:t>
            </w:r>
            <w:r w:rsidRPr="00EA17A3">
              <w:t>he instructions seem clear and the burden seems reasonable.</w:t>
            </w:r>
            <w:r w:rsidR="00D540FF">
              <w:t xml:space="preserve"> She also noted that this collection instrument is filling a gap in terms of data availability. She commented that the a</w:t>
            </w:r>
            <w:r w:rsidRPr="00EA17A3" w:rsidR="00D540FF">
              <w:t>pproach seems quite sound overall</w:t>
            </w:r>
            <w:r w:rsidR="00D540FF">
              <w:t xml:space="preserve">, having </w:t>
            </w:r>
            <w:r w:rsidRPr="00EA17A3" w:rsidR="00D540FF">
              <w:t xml:space="preserve">have tested in many locations </w:t>
            </w:r>
            <w:r w:rsidR="00D540FF">
              <w:t>and</w:t>
            </w:r>
            <w:r w:rsidRPr="00EA17A3" w:rsidR="00D540FF">
              <w:t xml:space="preserve"> updating to meet different needs and work in different areas </w:t>
            </w:r>
            <w:r w:rsidR="00D540FF">
              <w:t>and</w:t>
            </w:r>
            <w:r w:rsidRPr="00EA17A3" w:rsidR="00D540FF">
              <w:t xml:space="preserve"> contexts</w:t>
            </w:r>
            <w:r w:rsidR="00D540FF">
              <w:t>.</w:t>
            </w:r>
          </w:p>
        </w:tc>
      </w:tr>
    </w:tbl>
    <w:p w:rsidR="00F06289" w:rsidP="00F06289" w14:paraId="17A8B7A2" w14:textId="6B3197ED">
      <w:pPr>
        <w:pStyle w:val="ListNumber"/>
      </w:pPr>
      <w:r>
        <w:t>Explain any decision to provide any payment or gift to respondents, other than re-enumeration of contractors or grantees.</w:t>
      </w:r>
    </w:p>
    <w:p w:rsidR="00E86967" w:rsidRPr="00D540FF" w:rsidP="00095DB3" w14:paraId="3F948AEA" w14:textId="46161BE2">
      <w:pPr>
        <w:tabs>
          <w:tab w:val="left" w:pos="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 xml:space="preserve">Responses for all three Phases of STEW-MAP are strictly voluntary. In Phase </w:t>
      </w:r>
      <w:r w:rsidR="009C68ED">
        <w:rPr>
          <w:rFonts w:eastAsia="Calibri" w:cs="Tahoma"/>
        </w:rPr>
        <w:t>2</w:t>
      </w:r>
      <w:r w:rsidRPr="00D540FF" w:rsidR="009C68ED">
        <w:rPr>
          <w:rFonts w:eastAsia="Calibri" w:cs="Tahoma"/>
        </w:rPr>
        <w:t xml:space="preserve"> </w:t>
      </w:r>
      <w:r w:rsidRPr="00D540FF">
        <w:rPr>
          <w:rFonts w:eastAsia="Calibri" w:cs="Tahoma"/>
        </w:rPr>
        <w:t xml:space="preserve">(Survey) of some STEW-MAP projects, payments or gifts (incentives) may be offered if needed to help improve response rates. Incentives will be added if they are deemed useful to raise response rates and if STEW-MAP partners in a given location are able to fund them. A lottery format will be used. All groups that complete the survey will be entered into a drawing (that is, incentives will be </w:t>
      </w:r>
      <w:r w:rsidRPr="00D540FF" w:rsidR="007E5366">
        <w:rPr>
          <w:rFonts w:eastAsia="Calibri" w:cs="Tahoma"/>
        </w:rPr>
        <w:t>fairly</w:t>
      </w:r>
      <w:r w:rsidRPr="00D540FF">
        <w:rPr>
          <w:rFonts w:eastAsia="Calibri" w:cs="Tahoma"/>
        </w:rPr>
        <w:t xml:space="preserve"> distributed). Example incentives could be a single large (</w:t>
      </w:r>
      <w:r w:rsidR="00400A7D">
        <w:rPr>
          <w:rFonts w:eastAsia="Calibri" w:cs="Tahoma"/>
        </w:rPr>
        <w:t>such as</w:t>
      </w:r>
      <w:r w:rsidRPr="00D540FF">
        <w:rPr>
          <w:rFonts w:eastAsia="Calibri" w:cs="Tahoma"/>
        </w:rPr>
        <w:t xml:space="preserve"> $100) gift card to a home improvement store, 2</w:t>
      </w:r>
      <w:r w:rsidR="009C68ED">
        <w:rPr>
          <w:rFonts w:eastAsia="Calibri" w:cs="Tahoma"/>
        </w:rPr>
        <w:t xml:space="preserve"> to </w:t>
      </w:r>
      <w:r w:rsidRPr="00D540FF">
        <w:rPr>
          <w:rFonts w:eastAsia="Calibri" w:cs="Tahoma"/>
        </w:rPr>
        <w:t xml:space="preserve">5 smaller gift cards to a home improvement store, and, if possible, in-kind or non-monetary gifts such as passes to a local museum or botanic garden. The incentives would be structured to </w:t>
      </w:r>
      <w:r w:rsidRPr="00D540FF">
        <w:rPr>
          <w:rFonts w:eastAsia="Calibri" w:cs="Tahoma"/>
        </w:rPr>
        <w:t>fit</w:t>
      </w:r>
      <w:r w:rsidRPr="00D540FF">
        <w:rPr>
          <w:rFonts w:eastAsia="Calibri" w:cs="Tahoma"/>
        </w:rPr>
        <w:t xml:space="preserve"> the given location (what would be of interest in one location may not be of interest in another; this will be </w:t>
      </w:r>
      <w:r w:rsidRPr="00D540FF">
        <w:rPr>
          <w:rFonts w:eastAsia="Calibri" w:cs="Tahoma"/>
        </w:rPr>
        <w:t>taken into account</w:t>
      </w:r>
      <w:r w:rsidRPr="00D540FF">
        <w:rPr>
          <w:rFonts w:eastAsia="Calibri" w:cs="Tahoma"/>
        </w:rPr>
        <w:t>).</w:t>
      </w:r>
    </w:p>
    <w:p w:rsidR="00F06289" w:rsidP="00F06289" w14:paraId="20D50214" w14:textId="766F8D75">
      <w:pPr>
        <w:pStyle w:val="ListNumber"/>
      </w:pPr>
      <w:r>
        <w:t>Describe any assurance of confidentiality provided to respondents and the basis for the assurance in statute, regulation, or agency policy.</w:t>
      </w:r>
    </w:p>
    <w:p w:rsidR="004205DD" w:rsidRPr="00D540FF" w:rsidP="00095DB3" w14:paraId="426CF17C" w14:textId="593894A7">
      <w:pPr>
        <w:tabs>
          <w:tab w:val="left" w:pos="0"/>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 xml:space="preserve">There are two places in Phase </w:t>
      </w:r>
      <w:r w:rsidR="00400A7D">
        <w:rPr>
          <w:rFonts w:eastAsia="Calibri" w:cs="Tahoma"/>
        </w:rPr>
        <w:t>2</w:t>
      </w:r>
      <w:r w:rsidRPr="00D540FF" w:rsidR="00400A7D">
        <w:rPr>
          <w:rFonts w:eastAsia="Calibri" w:cs="Tahoma"/>
        </w:rPr>
        <w:t xml:space="preserve"> </w:t>
      </w:r>
      <w:r w:rsidRPr="00D540FF">
        <w:rPr>
          <w:rFonts w:eastAsia="Calibri" w:cs="Tahoma"/>
        </w:rPr>
        <w:t>(</w:t>
      </w:r>
      <w:r w:rsidR="00400A7D">
        <w:rPr>
          <w:rFonts w:eastAsia="Calibri" w:cs="Tahoma"/>
        </w:rPr>
        <w:t>s</w:t>
      </w:r>
      <w:r w:rsidRPr="00D540FF">
        <w:rPr>
          <w:rFonts w:eastAsia="Calibri" w:cs="Tahoma"/>
        </w:rPr>
        <w:t xml:space="preserve">urvey) where anonymity is addressed. One of the first survey sections asks respondents to provide their name and contact information and the following </w:t>
      </w:r>
      <w:r w:rsidRPr="00D540FF">
        <w:rPr>
          <w:rFonts w:eastAsia="Calibri" w:cs="Tahoma"/>
        </w:rPr>
        <w:t>assurance is printed in the survey: “</w:t>
      </w:r>
      <w:r w:rsidRPr="00D540FF">
        <w:rPr>
          <w:rFonts w:eastAsia="Calibri" w:cs="Tahoma"/>
          <w:i/>
        </w:rPr>
        <w:t>Your personal information is confidential. We will not share your name, personal email, personal phone number, or other identifying information with anyone outside of the research team.</w:t>
      </w:r>
      <w:r w:rsidRPr="000E01E9">
        <w:rPr>
          <w:rFonts w:eastAsia="Calibri" w:asciiTheme="majorHAnsi" w:hAnsiTheme="majorHAnsi" w:cstheme="majorHAnsi"/>
          <w:i/>
        </w:rPr>
        <w:t xml:space="preserve"> </w:t>
      </w:r>
      <w:r w:rsidRPr="00D540FF">
        <w:rPr>
          <w:rFonts w:eastAsia="Calibri" w:cs="Tahoma"/>
          <w:i/>
        </w:rPr>
        <w:t>We will only use this information to contact you if we have questions about information you provide on this survey.</w:t>
      </w:r>
      <w:r w:rsidRPr="00D540FF">
        <w:rPr>
          <w:rFonts w:eastAsia="Calibri" w:cs="Tahoma"/>
        </w:rPr>
        <w:t xml:space="preserve">” </w:t>
      </w:r>
    </w:p>
    <w:p w:rsidR="00E86967" w:rsidRPr="00D540FF" w:rsidP="193223DE" w14:paraId="18BF0F5D" w14:textId="4376CCE6">
      <w:pPr>
        <w:tabs>
          <w:tab w:val="left" w:pos="9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cs="Tahoma"/>
        </w:rPr>
      </w:pPr>
      <w:r w:rsidRPr="00D540FF">
        <w:rPr>
          <w:rFonts w:eastAsia="Calibri" w:cs="Tahoma"/>
        </w:rPr>
        <w:t>Later, each respondent is asked “</w:t>
      </w:r>
      <w:r w:rsidRPr="00D540FF">
        <w:rPr>
          <w:rFonts w:eastAsia="Calibri" w:cs="Tahoma"/>
          <w:i/>
          <w:iCs/>
        </w:rPr>
        <w:t>Does your group/organization wish to be on the online stewardship map?” with the option to check “Yes” or “No.”</w:t>
      </w:r>
      <w:r w:rsidRPr="00D540FF">
        <w:rPr>
          <w:rFonts w:eastAsia="Calibri" w:cs="Tahoma"/>
        </w:rPr>
        <w:t xml:space="preserve"> The following explanation is provided immediately after that question: “Note: The information associated with your group on the map will be limited to group/organization name, website, mailing address, group/organization email, group/organization phone number, what you primarily work on – plus your geographic territory, which will be addressed later in this survey.” Organizations are only added to the map if their representative checks “Yes.”</w:t>
      </w:r>
    </w:p>
    <w:p w:rsidR="00F06289" w:rsidP="00F06289" w14:paraId="4C776164" w14:textId="23C400A4">
      <w:pPr>
        <w:pStyle w:val="ListNumbe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6967" w:rsidRPr="00D540FF" w:rsidP="00E86967" w14:paraId="2A2D18B4" w14:textId="1F19726E">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eastAsia="Calibri" w:cs="Tahoma"/>
          <w:sz w:val="24"/>
          <w:szCs w:val="24"/>
        </w:rPr>
      </w:pPr>
      <w:r w:rsidRPr="00D540FF">
        <w:rPr>
          <w:rFonts w:eastAsia="Calibri" w:cs="Tahoma"/>
          <w:sz w:val="24"/>
          <w:szCs w:val="24"/>
        </w:rPr>
        <w:t>No sensitive questions will be asked.</w:t>
      </w:r>
    </w:p>
    <w:p w:rsidR="009F5E0B" w:rsidP="00756A74" w14:paraId="5ADFE706" w14:textId="48A22E11">
      <w:pPr>
        <w:pStyle w:val="ListNumber"/>
      </w:pPr>
      <w:r>
        <w:t>Provide estimates of the hour burden of the collection of information.</w:t>
      </w:r>
      <w:r w:rsidR="002752D0">
        <w:t xml:space="preserve"> </w:t>
      </w:r>
      <w:r>
        <w:t xml:space="preserve">Indicate </w:t>
      </w:r>
      <w:r w:rsidRPr="00FB3DAD" w:rsidR="00FB3DAD">
        <w:t xml:space="preserve">the number of respondents, frequency of response, annual hour burden, and an explanation of how the burden was estimated. If this request for approval covers more than one form, provide separate hour burden estimates for each form. </w:t>
      </w:r>
    </w:p>
    <w:p w:rsidR="00E86967" w:rsidRPr="00D540FF" w:rsidP="32E1E8C1" w14:paraId="7FB02B77" w14:textId="465EA18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 xml:space="preserve">The burden calculations below are based on experience from previous STEW-MAP projects. We expect to complete 8 STEW-MAP projects per year. Over the 3-year period of this approval, up to 24 projects will be conducted. The calculations below are based on the annual burden for this request.  Please note that we do not know which areas future STEW-MAP projects will be conducted in or how many stewardship groups there are in those regions. </w:t>
      </w:r>
    </w:p>
    <w:p w:rsidR="00E86967" w:rsidRPr="00D540FF" w:rsidP="00400A7D" w14:paraId="52D2384D" w14:textId="6AABA58E">
      <w:pPr>
        <w:widowControl w:val="0"/>
        <w:numPr>
          <w:ilvl w:val="0"/>
          <w:numId w:val="37"/>
        </w:numPr>
        <w:pBdr>
          <w:top w:val="nil"/>
          <w:left w:val="nil"/>
          <w:bottom w:val="nil"/>
          <w:right w:val="nil"/>
          <w:between w:val="nil"/>
        </w:pBd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eastAsia="Calibri" w:cs="Tahoma"/>
        </w:rPr>
      </w:pPr>
      <w:r w:rsidRPr="00D540FF">
        <w:rPr>
          <w:rFonts w:eastAsia="Calibri" w:cs="Tahoma"/>
          <w:color w:val="000000" w:themeColor="text1"/>
        </w:rPr>
        <w:t xml:space="preserve">Before we commence Phase </w:t>
      </w:r>
      <w:r w:rsidR="00400A7D">
        <w:rPr>
          <w:rFonts w:eastAsia="Calibri" w:cs="Tahoma"/>
          <w:color w:val="000000" w:themeColor="text1"/>
        </w:rPr>
        <w:t>1</w:t>
      </w:r>
      <w:r w:rsidRPr="00D540FF">
        <w:rPr>
          <w:rFonts w:eastAsia="Calibri" w:cs="Tahoma"/>
          <w:color w:val="000000" w:themeColor="text1"/>
        </w:rPr>
        <w:t>, there will be a pre-survey consultation with 5 local stewardship group representatives or environmental professionals per project regarding survey question wording and outreach advice (n=40 across all locations).</w:t>
      </w:r>
    </w:p>
    <w:p w:rsidR="00E86967" w:rsidRPr="00D540FF" w:rsidP="2D17780D" w14:paraId="65C6B238" w14:textId="31BBE30C">
      <w:pPr>
        <w:numPr>
          <w:ilvl w:val="0"/>
          <w:numId w:val="36"/>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eastAsia="Calibri" w:cs="Tahoma"/>
        </w:rPr>
      </w:pPr>
      <w:r w:rsidRPr="00D540FF">
        <w:rPr>
          <w:rFonts w:eastAsia="Calibri" w:cs="Tahoma"/>
        </w:rPr>
        <w:t>Phase 1a: Census</w:t>
      </w:r>
    </w:p>
    <w:p w:rsidR="00E86967" w:rsidRPr="00D540FF" w:rsidP="02F533E1" w14:paraId="12AFFCCB" w14:textId="1F675FD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 xml:space="preserve">Round 1: We will contact </w:t>
      </w:r>
      <w:sdt>
        <w:sdtPr>
          <w:rPr>
            <w:rFonts w:cs="Tahoma"/>
          </w:rPr>
          <w:tag w:val="goog_rdk_83"/>
          <w:id w:val="2072298362"/>
          <w:richText/>
        </w:sdtPr>
        <w:sdtContent>
          <w:r w:rsidRPr="00D540FF">
            <w:rPr>
              <w:rFonts w:eastAsia="Calibri" w:cs="Tahoma"/>
            </w:rPr>
            <w:t>3</w:t>
          </w:r>
        </w:sdtContent>
      </w:sdt>
      <w:r w:rsidRPr="00D540FF">
        <w:rPr>
          <w:rFonts w:eastAsia="Calibri" w:cs="Tahoma"/>
        </w:rPr>
        <w:t xml:space="preserve">0 organizations in each of the 8 selected study areas (n=240 across all locations). Each organization will be asked to provide the names and contact information of at least </w:t>
      </w:r>
      <w:sdt>
        <w:sdtPr>
          <w:rPr>
            <w:rFonts w:cs="Tahoma"/>
          </w:rPr>
          <w:tag w:val="goog_rdk_87"/>
          <w:id w:val="-724984805"/>
          <w:richText/>
        </w:sdtPr>
        <w:sdtContent>
          <w:r w:rsidRPr="00D540FF">
            <w:rPr>
              <w:rFonts w:eastAsia="Calibri" w:cs="Tahoma"/>
            </w:rPr>
            <w:t xml:space="preserve">50 </w:t>
          </w:r>
        </w:sdtContent>
      </w:sdt>
      <w:r w:rsidRPr="00D540FF">
        <w:rPr>
          <w:rFonts w:eastAsia="Calibri" w:cs="Tahoma"/>
        </w:rPr>
        <w:t>stewardship groups in their geographic area (n=1,</w:t>
      </w:r>
      <w:sdt>
        <w:sdtPr>
          <w:rPr>
            <w:rFonts w:cs="Tahoma"/>
          </w:rPr>
          <w:tag w:val="goog_rdk_89"/>
          <w:id w:val="-1987306030"/>
          <w:richText/>
        </w:sdtPr>
        <w:sdtContent>
          <w:r w:rsidRPr="00D540FF">
            <w:rPr>
              <w:rFonts w:eastAsia="Calibri" w:cs="Tahoma"/>
            </w:rPr>
            <w:t>5</w:t>
          </w:r>
        </w:sdtContent>
      </w:sdt>
      <w:r w:rsidRPr="00D540FF">
        <w:rPr>
          <w:rFonts w:eastAsia="Calibri" w:cs="Tahoma"/>
        </w:rPr>
        <w:t>00 per study area, for a total of 1</w:t>
      </w:r>
      <w:sdt>
        <w:sdtPr>
          <w:rPr>
            <w:rFonts w:cs="Tahoma"/>
          </w:rPr>
          <w:tag w:val="goog_rdk_92"/>
          <w:id w:val="-1541672396"/>
          <w:richText/>
        </w:sdtPr>
        <w:sdtContent>
          <w:r w:rsidRPr="00D540FF">
            <w:rPr>
              <w:rFonts w:eastAsia="Calibri" w:cs="Tahoma"/>
            </w:rPr>
            <w:t>2</w:t>
          </w:r>
        </w:sdtContent>
      </w:sdt>
      <w:r w:rsidRPr="00D540FF">
        <w:rPr>
          <w:rFonts w:eastAsia="Calibri" w:cs="Tahoma"/>
        </w:rPr>
        <w:t xml:space="preserve">,000 across all locations). </w:t>
      </w:r>
    </w:p>
    <w:p w:rsidR="00E86967" w:rsidRPr="00D540FF" w:rsidP="02F533E1" w14:paraId="0481A12F" w14:textId="7B63045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Round 2: If we do not receive 1,</w:t>
      </w:r>
      <w:sdt>
        <w:sdtPr>
          <w:rPr>
            <w:rFonts w:cs="Tahoma"/>
          </w:rPr>
          <w:tag w:val="goog_rdk_93"/>
          <w:id w:val="878595729"/>
          <w:richText/>
        </w:sdtPr>
        <w:sdtContent>
          <w:r w:rsidRPr="00D540FF">
            <w:rPr>
              <w:rFonts w:eastAsia="Calibri" w:cs="Tahoma"/>
            </w:rPr>
            <w:t>5</w:t>
          </w:r>
        </w:sdtContent>
      </w:sdt>
      <w:r w:rsidRPr="00D540FF">
        <w:rPr>
          <w:rFonts w:eastAsia="Calibri" w:cs="Tahoma"/>
        </w:rPr>
        <w:t>00 names per study area, we will contact an additional 30 organizations per study area (n=240 across all locations) from the list of names provided in Round 1 until we reach 1,</w:t>
      </w:r>
      <w:sdt>
        <w:sdtPr>
          <w:rPr>
            <w:rFonts w:cs="Tahoma"/>
          </w:rPr>
          <w:tag w:val="goog_rdk_95"/>
          <w:id w:val="1769657159"/>
          <w:richText/>
        </w:sdtPr>
        <w:sdtContent>
          <w:r w:rsidRPr="00D540FF">
            <w:rPr>
              <w:rFonts w:eastAsia="Calibri" w:cs="Tahoma"/>
            </w:rPr>
            <w:t>5</w:t>
          </w:r>
        </w:sdtContent>
      </w:sdt>
      <w:r w:rsidRPr="00D540FF">
        <w:rPr>
          <w:rFonts w:eastAsia="Calibri" w:cs="Tahoma"/>
        </w:rPr>
        <w:t>00 names per study area, for a total of 1</w:t>
      </w:r>
      <w:sdt>
        <w:sdtPr>
          <w:rPr>
            <w:rFonts w:cs="Tahoma"/>
          </w:rPr>
          <w:tag w:val="goog_rdk_98"/>
          <w:id w:val="690722904"/>
          <w:richText/>
        </w:sdtPr>
        <w:sdtContent>
          <w:r w:rsidRPr="00D540FF">
            <w:rPr>
              <w:rFonts w:eastAsia="Calibri" w:cs="Tahoma"/>
            </w:rPr>
            <w:t>5</w:t>
          </w:r>
        </w:sdtContent>
      </w:sdt>
      <w:r w:rsidRPr="00D540FF">
        <w:rPr>
          <w:rFonts w:eastAsia="Calibri" w:cs="Tahoma"/>
        </w:rPr>
        <w:t>,000 across all locations to survey in Phase 2.</w:t>
      </w:r>
    </w:p>
    <w:p w:rsidR="00E241AE" w:rsidRPr="00D540FF" w:rsidP="00400A7D" w14:paraId="445D498B" w14:textId="4326E414">
      <w:pPr>
        <w:keepNext/>
        <w:numPr>
          <w:ilvl w:val="0"/>
          <w:numId w:val="36"/>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eastAsia="Calibri" w:cs="Tahoma"/>
        </w:rPr>
      </w:pPr>
      <w:r w:rsidRPr="00D540FF">
        <w:rPr>
          <w:rFonts w:eastAsia="Calibri" w:cs="Tahoma"/>
        </w:rPr>
        <w:t>Phase 1b: Focus Groups (optional)</w:t>
      </w:r>
    </w:p>
    <w:p w:rsidR="00E241AE" w:rsidRPr="00D540FF" w:rsidP="155BA2A3" w14:paraId="0244AF62" w14:textId="42E2C8B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We will invite up to 30 individuals from stewardship organizations in each of 8 selected study areas to participate in focus groups, in order to scope the current stewardship landscape and identify existing stewardship organizations (n=240 across all locations). If we do not receive 1,500 names per study area from this set of focus groups, we will look for additional organizations to add via web searches.</w:t>
      </w:r>
    </w:p>
    <w:p w:rsidR="00E241AE" w:rsidRPr="00D540FF" w:rsidP="00C4075C" w14:paraId="7DAB7F9B" w14:textId="6C28F839">
      <w:pPr>
        <w:numPr>
          <w:ilvl w:val="0"/>
          <w:numId w:val="36"/>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eastAsia="Calibri" w:cs="Tahoma"/>
        </w:rPr>
      </w:pPr>
      <w:r w:rsidRPr="00D540FF">
        <w:rPr>
          <w:rFonts w:eastAsia="Calibri" w:cs="Tahoma"/>
        </w:rPr>
        <w:t>Phases 1a and 1b can be conducted independently or combined.</w:t>
      </w:r>
    </w:p>
    <w:p w:rsidR="00E86967" w:rsidRPr="00D540FF" w:rsidP="00400A7D" w14:paraId="3EB8A447" w14:textId="2889723E">
      <w:pPr>
        <w:numPr>
          <w:ilvl w:val="0"/>
          <w:numId w:val="36"/>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line="240" w:lineRule="auto"/>
        <w:rPr>
          <w:rFonts w:eastAsia="Calibri" w:cs="Tahoma"/>
        </w:rPr>
      </w:pPr>
      <w:r w:rsidRPr="00D540FF">
        <w:rPr>
          <w:rFonts w:eastAsia="Calibri" w:cs="Tahoma"/>
        </w:rPr>
        <w:t xml:space="preserve">Phase </w:t>
      </w:r>
      <w:r w:rsidR="00400A7D">
        <w:rPr>
          <w:rFonts w:eastAsia="Calibri" w:cs="Tahoma"/>
        </w:rPr>
        <w:t>2</w:t>
      </w:r>
      <w:r w:rsidRPr="00D540FF">
        <w:rPr>
          <w:rFonts w:eastAsia="Calibri" w:cs="Tahoma"/>
        </w:rPr>
        <w:t>: Survey</w:t>
      </w:r>
    </w:p>
    <w:p w:rsidR="00E86967" w:rsidRPr="00D540FF" w:rsidP="00E86967" w14:paraId="4C83209E" w14:textId="7B8BB11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Main Survey: We will reach out to all 1</w:t>
      </w:r>
      <w:sdt>
        <w:sdtPr>
          <w:rPr>
            <w:rFonts w:cs="Tahoma"/>
          </w:rPr>
          <w:tag w:val="goog_rdk_99"/>
          <w:id w:val="-849013422"/>
          <w:richText/>
        </w:sdtPr>
        <w:sdtContent>
          <w:r w:rsidRPr="00D540FF" w:rsidR="00D53E8C">
            <w:rPr>
              <w:rFonts w:eastAsia="Calibri" w:cs="Tahoma"/>
            </w:rPr>
            <w:t>2</w:t>
          </w:r>
        </w:sdtContent>
      </w:sdt>
      <w:r w:rsidRPr="00D540FF">
        <w:rPr>
          <w:rFonts w:eastAsia="Calibri" w:cs="Tahoma"/>
        </w:rPr>
        <w:t xml:space="preserve">,000 contacts across all locations obtained during Phase </w:t>
      </w:r>
      <w:r w:rsidR="00400A7D">
        <w:rPr>
          <w:rFonts w:eastAsia="Calibri" w:cs="Tahoma"/>
        </w:rPr>
        <w:t>1</w:t>
      </w:r>
      <w:r w:rsidRPr="00D540FF">
        <w:rPr>
          <w:rFonts w:eastAsia="Calibri" w:cs="Tahoma"/>
        </w:rPr>
        <w:t xml:space="preserve">, inviting them to complete the survey. We are expecting a 50% response rate that will provide us with </w:t>
      </w:r>
      <w:sdt>
        <w:sdtPr>
          <w:rPr>
            <w:rFonts w:cs="Tahoma"/>
          </w:rPr>
          <w:tag w:val="goog_rdk_102"/>
          <w:id w:val="1160584103"/>
          <w:richText/>
        </w:sdtPr>
        <w:sdtContent>
          <w:r w:rsidRPr="00D540FF" w:rsidR="00D53E8C">
            <w:rPr>
              <w:rFonts w:eastAsia="Calibri" w:cs="Tahoma"/>
            </w:rPr>
            <w:t>6,000</w:t>
          </w:r>
        </w:sdtContent>
      </w:sdt>
      <w:r w:rsidRPr="00D540FF">
        <w:rPr>
          <w:rFonts w:eastAsia="Calibri" w:cs="Tahoma"/>
        </w:rPr>
        <w:t xml:space="preserve"> completed responses across all locations. </w:t>
      </w:r>
    </w:p>
    <w:p w:rsidR="00E86967" w:rsidRPr="00D540FF" w:rsidP="00E86967" w14:paraId="25A2B934" w14:textId="47E392E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Non-response Survey: Assuming a 50% (n=</w:t>
      </w:r>
      <w:sdt>
        <w:sdtPr>
          <w:rPr>
            <w:rFonts w:cs="Tahoma"/>
          </w:rPr>
          <w:tag w:val="goog_rdk_104"/>
          <w:id w:val="-221913305"/>
          <w:richText/>
        </w:sdtPr>
        <w:sdtContent>
          <w:r w:rsidRPr="00D540FF" w:rsidR="00D53E8C">
            <w:rPr>
              <w:rFonts w:eastAsia="Calibri" w:cs="Tahoma"/>
            </w:rPr>
            <w:t>6,0</w:t>
          </w:r>
          <w:r w:rsidRPr="00D540FF">
            <w:rPr>
              <w:rFonts w:eastAsia="Calibri" w:cs="Tahoma"/>
            </w:rPr>
            <w:t>00</w:t>
          </w:r>
        </w:sdtContent>
      </w:sdt>
      <w:r w:rsidRPr="00D540FF">
        <w:rPr>
          <w:rFonts w:eastAsia="Calibri" w:cs="Tahoma"/>
        </w:rPr>
        <w:t xml:space="preserve"> across all locations), we will conduct a brief non-response bias survey with 10% of all non-respondents (n=</w:t>
      </w:r>
      <w:sdt>
        <w:sdtPr>
          <w:rPr>
            <w:rFonts w:cs="Tahoma"/>
          </w:rPr>
          <w:tag w:val="goog_rdk_106"/>
          <w:id w:val="-872921768"/>
          <w:richText/>
        </w:sdtPr>
        <w:sdtContent>
          <w:r w:rsidRPr="00D540FF" w:rsidR="00D53E8C">
            <w:rPr>
              <w:rFonts w:eastAsia="Calibri" w:cs="Tahoma"/>
            </w:rPr>
            <w:t xml:space="preserve">600 </w:t>
          </w:r>
        </w:sdtContent>
      </w:sdt>
      <w:r w:rsidRPr="00D540FF">
        <w:rPr>
          <w:rFonts w:eastAsia="Calibri" w:cs="Tahoma"/>
        </w:rPr>
        <w:t>across all locations). We estimate a 10% response rate (n=</w:t>
      </w:r>
      <w:r w:rsidRPr="00D540FF" w:rsidR="00D53E8C">
        <w:rPr>
          <w:rFonts w:eastAsia="Calibri" w:cs="Tahoma"/>
        </w:rPr>
        <w:t>60</w:t>
      </w:r>
      <w:r w:rsidRPr="00D540FF">
        <w:rPr>
          <w:rFonts w:eastAsia="Calibri" w:cs="Tahoma"/>
        </w:rPr>
        <w:t>). This survey will take 1 minute to complete.</w:t>
      </w:r>
    </w:p>
    <w:p w:rsidR="00E86967" w:rsidRPr="00D540FF" w:rsidP="00400A7D" w14:paraId="365623C1" w14:textId="25938482">
      <w:pPr>
        <w:numPr>
          <w:ilvl w:val="0"/>
          <w:numId w:val="36"/>
        </w:num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eastAsia="Calibri" w:cs="Tahoma"/>
        </w:rPr>
      </w:pPr>
      <w:r w:rsidRPr="00D540FF">
        <w:rPr>
          <w:rFonts w:eastAsia="Calibri" w:cs="Tahoma"/>
        </w:rPr>
        <w:t xml:space="preserve">Phase </w:t>
      </w:r>
      <w:r w:rsidR="00400A7D">
        <w:rPr>
          <w:rFonts w:eastAsia="Calibri" w:cs="Tahoma"/>
        </w:rPr>
        <w:t>3</w:t>
      </w:r>
      <w:r w:rsidRPr="00D540FF">
        <w:rPr>
          <w:rFonts w:eastAsia="Calibri" w:cs="Tahoma"/>
        </w:rPr>
        <w:t>: Interviews</w:t>
      </w:r>
    </w:p>
    <w:p w:rsidR="00E86967" w:rsidRPr="00D540FF" w:rsidP="00E86967" w14:paraId="21A68559" w14:textId="2AFBC3E0">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eastAsia="Calibri" w:cs="Tahoma"/>
        </w:rPr>
      </w:pPr>
      <w:r w:rsidRPr="00D540FF">
        <w:rPr>
          <w:rFonts w:eastAsia="Calibri" w:cs="Tahoma"/>
        </w:rPr>
        <w:t xml:space="preserve">Follow-up Interviews – We will interview a maximum of </w:t>
      </w:r>
      <w:sdt>
        <w:sdtPr>
          <w:rPr>
            <w:rFonts w:cs="Tahoma"/>
          </w:rPr>
          <w:tag w:val="goog_rdk_107"/>
          <w:id w:val="-1676790683"/>
          <w:richText/>
        </w:sdtPr>
        <w:sdtContent>
          <w:r w:rsidRPr="00D540FF">
            <w:rPr>
              <w:rFonts w:eastAsia="Calibri" w:cs="Tahoma"/>
            </w:rPr>
            <w:t>3</w:t>
          </w:r>
        </w:sdtContent>
      </w:sdt>
      <w:r w:rsidRPr="00D540FF">
        <w:rPr>
          <w:rFonts w:eastAsia="Calibri" w:cs="Tahoma"/>
        </w:rPr>
        <w:t>0 leaders from key hub organizations in each study area (n=</w:t>
      </w:r>
      <w:r w:rsidRPr="00D540FF" w:rsidR="002C5F3A">
        <w:rPr>
          <w:rFonts w:cs="Tahoma"/>
        </w:rPr>
        <w:t>240</w:t>
      </w:r>
      <w:r w:rsidRPr="00D540FF">
        <w:rPr>
          <w:rFonts w:eastAsia="Calibri" w:cs="Tahoma"/>
        </w:rPr>
        <w:t xml:space="preserve"> across all locations). Each interview will take about one hour to complete. </w:t>
      </w:r>
    </w:p>
    <w:p w:rsidR="00E86967" w:rsidRPr="00D540FF" w:rsidP="275C4162" w14:paraId="68A72034" w14:textId="3B6A8D4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(Please see Attached Excel file, Table 1 – Burden Hours Worksheet). We estimate that per year, there will be 7,060 respondents, with an annual burden of 3,683 hours. For non-respondents, we estimate 6,540 non-respondents, with an annual burden of 209 hours. Per year, the total number of respondents and non-respondents is estimated to be 13,600 people and the burden hours for respondents and non-respondents is estimated to be 3,892 hours.</w:t>
      </w:r>
    </w:p>
    <w:p w:rsidR="00756A74" w:rsidRPr="00427792" w:rsidP="00574C0B" w14:paraId="18D4FAE5" w14:textId="7441097B">
      <w:pPr>
        <w:pStyle w:val="BodyTextBold"/>
        <w:keepNext/>
        <w:spacing w:before="120"/>
        <w:rPr>
          <w:color w:val="auto"/>
        </w:rPr>
      </w:pPr>
      <w:r>
        <w:t xml:space="preserve">Record keeping burden should be addressed separately and should include columns </w:t>
      </w:r>
      <w:r w:rsidRPr="00427792">
        <w:rPr>
          <w:color w:val="auto"/>
        </w:rPr>
        <w:t>for:</w:t>
      </w:r>
    </w:p>
    <w:p w:rsidR="00756A74" w:rsidRPr="00427792" w:rsidP="00574C0B" w14:paraId="3DA9DA30" w14:textId="56F1C7EC">
      <w:pPr>
        <w:pStyle w:val="BodyTextBold"/>
        <w:keepNext/>
        <w:spacing w:before="120"/>
        <w:ind w:left="360"/>
        <w:rPr>
          <w:color w:val="auto"/>
        </w:rPr>
      </w:pPr>
      <w:r w:rsidRPr="00427792">
        <w:rPr>
          <w:color w:val="auto"/>
        </w:rPr>
        <w:t>a) Description of record keeping activity:</w:t>
      </w:r>
      <w:r w:rsidRPr="00427792" w:rsidR="001A2276">
        <w:rPr>
          <w:color w:val="auto"/>
        </w:rPr>
        <w:t xml:space="preserve"> </w:t>
      </w:r>
      <w:r w:rsidRPr="00427792">
        <w:rPr>
          <w:b w:val="0"/>
          <w:bCs w:val="0"/>
          <w:color w:val="auto"/>
        </w:rPr>
        <w:t xml:space="preserve">None </w:t>
      </w:r>
    </w:p>
    <w:p w:rsidR="00756A74" w:rsidRPr="00427792" w:rsidP="00574C0B" w14:paraId="382449B7" w14:textId="148F82BA">
      <w:pPr>
        <w:pStyle w:val="BodyTextBold"/>
        <w:keepNext/>
        <w:spacing w:before="120"/>
        <w:ind w:left="360"/>
        <w:rPr>
          <w:color w:val="auto"/>
        </w:rPr>
      </w:pPr>
      <w:r w:rsidRPr="00427792">
        <w:rPr>
          <w:color w:val="auto"/>
        </w:rPr>
        <w:t>b) Number of record keepers:</w:t>
      </w:r>
      <w:r w:rsidRPr="00427792" w:rsidR="001A2276">
        <w:rPr>
          <w:color w:val="auto"/>
        </w:rPr>
        <w:t xml:space="preserve"> </w:t>
      </w:r>
      <w:r w:rsidRPr="00427792">
        <w:rPr>
          <w:b w:val="0"/>
          <w:bCs w:val="0"/>
          <w:color w:val="auto"/>
        </w:rPr>
        <w:t xml:space="preserve">None </w:t>
      </w:r>
    </w:p>
    <w:p w:rsidR="00756A74" w:rsidRPr="00427792" w:rsidP="00574C0B" w14:paraId="632CC8FF" w14:textId="6096D2D0">
      <w:pPr>
        <w:pStyle w:val="BodyTextBold"/>
        <w:keepNext/>
        <w:spacing w:before="120"/>
        <w:ind w:left="360"/>
        <w:rPr>
          <w:b w:val="0"/>
          <w:bCs w:val="0"/>
          <w:color w:val="auto"/>
        </w:rPr>
      </w:pPr>
      <w:r w:rsidRPr="00427792">
        <w:rPr>
          <w:color w:val="auto"/>
        </w:rPr>
        <w:t>c) Annual hours per record keeper:</w:t>
      </w:r>
      <w:r w:rsidRPr="00427792" w:rsidR="001A2276">
        <w:rPr>
          <w:color w:val="auto"/>
        </w:rPr>
        <w:t xml:space="preserve"> </w:t>
      </w:r>
      <w:r w:rsidRPr="00427792">
        <w:rPr>
          <w:b w:val="0"/>
          <w:bCs w:val="0"/>
          <w:color w:val="auto"/>
        </w:rPr>
        <w:t xml:space="preserve">None </w:t>
      </w:r>
    </w:p>
    <w:p w:rsidR="001107D1" w:rsidRPr="00427792" w:rsidP="001A2276" w14:paraId="1553C437" w14:textId="15226D13">
      <w:pPr>
        <w:pStyle w:val="BodyTextBold"/>
        <w:spacing w:before="120"/>
        <w:ind w:left="360"/>
        <w:rPr>
          <w:rStyle w:val="BodyText3Char"/>
          <w:rFonts w:eastAsiaTheme="minorEastAsia"/>
          <w:b w:val="0"/>
          <w:bCs/>
          <w:color w:val="auto"/>
        </w:rPr>
      </w:pPr>
      <w:r w:rsidRPr="00427792">
        <w:rPr>
          <w:color w:val="auto"/>
        </w:rPr>
        <w:t>d) Total annual record keeping hours (columns b x c):</w:t>
      </w:r>
      <w:r w:rsidRPr="00427792" w:rsidR="001A2276">
        <w:rPr>
          <w:color w:val="auto"/>
        </w:rPr>
        <w:t xml:space="preserve"> </w:t>
      </w:r>
      <w:r w:rsidRPr="00427792">
        <w:rPr>
          <w:b w:val="0"/>
          <w:bCs w:val="0"/>
          <w:color w:val="auto"/>
        </w:rPr>
        <w:t xml:space="preserve">Zero </w:t>
      </w:r>
    </w:p>
    <w:p w:rsidR="00725436" w:rsidP="00725436" w14:paraId="049F4FC8" w14:textId="7020DA79">
      <w:pPr>
        <w:pStyle w:val="BodyTextBold"/>
        <w:spacing w:before="360"/>
      </w:pPr>
      <w:r w:rsidRPr="155BA2A3">
        <w:rPr>
          <w:rFonts w:eastAsia="Times New Roman"/>
        </w:rPr>
        <w:t>Provide estimates of annualized cost to respondents for the hour burdens for collections of information, identifying and using appropriate wage rate categories.</w:t>
      </w:r>
    </w:p>
    <w:p w:rsidR="00400A7D" w:rsidP="00400A7D" w14:paraId="7CB62D6B" w14:textId="67326A0C">
      <w:pPr>
        <w:pStyle w:val="Caption"/>
        <w:keepNext/>
      </w:pPr>
      <w:r>
        <w:t xml:space="preserve">Table </w:t>
      </w:r>
      <w:r>
        <w:fldChar w:fldCharType="begin"/>
      </w:r>
      <w:r>
        <w:instrText xml:space="preserve"> SEQ Table \* ARABIC </w:instrText>
      </w:r>
      <w:r>
        <w:fldChar w:fldCharType="separate"/>
      </w:r>
      <w:r>
        <w:rPr>
          <w:noProof/>
        </w:rPr>
        <w:t>3</w:t>
      </w:r>
      <w:r>
        <w:fldChar w:fldCharType="end"/>
      </w:r>
      <w:r>
        <w:t>. Cost to Respondents across 8 study area regions</w:t>
      </w:r>
    </w:p>
    <w:tbl>
      <w:tblPr>
        <w:tblStyle w:val="TableStyleTEAMS"/>
        <w:tblW w:w="0" w:type="auto"/>
        <w:tblLook w:val="04E0"/>
      </w:tblPr>
      <w:tblGrid>
        <w:gridCol w:w="2340"/>
        <w:gridCol w:w="2340"/>
        <w:gridCol w:w="2340"/>
        <w:gridCol w:w="2340"/>
      </w:tblGrid>
      <w:tr w14:paraId="6E2A8B3F" w14:textId="77777777" w:rsidTr="02F533E1">
        <w:tblPrEx>
          <w:tblW w:w="0" w:type="auto"/>
          <w:tblLook w:val="04E0"/>
        </w:tblPrEx>
        <w:trPr>
          <w:tblHeader/>
        </w:trPr>
        <w:tc>
          <w:tcPr>
            <w:tcW w:w="2340" w:type="dxa"/>
          </w:tcPr>
          <w:p w:rsidR="00BD25FE" w:rsidP="00BD25FE" w14:paraId="61140303" w14:textId="77777777">
            <w:pPr>
              <w:pStyle w:val="TableHeading"/>
              <w:jc w:val="center"/>
            </w:pPr>
            <w:r>
              <w:t>(a)</w:t>
            </w:r>
          </w:p>
          <w:p w:rsidR="00BD25FE" w:rsidP="00BD25FE" w14:paraId="6F098A51" w14:textId="57C478AF">
            <w:pPr>
              <w:pStyle w:val="TableHeading"/>
              <w:jc w:val="center"/>
            </w:pPr>
            <w:r w:rsidRPr="00145E6F">
              <w:t>Description of the Collection Activity</w:t>
            </w:r>
          </w:p>
        </w:tc>
        <w:tc>
          <w:tcPr>
            <w:tcW w:w="2340" w:type="dxa"/>
          </w:tcPr>
          <w:p w:rsidR="00BD25FE" w:rsidP="00BD25FE" w14:paraId="43904C74" w14:textId="77777777">
            <w:pPr>
              <w:pStyle w:val="TableHeading"/>
              <w:jc w:val="center"/>
            </w:pPr>
            <w:r>
              <w:t>(b)</w:t>
            </w:r>
          </w:p>
          <w:p w:rsidR="00BD25FE" w:rsidP="00BD25FE" w14:paraId="5C9611B8" w14:textId="11D1E76B">
            <w:pPr>
              <w:pStyle w:val="TableHeading"/>
              <w:jc w:val="center"/>
            </w:pPr>
            <w:r>
              <w:t>Estimated Total Annual Burden on Respondents (Hours)</w:t>
            </w:r>
          </w:p>
        </w:tc>
        <w:tc>
          <w:tcPr>
            <w:tcW w:w="2340" w:type="dxa"/>
          </w:tcPr>
          <w:p w:rsidR="00BD25FE" w:rsidP="00BD25FE" w14:paraId="07F9A56E" w14:textId="78FE4CBF">
            <w:pPr>
              <w:pStyle w:val="TableHeading"/>
              <w:jc w:val="center"/>
            </w:pPr>
            <w:r>
              <w:t>(c)</w:t>
            </w:r>
            <w:r w:rsidRPr="00E30E44" w:rsidR="00FC1587">
              <w:rPr>
                <w:color w:val="auto"/>
                <w:sz w:val="20"/>
              </w:rPr>
              <w:t>*</w:t>
            </w:r>
          </w:p>
          <w:p w:rsidR="00BD25FE" w:rsidP="00BD25FE" w14:paraId="2566B2ED" w14:textId="0F4C1547">
            <w:pPr>
              <w:pStyle w:val="TableHeading"/>
              <w:jc w:val="center"/>
            </w:pPr>
            <w:r>
              <w:t>Estimated Average Income per Hour</w:t>
            </w:r>
          </w:p>
        </w:tc>
        <w:tc>
          <w:tcPr>
            <w:tcW w:w="2340" w:type="dxa"/>
          </w:tcPr>
          <w:p w:rsidR="00BD25FE" w:rsidP="00BD25FE" w14:paraId="4121131A" w14:textId="77777777">
            <w:pPr>
              <w:pStyle w:val="TableHeading"/>
              <w:jc w:val="center"/>
            </w:pPr>
            <w:r>
              <w:t>(d)</w:t>
            </w:r>
          </w:p>
          <w:p w:rsidR="00BD25FE" w:rsidP="00BD25FE" w14:paraId="098FD6A7" w14:textId="2CE6AF94">
            <w:pPr>
              <w:pStyle w:val="TableHeading"/>
              <w:jc w:val="center"/>
            </w:pPr>
            <w:r>
              <w:t>Estimated Cost to Respondents</w:t>
            </w:r>
          </w:p>
        </w:tc>
      </w:tr>
      <w:tr w14:paraId="287DBA7F" w14:textId="77777777" w:rsidTr="02F533E1">
        <w:tblPrEx>
          <w:tblW w:w="0" w:type="auto"/>
          <w:tblLook w:val="04E0"/>
        </w:tblPrEx>
        <w:tc>
          <w:tcPr>
            <w:tcW w:w="2340" w:type="dxa"/>
          </w:tcPr>
          <w:p w:rsidR="00E86967" w:rsidP="00E86967" w14:paraId="712CF422" w14:textId="00F8EE24">
            <w:pPr>
              <w:pStyle w:val="TableCellLeft"/>
            </w:pPr>
            <w:r w:rsidRPr="000E01E9">
              <w:rPr>
                <w:rFonts w:eastAsia="Calibri" w:asciiTheme="majorHAnsi" w:hAnsiTheme="majorHAnsi" w:cstheme="majorHAnsi"/>
              </w:rPr>
              <w:t>Pre-survey consultation with 5 local stewardship group representatives or environmental professionals per project regarding survey question wording and outreach advice</w:t>
            </w:r>
          </w:p>
        </w:tc>
        <w:tc>
          <w:tcPr>
            <w:tcW w:w="2340" w:type="dxa"/>
          </w:tcPr>
          <w:p w:rsidR="00E86967" w:rsidP="2EE61CEF" w14:paraId="649EAD1E" w14:textId="4BE7191C">
            <w:pPr>
              <w:pStyle w:val="TableCellLeft"/>
            </w:pPr>
            <w:r w:rsidRPr="2EE61CEF">
              <w:rPr>
                <w:rFonts w:eastAsia="Calibri" w:asciiTheme="majorHAnsi" w:hAnsiTheme="majorHAnsi" w:cstheme="majorBidi"/>
              </w:rPr>
              <w:t>80</w:t>
            </w:r>
          </w:p>
        </w:tc>
        <w:tc>
          <w:tcPr>
            <w:tcW w:w="2340" w:type="dxa"/>
          </w:tcPr>
          <w:p w:rsidR="00E86967" w:rsidP="00E86967" w14:paraId="36643FFA" w14:textId="532D7488">
            <w:pPr>
              <w:pStyle w:val="TableCellLeft"/>
            </w:pPr>
            <w:r w:rsidRPr="000E01E9">
              <w:rPr>
                <w:rFonts w:eastAsia="Calibri" w:asciiTheme="majorHAnsi" w:hAnsiTheme="majorHAnsi" w:cstheme="majorHAnsi"/>
              </w:rPr>
              <w:t>$64.00*</w:t>
            </w:r>
          </w:p>
        </w:tc>
        <w:tc>
          <w:tcPr>
            <w:tcW w:w="2340" w:type="dxa"/>
          </w:tcPr>
          <w:p w:rsidR="00E86967" w:rsidP="00E86967" w14:paraId="3EF718C3" w14:textId="7BBB34A4">
            <w:pPr>
              <w:pStyle w:val="TableCellLeft"/>
            </w:pPr>
            <w:r w:rsidRPr="000E01E9">
              <w:rPr>
                <w:rFonts w:eastAsia="Calibri" w:asciiTheme="majorHAnsi" w:hAnsiTheme="majorHAnsi" w:cstheme="majorHAnsi"/>
              </w:rPr>
              <w:t>$</w:t>
            </w:r>
            <w:r w:rsidR="00EC7D20">
              <w:rPr>
                <w:rFonts w:eastAsia="Calibri" w:asciiTheme="majorHAnsi" w:hAnsiTheme="majorHAnsi" w:cstheme="majorHAnsi"/>
              </w:rPr>
              <w:t>5,120</w:t>
            </w:r>
          </w:p>
        </w:tc>
      </w:tr>
      <w:tr w14:paraId="02EA5632" w14:textId="77777777" w:rsidTr="02F533E1">
        <w:tblPrEx>
          <w:tblW w:w="0" w:type="auto"/>
          <w:tblLook w:val="04E0"/>
        </w:tblPrEx>
        <w:tc>
          <w:tcPr>
            <w:tcW w:w="2340" w:type="dxa"/>
          </w:tcPr>
          <w:p w:rsidR="00E86967" w:rsidP="00E86967" w14:paraId="7A6862D0" w14:textId="05233BD0">
            <w:pPr>
              <w:pStyle w:val="TableCellLeft"/>
            </w:pPr>
            <w:r w:rsidRPr="000E01E9">
              <w:rPr>
                <w:rFonts w:eastAsia="Calibri" w:asciiTheme="majorHAnsi" w:hAnsiTheme="majorHAnsi" w:cstheme="majorHAnsi"/>
              </w:rPr>
              <w:t xml:space="preserve">Phase </w:t>
            </w:r>
            <w:r w:rsidR="00ED14F3">
              <w:rPr>
                <w:rFonts w:eastAsia="Calibri" w:asciiTheme="majorHAnsi" w:hAnsiTheme="majorHAnsi" w:cstheme="majorHAnsi"/>
              </w:rPr>
              <w:t>1a</w:t>
            </w:r>
            <w:r w:rsidRPr="000E01E9">
              <w:rPr>
                <w:rFonts w:eastAsia="Calibri" w:asciiTheme="majorHAnsi" w:hAnsiTheme="majorHAnsi" w:cstheme="majorHAnsi"/>
              </w:rPr>
              <w:t xml:space="preserve"> (Census)</w:t>
            </w:r>
          </w:p>
        </w:tc>
        <w:tc>
          <w:tcPr>
            <w:tcW w:w="2340" w:type="dxa"/>
            <w:vAlign w:val="top"/>
          </w:tcPr>
          <w:p w:rsidR="00E86967" w:rsidP="00E86967" w14:paraId="11A3CD1C" w14:textId="57DF5FE1">
            <w:pPr>
              <w:pStyle w:val="TableCellLeft"/>
            </w:pPr>
            <w:sdt>
              <w:sdtPr>
                <w:rPr>
                  <w:rFonts w:asciiTheme="majorHAnsi" w:hAnsiTheme="majorHAnsi" w:cstheme="majorHAnsi"/>
                </w:rPr>
                <w:tag w:val="goog_rdk_116"/>
                <w:id w:val="-77291301"/>
                <w:richText/>
              </w:sdtPr>
              <w:sdtContent>
                <w:r w:rsidR="00D53E8C">
                  <w:rPr>
                    <w:rFonts w:eastAsia="Calibri" w:asciiTheme="majorHAnsi" w:hAnsiTheme="majorHAnsi" w:cstheme="majorHAnsi"/>
                  </w:rPr>
                  <w:t>120</w:t>
                </w:r>
              </w:sdtContent>
            </w:sdt>
          </w:p>
        </w:tc>
        <w:tc>
          <w:tcPr>
            <w:tcW w:w="2340" w:type="dxa"/>
          </w:tcPr>
          <w:p w:rsidR="00E86967" w:rsidP="00E86967" w14:paraId="54007546" w14:textId="594CF572">
            <w:pPr>
              <w:pStyle w:val="TableCellLeft"/>
            </w:pPr>
            <w:r w:rsidRPr="000E01E9">
              <w:rPr>
                <w:rFonts w:eastAsia="Calibri" w:asciiTheme="majorHAnsi" w:hAnsiTheme="majorHAnsi" w:cstheme="majorHAnsi"/>
              </w:rPr>
              <w:t>$43.40**</w:t>
            </w:r>
          </w:p>
        </w:tc>
        <w:tc>
          <w:tcPr>
            <w:tcW w:w="2340" w:type="dxa"/>
          </w:tcPr>
          <w:p w:rsidR="00E86967" w:rsidP="00E86967" w14:paraId="309FF0EC" w14:textId="7462C6AA">
            <w:pPr>
              <w:pStyle w:val="TableCellLeft"/>
            </w:pPr>
            <w:r w:rsidRPr="009214B8">
              <w:rPr>
                <w:rFonts w:eastAsia="Calibri" w:asciiTheme="majorHAnsi" w:hAnsiTheme="majorHAnsi" w:cstheme="majorBidi"/>
              </w:rPr>
              <w:t>$5,208</w:t>
            </w:r>
          </w:p>
        </w:tc>
      </w:tr>
      <w:tr w14:paraId="2A4E7D9E" w14:textId="77777777" w:rsidTr="02F533E1">
        <w:tblPrEx>
          <w:tblW w:w="0" w:type="auto"/>
          <w:tblLook w:val="04E0"/>
        </w:tblPrEx>
        <w:tc>
          <w:tcPr>
            <w:tcW w:w="2340" w:type="dxa"/>
          </w:tcPr>
          <w:p w:rsidR="00ED14F3" w:rsidRPr="000E01E9" w:rsidP="02F533E1" w14:paraId="55A8E7EF" w14:textId="518B73BF">
            <w:pPr>
              <w:pStyle w:val="TableCellLeft"/>
              <w:rPr>
                <w:rFonts w:eastAsia="Calibri" w:asciiTheme="majorHAnsi" w:hAnsiTheme="majorHAnsi" w:cstheme="majorBidi"/>
              </w:rPr>
            </w:pPr>
            <w:r w:rsidRPr="02F533E1">
              <w:rPr>
                <w:rFonts w:eastAsia="Calibri" w:asciiTheme="majorHAnsi" w:hAnsiTheme="majorHAnsi" w:cstheme="majorBidi"/>
              </w:rPr>
              <w:t>Phase 1b (Focus groups)</w:t>
            </w:r>
          </w:p>
        </w:tc>
        <w:tc>
          <w:tcPr>
            <w:tcW w:w="2340" w:type="dxa"/>
            <w:vAlign w:val="top"/>
          </w:tcPr>
          <w:p w:rsidR="00ED14F3" w:rsidRPr="000E01E9" w:rsidP="275C4162" w14:paraId="4BD69DAE" w14:textId="03584655">
            <w:pPr>
              <w:rPr>
                <w:rFonts w:eastAsia="Calibri" w:asciiTheme="majorHAnsi" w:hAnsiTheme="majorHAnsi" w:cstheme="majorBidi"/>
                <w:szCs w:val="18"/>
              </w:rPr>
            </w:pPr>
            <w:r w:rsidRPr="275C4162">
              <w:rPr>
                <w:rFonts w:eastAsia="Calibri" w:asciiTheme="majorHAnsi" w:hAnsiTheme="majorHAnsi" w:cstheme="majorBidi"/>
                <w:szCs w:val="18"/>
              </w:rPr>
              <w:t>240</w:t>
            </w:r>
          </w:p>
        </w:tc>
        <w:tc>
          <w:tcPr>
            <w:tcW w:w="2340" w:type="dxa"/>
          </w:tcPr>
          <w:p w:rsidR="00ED14F3" w:rsidRPr="000E01E9" w:rsidP="00E86967" w14:paraId="036BFE99" w14:textId="3613E9F3">
            <w:pPr>
              <w:pStyle w:val="TableCellLeft"/>
              <w:rPr>
                <w:rFonts w:eastAsia="Calibri" w:asciiTheme="majorHAnsi" w:hAnsiTheme="majorHAnsi" w:cstheme="majorHAnsi"/>
              </w:rPr>
            </w:pPr>
            <w:r w:rsidRPr="000E01E9">
              <w:rPr>
                <w:rFonts w:eastAsia="Calibri" w:asciiTheme="majorHAnsi" w:hAnsiTheme="majorHAnsi" w:cstheme="majorHAnsi"/>
              </w:rPr>
              <w:t>$64.00*</w:t>
            </w:r>
          </w:p>
        </w:tc>
        <w:tc>
          <w:tcPr>
            <w:tcW w:w="2340" w:type="dxa"/>
          </w:tcPr>
          <w:p w:rsidR="00ED14F3" w:rsidRPr="000E01E9" w:rsidP="2EE61CEF" w14:paraId="6112D3A6" w14:textId="5D34A32D">
            <w:pPr>
              <w:pStyle w:val="TableCellLeft"/>
              <w:rPr>
                <w:rFonts w:eastAsia="Calibri" w:asciiTheme="majorHAnsi" w:hAnsiTheme="majorHAnsi" w:cstheme="majorBidi"/>
              </w:rPr>
            </w:pPr>
            <w:r w:rsidRPr="2EE61CEF">
              <w:rPr>
                <w:rFonts w:eastAsia="Calibri" w:asciiTheme="majorHAnsi" w:hAnsiTheme="majorHAnsi" w:cstheme="majorBidi"/>
              </w:rPr>
              <w:t>$15,360</w:t>
            </w:r>
          </w:p>
        </w:tc>
      </w:tr>
      <w:tr w14:paraId="3B54A273" w14:textId="77777777" w:rsidTr="02F533E1">
        <w:tblPrEx>
          <w:tblW w:w="0" w:type="auto"/>
          <w:tblLook w:val="04E0"/>
        </w:tblPrEx>
        <w:tc>
          <w:tcPr>
            <w:tcW w:w="2340" w:type="dxa"/>
          </w:tcPr>
          <w:p w:rsidR="00E86967" w:rsidP="00E86967" w14:paraId="742D9350" w14:textId="2E9FA08A">
            <w:pPr>
              <w:pStyle w:val="TableCellLeft"/>
            </w:pPr>
            <w:r w:rsidRPr="000E01E9">
              <w:rPr>
                <w:rFonts w:eastAsia="Calibri" w:asciiTheme="majorHAnsi" w:hAnsiTheme="majorHAnsi" w:cstheme="majorHAnsi"/>
              </w:rPr>
              <w:t xml:space="preserve">Phase </w:t>
            </w:r>
            <w:r w:rsidR="00ED14F3">
              <w:rPr>
                <w:rFonts w:eastAsia="Calibri" w:asciiTheme="majorHAnsi" w:hAnsiTheme="majorHAnsi" w:cstheme="majorHAnsi"/>
              </w:rPr>
              <w:t>2</w:t>
            </w:r>
            <w:r w:rsidRPr="000E01E9" w:rsidR="00ED14F3">
              <w:rPr>
                <w:rFonts w:eastAsia="Calibri" w:asciiTheme="majorHAnsi" w:hAnsiTheme="majorHAnsi" w:cstheme="majorHAnsi"/>
              </w:rPr>
              <w:t xml:space="preserve"> </w:t>
            </w:r>
            <w:r w:rsidRPr="000E01E9">
              <w:rPr>
                <w:rFonts w:eastAsia="Calibri" w:asciiTheme="majorHAnsi" w:hAnsiTheme="majorHAnsi" w:cstheme="majorHAnsi"/>
              </w:rPr>
              <w:t>(Survey): Filling out the STEW-MAP survey – civic stewardship group representatives</w:t>
            </w:r>
          </w:p>
        </w:tc>
        <w:tc>
          <w:tcPr>
            <w:tcW w:w="2340" w:type="dxa"/>
            <w:vAlign w:val="top"/>
          </w:tcPr>
          <w:p w:rsidR="00E86967" w:rsidRPr="000E01E9" w:rsidP="00E86967" w14:paraId="2019BB26" w14:textId="77777777">
            <w:pPr>
              <w:jc w:val="center"/>
              <w:rPr>
                <w:rFonts w:eastAsia="Calibri" w:asciiTheme="majorHAnsi" w:hAnsiTheme="majorHAnsi" w:cstheme="majorHAnsi"/>
              </w:rPr>
            </w:pPr>
          </w:p>
          <w:p w:rsidR="00E86967" w:rsidP="00E86967" w14:paraId="13794F70" w14:textId="70FC8F99">
            <w:pPr>
              <w:pStyle w:val="TableCellLeft"/>
            </w:pPr>
            <w:sdt>
              <w:sdtPr>
                <w:rPr>
                  <w:rFonts w:asciiTheme="majorHAnsi" w:hAnsiTheme="majorHAnsi" w:cstheme="majorBidi"/>
                  <w:color w:val="auto"/>
                </w:rPr>
                <w:tag w:val="goog_rdk_121"/>
                <w:id w:val="1896091315"/>
                <w:richText/>
              </w:sdtPr>
              <w:sdtContent>
                <w:r w:rsidRPr="155BA2A3" w:rsidR="155BA2A3">
                  <w:rPr>
                    <w:rFonts w:asciiTheme="majorHAnsi" w:hAnsiTheme="majorHAnsi" w:cstheme="majorBidi"/>
                  </w:rPr>
                  <w:t>3</w:t>
                </w:r>
                <w:r w:rsidRPr="155BA2A3" w:rsidR="155BA2A3">
                  <w:rPr>
                    <w:rFonts w:eastAsia="Calibri" w:asciiTheme="majorHAnsi" w:hAnsiTheme="majorHAnsi" w:cstheme="majorBidi"/>
                  </w:rPr>
                  <w:t>,003</w:t>
                </w:r>
              </w:sdtContent>
            </w:sdt>
          </w:p>
        </w:tc>
        <w:tc>
          <w:tcPr>
            <w:tcW w:w="2340" w:type="dxa"/>
          </w:tcPr>
          <w:p w:rsidR="00E86967" w:rsidP="00E86967" w14:paraId="2FE93A67" w14:textId="67377B19">
            <w:pPr>
              <w:pStyle w:val="TableCellLeft"/>
            </w:pPr>
            <w:r w:rsidRPr="000E01E9">
              <w:rPr>
                <w:rFonts w:eastAsia="Calibri" w:asciiTheme="majorHAnsi" w:hAnsiTheme="majorHAnsi" w:cstheme="majorHAnsi"/>
              </w:rPr>
              <w:t>$43.40**</w:t>
            </w:r>
          </w:p>
        </w:tc>
        <w:tc>
          <w:tcPr>
            <w:tcW w:w="2340" w:type="dxa"/>
          </w:tcPr>
          <w:p w:rsidR="00E86967" w:rsidP="00E86967" w14:paraId="21725C88" w14:textId="225A77EB">
            <w:pPr>
              <w:pStyle w:val="TableCellLeft"/>
            </w:pPr>
            <w:r w:rsidRPr="70861518">
              <w:rPr>
                <w:rFonts w:eastAsia="Calibri" w:asciiTheme="majorHAnsi" w:hAnsiTheme="majorHAnsi" w:cstheme="majorBidi"/>
              </w:rPr>
              <w:t>$</w:t>
            </w:r>
            <w:sdt>
              <w:sdtPr>
                <w:rPr>
                  <w:rFonts w:asciiTheme="majorHAnsi" w:hAnsiTheme="majorHAnsi" w:cstheme="majorBidi"/>
                  <w:color w:val="auto"/>
                </w:rPr>
                <w:tag w:val="goog_rdk_122"/>
                <w:id w:val="631605886"/>
                <w:showingPlcHdr/>
                <w:richText/>
              </w:sdtPr>
              <w:sdtContent>
                <w:r w:rsidRPr="70861518">
                  <w:rPr>
                    <w:rFonts w:asciiTheme="majorHAnsi" w:hAnsiTheme="majorHAnsi" w:cstheme="majorBidi"/>
                    <w:color w:val="auto"/>
                  </w:rPr>
                  <w:t xml:space="preserve">     </w:t>
                </w:r>
              </w:sdtContent>
            </w:sdt>
            <w:sdt>
              <w:sdtPr>
                <w:rPr>
                  <w:rFonts w:asciiTheme="majorHAnsi" w:hAnsiTheme="majorHAnsi" w:cstheme="majorBidi"/>
                  <w:color w:val="auto"/>
                </w:rPr>
                <w:tag w:val="goog_rdk_123"/>
                <w:id w:val="1872408851"/>
                <w:richText/>
              </w:sdtPr>
              <w:sdtContent>
                <w:r w:rsidR="00EC7D20">
                  <w:rPr>
                    <w:rFonts w:eastAsia="Calibri" w:asciiTheme="majorHAnsi" w:hAnsiTheme="majorHAnsi" w:cstheme="majorBidi"/>
                  </w:rPr>
                  <w:t>130,330.20</w:t>
                </w:r>
              </w:sdtContent>
            </w:sdt>
          </w:p>
        </w:tc>
      </w:tr>
      <w:tr w14:paraId="07CE5452" w14:textId="77777777" w:rsidTr="02F533E1">
        <w:tblPrEx>
          <w:tblW w:w="0" w:type="auto"/>
          <w:tblLook w:val="04E0"/>
        </w:tblPrEx>
        <w:tc>
          <w:tcPr>
            <w:tcW w:w="2340" w:type="dxa"/>
          </w:tcPr>
          <w:p w:rsidR="00E86967" w:rsidP="00E86967" w14:paraId="38E8F5D6" w14:textId="7C539B2C">
            <w:pPr>
              <w:pStyle w:val="TableCellLeft"/>
            </w:pPr>
            <w:r w:rsidRPr="000E01E9">
              <w:rPr>
                <w:rFonts w:eastAsia="Calibri" w:asciiTheme="majorHAnsi" w:hAnsiTheme="majorHAnsi" w:cstheme="majorHAnsi"/>
              </w:rPr>
              <w:t xml:space="preserve">Phase </w:t>
            </w:r>
            <w:r w:rsidR="00ED14F3">
              <w:rPr>
                <w:rFonts w:eastAsia="Calibri" w:asciiTheme="majorHAnsi" w:hAnsiTheme="majorHAnsi" w:cstheme="majorHAnsi"/>
              </w:rPr>
              <w:t>2</w:t>
            </w:r>
            <w:r w:rsidRPr="000E01E9" w:rsidR="00ED14F3">
              <w:rPr>
                <w:rFonts w:eastAsia="Calibri" w:asciiTheme="majorHAnsi" w:hAnsiTheme="majorHAnsi" w:cstheme="majorHAnsi"/>
              </w:rPr>
              <w:t xml:space="preserve"> </w:t>
            </w:r>
            <w:r w:rsidRPr="000E01E9">
              <w:rPr>
                <w:rFonts w:eastAsia="Calibri" w:asciiTheme="majorHAnsi" w:hAnsiTheme="majorHAnsi" w:cstheme="majorHAnsi"/>
              </w:rPr>
              <w:t>(Non-respondents)</w:t>
            </w:r>
          </w:p>
        </w:tc>
        <w:tc>
          <w:tcPr>
            <w:tcW w:w="2340" w:type="dxa"/>
            <w:vAlign w:val="top"/>
          </w:tcPr>
          <w:p w:rsidR="00E86967" w:rsidP="00E86967" w14:paraId="5C2BE756" w14:textId="654700E0">
            <w:pPr>
              <w:pStyle w:val="TableCellLeft"/>
            </w:pPr>
            <w:sdt>
              <w:sdtPr>
                <w:rPr>
                  <w:rFonts w:asciiTheme="majorHAnsi" w:hAnsiTheme="majorHAnsi" w:cstheme="majorHAnsi"/>
                </w:rPr>
                <w:tag w:val="goog_rdk_126"/>
                <w:id w:val="-623774898"/>
                <w:richText/>
              </w:sdtPr>
              <w:sdtContent>
                <w:r w:rsidR="00D53E8C">
                  <w:rPr>
                    <w:rFonts w:asciiTheme="majorHAnsi" w:hAnsiTheme="majorHAnsi" w:cstheme="majorHAnsi"/>
                  </w:rPr>
                  <w:t>209</w:t>
                </w:r>
              </w:sdtContent>
            </w:sdt>
          </w:p>
        </w:tc>
        <w:tc>
          <w:tcPr>
            <w:tcW w:w="2340" w:type="dxa"/>
          </w:tcPr>
          <w:p w:rsidR="00E86967" w:rsidP="00E86967" w14:paraId="1B56AADB" w14:textId="3FAE0246">
            <w:pPr>
              <w:pStyle w:val="TableCellLeft"/>
            </w:pPr>
            <w:r w:rsidRPr="000E01E9">
              <w:rPr>
                <w:rFonts w:eastAsia="Calibri" w:asciiTheme="majorHAnsi" w:hAnsiTheme="majorHAnsi" w:cstheme="majorHAnsi"/>
              </w:rPr>
              <w:t>$43.40**</w:t>
            </w:r>
          </w:p>
        </w:tc>
        <w:tc>
          <w:tcPr>
            <w:tcW w:w="2340" w:type="dxa"/>
          </w:tcPr>
          <w:p w:rsidR="00E86967" w:rsidP="00E86967" w14:paraId="66E55A83" w14:textId="50F68EDD">
            <w:pPr>
              <w:pStyle w:val="TableCellLeft"/>
            </w:pPr>
            <w:r w:rsidRPr="70861518">
              <w:rPr>
                <w:rFonts w:eastAsia="Calibri" w:asciiTheme="majorHAnsi" w:hAnsiTheme="majorHAnsi" w:cstheme="majorBidi"/>
              </w:rPr>
              <w:t>$</w:t>
            </w:r>
            <w:sdt>
              <w:sdtPr>
                <w:rPr>
                  <w:rFonts w:asciiTheme="majorHAnsi" w:hAnsiTheme="majorHAnsi" w:cstheme="majorBidi"/>
                  <w:color w:val="auto"/>
                </w:rPr>
                <w:tag w:val="goog_rdk_127"/>
                <w:id w:val="1508717529"/>
                <w:showingPlcHdr/>
                <w:richText/>
              </w:sdtPr>
              <w:sdtContent>
                <w:r w:rsidRPr="70861518">
                  <w:rPr>
                    <w:rFonts w:asciiTheme="majorHAnsi" w:hAnsiTheme="majorHAnsi" w:cstheme="majorBidi"/>
                    <w:color w:val="auto"/>
                  </w:rPr>
                  <w:t xml:space="preserve">     </w:t>
                </w:r>
              </w:sdtContent>
            </w:sdt>
            <w:sdt>
              <w:sdtPr>
                <w:rPr>
                  <w:rFonts w:asciiTheme="majorHAnsi" w:hAnsiTheme="majorHAnsi" w:cstheme="majorBidi"/>
                  <w:color w:val="auto"/>
                </w:rPr>
                <w:tag w:val="goog_rdk_128"/>
                <w:id w:val="1245758711"/>
                <w:richText/>
              </w:sdtPr>
              <w:sdtContent>
                <w:r w:rsidR="00EC7D20">
                  <w:rPr>
                    <w:rFonts w:eastAsia="Calibri" w:asciiTheme="majorHAnsi" w:hAnsiTheme="majorHAnsi" w:cstheme="majorBidi"/>
                  </w:rPr>
                  <w:t>9,070.60</w:t>
                </w:r>
              </w:sdtContent>
            </w:sdt>
          </w:p>
        </w:tc>
      </w:tr>
      <w:tr w14:paraId="5E39377C" w14:textId="77777777" w:rsidTr="02F533E1">
        <w:tblPrEx>
          <w:tblW w:w="0" w:type="auto"/>
          <w:tblLook w:val="04E0"/>
        </w:tblPrEx>
        <w:tc>
          <w:tcPr>
            <w:tcW w:w="2340" w:type="dxa"/>
          </w:tcPr>
          <w:p w:rsidR="00E86967" w:rsidP="00E86967" w14:paraId="59BCC924" w14:textId="20654B0A">
            <w:pPr>
              <w:pStyle w:val="TableCellLeft"/>
            </w:pPr>
            <w:r w:rsidRPr="000E01E9">
              <w:rPr>
                <w:rFonts w:eastAsia="Calibri" w:asciiTheme="majorHAnsi" w:hAnsiTheme="majorHAnsi" w:cstheme="majorHAnsi"/>
              </w:rPr>
              <w:t xml:space="preserve">Phase </w:t>
            </w:r>
            <w:r w:rsidR="00ED14F3">
              <w:rPr>
                <w:rFonts w:eastAsia="Calibri" w:asciiTheme="majorHAnsi" w:hAnsiTheme="majorHAnsi" w:cstheme="majorHAnsi"/>
              </w:rPr>
              <w:t>3</w:t>
            </w:r>
            <w:r w:rsidRPr="000E01E9">
              <w:rPr>
                <w:rFonts w:eastAsia="Calibri" w:asciiTheme="majorHAnsi" w:hAnsiTheme="majorHAnsi" w:cstheme="majorHAnsi"/>
              </w:rPr>
              <w:t>: Follow-up interviews with leaders at key civic stewardship orgs</w:t>
            </w:r>
          </w:p>
        </w:tc>
        <w:tc>
          <w:tcPr>
            <w:tcW w:w="2340" w:type="dxa"/>
            <w:vAlign w:val="top"/>
          </w:tcPr>
          <w:p w:rsidR="00E86967" w:rsidRPr="000E01E9" w:rsidP="00E86967" w14:paraId="5F27EF24" w14:textId="77777777">
            <w:pPr>
              <w:jc w:val="center"/>
              <w:rPr>
                <w:rFonts w:eastAsia="Calibri" w:asciiTheme="majorHAnsi" w:hAnsiTheme="majorHAnsi" w:cstheme="majorHAnsi"/>
              </w:rPr>
            </w:pPr>
          </w:p>
          <w:p w:rsidR="00E86967" w:rsidP="00E86967" w14:paraId="3A7D49E9" w14:textId="1FE34F45">
            <w:pPr>
              <w:pStyle w:val="TableCellLeft"/>
            </w:pPr>
            <w:sdt>
              <w:sdtPr>
                <w:rPr>
                  <w:rFonts w:asciiTheme="majorHAnsi" w:hAnsiTheme="majorHAnsi" w:cstheme="majorHAnsi"/>
                </w:rPr>
                <w:tag w:val="goog_rdk_130"/>
                <w:id w:val="1136983843"/>
                <w:richText/>
              </w:sdtPr>
              <w:sdtContent>
                <w:r w:rsidR="00D53E8C">
                  <w:rPr>
                    <w:rFonts w:eastAsia="Calibri" w:asciiTheme="majorHAnsi" w:hAnsiTheme="majorHAnsi" w:cstheme="majorHAnsi"/>
                  </w:rPr>
                  <w:t>240</w:t>
                </w:r>
              </w:sdtContent>
            </w:sdt>
          </w:p>
        </w:tc>
        <w:tc>
          <w:tcPr>
            <w:tcW w:w="2340" w:type="dxa"/>
          </w:tcPr>
          <w:p w:rsidR="00E86967" w:rsidP="00E86967" w14:paraId="738955B2" w14:textId="2BC0744A">
            <w:pPr>
              <w:pStyle w:val="TableCellLeft"/>
            </w:pPr>
            <w:r w:rsidRPr="000E01E9">
              <w:rPr>
                <w:rFonts w:eastAsia="Calibri" w:asciiTheme="majorHAnsi" w:hAnsiTheme="majorHAnsi" w:cstheme="majorHAnsi"/>
              </w:rPr>
              <w:t>$64.00*</w:t>
            </w:r>
          </w:p>
        </w:tc>
        <w:tc>
          <w:tcPr>
            <w:tcW w:w="2340" w:type="dxa"/>
          </w:tcPr>
          <w:p w:rsidR="00E86967" w:rsidP="00E86967" w14:paraId="76A976A3" w14:textId="166A8063">
            <w:pPr>
              <w:pStyle w:val="TableCellLeft"/>
            </w:pPr>
            <w:r w:rsidRPr="70861518">
              <w:rPr>
                <w:rFonts w:eastAsia="Calibri" w:asciiTheme="majorHAnsi" w:hAnsiTheme="majorHAnsi" w:cstheme="majorBidi"/>
              </w:rPr>
              <w:t>$</w:t>
            </w:r>
            <w:sdt>
              <w:sdtPr>
                <w:rPr>
                  <w:rFonts w:asciiTheme="majorHAnsi" w:hAnsiTheme="majorHAnsi" w:cstheme="majorBidi"/>
                  <w:color w:val="auto"/>
                </w:rPr>
                <w:tag w:val="goog_rdk_132"/>
                <w:id w:val="968636338"/>
                <w:showingPlcHdr/>
                <w:richText/>
              </w:sdtPr>
              <w:sdtContent>
                <w:r w:rsidRPr="70861518">
                  <w:rPr>
                    <w:rFonts w:asciiTheme="majorHAnsi" w:hAnsiTheme="majorHAnsi" w:cstheme="majorBidi"/>
                    <w:color w:val="auto"/>
                  </w:rPr>
                  <w:t xml:space="preserve">     </w:t>
                </w:r>
              </w:sdtContent>
            </w:sdt>
            <w:sdt>
              <w:sdtPr>
                <w:rPr>
                  <w:rFonts w:asciiTheme="majorHAnsi" w:hAnsiTheme="majorHAnsi" w:cstheme="majorBidi"/>
                  <w:color w:val="auto"/>
                </w:rPr>
                <w:tag w:val="goog_rdk_133"/>
                <w:id w:val="-153679779"/>
                <w:richText/>
              </w:sdtPr>
              <w:sdtContent>
                <w:r w:rsidR="00EC7D20">
                  <w:rPr>
                    <w:rFonts w:eastAsia="Calibri" w:asciiTheme="majorHAnsi" w:hAnsiTheme="majorHAnsi" w:cstheme="majorBidi"/>
                  </w:rPr>
                  <w:t>15,360.00</w:t>
                </w:r>
              </w:sdtContent>
            </w:sdt>
          </w:p>
        </w:tc>
      </w:tr>
      <w:tr w14:paraId="0F1C263D" w14:textId="77777777" w:rsidTr="02F533E1">
        <w:tblPrEx>
          <w:tblW w:w="0" w:type="auto"/>
          <w:tblLook w:val="04E0"/>
        </w:tblPrEx>
        <w:tc>
          <w:tcPr>
            <w:tcW w:w="2340" w:type="dxa"/>
          </w:tcPr>
          <w:p w:rsidR="00E86967" w:rsidP="00E86967" w14:paraId="72F96213" w14:textId="77777777">
            <w:pPr>
              <w:pStyle w:val="TableCellLeft"/>
            </w:pPr>
            <w:r>
              <w:t>Totals</w:t>
            </w:r>
          </w:p>
        </w:tc>
        <w:tc>
          <w:tcPr>
            <w:tcW w:w="2340" w:type="dxa"/>
            <w:vAlign w:val="top"/>
          </w:tcPr>
          <w:p w:rsidR="00E86967" w:rsidP="00152BC9" w14:paraId="64346FA9" w14:textId="3376DF75">
            <w:pPr>
              <w:pStyle w:val="TableCellLeft"/>
            </w:pPr>
            <w:r>
              <w:rPr>
                <w:rFonts w:asciiTheme="majorHAnsi" w:hAnsiTheme="majorHAnsi" w:cstheme="majorBidi"/>
                <w:b/>
                <w:bCs/>
                <w:color w:val="auto"/>
              </w:rPr>
              <w:t>3,892</w:t>
            </w:r>
          </w:p>
        </w:tc>
        <w:tc>
          <w:tcPr>
            <w:tcW w:w="2340" w:type="dxa"/>
          </w:tcPr>
          <w:p w:rsidR="00E86967" w:rsidP="00E86967" w14:paraId="4AAC816F" w14:textId="7A875624">
            <w:pPr>
              <w:pStyle w:val="TableCellLeft"/>
              <w:jc w:val="center"/>
            </w:pPr>
          </w:p>
        </w:tc>
        <w:tc>
          <w:tcPr>
            <w:tcW w:w="2340" w:type="dxa"/>
          </w:tcPr>
          <w:p w:rsidR="00E86967" w:rsidP="00152BC9" w14:paraId="56EE4D66" w14:textId="052FAF94">
            <w:pPr>
              <w:pStyle w:val="TableCellLeft"/>
            </w:pPr>
            <w:r w:rsidRPr="70861518">
              <w:rPr>
                <w:rFonts w:eastAsia="Calibri" w:asciiTheme="majorHAnsi" w:hAnsiTheme="majorHAnsi" w:cstheme="majorBidi"/>
                <w:b/>
                <w:bCs/>
              </w:rPr>
              <w:t>$</w:t>
            </w:r>
            <w:sdt>
              <w:sdtPr>
                <w:rPr>
                  <w:rFonts w:asciiTheme="majorHAnsi" w:hAnsiTheme="majorHAnsi" w:cstheme="majorBidi"/>
                  <w:color w:val="auto"/>
                </w:rPr>
                <w:tag w:val="goog_rdk_137"/>
                <w:id w:val="-1344317627"/>
                <w:showingPlcHdr/>
                <w:richText/>
              </w:sdtPr>
              <w:sdtContent>
                <w:r w:rsidRPr="70861518">
                  <w:rPr>
                    <w:rFonts w:asciiTheme="majorHAnsi" w:hAnsiTheme="majorHAnsi" w:cstheme="majorBidi"/>
                    <w:color w:val="auto"/>
                  </w:rPr>
                  <w:t xml:space="preserve">     </w:t>
                </w:r>
              </w:sdtContent>
            </w:sdt>
            <w:sdt>
              <w:sdtPr>
                <w:rPr>
                  <w:rFonts w:asciiTheme="majorHAnsi" w:hAnsiTheme="majorHAnsi" w:cstheme="majorBidi"/>
                  <w:color w:val="auto"/>
                </w:rPr>
                <w:tag w:val="goog_rdk_138"/>
                <w:id w:val="1501628460"/>
                <w:richText/>
              </w:sdtPr>
              <w:sdtContent>
                <w:r w:rsidR="00EC7D20">
                  <w:rPr>
                    <w:rFonts w:eastAsia="Calibri" w:asciiTheme="majorHAnsi" w:hAnsiTheme="majorHAnsi" w:cstheme="majorBidi"/>
                    <w:b/>
                    <w:bCs/>
                  </w:rPr>
                  <w:t>180,448.80</w:t>
                </w:r>
              </w:sdtContent>
            </w:sdt>
          </w:p>
        </w:tc>
      </w:tr>
    </w:tbl>
    <w:p w:rsidR="00E86967" w:rsidRPr="00D540FF" w:rsidP="00E86967" w14:paraId="6A978D25" w14:textId="77777777">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cs="Tahoma"/>
        </w:rPr>
      </w:pPr>
      <w:r w:rsidRPr="00D540FF">
        <w:rPr>
          <w:rFonts w:eastAsia="Calibri" w:cs="Tahoma"/>
        </w:rPr>
        <w:t>* We estimate that leaders of key hub organizations make $50/hour on average based on our professional knowledge and experience. We multiplied the hourly rate by 1.28 to account for benefits (following BLS guidance).</w:t>
      </w:r>
    </w:p>
    <w:p w:rsidR="00E86967" w:rsidRPr="00D540FF" w:rsidP="39E667CE" w14:paraId="75A6C19F" w14:textId="0C070252">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rPr>
          <w:rFonts w:eastAsia="Calibri" w:cs="Tahoma"/>
        </w:rPr>
      </w:pPr>
      <w:r w:rsidRPr="00D540FF">
        <w:rPr>
          <w:rFonts w:eastAsia="Calibri" w:cs="Tahoma"/>
        </w:rPr>
        <w:t xml:space="preserve">** We used mean hourly wage for “Social and Community Service Managers” from BLS at </w:t>
      </w:r>
      <w:hyperlink r:id="rId16">
        <w:r w:rsidRPr="00D540FF">
          <w:rPr>
            <w:rFonts w:eastAsia="Calibri" w:cs="Tahoma"/>
            <w:u w:val="single"/>
          </w:rPr>
          <w:t>http://www.bls.gov/oes/current/oes119151.htm</w:t>
        </w:r>
      </w:hyperlink>
      <w:r w:rsidRPr="00D540FF">
        <w:rPr>
          <w:rFonts w:eastAsia="Calibri" w:cs="Tahoma"/>
        </w:rPr>
        <w:t xml:space="preserve"> ($3</w:t>
      </w:r>
      <w:r w:rsidRPr="00D540FF" w:rsidR="00ED14F3">
        <w:rPr>
          <w:rFonts w:eastAsia="Calibri" w:cs="Tahoma"/>
        </w:rPr>
        <w:t>7.03</w:t>
      </w:r>
      <w:r w:rsidRPr="00D540FF">
        <w:rPr>
          <w:rFonts w:eastAsia="Calibri" w:cs="Tahoma"/>
        </w:rPr>
        <w:t>) to reflect our expectation that the majority of respondents will work at nonprofit organizations or will be acting as social or community service managers even if they are actually unpaid volunteers. We multiplied the hourly rate by 1.28 to account for benefits.</w:t>
      </w: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E86967" w:rsidRPr="00D540FF" w:rsidP="00394A4D" w14:paraId="0A47C125" w14:textId="77777777">
      <w:pPr>
        <w:tabs>
          <w:tab w:val="left" w:pos="360"/>
          <w:tab w:val="left"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There are no capital operation and maintenance costs.</w:t>
      </w:r>
    </w:p>
    <w:p w:rsidR="00424DB8" w:rsidP="00C92B78" w14:paraId="7258E8A9" w14:textId="794DD996">
      <w:pPr>
        <w:pStyle w:val="ListNumber"/>
      </w:pPr>
      <w:r>
        <w:t>Provide estimates of annualized cost to the Federal government.</w:t>
      </w:r>
    </w:p>
    <w:p w:rsidR="004205DD" w:rsidRPr="00D540FF" w:rsidP="2EE61CEF" w14:paraId="3CECF054" w14:textId="1B40AFDF">
      <w:pPr>
        <w:rPr>
          <w:rFonts w:eastAsia="Calibri" w:cs="Tahoma"/>
        </w:rPr>
      </w:pPr>
      <w:r w:rsidRPr="00D540FF">
        <w:rPr>
          <w:rFonts w:eastAsia="Calibri" w:cs="Tahoma"/>
        </w:rPr>
        <w:t xml:space="preserve">The total annualized cost to the Federal government for conducting 8 STEW-MAP projects is estimated to be $468,388 which includes $346,488 for </w:t>
      </w:r>
      <w:r w:rsidR="00E30E44">
        <w:rPr>
          <w:rFonts w:eastAsia="Calibri" w:cs="Tahoma"/>
        </w:rPr>
        <w:t>F</w:t>
      </w:r>
      <w:r w:rsidRPr="00D540FF">
        <w:rPr>
          <w:rFonts w:eastAsia="Calibri" w:cs="Tahoma"/>
        </w:rPr>
        <w:t xml:space="preserve">ederal salaries and $121,900 for operational expenses. This estimate is based on our experience with other STEW-MAP collections. The estimate of 8 projects per year is based on the expected number of projects that our partners across the country can complete in a year with our assistance. See attached </w:t>
      </w:r>
      <w:r w:rsidRPr="00D540FF">
        <w:rPr>
          <w:rFonts w:eastAsia="Calibri" w:cs="Tahoma"/>
        </w:rPr>
        <w:t xml:space="preserve">excel file Table 2 – Annualized Cost Fed Govt, which shows Federal staff and grade levels performing various tasks associated with this information collection. </w:t>
      </w:r>
    </w:p>
    <w:p w:rsidR="004205DD" w:rsidRPr="00D540FF" w:rsidP="155BA2A3" w14:paraId="1C99AE5C" w14:textId="257C08EA">
      <w:pPr>
        <w:rPr>
          <w:rFonts w:eastAsia="Calibri" w:cs="Tahoma"/>
        </w:rPr>
      </w:pPr>
      <w:r w:rsidRPr="00D540FF">
        <w:rPr>
          <w:rFonts w:eastAsia="Calibri" w:cs="Tahoma"/>
        </w:rPr>
        <w:t xml:space="preserve">We used the Office of Personnel Management Salary Table </w:t>
      </w:r>
      <w:sdt>
        <w:sdtPr>
          <w:rPr>
            <w:rFonts w:cs="Tahoma"/>
          </w:rPr>
          <w:tag w:val="goog_rdk_141"/>
          <w:id w:val="2120477139"/>
          <w:richText/>
        </w:sdtPr>
        <w:sdtContent>
          <w:r w:rsidRPr="00D540FF">
            <w:rPr>
              <w:rFonts w:eastAsia="Calibri" w:cs="Tahoma"/>
            </w:rPr>
            <w:t xml:space="preserve">2025 </w:t>
          </w:r>
        </w:sdtContent>
      </w:sdt>
      <w:r w:rsidRPr="00D540FF">
        <w:rPr>
          <w:rFonts w:eastAsia="Calibri" w:cs="Tahoma"/>
        </w:rPr>
        <w:t xml:space="preserve">General Schedule (GS) Locality Pay Tables to determine the hourly rate </w:t>
      </w:r>
      <w:sdt>
        <w:sdtPr>
          <w:rPr>
            <w:rFonts w:cs="Tahoma"/>
          </w:rPr>
          <w:tag w:val="goog_rdk_142"/>
          <w:id w:val="-1428341445"/>
          <w:richText/>
        </w:sdtPr>
        <w:sdtContent>
          <w:r w:rsidRPr="00D540FF">
            <w:rPr>
              <w:rFonts w:eastAsia="Calibri" w:cs="Tahoma"/>
              <w:u w:val="single"/>
            </w:rPr>
            <w:t>https://www.opm.gov/policy-data-oversight/pay-leave/salaries-wages/2025/general-schedule/</w:t>
          </w:r>
        </w:sdtContent>
      </w:sdt>
      <w:r w:rsidRPr="00D540FF">
        <w:rPr>
          <w:rFonts w:eastAsia="Calibri" w:cs="Tahoma"/>
        </w:rPr>
        <w:t>. We multiplied the hourly rate by 1.28 to account for benefits.</w:t>
      </w:r>
    </w:p>
    <w:p w:rsidR="00E86967" w:rsidRPr="00D540FF" w:rsidP="004205DD" w14:paraId="2524CFC3" w14:textId="784DD2D3">
      <w:pPr>
        <w:rPr>
          <w:rFonts w:cs="Tahoma"/>
        </w:rPr>
      </w:pPr>
      <w:sdt>
        <w:sdtPr>
          <w:rPr>
            <w:rFonts w:cs="Tahoma"/>
          </w:rPr>
          <w:tag w:val="goog_rdk_146"/>
          <w:id w:val="-61957923"/>
          <w:richText/>
        </w:sdtPr>
        <w:sdtContent>
          <w:r w:rsidRPr="00D540FF" w:rsidR="70861518">
            <w:rPr>
              <w:rFonts w:eastAsia="Calibri" w:cs="Tahoma"/>
            </w:rPr>
            <w:t xml:space="preserve">Because the location of future STEW-MAP projects is unknown, the following estimates are made based on the Denver, Colorado </w:t>
          </w:r>
          <w:r w:rsidR="00E30E44">
            <w:rPr>
              <w:rFonts w:eastAsia="Calibri" w:cs="Tahoma"/>
            </w:rPr>
            <w:t>F</w:t>
          </w:r>
          <w:r w:rsidRPr="00D540FF" w:rsidR="70861518">
            <w:rPr>
              <w:rFonts w:eastAsia="Calibri" w:cs="Tahoma"/>
            </w:rPr>
            <w:t>ederal employee pay schedule (Denver’s locality pay at 22.52% is the mid-range for mid to large-size U.S. cities). While the survey will be conducted in about a year, there is pre-work and data analysis afterward therefore a two-</w:t>
          </w:r>
          <w:sdt>
            <w:sdtPr>
              <w:rPr>
                <w:rFonts w:cs="Tahoma"/>
              </w:rPr>
              <w:tag w:val="goog_rdk_144"/>
              <w:id w:val="-1144354310"/>
              <w:richText/>
            </w:sdtPr>
            <w:sdtContent/>
          </w:sdt>
          <w:r w:rsidRPr="00D540FF" w:rsidR="70861518">
            <w:rPr>
              <w:rFonts w:eastAsia="Calibri" w:cs="Tahoma"/>
            </w:rPr>
            <w:t>year project timeline is expected.</w:t>
          </w:r>
          <w:sdt>
            <w:sdtPr>
              <w:rPr>
                <w:rFonts w:cs="Tahoma"/>
              </w:rPr>
              <w:tag w:val="goog_rdk_145"/>
              <w:id w:val="-1953230749"/>
              <w:showingPlcHdr/>
              <w:richText/>
            </w:sdtPr>
            <w:sdtContent>
              <w:r w:rsidR="00E30E44">
                <w:rPr>
                  <w:rFonts w:cs="Tahoma"/>
                </w:rPr>
                <w:t xml:space="preserve">     </w:t>
              </w:r>
            </w:sdtContent>
          </w:sdt>
        </w:sdtContent>
      </w:sdt>
    </w:p>
    <w:p w:rsidR="00963089" w:rsidP="003E53A8" w14:paraId="7A452486" w14:textId="6BDD0D00">
      <w:pPr>
        <w:pStyle w:val="ListNumber"/>
      </w:pPr>
      <w:r>
        <w:t>Explain the reasons for any program changes or adjustments reported on the burden worksheet (IC staff paste answer into ROCIS Burden Short Statement Block)</w:t>
      </w:r>
      <w:r w:rsidR="003549B6">
        <w:t>.</w:t>
      </w:r>
    </w:p>
    <w:p w:rsidR="00E86967" w:rsidRPr="00D540FF" w:rsidP="155BA2A3" w14:paraId="7149FB37" w14:textId="76ABFAE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 xml:space="preserve">This is a renewal of a previously approved collection. Previously, we received approval for </w:t>
      </w:r>
      <w:r w:rsidRPr="00D540FF">
        <w:rPr>
          <w:rFonts w:cs="Tahoma"/>
        </w:rPr>
        <w:t>8,525 respondents</w:t>
      </w:r>
      <w:r w:rsidRPr="00D540FF">
        <w:rPr>
          <w:rFonts w:eastAsia="Calibri" w:cs="Tahoma"/>
        </w:rPr>
        <w:t xml:space="preserve"> and 8,175 non-respondents annually and 4,565 total burden hours for respondents and non-respondents. Our projections have adjusted based on the addition of optional focus group protocol 1b and the number of locations per year being adjusted to eight.</w:t>
      </w:r>
    </w:p>
    <w:p w:rsidR="0043383E" w:rsidP="0043383E" w14:paraId="46737C45" w14:textId="335B87EC">
      <w:pPr>
        <w:pStyle w:val="ListNumber"/>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86967" w:rsidRPr="00D540FF" w:rsidP="00394A4D" w14:paraId="6FF923E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Summarized, descriptive statistics of collected information may be published in tabular form in peer-reviewed journal articles and posted on STEW-MAP related websites. Data from the survey that may be published include descriptive statistics, network analysis, cross-area comparisons of survey responses, geographic data and analysis of geographic distribution of stewardship, and analysis of stewardship trends over time. Possible professional journals include those that focus on social network analysis, natural resource management, geographic data, and analysis of volunteers such as</w:t>
      </w:r>
      <w:r w:rsidRPr="00D540FF">
        <w:rPr>
          <w:rFonts w:eastAsia="Calibri" w:cs="Tahoma"/>
          <w:i/>
          <w:iCs/>
        </w:rPr>
        <w:t xml:space="preserve"> Journal of Forestry, Society and Natural Resources, Local Environment, Journal of Environmental Management, </w:t>
      </w:r>
      <w:r w:rsidRPr="00D540FF">
        <w:rPr>
          <w:rFonts w:eastAsia="Calibri" w:cs="Tahoma"/>
        </w:rPr>
        <w:t>and</w:t>
      </w:r>
      <w:r w:rsidRPr="00D540FF">
        <w:rPr>
          <w:rFonts w:eastAsia="Calibri" w:cs="Tahoma"/>
          <w:i/>
          <w:iCs/>
        </w:rPr>
        <w:t xml:space="preserve"> Cities and the Environment.</w:t>
      </w:r>
      <w:r w:rsidRPr="00D540FF">
        <w:rPr>
          <w:rFonts w:eastAsia="Calibri" w:cs="Tahoma"/>
        </w:rPr>
        <w:t xml:space="preserve"> Analysis and tabulation of data will follow established social science protocols. Some STEW-MAP projects may be summarized in on-line or published reports (Government Technical Reports, etc.). </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E86967" w:rsidRPr="00D540FF" w:rsidP="00394A4D" w14:paraId="0E8042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cs="Tahoma"/>
        </w:rPr>
      </w:pPr>
      <w:r w:rsidRPr="00D540FF">
        <w:rPr>
          <w:rFonts w:eastAsia="Calibri" w:cs="Tahoma"/>
        </w:rPr>
        <w:t>The valid OMB control number and expiration date will be displayed on all information collection instruments.</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BB2B1E" w:rsidRPr="00BB2B1E" w:rsidP="006E648A" w14:paraId="61642C22" w14:textId="1365C5E4">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00E86967">
            <w:rPr>
              <w:rFonts w:ascii="MS Gothic" w:eastAsia="MS Gothic" w:hAnsi="MS Gothic" w:cs="MS Gothic" w:hint="eastAsia"/>
              <w:sz w:val="28"/>
              <w:szCs w:val="28"/>
            </w:rPr>
            <w:t>☒</w:t>
          </w:r>
        </w:sdtContent>
      </w:sdt>
      <w:r w:rsidR="00F13705">
        <w:t xml:space="preserve"> </w:t>
      </w:r>
      <w:r w:rsidRPr="00BB2B1E">
        <w:t>On behalf of this USDA Forest Service, I certify that the collection of information encompassed by this request complies with 5 CFR 1320.9 and the related provisions of 5</w:t>
      </w:r>
      <w:r w:rsidR="009828D4">
        <w:t xml:space="preserve"> </w:t>
      </w:r>
      <w:r w:rsidRPr="00BB2B1E">
        <w:t>CFR 1320.8(b)(3).</w:t>
      </w:r>
    </w:p>
    <w:p w:rsidR="00E86967" w:rsidRPr="009214B8" w:rsidP="4FF25C05" w14:paraId="05B61E08" w14:textId="2E07D091">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rPr>
          <w:rFonts w:eastAsia="Calibri" w:cs="Tahoma"/>
          <w:b/>
          <w:bCs/>
        </w:rPr>
      </w:pPr>
      <w:r w:rsidRPr="009214B8">
        <w:rPr>
          <w:rFonts w:eastAsia="Calibri" w:cs="Tahoma"/>
          <w:b/>
          <w:bCs/>
        </w:rPr>
        <w:t>References</w:t>
      </w:r>
    </w:p>
    <w:p w:rsidR="00E86967" w:rsidRPr="009214B8" w:rsidP="4FF25C05" w14:paraId="16D4E97A" w14:textId="42B38582">
      <w:pPr>
        <w:pBdr>
          <w:top w:val="nil"/>
          <w:left w:val="nil"/>
          <w:bottom w:val="nil"/>
          <w:right w:val="nil"/>
          <w:between w:val="nil"/>
        </w:pBdr>
        <w:rPr>
          <w:rFonts w:eastAsia="Aptos Display" w:cs="Tahoma"/>
          <w:szCs w:val="22"/>
        </w:rPr>
      </w:pPr>
      <w:r w:rsidRPr="009214B8">
        <w:rPr>
          <w:rFonts w:eastAsia="Helvetica" w:cs="Tahoma"/>
          <w:color w:val="1B1B1B"/>
          <w:szCs w:val="22"/>
        </w:rPr>
        <w:t xml:space="preserve">Campbell, Lindsay K.; Johnson, Michelle; Svendsen, Erika; Goldberg, Brian; Guzik, Evan; Archual, Paul; McCollister, Chris; Plitt, Sophie; Radwell, Molly. 2023. Strengthening partnerships across the landscape: Bridger-Teton National Forest STEW-MAP report 2021. General Technical Report NRS-213. Madison, WI: U.S. Department of Agriculture, Forest Service, Northern Research Station. 30 p. </w:t>
      </w:r>
      <w:hyperlink r:id="rId17" w:history="1">
        <w:r w:rsidRPr="009214B8">
          <w:rPr>
            <w:rStyle w:val="Hyperlink"/>
            <w:rFonts w:eastAsia="Helvetica" w:cs="Tahoma"/>
            <w:szCs w:val="22"/>
          </w:rPr>
          <w:t>https://doi.org/10.2737/NRS-GTR-213</w:t>
        </w:r>
      </w:hyperlink>
      <w:r w:rsidRPr="009214B8">
        <w:rPr>
          <w:rFonts w:eastAsia="Helvetica" w:cs="Tahoma"/>
          <w:color w:val="1B1B1B"/>
          <w:szCs w:val="22"/>
        </w:rPr>
        <w:t>.</w:t>
      </w:r>
    </w:p>
    <w:p w:rsidR="4FF25C05" w:rsidRPr="009214B8" w:rsidP="2EE61CEF" w14:paraId="73D9F279" w14:textId="6C7AAF1E">
      <w:pPr>
        <w:pBdr>
          <w:top w:val="nil"/>
          <w:left w:val="nil"/>
          <w:bottom w:val="nil"/>
          <w:right w:val="nil"/>
          <w:between w:val="nil"/>
        </w:pBdr>
        <w:rPr>
          <w:rFonts w:cs="Tahoma"/>
        </w:rPr>
      </w:pPr>
      <w:r w:rsidRPr="009214B8">
        <w:rPr>
          <w:rFonts w:eastAsia="Helvetica" w:cs="Tahoma"/>
        </w:rPr>
        <w:t xml:space="preserve">Campbell, L.K., Svendsen, E. S., Johnson, M. L., Piland, N.C., Locke, D.H., Sonti, N.F., Grove, J.M., Romolini, M., McMillen, H.L., Dacks, R., DuBois, B., Sayles, J.S., Muñoz-Erickson, T.A., Landau, L., Jasny, L., Heinlen, K., Arroyave, M., McCarthy, C., Bloniarz, D., Goldberg, B.A., Bauer, G.P., Warziniack, T., Plitt, S., Onofre, J., Heise, N, Zamora-Rendon, A., Garcia Castro, A.M., Harmelin Garcia, N.A. and Flores, B. Reflecting on Local Ecological Stewardship, Care, and Action across Two Decades of Research. Cities and the Environment. Vol 17, Issue 2. </w:t>
      </w:r>
      <w:hyperlink r:id="rId18">
        <w:r w:rsidRPr="009214B8">
          <w:rPr>
            <w:rStyle w:val="Hyperlink"/>
            <w:rFonts w:eastAsia="Helvetica" w:cs="Tahoma"/>
          </w:rPr>
          <w:t>https://digitalcommons.lmu.edu/cgi/viewcontent.cgi?article=1359&amp;context=cate</w:t>
        </w:r>
      </w:hyperlink>
      <w:r w:rsidRPr="009214B8">
        <w:rPr>
          <w:rFonts w:eastAsia="Helvetica" w:cs="Tahoma"/>
        </w:rPr>
        <w:t xml:space="preserve">.  </w:t>
      </w:r>
    </w:p>
    <w:p w:rsidR="004205DD" w:rsidRPr="009214B8" w:rsidP="2EE61CEF" w14:paraId="3199D19A" w14:textId="5B7B6533">
      <w:pPr>
        <w:pBdr>
          <w:top w:val="nil"/>
          <w:left w:val="nil"/>
          <w:bottom w:val="nil"/>
          <w:right w:val="nil"/>
          <w:between w:val="nil"/>
        </w:pBdr>
        <w:rPr>
          <w:rFonts w:eastAsia="Calibri" w:cs="Tahoma"/>
          <w:color w:val="000000" w:themeColor="text1"/>
        </w:rPr>
      </w:pPr>
      <w:r w:rsidRPr="009214B8">
        <w:rPr>
          <w:rFonts w:eastAsia="Calibri" w:cs="Tahoma"/>
          <w:color w:val="000000" w:themeColor="text1"/>
        </w:rPr>
        <w:t xml:space="preserve">Svendsen, Erika S.; Campbell, Lindsay K.; Fisher, Dana R.; Connolly, James J.T.; Johnson, Michelle L.; Sonti, Nancy F.; Locke, Dexter H.; Westphal, Lynne M.; LeBlanc Fisher, Cherie; Grove, J. Morgan; Romolini, Michele; Blahna, Dale J.; Wolf, Kathleen L. 2016. Stewardship mapping and assessment project: a framework for understanding community-based environmental stewardship. Gen. Tech. Rep. 156. Newtown Square, PA: U.S. Department of Agriculture, Forest Service, Northern Research Station. 134 p. </w:t>
      </w:r>
      <w:hyperlink r:id="rId19">
        <w:r w:rsidRPr="009214B8">
          <w:rPr>
            <w:rStyle w:val="Hyperlink"/>
            <w:rFonts w:eastAsia="Calibri" w:cs="Tahoma"/>
          </w:rPr>
          <w:t>https://doi.org/10.2737/NRS-GTR-156</w:t>
        </w:r>
      </w:hyperlink>
      <w:r w:rsidRPr="009214B8">
        <w:rPr>
          <w:rFonts w:eastAsia="Calibri" w:cs="Tahoma"/>
          <w:color w:val="000000" w:themeColor="text1"/>
        </w:rPr>
        <w:t xml:space="preserve">.  </w:t>
      </w:r>
    </w:p>
    <w:p w:rsidR="00E86967" w:rsidRPr="009214B8" w:rsidP="2EE61CEF" w14:paraId="586A9FF5" w14:textId="12D41D27">
      <w:pPr>
        <w:pBdr>
          <w:top w:val="nil"/>
          <w:left w:val="nil"/>
          <w:bottom w:val="nil"/>
          <w:right w:val="nil"/>
          <w:between w:val="nil"/>
        </w:pBdr>
        <w:rPr>
          <w:rFonts w:cs="Tahoma"/>
        </w:rPr>
      </w:pPr>
      <w:r w:rsidRPr="009214B8">
        <w:rPr>
          <w:rFonts w:cs="Tahoma"/>
        </w:rPr>
        <w:t xml:space="preserve">USDA Forest Service. 2025. Missouri Public Data for Missouri Outdoor Connections. Available at </w:t>
      </w:r>
      <w:hyperlink r:id="rId20">
        <w:r w:rsidRPr="009214B8">
          <w:rPr>
            <w:rStyle w:val="Hyperlink"/>
            <w:rFonts w:cs="Tahoma"/>
          </w:rPr>
          <w:t>https://usfs.hub.arcgis.com/maps/596d7810dbbb46c8aff15118b9afc9f7/about</w:t>
        </w:r>
      </w:hyperlink>
      <w:r w:rsidRPr="009214B8">
        <w:rPr>
          <w:rFonts w:cs="Tahoma"/>
        </w:rPr>
        <w:t xml:space="preserve">. </w:t>
      </w:r>
    </w:p>
    <w:sectPr w:rsidSect="00DB142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D49EC" w:rsidP="005B22EB" w14:paraId="588A2BE1" w14:textId="77777777">
      <w:pPr>
        <w:spacing w:after="0" w:line="240" w:lineRule="auto"/>
      </w:pPr>
      <w:r>
        <w:separator/>
      </w:r>
    </w:p>
  </w:endnote>
  <w:endnote w:type="continuationSeparator" w:id="1">
    <w:p w:rsidR="005D49EC" w:rsidP="005B22EB" w14:paraId="002D4B2D" w14:textId="77777777">
      <w:pPr>
        <w:spacing w:after="0" w:line="240" w:lineRule="auto"/>
      </w:pPr>
      <w:r>
        <w:continuationSeparator/>
      </w:r>
    </w:p>
  </w:endnote>
  <w:endnote w:type="continuationNotice" w:id="2">
    <w:p w:rsidR="005D49EC" w14:paraId="59BE25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C51" w14:paraId="5AE8B5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C51" w14:paraId="1FA7AB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49EC" w:rsidP="00675512" w14:paraId="2379B96B" w14:textId="77777777">
      <w:pPr>
        <w:spacing w:after="80" w:line="240" w:lineRule="auto"/>
      </w:pPr>
      <w:r>
        <w:separator/>
      </w:r>
    </w:p>
  </w:footnote>
  <w:footnote w:type="continuationSeparator" w:id="1">
    <w:p w:rsidR="005D49EC" w:rsidP="005B22EB" w14:paraId="78434D5F" w14:textId="77777777">
      <w:pPr>
        <w:spacing w:after="0" w:line="240" w:lineRule="auto"/>
      </w:pPr>
      <w:r>
        <w:continuationSeparator/>
      </w:r>
    </w:p>
  </w:footnote>
  <w:footnote w:type="continuationNotice" w:id="2">
    <w:p w:rsidR="005D49EC" w14:paraId="0CA2F6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C51" w14:paraId="6A60DB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6AF50BA6">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E64482">
      <w:rPr>
        <w:rFonts w:ascii="Arial" w:eastAsia="Times New Roman" w:hAnsi="Arial" w:cs="Times New Roman"/>
        <w:iCs/>
        <w:sz w:val="18"/>
        <w:highlight w:val="yellow"/>
      </w:rPr>
      <w:t>FS-1300-26 (02/2008)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C51" w14:paraId="28829C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4CA4DD5"/>
    <w:multiLevelType w:val="multilevel"/>
    <w:tmpl w:val="69F43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A2228A"/>
    <w:multiLevelType w:val="multilevel"/>
    <w:tmpl w:val="5FA6D1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5A15CA8"/>
    <w:multiLevelType w:val="hybridMultilevel"/>
    <w:tmpl w:val="EA264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6D2B"/>
    <w:multiLevelType w:val="hybridMultilevel"/>
    <w:tmpl w:val="3878A0D4"/>
    <w:lvl w:ilvl="0">
      <w:start w:val="1"/>
      <w:numFmt w:val="lowerLetter"/>
      <w:pStyle w:val="ListNumber2"/>
      <w:lvlText w:val="%1."/>
      <w:lvlJc w:val="left"/>
      <w:pPr>
        <w:tabs>
          <w:tab w:val="num" w:pos="360"/>
        </w:tabs>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303E0999"/>
    <w:multiLevelType w:val="multilevel"/>
    <w:tmpl w:val="C192A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9">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2">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5">
    <w:nsid w:val="51950DF7"/>
    <w:multiLevelType w:val="multilevel"/>
    <w:tmpl w:val="046E44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6FC15E9"/>
    <w:multiLevelType w:val="multilevel"/>
    <w:tmpl w:val="A56CAD1A"/>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621A4D"/>
    <w:multiLevelType w:val="multilevel"/>
    <w:tmpl w:val="6A408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A597CC0"/>
    <w:multiLevelType w:val="multilevel"/>
    <w:tmpl w:val="4EB6EFD6"/>
    <w:lvl w:ilvl="0">
      <w:start w:val="1"/>
      <w:numFmt w:val="decimal"/>
      <w:lvlText w:val="%1."/>
      <w:lvlJc w:val="left"/>
      <w:pPr>
        <w:ind w:left="900" w:hanging="360"/>
      </w:pPr>
      <w:rPr>
        <w:u w:val="singl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4">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33"/>
  </w:num>
  <w:num w:numId="4" w16cid:durableId="1027293285">
    <w:abstractNumId w:val="22"/>
  </w:num>
  <w:num w:numId="5" w16cid:durableId="1423914163">
    <w:abstractNumId w:val="28"/>
  </w:num>
  <w:num w:numId="6" w16cid:durableId="1961182357">
    <w:abstractNumId w:val="14"/>
  </w:num>
  <w:num w:numId="7" w16cid:durableId="1323123688">
    <w:abstractNumId w:val="31"/>
  </w:num>
  <w:num w:numId="8" w16cid:durableId="964850981">
    <w:abstractNumId w:val="24"/>
  </w:num>
  <w:num w:numId="9" w16cid:durableId="246379943">
    <w:abstractNumId w:val="35"/>
  </w:num>
  <w:num w:numId="10" w16cid:durableId="148910166">
    <w:abstractNumId w:val="1"/>
  </w:num>
  <w:num w:numId="11" w16cid:durableId="1841774858">
    <w:abstractNumId w:val="0"/>
  </w:num>
  <w:num w:numId="12" w16cid:durableId="482165416">
    <w:abstractNumId w:val="27"/>
  </w:num>
  <w:num w:numId="13" w16cid:durableId="1130591982">
    <w:abstractNumId w:val="34"/>
    <w:lvlOverride w:ilvl="0">
      <w:startOverride w:val="1"/>
    </w:lvlOverride>
  </w:num>
  <w:num w:numId="14" w16cid:durableId="1318074223">
    <w:abstractNumId w:val="3"/>
  </w:num>
  <w:num w:numId="15" w16cid:durableId="2078433213">
    <w:abstractNumId w:val="2"/>
  </w:num>
  <w:num w:numId="16" w16cid:durableId="1278753932">
    <w:abstractNumId w:val="15"/>
  </w:num>
  <w:num w:numId="17" w16cid:durableId="488402574">
    <w:abstractNumId w:val="21"/>
  </w:num>
  <w:num w:numId="18" w16cid:durableId="748650249">
    <w:abstractNumId w:val="5"/>
    <w:lvlOverride w:ilvl="0">
      <w:startOverride w:val="1"/>
    </w:lvlOverride>
  </w:num>
  <w:num w:numId="19" w16cid:durableId="1382830459">
    <w:abstractNumId w:val="20"/>
  </w:num>
  <w:num w:numId="20" w16cid:durableId="565071397">
    <w:abstractNumId w:val="17"/>
  </w:num>
  <w:num w:numId="21" w16cid:durableId="136805634">
    <w:abstractNumId w:val="6"/>
  </w:num>
  <w:num w:numId="22" w16cid:durableId="1279484090">
    <w:abstractNumId w:val="7"/>
  </w:num>
  <w:num w:numId="23" w16cid:durableId="1446003064">
    <w:abstractNumId w:val="23"/>
  </w:num>
  <w:num w:numId="24" w16cid:durableId="1712614174">
    <w:abstractNumId w:val="13"/>
  </w:num>
  <w:num w:numId="25" w16cid:durableId="224679988">
    <w:abstractNumId w:val="14"/>
    <w:lvlOverride w:ilvl="0">
      <w:startOverride w:val="1"/>
    </w:lvlOverride>
  </w:num>
  <w:num w:numId="26" w16cid:durableId="383018646">
    <w:abstractNumId w:val="18"/>
  </w:num>
  <w:num w:numId="27" w16cid:durableId="681206857">
    <w:abstractNumId w:val="9"/>
  </w:num>
  <w:num w:numId="28" w16cid:durableId="668093488">
    <w:abstractNumId w:val="10"/>
  </w:num>
  <w:num w:numId="29" w16cid:durableId="118426259">
    <w:abstractNumId w:val="26"/>
  </w:num>
  <w:num w:numId="30" w16cid:durableId="1855993203">
    <w:abstractNumId w:val="19"/>
  </w:num>
  <w:num w:numId="31" w16cid:durableId="1697927735">
    <w:abstractNumId w:val="32"/>
  </w:num>
  <w:num w:numId="32" w16cid:durableId="1681855816">
    <w:abstractNumId w:val="25"/>
  </w:num>
  <w:num w:numId="33" w16cid:durableId="1945724994">
    <w:abstractNumId w:val="29"/>
  </w:num>
  <w:num w:numId="34" w16cid:durableId="1593320323">
    <w:abstractNumId w:val="11"/>
  </w:num>
  <w:num w:numId="35" w16cid:durableId="1407848705">
    <w:abstractNumId w:val="12"/>
  </w:num>
  <w:num w:numId="36" w16cid:durableId="693311825">
    <w:abstractNumId w:val="30"/>
  </w:num>
  <w:num w:numId="37" w16cid:durableId="602107798">
    <w:abstractNumId w:val="16"/>
  </w:num>
  <w:num w:numId="38" w16cid:durableId="540359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hyphenationZone w:val="425"/>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2D34"/>
    <w:rsid w:val="000141BA"/>
    <w:rsid w:val="00022D21"/>
    <w:rsid w:val="00023313"/>
    <w:rsid w:val="00030674"/>
    <w:rsid w:val="000313C5"/>
    <w:rsid w:val="000338C4"/>
    <w:rsid w:val="00043564"/>
    <w:rsid w:val="00045663"/>
    <w:rsid w:val="00046EAE"/>
    <w:rsid w:val="00051E79"/>
    <w:rsid w:val="000604D7"/>
    <w:rsid w:val="00062303"/>
    <w:rsid w:val="00063D93"/>
    <w:rsid w:val="000653EA"/>
    <w:rsid w:val="00066B9C"/>
    <w:rsid w:val="0006773A"/>
    <w:rsid w:val="00070923"/>
    <w:rsid w:val="000709C8"/>
    <w:rsid w:val="000718B5"/>
    <w:rsid w:val="00072FAA"/>
    <w:rsid w:val="000905F4"/>
    <w:rsid w:val="000952F6"/>
    <w:rsid w:val="00095DB3"/>
    <w:rsid w:val="000A15F8"/>
    <w:rsid w:val="000A3250"/>
    <w:rsid w:val="000A3F3B"/>
    <w:rsid w:val="000A60DF"/>
    <w:rsid w:val="000B121E"/>
    <w:rsid w:val="000B3689"/>
    <w:rsid w:val="000B5DCA"/>
    <w:rsid w:val="000C3891"/>
    <w:rsid w:val="000C3E7B"/>
    <w:rsid w:val="000C47DA"/>
    <w:rsid w:val="000D10BF"/>
    <w:rsid w:val="000D1D9A"/>
    <w:rsid w:val="000D7C6E"/>
    <w:rsid w:val="000E01E9"/>
    <w:rsid w:val="000F71BD"/>
    <w:rsid w:val="001107D1"/>
    <w:rsid w:val="00111671"/>
    <w:rsid w:val="00114532"/>
    <w:rsid w:val="001153A0"/>
    <w:rsid w:val="00115F0C"/>
    <w:rsid w:val="00141E46"/>
    <w:rsid w:val="00142963"/>
    <w:rsid w:val="00144FB3"/>
    <w:rsid w:val="00145E6F"/>
    <w:rsid w:val="00152BC9"/>
    <w:rsid w:val="001573F2"/>
    <w:rsid w:val="00160377"/>
    <w:rsid w:val="0016628A"/>
    <w:rsid w:val="00170212"/>
    <w:rsid w:val="00170503"/>
    <w:rsid w:val="00170ED6"/>
    <w:rsid w:val="001740C5"/>
    <w:rsid w:val="00182406"/>
    <w:rsid w:val="001833B9"/>
    <w:rsid w:val="00192BAC"/>
    <w:rsid w:val="001939A9"/>
    <w:rsid w:val="00193CB9"/>
    <w:rsid w:val="001955A0"/>
    <w:rsid w:val="00196BAF"/>
    <w:rsid w:val="001A2276"/>
    <w:rsid w:val="001A35D9"/>
    <w:rsid w:val="001A4BB4"/>
    <w:rsid w:val="001B278D"/>
    <w:rsid w:val="001B318B"/>
    <w:rsid w:val="001C504C"/>
    <w:rsid w:val="001C51E0"/>
    <w:rsid w:val="001E686D"/>
    <w:rsid w:val="001F12FB"/>
    <w:rsid w:val="00207117"/>
    <w:rsid w:val="00211A03"/>
    <w:rsid w:val="002162AD"/>
    <w:rsid w:val="00217674"/>
    <w:rsid w:val="0022283E"/>
    <w:rsid w:val="00222B1B"/>
    <w:rsid w:val="0022757F"/>
    <w:rsid w:val="00230790"/>
    <w:rsid w:val="002327B4"/>
    <w:rsid w:val="00232D08"/>
    <w:rsid w:val="002336A1"/>
    <w:rsid w:val="00235BF6"/>
    <w:rsid w:val="002372C9"/>
    <w:rsid w:val="002437EA"/>
    <w:rsid w:val="0024390E"/>
    <w:rsid w:val="00243DF4"/>
    <w:rsid w:val="00244844"/>
    <w:rsid w:val="00245D26"/>
    <w:rsid w:val="00247678"/>
    <w:rsid w:val="002512D8"/>
    <w:rsid w:val="00255C28"/>
    <w:rsid w:val="002568E6"/>
    <w:rsid w:val="00267B83"/>
    <w:rsid w:val="0027229D"/>
    <w:rsid w:val="0027494B"/>
    <w:rsid w:val="002752D0"/>
    <w:rsid w:val="002804F0"/>
    <w:rsid w:val="0028120D"/>
    <w:rsid w:val="0028147E"/>
    <w:rsid w:val="00295155"/>
    <w:rsid w:val="002956F3"/>
    <w:rsid w:val="002A0A3B"/>
    <w:rsid w:val="002A6B43"/>
    <w:rsid w:val="002C0709"/>
    <w:rsid w:val="002C2D7B"/>
    <w:rsid w:val="002C3965"/>
    <w:rsid w:val="002C5922"/>
    <w:rsid w:val="002C5D6B"/>
    <w:rsid w:val="002C5E35"/>
    <w:rsid w:val="002C5F3A"/>
    <w:rsid w:val="002D0305"/>
    <w:rsid w:val="002D10AC"/>
    <w:rsid w:val="002D4ED3"/>
    <w:rsid w:val="002D6026"/>
    <w:rsid w:val="002D712F"/>
    <w:rsid w:val="002E201E"/>
    <w:rsid w:val="002E2C33"/>
    <w:rsid w:val="002F1671"/>
    <w:rsid w:val="002F2C2C"/>
    <w:rsid w:val="00302B46"/>
    <w:rsid w:val="00303137"/>
    <w:rsid w:val="00305964"/>
    <w:rsid w:val="00305FB0"/>
    <w:rsid w:val="003064E2"/>
    <w:rsid w:val="003102B6"/>
    <w:rsid w:val="00312E38"/>
    <w:rsid w:val="00314EC4"/>
    <w:rsid w:val="00315D7B"/>
    <w:rsid w:val="00316A6F"/>
    <w:rsid w:val="00321459"/>
    <w:rsid w:val="00321B25"/>
    <w:rsid w:val="00327896"/>
    <w:rsid w:val="00327D49"/>
    <w:rsid w:val="00343642"/>
    <w:rsid w:val="003520D1"/>
    <w:rsid w:val="003549B6"/>
    <w:rsid w:val="003579A9"/>
    <w:rsid w:val="00360074"/>
    <w:rsid w:val="00360F47"/>
    <w:rsid w:val="00363EE6"/>
    <w:rsid w:val="00376C2B"/>
    <w:rsid w:val="003801D4"/>
    <w:rsid w:val="00380690"/>
    <w:rsid w:val="0038337A"/>
    <w:rsid w:val="00384D76"/>
    <w:rsid w:val="0038649C"/>
    <w:rsid w:val="0039036A"/>
    <w:rsid w:val="00390EE7"/>
    <w:rsid w:val="00394A4D"/>
    <w:rsid w:val="003A4730"/>
    <w:rsid w:val="003B2B6E"/>
    <w:rsid w:val="003C158F"/>
    <w:rsid w:val="003C1BB6"/>
    <w:rsid w:val="003D2D8E"/>
    <w:rsid w:val="003E0F2C"/>
    <w:rsid w:val="003E230B"/>
    <w:rsid w:val="003E53A8"/>
    <w:rsid w:val="003E54AC"/>
    <w:rsid w:val="003E6374"/>
    <w:rsid w:val="003E6BCE"/>
    <w:rsid w:val="003F73DC"/>
    <w:rsid w:val="003F742C"/>
    <w:rsid w:val="00400A7D"/>
    <w:rsid w:val="00405ED7"/>
    <w:rsid w:val="00407342"/>
    <w:rsid w:val="0040744A"/>
    <w:rsid w:val="0041088C"/>
    <w:rsid w:val="00411F2A"/>
    <w:rsid w:val="004179FC"/>
    <w:rsid w:val="00420010"/>
    <w:rsid w:val="004205DD"/>
    <w:rsid w:val="0042212C"/>
    <w:rsid w:val="00423639"/>
    <w:rsid w:val="00424DB8"/>
    <w:rsid w:val="00427792"/>
    <w:rsid w:val="00427BA7"/>
    <w:rsid w:val="00432318"/>
    <w:rsid w:val="0043383E"/>
    <w:rsid w:val="0043405F"/>
    <w:rsid w:val="0044250B"/>
    <w:rsid w:val="00446261"/>
    <w:rsid w:val="00453BDF"/>
    <w:rsid w:val="00462B25"/>
    <w:rsid w:val="00464559"/>
    <w:rsid w:val="00466485"/>
    <w:rsid w:val="00471C0A"/>
    <w:rsid w:val="00472BF1"/>
    <w:rsid w:val="0047307D"/>
    <w:rsid w:val="0047323F"/>
    <w:rsid w:val="004804C5"/>
    <w:rsid w:val="004812D3"/>
    <w:rsid w:val="00496DF4"/>
    <w:rsid w:val="004A21FD"/>
    <w:rsid w:val="004A330C"/>
    <w:rsid w:val="004A35B0"/>
    <w:rsid w:val="004A5007"/>
    <w:rsid w:val="004A5B52"/>
    <w:rsid w:val="004A5CEE"/>
    <w:rsid w:val="004A62ED"/>
    <w:rsid w:val="004B2848"/>
    <w:rsid w:val="004B4D84"/>
    <w:rsid w:val="004B73A0"/>
    <w:rsid w:val="004C49C4"/>
    <w:rsid w:val="004C6587"/>
    <w:rsid w:val="004D0E92"/>
    <w:rsid w:val="004E2C9C"/>
    <w:rsid w:val="004E763E"/>
    <w:rsid w:val="004F46D3"/>
    <w:rsid w:val="0050063B"/>
    <w:rsid w:val="005012CD"/>
    <w:rsid w:val="00501BFC"/>
    <w:rsid w:val="005035FF"/>
    <w:rsid w:val="00503881"/>
    <w:rsid w:val="005060F1"/>
    <w:rsid w:val="0051468E"/>
    <w:rsid w:val="00523032"/>
    <w:rsid w:val="005247C0"/>
    <w:rsid w:val="00524B5C"/>
    <w:rsid w:val="0053102F"/>
    <w:rsid w:val="00542A61"/>
    <w:rsid w:val="0055080C"/>
    <w:rsid w:val="00551FFD"/>
    <w:rsid w:val="005524E5"/>
    <w:rsid w:val="00553685"/>
    <w:rsid w:val="00554F90"/>
    <w:rsid w:val="005604B4"/>
    <w:rsid w:val="00560EFB"/>
    <w:rsid w:val="00564934"/>
    <w:rsid w:val="00574C0B"/>
    <w:rsid w:val="00580E88"/>
    <w:rsid w:val="0058718F"/>
    <w:rsid w:val="00596EA2"/>
    <w:rsid w:val="005A20C9"/>
    <w:rsid w:val="005A4E4A"/>
    <w:rsid w:val="005A67DF"/>
    <w:rsid w:val="005B0AEC"/>
    <w:rsid w:val="005B22EB"/>
    <w:rsid w:val="005C1827"/>
    <w:rsid w:val="005D38D9"/>
    <w:rsid w:val="005D49EC"/>
    <w:rsid w:val="005E1BE1"/>
    <w:rsid w:val="005E2CA9"/>
    <w:rsid w:val="005E5338"/>
    <w:rsid w:val="005F09DA"/>
    <w:rsid w:val="005F1788"/>
    <w:rsid w:val="005F1E08"/>
    <w:rsid w:val="005F343C"/>
    <w:rsid w:val="006017F7"/>
    <w:rsid w:val="00602965"/>
    <w:rsid w:val="00604AD2"/>
    <w:rsid w:val="00607335"/>
    <w:rsid w:val="00607FED"/>
    <w:rsid w:val="00613F1F"/>
    <w:rsid w:val="00615BCD"/>
    <w:rsid w:val="006230C6"/>
    <w:rsid w:val="00625556"/>
    <w:rsid w:val="006278DB"/>
    <w:rsid w:val="0063029E"/>
    <w:rsid w:val="00630E33"/>
    <w:rsid w:val="006311FF"/>
    <w:rsid w:val="006318C8"/>
    <w:rsid w:val="00631A79"/>
    <w:rsid w:val="006371BC"/>
    <w:rsid w:val="0064137B"/>
    <w:rsid w:val="00642EB4"/>
    <w:rsid w:val="00650FCD"/>
    <w:rsid w:val="00655D8C"/>
    <w:rsid w:val="006608D0"/>
    <w:rsid w:val="0066279B"/>
    <w:rsid w:val="00671653"/>
    <w:rsid w:val="006722BD"/>
    <w:rsid w:val="00675512"/>
    <w:rsid w:val="00683B4A"/>
    <w:rsid w:val="00696D76"/>
    <w:rsid w:val="00696F89"/>
    <w:rsid w:val="006B0B43"/>
    <w:rsid w:val="006C1882"/>
    <w:rsid w:val="006C1D36"/>
    <w:rsid w:val="006C36D4"/>
    <w:rsid w:val="006D253E"/>
    <w:rsid w:val="006D4140"/>
    <w:rsid w:val="006D50A7"/>
    <w:rsid w:val="006D79FF"/>
    <w:rsid w:val="006E3C68"/>
    <w:rsid w:val="006E432E"/>
    <w:rsid w:val="006E4701"/>
    <w:rsid w:val="006E611E"/>
    <w:rsid w:val="006E648A"/>
    <w:rsid w:val="006F0A5B"/>
    <w:rsid w:val="006F19A3"/>
    <w:rsid w:val="006F1CFD"/>
    <w:rsid w:val="006F3802"/>
    <w:rsid w:val="006F3EE7"/>
    <w:rsid w:val="006F51FC"/>
    <w:rsid w:val="006F5D8D"/>
    <w:rsid w:val="00704398"/>
    <w:rsid w:val="00706D95"/>
    <w:rsid w:val="00716DDD"/>
    <w:rsid w:val="007224F7"/>
    <w:rsid w:val="00725436"/>
    <w:rsid w:val="0073036C"/>
    <w:rsid w:val="00735500"/>
    <w:rsid w:val="007446CE"/>
    <w:rsid w:val="007510A3"/>
    <w:rsid w:val="00756025"/>
    <w:rsid w:val="00756A74"/>
    <w:rsid w:val="00763A13"/>
    <w:rsid w:val="007641C5"/>
    <w:rsid w:val="00765937"/>
    <w:rsid w:val="00771E4E"/>
    <w:rsid w:val="0077347F"/>
    <w:rsid w:val="007878F0"/>
    <w:rsid w:val="00790AE3"/>
    <w:rsid w:val="00796147"/>
    <w:rsid w:val="007A0A73"/>
    <w:rsid w:val="007A48EF"/>
    <w:rsid w:val="007A533D"/>
    <w:rsid w:val="007A76C5"/>
    <w:rsid w:val="007A7A70"/>
    <w:rsid w:val="007B3EA5"/>
    <w:rsid w:val="007C0949"/>
    <w:rsid w:val="007C27EF"/>
    <w:rsid w:val="007C5A17"/>
    <w:rsid w:val="007C7A57"/>
    <w:rsid w:val="007C7B3F"/>
    <w:rsid w:val="007D30A6"/>
    <w:rsid w:val="007E5366"/>
    <w:rsid w:val="007E6081"/>
    <w:rsid w:val="00800202"/>
    <w:rsid w:val="0081045E"/>
    <w:rsid w:val="00812565"/>
    <w:rsid w:val="008126DD"/>
    <w:rsid w:val="00814CCD"/>
    <w:rsid w:val="008153EB"/>
    <w:rsid w:val="00817801"/>
    <w:rsid w:val="00820749"/>
    <w:rsid w:val="00822957"/>
    <w:rsid w:val="008262AF"/>
    <w:rsid w:val="00827CBB"/>
    <w:rsid w:val="0083088A"/>
    <w:rsid w:val="008337AD"/>
    <w:rsid w:val="0083405A"/>
    <w:rsid w:val="00836E3B"/>
    <w:rsid w:val="00844B2F"/>
    <w:rsid w:val="00844F77"/>
    <w:rsid w:val="008472D9"/>
    <w:rsid w:val="008510F3"/>
    <w:rsid w:val="00854CAF"/>
    <w:rsid w:val="00855315"/>
    <w:rsid w:val="008565E4"/>
    <w:rsid w:val="008613A6"/>
    <w:rsid w:val="0086141A"/>
    <w:rsid w:val="008677C3"/>
    <w:rsid w:val="0087495A"/>
    <w:rsid w:val="00875902"/>
    <w:rsid w:val="008759E5"/>
    <w:rsid w:val="0088321A"/>
    <w:rsid w:val="008842A5"/>
    <w:rsid w:val="00893EB8"/>
    <w:rsid w:val="008A5A15"/>
    <w:rsid w:val="008B178A"/>
    <w:rsid w:val="008C0E60"/>
    <w:rsid w:val="008C25AE"/>
    <w:rsid w:val="008C38CF"/>
    <w:rsid w:val="008C395B"/>
    <w:rsid w:val="008C73CD"/>
    <w:rsid w:val="008E2E9B"/>
    <w:rsid w:val="008E4987"/>
    <w:rsid w:val="008E5F3A"/>
    <w:rsid w:val="008F1592"/>
    <w:rsid w:val="008F3405"/>
    <w:rsid w:val="008F608A"/>
    <w:rsid w:val="008F665E"/>
    <w:rsid w:val="008F6AE9"/>
    <w:rsid w:val="008F7777"/>
    <w:rsid w:val="00900AB5"/>
    <w:rsid w:val="009045A6"/>
    <w:rsid w:val="0090492C"/>
    <w:rsid w:val="00905933"/>
    <w:rsid w:val="009148F1"/>
    <w:rsid w:val="00921052"/>
    <w:rsid w:val="009214B8"/>
    <w:rsid w:val="0092791A"/>
    <w:rsid w:val="00932208"/>
    <w:rsid w:val="00941194"/>
    <w:rsid w:val="00941273"/>
    <w:rsid w:val="00943797"/>
    <w:rsid w:val="00963089"/>
    <w:rsid w:val="00975702"/>
    <w:rsid w:val="00981418"/>
    <w:rsid w:val="00981D2D"/>
    <w:rsid w:val="009828D4"/>
    <w:rsid w:val="00983847"/>
    <w:rsid w:val="00983F16"/>
    <w:rsid w:val="00984242"/>
    <w:rsid w:val="00986DA9"/>
    <w:rsid w:val="009905BC"/>
    <w:rsid w:val="00991A4E"/>
    <w:rsid w:val="009A42FF"/>
    <w:rsid w:val="009B07AA"/>
    <w:rsid w:val="009B16C5"/>
    <w:rsid w:val="009B1CDC"/>
    <w:rsid w:val="009B2405"/>
    <w:rsid w:val="009B26C6"/>
    <w:rsid w:val="009B3664"/>
    <w:rsid w:val="009C68ED"/>
    <w:rsid w:val="009C6EB6"/>
    <w:rsid w:val="009D0D50"/>
    <w:rsid w:val="009D34B6"/>
    <w:rsid w:val="009D37F5"/>
    <w:rsid w:val="009E3315"/>
    <w:rsid w:val="009F45E1"/>
    <w:rsid w:val="009F5E0B"/>
    <w:rsid w:val="009F72CD"/>
    <w:rsid w:val="00A06B97"/>
    <w:rsid w:val="00A124A3"/>
    <w:rsid w:val="00A12FDA"/>
    <w:rsid w:val="00A17A72"/>
    <w:rsid w:val="00A213E9"/>
    <w:rsid w:val="00A22FCB"/>
    <w:rsid w:val="00A23B00"/>
    <w:rsid w:val="00A32CAD"/>
    <w:rsid w:val="00A56996"/>
    <w:rsid w:val="00A6059B"/>
    <w:rsid w:val="00A62921"/>
    <w:rsid w:val="00A64908"/>
    <w:rsid w:val="00A76E1E"/>
    <w:rsid w:val="00A77093"/>
    <w:rsid w:val="00A8188E"/>
    <w:rsid w:val="00A8275C"/>
    <w:rsid w:val="00A835BB"/>
    <w:rsid w:val="00A8581E"/>
    <w:rsid w:val="00A870F0"/>
    <w:rsid w:val="00A91210"/>
    <w:rsid w:val="00A955EE"/>
    <w:rsid w:val="00A977C5"/>
    <w:rsid w:val="00AB5668"/>
    <w:rsid w:val="00AC0D28"/>
    <w:rsid w:val="00AC11D8"/>
    <w:rsid w:val="00AD03F9"/>
    <w:rsid w:val="00AD1301"/>
    <w:rsid w:val="00AD27BD"/>
    <w:rsid w:val="00AD31D4"/>
    <w:rsid w:val="00AE0E98"/>
    <w:rsid w:val="00AE7046"/>
    <w:rsid w:val="00AF0315"/>
    <w:rsid w:val="00AF1493"/>
    <w:rsid w:val="00B04FF8"/>
    <w:rsid w:val="00B05F41"/>
    <w:rsid w:val="00B063C3"/>
    <w:rsid w:val="00B077F9"/>
    <w:rsid w:val="00B15C6B"/>
    <w:rsid w:val="00B26C78"/>
    <w:rsid w:val="00B318F5"/>
    <w:rsid w:val="00B321E4"/>
    <w:rsid w:val="00B3305E"/>
    <w:rsid w:val="00B34E7A"/>
    <w:rsid w:val="00B36551"/>
    <w:rsid w:val="00B5315B"/>
    <w:rsid w:val="00B5446E"/>
    <w:rsid w:val="00B60BC3"/>
    <w:rsid w:val="00B6672E"/>
    <w:rsid w:val="00B71A4A"/>
    <w:rsid w:val="00B74957"/>
    <w:rsid w:val="00B76AE6"/>
    <w:rsid w:val="00B867EA"/>
    <w:rsid w:val="00BB2B1E"/>
    <w:rsid w:val="00BB5AE1"/>
    <w:rsid w:val="00BC4D59"/>
    <w:rsid w:val="00BC5827"/>
    <w:rsid w:val="00BC6B7B"/>
    <w:rsid w:val="00BD1DD0"/>
    <w:rsid w:val="00BD25FE"/>
    <w:rsid w:val="00BD3D09"/>
    <w:rsid w:val="00BE0274"/>
    <w:rsid w:val="00BE04E9"/>
    <w:rsid w:val="00BE1731"/>
    <w:rsid w:val="00BE27B0"/>
    <w:rsid w:val="00BF1627"/>
    <w:rsid w:val="00C003D9"/>
    <w:rsid w:val="00C0376C"/>
    <w:rsid w:val="00C0567B"/>
    <w:rsid w:val="00C0791B"/>
    <w:rsid w:val="00C07FBE"/>
    <w:rsid w:val="00C13AAD"/>
    <w:rsid w:val="00C14529"/>
    <w:rsid w:val="00C15AD5"/>
    <w:rsid w:val="00C175C4"/>
    <w:rsid w:val="00C17CF5"/>
    <w:rsid w:val="00C24ECE"/>
    <w:rsid w:val="00C261E7"/>
    <w:rsid w:val="00C300EA"/>
    <w:rsid w:val="00C33C3E"/>
    <w:rsid w:val="00C4075C"/>
    <w:rsid w:val="00C4314B"/>
    <w:rsid w:val="00C431CD"/>
    <w:rsid w:val="00C53784"/>
    <w:rsid w:val="00C56240"/>
    <w:rsid w:val="00C564C6"/>
    <w:rsid w:val="00C56E6F"/>
    <w:rsid w:val="00C572F1"/>
    <w:rsid w:val="00C60CBF"/>
    <w:rsid w:val="00C70248"/>
    <w:rsid w:val="00C70965"/>
    <w:rsid w:val="00C76148"/>
    <w:rsid w:val="00C81B53"/>
    <w:rsid w:val="00C83870"/>
    <w:rsid w:val="00C85E77"/>
    <w:rsid w:val="00C87030"/>
    <w:rsid w:val="00C90218"/>
    <w:rsid w:val="00C90724"/>
    <w:rsid w:val="00C92B78"/>
    <w:rsid w:val="00C947DA"/>
    <w:rsid w:val="00C9745A"/>
    <w:rsid w:val="00CA0417"/>
    <w:rsid w:val="00CA128D"/>
    <w:rsid w:val="00CA1D7E"/>
    <w:rsid w:val="00CA54A5"/>
    <w:rsid w:val="00CA5E73"/>
    <w:rsid w:val="00CB76CF"/>
    <w:rsid w:val="00CC014C"/>
    <w:rsid w:val="00CC1763"/>
    <w:rsid w:val="00CC47F7"/>
    <w:rsid w:val="00CC5E57"/>
    <w:rsid w:val="00CC66D1"/>
    <w:rsid w:val="00CD0ED7"/>
    <w:rsid w:val="00CD4FDF"/>
    <w:rsid w:val="00CE3392"/>
    <w:rsid w:val="00CE39F3"/>
    <w:rsid w:val="00CE3C24"/>
    <w:rsid w:val="00D0003C"/>
    <w:rsid w:val="00D0112C"/>
    <w:rsid w:val="00D01848"/>
    <w:rsid w:val="00D06920"/>
    <w:rsid w:val="00D10E41"/>
    <w:rsid w:val="00D139CE"/>
    <w:rsid w:val="00D16A15"/>
    <w:rsid w:val="00D207D4"/>
    <w:rsid w:val="00D22482"/>
    <w:rsid w:val="00D24FD1"/>
    <w:rsid w:val="00D2549C"/>
    <w:rsid w:val="00D27B4D"/>
    <w:rsid w:val="00D328B5"/>
    <w:rsid w:val="00D32C07"/>
    <w:rsid w:val="00D35D73"/>
    <w:rsid w:val="00D36E49"/>
    <w:rsid w:val="00D3706F"/>
    <w:rsid w:val="00D4588D"/>
    <w:rsid w:val="00D47859"/>
    <w:rsid w:val="00D47D11"/>
    <w:rsid w:val="00D514D7"/>
    <w:rsid w:val="00D53D2B"/>
    <w:rsid w:val="00D53E8C"/>
    <w:rsid w:val="00D540FF"/>
    <w:rsid w:val="00D55FA0"/>
    <w:rsid w:val="00D61159"/>
    <w:rsid w:val="00D649FC"/>
    <w:rsid w:val="00D71B78"/>
    <w:rsid w:val="00D71BA8"/>
    <w:rsid w:val="00D763BB"/>
    <w:rsid w:val="00D76494"/>
    <w:rsid w:val="00D86BFE"/>
    <w:rsid w:val="00D8757C"/>
    <w:rsid w:val="00D92645"/>
    <w:rsid w:val="00D951B5"/>
    <w:rsid w:val="00DB0A89"/>
    <w:rsid w:val="00DB1426"/>
    <w:rsid w:val="00DB15A1"/>
    <w:rsid w:val="00DB1A0F"/>
    <w:rsid w:val="00DD4246"/>
    <w:rsid w:val="00DD6F22"/>
    <w:rsid w:val="00DE0884"/>
    <w:rsid w:val="00DE6DE4"/>
    <w:rsid w:val="00DF31C9"/>
    <w:rsid w:val="00E01786"/>
    <w:rsid w:val="00E15E4A"/>
    <w:rsid w:val="00E21322"/>
    <w:rsid w:val="00E23ED8"/>
    <w:rsid w:val="00E241AE"/>
    <w:rsid w:val="00E24446"/>
    <w:rsid w:val="00E26AC9"/>
    <w:rsid w:val="00E30E44"/>
    <w:rsid w:val="00E34412"/>
    <w:rsid w:val="00E34677"/>
    <w:rsid w:val="00E36E71"/>
    <w:rsid w:val="00E424A3"/>
    <w:rsid w:val="00E42CD7"/>
    <w:rsid w:val="00E46C94"/>
    <w:rsid w:val="00E47B11"/>
    <w:rsid w:val="00E53F6C"/>
    <w:rsid w:val="00E565F3"/>
    <w:rsid w:val="00E568A6"/>
    <w:rsid w:val="00E64482"/>
    <w:rsid w:val="00E65702"/>
    <w:rsid w:val="00E75348"/>
    <w:rsid w:val="00E76D50"/>
    <w:rsid w:val="00E76DAB"/>
    <w:rsid w:val="00E77216"/>
    <w:rsid w:val="00E8224F"/>
    <w:rsid w:val="00E836F3"/>
    <w:rsid w:val="00E86967"/>
    <w:rsid w:val="00E87F98"/>
    <w:rsid w:val="00E94236"/>
    <w:rsid w:val="00E958C9"/>
    <w:rsid w:val="00EA17A3"/>
    <w:rsid w:val="00EA3BA5"/>
    <w:rsid w:val="00EB2C0A"/>
    <w:rsid w:val="00EB32B3"/>
    <w:rsid w:val="00EB4F48"/>
    <w:rsid w:val="00EB558A"/>
    <w:rsid w:val="00EB77DA"/>
    <w:rsid w:val="00EC29A4"/>
    <w:rsid w:val="00EC5585"/>
    <w:rsid w:val="00EC7D20"/>
    <w:rsid w:val="00ED14F3"/>
    <w:rsid w:val="00EE0D50"/>
    <w:rsid w:val="00EE47AC"/>
    <w:rsid w:val="00EE6428"/>
    <w:rsid w:val="00EF176E"/>
    <w:rsid w:val="00EF1DEE"/>
    <w:rsid w:val="00EF30DE"/>
    <w:rsid w:val="00EF3168"/>
    <w:rsid w:val="00EF5F47"/>
    <w:rsid w:val="00EF6F22"/>
    <w:rsid w:val="00EF7271"/>
    <w:rsid w:val="00F06289"/>
    <w:rsid w:val="00F07A1E"/>
    <w:rsid w:val="00F11328"/>
    <w:rsid w:val="00F13705"/>
    <w:rsid w:val="00F16FB4"/>
    <w:rsid w:val="00F252D7"/>
    <w:rsid w:val="00F26D2B"/>
    <w:rsid w:val="00F32429"/>
    <w:rsid w:val="00F33021"/>
    <w:rsid w:val="00F34630"/>
    <w:rsid w:val="00F3791D"/>
    <w:rsid w:val="00F41464"/>
    <w:rsid w:val="00F467AB"/>
    <w:rsid w:val="00F475F4"/>
    <w:rsid w:val="00F50053"/>
    <w:rsid w:val="00F545C9"/>
    <w:rsid w:val="00F64109"/>
    <w:rsid w:val="00F700D5"/>
    <w:rsid w:val="00F72CC1"/>
    <w:rsid w:val="00F737E8"/>
    <w:rsid w:val="00F746BB"/>
    <w:rsid w:val="00F80631"/>
    <w:rsid w:val="00F84120"/>
    <w:rsid w:val="00F854E0"/>
    <w:rsid w:val="00F92088"/>
    <w:rsid w:val="00F95BFF"/>
    <w:rsid w:val="00F97352"/>
    <w:rsid w:val="00FB0679"/>
    <w:rsid w:val="00FB2885"/>
    <w:rsid w:val="00FB3C51"/>
    <w:rsid w:val="00FB3CFF"/>
    <w:rsid w:val="00FB3DAD"/>
    <w:rsid w:val="00FB5A5B"/>
    <w:rsid w:val="00FC1587"/>
    <w:rsid w:val="00FD0635"/>
    <w:rsid w:val="00FD0E4E"/>
    <w:rsid w:val="00FD2BEF"/>
    <w:rsid w:val="00FE34FA"/>
    <w:rsid w:val="00FE3845"/>
    <w:rsid w:val="00FF0505"/>
    <w:rsid w:val="00FF4944"/>
    <w:rsid w:val="02F533E1"/>
    <w:rsid w:val="0390647A"/>
    <w:rsid w:val="08BCDF0E"/>
    <w:rsid w:val="0FF70645"/>
    <w:rsid w:val="155BA2A3"/>
    <w:rsid w:val="15F107DF"/>
    <w:rsid w:val="193223DE"/>
    <w:rsid w:val="2115A7D5"/>
    <w:rsid w:val="275C4162"/>
    <w:rsid w:val="2D17780D"/>
    <w:rsid w:val="2EE61CEF"/>
    <w:rsid w:val="2F10CDFF"/>
    <w:rsid w:val="32E1E8C1"/>
    <w:rsid w:val="39E667CE"/>
    <w:rsid w:val="3DC0836D"/>
    <w:rsid w:val="3F180E13"/>
    <w:rsid w:val="4539792C"/>
    <w:rsid w:val="4B584DA8"/>
    <w:rsid w:val="4FF25C05"/>
    <w:rsid w:val="67477854"/>
    <w:rsid w:val="69964EB3"/>
    <w:rsid w:val="69A4E709"/>
    <w:rsid w:val="6D9D39D4"/>
    <w:rsid w:val="70861518"/>
    <w:rsid w:val="743031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qFormat/>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uiPriority w:val="99"/>
    <w:qFormat/>
    <w:rsid w:val="003E53A8"/>
    <w:pPr>
      <w:keepNext/>
      <w:keepLines/>
      <w:numPr>
        <w:numId w:val="18"/>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qFormat/>
    <w:rsid w:val="00CC5E57"/>
    <w:pPr>
      <w:numPr>
        <w:numId w:val="6"/>
      </w:numPr>
      <w:tabs>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research.fs.usda.gov/treesearch/50447" TargetMode="External" /><Relationship Id="rId11" Type="http://schemas.openxmlformats.org/officeDocument/2006/relationships/hyperlink" Target="https://experience.arcgis.com/experience/83c1c39f539e4f83acb157b12897463d/page/Homepage" TargetMode="External" /><Relationship Id="rId12" Type="http://schemas.openxmlformats.org/officeDocument/2006/relationships/hyperlink" Target="https://survey123.arcgis.com/share/7c63324e02a04d49a77b4a43cb29d6ca" TargetMode="External" /><Relationship Id="rId13" Type="http://schemas.openxmlformats.org/officeDocument/2006/relationships/hyperlink" Target="mailto:%3ccevers@pdx.edu" TargetMode="External" /><Relationship Id="rId14" Type="http://schemas.openxmlformats.org/officeDocument/2006/relationships/hyperlink" Target="mailto:esilver@msu.edu" TargetMode="External" /><Relationship Id="rId15" Type="http://schemas.openxmlformats.org/officeDocument/2006/relationships/hyperlink" Target="mailto:kpbell@maine.edu" TargetMode="External" /><Relationship Id="rId16" Type="http://schemas.openxmlformats.org/officeDocument/2006/relationships/hyperlink" Target="http://www.bls.gov/oes/current/oes119151.htm" TargetMode="External" /><Relationship Id="rId17" Type="http://schemas.openxmlformats.org/officeDocument/2006/relationships/hyperlink" Target="https://doi.org/10.2737/NRS-GTR-213" TargetMode="External" /><Relationship Id="rId18" Type="http://schemas.openxmlformats.org/officeDocument/2006/relationships/hyperlink" Target="https://digitalcommons.lmu.edu/cgi/viewcontent.cgi?article=1359&amp;context=cate" TargetMode="External" /><Relationship Id="rId19" Type="http://schemas.openxmlformats.org/officeDocument/2006/relationships/hyperlink" Target="https://doi.org/10.2737/NRS-GTR-156" TargetMode="External" /><Relationship Id="rId2" Type="http://schemas.openxmlformats.org/officeDocument/2006/relationships/endnotes" Target="endnotes.xml" /><Relationship Id="rId20" Type="http://schemas.openxmlformats.org/officeDocument/2006/relationships/hyperlink" Target="https://usfs.hub.arcgis.com/maps/596d7810dbbb46c8aff15118b9afc9f7/about" TargetMode="Externa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3.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A1E8-31B1-47CC-A03F-08D55D4A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41E10-B1B8-40BC-8E1F-75843675F174}">
  <ds:schemaRefs>
    <ds:schemaRef ds:uri="http://schemas.microsoft.com/office/2006/metadata/properties"/>
    <ds:schemaRef ds:uri="http://schemas.microsoft.com/office/infopath/2007/PartnerControls"/>
    <ds:schemaRef ds:uri="7e25f8c5-80a9-4574-a617-5c233853156a"/>
    <ds:schemaRef ds:uri="ca3979a3-3465-418c-982b-0defcebcf79e"/>
  </ds:schemaRefs>
</ds:datastoreItem>
</file>

<file path=customXml/itemProps3.xml><?xml version="1.0" encoding="utf-8"?>
<ds:datastoreItem xmlns:ds="http://schemas.openxmlformats.org/officeDocument/2006/customXml" ds:itemID="{03501A9C-8385-4BAF-BEB5-9CE83F57B5C6}">
  <ds:schemaRefs>
    <ds:schemaRef ds:uri="http://schemas.microsoft.com/sharepoint/v3/contenttype/forms"/>
  </ds:schemaRefs>
</ds:datastoreItem>
</file>

<file path=customXml/itemProps4.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19</TotalTime>
  <Pages>19</Pages>
  <Words>7980</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Supporting Statement A for Information Collection Request 0596-0240</vt:lpstr>
    </vt:vector>
  </TitlesOfParts>
  <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 0596-0240</dc:title>
  <dc:creator>USDA Forest Service</dc:creator>
  <cp:keywords>Information Collection Request</cp:keywords>
  <cp:lastModifiedBy>Info Collections Specialist</cp:lastModifiedBy>
  <cp:revision>13</cp:revision>
  <dcterms:created xsi:type="dcterms:W3CDTF">2025-09-12T19:30:00Z</dcterms:created>
  <dcterms:modified xsi:type="dcterms:W3CDTF">2025-09-23T15:01:00Z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