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1074" w14:paraId="2B3190B2" w14:textId="1F68B74A">
      <w:pPr>
        <w:pStyle w:val="Heading1"/>
        <w:ind w:left="0"/>
        <w:jc w:val="center"/>
      </w:pPr>
      <w:bookmarkStart w:id="0" w:name="_gjdgxs" w:colFirst="0" w:colLast="0"/>
      <w:bookmarkEnd w:id="0"/>
      <w:r>
        <w:t>SUPPORTING STATEMENT</w:t>
      </w:r>
    </w:p>
    <w:p w:rsidR="00EE1074" w14:paraId="2788C280" w14:textId="77777777">
      <w:pPr>
        <w:ind w:firstLine="14"/>
        <w:jc w:val="center"/>
        <w:rPr>
          <w:b/>
        </w:rPr>
      </w:pPr>
      <w:r>
        <w:rPr>
          <w:b/>
        </w:rPr>
        <w:t>U.S. Department of Commerce</w:t>
      </w:r>
    </w:p>
    <w:p w:rsidR="00EE1074" w14:paraId="449A6711" w14:textId="77777777">
      <w:pPr>
        <w:ind w:firstLine="14"/>
        <w:jc w:val="center"/>
        <w:rPr>
          <w:b/>
        </w:rPr>
      </w:pPr>
      <w:r>
        <w:rPr>
          <w:b/>
        </w:rPr>
        <w:t>National Oceanic &amp; Atmospheric Administration</w:t>
      </w:r>
    </w:p>
    <w:p w:rsidR="00EE1074" w14:paraId="6B298DFB" w14:textId="0004D325">
      <w:pPr>
        <w:ind w:hanging="6"/>
        <w:jc w:val="center"/>
        <w:rPr>
          <w:b/>
        </w:rPr>
      </w:pPr>
      <w:r>
        <w:rPr>
          <w:b/>
        </w:rPr>
        <w:t xml:space="preserve">Southeast </w:t>
      </w:r>
      <w:r w:rsidR="00984F3C">
        <w:rPr>
          <w:b/>
        </w:rPr>
        <w:t xml:space="preserve">Region </w:t>
      </w:r>
      <w:r>
        <w:rPr>
          <w:b/>
        </w:rPr>
        <w:t xml:space="preserve">Logbook Family of Forms </w:t>
      </w:r>
    </w:p>
    <w:p w:rsidR="00EE1074" w14:paraId="3438B592" w14:textId="327FF0AD">
      <w:pPr>
        <w:ind w:hanging="6"/>
        <w:jc w:val="center"/>
        <w:rPr>
          <w:b/>
        </w:rPr>
      </w:pPr>
      <w:r>
        <w:rPr>
          <w:b/>
        </w:rPr>
        <w:t>OMB Control N</w:t>
      </w:r>
      <w:r w:rsidR="00D041F8">
        <w:rPr>
          <w:b/>
        </w:rPr>
        <w:t>o.</w:t>
      </w:r>
      <w:r>
        <w:rPr>
          <w:b/>
        </w:rPr>
        <w:t xml:space="preserve"> 0648-0016</w:t>
      </w:r>
    </w:p>
    <w:p w:rsidR="00EE1074" w14:paraId="6414F49C" w14:textId="77777777">
      <w:pPr>
        <w:rPr>
          <w:b/>
        </w:rPr>
      </w:pPr>
    </w:p>
    <w:p w:rsidR="00EE1074" w14:paraId="12F8FF1C" w14:textId="77777777">
      <w:pPr>
        <w:rPr>
          <w:b/>
        </w:rPr>
      </w:pPr>
      <w:r>
        <w:rPr>
          <w:b/>
        </w:rPr>
        <w:t>Abstract</w:t>
      </w:r>
    </w:p>
    <w:p w:rsidR="00EE1074" w14:paraId="755F9801" w14:textId="77777777"/>
    <w:p w:rsidR="00EE1074" w14:paraId="3C00CC70" w14:textId="36AAEACC">
      <w:pPr>
        <w:rPr>
          <w:lang w:bidi="en-US"/>
        </w:rPr>
      </w:pPr>
      <w:r w:rsidRPr="00E06DEA">
        <w:rPr>
          <w:lang w:bidi="en-US"/>
        </w:rPr>
        <w:t xml:space="preserve">The </w:t>
      </w:r>
      <w:r>
        <w:rPr>
          <w:lang w:bidi="en-US"/>
        </w:rPr>
        <w:t>National Marine Fisheries Service (</w:t>
      </w:r>
      <w:r w:rsidRPr="00E06DEA">
        <w:rPr>
          <w:lang w:bidi="en-US"/>
        </w:rPr>
        <w:t>NMFS</w:t>
      </w:r>
      <w:r>
        <w:rPr>
          <w:lang w:bidi="en-US"/>
        </w:rPr>
        <w:t>)</w:t>
      </w:r>
      <w:r w:rsidRPr="00E06DEA">
        <w:rPr>
          <w:lang w:bidi="en-US"/>
        </w:rPr>
        <w:t xml:space="preserve"> Southeast Region </w:t>
      </w:r>
      <w:r w:rsidR="00A15D1E">
        <w:rPr>
          <w:lang w:bidi="en-US"/>
        </w:rPr>
        <w:t>is</w:t>
      </w:r>
      <w:r w:rsidRPr="00E06DEA">
        <w:rPr>
          <w:lang w:bidi="en-US"/>
        </w:rPr>
        <w:t xml:space="preserve"> </w:t>
      </w:r>
      <w:r w:rsidR="00840343">
        <w:rPr>
          <w:lang w:bidi="en-US"/>
        </w:rPr>
        <w:t>revis</w:t>
      </w:r>
      <w:r w:rsidR="00A15D1E">
        <w:rPr>
          <w:lang w:bidi="en-US"/>
        </w:rPr>
        <w:t>ing</w:t>
      </w:r>
      <w:r w:rsidR="00840343">
        <w:rPr>
          <w:lang w:bidi="en-US"/>
        </w:rPr>
        <w:t xml:space="preserve"> </w:t>
      </w:r>
      <w:r w:rsidR="00FA0DEC">
        <w:rPr>
          <w:lang w:bidi="en-US"/>
        </w:rPr>
        <w:t>some</w:t>
      </w:r>
      <w:r>
        <w:rPr>
          <w:lang w:bidi="en-US"/>
        </w:rPr>
        <w:t xml:space="preserve"> of </w:t>
      </w:r>
      <w:r w:rsidRPr="00E06DEA">
        <w:rPr>
          <w:lang w:bidi="en-US"/>
        </w:rPr>
        <w:t>the information collection</w:t>
      </w:r>
      <w:r>
        <w:rPr>
          <w:lang w:bidi="en-US"/>
        </w:rPr>
        <w:t>s</w:t>
      </w:r>
      <w:r w:rsidRPr="00E06DEA">
        <w:rPr>
          <w:lang w:bidi="en-US"/>
        </w:rPr>
        <w:t xml:space="preserve"> </w:t>
      </w:r>
      <w:r>
        <w:rPr>
          <w:lang w:bidi="en-US"/>
        </w:rPr>
        <w:t xml:space="preserve">currently </w:t>
      </w:r>
      <w:r w:rsidRPr="00E06DEA">
        <w:rPr>
          <w:lang w:bidi="en-US"/>
        </w:rPr>
        <w:t xml:space="preserve">approved under </w:t>
      </w:r>
      <w:r w:rsidR="00840343">
        <w:rPr>
          <w:lang w:bidi="en-US"/>
        </w:rPr>
        <w:t>the Office of Management and Budget (</w:t>
      </w:r>
      <w:r w:rsidRPr="00E06DEA">
        <w:rPr>
          <w:lang w:bidi="en-US"/>
        </w:rPr>
        <w:t>OMB</w:t>
      </w:r>
      <w:r w:rsidR="00840343">
        <w:rPr>
          <w:lang w:bidi="en-US"/>
        </w:rPr>
        <w:t>)</w:t>
      </w:r>
      <w:r w:rsidRPr="00E06DEA">
        <w:rPr>
          <w:lang w:bidi="en-US"/>
        </w:rPr>
        <w:t xml:space="preserve"> Control Number 0648-</w:t>
      </w:r>
      <w:r>
        <w:rPr>
          <w:lang w:bidi="en-US"/>
        </w:rPr>
        <w:t xml:space="preserve">0016 </w:t>
      </w:r>
      <w:r w:rsidRPr="009272DA">
        <w:rPr>
          <w:lang w:bidi="en-US"/>
        </w:rPr>
        <w:t xml:space="preserve">to comply with </w:t>
      </w:r>
      <w:r>
        <w:rPr>
          <w:lang w:bidi="en-US"/>
        </w:rPr>
        <w:t xml:space="preserve">reinstating previous regulations </w:t>
      </w:r>
      <w:r w:rsidR="00840343">
        <w:rPr>
          <w:lang w:bidi="en-US"/>
        </w:rPr>
        <w:t xml:space="preserve">and the associated information collection </w:t>
      </w:r>
      <w:r>
        <w:rPr>
          <w:lang w:bidi="en-US"/>
        </w:rPr>
        <w:t xml:space="preserve">applicable to certain fishermen. </w:t>
      </w:r>
      <w:r w:rsidR="009A4C6D">
        <w:rPr>
          <w:lang w:bidi="en-US"/>
        </w:rPr>
        <w:t xml:space="preserve">NMFS </w:t>
      </w:r>
      <w:r w:rsidR="00D84891">
        <w:rPr>
          <w:lang w:bidi="en-US"/>
        </w:rPr>
        <w:t>will</w:t>
      </w:r>
      <w:r w:rsidR="009A4C6D">
        <w:rPr>
          <w:lang w:bidi="en-US"/>
        </w:rPr>
        <w:t xml:space="preserve"> remove information collection</w:t>
      </w:r>
      <w:r w:rsidR="006D6AE9">
        <w:rPr>
          <w:lang w:bidi="en-US"/>
        </w:rPr>
        <w:t>s</w:t>
      </w:r>
      <w:r w:rsidR="009A4C6D">
        <w:rPr>
          <w:lang w:bidi="en-US"/>
        </w:rPr>
        <w:t xml:space="preserve"> and </w:t>
      </w:r>
      <w:r w:rsidR="006D6AE9">
        <w:rPr>
          <w:lang w:bidi="en-US"/>
        </w:rPr>
        <w:t>revise components</w:t>
      </w:r>
      <w:r w:rsidR="009A4C6D">
        <w:rPr>
          <w:lang w:bidi="en-US"/>
        </w:rPr>
        <w:t xml:space="preserve"> </w:t>
      </w:r>
      <w:r w:rsidR="006D6AE9">
        <w:rPr>
          <w:lang w:bidi="en-US"/>
        </w:rPr>
        <w:t>of</w:t>
      </w:r>
      <w:r w:rsidR="009A4C6D">
        <w:rPr>
          <w:lang w:bidi="en-US"/>
        </w:rPr>
        <w:t xml:space="preserve"> an</w:t>
      </w:r>
      <w:r w:rsidR="006D6AE9">
        <w:rPr>
          <w:lang w:bidi="en-US"/>
        </w:rPr>
        <w:t>other</w:t>
      </w:r>
      <w:r w:rsidR="009A4C6D">
        <w:rPr>
          <w:lang w:bidi="en-US"/>
        </w:rPr>
        <w:t xml:space="preserve"> information collection </w:t>
      </w:r>
      <w:r w:rsidR="006D6AE9">
        <w:rPr>
          <w:lang w:bidi="en-US"/>
        </w:rPr>
        <w:t xml:space="preserve">to a version </w:t>
      </w:r>
      <w:r w:rsidR="009A4C6D">
        <w:rPr>
          <w:lang w:bidi="en-US"/>
        </w:rPr>
        <w:t xml:space="preserve">previously approved by OMB. </w:t>
      </w:r>
      <w:r w:rsidR="003D245E">
        <w:rPr>
          <w:lang w:bidi="en-US"/>
        </w:rPr>
        <w:t xml:space="preserve">Other information collections approved by OMB currently in 0648-0016 are unchanged. </w:t>
      </w:r>
      <w:r w:rsidR="00840343">
        <w:rPr>
          <w:lang w:bidi="en-US"/>
        </w:rPr>
        <w:t xml:space="preserve">NMFS is taking these actions to comply with </w:t>
      </w:r>
      <w:r w:rsidRPr="009272DA" w:rsidR="00840343">
        <w:rPr>
          <w:lang w:bidi="en-US"/>
        </w:rPr>
        <w:t xml:space="preserve">a court </w:t>
      </w:r>
      <w:r w:rsidR="00840343">
        <w:rPr>
          <w:lang w:bidi="en-US"/>
        </w:rPr>
        <w:t>decision</w:t>
      </w:r>
      <w:r w:rsidRPr="009272DA" w:rsidR="00840343">
        <w:rPr>
          <w:lang w:bidi="en-US"/>
        </w:rPr>
        <w:t xml:space="preserve"> from the U.S. Fifth Circuit Court of Appeals, which</w:t>
      </w:r>
      <w:r w:rsidR="00840343">
        <w:rPr>
          <w:lang w:bidi="en-US"/>
        </w:rPr>
        <w:t xml:space="preserve"> effectively</w:t>
      </w:r>
      <w:r w:rsidRPr="009272DA" w:rsidR="00840343">
        <w:rPr>
          <w:lang w:bidi="en-US"/>
        </w:rPr>
        <w:t xml:space="preserve"> invalidated </w:t>
      </w:r>
      <w:r w:rsidR="00840343">
        <w:rPr>
          <w:lang w:bidi="en-US"/>
        </w:rPr>
        <w:t xml:space="preserve">regulations </w:t>
      </w:r>
      <w:r w:rsidRPr="009272DA" w:rsidR="00034B66">
        <w:rPr>
          <w:lang w:bidi="en-US"/>
        </w:rPr>
        <w:t>previous</w:t>
      </w:r>
      <w:r w:rsidR="00034B66">
        <w:rPr>
          <w:lang w:bidi="en-US"/>
        </w:rPr>
        <w:t>ly</w:t>
      </w:r>
      <w:r w:rsidRPr="009272DA" w:rsidR="00034B66">
        <w:rPr>
          <w:lang w:bidi="en-US"/>
        </w:rPr>
        <w:t xml:space="preserve"> </w:t>
      </w:r>
      <w:r w:rsidRPr="009272DA" w:rsidR="00840343">
        <w:rPr>
          <w:lang w:bidi="en-US"/>
        </w:rPr>
        <w:t>implemented by NMFS.</w:t>
      </w:r>
      <w:r w:rsidR="00840343">
        <w:rPr>
          <w:lang w:bidi="en-US"/>
        </w:rPr>
        <w:t xml:space="preserve"> </w:t>
      </w:r>
    </w:p>
    <w:p w:rsidR="00751B21" w14:paraId="490C194C" w14:textId="77777777"/>
    <w:p w:rsidR="00EE1074" w14:paraId="05AFC845" w14:textId="77777777">
      <w:pPr>
        <w:rPr>
          <w:b/>
        </w:rPr>
      </w:pPr>
      <w:r>
        <w:rPr>
          <w:b/>
        </w:rPr>
        <w:t>Justification</w:t>
      </w:r>
    </w:p>
    <w:p w:rsidR="00EE1074" w14:paraId="43A2C1E7" w14:textId="77777777"/>
    <w:p w:rsidR="00EE1074" w14:paraId="55F595A8" w14:textId="77777777">
      <w:pPr>
        <w:numPr>
          <w:ilvl w:val="0"/>
          <w:numId w:val="1"/>
        </w:numPr>
        <w:pBdr>
          <w:top w:val="nil"/>
          <w:left w:val="nil"/>
          <w:bottom w:val="nil"/>
          <w:right w:val="nil"/>
          <w:between w:val="nil"/>
        </w:pBdr>
        <w:tabs>
          <w:tab w:val="left" w:pos="360"/>
        </w:tabs>
        <w:ind w:left="0" w:firstLine="0"/>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E1074" w14:paraId="497B2699" w14:textId="77777777">
      <w:pPr>
        <w:widowControl/>
        <w:pBdr>
          <w:top w:val="nil"/>
          <w:left w:val="nil"/>
          <w:bottom w:val="nil"/>
          <w:right w:val="nil"/>
          <w:between w:val="nil"/>
        </w:pBdr>
        <w:rPr>
          <w:color w:val="000000"/>
        </w:rPr>
      </w:pPr>
    </w:p>
    <w:p w:rsidR="00EE1074" w14:paraId="148489E3" w14:textId="1DE5394F">
      <w:pPr>
        <w:widowControl/>
        <w:pBdr>
          <w:top w:val="nil"/>
          <w:left w:val="nil"/>
          <w:bottom w:val="nil"/>
          <w:right w:val="nil"/>
          <w:between w:val="nil"/>
        </w:pBdr>
        <w:rPr>
          <w:color w:val="000000"/>
        </w:rPr>
      </w:pPr>
      <w:r>
        <w:rPr>
          <w:color w:val="000000"/>
        </w:rPr>
        <w:t xml:space="preserve">The </w:t>
      </w:r>
      <w:r w:rsidRPr="00321783" w:rsidR="00321783">
        <w:rPr>
          <w:color w:val="000000"/>
        </w:rPr>
        <w:t xml:space="preserve">Magnuson-Stevens </w:t>
      </w:r>
      <w:r w:rsidR="00C35BFB">
        <w:rPr>
          <w:color w:val="000000"/>
        </w:rPr>
        <w:t xml:space="preserve">Fishery Conservation and Management </w:t>
      </w:r>
      <w:r w:rsidRPr="00321783" w:rsidR="00321783">
        <w:rPr>
          <w:color w:val="000000"/>
        </w:rPr>
        <w:t>Act</w:t>
      </w:r>
      <w:r w:rsidR="00C35BFB">
        <w:rPr>
          <w:color w:val="000000"/>
        </w:rPr>
        <w:t xml:space="preserve"> (Magnuson-Stevens Act)</w:t>
      </w:r>
      <w:r>
        <w:rPr>
          <w:color w:val="000000"/>
        </w:rPr>
        <w:t xml:space="preserve"> requires that NMFS and regional fishery management councils prevent overfishing and achieve the optimum yield from federally managed fish stocks on a continuing basis. These mandates are intended to ensure that fishery resources are managed for the greatest overall benefit to the nation, particularly with respect to providing food production and recreational opportunities, and protecting marine ecosystems. To further this goal, the Magnuson-Stevens Act requires the collection of reliable data essential to the effective conservation, management, and scientific understanding of the nation’s fishery resources. Specifically, </w:t>
      </w:r>
      <w:r w:rsidR="002E42EE">
        <w:rPr>
          <w:color w:val="000000"/>
        </w:rPr>
        <w:t>s</w:t>
      </w:r>
      <w:r>
        <w:rPr>
          <w:color w:val="000000"/>
        </w:rPr>
        <w:t>ection 303(a) of the Magnuson-Stevens Act specifies data and analyses to be included in fishery management plans (FMPs), as well as pertinent data that must be submitted to the Secretary of Commerce under those FMPs. Additionally, the collection of recreational fisheries catch and effort data is necessary to comply</w:t>
      </w:r>
      <w:r w:rsidR="002E42EE">
        <w:rPr>
          <w:color w:val="000000"/>
        </w:rPr>
        <w:t xml:space="preserve"> with Executive Order 12962 on recreational f</w:t>
      </w:r>
      <w:r>
        <w:rPr>
          <w:color w:val="000000"/>
        </w:rPr>
        <w:t xml:space="preserve">isheries. </w:t>
      </w:r>
    </w:p>
    <w:p w:rsidR="00EE1074" w14:paraId="3BAA75D3" w14:textId="77777777">
      <w:pPr>
        <w:widowControl/>
        <w:pBdr>
          <w:top w:val="nil"/>
          <w:left w:val="nil"/>
          <w:bottom w:val="nil"/>
          <w:right w:val="nil"/>
          <w:between w:val="nil"/>
        </w:pBdr>
        <w:rPr>
          <w:color w:val="000000"/>
        </w:rPr>
      </w:pPr>
    </w:p>
    <w:p w:rsidR="00EE1074" w:rsidP="007313E4" w14:paraId="0D9C477D" w14:textId="74EE101A">
      <w:pPr>
        <w:widowControl/>
        <w:numPr>
          <w:ilvl w:val="12"/>
          <w:numId w:val="0"/>
        </w:numPr>
      </w:pPr>
      <w:r>
        <w:t xml:space="preserve">NMFS has existing regulations in </w:t>
      </w:r>
      <w:r w:rsidRPr="00561DC9">
        <w:t>50 CFR part 622</w:t>
      </w:r>
      <w:r>
        <w:t xml:space="preserve"> and approved information collections under 0648-0016 that require specific types of recordkeeping and reporting from the fishing industry and the communities to support scientifically based management actions to achieve NMFS’ stewardship responsibilities throughout the U.S. southeast region, which covers marine areas from Texas through North Carolina. </w:t>
      </w:r>
      <w:r w:rsidRPr="00CB7EB1" w:rsidR="002E733F">
        <w:t xml:space="preserve">The </w:t>
      </w:r>
      <w:r w:rsidR="002E42EE">
        <w:t xml:space="preserve">fishing </w:t>
      </w:r>
      <w:r w:rsidRPr="00CB7EB1" w:rsidR="002E42EE">
        <w:t>effort</w:t>
      </w:r>
      <w:r w:rsidR="002E42EE">
        <w:t>,</w:t>
      </w:r>
      <w:r w:rsidRPr="00CB7EB1" w:rsidR="002E42EE">
        <w:t xml:space="preserve"> </w:t>
      </w:r>
      <w:r w:rsidRPr="00CB7EB1" w:rsidR="002E733F">
        <w:t xml:space="preserve">catch, and landings statistics collected by the </w:t>
      </w:r>
      <w:r w:rsidRPr="002E733F" w:rsidR="002E733F">
        <w:t>Southeast Logbook Family of Forms</w:t>
      </w:r>
      <w:r w:rsidRPr="00CB7EB1" w:rsidR="002E733F">
        <w:t xml:space="preserve"> are necessary to </w:t>
      </w:r>
      <w:r w:rsidR="002E733F">
        <w:t>provide</w:t>
      </w:r>
      <w:r w:rsidRPr="00CB7EB1" w:rsidR="002E733F">
        <w:t xml:space="preserve"> NMFS </w:t>
      </w:r>
      <w:r w:rsidR="002E733F">
        <w:t xml:space="preserve">with </w:t>
      </w:r>
      <w:r w:rsidRPr="00CB7EB1" w:rsidR="002E733F">
        <w:t xml:space="preserve">comprehensive and accurate data to estimate fishing mortality. Without these data, a significant increase in the </w:t>
      </w:r>
      <w:r w:rsidRPr="00CB7EB1" w:rsidR="002E733F">
        <w:t>uncertainty of stock assessment analyses is likely to occur and the error bounds around the stock benchmarks, such as maximum sustainable yield, will be unacceptably large.</w:t>
      </w:r>
      <w:r w:rsidR="002E42EE">
        <w:t xml:space="preserve"> </w:t>
      </w:r>
    </w:p>
    <w:p w:rsidR="004A5692" w:rsidP="007313E4" w14:paraId="2E60152B" w14:textId="77777777">
      <w:pPr>
        <w:widowControl/>
        <w:numPr>
          <w:ilvl w:val="12"/>
          <w:numId w:val="0"/>
        </w:numPr>
      </w:pPr>
    </w:p>
    <w:p w:rsidR="004A5692" w:rsidP="004A5692" w14:paraId="7ADFFCE4" w14:textId="097216DE">
      <w:r>
        <w:t>***</w:t>
      </w:r>
      <w:r>
        <w:rPr>
          <w:i/>
          <w:u w:val="single"/>
        </w:rPr>
        <w:t xml:space="preserve">Gulf of </w:t>
      </w:r>
      <w:r w:rsidR="00207472">
        <w:rPr>
          <w:i/>
          <w:u w:val="single"/>
        </w:rPr>
        <w:t>America</w:t>
      </w:r>
      <w:r>
        <w:rPr>
          <w:i/>
          <w:u w:val="single"/>
        </w:rPr>
        <w:t xml:space="preserve"> for-hire electronic reporting</w:t>
      </w:r>
      <w:r>
        <w:t xml:space="preserve">. NMFS </w:t>
      </w:r>
      <w:r w:rsidR="00C1045D">
        <w:t>is removing</w:t>
      </w:r>
      <w:r>
        <w:t xml:space="preserve"> the regulations related to this information collection</w:t>
      </w:r>
      <w:r w:rsidRPr="00D63962">
        <w:t xml:space="preserve"> to comply with a court decision</w:t>
      </w:r>
      <w:r>
        <w:t xml:space="preserve">. Information collection components in 0648-0016 removed by the regulatory change will include submission of a trip declaration; submission of an electronic fishing report on a per-trip basis; landing at verified locations only; submission of a landing location request form if NMFS has not already verified a landing location; installing and maintaining an active vessel monitoring system (VMS); submission of a form verifying successful installation and activation of a VMS unit; and a form to request an exemption to the requirement to maintain an active VMS unit. Further, NMFS will not conduct the fishermen intercept survey used to validate data collected in this program. </w:t>
      </w:r>
    </w:p>
    <w:p w:rsidR="004A5692" w:rsidP="004A5692" w14:paraId="1C493E14" w14:textId="77777777"/>
    <w:p w:rsidR="004A5692" w:rsidP="004A5692" w14:paraId="63D42CC7" w14:textId="19A4FE79">
      <w:r>
        <w:t xml:space="preserve">Also </w:t>
      </w:r>
      <w:r w:rsidR="008E00C2">
        <w:t>resulting from</w:t>
      </w:r>
      <w:r>
        <w:t xml:space="preserve"> the court decision</w:t>
      </w:r>
      <w:r w:rsidR="008E00C2">
        <w:t xml:space="preserve"> and corresponding regulatory changes</w:t>
      </w:r>
      <w:r>
        <w:t xml:space="preserve">, NMFS </w:t>
      </w:r>
      <w:r w:rsidR="00C1045D">
        <w:t xml:space="preserve">is </w:t>
      </w:r>
      <w:r>
        <w:t>reinstat</w:t>
      </w:r>
      <w:r w:rsidR="00C1045D">
        <w:t>ing</w:t>
      </w:r>
      <w:r>
        <w:t xml:space="preserve"> previous regulations applicable to owners and operators of</w:t>
      </w:r>
      <w:r w:rsidR="00F53D38">
        <w:t xml:space="preserve"> recreational</w:t>
      </w:r>
      <w:r>
        <w:t xml:space="preserve"> fishing vessels that participate in the </w:t>
      </w:r>
      <w:r w:rsidRPr="004A5692">
        <w:t xml:space="preserve">Southeast Region Headboat Survey (SRHS). </w:t>
      </w:r>
      <w:r>
        <w:t xml:space="preserve">As a result, recordkeeping and reporting requirements for these fishermen will revert to a previous version of the information collection, which was also approved </w:t>
      </w:r>
      <w:r w:rsidR="00C1045D">
        <w:t xml:space="preserve">previously </w:t>
      </w:r>
      <w:r>
        <w:t>by OMB.***</w:t>
      </w:r>
    </w:p>
    <w:p w:rsidR="00EE1074" w14:paraId="33E22AB1" w14:textId="77777777">
      <w:pPr>
        <w:widowControl/>
        <w:pBdr>
          <w:top w:val="nil"/>
          <w:left w:val="nil"/>
          <w:bottom w:val="nil"/>
          <w:right w:val="nil"/>
          <w:between w:val="nil"/>
        </w:pBdr>
        <w:rPr>
          <w:color w:val="000000"/>
        </w:rPr>
      </w:pPr>
    </w:p>
    <w:p w:rsidR="00EE1074" w14:paraId="068C9EB2" w14:textId="77777777">
      <w:pPr>
        <w:pStyle w:val="Heading1"/>
        <w:numPr>
          <w:ilvl w:val="0"/>
          <w:numId w:val="1"/>
        </w:numPr>
        <w:tabs>
          <w:tab w:val="left" w:pos="360"/>
        </w:tabs>
        <w:ind w:left="0" w:firstLine="0"/>
      </w:pPr>
      <w:r>
        <w:t>Indicate how, by whom, and for what purpose the information is to be used. Except for a new collection, indicate the actual use the agency has made of the information received from the current collection.</w:t>
      </w:r>
    </w:p>
    <w:p w:rsidR="00C35BFB" w14:paraId="7C6FB872" w14:textId="205A2187"/>
    <w:p w:rsidR="00EE1074" w14:paraId="535FE3BD" w14:textId="7F181DAD">
      <w:r w:rsidRPr="00A45C0E">
        <w:t xml:space="preserve">The information provided by the data collection activities in </w:t>
      </w:r>
      <w:r>
        <w:t xml:space="preserve">OMB Control No. </w:t>
      </w:r>
      <w:r w:rsidRPr="00A45C0E">
        <w:t>0648-001</w:t>
      </w:r>
      <w:r>
        <w:t>6</w:t>
      </w:r>
      <w:r w:rsidRPr="00A45C0E">
        <w:t xml:space="preserve"> is used </w:t>
      </w:r>
      <w:r w:rsidR="007313E4">
        <w:t>by several offices of NMFS, f</w:t>
      </w:r>
      <w:r w:rsidRPr="00A45C0E">
        <w:t xml:space="preserve">ishery </w:t>
      </w:r>
      <w:r w:rsidR="007313E4">
        <w:t>management c</w:t>
      </w:r>
      <w:r w:rsidRPr="00A45C0E">
        <w:t>ounc</w:t>
      </w:r>
      <w:r>
        <w:t xml:space="preserve">il staffs, </w:t>
      </w:r>
      <w:r w:rsidR="002E733F">
        <w:t xml:space="preserve">and </w:t>
      </w:r>
      <w:r w:rsidRPr="00A45C0E">
        <w:t>state fishery agencies to develop, implement, and monitor fishery management regimes.</w:t>
      </w:r>
      <w:r w:rsidR="002E42EE">
        <w:t xml:space="preserve"> </w:t>
      </w:r>
      <w:r w:rsidRPr="00A45C0E">
        <w:t xml:space="preserve">NMFS, </w:t>
      </w:r>
      <w:r w:rsidR="007313E4">
        <w:t>f</w:t>
      </w:r>
      <w:r w:rsidRPr="00A45C0E">
        <w:t xml:space="preserve">ishery </w:t>
      </w:r>
      <w:r w:rsidR="007313E4">
        <w:t>m</w:t>
      </w:r>
      <w:r w:rsidRPr="00A45C0E">
        <w:t xml:space="preserve">anagement </w:t>
      </w:r>
      <w:r w:rsidR="007313E4">
        <w:t>c</w:t>
      </w:r>
      <w:r w:rsidRPr="00A45C0E">
        <w:t xml:space="preserve">ouncils, the fishing industry, congressional staff, and the public use summarizations and analyses of </w:t>
      </w:r>
      <w:r>
        <w:t>vessel</w:t>
      </w:r>
      <w:r w:rsidRPr="00A45C0E">
        <w:t xml:space="preserve"> data to answer questions about the nature of fisheries resources</w:t>
      </w:r>
      <w:r>
        <w:t>.</w:t>
      </w:r>
      <w:r w:rsidR="002E42EE">
        <w:t xml:space="preserve"> </w:t>
      </w:r>
      <w:r w:rsidR="00424ED0">
        <w:t xml:space="preserve">Additionally these data serve as input for a variety of uses, such as biological analyses and fish stock assessments; Executive Order 12291 regulatory impact analyses; quota and allocation selections and monitoring; economic profitability profiles; trade and import tariff decisions; allocations of grant funds among states; identify ecological interactions among species. NMFS would be significantly hindered in its ability to fulfill the majority of its scientific research and fishery management missions without these data. </w:t>
      </w:r>
      <w:r w:rsidRPr="00A45C0E">
        <w:t xml:space="preserve">The primary use of these data, however, is to support the management of the fisheries resources under </w:t>
      </w:r>
      <w:r w:rsidR="007313E4">
        <w:t>f</w:t>
      </w:r>
      <w:r w:rsidRPr="00A45C0E">
        <w:t>ederal jurisdiction</w:t>
      </w:r>
      <w:r>
        <w:t>.</w:t>
      </w:r>
      <w:r w:rsidR="002E42EE">
        <w:t xml:space="preserve"> </w:t>
      </w:r>
      <w:r w:rsidRPr="00A45C0E">
        <w:t xml:space="preserve">The </w:t>
      </w:r>
      <w:r w:rsidR="00D84891">
        <w:t>Southeast Fisheries Science Center (</w:t>
      </w:r>
      <w:r w:rsidRPr="00A45C0E">
        <w:t>SEFSC</w:t>
      </w:r>
      <w:r w:rsidR="00D84891">
        <w:t>)</w:t>
      </w:r>
      <w:r w:rsidRPr="00A45C0E">
        <w:t xml:space="preserve"> routinely performs </w:t>
      </w:r>
      <w:r w:rsidR="007313E4">
        <w:t>6</w:t>
      </w:r>
      <w:r w:rsidRPr="00A45C0E">
        <w:t xml:space="preserve"> to </w:t>
      </w:r>
      <w:r w:rsidR="007313E4">
        <w:t>10</w:t>
      </w:r>
      <w:r w:rsidRPr="00A45C0E">
        <w:t xml:space="preserve"> stock assessments per year </w:t>
      </w:r>
      <w:r w:rsidR="00C3711B">
        <w:t xml:space="preserve">using data collected </w:t>
      </w:r>
      <w:r w:rsidR="00B05118">
        <w:t xml:space="preserve">under the </w:t>
      </w:r>
      <w:r w:rsidRPr="00B05118" w:rsidR="00B05118">
        <w:t xml:space="preserve">Southeast Logbook Family of Forms </w:t>
      </w:r>
      <w:r w:rsidRPr="00A45C0E">
        <w:t>(note, an assessment is not necessarily needed for each species every year</w:t>
      </w:r>
      <w:r>
        <w:t xml:space="preserve">; </w:t>
      </w:r>
      <w:r w:rsidRPr="00A45C0E">
        <w:t>consequently</w:t>
      </w:r>
      <w:r>
        <w:t>,</w:t>
      </w:r>
      <w:r w:rsidRPr="00A45C0E">
        <w:t xml:space="preserve"> some assessments are performed every 3 to 5 years). </w:t>
      </w:r>
    </w:p>
    <w:p w:rsidR="00EE1074" w14:paraId="20B0A633" w14:textId="77777777"/>
    <w:p w:rsidR="00EE1074" w14:paraId="33E4B284" w14:textId="547D21CB">
      <w:r>
        <w:t xml:space="preserve">The Southeast Logbook Family of Forms has evolved as a means of collecting data from specific user groups within fisheries that are managed under federally implemented </w:t>
      </w:r>
      <w:r w:rsidRPr="00DD058E">
        <w:t>FMPs</w:t>
      </w:r>
      <w:r w:rsidRPr="00DD058E" w:rsidR="00DD058E">
        <w:t xml:space="preserve">. </w:t>
      </w:r>
      <w:r w:rsidRPr="00DD058E">
        <w:t>N</w:t>
      </w:r>
      <w:r>
        <w:t xml:space="preserve">MFS’ SEFSC has the responsibility for both preparation of stock assessments (estimation of maximum sustainable yield or other indexes of biomass) and collection of the scientific data that are required to perform the assessments. A secondary data collection responsibility is to provide information that is necessary to routinely monitor and evaluate the conditions in the fisheries </w:t>
      </w:r>
      <w:r>
        <w:t>under federal management.</w:t>
      </w:r>
    </w:p>
    <w:p w:rsidR="00EE1074" w14:paraId="67A15070" w14:textId="77777777"/>
    <w:p w:rsidR="00EE1074" w14:paraId="3297B467" w14:textId="77777777">
      <w:r>
        <w:t>Similar data elements are required for most of the logbook forms or electronic reporting systems in this family of forms, although a few variables may be specific to one fishery or type of management technique regulating harvest.</w:t>
      </w:r>
    </w:p>
    <w:p w:rsidR="00EE1074" w14:paraId="00F0937C" w14:textId="77777777"/>
    <w:p w:rsidR="00EE1074" w14:paraId="2856BB23" w14:textId="046B8D5E">
      <w:r>
        <w:t xml:space="preserve">a) Information such as name and address of a vessel operator and owner is used to identify the respondent and the legal entity controlling the fishing practices of the vessel. The legal entity requirement is essential in monitoring the compliance of the reporting requirement, where revocations of the operators permit or fines are involved. Because </w:t>
      </w:r>
      <w:r w:rsidR="00DD058E">
        <w:t>corporations own many vessels</w:t>
      </w:r>
      <w:r>
        <w:t>, identification of an owner and operator on the logbook form allows NMFS to sanction the company as well as the individual vessel operator as necessary or required by the regulations. Information on the permit is obviously essential to monitoring reporting compliance.</w:t>
      </w:r>
    </w:p>
    <w:p w:rsidR="00EE1074" w14:paraId="2256054F" w14:textId="77777777"/>
    <w:p w:rsidR="00EE1074" w14:paraId="591673A3" w14:textId="77777777">
      <w:r>
        <w:t>b) Data on date of departure, date returned, days fished, duration of tows or sets, units of gear and mesh size used are all designed to quantify actual fishing effort. Fishing effort is needed to standardize differences in productivity among vessels or fishing grounds by establishing a rate of catch per unit time. These data allow comparisons over time, area and gear type of catches made by a variety of harvesters. Comparisons of catch and catch per unit effort (CPUE) over time are significant indicators of the biological status of the fisheries. Declining CPUE, especially if data on fishing effort are sufficiently detailed to adjust for changes in effort, can provide critical information on the status of the stock, i.e., that the level of harvest is beyond the level that is sustainable by growth and reproduction of the stock.</w:t>
      </w:r>
    </w:p>
    <w:p w:rsidR="00EE1074" w14:paraId="4D5F24CB" w14:textId="77777777"/>
    <w:p w:rsidR="00EE1074" w14:paraId="5613698B" w14:textId="77777777">
      <w:r>
        <w:t>c) Area fished, depth of fishing, and latitude and longitude are variables that are used to establish fishing locations. This information can be related to other oceanographic and biological information to predict species availability and likely future abundance. For example, location of capture can be correlated to sea surface temperature measured by satellite to predict possible migration patterns. In addition, area or zone fished is used to cross reference locations where fishing is not permissible (such as closed spawning areas).</w:t>
      </w:r>
    </w:p>
    <w:p w:rsidR="00EE1074" w14:paraId="41C4E59E" w14:textId="77777777"/>
    <w:p w:rsidR="00EE1074" w:rsidP="00FE2301" w14:paraId="39A9BC5C" w14:textId="41698572">
      <w:r>
        <w:t xml:space="preserve">d) </w:t>
      </w:r>
      <w:r w:rsidRPr="00FE2301">
        <w:t>Species information such as landings</w:t>
      </w:r>
      <w:r w:rsidRPr="00FE2301" w:rsidR="00FE2301">
        <w:t xml:space="preserve"> </w:t>
      </w:r>
      <w:r w:rsidRPr="00B63BA1" w:rsidR="00FE2301">
        <w:t>information is needed because controlling the quantity of fish harvested is often the means for ensuring that harvests can be replenished over time.</w:t>
      </w:r>
      <w:r w:rsidR="002E42EE">
        <w:t xml:space="preserve"> </w:t>
      </w:r>
      <w:r w:rsidR="00DD058E">
        <w:t>Fish s</w:t>
      </w:r>
      <w:r w:rsidRPr="00B63BA1" w:rsidR="00FE2301">
        <w:t>ize is the basic measure of fishing success, from which fishermen, biologists</w:t>
      </w:r>
      <w:r w:rsidR="00DD058E">
        <w:t>,</w:t>
      </w:r>
      <w:r w:rsidRPr="00B63BA1" w:rsidR="00FE2301">
        <w:t xml:space="preserve"> and economists infer conclusions about the status of the fishery.</w:t>
      </w:r>
      <w:r w:rsidR="002E42EE">
        <w:t xml:space="preserve"> </w:t>
      </w:r>
      <w:r w:rsidRPr="00B63BA1" w:rsidR="00FE2301">
        <w:t xml:space="preserve">The number of fish discarded and </w:t>
      </w:r>
      <w:r w:rsidR="005D151C">
        <w:t xml:space="preserve">the method used to </w:t>
      </w:r>
      <w:r w:rsidRPr="00B63BA1" w:rsidR="00FE2301">
        <w:t>releas</w:t>
      </w:r>
      <w:r w:rsidR="009C72CC">
        <w:t>e</w:t>
      </w:r>
      <w:r w:rsidR="005D151C">
        <w:t xml:space="preserve"> fish</w:t>
      </w:r>
      <w:r w:rsidRPr="00B63BA1" w:rsidR="00FE2301">
        <w:t xml:space="preserve"> </w:t>
      </w:r>
      <w:r w:rsidRPr="005D151C" w:rsidR="005D151C">
        <w:t>with gas bladders vented, and fish released with descending devices</w:t>
      </w:r>
      <w:r w:rsidR="005D151C">
        <w:t xml:space="preserve"> or fish released</w:t>
      </w:r>
      <w:r w:rsidRPr="00B63BA1" w:rsidR="00FE2301">
        <w:t xml:space="preserve"> without descending devices is used to accurately account for fishing mortality when performing stock assessments</w:t>
      </w:r>
    </w:p>
    <w:p w:rsidR="00EE1074" w14:paraId="3FABE6B8" w14:textId="77777777"/>
    <w:p w:rsidR="00EE1074" w14:paraId="40BEFDC1" w14:textId="77777777">
      <w:r>
        <w:t xml:space="preserve">e) The name of a buyer, dealer number, and port of landing are data used to cross reference the quantity of fish caught with the quantity that is handled (processed) by the market. The important cross reference is between the total amount of catch, and the respective sizes of individual fish. It would be impossible for fishermen to measure individual fish as they are being caught and stored on board the vessels. However, many species of fish, especially the large pelagic species, are individually weighted by the dealers and these weights are recorded as part of the sales transactions. By knowing the dealer that purchased the fish, cross references can be made </w:t>
      </w:r>
      <w:r>
        <w:t>between data submitted by the dealers and the data from the logbooks. Combining the data in this manner provides greater precision on the CPUE estimates and more information on the sizes of catches by location and time.</w:t>
      </w:r>
    </w:p>
    <w:p w:rsidR="00EE1074" w14:paraId="7A19B7F1" w14:textId="77777777"/>
    <w:p w:rsidR="00EE1074" w14:paraId="47B288CB" w14:textId="77777777">
      <w:r>
        <w:t>f) Trip cost information such as fuel, tackle, bait, ice, labor, and miscellaneous expenses associated with the effort data for individual trips is use for evaluating regulatory proposals and to better understand how the cost of fishing varies with changes in fishing effort. With a better quantitative understanding of these relationships, NMFS can provide better estimates of the potential impacts of management regulations on fishing effort.</w:t>
      </w:r>
    </w:p>
    <w:p w:rsidR="00EE1074" w14:paraId="2736B17C" w14:textId="77777777"/>
    <w:p w:rsidR="00EE1074" w14:paraId="78439E70" w14:textId="5DED4E16">
      <w:r>
        <w:t xml:space="preserve">g) A separate form or response is required for many of the logbook reporting forms in 0648-0016 when a vessel does not fish during an entire calendar month or another defined period. These no-fishing report forms are necessary to assure NMFS that the vessel did not fish instead of failing to report. The information on the no-fishing form is minimal, i.e., only the vessel ID, vessel name, the month or other period in which the vessel did not fish, and the federal permits that vessel has been issued (a check box is provided for ease of identifying the permits). Most no-fishing forms are located in the back of the logbook booklets and are to be submitted via mail in the self-addressed, stamped envelopes provided by NMFS. Because of the nature of the reporting, no-fishing reports are not required for the headboat trip report, the </w:t>
      </w:r>
      <w:r w:rsidR="00B32213">
        <w:t xml:space="preserve">aquacultured </w:t>
      </w:r>
      <w:r>
        <w:t xml:space="preserve">live rock report, the annual fixed cost survey, the cost-earnings form (this information is included on the regular coastal logbook form), and the supplemental discard form. </w:t>
      </w:r>
    </w:p>
    <w:p w:rsidR="00EE1074" w14:paraId="552217F6" w14:textId="77777777"/>
    <w:p w:rsidR="00EE1074" w14:paraId="17FE1A27" w14:textId="77777777">
      <w:r>
        <w:t>The following are brief descriptions of the 0648-0016 information collections.</w:t>
      </w:r>
    </w:p>
    <w:p w:rsidR="00EE1074" w14:paraId="0A3DFF39" w14:textId="77777777"/>
    <w:p w:rsidR="00EE1074" w14:paraId="0774D1E7" w14:textId="07D95B41">
      <w:r>
        <w:rPr>
          <w:i/>
          <w:u w:val="single"/>
        </w:rPr>
        <w:t>S</w:t>
      </w:r>
      <w:r w:rsidR="004A5692">
        <w:rPr>
          <w:i/>
          <w:u w:val="single"/>
        </w:rPr>
        <w:t>outheast Region Headboat Survey</w:t>
      </w:r>
      <w:r w:rsidR="00515710">
        <w:rPr>
          <w:u w:val="single"/>
        </w:rPr>
        <w:t>.</w:t>
      </w:r>
      <w:r w:rsidR="00515710">
        <w:t xml:space="preserve"> Fishing from a headboat is a type of recreational fishing and represents a relatively small, but specialized component and the data collection of information from this fishery component by SEFSC predates and is separate from the </w:t>
      </w:r>
      <w:r w:rsidR="00D84891">
        <w:t>Marine Recreational Information Program (</w:t>
      </w:r>
      <w:r w:rsidR="00515710">
        <w:t>MRIP</w:t>
      </w:r>
      <w:r w:rsidR="00D84891">
        <w:t>)</w:t>
      </w:r>
      <w:r w:rsidR="00515710">
        <w:t xml:space="preserve"> data collection (0648-0</w:t>
      </w:r>
      <w:r w:rsidR="00D84891">
        <w:t>6</w:t>
      </w:r>
      <w:r w:rsidR="00515710">
        <w:t xml:space="preserve">52). To collect trip-level catch and effort data from this fishery in the Gulf </w:t>
      </w:r>
      <w:r>
        <w:t xml:space="preserve">of </w:t>
      </w:r>
      <w:r w:rsidR="00D84891">
        <w:t>America</w:t>
      </w:r>
      <w:r>
        <w:t xml:space="preserve"> (Gulf) </w:t>
      </w:r>
      <w:r w:rsidR="00515710">
        <w:t>and South Atlantic, a separate logbook program collects these data on a weekly basis, which is more precise information than the MRIP survey. Total catch and participation estimates for all headboat fishing activity are made from the SRHS. The need for good quality, representative CPUE</w:t>
      </w:r>
      <w:r w:rsidR="00B32213">
        <w:t>,</w:t>
      </w:r>
      <w:r w:rsidR="00515710">
        <w:t xml:space="preserve"> and species composition data from this recreational fishery component is the primary reason that </w:t>
      </w:r>
      <w:r w:rsidR="00FB38E9">
        <w:t>NMFS implemented this program</w:t>
      </w:r>
      <w:r w:rsidR="00515710">
        <w:t>.</w:t>
      </w:r>
    </w:p>
    <w:p w:rsidR="00EE1074" w14:paraId="27A53421" w14:textId="77777777"/>
    <w:p w:rsidR="00EE1074" w14:paraId="07CDAC16" w14:textId="6CF8D663">
      <w:r>
        <w:rPr>
          <w:i/>
          <w:u w:val="single"/>
        </w:rPr>
        <w:t xml:space="preserve">Gulf of </w:t>
      </w:r>
      <w:r w:rsidR="00D84891">
        <w:rPr>
          <w:i/>
          <w:u w:val="single"/>
        </w:rPr>
        <w:t>America</w:t>
      </w:r>
      <w:r>
        <w:rPr>
          <w:i/>
          <w:u w:val="single"/>
        </w:rPr>
        <w:t xml:space="preserve"> Reef Fish, South Atlantic Snapper-Grouper, King and Spanish Mackerel, Shark, Atlantic Dolphin and Wahoo logbook (coastal logbook)</w:t>
      </w:r>
      <w:r>
        <w:rPr>
          <w:u w:val="single"/>
        </w:rPr>
        <w:t>.</w:t>
      </w:r>
      <w:r>
        <w:t xml:space="preserve"> The program to collect logbook data in the Gulf was initiated in April 1990. The purpose of the program is to provide critically needed data on individual </w:t>
      </w:r>
      <w:r w:rsidR="006406E8">
        <w:t xml:space="preserve">commercial </w:t>
      </w:r>
      <w:r>
        <w:t xml:space="preserve">fishing trips for species in this important management unit. The diversity of gear in this fishery (i.e., longline, hook and line, traps, spears, and buoy) and the variety of species increases the need to have detailed CPUE and species composition data. Furthermore, because species in this management unit are not </w:t>
      </w:r>
      <w:r w:rsidR="006406E8">
        <w:t xml:space="preserve">highly </w:t>
      </w:r>
      <w:r>
        <w:t xml:space="preserve">migratory, it is important that detailed information on the CPUE and species composition are collected by area, so that assessments can be made for major reef complexes to determine how fishing effort is affecting these complexes over time. </w:t>
      </w:r>
    </w:p>
    <w:p w:rsidR="00EE1074" w14:paraId="784F7027" w14:textId="77777777"/>
    <w:p w:rsidR="00EE1074" w14:paraId="1A8E6FCC" w14:textId="4EDD406E">
      <w:r>
        <w:t xml:space="preserve">This logbook program includes only </w:t>
      </w:r>
      <w:r w:rsidR="00493643">
        <w:t xml:space="preserve">commercial </w:t>
      </w:r>
      <w:r>
        <w:t xml:space="preserve">fishermen who have been issued a federal </w:t>
      </w:r>
      <w:r>
        <w:t xml:space="preserve">vessel permit and are required to sell their catches to permitted seafood dealers. Consequently, for-hire recreational fishermen do not submit logbooks for the Gulf reef fish fishery (see the description for the </w:t>
      </w:r>
      <w:r w:rsidR="00493643">
        <w:t>SRHS</w:t>
      </w:r>
      <w:r>
        <w:t xml:space="preserve"> above).</w:t>
      </w:r>
    </w:p>
    <w:p w:rsidR="00EE1074" w14:paraId="6563A0AD" w14:textId="77777777"/>
    <w:p w:rsidR="00EE1074" w14:paraId="3A17F633" w14:textId="77777777">
      <w:r>
        <w:t>The logbook program for the South Atlantic snapper-grouper fishery was initiated in January 1992. The purpose of this program, as for the Gulf reef fish program, is to collect data on fishing effort, CPUE, and species composition. The snapper-grouper fishery is similar to the fishery for reef fish in the Gulf; consequently, the logbook forms used for the two fisheries are the same.</w:t>
      </w:r>
    </w:p>
    <w:p w:rsidR="00EE1074" w14:paraId="444CC4D7" w14:textId="77777777"/>
    <w:p w:rsidR="00EE1074" w14:paraId="35B699C5" w14:textId="3DE75054">
      <w:r>
        <w:t xml:space="preserve">As with the fisheries in OMB Control No. 0648-0016, the purpose of the logbook program for king and Spanish mackerel is to collect </w:t>
      </w:r>
      <w:r w:rsidR="007313E4">
        <w:t xml:space="preserve">fishing effort, </w:t>
      </w:r>
      <w:r>
        <w:t xml:space="preserve">catch, and area for this fishery in both the Gulf and the South Atlantic. The assessments for king and Spanish mackerel were improved by the availability of this CPUE data. There are other species in this </w:t>
      </w:r>
      <w:r w:rsidR="007313E4">
        <w:t>FMP</w:t>
      </w:r>
      <w:r>
        <w:t>; however, logbook reporting for these species is not required via this logbook at this time.</w:t>
      </w:r>
    </w:p>
    <w:p w:rsidR="00EE1074" w14:paraId="3935DF93" w14:textId="77777777"/>
    <w:p w:rsidR="00EE1074" w14:paraId="62CEEF67" w14:textId="77777777">
      <w:r>
        <w:rPr>
          <w:i/>
          <w:u w:val="single"/>
        </w:rPr>
        <w:t>Cost-earnings data section</w:t>
      </w:r>
      <w:r>
        <w:rPr>
          <w:u w:val="single"/>
        </w:rPr>
        <w:t>.</w:t>
      </w:r>
      <w:r>
        <w:t xml:space="preserve"> The purpose of this data collection (20 percent sample) is to provide economic information about commercial fishermen in federal waters, which is necessary for the agency to address National Standard 8 of the Magnuson-Stevens Act. The reporting form requests information about operating costs associated with the individual fishing trips. The intent is to use the cost information associated with the effort data for individual trips to better understand how the cost of fishing varies with changes in fishing effort and the impacts of management measures on fishing communities. With a better (quantitative) understanding of these relationships, NMFS can provide better estimates of the potential impacts of management regulations on fishing effort.</w:t>
      </w:r>
    </w:p>
    <w:p w:rsidR="00EE1074" w14:paraId="37C33CED" w14:textId="77777777"/>
    <w:p w:rsidR="00EE1074" w14:paraId="58052943" w14:textId="77777777">
      <w:pPr>
        <w:rPr>
          <w:u w:val="single"/>
        </w:rPr>
      </w:pPr>
      <w:r>
        <w:rPr>
          <w:i/>
          <w:u w:val="single"/>
        </w:rPr>
        <w:t>Annual fixed cost survey for vessels required to use the coastal logbook</w:t>
      </w:r>
      <w:r>
        <w:rPr>
          <w:u w:val="single"/>
        </w:rPr>
        <w:t>.</w:t>
      </w:r>
      <w:r>
        <w:t xml:space="preserve"> This survey is associated with the cost-earnings data collection. The purpose of this data collection is to provide information on the annual fixed costs (i.e., expenditures that are made infrequently throughout the year or only once per year) incurred by the commercial fishermen in federal waters. The survey instrument is sent to the same fishermen that are required to report their cost data for each trip. </w:t>
      </w:r>
    </w:p>
    <w:p w:rsidR="00EE1074" w14:paraId="590CCF06" w14:textId="77777777">
      <w:pPr>
        <w:rPr>
          <w:u w:val="single"/>
        </w:rPr>
      </w:pPr>
    </w:p>
    <w:p w:rsidR="00EE1074" w14:paraId="5B6EF14B" w14:textId="63C63848">
      <w:r>
        <w:rPr>
          <w:i/>
          <w:u w:val="single"/>
        </w:rPr>
        <w:t>Supplemental discard reporting logbook for vessels required to use the coastal logbook</w:t>
      </w:r>
      <w:r>
        <w:rPr>
          <w:u w:val="single"/>
        </w:rPr>
        <w:t>.</w:t>
      </w:r>
      <w:r>
        <w:t xml:space="preserve"> This form was developed and initiated in August 2001, as a supplemental form to the Gulf reef fish, South Atlantic snapper-grouper, shark and mackerel logbook form. The purpose of this instrument is to have the fishermen record the species and numbers of discards that they had for each trip. The form also asks the fishermen to report any interactions with marine mammals, endangered species or sea birds that they incurred on each trip. The purpose of this data collection is to collect information on the types and numbers of animals (species) that fishermen in these coastal fisheries discard or in the case of endangered species and marine mammals with which they interact, so the agency is able to address National Standard 9</w:t>
      </w:r>
      <w:r w:rsidRPr="00C35BFB" w:rsidR="00C35BFB">
        <w:t xml:space="preserve"> </w:t>
      </w:r>
      <w:r w:rsidR="00C35BFB">
        <w:t>of the Magnuson-Stevens Act</w:t>
      </w:r>
      <w:r>
        <w:t xml:space="preserve">, which deals with bycatch. This data collection is conducted as a supplement to the regular logbook reporting so that the </w:t>
      </w:r>
      <w:r w:rsidR="006406E8">
        <w:t xml:space="preserve">fishing effort, </w:t>
      </w:r>
      <w:r>
        <w:t>catch, and area of fishing can be associated with the discards or interactions.</w:t>
      </w:r>
    </w:p>
    <w:p w:rsidR="00EE1074" w14:paraId="4A2BBB76" w14:textId="77777777"/>
    <w:p w:rsidR="00EE1074" w14:paraId="0AC38951" w14:textId="2F788F59">
      <w:r>
        <w:rPr>
          <w:i/>
          <w:u w:val="single"/>
        </w:rPr>
        <w:t>Wreckfish logbook</w:t>
      </w:r>
      <w:r>
        <w:rPr>
          <w:u w:val="single"/>
        </w:rPr>
        <w:t>.</w:t>
      </w:r>
      <w:r>
        <w:t xml:space="preserve"> The wreckfish fishery is part of the South Atlanti</w:t>
      </w:r>
      <w:r w:rsidR="006406E8">
        <w:t xml:space="preserve">c snapper-group </w:t>
      </w:r>
      <w:r w:rsidR="006406E8">
        <w:t xml:space="preserve">management unit. Historically, </w:t>
      </w:r>
      <w:r>
        <w:t xml:space="preserve">there were concerns about the status of the wreckfish stock, </w:t>
      </w:r>
      <w:r w:rsidR="006406E8">
        <w:t xml:space="preserve">and therefore, NMFS implemented </w:t>
      </w:r>
      <w:r>
        <w:t xml:space="preserve">specific management measures to collect data from </w:t>
      </w:r>
      <w:r w:rsidR="006406E8">
        <w:t>fishermen</w:t>
      </w:r>
      <w:r>
        <w:t xml:space="preserve"> that harvest this species. Although separate logbooks are used for this fishery, they require the same basic CPUE and fishing location data as the other logbooks in the family, but the program also collects information on shares of the </w:t>
      </w:r>
      <w:r w:rsidR="006406E8">
        <w:t>i</w:t>
      </w:r>
      <w:r>
        <w:t xml:space="preserve">ndividual </w:t>
      </w:r>
      <w:r w:rsidR="006406E8">
        <w:t>t</w:t>
      </w:r>
      <w:r>
        <w:t xml:space="preserve">ransferable </w:t>
      </w:r>
      <w:r w:rsidR="006406E8">
        <w:t>q</w:t>
      </w:r>
      <w:r>
        <w:t xml:space="preserve">uota </w:t>
      </w:r>
      <w:r w:rsidR="006406E8">
        <w:t xml:space="preserve">for wreckfish </w:t>
      </w:r>
      <w:r>
        <w:t xml:space="preserve">used during each trip. </w:t>
      </w:r>
    </w:p>
    <w:p w:rsidR="00EE1074" w14:paraId="0A77AE0A" w14:textId="77777777">
      <w:pPr>
        <w:rPr>
          <w:u w:val="single"/>
        </w:rPr>
      </w:pPr>
    </w:p>
    <w:p w:rsidR="00EE1074" w14:paraId="2C5C5F4B" w14:textId="27E9E1D2">
      <w:r>
        <w:rPr>
          <w:i/>
          <w:u w:val="single"/>
        </w:rPr>
        <w:t>Golden crab logbook</w:t>
      </w:r>
      <w:r>
        <w:rPr>
          <w:u w:val="single"/>
        </w:rPr>
        <w:t>.</w:t>
      </w:r>
      <w:r>
        <w:t xml:space="preserve"> Fisheries for this species of </w:t>
      </w:r>
      <w:r w:rsidR="00DD058E">
        <w:t>deep-water</w:t>
      </w:r>
      <w:r>
        <w:t xml:space="preserve"> crabs occur in both</w:t>
      </w:r>
      <w:r w:rsidR="007313E4">
        <w:t xml:space="preserve"> the Gulf </w:t>
      </w:r>
      <w:r>
        <w:t>and the South Atlantic. This logbook program is designed to collect the quantity of golden crab that are caught in designated areas. The form is distinct from the other forms aut</w:t>
      </w:r>
      <w:r w:rsidR="006406E8">
        <w:t>horized by regulations (50 CFR p</w:t>
      </w:r>
      <w:r>
        <w:t>art 622) because lines of traps are used to catch these species and the amount of catch needs to be reported by trap line instead of for an entire trip.</w:t>
      </w:r>
    </w:p>
    <w:p w:rsidR="00EE1074" w14:paraId="6EC099C8" w14:textId="77777777"/>
    <w:p w:rsidR="00EE1074" w14:paraId="6DD8902E" w14:textId="21458974">
      <w:r>
        <w:rPr>
          <w:i/>
          <w:u w:val="single"/>
        </w:rPr>
        <w:t>South Atlantic for-hire electronic reporting</w:t>
      </w:r>
      <w:r>
        <w:t xml:space="preserve">. This information collection includes federally permitted </w:t>
      </w:r>
      <w:r w:rsidR="005840C1">
        <w:t xml:space="preserve">recreational </w:t>
      </w:r>
      <w:r>
        <w:t xml:space="preserve">charter vessels in Atlantic coastal migratory pelagic, Atlantic dolphin and wahoo, or South Atlantic snapper-grouper fisheries, and does not include for-hire vessels in the SRHS. Permit holders must submit trip-level electronic fishing reports (logbooks) at weekly intervals, or at shorter intervals if notified by NMFS, through NMFS-approved hardware and software. Information collected includes fishing location and effort, fish harvested and discarded, as well as socio-economic and other data. </w:t>
      </w:r>
    </w:p>
    <w:p w:rsidR="00EE1074" w14:paraId="49569A93" w14:textId="7F8463C5">
      <w:pPr>
        <w:pBdr>
          <w:top w:val="nil"/>
          <w:left w:val="nil"/>
          <w:bottom w:val="nil"/>
          <w:right w:val="nil"/>
          <w:between w:val="nil"/>
        </w:pBdr>
        <w:rPr>
          <w:color w:val="000000"/>
        </w:rPr>
      </w:pPr>
    </w:p>
    <w:p w:rsidR="00EE1074" w14:paraId="1A74C30F" w14:textId="77777777">
      <w:pPr>
        <w:numPr>
          <w:ilvl w:val="0"/>
          <w:numId w:val="1"/>
        </w:numPr>
        <w:pBdr>
          <w:top w:val="nil"/>
          <w:left w:val="nil"/>
          <w:bottom w:val="nil"/>
          <w:right w:val="nil"/>
          <w:between w:val="nil"/>
        </w:pBdr>
        <w:tabs>
          <w:tab w:val="left" w:pos="360"/>
        </w:tabs>
        <w:ind w:left="0" w:firstLine="0"/>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E1074" w14:paraId="0C6BDF22" w14:textId="77777777">
      <w:pPr>
        <w:pBdr>
          <w:top w:val="nil"/>
          <w:left w:val="nil"/>
          <w:bottom w:val="nil"/>
          <w:right w:val="nil"/>
          <w:between w:val="nil"/>
        </w:pBdr>
        <w:tabs>
          <w:tab w:val="left" w:pos="360"/>
        </w:tabs>
        <w:rPr>
          <w:color w:val="000000"/>
        </w:rPr>
      </w:pPr>
    </w:p>
    <w:p w:rsidR="00EE1074" w14:paraId="79BCFE9C" w14:textId="3CD7E169">
      <w:r>
        <w:t xml:space="preserve">Electronic reporting is being utilized to report the detailed, trip level data for three of </w:t>
      </w:r>
      <w:r w:rsidR="00C35BFB">
        <w:t>the logbook programs - the SRHS</w:t>
      </w:r>
      <w:r>
        <w:t xml:space="preserve"> and the South Atlantic </w:t>
      </w:r>
      <w:r w:rsidR="00C35BFB">
        <w:t>f</w:t>
      </w:r>
      <w:r>
        <w:t xml:space="preserve">or-hire </w:t>
      </w:r>
      <w:r w:rsidR="00C35BFB">
        <w:t>e</w:t>
      </w:r>
      <w:r>
        <w:t xml:space="preserve">lectronic </w:t>
      </w:r>
      <w:r w:rsidR="00C35BFB">
        <w:t>r</w:t>
      </w:r>
      <w:r>
        <w:t xml:space="preserve">eporting </w:t>
      </w:r>
      <w:r w:rsidR="00C35BFB">
        <w:t>p</w:t>
      </w:r>
      <w:r>
        <w:t xml:space="preserve">rogram. A web-based electronic reporting program is being used to report months where fishing has not occurred in the coastal fisheries logbook. NMFS is investigating various methods of recording and reporting CPUE data from </w:t>
      </w:r>
      <w:r w:rsidR="00CE0038">
        <w:t xml:space="preserve">at sea </w:t>
      </w:r>
      <w:r>
        <w:t>vessels of the other fisheries</w:t>
      </w:r>
      <w:r w:rsidR="005049B6">
        <w:t xml:space="preserve"> including tablet and smart phone applications developed by third party companies</w:t>
      </w:r>
      <w:r>
        <w:t>. However, the large number of vessels involved in the affected fisheries and the cost per participant for the electronic and telecommunication equipment must be considered before mandating its use by fishermen. These costs significantly limit the options available for electronic reporting by vessel operators. NMFS will accept any data in an electronic format that can be easily read and inputted into the existing database management system currently utilized</w:t>
      </w:r>
      <w:r w:rsidR="005049B6">
        <w:t>.</w:t>
      </w:r>
    </w:p>
    <w:p w:rsidR="00EE1074" w14:paraId="6280999C" w14:textId="77777777"/>
    <w:p w:rsidR="00EE1074" w14:paraId="7A91E816" w14:textId="77777777">
      <w:pPr>
        <w:numPr>
          <w:ilvl w:val="0"/>
          <w:numId w:val="1"/>
        </w:numPr>
        <w:pBdr>
          <w:top w:val="nil"/>
          <w:left w:val="nil"/>
          <w:bottom w:val="nil"/>
          <w:right w:val="nil"/>
          <w:between w:val="nil"/>
        </w:pBdr>
        <w:tabs>
          <w:tab w:val="left" w:pos="360"/>
        </w:tabs>
        <w:ind w:left="0" w:firstLine="0"/>
      </w:pPr>
      <w:r>
        <w:rPr>
          <w:b/>
          <w:color w:val="000000"/>
        </w:rPr>
        <w:t>Describe efforts to identify duplication. Show specifically why any similar information already available cannot be used or modified for use for the purposes described in Question 2.</w:t>
      </w:r>
    </w:p>
    <w:p w:rsidR="00EE1074" w14:paraId="4A817BD8" w14:textId="77777777">
      <w:pPr>
        <w:widowControl/>
        <w:pBdr>
          <w:top w:val="nil"/>
          <w:left w:val="nil"/>
          <w:bottom w:val="nil"/>
          <w:right w:val="nil"/>
          <w:between w:val="nil"/>
        </w:pBdr>
        <w:rPr>
          <w:color w:val="000000"/>
        </w:rPr>
      </w:pPr>
    </w:p>
    <w:p w:rsidR="00EE1074" w14:paraId="6478DE04" w14:textId="36075260">
      <w:pPr>
        <w:widowControl/>
      </w:pPr>
      <w:r>
        <w:t xml:space="preserve">The Magnuson-Stevens Act's operational guidelines require each FMP to evaluate existing state and federal laws that govern the fisheries in question, and the findings are made part of each FMP. </w:t>
      </w:r>
      <w:r w:rsidR="00DD058E">
        <w:t>Membership for e</w:t>
      </w:r>
      <w:r>
        <w:t xml:space="preserve">ach fishery management council is composed of state and federal </w:t>
      </w:r>
      <w:r>
        <w:t>officials responsible for resource management in their state or area. This joint participation enables identification of other collections that may be gathering the same or similar information. In addition, each FMP undergoes extensive public comment periods where potential applicants review the proposed permit application requirements. Therefore, NMFS is confident it would be aware of similar collections if they existed.</w:t>
      </w:r>
    </w:p>
    <w:p w:rsidR="00EE1074" w14:paraId="0BEA2369" w14:textId="77777777">
      <w:pPr>
        <w:widowControl/>
      </w:pPr>
    </w:p>
    <w:p w:rsidR="00EE1074" w14:paraId="305D3276" w14:textId="7B09D14A">
      <w:pPr>
        <w:widowControl/>
      </w:pPr>
      <w:r>
        <w:t>Detailed information on CPUE, effort</w:t>
      </w:r>
      <w:r w:rsidR="00FB38E9">
        <w:t>,</w:t>
      </w:r>
      <w:r>
        <w:t xml:space="preserve"> and species composition by gear and area is not available from other sources. Some states, notably Florida, Georgia, Louisiana</w:t>
      </w:r>
      <w:r w:rsidR="00214D9C">
        <w:t>,</w:t>
      </w:r>
      <w:r>
        <w:t xml:space="preserve"> and North Carolina, have programs to collect landings by species for individual fishing trips (i.e., operational trip ticket programs), but these programs do not include the detailed information on location and effort that are required in the reporting requirements for this OMB request. Furthermore, these programs collect the data from seafood processors, and not fishermen, whereas logbooks are submitted directly by the fishermen.</w:t>
      </w:r>
    </w:p>
    <w:p w:rsidR="00EE1074" w14:paraId="02659F01" w14:textId="77777777">
      <w:pPr>
        <w:widowControl/>
        <w:pBdr>
          <w:top w:val="nil"/>
          <w:left w:val="nil"/>
          <w:bottom w:val="nil"/>
          <w:right w:val="nil"/>
          <w:between w:val="nil"/>
        </w:pBdr>
        <w:rPr>
          <w:color w:val="000000"/>
        </w:rPr>
      </w:pPr>
    </w:p>
    <w:p w:rsidR="00EE1074" w14:paraId="0F919D71" w14:textId="2EE184BD">
      <w:pPr>
        <w:widowControl/>
        <w:pBdr>
          <w:top w:val="nil"/>
          <w:left w:val="nil"/>
          <w:bottom w:val="nil"/>
          <w:right w:val="nil"/>
          <w:between w:val="nil"/>
        </w:pBdr>
        <w:rPr>
          <w:color w:val="000000"/>
        </w:rPr>
      </w:pPr>
      <w:r>
        <w:rPr>
          <w:color w:val="000000"/>
        </w:rPr>
        <w:t xml:space="preserve">NMFS collaborates with state natural resource agencies and the regional interstate fisheries commission on the Gulf coast to ensure that recreational fisheries data collections are not duplicative. Every </w:t>
      </w:r>
      <w:r w:rsidR="006A2FFF">
        <w:rPr>
          <w:color w:val="000000"/>
        </w:rPr>
        <w:t>5</w:t>
      </w:r>
      <w:r>
        <w:rPr>
          <w:color w:val="000000"/>
        </w:rPr>
        <w:t xml:space="preserve"> years, the</w:t>
      </w:r>
      <w:r w:rsidR="006A2FFF">
        <w:rPr>
          <w:color w:val="000000"/>
        </w:rPr>
        <w:t xml:space="preserve"> Fish and Wildlife Service</w:t>
      </w:r>
      <w:r>
        <w:rPr>
          <w:color w:val="000000"/>
        </w:rPr>
        <w:t xml:space="preserve"> of the U.S. Department of the Interior conducts the National Survey of Fishing, </w:t>
      </w:r>
      <w:r w:rsidR="00DD058E">
        <w:rPr>
          <w:color w:val="000000"/>
        </w:rPr>
        <w:t>Hunting,</w:t>
      </w:r>
      <w:r>
        <w:rPr>
          <w:color w:val="000000"/>
        </w:rPr>
        <w:t xml:space="preserve"> and Wildlife-Associated Recreation (OMB Control No. 1018-0088). This survey collects minimal information about annual recreational saltwater fishing activity within the context of additional recreational activities. </w:t>
      </w:r>
    </w:p>
    <w:p w:rsidR="00EE1074" w14:paraId="1F30518D" w14:textId="5C409D04"/>
    <w:p w:rsidR="00EE1074" w14:paraId="1BB550C3" w14:textId="76ED1FE9">
      <w:r>
        <w:t xml:space="preserve">Finally, as described earlier, there are several separate logbook forms included in the Southeast Logbook Family of Forms and several of the forms are used for multiple fisheries. For example, the data reporting required by the South Atlantic </w:t>
      </w:r>
      <w:r w:rsidR="00214D9C">
        <w:t>s</w:t>
      </w:r>
      <w:r>
        <w:t>napper-</w:t>
      </w:r>
      <w:r w:rsidR="00214D9C">
        <w:t>g</w:t>
      </w:r>
      <w:r>
        <w:t xml:space="preserve">rouper, </w:t>
      </w:r>
      <w:r w:rsidR="00214D9C">
        <w:t>coastal migratory pelagic species</w:t>
      </w:r>
      <w:r>
        <w:t xml:space="preserve">, and the Gulf </w:t>
      </w:r>
      <w:r w:rsidR="00214D9C">
        <w:t>r</w:t>
      </w:r>
      <w:r>
        <w:t xml:space="preserve">eef </w:t>
      </w:r>
      <w:r w:rsidR="00214D9C">
        <w:t>f</w:t>
      </w:r>
      <w:r>
        <w:t>ish FMPs and federal regulations have been combined and are reported on a single form. This approach is helpful for respondents because many fishermen hold multiple federal permits and participate in multiple fisheries.</w:t>
      </w:r>
    </w:p>
    <w:p w:rsidR="00493643" w:rsidP="00493643" w14:paraId="0C0A58F6" w14:textId="77777777"/>
    <w:p w:rsidR="00493643" w14:paraId="01EE2D54" w14:textId="5BD0593F">
      <w:r>
        <w:t>Although sharks are part of a different FMP (Highly Migratory Species FMP), and the reporting burden for these species are covered by OMB Control No. 0648-0371, the fishing operations for large and small coastal sharks are very similar to the fishing methods for Gulf reef fish and South Atlantic snapper-grouper species. Thus, the coastal logbook form under OMB Control No. 0648-0016 includes space for fishermen to report the catch, effort, and area of catch for coastal sharks. The pelagic shark fishermen will continue to report using the highly migratory species logbook (OMB Control No. 0648-0371).</w:t>
      </w:r>
    </w:p>
    <w:p w:rsidR="00EE1074" w14:paraId="15E807B5" w14:textId="77777777"/>
    <w:p w:rsidR="00EE1074" w14:paraId="017C6D72" w14:textId="77777777">
      <w:pPr>
        <w:numPr>
          <w:ilvl w:val="0"/>
          <w:numId w:val="1"/>
        </w:numPr>
        <w:pBdr>
          <w:top w:val="nil"/>
          <w:left w:val="nil"/>
          <w:bottom w:val="nil"/>
          <w:right w:val="nil"/>
          <w:between w:val="nil"/>
        </w:pBdr>
        <w:tabs>
          <w:tab w:val="left" w:pos="360"/>
        </w:tabs>
        <w:ind w:left="0" w:firstLine="0"/>
      </w:pPr>
      <w:r>
        <w:rPr>
          <w:b/>
          <w:color w:val="000000"/>
        </w:rPr>
        <w:t>If the collection of information impacts small businesses or other small entities, describe any methods used to minimize burden.</w:t>
      </w:r>
    </w:p>
    <w:p w:rsidR="00EE1074" w14:paraId="1D7F54DB" w14:textId="77777777">
      <w:pPr>
        <w:pBdr>
          <w:top w:val="nil"/>
          <w:left w:val="nil"/>
          <w:bottom w:val="nil"/>
          <w:right w:val="nil"/>
          <w:between w:val="nil"/>
        </w:pBdr>
        <w:rPr>
          <w:color w:val="000000"/>
        </w:rPr>
      </w:pPr>
    </w:p>
    <w:p w:rsidR="00EE1074" w14:paraId="38E71001" w14:textId="460882D2">
      <w:pPr>
        <w:pBdr>
          <w:top w:val="nil"/>
          <w:left w:val="nil"/>
          <w:bottom w:val="nil"/>
          <w:right w:val="nil"/>
          <w:between w:val="nil"/>
        </w:pBdr>
        <w:rPr>
          <w:color w:val="000000"/>
        </w:rPr>
      </w:pPr>
      <w:r>
        <w:rPr>
          <w:color w:val="000000"/>
        </w:rPr>
        <w:t>Because NMFS considers all respondents to be small businesses</w:t>
      </w:r>
      <w:r w:rsidR="004B362B">
        <w:rPr>
          <w:color w:val="000000"/>
        </w:rPr>
        <w:t>,</w:t>
      </w:r>
      <w:r w:rsidR="000B6E53">
        <w:rPr>
          <w:color w:val="000000"/>
        </w:rPr>
        <w:t xml:space="preserve"> there </w:t>
      </w:r>
      <w:r w:rsidR="0029538A">
        <w:rPr>
          <w:color w:val="000000"/>
        </w:rPr>
        <w:t>are not</w:t>
      </w:r>
      <w:r>
        <w:rPr>
          <w:color w:val="000000"/>
        </w:rPr>
        <w:t xml:space="preserve"> separate </w:t>
      </w:r>
      <w:r w:rsidR="00FF5CF2">
        <w:rPr>
          <w:color w:val="000000"/>
        </w:rPr>
        <w:t xml:space="preserve">information collection </w:t>
      </w:r>
      <w:r>
        <w:rPr>
          <w:color w:val="000000"/>
        </w:rPr>
        <w:t>requirements based on size of business</w:t>
      </w:r>
      <w:r w:rsidR="000B6E53">
        <w:rPr>
          <w:color w:val="000000"/>
        </w:rPr>
        <w:t>.</w:t>
      </w:r>
      <w:r>
        <w:rPr>
          <w:color w:val="000000"/>
        </w:rPr>
        <w:t xml:space="preserve"> </w:t>
      </w:r>
      <w:r w:rsidR="000B6E53">
        <w:rPr>
          <w:color w:val="000000"/>
        </w:rPr>
        <w:t xml:space="preserve">The </w:t>
      </w:r>
      <w:r w:rsidR="0029538A">
        <w:rPr>
          <w:color w:val="000000"/>
        </w:rPr>
        <w:t xml:space="preserve">estimated </w:t>
      </w:r>
      <w:r w:rsidR="000B6E53">
        <w:rPr>
          <w:color w:val="000000"/>
        </w:rPr>
        <w:t xml:space="preserve">burden on the respondents </w:t>
      </w:r>
      <w:r w:rsidR="0029538A">
        <w:rPr>
          <w:color w:val="000000"/>
        </w:rPr>
        <w:t>is</w:t>
      </w:r>
      <w:r w:rsidR="000B6E53">
        <w:rPr>
          <w:color w:val="000000"/>
        </w:rPr>
        <w:t xml:space="preserve"> be minimized by collecting </w:t>
      </w:r>
      <w:r w:rsidR="0029538A">
        <w:rPr>
          <w:color w:val="000000"/>
        </w:rPr>
        <w:t xml:space="preserve">only </w:t>
      </w:r>
      <w:r>
        <w:rPr>
          <w:color w:val="000000"/>
        </w:rPr>
        <w:t>the minimum data to meet the analytical needs of NMFS</w:t>
      </w:r>
      <w:r w:rsidR="000B6E53">
        <w:rPr>
          <w:color w:val="000000"/>
        </w:rPr>
        <w:t>.</w:t>
      </w:r>
    </w:p>
    <w:p w:rsidR="00EE1074" w14:paraId="135DCF6B" w14:textId="77777777">
      <w:pPr>
        <w:pBdr>
          <w:top w:val="nil"/>
          <w:left w:val="nil"/>
          <w:bottom w:val="nil"/>
          <w:right w:val="nil"/>
          <w:between w:val="nil"/>
        </w:pBdr>
        <w:rPr>
          <w:color w:val="000000"/>
        </w:rPr>
      </w:pPr>
    </w:p>
    <w:p w:rsidR="00EE1074" w14:paraId="10EAFDF6" w14:textId="77777777">
      <w:pPr>
        <w:numPr>
          <w:ilvl w:val="0"/>
          <w:numId w:val="1"/>
        </w:numPr>
        <w:pBdr>
          <w:top w:val="nil"/>
          <w:left w:val="nil"/>
          <w:bottom w:val="nil"/>
          <w:right w:val="nil"/>
          <w:between w:val="nil"/>
        </w:pBdr>
        <w:tabs>
          <w:tab w:val="left" w:pos="360"/>
        </w:tabs>
        <w:ind w:left="0" w:firstLine="0"/>
      </w:pPr>
      <w:r>
        <w:rPr>
          <w:b/>
          <w:color w:val="000000"/>
        </w:rPr>
        <w:t xml:space="preserve">Describe the consequence to Federal program or policy activities if the collection is not conducted or is conducted less frequently, as well as any technical or legal obstacles to </w:t>
      </w:r>
      <w:r>
        <w:rPr>
          <w:b/>
          <w:color w:val="000000"/>
        </w:rPr>
        <w:t>reducing burden.</w:t>
      </w:r>
    </w:p>
    <w:p w:rsidR="00EE1074" w14:paraId="2B3D87E1" w14:textId="33B7AB78">
      <w:pPr>
        <w:pBdr>
          <w:top w:val="nil"/>
          <w:left w:val="nil"/>
          <w:bottom w:val="nil"/>
          <w:right w:val="nil"/>
          <w:between w:val="nil"/>
        </w:pBdr>
        <w:rPr>
          <w:color w:val="000000"/>
        </w:rPr>
      </w:pPr>
    </w:p>
    <w:p w:rsidR="00EE1074" w14:paraId="7292924F" w14:textId="538A33E4">
      <w:pPr>
        <w:pBdr>
          <w:top w:val="nil"/>
          <w:left w:val="nil"/>
          <w:bottom w:val="nil"/>
          <w:right w:val="nil"/>
          <w:between w:val="nil"/>
        </w:pBdr>
        <w:rPr>
          <w:color w:val="000000"/>
        </w:rPr>
      </w:pPr>
      <w:r>
        <w:rPr>
          <w:color w:val="000000"/>
        </w:rPr>
        <w:t>T</w:t>
      </w:r>
      <w:r w:rsidR="00515710">
        <w:rPr>
          <w:color w:val="000000"/>
        </w:rPr>
        <w:t>he consequence of not having detailed catch and species composition data would increase the uncertainty associated with the stock assessments that are the basis for sound management decisions. As with any statistical analysis, the confidence limits (bounds) for specific points will be large if there is significant uncertainty in the data. With the availability of the logbook data, the sample sizes for the various stratifications of gear and area are sufficiently large to reduce the uncertainty in the data to acceptable levels.</w:t>
      </w:r>
    </w:p>
    <w:p w:rsidR="00EE1074" w14:paraId="7C03DD27" w14:textId="77777777">
      <w:pPr>
        <w:pBdr>
          <w:top w:val="nil"/>
          <w:left w:val="nil"/>
          <w:bottom w:val="nil"/>
          <w:right w:val="nil"/>
          <w:between w:val="nil"/>
        </w:pBdr>
        <w:rPr>
          <w:color w:val="000000"/>
        </w:rPr>
      </w:pPr>
    </w:p>
    <w:p w:rsidR="00EE1074" w14:paraId="3B481622" w14:textId="77777777">
      <w:pPr>
        <w:pBdr>
          <w:top w:val="nil"/>
          <w:left w:val="nil"/>
          <w:bottom w:val="nil"/>
          <w:right w:val="nil"/>
          <w:between w:val="nil"/>
        </w:pBdr>
        <w:rPr>
          <w:color w:val="000000"/>
        </w:rPr>
      </w:pPr>
      <w:r>
        <w:rPr>
          <w:color w:val="000000"/>
        </w:rPr>
        <w:t>The logbook data also provide critical information on the type and amount of effort. Without these data, there would be no way of knowing whether changes in total catch are due to changes in fishing effort or changes in the abundance of the resource, or both.</w:t>
      </w:r>
    </w:p>
    <w:p w:rsidR="00EE1074" w14:paraId="5785DEA8" w14:textId="77777777">
      <w:pPr>
        <w:pBdr>
          <w:top w:val="nil"/>
          <w:left w:val="nil"/>
          <w:bottom w:val="nil"/>
          <w:right w:val="nil"/>
          <w:between w:val="nil"/>
        </w:pBdr>
        <w:rPr>
          <w:color w:val="000000"/>
        </w:rPr>
      </w:pPr>
    </w:p>
    <w:p w:rsidR="00EE1074" w14:paraId="45BBB7BC" w14:textId="03ED7E35">
      <w:pPr>
        <w:pBdr>
          <w:top w:val="nil"/>
          <w:left w:val="nil"/>
          <w:bottom w:val="nil"/>
          <w:right w:val="nil"/>
          <w:between w:val="nil"/>
        </w:pBdr>
        <w:rPr>
          <w:color w:val="000000"/>
        </w:rPr>
      </w:pPr>
      <w:r>
        <w:rPr>
          <w:color w:val="000000"/>
        </w:rPr>
        <w:t xml:space="preserve">If the economic data (cost, earnings, and fixed cost) were collected less frequently or not at all, then economists would be less able to estimate the effects of regulations on financial performance or fishermen’s expected reactions to </w:t>
      </w:r>
      <w:r w:rsidR="00977D1A">
        <w:rPr>
          <w:color w:val="000000"/>
        </w:rPr>
        <w:t>different</w:t>
      </w:r>
      <w:r>
        <w:rPr>
          <w:color w:val="000000"/>
        </w:rPr>
        <w:t xml:space="preserve"> regulations. Future proposed fisheries regulations would continue to be debated with </w:t>
      </w:r>
      <w:r w:rsidR="00977D1A">
        <w:rPr>
          <w:color w:val="000000"/>
        </w:rPr>
        <w:t>less</w:t>
      </w:r>
      <w:r>
        <w:rPr>
          <w:color w:val="000000"/>
        </w:rPr>
        <w:t xml:space="preserve"> economic information. Another consequence of not having representative economic data could be judicial remand of conservation regulations challenged on grounds of inadequate analysis of economic impact to individual firms.</w:t>
      </w:r>
    </w:p>
    <w:p w:rsidR="00EE1074" w14:paraId="4D8485EE" w14:textId="77777777">
      <w:pPr>
        <w:pBdr>
          <w:top w:val="nil"/>
          <w:left w:val="nil"/>
          <w:bottom w:val="nil"/>
          <w:right w:val="nil"/>
          <w:between w:val="nil"/>
        </w:pBdr>
        <w:rPr>
          <w:color w:val="000000"/>
        </w:rPr>
      </w:pPr>
    </w:p>
    <w:p w:rsidR="00EE1074" w14:paraId="7012E51B" w14:textId="3B747F6B">
      <w:pPr>
        <w:pBdr>
          <w:top w:val="nil"/>
          <w:left w:val="nil"/>
          <w:bottom w:val="nil"/>
          <w:right w:val="nil"/>
          <w:between w:val="nil"/>
        </w:pBdr>
        <w:rPr>
          <w:color w:val="000000"/>
        </w:rPr>
      </w:pPr>
      <w:r>
        <w:rPr>
          <w:color w:val="000000"/>
        </w:rPr>
        <w:t>Not having discard data would also increase the uncertainty associated with the stock assessments. Furthermore, there is a lack of scientifically collected information on discards in many of these fisheries and consequently, it is difficult to determine whether discarding is a significant problem. Clearly, the data from observers in other fisheries, notably the pelagic longline fishery, show that discards are substantial and that their occurrence is variable. Consequently, NMFS has determined that it is necessary to collect discard data for coastal fisheries.</w:t>
      </w:r>
    </w:p>
    <w:p w:rsidR="00EE1074" w14:paraId="1FEC415C" w14:textId="77777777">
      <w:pPr>
        <w:pBdr>
          <w:top w:val="nil"/>
          <w:left w:val="nil"/>
          <w:bottom w:val="nil"/>
          <w:right w:val="nil"/>
          <w:between w:val="nil"/>
        </w:pBdr>
        <w:rPr>
          <w:color w:val="000000"/>
        </w:rPr>
      </w:pPr>
    </w:p>
    <w:p w:rsidR="00EE1074" w:rsidP="00D2370E" w14:paraId="45942656" w14:textId="4D27FC10">
      <w:pPr>
        <w:numPr>
          <w:ilvl w:val="0"/>
          <w:numId w:val="1"/>
        </w:numPr>
        <w:pBdr>
          <w:top w:val="nil"/>
          <w:left w:val="nil"/>
          <w:bottom w:val="nil"/>
          <w:right w:val="nil"/>
          <w:between w:val="nil"/>
        </w:pBdr>
        <w:tabs>
          <w:tab w:val="left" w:pos="360"/>
        </w:tabs>
        <w:ind w:left="0" w:firstLine="1"/>
      </w:pPr>
      <w:r>
        <w:rPr>
          <w:b/>
          <w:color w:val="000000"/>
        </w:rPr>
        <w:t>Explain any special circumstances that would cause an information collection to be conducted in a manner inconsisten</w:t>
      </w:r>
      <w:r w:rsidR="00D3760A">
        <w:rPr>
          <w:b/>
          <w:color w:val="000000"/>
        </w:rPr>
        <w:t>t with OMB guidelines.</w:t>
      </w:r>
    </w:p>
    <w:p w:rsidR="00D3760A" w:rsidP="00D3760A" w14:paraId="5D802583" w14:textId="0A55DFB9">
      <w:pPr>
        <w:pBdr>
          <w:top w:val="nil"/>
          <w:left w:val="nil"/>
          <w:bottom w:val="nil"/>
          <w:right w:val="nil"/>
          <w:between w:val="nil"/>
        </w:pBdr>
        <w:rPr>
          <w:color w:val="000000"/>
          <w:u w:val="single"/>
        </w:rPr>
      </w:pPr>
    </w:p>
    <w:p w:rsidR="00EE1074" w:rsidRPr="00D3760A" w:rsidP="00D3760A" w14:paraId="5F8F88C2" w14:textId="66DDADC4">
      <w:pPr>
        <w:pBdr>
          <w:top w:val="nil"/>
          <w:left w:val="nil"/>
          <w:bottom w:val="nil"/>
          <w:right w:val="nil"/>
          <w:between w:val="nil"/>
        </w:pBdr>
        <w:rPr>
          <w:color w:val="000000"/>
        </w:rPr>
      </w:pPr>
      <w:r w:rsidRPr="00D3760A">
        <w:rPr>
          <w:color w:val="000000"/>
        </w:rPr>
        <w:t xml:space="preserve">Federal regulations require fishermen to submit completed logbooks for all trips or sets for several reasons. First, it is critical that these data be timely. For fisheries that </w:t>
      </w:r>
      <w:r w:rsidR="00EC1F27">
        <w:rPr>
          <w:color w:val="000000"/>
        </w:rPr>
        <w:t>interact with fish stocks determined by NMFS to be</w:t>
      </w:r>
      <w:r w:rsidRPr="00D3760A">
        <w:rPr>
          <w:color w:val="000000"/>
        </w:rPr>
        <w:t xml:space="preserve"> overfished, it is important to monitor changes in fishing mortality. Secondly, the renewal of federal vessel permits is predicated on compliance with the reporting requirements, and timely data are needed to determine whether fishermen are complying on a regular basis. Thirdly, quality control of the logbook data is better when the review and verification process is closer to the actual time that fishing occurred.</w:t>
      </w:r>
    </w:p>
    <w:p w:rsidR="00EE1074" w14:paraId="04FE8ACB" w14:textId="7D8FF7C2">
      <w:pPr>
        <w:pBdr>
          <w:top w:val="nil"/>
          <w:left w:val="nil"/>
          <w:bottom w:val="nil"/>
          <w:right w:val="nil"/>
          <w:between w:val="nil"/>
        </w:pBdr>
        <w:ind w:left="720"/>
        <w:rPr>
          <w:color w:val="000000"/>
        </w:rPr>
      </w:pPr>
    </w:p>
    <w:p w:rsidR="00270DAE" w:rsidP="00C0181C" w14:paraId="1720CBCF" w14:textId="5081238F">
      <w:pPr>
        <w:pBdr>
          <w:top w:val="nil"/>
          <w:left w:val="nil"/>
          <w:bottom w:val="nil"/>
          <w:right w:val="nil"/>
          <w:between w:val="nil"/>
        </w:pBdr>
        <w:rPr>
          <w:color w:val="000000"/>
        </w:rPr>
      </w:pPr>
      <w:r>
        <w:rPr>
          <w:color w:val="000000"/>
        </w:rPr>
        <w:t>This information collection will be conducted in a manner consistent with all other OMB guidelines.</w:t>
      </w:r>
    </w:p>
    <w:p w:rsidR="00270DAE" w14:paraId="4C66E8F7" w14:textId="23042EB6">
      <w:pPr>
        <w:pBdr>
          <w:top w:val="nil"/>
          <w:left w:val="nil"/>
          <w:bottom w:val="nil"/>
          <w:right w:val="nil"/>
          <w:between w:val="nil"/>
        </w:pBdr>
        <w:ind w:left="720"/>
        <w:rPr>
          <w:color w:val="000000"/>
        </w:rPr>
      </w:pPr>
    </w:p>
    <w:p w:rsidR="00270DAE" w14:paraId="7280D3EE" w14:textId="77777777">
      <w:pPr>
        <w:pBdr>
          <w:top w:val="nil"/>
          <w:left w:val="nil"/>
          <w:bottom w:val="nil"/>
          <w:right w:val="nil"/>
          <w:between w:val="nil"/>
        </w:pBdr>
        <w:ind w:left="720"/>
        <w:rPr>
          <w:color w:val="000000"/>
        </w:rPr>
      </w:pPr>
    </w:p>
    <w:p w:rsidR="00EE1074" w14:paraId="341F4365" w14:textId="77777777">
      <w:pPr>
        <w:numPr>
          <w:ilvl w:val="0"/>
          <w:numId w:val="1"/>
        </w:numPr>
        <w:pBdr>
          <w:top w:val="nil"/>
          <w:left w:val="nil"/>
          <w:bottom w:val="nil"/>
          <w:right w:val="nil"/>
          <w:between w:val="nil"/>
        </w:pBdr>
        <w:tabs>
          <w:tab w:val="left" w:pos="360"/>
        </w:tabs>
        <w:ind w:left="0" w:firstLine="0"/>
      </w:pPr>
      <w:r>
        <w:rPr>
          <w:b/>
          <w:color w:val="000000"/>
        </w:rPr>
        <w:t xml:space="preserve">If applicable, provide a copy and identify the date and page number of publications in the Federal Register of the agency's notice, required by 5 CFR 1320.8(d), soliciting comments on the information collection prior to submission to OMB. Summarize public </w:t>
      </w:r>
      <w:r>
        <w:rPr>
          <w:b/>
          <w:color w:val="000000"/>
        </w:rPr>
        <w:t>comments received in response to that notice and describe actions taken by the agency in response to these comments. Specifically address comments received on cost and hour burden.</w:t>
      </w:r>
    </w:p>
    <w:p w:rsidR="00EE1074" w14:paraId="2E6955A1" w14:textId="77777777">
      <w:pPr>
        <w:pBdr>
          <w:top w:val="nil"/>
          <w:left w:val="nil"/>
          <w:bottom w:val="nil"/>
          <w:right w:val="nil"/>
          <w:between w:val="nil"/>
        </w:pBdr>
        <w:rPr>
          <w:color w:val="000000"/>
        </w:rPr>
      </w:pPr>
    </w:p>
    <w:p w:rsidR="00EE1074" w:rsidP="00D3760A" w14:paraId="135E1F99" w14:textId="0608FE18">
      <w:r>
        <w:t xml:space="preserve">NMFS published a notice in the Federal Register on </w:t>
      </w:r>
      <w:r w:rsidRPr="00C1045D" w:rsidR="00EC1F27">
        <w:t xml:space="preserve">August </w:t>
      </w:r>
      <w:r w:rsidRPr="00C1045D" w:rsidR="00C1045D">
        <w:t>16</w:t>
      </w:r>
      <w:r w:rsidRPr="00C1045D">
        <w:t>, 202</w:t>
      </w:r>
      <w:r w:rsidRPr="00C1045D" w:rsidR="00EC1F27">
        <w:t>4</w:t>
      </w:r>
      <w:r w:rsidRPr="00C1045D">
        <w:t xml:space="preserve"> (8</w:t>
      </w:r>
      <w:r w:rsidRPr="00C1045D" w:rsidR="00EC1F27">
        <w:t>9</w:t>
      </w:r>
      <w:r w:rsidRPr="00C1045D">
        <w:t xml:space="preserve"> FR </w:t>
      </w:r>
      <w:r w:rsidRPr="00C1045D" w:rsidR="00C1045D">
        <w:t>66693</w:t>
      </w:r>
      <w:r w:rsidRPr="00C1045D">
        <w:t xml:space="preserve">) to solicit public comments on the </w:t>
      </w:r>
      <w:r w:rsidRPr="00C1045D" w:rsidR="006E7013">
        <w:t xml:space="preserve">revision </w:t>
      </w:r>
      <w:r w:rsidRPr="00C1045D">
        <w:t xml:space="preserve">of the 0648-0016 information collection. NMFS did not receive any comments. Although NMFS did not receive public comments on the published notice, </w:t>
      </w:r>
      <w:r w:rsidRPr="00C1045D" w:rsidR="001F5A66">
        <w:t xml:space="preserve">NMFS is part of a cooperative program to collect fishery statistics a </w:t>
      </w:r>
      <w:r w:rsidRPr="00C1045D" w:rsidR="001F5A66">
        <w:rPr>
          <w:color w:val="222222"/>
          <w:shd w:val="clear" w:color="auto" w:fill="FFFFFF"/>
        </w:rPr>
        <w:t>compilation of</w:t>
      </w:r>
      <w:r w:rsidRPr="003B1A38" w:rsidR="001F5A66">
        <w:rPr>
          <w:color w:val="222222"/>
          <w:shd w:val="clear" w:color="auto" w:fill="FFFFFF"/>
        </w:rPr>
        <w:t xml:space="preserve"> research recommendations</w:t>
      </w:r>
      <w:r w:rsidR="001F5A66">
        <w:rPr>
          <w:color w:val="222222"/>
          <w:shd w:val="clear" w:color="auto" w:fill="FFFFFF"/>
        </w:rPr>
        <w:t xml:space="preserve"> </w:t>
      </w:r>
      <w:r w:rsidR="00D3760A">
        <w:rPr>
          <w:color w:val="222222"/>
          <w:shd w:val="clear" w:color="auto" w:fill="FFFFFF"/>
        </w:rPr>
        <w:t>(</w:t>
      </w:r>
      <w:r w:rsidRPr="003B1A38" w:rsidR="001F5A66">
        <w:rPr>
          <w:color w:val="222222"/>
          <w:shd w:val="clear" w:color="auto" w:fill="FFFFFF"/>
        </w:rPr>
        <w:t>http</w:t>
      </w:r>
      <w:r w:rsidR="00C1045D">
        <w:rPr>
          <w:color w:val="222222"/>
          <w:shd w:val="clear" w:color="auto" w:fill="FFFFFF"/>
        </w:rPr>
        <w:t>s</w:t>
      </w:r>
      <w:r w:rsidRPr="003B1A38" w:rsidR="001F5A66">
        <w:rPr>
          <w:color w:val="222222"/>
          <w:shd w:val="clear" w:color="auto" w:fill="FFFFFF"/>
        </w:rPr>
        <w:t>://sedarweb.org/research-recomendations</w:t>
      </w:r>
      <w:r w:rsidR="00EC1F27">
        <w:rPr>
          <w:color w:val="222222"/>
          <w:shd w:val="clear" w:color="auto" w:fill="FFFFFF"/>
        </w:rPr>
        <w:t>)</w:t>
      </w:r>
      <w:r w:rsidRPr="003B1A38" w:rsidR="001F5A66">
        <w:t>. SEFSC personnel</w:t>
      </w:r>
      <w:r w:rsidR="001F5A66">
        <w:t xml:space="preserve"> meet with state, territorial, and regional coordinators of fisheries statistics collection programs throughout the year to discuss, coordinate</w:t>
      </w:r>
      <w:r w:rsidR="00EC1F27">
        <w:t>,</w:t>
      </w:r>
      <w:r w:rsidR="001F5A66">
        <w:t xml:space="preserve"> and improve data collections.</w:t>
      </w:r>
      <w:r w:rsidR="002E42EE">
        <w:t xml:space="preserve"> </w:t>
      </w:r>
    </w:p>
    <w:p w:rsidR="00C0181C" w:rsidP="00D3760A" w14:paraId="3627FFC5" w14:textId="77777777"/>
    <w:p w:rsidR="00C0181C" w:rsidRPr="00D3760A" w:rsidP="00D3760A" w14:paraId="12AC714A" w14:textId="7F2CA36B">
      <w:r>
        <w:t>The final rule RIN 0648-BH72 will be published concurrently with the submission of this collection to OMB.</w:t>
      </w:r>
    </w:p>
    <w:p w:rsidR="00EE1074" w14:paraId="1384C710" w14:textId="77777777">
      <w:pPr>
        <w:pBdr>
          <w:top w:val="nil"/>
          <w:left w:val="nil"/>
          <w:bottom w:val="nil"/>
          <w:right w:val="nil"/>
          <w:between w:val="nil"/>
        </w:pBdr>
        <w:rPr>
          <w:color w:val="000000"/>
        </w:rPr>
      </w:pPr>
    </w:p>
    <w:p w:rsidR="00EE1074" w14:paraId="67D57B4A" w14:textId="77777777">
      <w:pPr>
        <w:numPr>
          <w:ilvl w:val="0"/>
          <w:numId w:val="1"/>
        </w:numPr>
        <w:pBdr>
          <w:top w:val="nil"/>
          <w:left w:val="nil"/>
          <w:bottom w:val="nil"/>
          <w:right w:val="nil"/>
          <w:between w:val="nil"/>
        </w:pBdr>
        <w:tabs>
          <w:tab w:val="left" w:pos="360"/>
        </w:tabs>
        <w:ind w:left="0" w:firstLine="0"/>
      </w:pPr>
      <w:r>
        <w:rPr>
          <w:b/>
          <w:color w:val="000000"/>
        </w:rPr>
        <w:t>Explain any decision to provide any payment or gift to respondents, other than remuneration of contractors or grantees.</w:t>
      </w:r>
    </w:p>
    <w:p w:rsidR="00EE1074" w14:paraId="03E7B4DB" w14:textId="77777777">
      <w:pPr>
        <w:pBdr>
          <w:top w:val="nil"/>
          <w:left w:val="nil"/>
          <w:bottom w:val="nil"/>
          <w:right w:val="nil"/>
          <w:between w:val="nil"/>
        </w:pBdr>
        <w:rPr>
          <w:color w:val="000000"/>
        </w:rPr>
      </w:pPr>
    </w:p>
    <w:p w:rsidR="00EE1074" w14:paraId="6B11E968" w14:textId="77777777">
      <w:pPr>
        <w:pBdr>
          <w:top w:val="nil"/>
          <w:left w:val="nil"/>
          <w:bottom w:val="nil"/>
          <w:right w:val="nil"/>
          <w:between w:val="nil"/>
        </w:pBdr>
        <w:rPr>
          <w:color w:val="000000"/>
        </w:rPr>
      </w:pPr>
      <w:r>
        <w:rPr>
          <w:color w:val="000000"/>
        </w:rPr>
        <w:t xml:space="preserve">This data collection will not include any incentives to prospective respondents. </w:t>
      </w:r>
    </w:p>
    <w:p w:rsidR="00EE1074" w14:paraId="29342F4C" w14:textId="77777777">
      <w:pPr>
        <w:pBdr>
          <w:top w:val="nil"/>
          <w:left w:val="nil"/>
          <w:bottom w:val="nil"/>
          <w:right w:val="nil"/>
          <w:between w:val="nil"/>
        </w:pBdr>
        <w:rPr>
          <w:color w:val="000000"/>
        </w:rPr>
      </w:pPr>
    </w:p>
    <w:p w:rsidR="00EE1074" w14:paraId="52073B78" w14:textId="44196629">
      <w:pPr>
        <w:numPr>
          <w:ilvl w:val="0"/>
          <w:numId w:val="1"/>
        </w:numPr>
        <w:pBdr>
          <w:top w:val="nil"/>
          <w:left w:val="nil"/>
          <w:bottom w:val="nil"/>
          <w:right w:val="nil"/>
          <w:between w:val="nil"/>
        </w:pBdr>
        <w:tabs>
          <w:tab w:val="left" w:pos="360"/>
        </w:tabs>
        <w:ind w:left="0" w:firstLine="0"/>
      </w:pPr>
      <w:r>
        <w:rPr>
          <w:b/>
          <w:color w:val="000000"/>
        </w:rPr>
        <w:t>Describe any assurance of confidentiality provided to respondents and the basis for the assurance in statute, regulation, or agency policy. If the collection requires a systems of records notice or privacy impact assessment</w:t>
      </w:r>
      <w:r w:rsidR="00977D1A">
        <w:rPr>
          <w:b/>
          <w:color w:val="000000"/>
        </w:rPr>
        <w:t>,</w:t>
      </w:r>
      <w:r>
        <w:rPr>
          <w:b/>
          <w:color w:val="000000"/>
        </w:rPr>
        <w:t xml:space="preserve"> those should be cited and described here.</w:t>
      </w:r>
    </w:p>
    <w:p w:rsidR="00EE1074" w14:paraId="7A8141A8" w14:textId="77777777">
      <w:pPr>
        <w:pBdr>
          <w:top w:val="nil"/>
          <w:left w:val="nil"/>
          <w:bottom w:val="nil"/>
          <w:right w:val="nil"/>
          <w:between w:val="nil"/>
        </w:pBdr>
        <w:rPr>
          <w:color w:val="000000"/>
        </w:rPr>
      </w:pPr>
    </w:p>
    <w:p w:rsidR="00EE1074" w14:paraId="59A29223" w14:textId="14B74C94">
      <w:pPr>
        <w:pBdr>
          <w:top w:val="nil"/>
          <w:left w:val="nil"/>
          <w:bottom w:val="nil"/>
          <w:right w:val="nil"/>
          <w:between w:val="nil"/>
        </w:pBdr>
        <w:rPr>
          <w:color w:val="000000"/>
        </w:rPr>
      </w:pPr>
      <w:r>
        <w:rPr>
          <w:color w:val="000000"/>
        </w:rPr>
        <w:t xml:space="preserve">As stated on the forms and the logbook cover, data collected via OMB Control No. 0648-0016 are treated in accordance with NOAA Administrative Order 216-100, Confidential Fisheries Statistics. Reports are considered confidential under </w:t>
      </w:r>
      <w:r w:rsidRPr="00565081">
        <w:t xml:space="preserve">the </w:t>
      </w:r>
      <w:r w:rsidRPr="00565081" w:rsidR="00565081">
        <w:t>Trade Secrets Act</w:t>
      </w:r>
      <w:r w:rsidRPr="00565081">
        <w:t xml:space="preserve">. </w:t>
      </w:r>
      <w:r>
        <w:rPr>
          <w:color w:val="000000"/>
        </w:rPr>
        <w:t>In addition, landings statistics are considered to be in an entrepreneurial capacity and will be exempt from the Privacy Act concerns. It is the policy of the NMFS that confidential data are not to be released to non-authorized users, other than in aggregate form, as the Magnuson-Stevens Act protects (in perpetuity) the confidentiality of those submitting data</w:t>
      </w:r>
      <w:r w:rsidR="0081003F">
        <w:rPr>
          <w:color w:val="000000"/>
        </w:rPr>
        <w:t xml:space="preserve">. Whenever data are requested, </w:t>
      </w:r>
      <w:r>
        <w:rPr>
          <w:color w:val="000000"/>
        </w:rPr>
        <w:t xml:space="preserve">NMFS ensures that information identifying the </w:t>
      </w:r>
      <w:r w:rsidR="0081003F">
        <w:rPr>
          <w:color w:val="000000"/>
        </w:rPr>
        <w:t>commercial</w:t>
      </w:r>
      <w:r>
        <w:rPr>
          <w:color w:val="000000"/>
        </w:rPr>
        <w:t xml:space="preserve"> business activity of a particular vessel is not identified.</w:t>
      </w:r>
    </w:p>
    <w:p w:rsidR="00C0181C" w14:paraId="2F3DEBAF" w14:textId="77777777">
      <w:pPr>
        <w:pBdr>
          <w:top w:val="nil"/>
          <w:left w:val="nil"/>
          <w:bottom w:val="nil"/>
          <w:right w:val="nil"/>
          <w:between w:val="nil"/>
        </w:pBdr>
        <w:rPr>
          <w:color w:val="000000"/>
        </w:rPr>
      </w:pPr>
    </w:p>
    <w:p w:rsidR="00C0181C" w14:paraId="686B1C1C" w14:textId="78C18DC3">
      <w:pPr>
        <w:pBdr>
          <w:top w:val="nil"/>
          <w:left w:val="nil"/>
          <w:bottom w:val="nil"/>
          <w:right w:val="nil"/>
          <w:between w:val="nil"/>
        </w:pBdr>
        <w:rPr>
          <w:color w:val="000000"/>
        </w:rPr>
      </w:pPr>
      <w:r>
        <w:rPr>
          <w:color w:val="000000"/>
        </w:rPr>
        <w:t>System of records notice (SORN) NOAA-19</w:t>
      </w:r>
      <w:r>
        <w:rPr>
          <w:rStyle w:val="FootnoteReference"/>
          <w:color w:val="000000"/>
        </w:rPr>
        <w:footnoteReference w:id="2"/>
      </w:r>
      <w:r>
        <w:rPr>
          <w:color w:val="000000"/>
        </w:rPr>
        <w:t>, Permits and Registrations for United States Federally Regulated Fisheries, covers the information collected under this OMB Control Number.  The privacy impact assessment for NOAA4400</w:t>
      </w:r>
      <w:r>
        <w:rPr>
          <w:rStyle w:val="FootnoteReference"/>
          <w:color w:val="000000"/>
        </w:rPr>
        <w:footnoteReference w:id="3"/>
      </w:r>
      <w:r>
        <w:rPr>
          <w:color w:val="000000"/>
        </w:rPr>
        <w:t xml:space="preserve"> captures how the information in this collection is collected, stored, used, and disseminated.</w:t>
      </w:r>
    </w:p>
    <w:p w:rsidR="00EE1074" w14:paraId="4CCD1F8E" w14:textId="77777777">
      <w:pPr>
        <w:pBdr>
          <w:top w:val="nil"/>
          <w:left w:val="nil"/>
          <w:bottom w:val="nil"/>
          <w:right w:val="nil"/>
          <w:between w:val="nil"/>
        </w:pBdr>
        <w:rPr>
          <w:color w:val="000000"/>
        </w:rPr>
      </w:pPr>
    </w:p>
    <w:p w:rsidR="00EE1074" w14:paraId="7440786E" w14:textId="77777777">
      <w:pPr>
        <w:numPr>
          <w:ilvl w:val="0"/>
          <w:numId w:val="1"/>
        </w:numPr>
        <w:pBdr>
          <w:top w:val="nil"/>
          <w:left w:val="nil"/>
          <w:bottom w:val="nil"/>
          <w:right w:val="nil"/>
          <w:between w:val="nil"/>
        </w:pBdr>
        <w:tabs>
          <w:tab w:val="left" w:pos="360"/>
        </w:tabs>
        <w:spacing w:before="80"/>
        <w:ind w:left="0" w:firstLine="0"/>
      </w:pPr>
      <w:r>
        <w:rPr>
          <w:b/>
          <w:color w:val="000000"/>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w:t>
      </w:r>
      <w:r>
        <w:rPr>
          <w:b/>
          <w:color w:val="000000"/>
        </w:rPr>
        <w:t>given to persons from whom the information is requested, and any steps to be taken to obtain their consent.</w:t>
      </w:r>
    </w:p>
    <w:p w:rsidR="00EE1074" w14:paraId="6858F8BD" w14:textId="77777777">
      <w:pPr>
        <w:tabs>
          <w:tab w:val="left" w:pos="360"/>
        </w:tabs>
      </w:pPr>
    </w:p>
    <w:p w:rsidR="00EE1074" w14:paraId="384B5057" w14:textId="77777777">
      <w:pPr>
        <w:tabs>
          <w:tab w:val="left" w:pos="360"/>
        </w:tabs>
        <w:sectPr w:rsidSect="002E77F4">
          <w:footerReference w:type="default" r:id="rId6"/>
          <w:pgSz w:w="12240" w:h="15840"/>
          <w:pgMar w:top="1440" w:right="1440" w:bottom="1440" w:left="1440" w:header="720" w:footer="720" w:gutter="0"/>
          <w:pgNumType w:start="1"/>
          <w:cols w:space="720"/>
          <w:docGrid w:linePitch="326"/>
        </w:sectPr>
      </w:pPr>
      <w:r>
        <w:t>No sensitive questions are asked.</w:t>
      </w:r>
    </w:p>
    <w:p w:rsidR="00EE1074" w14:paraId="3C55DFBD" w14:textId="15C19572">
      <w:pPr>
        <w:numPr>
          <w:ilvl w:val="0"/>
          <w:numId w:val="1"/>
        </w:numPr>
        <w:pBdr>
          <w:top w:val="nil"/>
          <w:left w:val="nil"/>
          <w:bottom w:val="nil"/>
          <w:right w:val="nil"/>
          <w:between w:val="nil"/>
        </w:pBdr>
        <w:tabs>
          <w:tab w:val="left" w:pos="360"/>
        </w:tabs>
        <w:ind w:left="0" w:firstLine="0"/>
      </w:pPr>
      <w:r>
        <w:rPr>
          <w:b/>
          <w:color w:val="000000"/>
        </w:rPr>
        <w:t xml:space="preserve">Provide estimates of the hour burden of the collection of information. </w:t>
      </w:r>
    </w:p>
    <w:p w:rsidR="00EE1074" w:rsidRPr="00FE7720" w14:paraId="45753019" w14:textId="346DDBA6">
      <w:pPr>
        <w:pBdr>
          <w:top w:val="nil"/>
          <w:left w:val="nil"/>
          <w:bottom w:val="nil"/>
          <w:right w:val="nil"/>
          <w:between w:val="nil"/>
        </w:pBdr>
        <w:rPr>
          <w:color w:val="000000"/>
        </w:rPr>
      </w:pPr>
    </w:p>
    <w:p w:rsidR="00FE7720" w14:paraId="7590355C" w14:textId="59C4BFE7">
      <w:pPr>
        <w:pBdr>
          <w:top w:val="nil"/>
          <w:left w:val="nil"/>
          <w:bottom w:val="nil"/>
          <w:right w:val="nil"/>
          <w:between w:val="nil"/>
        </w:pBdr>
        <w:rPr>
          <w:color w:val="000000"/>
        </w:rPr>
      </w:pPr>
      <w:r>
        <w:rPr>
          <w:color w:val="000000"/>
        </w:rPr>
        <w:t xml:space="preserve">This revision removes the time burdens associated with the Gulf for-hire electronic reporting program. </w:t>
      </w:r>
    </w:p>
    <w:p w:rsidR="00270DAE" w:rsidRPr="00FE7720" w14:paraId="6C02F5BB" w14:textId="77777777">
      <w:pPr>
        <w:pBdr>
          <w:top w:val="nil"/>
          <w:left w:val="nil"/>
          <w:bottom w:val="nil"/>
          <w:right w:val="nil"/>
          <w:between w:val="nil"/>
        </w:pBdr>
        <w:rPr>
          <w:color w:val="000000"/>
        </w:rPr>
      </w:pPr>
    </w:p>
    <w:tbl>
      <w:tblPr>
        <w:tblStyle w:val="a4"/>
        <w:tblW w:w="13755" w:type="dxa"/>
        <w:jc w:val="center"/>
        <w:tblBorders>
          <w:top w:val="nil"/>
          <w:left w:val="nil"/>
          <w:bottom w:val="nil"/>
          <w:right w:val="nil"/>
          <w:insideH w:val="nil"/>
          <w:insideV w:val="nil"/>
        </w:tblBorders>
        <w:tblLayout w:type="fixed"/>
        <w:tblLook w:val="0600"/>
      </w:tblPr>
      <w:tblGrid>
        <w:gridCol w:w="2370"/>
        <w:gridCol w:w="1485"/>
        <w:gridCol w:w="1170"/>
        <w:gridCol w:w="1380"/>
        <w:gridCol w:w="1380"/>
        <w:gridCol w:w="1380"/>
        <w:gridCol w:w="1380"/>
        <w:gridCol w:w="1380"/>
        <w:gridCol w:w="1830"/>
      </w:tblGrid>
      <w:tr w14:paraId="3A99EECB" w14:textId="77777777" w:rsidTr="00270DAE">
        <w:tblPrEx>
          <w:tblW w:w="13755" w:type="dxa"/>
          <w:jc w:val="center"/>
          <w:tblBorders>
            <w:top w:val="nil"/>
            <w:left w:val="nil"/>
            <w:bottom w:val="nil"/>
            <w:right w:val="nil"/>
            <w:insideH w:val="nil"/>
            <w:insideV w:val="nil"/>
          </w:tblBorders>
          <w:tblLayout w:type="fixed"/>
          <w:tblLook w:val="0600"/>
        </w:tblPrEx>
        <w:trPr>
          <w:trHeight w:val="660"/>
          <w:jc w:val="center"/>
        </w:trPr>
        <w:tc>
          <w:tcPr>
            <w:tcW w:w="2370" w:type="dxa"/>
            <w:vMerge w:val="restart"/>
            <w:tcBorders>
              <w:top w:val="single" w:sz="6" w:space="0" w:color="000000"/>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669425C4" w14:textId="77777777">
            <w:pPr>
              <w:spacing w:line="276" w:lineRule="auto"/>
              <w:jc w:val="center"/>
              <w:rPr>
                <w:rFonts w:ascii="Calibri" w:eastAsia="Calibri" w:hAnsi="Calibri" w:cs="Calibri"/>
                <w:b/>
                <w:sz w:val="18"/>
                <w:szCs w:val="18"/>
              </w:rPr>
            </w:pPr>
            <w:r>
              <w:rPr>
                <w:rFonts w:ascii="Calibri" w:eastAsia="Calibri" w:hAnsi="Calibri" w:cs="Calibri"/>
                <w:b/>
                <w:sz w:val="18"/>
                <w:szCs w:val="18"/>
              </w:rPr>
              <w:t>Information Collection</w:t>
            </w:r>
          </w:p>
        </w:tc>
        <w:tc>
          <w:tcPr>
            <w:tcW w:w="1485" w:type="dxa"/>
            <w:vMerge w:val="restart"/>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5C79B641" w14:textId="77777777">
            <w:pPr>
              <w:spacing w:line="276" w:lineRule="auto"/>
              <w:jc w:val="center"/>
              <w:rPr>
                <w:rFonts w:ascii="Calibri" w:eastAsia="Calibri" w:hAnsi="Calibri" w:cs="Calibri"/>
                <w:b/>
                <w:sz w:val="18"/>
                <w:szCs w:val="18"/>
              </w:rPr>
            </w:pPr>
            <w:r>
              <w:rPr>
                <w:rFonts w:ascii="Calibri" w:eastAsia="Calibri" w:hAnsi="Calibri" w:cs="Calibri"/>
                <w:b/>
                <w:sz w:val="18"/>
                <w:szCs w:val="18"/>
              </w:rPr>
              <w:t>Respondent Type (e.g., Occupational Title)</w:t>
            </w:r>
          </w:p>
        </w:tc>
        <w:tc>
          <w:tcPr>
            <w:tcW w:w="117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270DAE" w:rsidP="00DA23B9" w14:paraId="4451C496"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Annual Number of Respondents</w:t>
            </w:r>
          </w:p>
        </w:tc>
        <w:tc>
          <w:tcPr>
            <w:tcW w:w="138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270DAE" w:rsidP="00DA23B9" w14:paraId="0FEF9AB1"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Annual Number of Responses per Respondent</w:t>
            </w:r>
          </w:p>
        </w:tc>
        <w:tc>
          <w:tcPr>
            <w:tcW w:w="138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270DAE" w:rsidP="00DA23B9" w14:paraId="760E36DD"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Total # of Annual Responses</w:t>
            </w:r>
          </w:p>
        </w:tc>
        <w:tc>
          <w:tcPr>
            <w:tcW w:w="138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270DAE" w:rsidP="00DA23B9" w14:paraId="1A5BAFD4"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Burden Hrs per Response</w:t>
            </w:r>
          </w:p>
        </w:tc>
        <w:tc>
          <w:tcPr>
            <w:tcW w:w="138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270DAE" w:rsidP="00DA23B9" w14:paraId="4A750F16"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Total Annual Burden Hrs</w:t>
            </w:r>
          </w:p>
        </w:tc>
        <w:tc>
          <w:tcPr>
            <w:tcW w:w="138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270DAE" w:rsidP="00DA23B9" w14:paraId="07D0AC3E"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Hourly Wage Rate* ($) (for Type of Respondent)</w:t>
            </w:r>
          </w:p>
        </w:tc>
        <w:tc>
          <w:tcPr>
            <w:tcW w:w="183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270DAE" w:rsidP="00DA23B9" w14:paraId="6B6C738E"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Total Annual Wage Burden Costs ($)</w:t>
            </w:r>
          </w:p>
        </w:tc>
      </w:tr>
      <w:tr w14:paraId="5B6E0DF4" w14:textId="77777777" w:rsidTr="00270DAE">
        <w:tblPrEx>
          <w:tblW w:w="13755" w:type="dxa"/>
          <w:jc w:val="center"/>
          <w:tblLayout w:type="fixed"/>
          <w:tblLook w:val="0600"/>
        </w:tblPrEx>
        <w:trPr>
          <w:trHeight w:val="315"/>
          <w:jc w:val="center"/>
        </w:trPr>
        <w:tc>
          <w:tcPr>
            <w:tcW w:w="237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270DAE" w:rsidP="00DA23B9" w14:paraId="3E6AC447" w14:textId="77777777">
            <w:pPr>
              <w:spacing w:line="276" w:lineRule="auto"/>
              <w:rPr>
                <w:rFonts w:ascii="Arial" w:eastAsia="Arial" w:hAnsi="Arial" w:cs="Arial"/>
                <w:sz w:val="20"/>
                <w:szCs w:val="20"/>
              </w:rPr>
            </w:pPr>
          </w:p>
        </w:tc>
        <w:tc>
          <w:tcPr>
            <w:tcW w:w="1485"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270DAE" w:rsidP="00DA23B9" w14:paraId="20F8AC2A" w14:textId="77777777">
            <w:pPr>
              <w:spacing w:line="276" w:lineRule="auto"/>
              <w:rPr>
                <w:rFonts w:ascii="Arial" w:eastAsia="Arial" w:hAnsi="Arial" w:cs="Arial"/>
                <w:sz w:val="20"/>
                <w:szCs w:val="20"/>
              </w:rPr>
            </w:pPr>
          </w:p>
        </w:tc>
        <w:tc>
          <w:tcPr>
            <w:tcW w:w="117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7EF18EF6"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(a)</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14066D0E"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(b)</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559264F6"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(c) = (a) x (b)</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6C381804"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(d)</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3EFE4BD0"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(e) = (c) x (d)</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3CAF35DE"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(f)</w:t>
            </w:r>
          </w:p>
        </w:tc>
        <w:tc>
          <w:tcPr>
            <w:tcW w:w="183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28B24E2E"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(g) = (e) x (f)</w:t>
            </w:r>
          </w:p>
        </w:tc>
      </w:tr>
      <w:tr w14:paraId="5F5CF720" w14:textId="77777777" w:rsidTr="00270DAE">
        <w:tblPrEx>
          <w:tblW w:w="13755" w:type="dxa"/>
          <w:jc w:val="center"/>
          <w:tblLayout w:type="fixed"/>
          <w:tblLook w:val="0600"/>
        </w:tblPrEx>
        <w:trPr>
          <w:trHeight w:val="315"/>
          <w:jc w:val="center"/>
        </w:trPr>
        <w:tc>
          <w:tcPr>
            <w:tcW w:w="23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00" w:type="dxa"/>
              <w:left w:w="100" w:type="dxa"/>
              <w:bottom w:w="100" w:type="dxa"/>
              <w:right w:w="100" w:type="dxa"/>
            </w:tcMar>
          </w:tcPr>
          <w:p w:rsidR="00270DAE" w:rsidP="00DA23B9" w14:paraId="281A4247" w14:textId="77777777">
            <w:pPr>
              <w:spacing w:line="276" w:lineRule="auto"/>
              <w:rPr>
                <w:rFonts w:ascii="Calibri" w:eastAsia="Calibri" w:hAnsi="Calibri" w:cs="Calibri"/>
                <w:b/>
                <w:sz w:val="18"/>
                <w:szCs w:val="18"/>
              </w:rPr>
            </w:pPr>
            <w:r>
              <w:rPr>
                <w:rFonts w:ascii="Calibri" w:eastAsia="Calibri" w:hAnsi="Calibri" w:cs="Calibri"/>
                <w:b/>
                <w:sz w:val="18"/>
                <w:szCs w:val="18"/>
              </w:rPr>
              <w:t>Headboat Logbook</w:t>
            </w:r>
          </w:p>
        </w:tc>
        <w:tc>
          <w:tcPr>
            <w:tcW w:w="148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100" w:type="dxa"/>
              <w:left w:w="100" w:type="dxa"/>
              <w:bottom w:w="100" w:type="dxa"/>
              <w:right w:w="100" w:type="dxa"/>
            </w:tcMar>
          </w:tcPr>
          <w:p w:rsidR="00270DAE" w:rsidP="00DA23B9" w14:paraId="126D6235" w14:textId="77777777">
            <w:pPr>
              <w:spacing w:line="276" w:lineRule="auto"/>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095D3884" w14:textId="77777777">
            <w:pPr>
              <w:spacing w:line="276" w:lineRule="auto"/>
              <w:jc w:val="center"/>
              <w:rPr>
                <w:rFonts w:ascii="Calibri" w:eastAsia="Calibri" w:hAnsi="Calibri" w:cs="Calibri"/>
                <w:sz w:val="18"/>
                <w:szCs w:val="18"/>
              </w:rPr>
            </w:pPr>
            <w:r>
              <w:rPr>
                <w:rFonts w:ascii="Calibri" w:eastAsia="Calibri" w:hAnsi="Calibri" w:cs="Calibri"/>
                <w:sz w:val="18"/>
                <w:szCs w:val="18"/>
              </w:rPr>
              <w:t>132</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84DC857" w14:textId="77777777">
            <w:pPr>
              <w:spacing w:line="276" w:lineRule="auto"/>
              <w:jc w:val="center"/>
              <w:rPr>
                <w:rFonts w:ascii="Calibri" w:eastAsia="Calibri" w:hAnsi="Calibri" w:cs="Calibri"/>
                <w:sz w:val="18"/>
                <w:szCs w:val="18"/>
              </w:rPr>
            </w:pPr>
            <w:r>
              <w:rPr>
                <w:rFonts w:ascii="Calibri" w:eastAsia="Calibri" w:hAnsi="Calibri" w:cs="Calibri"/>
                <w:sz w:val="18"/>
                <w:szCs w:val="18"/>
              </w:rPr>
              <w:t>186</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3B0B87C6" w14:textId="77777777">
            <w:pPr>
              <w:spacing w:line="276" w:lineRule="auto"/>
              <w:jc w:val="center"/>
              <w:rPr>
                <w:rFonts w:ascii="Calibri" w:eastAsia="Calibri" w:hAnsi="Calibri" w:cs="Calibri"/>
                <w:sz w:val="18"/>
                <w:szCs w:val="18"/>
              </w:rPr>
            </w:pPr>
            <w:r>
              <w:rPr>
                <w:rFonts w:ascii="Calibri" w:eastAsia="Calibri" w:hAnsi="Calibri" w:cs="Calibri"/>
                <w:sz w:val="18"/>
                <w:szCs w:val="18"/>
              </w:rPr>
              <w:t>24,552</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44648C6C" w14:textId="77777777">
            <w:pPr>
              <w:spacing w:line="276" w:lineRule="auto"/>
              <w:jc w:val="center"/>
              <w:rPr>
                <w:rFonts w:ascii="Calibri" w:eastAsia="Calibri" w:hAnsi="Calibri" w:cs="Calibri"/>
                <w:sz w:val="18"/>
                <w:szCs w:val="18"/>
              </w:rPr>
            </w:pPr>
            <w:r>
              <w:rPr>
                <w:rFonts w:ascii="Calibri" w:eastAsia="Calibri" w:hAnsi="Calibri" w:cs="Calibri"/>
                <w:sz w:val="18"/>
                <w:szCs w:val="18"/>
              </w:rPr>
              <w:t>9.1394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606BEEBD" w14:textId="77777777">
            <w:pPr>
              <w:spacing w:line="276" w:lineRule="auto"/>
              <w:jc w:val="center"/>
              <w:rPr>
                <w:rFonts w:ascii="Calibri" w:eastAsia="Calibri" w:hAnsi="Calibri" w:cs="Calibri"/>
                <w:sz w:val="18"/>
                <w:szCs w:val="18"/>
              </w:rPr>
            </w:pPr>
            <w:r>
              <w:rPr>
                <w:rFonts w:ascii="Calibri" w:eastAsia="Calibri" w:hAnsi="Calibri" w:cs="Calibri"/>
                <w:sz w:val="18"/>
                <w:szCs w:val="18"/>
              </w:rPr>
              <w:t>3,740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27B2AAE5"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0C52CBB1" w14:textId="77777777">
            <w:pPr>
              <w:spacing w:line="276" w:lineRule="auto"/>
              <w:jc w:val="center"/>
              <w:rPr>
                <w:rFonts w:ascii="Calibri" w:eastAsia="Calibri" w:hAnsi="Calibri" w:cs="Calibri"/>
                <w:sz w:val="18"/>
                <w:szCs w:val="18"/>
              </w:rPr>
            </w:pPr>
            <w:r>
              <w:rPr>
                <w:rFonts w:ascii="Calibri" w:eastAsia="Calibri" w:hAnsi="Calibri" w:cs="Calibri"/>
                <w:sz w:val="18"/>
                <w:szCs w:val="18"/>
              </w:rPr>
              <w:t>$113,920</w:t>
            </w:r>
          </w:p>
        </w:tc>
      </w:tr>
      <w:tr w14:paraId="21AFAD9A" w14:textId="77777777" w:rsidTr="00270DAE">
        <w:tblPrEx>
          <w:tblW w:w="13755" w:type="dxa"/>
          <w:jc w:val="center"/>
          <w:tblLayout w:type="fixed"/>
          <w:tblLook w:val="0600"/>
        </w:tblPrEx>
        <w:trPr>
          <w:trHeight w:val="34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0C817ED0" w14:textId="77777777">
            <w:pPr>
              <w:spacing w:line="276" w:lineRule="auto"/>
              <w:ind w:left="270"/>
              <w:rPr>
                <w:rFonts w:ascii="Calibri" w:eastAsia="Calibri" w:hAnsi="Calibri" w:cs="Calibri"/>
                <w:sz w:val="18"/>
                <w:szCs w:val="18"/>
              </w:rPr>
            </w:pPr>
            <w:r>
              <w:rPr>
                <w:rFonts w:ascii="Calibri" w:eastAsia="Calibri" w:hAnsi="Calibri" w:cs="Calibri"/>
                <w:sz w:val="18"/>
                <w:szCs w:val="18"/>
              </w:rPr>
              <w:t>Headboat Logbook</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EEAB286" w14:textId="77777777">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CCFAB06" w14:textId="77777777">
            <w:pPr>
              <w:spacing w:line="276" w:lineRule="auto"/>
              <w:jc w:val="center"/>
              <w:rPr>
                <w:rFonts w:ascii="Calibri" w:eastAsia="Calibri" w:hAnsi="Calibri" w:cs="Calibri"/>
                <w:sz w:val="18"/>
                <w:szCs w:val="18"/>
              </w:rPr>
            </w:pPr>
            <w:r>
              <w:rPr>
                <w:rFonts w:ascii="Calibri" w:eastAsia="Calibri" w:hAnsi="Calibri" w:cs="Calibri"/>
                <w:sz w:val="18"/>
                <w:szCs w:val="18"/>
              </w:rPr>
              <w:t>132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5E0F80B" w14:textId="77777777">
            <w:pPr>
              <w:spacing w:line="276" w:lineRule="auto"/>
              <w:jc w:val="center"/>
              <w:rPr>
                <w:rFonts w:ascii="Calibri" w:eastAsia="Calibri" w:hAnsi="Calibri" w:cs="Calibri"/>
                <w:sz w:val="18"/>
                <w:szCs w:val="18"/>
              </w:rPr>
            </w:pPr>
            <w:r>
              <w:rPr>
                <w:rFonts w:ascii="Calibri" w:eastAsia="Calibri" w:hAnsi="Calibri" w:cs="Calibri"/>
                <w:sz w:val="18"/>
                <w:szCs w:val="18"/>
              </w:rPr>
              <w:t>166</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298A95E" w14:textId="77777777">
            <w:pPr>
              <w:spacing w:line="276" w:lineRule="auto"/>
              <w:jc w:val="center"/>
              <w:rPr>
                <w:rFonts w:ascii="Calibri" w:eastAsia="Calibri" w:hAnsi="Calibri" w:cs="Calibri"/>
                <w:sz w:val="18"/>
                <w:szCs w:val="18"/>
              </w:rPr>
            </w:pPr>
            <w:r>
              <w:rPr>
                <w:rFonts w:ascii="Calibri" w:eastAsia="Calibri" w:hAnsi="Calibri" w:cs="Calibri"/>
                <w:sz w:val="18"/>
                <w:szCs w:val="18"/>
              </w:rPr>
              <w:t>21,912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45A6603A" w14:textId="77777777">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AC66C30" w14:textId="77777777">
            <w:pPr>
              <w:spacing w:line="276" w:lineRule="auto"/>
              <w:jc w:val="center"/>
              <w:rPr>
                <w:rFonts w:ascii="Calibri" w:eastAsia="Calibri" w:hAnsi="Calibri" w:cs="Calibri"/>
                <w:sz w:val="18"/>
                <w:szCs w:val="18"/>
              </w:rPr>
            </w:pPr>
            <w:r>
              <w:rPr>
                <w:rFonts w:ascii="Calibri" w:eastAsia="Calibri" w:hAnsi="Calibri" w:cs="Calibri"/>
                <w:sz w:val="18"/>
                <w:szCs w:val="18"/>
              </w:rPr>
              <w:t>3,652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49311C1E"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C108AF4" w14:textId="77777777">
            <w:pPr>
              <w:spacing w:line="276" w:lineRule="auto"/>
              <w:jc w:val="center"/>
              <w:rPr>
                <w:rFonts w:ascii="Calibri" w:eastAsia="Calibri" w:hAnsi="Calibri" w:cs="Calibri"/>
                <w:sz w:val="18"/>
                <w:szCs w:val="18"/>
              </w:rPr>
            </w:pPr>
            <w:r>
              <w:rPr>
                <w:rFonts w:ascii="Calibri" w:eastAsia="Calibri" w:hAnsi="Calibri" w:cs="Calibri"/>
                <w:sz w:val="18"/>
                <w:szCs w:val="18"/>
              </w:rPr>
              <w:t>$111,240</w:t>
            </w:r>
          </w:p>
        </w:tc>
      </w:tr>
      <w:tr w14:paraId="739CE3A1"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BA3A344" w14:textId="77777777">
            <w:pPr>
              <w:spacing w:line="276" w:lineRule="auto"/>
              <w:ind w:left="270"/>
              <w:rPr>
                <w:rFonts w:ascii="Calibri" w:eastAsia="Calibri" w:hAnsi="Calibri" w:cs="Calibri"/>
                <w:sz w:val="18"/>
                <w:szCs w:val="18"/>
              </w:rPr>
            </w:pPr>
            <w:r>
              <w:rPr>
                <w:rFonts w:ascii="Calibri" w:eastAsia="Calibri" w:hAnsi="Calibri" w:cs="Calibri"/>
                <w:sz w:val="18"/>
                <w:szCs w:val="18"/>
              </w:rPr>
              <w:t>Headboat Logbook - No fishing report</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FBB5BFD" w14:textId="77777777">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1C4F584" w14:textId="77777777">
            <w:pPr>
              <w:spacing w:line="276" w:lineRule="auto"/>
              <w:jc w:val="center"/>
              <w:rPr>
                <w:rFonts w:ascii="Calibri" w:eastAsia="Calibri" w:hAnsi="Calibri" w:cs="Calibri"/>
                <w:sz w:val="18"/>
                <w:szCs w:val="18"/>
              </w:rPr>
            </w:pPr>
            <w:r>
              <w:rPr>
                <w:rFonts w:ascii="Calibri" w:eastAsia="Calibri" w:hAnsi="Calibri" w:cs="Calibri"/>
                <w:sz w:val="18"/>
                <w:szCs w:val="18"/>
              </w:rPr>
              <w:t>132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0C0BA57E" w14:textId="77777777">
            <w:pPr>
              <w:spacing w:line="276" w:lineRule="auto"/>
              <w:jc w:val="center"/>
              <w:rPr>
                <w:rFonts w:ascii="Calibri" w:eastAsia="Calibri" w:hAnsi="Calibri" w:cs="Calibri"/>
                <w:sz w:val="18"/>
                <w:szCs w:val="18"/>
              </w:rPr>
            </w:pPr>
            <w:r>
              <w:rPr>
                <w:rFonts w:ascii="Calibri" w:eastAsia="Calibri" w:hAnsi="Calibri" w:cs="Calibri"/>
                <w:sz w:val="18"/>
                <w:szCs w:val="18"/>
              </w:rPr>
              <w:t>20</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35D892C3" w14:textId="77777777">
            <w:pPr>
              <w:spacing w:line="276" w:lineRule="auto"/>
              <w:jc w:val="center"/>
              <w:rPr>
                <w:rFonts w:ascii="Calibri" w:eastAsia="Calibri" w:hAnsi="Calibri" w:cs="Calibri"/>
                <w:sz w:val="18"/>
                <w:szCs w:val="18"/>
              </w:rPr>
            </w:pPr>
            <w:r>
              <w:rPr>
                <w:rFonts w:ascii="Calibri" w:eastAsia="Calibri" w:hAnsi="Calibri" w:cs="Calibri"/>
                <w:sz w:val="18"/>
                <w:szCs w:val="18"/>
              </w:rPr>
              <w:t>2,640</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0832153" w14:textId="77777777">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1A248DD" w14:textId="77777777">
            <w:pPr>
              <w:spacing w:line="276" w:lineRule="auto"/>
              <w:jc w:val="center"/>
              <w:rPr>
                <w:rFonts w:ascii="Calibri" w:eastAsia="Calibri" w:hAnsi="Calibri" w:cs="Calibri"/>
                <w:sz w:val="18"/>
                <w:szCs w:val="18"/>
              </w:rPr>
            </w:pPr>
            <w:r>
              <w:rPr>
                <w:rFonts w:ascii="Calibri" w:eastAsia="Calibri" w:hAnsi="Calibri" w:cs="Calibri"/>
                <w:sz w:val="18"/>
                <w:szCs w:val="18"/>
              </w:rPr>
              <w:t>88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9D22CB6"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F0A2791" w14:textId="77777777">
            <w:pPr>
              <w:spacing w:line="276" w:lineRule="auto"/>
              <w:jc w:val="center"/>
              <w:rPr>
                <w:rFonts w:ascii="Calibri" w:eastAsia="Calibri" w:hAnsi="Calibri" w:cs="Calibri"/>
                <w:sz w:val="18"/>
                <w:szCs w:val="18"/>
              </w:rPr>
            </w:pPr>
            <w:r>
              <w:rPr>
                <w:rFonts w:ascii="Calibri" w:eastAsia="Calibri" w:hAnsi="Calibri" w:cs="Calibri"/>
                <w:sz w:val="18"/>
                <w:szCs w:val="18"/>
              </w:rPr>
              <w:t>$2,680</w:t>
            </w:r>
          </w:p>
        </w:tc>
      </w:tr>
      <w:tr w14:paraId="2EFE6B36"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64D57E5D" w14:textId="77777777">
            <w:pPr>
              <w:spacing w:line="276" w:lineRule="auto"/>
              <w:rPr>
                <w:rFonts w:ascii="Calibri" w:eastAsia="Calibri" w:hAnsi="Calibri" w:cs="Calibri"/>
                <w:sz w:val="18"/>
                <w:szCs w:val="18"/>
              </w:rPr>
            </w:pPr>
            <w:r>
              <w:rPr>
                <w:rFonts w:ascii="Calibri" w:eastAsia="Calibri" w:hAnsi="Calibri" w:cs="Calibri"/>
                <w:b/>
                <w:sz w:val="18"/>
                <w:szCs w:val="18"/>
              </w:rPr>
              <w:t>Annual Cost Survey for Snapper-Grouper, Reef Fish, Mackerel, and Dolphin-Wahoo Permit Holders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6D5D9EC2" w14:textId="77777777">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3BA064AC" w14:textId="77777777">
            <w:pPr>
              <w:spacing w:line="276" w:lineRule="auto"/>
              <w:jc w:val="center"/>
              <w:rPr>
                <w:rFonts w:ascii="Calibri" w:eastAsia="Calibri" w:hAnsi="Calibri" w:cs="Calibri"/>
                <w:sz w:val="18"/>
                <w:szCs w:val="18"/>
              </w:rPr>
            </w:pPr>
            <w:r>
              <w:rPr>
                <w:rFonts w:ascii="Calibri" w:eastAsia="Calibri" w:hAnsi="Calibri" w:cs="Calibri"/>
                <w:sz w:val="18"/>
                <w:szCs w:val="18"/>
              </w:rPr>
              <w:t>659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1342FF6A" w14:textId="77777777">
            <w:pPr>
              <w:spacing w:line="276" w:lineRule="auto"/>
              <w:jc w:val="center"/>
              <w:rPr>
                <w:rFonts w:ascii="Calibri" w:eastAsia="Calibri" w:hAnsi="Calibri" w:cs="Calibri"/>
                <w:sz w:val="18"/>
                <w:szCs w:val="18"/>
              </w:rPr>
            </w:pPr>
            <w:r>
              <w:rPr>
                <w:rFonts w:ascii="Calibri" w:eastAsia="Calibri" w:hAnsi="Calibri" w:cs="Calibri"/>
                <w:sz w:val="18"/>
                <w:szCs w:val="18"/>
              </w:rPr>
              <w:t>1</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0C4D52B0" w14:textId="77777777">
            <w:pPr>
              <w:spacing w:line="276" w:lineRule="auto"/>
              <w:jc w:val="center"/>
              <w:rPr>
                <w:rFonts w:ascii="Calibri" w:eastAsia="Calibri" w:hAnsi="Calibri" w:cs="Calibri"/>
                <w:sz w:val="18"/>
                <w:szCs w:val="18"/>
              </w:rPr>
            </w:pPr>
            <w:r>
              <w:rPr>
                <w:rFonts w:ascii="Calibri" w:eastAsia="Calibri" w:hAnsi="Calibri" w:cs="Calibri"/>
                <w:sz w:val="18"/>
                <w:szCs w:val="18"/>
              </w:rPr>
              <w:t>659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0D69E0DD" w14:textId="77777777">
            <w:pPr>
              <w:spacing w:line="276" w:lineRule="auto"/>
              <w:jc w:val="center"/>
              <w:rPr>
                <w:rFonts w:ascii="Calibri" w:eastAsia="Calibri" w:hAnsi="Calibri" w:cs="Calibri"/>
                <w:sz w:val="18"/>
                <w:szCs w:val="18"/>
              </w:rPr>
            </w:pPr>
            <w:r>
              <w:rPr>
                <w:rFonts w:ascii="Calibri" w:eastAsia="Calibri" w:hAnsi="Calibri" w:cs="Calibri"/>
                <w:sz w:val="18"/>
                <w:szCs w:val="18"/>
              </w:rPr>
              <w:t>45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31E4373B" w14:textId="77777777">
            <w:pPr>
              <w:spacing w:line="276" w:lineRule="auto"/>
              <w:jc w:val="center"/>
              <w:rPr>
                <w:rFonts w:ascii="Calibri" w:eastAsia="Calibri" w:hAnsi="Calibri" w:cs="Calibri"/>
                <w:sz w:val="18"/>
                <w:szCs w:val="18"/>
              </w:rPr>
            </w:pPr>
            <w:r>
              <w:rPr>
                <w:rFonts w:ascii="Calibri" w:eastAsia="Calibri" w:hAnsi="Calibri" w:cs="Calibri"/>
                <w:sz w:val="18"/>
                <w:szCs w:val="18"/>
              </w:rPr>
              <w:t>494</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1B27AE13"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C4DC7FF" w14:textId="77777777">
            <w:pPr>
              <w:spacing w:line="276" w:lineRule="auto"/>
              <w:jc w:val="center"/>
              <w:rPr>
                <w:rFonts w:ascii="Calibri" w:eastAsia="Calibri" w:hAnsi="Calibri" w:cs="Calibri"/>
                <w:sz w:val="18"/>
                <w:szCs w:val="18"/>
              </w:rPr>
            </w:pPr>
            <w:r>
              <w:rPr>
                <w:rFonts w:ascii="Calibri" w:eastAsia="Calibri" w:hAnsi="Calibri" w:cs="Calibri"/>
                <w:sz w:val="18"/>
                <w:szCs w:val="18"/>
              </w:rPr>
              <w:t>$15,047</w:t>
            </w:r>
          </w:p>
        </w:tc>
      </w:tr>
      <w:tr w14:paraId="0D6A4E2B"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7163CDD5" w14:textId="77777777">
            <w:pPr>
              <w:spacing w:line="276" w:lineRule="auto"/>
              <w:rPr>
                <w:rFonts w:ascii="Calibri" w:eastAsia="Calibri" w:hAnsi="Calibri" w:cs="Calibri"/>
                <w:sz w:val="18"/>
                <w:szCs w:val="18"/>
              </w:rPr>
            </w:pPr>
            <w:r>
              <w:rPr>
                <w:rFonts w:ascii="Calibri" w:eastAsia="Calibri" w:hAnsi="Calibri" w:cs="Calibri"/>
                <w:b/>
                <w:sz w:val="18"/>
                <w:szCs w:val="18"/>
              </w:rPr>
              <w:t>Economic Trip Cost Logbook for SE Coastal Fisheries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1CDC4EB4" w14:textId="77777777">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4AC41FA3" w14:textId="77777777">
            <w:pPr>
              <w:spacing w:line="276" w:lineRule="auto"/>
              <w:jc w:val="center"/>
              <w:rPr>
                <w:rFonts w:ascii="Calibri" w:eastAsia="Calibri" w:hAnsi="Calibri" w:cs="Calibri"/>
                <w:sz w:val="18"/>
                <w:szCs w:val="18"/>
              </w:rPr>
            </w:pPr>
            <w:r>
              <w:rPr>
                <w:rFonts w:ascii="Calibri" w:eastAsia="Calibri" w:hAnsi="Calibri" w:cs="Calibri"/>
                <w:sz w:val="18"/>
                <w:szCs w:val="18"/>
              </w:rPr>
              <w:t>659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60FE9EA8" w14:textId="77777777">
            <w:pPr>
              <w:spacing w:line="276" w:lineRule="auto"/>
              <w:jc w:val="center"/>
              <w:rPr>
                <w:rFonts w:ascii="Calibri" w:eastAsia="Calibri" w:hAnsi="Calibri" w:cs="Calibri"/>
                <w:sz w:val="18"/>
                <w:szCs w:val="18"/>
              </w:rPr>
            </w:pPr>
            <w:r>
              <w:rPr>
                <w:rFonts w:ascii="Calibri" w:eastAsia="Calibri" w:hAnsi="Calibri" w:cs="Calibri"/>
                <w:sz w:val="18"/>
                <w:szCs w:val="18"/>
              </w:rPr>
              <w:t>11.16</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23198932" w14:textId="77777777">
            <w:pPr>
              <w:spacing w:line="276" w:lineRule="auto"/>
              <w:jc w:val="center"/>
              <w:rPr>
                <w:rFonts w:ascii="Calibri" w:eastAsia="Calibri" w:hAnsi="Calibri" w:cs="Calibri"/>
                <w:sz w:val="18"/>
                <w:szCs w:val="18"/>
              </w:rPr>
            </w:pPr>
            <w:r>
              <w:rPr>
                <w:rFonts w:ascii="Calibri" w:eastAsia="Calibri" w:hAnsi="Calibri" w:cs="Calibri"/>
                <w:sz w:val="18"/>
                <w:szCs w:val="18"/>
              </w:rPr>
              <w:t>7,354</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25B107CD" w14:textId="77777777">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138505A3" w14:textId="77777777">
            <w:pPr>
              <w:spacing w:line="276" w:lineRule="auto"/>
              <w:jc w:val="center"/>
              <w:rPr>
                <w:rFonts w:ascii="Calibri" w:eastAsia="Calibri" w:hAnsi="Calibri" w:cs="Calibri"/>
                <w:sz w:val="18"/>
                <w:szCs w:val="18"/>
              </w:rPr>
            </w:pPr>
            <w:r>
              <w:rPr>
                <w:rFonts w:ascii="Calibri" w:eastAsia="Calibri" w:hAnsi="Calibri" w:cs="Calibri"/>
                <w:sz w:val="18"/>
                <w:szCs w:val="18"/>
              </w:rPr>
              <w:t>1,226</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71360099"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3FC1EB3D" w14:textId="77777777">
            <w:pPr>
              <w:spacing w:line="276" w:lineRule="auto"/>
              <w:jc w:val="center"/>
              <w:rPr>
                <w:rFonts w:ascii="Calibri" w:eastAsia="Calibri" w:hAnsi="Calibri" w:cs="Calibri"/>
                <w:sz w:val="18"/>
                <w:szCs w:val="18"/>
              </w:rPr>
            </w:pPr>
            <w:r>
              <w:rPr>
                <w:rFonts w:ascii="Calibri" w:eastAsia="Calibri" w:hAnsi="Calibri" w:cs="Calibri"/>
                <w:sz w:val="18"/>
                <w:szCs w:val="18"/>
              </w:rPr>
              <w:t>$37,344</w:t>
            </w:r>
          </w:p>
        </w:tc>
      </w:tr>
      <w:tr w14:paraId="2FFD18EE"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42457447" w14:textId="77777777">
            <w:pPr>
              <w:spacing w:line="276" w:lineRule="auto"/>
              <w:ind w:left="90"/>
              <w:rPr>
                <w:rFonts w:ascii="Calibri" w:eastAsia="Calibri" w:hAnsi="Calibri" w:cs="Calibri"/>
                <w:b/>
                <w:sz w:val="18"/>
                <w:szCs w:val="18"/>
              </w:rPr>
            </w:pPr>
            <w:r>
              <w:rPr>
                <w:rFonts w:ascii="Calibri" w:eastAsia="Calibri" w:hAnsi="Calibri" w:cs="Calibri"/>
                <w:b/>
                <w:sz w:val="18"/>
                <w:szCs w:val="18"/>
              </w:rPr>
              <w:t>Coastal Logbook</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7D8AAB85" w14:textId="77777777">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4BE30474" w14:textId="77777777">
            <w:pPr>
              <w:spacing w:line="276" w:lineRule="auto"/>
              <w:jc w:val="center"/>
              <w:rPr>
                <w:rFonts w:ascii="Calibri" w:eastAsia="Calibri" w:hAnsi="Calibri" w:cs="Calibri"/>
                <w:sz w:val="18"/>
                <w:szCs w:val="18"/>
              </w:rPr>
            </w:pPr>
            <w:r>
              <w:rPr>
                <w:rFonts w:ascii="Calibri" w:eastAsia="Calibri" w:hAnsi="Calibri" w:cs="Calibri"/>
                <w:sz w:val="18"/>
                <w:szCs w:val="18"/>
              </w:rPr>
              <w:t>3,292</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F2EA8C9" w14:textId="77777777">
            <w:pPr>
              <w:spacing w:line="276" w:lineRule="auto"/>
              <w:jc w:val="center"/>
              <w:rPr>
                <w:rFonts w:ascii="Calibri" w:eastAsia="Calibri" w:hAnsi="Calibri" w:cs="Calibri"/>
                <w:sz w:val="18"/>
                <w:szCs w:val="18"/>
              </w:rPr>
            </w:pPr>
            <w:r>
              <w:rPr>
                <w:rFonts w:ascii="Calibri" w:eastAsia="Calibri" w:hAnsi="Calibri" w:cs="Calibri"/>
                <w:sz w:val="18"/>
                <w:szCs w:val="18"/>
              </w:rPr>
              <w:t>18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1C0E0E46" w14:textId="77777777">
            <w:pPr>
              <w:spacing w:line="276" w:lineRule="auto"/>
              <w:jc w:val="center"/>
              <w:rPr>
                <w:rFonts w:ascii="Calibri" w:eastAsia="Calibri" w:hAnsi="Calibri" w:cs="Calibri"/>
                <w:sz w:val="18"/>
                <w:szCs w:val="18"/>
              </w:rPr>
            </w:pPr>
            <w:r>
              <w:rPr>
                <w:rFonts w:ascii="Calibri" w:eastAsia="Calibri" w:hAnsi="Calibri" w:cs="Calibri"/>
                <w:sz w:val="18"/>
                <w:szCs w:val="18"/>
              </w:rPr>
              <w:t>59,256</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62465271" w14:textId="77777777">
            <w:pPr>
              <w:spacing w:line="276" w:lineRule="auto"/>
              <w:jc w:val="center"/>
              <w:rPr>
                <w:rFonts w:ascii="Calibri" w:eastAsia="Calibri" w:hAnsi="Calibri" w:cs="Calibri"/>
                <w:sz w:val="18"/>
                <w:szCs w:val="18"/>
              </w:rPr>
            </w:pPr>
            <w:r>
              <w:rPr>
                <w:rFonts w:ascii="Calibri" w:eastAsia="Calibri" w:hAnsi="Calibri" w:cs="Calibri"/>
                <w:sz w:val="18"/>
                <w:szCs w:val="18"/>
              </w:rPr>
              <w:t>6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3ED5B00A" w14:textId="77777777">
            <w:pPr>
              <w:spacing w:line="276" w:lineRule="auto"/>
              <w:jc w:val="center"/>
              <w:rPr>
                <w:rFonts w:ascii="Calibri" w:eastAsia="Calibri" w:hAnsi="Calibri" w:cs="Calibri"/>
                <w:sz w:val="18"/>
                <w:szCs w:val="18"/>
              </w:rPr>
            </w:pPr>
            <w:r>
              <w:rPr>
                <w:rFonts w:ascii="Calibri" w:eastAsia="Calibri" w:hAnsi="Calibri" w:cs="Calibri"/>
                <w:sz w:val="18"/>
                <w:szCs w:val="18"/>
              </w:rPr>
              <w:t>5,926</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26CF3432"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76121D5B" w14:textId="77777777">
            <w:pPr>
              <w:spacing w:line="276" w:lineRule="auto"/>
              <w:jc w:val="center"/>
              <w:rPr>
                <w:rFonts w:ascii="Calibri" w:eastAsia="Calibri" w:hAnsi="Calibri" w:cs="Calibri"/>
                <w:sz w:val="18"/>
                <w:szCs w:val="18"/>
              </w:rPr>
            </w:pPr>
            <w:r>
              <w:rPr>
                <w:rFonts w:ascii="Calibri" w:eastAsia="Calibri" w:hAnsi="Calibri" w:cs="Calibri"/>
                <w:sz w:val="18"/>
                <w:szCs w:val="18"/>
              </w:rPr>
              <w:t>$180,506</w:t>
            </w:r>
          </w:p>
        </w:tc>
      </w:tr>
      <w:tr w14:paraId="3202FB94"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BB23975" w14:textId="77777777">
            <w:pPr>
              <w:spacing w:line="276" w:lineRule="auto"/>
              <w:ind w:left="270"/>
              <w:rPr>
                <w:rFonts w:ascii="Calibri" w:eastAsia="Calibri" w:hAnsi="Calibri" w:cs="Calibri"/>
                <w:sz w:val="18"/>
                <w:szCs w:val="18"/>
              </w:rPr>
            </w:pPr>
            <w:r>
              <w:rPr>
                <w:rFonts w:ascii="Calibri" w:eastAsia="Calibri" w:hAnsi="Calibri" w:cs="Calibri"/>
                <w:sz w:val="18"/>
                <w:szCs w:val="18"/>
              </w:rPr>
              <w:t>Coastal Logbook - Vessel Trip Report</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F52EC90" w14:textId="77777777">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4B4A067C" w14:textId="77777777">
            <w:pPr>
              <w:spacing w:line="276" w:lineRule="auto"/>
              <w:jc w:val="center"/>
              <w:rPr>
                <w:rFonts w:ascii="Calibri" w:eastAsia="Calibri" w:hAnsi="Calibri" w:cs="Calibri"/>
                <w:sz w:val="18"/>
                <w:szCs w:val="18"/>
              </w:rPr>
            </w:pPr>
            <w:r>
              <w:rPr>
                <w:rFonts w:ascii="Calibri" w:eastAsia="Calibri" w:hAnsi="Calibri" w:cs="Calibri"/>
                <w:sz w:val="18"/>
                <w:szCs w:val="18"/>
              </w:rPr>
              <w:t>3,292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1E7A965" w14:textId="77777777">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F5A8C8A" w14:textId="77777777">
            <w:pPr>
              <w:spacing w:line="276" w:lineRule="auto"/>
              <w:jc w:val="center"/>
              <w:rPr>
                <w:rFonts w:ascii="Calibri" w:eastAsia="Calibri" w:hAnsi="Calibri" w:cs="Calibri"/>
                <w:sz w:val="18"/>
                <w:szCs w:val="18"/>
              </w:rPr>
            </w:pPr>
            <w:r>
              <w:rPr>
                <w:rFonts w:ascii="Calibri" w:eastAsia="Calibri" w:hAnsi="Calibri" w:cs="Calibri"/>
                <w:sz w:val="18"/>
                <w:szCs w:val="18"/>
              </w:rPr>
              <w:t>29,628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2FCE65EC" w14:textId="77777777">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C28D5C5" w14:textId="77777777">
            <w:pPr>
              <w:spacing w:line="276" w:lineRule="auto"/>
              <w:jc w:val="center"/>
              <w:rPr>
                <w:rFonts w:ascii="Calibri" w:eastAsia="Calibri" w:hAnsi="Calibri" w:cs="Calibri"/>
                <w:sz w:val="18"/>
                <w:szCs w:val="18"/>
              </w:rPr>
            </w:pPr>
            <w:r>
              <w:rPr>
                <w:rFonts w:ascii="Calibri" w:eastAsia="Calibri" w:hAnsi="Calibri" w:cs="Calibri"/>
                <w:sz w:val="18"/>
                <w:szCs w:val="18"/>
              </w:rPr>
              <w:t>4,939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59DA188"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B4ADCBC" w14:textId="77777777">
            <w:pPr>
              <w:spacing w:line="276" w:lineRule="auto"/>
              <w:jc w:val="center"/>
              <w:rPr>
                <w:rFonts w:ascii="Calibri" w:eastAsia="Calibri" w:hAnsi="Calibri" w:cs="Calibri"/>
                <w:sz w:val="18"/>
                <w:szCs w:val="18"/>
              </w:rPr>
            </w:pPr>
            <w:r>
              <w:rPr>
                <w:rFonts w:ascii="Calibri" w:eastAsia="Calibri" w:hAnsi="Calibri" w:cs="Calibri"/>
                <w:sz w:val="18"/>
                <w:szCs w:val="18"/>
              </w:rPr>
              <w:t>$150,442</w:t>
            </w:r>
          </w:p>
        </w:tc>
      </w:tr>
      <w:tr w14:paraId="52E2B934"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377A2A2B" w14:textId="77777777">
            <w:pPr>
              <w:spacing w:line="276" w:lineRule="auto"/>
              <w:ind w:left="270"/>
              <w:rPr>
                <w:rFonts w:ascii="Calibri" w:eastAsia="Calibri" w:hAnsi="Calibri" w:cs="Calibri"/>
                <w:sz w:val="18"/>
                <w:szCs w:val="18"/>
              </w:rPr>
            </w:pPr>
            <w:r>
              <w:rPr>
                <w:rFonts w:ascii="Calibri" w:eastAsia="Calibri" w:hAnsi="Calibri" w:cs="Calibri"/>
                <w:sz w:val="18"/>
                <w:szCs w:val="18"/>
              </w:rPr>
              <w:t>Coastal Logbook - No fishing report</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4B07F72" w14:textId="77777777">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21631B9" w14:textId="77777777">
            <w:pPr>
              <w:spacing w:line="276" w:lineRule="auto"/>
              <w:jc w:val="center"/>
              <w:rPr>
                <w:rFonts w:ascii="Calibri" w:eastAsia="Calibri" w:hAnsi="Calibri" w:cs="Calibri"/>
                <w:sz w:val="18"/>
                <w:szCs w:val="18"/>
              </w:rPr>
            </w:pPr>
            <w:r>
              <w:rPr>
                <w:rFonts w:ascii="Calibri" w:eastAsia="Calibri" w:hAnsi="Calibri" w:cs="Calibri"/>
                <w:sz w:val="18"/>
                <w:szCs w:val="18"/>
              </w:rPr>
              <w:t>3,292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087E62F9" w14:textId="77777777">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3A798FC" w14:textId="77777777">
            <w:pPr>
              <w:spacing w:line="276" w:lineRule="auto"/>
              <w:jc w:val="center"/>
              <w:rPr>
                <w:rFonts w:ascii="Calibri" w:eastAsia="Calibri" w:hAnsi="Calibri" w:cs="Calibri"/>
                <w:sz w:val="18"/>
                <w:szCs w:val="18"/>
              </w:rPr>
            </w:pPr>
            <w:r>
              <w:rPr>
                <w:rFonts w:ascii="Calibri" w:eastAsia="Calibri" w:hAnsi="Calibri" w:cs="Calibri"/>
                <w:sz w:val="18"/>
                <w:szCs w:val="18"/>
              </w:rPr>
              <w:t>29,628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FA4F407" w14:textId="77777777">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632B3BD" w14:textId="77777777">
            <w:pPr>
              <w:spacing w:line="276" w:lineRule="auto"/>
              <w:jc w:val="center"/>
              <w:rPr>
                <w:rFonts w:ascii="Calibri" w:eastAsia="Calibri" w:hAnsi="Calibri" w:cs="Calibri"/>
                <w:sz w:val="18"/>
                <w:szCs w:val="18"/>
              </w:rPr>
            </w:pPr>
            <w:r>
              <w:rPr>
                <w:rFonts w:ascii="Calibri" w:eastAsia="Calibri" w:hAnsi="Calibri" w:cs="Calibri"/>
                <w:sz w:val="18"/>
                <w:szCs w:val="18"/>
              </w:rPr>
              <w:t>987</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2265BF7"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4A2C169" w14:textId="77777777">
            <w:pPr>
              <w:spacing w:line="276" w:lineRule="auto"/>
              <w:jc w:val="center"/>
              <w:rPr>
                <w:rFonts w:ascii="Calibri" w:eastAsia="Calibri" w:hAnsi="Calibri" w:cs="Calibri"/>
                <w:sz w:val="18"/>
                <w:szCs w:val="18"/>
              </w:rPr>
            </w:pPr>
            <w:r>
              <w:rPr>
                <w:rFonts w:ascii="Calibri" w:eastAsia="Calibri" w:hAnsi="Calibri" w:cs="Calibri"/>
                <w:sz w:val="18"/>
                <w:szCs w:val="18"/>
              </w:rPr>
              <w:t>$30,064</w:t>
            </w:r>
          </w:p>
        </w:tc>
      </w:tr>
      <w:tr w14:paraId="6E44C6C4" w14:textId="77777777" w:rsidTr="00270DAE">
        <w:tblPrEx>
          <w:tblW w:w="13755" w:type="dxa"/>
          <w:jc w:val="center"/>
          <w:tblLayout w:type="fixed"/>
          <w:tblLook w:val="0600"/>
        </w:tblPrEx>
        <w:trPr>
          <w:trHeight w:val="85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RPr="00034232" w:rsidP="00DA23B9" w14:paraId="5EE7D47C" w14:textId="77777777">
            <w:pPr>
              <w:spacing w:line="276" w:lineRule="auto"/>
              <w:rPr>
                <w:rFonts w:ascii="Calibri" w:eastAsia="Calibri" w:hAnsi="Calibri" w:cs="Calibri"/>
                <w:sz w:val="18"/>
                <w:szCs w:val="18"/>
              </w:rPr>
            </w:pPr>
            <w:r w:rsidRPr="00034232">
              <w:rPr>
                <w:rFonts w:ascii="Calibri" w:eastAsia="Calibri" w:hAnsi="Calibri" w:cs="Calibri"/>
                <w:b/>
                <w:sz w:val="18"/>
                <w:szCs w:val="18"/>
              </w:rPr>
              <w:t>Discard report for Snapper-Grouper, Reef Fish, Mackerel and Dolphin-Wahoo Permit Holders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RPr="00034232" w:rsidP="00DA23B9" w14:paraId="7ECF75A8" w14:textId="77777777">
            <w:pPr>
              <w:spacing w:line="276" w:lineRule="auto"/>
              <w:jc w:val="center"/>
              <w:rPr>
                <w:rFonts w:ascii="Calibri" w:eastAsia="Calibri" w:hAnsi="Calibri" w:cs="Calibri"/>
                <w:sz w:val="18"/>
                <w:szCs w:val="18"/>
              </w:rPr>
            </w:pPr>
            <w:r w:rsidRPr="00034232">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RPr="00034232" w:rsidP="00DA23B9" w14:paraId="77E19B59" w14:textId="77777777">
            <w:pPr>
              <w:spacing w:line="276" w:lineRule="auto"/>
              <w:jc w:val="center"/>
              <w:rPr>
                <w:rFonts w:ascii="Calibri" w:eastAsia="Calibri" w:hAnsi="Calibri" w:cs="Calibri"/>
                <w:sz w:val="18"/>
                <w:szCs w:val="18"/>
              </w:rPr>
            </w:pPr>
            <w:r w:rsidRPr="00034232">
              <w:rPr>
                <w:rFonts w:ascii="Calibri" w:eastAsia="Calibri" w:hAnsi="Calibri" w:cs="Calibri"/>
                <w:sz w:val="18"/>
                <w:szCs w:val="18"/>
              </w:rPr>
              <w:t>457</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RPr="00034232" w:rsidP="00DA23B9" w14:paraId="2511A623" w14:textId="77777777">
            <w:pPr>
              <w:spacing w:line="276" w:lineRule="auto"/>
              <w:jc w:val="center"/>
              <w:rPr>
                <w:rFonts w:ascii="Calibri" w:eastAsia="Calibri" w:hAnsi="Calibri" w:cs="Calibri"/>
                <w:sz w:val="18"/>
                <w:szCs w:val="18"/>
              </w:rPr>
            </w:pPr>
            <w:r w:rsidRPr="00034232">
              <w:rPr>
                <w:rFonts w:ascii="Calibri" w:eastAsia="Calibri" w:hAnsi="Calibri" w:cs="Calibri"/>
                <w:sz w:val="18"/>
                <w:szCs w:val="18"/>
              </w:rPr>
              <w:t>20.68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RPr="00034232" w:rsidP="00DA23B9" w14:paraId="311F497C" w14:textId="77777777">
            <w:pPr>
              <w:spacing w:line="276" w:lineRule="auto"/>
              <w:jc w:val="center"/>
              <w:rPr>
                <w:rFonts w:ascii="Calibri" w:eastAsia="Calibri" w:hAnsi="Calibri" w:cs="Calibri"/>
                <w:sz w:val="18"/>
                <w:szCs w:val="18"/>
              </w:rPr>
            </w:pPr>
            <w:r w:rsidRPr="00034232">
              <w:rPr>
                <w:rFonts w:ascii="Calibri" w:eastAsia="Calibri" w:hAnsi="Calibri" w:cs="Calibri"/>
                <w:sz w:val="18"/>
                <w:szCs w:val="18"/>
              </w:rPr>
              <w:t>9,451</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RPr="00034232" w:rsidP="00DA23B9" w14:paraId="1852D970" w14:textId="77777777">
            <w:pPr>
              <w:spacing w:line="276" w:lineRule="auto"/>
              <w:jc w:val="center"/>
              <w:rPr>
                <w:rFonts w:ascii="Calibri" w:eastAsia="Calibri" w:hAnsi="Calibri" w:cs="Calibri"/>
                <w:sz w:val="18"/>
                <w:szCs w:val="18"/>
              </w:rPr>
            </w:pPr>
            <w:r w:rsidRPr="00034232">
              <w:rPr>
                <w:rFonts w:ascii="Calibri" w:eastAsia="Calibri" w:hAnsi="Calibri" w:cs="Calibri"/>
                <w:sz w:val="18"/>
                <w:szCs w:val="18"/>
              </w:rPr>
              <w:t>15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RPr="00034232" w:rsidP="00DA23B9" w14:paraId="3D6C6ACA" w14:textId="77777777">
            <w:pPr>
              <w:spacing w:line="276" w:lineRule="auto"/>
              <w:jc w:val="center"/>
              <w:rPr>
                <w:rFonts w:ascii="Calibri" w:eastAsia="Calibri" w:hAnsi="Calibri" w:cs="Calibri"/>
                <w:sz w:val="18"/>
                <w:szCs w:val="18"/>
              </w:rPr>
            </w:pPr>
            <w:r w:rsidRPr="00034232">
              <w:rPr>
                <w:rFonts w:ascii="Calibri" w:eastAsia="Calibri" w:hAnsi="Calibri" w:cs="Calibri"/>
                <w:sz w:val="18"/>
                <w:szCs w:val="18"/>
              </w:rPr>
              <w:t>2,363</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RPr="00034232" w:rsidP="00DA23B9" w14:paraId="03499DB4" w14:textId="77777777">
            <w:pPr>
              <w:spacing w:line="276" w:lineRule="auto"/>
              <w:jc w:val="center"/>
              <w:rPr>
                <w:rFonts w:ascii="Calibri" w:eastAsia="Calibri" w:hAnsi="Calibri" w:cs="Calibri"/>
                <w:sz w:val="18"/>
                <w:szCs w:val="18"/>
              </w:rPr>
            </w:pPr>
            <w:r w:rsidRPr="00034232">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RPr="00034232" w:rsidP="00DA23B9" w14:paraId="3A33BF75" w14:textId="77777777">
            <w:pPr>
              <w:spacing w:line="276" w:lineRule="auto"/>
              <w:jc w:val="center"/>
              <w:rPr>
                <w:rFonts w:ascii="Calibri" w:eastAsia="Calibri" w:hAnsi="Calibri" w:cs="Calibri"/>
                <w:sz w:val="18"/>
                <w:szCs w:val="18"/>
              </w:rPr>
            </w:pPr>
            <w:r w:rsidRPr="00034232">
              <w:rPr>
                <w:rFonts w:ascii="Calibri" w:eastAsia="Calibri" w:hAnsi="Calibri" w:cs="Calibri"/>
                <w:sz w:val="18"/>
                <w:szCs w:val="18"/>
              </w:rPr>
              <w:t>$71,977</w:t>
            </w:r>
          </w:p>
        </w:tc>
      </w:tr>
      <w:tr w14:paraId="128021AB" w14:textId="77777777" w:rsidTr="00270DAE">
        <w:tblPrEx>
          <w:tblW w:w="13755" w:type="dxa"/>
          <w:jc w:val="center"/>
          <w:tblLayout w:type="fixed"/>
          <w:tblLook w:val="0600"/>
        </w:tblPrEx>
        <w:trPr>
          <w:trHeight w:val="549"/>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F8A472F" w14:textId="77777777">
            <w:pPr>
              <w:spacing w:line="276" w:lineRule="auto"/>
              <w:rPr>
                <w:rFonts w:ascii="Calibri" w:eastAsia="Calibri" w:hAnsi="Calibri" w:cs="Calibri"/>
                <w:b/>
                <w:sz w:val="18"/>
                <w:szCs w:val="18"/>
              </w:rPr>
            </w:pPr>
            <w:r>
              <w:rPr>
                <w:rFonts w:ascii="Calibri" w:eastAsia="Calibri" w:hAnsi="Calibri" w:cs="Calibri"/>
                <w:b/>
                <w:sz w:val="18"/>
                <w:szCs w:val="18"/>
              </w:rPr>
              <w:t>Gold Crab Logbook</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6D9CB30" w14:textId="77777777">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7C54C69A" w14:textId="77777777">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B53FDCD" w14:textId="77777777">
            <w:pPr>
              <w:spacing w:line="276" w:lineRule="auto"/>
              <w:jc w:val="center"/>
              <w:rPr>
                <w:rFonts w:ascii="Calibri" w:eastAsia="Calibri" w:hAnsi="Calibri" w:cs="Calibri"/>
                <w:sz w:val="18"/>
                <w:szCs w:val="18"/>
              </w:rPr>
            </w:pPr>
            <w:r>
              <w:rPr>
                <w:rFonts w:ascii="Calibri" w:eastAsia="Calibri" w:hAnsi="Calibri" w:cs="Calibri"/>
                <w:sz w:val="18"/>
                <w:szCs w:val="18"/>
              </w:rPr>
              <w:t>10.777</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403C850D" w14:textId="77777777">
            <w:pPr>
              <w:spacing w:line="276" w:lineRule="auto"/>
              <w:jc w:val="center"/>
              <w:rPr>
                <w:rFonts w:ascii="Calibri" w:eastAsia="Calibri" w:hAnsi="Calibri" w:cs="Calibri"/>
                <w:sz w:val="18"/>
                <w:szCs w:val="18"/>
              </w:rPr>
            </w:pPr>
            <w:r>
              <w:rPr>
                <w:rFonts w:ascii="Calibri" w:eastAsia="Calibri" w:hAnsi="Calibri" w:cs="Calibri"/>
                <w:sz w:val="18"/>
                <w:szCs w:val="18"/>
              </w:rPr>
              <w:t>97</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6CC92CEB" w14:textId="77777777">
            <w:pPr>
              <w:spacing w:line="276" w:lineRule="auto"/>
              <w:jc w:val="center"/>
              <w:rPr>
                <w:rFonts w:ascii="Calibri" w:eastAsia="Calibri" w:hAnsi="Calibri" w:cs="Calibri"/>
                <w:sz w:val="18"/>
                <w:szCs w:val="18"/>
              </w:rPr>
            </w:pPr>
            <w:r>
              <w:rPr>
                <w:rFonts w:ascii="Calibri" w:eastAsia="Calibri" w:hAnsi="Calibri" w:cs="Calibri"/>
                <w:sz w:val="18"/>
                <w:szCs w:val="18"/>
              </w:rPr>
              <w:t>6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7CCD3478" w14:textId="77777777">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6762DE98"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70268ED" w14:textId="77777777">
            <w:pPr>
              <w:spacing w:line="276" w:lineRule="auto"/>
              <w:jc w:val="center"/>
              <w:rPr>
                <w:rFonts w:ascii="Calibri" w:eastAsia="Calibri" w:hAnsi="Calibri" w:cs="Calibri"/>
                <w:sz w:val="18"/>
                <w:szCs w:val="18"/>
              </w:rPr>
            </w:pPr>
            <w:r>
              <w:rPr>
                <w:rFonts w:ascii="Calibri" w:eastAsia="Calibri" w:hAnsi="Calibri" w:cs="Calibri"/>
                <w:sz w:val="18"/>
                <w:szCs w:val="18"/>
              </w:rPr>
              <w:t>$305</w:t>
            </w:r>
          </w:p>
        </w:tc>
      </w:tr>
      <w:tr w14:paraId="7346D8EC" w14:textId="77777777" w:rsidTr="00270DAE">
        <w:tblPrEx>
          <w:tblW w:w="13755" w:type="dxa"/>
          <w:jc w:val="center"/>
          <w:tblLayout w:type="fixed"/>
          <w:tblLook w:val="0600"/>
        </w:tblPrEx>
        <w:trPr>
          <w:trHeight w:val="34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898613B" w14:textId="77777777">
            <w:pPr>
              <w:spacing w:line="276" w:lineRule="auto"/>
              <w:ind w:left="168"/>
              <w:rPr>
                <w:rFonts w:ascii="Calibri" w:eastAsia="Calibri" w:hAnsi="Calibri" w:cs="Calibri"/>
                <w:sz w:val="18"/>
                <w:szCs w:val="18"/>
              </w:rPr>
            </w:pPr>
            <w:r>
              <w:rPr>
                <w:rFonts w:ascii="Calibri" w:eastAsia="Calibri" w:hAnsi="Calibri" w:cs="Calibri"/>
                <w:sz w:val="18"/>
                <w:szCs w:val="18"/>
              </w:rPr>
              <w:t>Golden Crab Logbook</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8D6F28B" w14:textId="77777777">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9239DBC" w14:textId="77777777">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0666E39B" w14:textId="77777777">
            <w:pPr>
              <w:spacing w:line="276" w:lineRule="auto"/>
              <w:jc w:val="center"/>
              <w:rPr>
                <w:rFonts w:ascii="Calibri" w:eastAsia="Calibri" w:hAnsi="Calibri" w:cs="Calibri"/>
                <w:sz w:val="18"/>
                <w:szCs w:val="18"/>
              </w:rPr>
            </w:pPr>
            <w:r>
              <w:rPr>
                <w:rFonts w:ascii="Calibri" w:eastAsia="Calibri" w:hAnsi="Calibri" w:cs="Calibri"/>
                <w:sz w:val="18"/>
                <w:szCs w:val="18"/>
              </w:rPr>
              <w:t>5</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34366E87" w14:textId="77777777">
            <w:pPr>
              <w:spacing w:line="276" w:lineRule="auto"/>
              <w:jc w:val="center"/>
              <w:rPr>
                <w:rFonts w:ascii="Calibri" w:eastAsia="Calibri" w:hAnsi="Calibri" w:cs="Calibri"/>
                <w:sz w:val="18"/>
                <w:szCs w:val="18"/>
              </w:rPr>
            </w:pPr>
            <w:r>
              <w:rPr>
                <w:rFonts w:ascii="Calibri" w:eastAsia="Calibri" w:hAnsi="Calibri" w:cs="Calibri"/>
                <w:sz w:val="18"/>
                <w:szCs w:val="18"/>
              </w:rPr>
              <w:t>48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273AF3E1" w14:textId="77777777">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BAAD97B" w14:textId="77777777">
            <w:pPr>
              <w:spacing w:line="276" w:lineRule="auto"/>
              <w:jc w:val="center"/>
              <w:rPr>
                <w:rFonts w:ascii="Calibri" w:eastAsia="Calibri" w:hAnsi="Calibri" w:cs="Calibri"/>
                <w:sz w:val="18"/>
                <w:szCs w:val="18"/>
              </w:rPr>
            </w:pPr>
            <w:r>
              <w:rPr>
                <w:rFonts w:ascii="Calibri" w:eastAsia="Calibri" w:hAnsi="Calibri" w:cs="Calibri"/>
                <w:sz w:val="18"/>
                <w:szCs w:val="18"/>
              </w:rPr>
              <w:t>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0465F5E4"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696D3C4" w14:textId="77777777">
            <w:pPr>
              <w:spacing w:line="276" w:lineRule="auto"/>
              <w:jc w:val="center"/>
              <w:rPr>
                <w:rFonts w:ascii="Calibri" w:eastAsia="Calibri" w:hAnsi="Calibri" w:cs="Calibri"/>
                <w:sz w:val="18"/>
                <w:szCs w:val="18"/>
              </w:rPr>
            </w:pPr>
            <w:r>
              <w:rPr>
                <w:rFonts w:ascii="Calibri" w:eastAsia="Calibri" w:hAnsi="Calibri" w:cs="Calibri"/>
                <w:sz w:val="18"/>
                <w:szCs w:val="18"/>
              </w:rPr>
              <w:t>$244</w:t>
            </w:r>
          </w:p>
        </w:tc>
      </w:tr>
      <w:tr w14:paraId="26462B7D"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FFCC3F3" w14:textId="77777777">
            <w:pPr>
              <w:spacing w:line="276" w:lineRule="auto"/>
              <w:ind w:left="168"/>
              <w:rPr>
                <w:rFonts w:ascii="Calibri" w:eastAsia="Calibri" w:hAnsi="Calibri" w:cs="Calibri"/>
                <w:sz w:val="18"/>
                <w:szCs w:val="18"/>
              </w:rPr>
            </w:pPr>
            <w:r>
              <w:rPr>
                <w:rFonts w:ascii="Calibri" w:eastAsia="Calibri" w:hAnsi="Calibri" w:cs="Calibri"/>
                <w:sz w:val="18"/>
                <w:szCs w:val="18"/>
              </w:rPr>
              <w:t>Golden Crab Logbook - No fishing report</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EF648FA" w14:textId="77777777">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95A507F" w14:textId="77777777">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48CF0263" w14:textId="77777777">
            <w:pPr>
              <w:spacing w:line="276" w:lineRule="auto"/>
              <w:jc w:val="center"/>
              <w:rPr>
                <w:rFonts w:ascii="Calibri" w:eastAsia="Calibri" w:hAnsi="Calibri" w:cs="Calibri"/>
                <w:sz w:val="18"/>
                <w:szCs w:val="18"/>
              </w:rPr>
            </w:pPr>
            <w:r>
              <w:rPr>
                <w:rFonts w:ascii="Calibri" w:eastAsia="Calibri" w:hAnsi="Calibri" w:cs="Calibri"/>
                <w:sz w:val="18"/>
                <w:szCs w:val="18"/>
              </w:rPr>
              <w:t>5</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489B592B" w14:textId="77777777">
            <w:pPr>
              <w:spacing w:line="276" w:lineRule="auto"/>
              <w:jc w:val="center"/>
              <w:rPr>
                <w:rFonts w:ascii="Calibri" w:eastAsia="Calibri" w:hAnsi="Calibri" w:cs="Calibri"/>
                <w:sz w:val="18"/>
                <w:szCs w:val="18"/>
              </w:rPr>
            </w:pPr>
            <w:r>
              <w:rPr>
                <w:rFonts w:ascii="Calibri" w:eastAsia="Calibri" w:hAnsi="Calibri" w:cs="Calibri"/>
                <w:sz w:val="18"/>
                <w:szCs w:val="18"/>
              </w:rPr>
              <w:t>49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0AB8B239" w14:textId="77777777">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A99E1E3" w14:textId="77777777">
            <w:pPr>
              <w:spacing w:line="276" w:lineRule="auto"/>
              <w:jc w:val="center"/>
              <w:rPr>
                <w:rFonts w:ascii="Calibri" w:eastAsia="Calibri" w:hAnsi="Calibri" w:cs="Calibri"/>
                <w:sz w:val="18"/>
                <w:szCs w:val="18"/>
              </w:rPr>
            </w:pPr>
            <w:r>
              <w:rPr>
                <w:rFonts w:ascii="Calibri" w:eastAsia="Calibri" w:hAnsi="Calibri" w:cs="Calibri"/>
                <w:sz w:val="18"/>
                <w:szCs w:val="18"/>
              </w:rPr>
              <w:t>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2C7BAF9C"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200CCDF6" w14:textId="77777777">
            <w:pPr>
              <w:spacing w:line="276" w:lineRule="auto"/>
              <w:jc w:val="center"/>
              <w:rPr>
                <w:rFonts w:ascii="Calibri" w:eastAsia="Calibri" w:hAnsi="Calibri" w:cs="Calibri"/>
                <w:sz w:val="18"/>
                <w:szCs w:val="18"/>
              </w:rPr>
            </w:pPr>
            <w:r>
              <w:rPr>
                <w:rFonts w:ascii="Calibri" w:eastAsia="Calibri" w:hAnsi="Calibri" w:cs="Calibri"/>
                <w:sz w:val="18"/>
                <w:szCs w:val="18"/>
              </w:rPr>
              <w:t>$61</w:t>
            </w:r>
          </w:p>
        </w:tc>
      </w:tr>
      <w:tr w14:paraId="106A3C14"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6CFF1B12" w14:textId="77777777">
            <w:pPr>
              <w:spacing w:line="276" w:lineRule="auto"/>
              <w:rPr>
                <w:rFonts w:ascii="Calibri" w:eastAsia="Calibri" w:hAnsi="Calibri" w:cs="Calibri"/>
                <w:b/>
                <w:sz w:val="18"/>
                <w:szCs w:val="18"/>
              </w:rPr>
            </w:pPr>
            <w:r>
              <w:rPr>
                <w:rFonts w:ascii="Calibri" w:eastAsia="Calibri" w:hAnsi="Calibri" w:cs="Calibri"/>
                <w:b/>
                <w:sz w:val="18"/>
                <w:szCs w:val="18"/>
              </w:rPr>
              <w:t>Wreckfish Logbook</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11BE7861" w14:textId="77777777">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31CD803" w14:textId="77777777">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1497BC77" w14:textId="77777777">
            <w:pPr>
              <w:spacing w:line="276" w:lineRule="auto"/>
              <w:jc w:val="center"/>
              <w:rPr>
                <w:rFonts w:ascii="Calibri" w:eastAsia="Calibri" w:hAnsi="Calibri" w:cs="Calibri"/>
                <w:sz w:val="18"/>
                <w:szCs w:val="18"/>
              </w:rPr>
            </w:pPr>
            <w:r>
              <w:rPr>
                <w:rFonts w:ascii="Calibri" w:eastAsia="Calibri" w:hAnsi="Calibri" w:cs="Calibri"/>
                <w:sz w:val="18"/>
                <w:szCs w:val="18"/>
              </w:rPr>
              <w:t>8.7</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1C25DEC0" w14:textId="77777777">
            <w:pPr>
              <w:spacing w:line="276" w:lineRule="auto"/>
              <w:jc w:val="center"/>
              <w:rPr>
                <w:rFonts w:ascii="Calibri" w:eastAsia="Calibri" w:hAnsi="Calibri" w:cs="Calibri"/>
                <w:sz w:val="18"/>
                <w:szCs w:val="18"/>
              </w:rPr>
            </w:pPr>
            <w:r>
              <w:rPr>
                <w:rFonts w:ascii="Calibri" w:eastAsia="Calibri" w:hAnsi="Calibri" w:cs="Calibri"/>
                <w:sz w:val="18"/>
                <w:szCs w:val="18"/>
              </w:rPr>
              <w:t>87</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73DF2418" w14:textId="77777777">
            <w:pPr>
              <w:spacing w:line="276" w:lineRule="auto"/>
              <w:jc w:val="center"/>
              <w:rPr>
                <w:rFonts w:ascii="Calibri" w:eastAsia="Calibri" w:hAnsi="Calibri" w:cs="Calibri"/>
                <w:sz w:val="18"/>
                <w:szCs w:val="18"/>
              </w:rPr>
            </w:pPr>
            <w:r>
              <w:rPr>
                <w:rFonts w:ascii="Calibri" w:eastAsia="Calibri" w:hAnsi="Calibri" w:cs="Calibri"/>
                <w:sz w:val="18"/>
                <w:szCs w:val="18"/>
              </w:rPr>
              <w:t>6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2789D56" w14:textId="77777777">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7838C661"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351F64C9" w14:textId="77777777">
            <w:pPr>
              <w:spacing w:line="276" w:lineRule="auto"/>
              <w:jc w:val="center"/>
              <w:rPr>
                <w:rFonts w:ascii="Calibri" w:eastAsia="Calibri" w:hAnsi="Calibri" w:cs="Calibri"/>
                <w:sz w:val="18"/>
                <w:szCs w:val="18"/>
              </w:rPr>
            </w:pPr>
            <w:r>
              <w:rPr>
                <w:rFonts w:ascii="Calibri" w:eastAsia="Calibri" w:hAnsi="Calibri" w:cs="Calibri"/>
                <w:sz w:val="18"/>
                <w:szCs w:val="18"/>
              </w:rPr>
              <w:t>$274</w:t>
            </w:r>
          </w:p>
        </w:tc>
      </w:tr>
      <w:tr w14:paraId="614A069A"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68F8290" w14:textId="77777777">
            <w:pPr>
              <w:spacing w:line="276" w:lineRule="auto"/>
              <w:ind w:left="180"/>
              <w:rPr>
                <w:rFonts w:ascii="Calibri" w:eastAsia="Calibri" w:hAnsi="Calibri" w:cs="Calibri"/>
                <w:sz w:val="18"/>
                <w:szCs w:val="18"/>
              </w:rPr>
            </w:pPr>
            <w:r>
              <w:rPr>
                <w:rFonts w:ascii="Calibri" w:eastAsia="Calibri" w:hAnsi="Calibri" w:cs="Calibri"/>
                <w:sz w:val="18"/>
                <w:szCs w:val="18"/>
              </w:rPr>
              <w:t>Wreckfish Trip Report Logbook</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A90AA19" w14:textId="77777777">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ADA6E79" w14:textId="77777777">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28CD1FA7" w14:textId="77777777">
            <w:pPr>
              <w:spacing w:line="276" w:lineRule="auto"/>
              <w:jc w:val="center"/>
              <w:rPr>
                <w:rFonts w:ascii="Calibri" w:eastAsia="Calibri" w:hAnsi="Calibri" w:cs="Calibri"/>
                <w:sz w:val="18"/>
                <w:szCs w:val="18"/>
              </w:rPr>
            </w:pPr>
            <w:r>
              <w:rPr>
                <w:rFonts w:ascii="Calibri" w:eastAsia="Calibri" w:hAnsi="Calibri" w:cs="Calibri"/>
                <w:sz w:val="18"/>
                <w:szCs w:val="18"/>
              </w:rPr>
              <w:t>4</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04421B5" w14:textId="77777777">
            <w:pPr>
              <w:spacing w:line="276" w:lineRule="auto"/>
              <w:jc w:val="center"/>
              <w:rPr>
                <w:rFonts w:ascii="Calibri" w:eastAsia="Calibri" w:hAnsi="Calibri" w:cs="Calibri"/>
                <w:sz w:val="18"/>
                <w:szCs w:val="18"/>
              </w:rPr>
            </w:pPr>
            <w:r>
              <w:rPr>
                <w:rFonts w:ascii="Calibri" w:eastAsia="Calibri" w:hAnsi="Calibri" w:cs="Calibri"/>
                <w:sz w:val="18"/>
                <w:szCs w:val="18"/>
              </w:rPr>
              <w:t>39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30CE0701" w14:textId="77777777">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AEF7A91" w14:textId="77777777">
            <w:pPr>
              <w:spacing w:line="276" w:lineRule="auto"/>
              <w:jc w:val="center"/>
              <w:rPr>
                <w:rFonts w:ascii="Calibri" w:eastAsia="Calibri" w:hAnsi="Calibri" w:cs="Calibri"/>
                <w:sz w:val="18"/>
                <w:szCs w:val="18"/>
              </w:rPr>
            </w:pPr>
            <w:r>
              <w:rPr>
                <w:rFonts w:ascii="Calibri" w:eastAsia="Calibri" w:hAnsi="Calibri" w:cs="Calibri"/>
                <w:sz w:val="18"/>
                <w:szCs w:val="18"/>
              </w:rPr>
              <w:t>7</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003DF847"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46A68F9" w14:textId="77777777">
            <w:pPr>
              <w:spacing w:line="276" w:lineRule="auto"/>
              <w:jc w:val="center"/>
              <w:rPr>
                <w:rFonts w:ascii="Calibri" w:eastAsia="Calibri" w:hAnsi="Calibri" w:cs="Calibri"/>
                <w:sz w:val="18"/>
                <w:szCs w:val="18"/>
              </w:rPr>
            </w:pPr>
            <w:r>
              <w:rPr>
                <w:rFonts w:ascii="Calibri" w:eastAsia="Calibri" w:hAnsi="Calibri" w:cs="Calibri"/>
                <w:sz w:val="18"/>
                <w:szCs w:val="18"/>
              </w:rPr>
              <w:t>$213</w:t>
            </w:r>
          </w:p>
        </w:tc>
      </w:tr>
      <w:tr w14:paraId="1B16E9C4"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FEC2A9E" w14:textId="77777777">
            <w:pPr>
              <w:spacing w:line="276" w:lineRule="auto"/>
              <w:ind w:left="180"/>
              <w:rPr>
                <w:rFonts w:ascii="Calibri" w:eastAsia="Calibri" w:hAnsi="Calibri" w:cs="Calibri"/>
                <w:sz w:val="18"/>
                <w:szCs w:val="18"/>
              </w:rPr>
            </w:pPr>
            <w:r>
              <w:rPr>
                <w:rFonts w:ascii="Calibri" w:eastAsia="Calibri" w:hAnsi="Calibri" w:cs="Calibri"/>
                <w:sz w:val="18"/>
                <w:szCs w:val="18"/>
              </w:rPr>
              <w:t>Wreckfish Logbook - No fishing report</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22BE616" w14:textId="77777777">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926A90A" w14:textId="77777777">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B2FD6AC" w14:textId="77777777">
            <w:pPr>
              <w:spacing w:line="276" w:lineRule="auto"/>
              <w:jc w:val="center"/>
              <w:rPr>
                <w:rFonts w:ascii="Calibri" w:eastAsia="Calibri" w:hAnsi="Calibri" w:cs="Calibri"/>
                <w:sz w:val="18"/>
                <w:szCs w:val="18"/>
              </w:rPr>
            </w:pPr>
            <w:r>
              <w:rPr>
                <w:rFonts w:ascii="Calibri" w:eastAsia="Calibri" w:hAnsi="Calibri" w:cs="Calibri"/>
                <w:sz w:val="18"/>
                <w:szCs w:val="18"/>
              </w:rPr>
              <w:t>5</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54B7001" w14:textId="77777777">
            <w:pPr>
              <w:spacing w:line="276" w:lineRule="auto"/>
              <w:jc w:val="center"/>
              <w:rPr>
                <w:rFonts w:ascii="Calibri" w:eastAsia="Calibri" w:hAnsi="Calibri" w:cs="Calibri"/>
                <w:sz w:val="18"/>
                <w:szCs w:val="18"/>
              </w:rPr>
            </w:pPr>
            <w:r>
              <w:rPr>
                <w:rFonts w:ascii="Calibri" w:eastAsia="Calibri" w:hAnsi="Calibri" w:cs="Calibri"/>
                <w:sz w:val="18"/>
                <w:szCs w:val="18"/>
              </w:rPr>
              <w:t>48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4A14C94E" w14:textId="77777777">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A7B813E" w14:textId="77777777">
            <w:pPr>
              <w:spacing w:line="276" w:lineRule="auto"/>
              <w:jc w:val="center"/>
              <w:rPr>
                <w:rFonts w:ascii="Calibri" w:eastAsia="Calibri" w:hAnsi="Calibri" w:cs="Calibri"/>
                <w:sz w:val="18"/>
                <w:szCs w:val="18"/>
              </w:rPr>
            </w:pPr>
            <w:r>
              <w:rPr>
                <w:rFonts w:ascii="Calibri" w:eastAsia="Calibri" w:hAnsi="Calibri" w:cs="Calibri"/>
                <w:sz w:val="18"/>
                <w:szCs w:val="18"/>
              </w:rPr>
              <w:t>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0F19DB14"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DF6408A" w14:textId="77777777">
            <w:pPr>
              <w:spacing w:line="276" w:lineRule="auto"/>
              <w:jc w:val="center"/>
              <w:rPr>
                <w:rFonts w:ascii="Calibri" w:eastAsia="Calibri" w:hAnsi="Calibri" w:cs="Calibri"/>
                <w:sz w:val="18"/>
                <w:szCs w:val="18"/>
              </w:rPr>
            </w:pPr>
            <w:r>
              <w:rPr>
                <w:rFonts w:ascii="Calibri" w:eastAsia="Calibri" w:hAnsi="Calibri" w:cs="Calibri"/>
                <w:sz w:val="18"/>
                <w:szCs w:val="18"/>
              </w:rPr>
              <w:t>$61</w:t>
            </w:r>
          </w:p>
        </w:tc>
      </w:tr>
      <w:tr w14:paraId="3172E90E"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912D2F4" w14:textId="77777777">
            <w:pPr>
              <w:spacing w:line="276" w:lineRule="auto"/>
              <w:rPr>
                <w:rFonts w:ascii="Calibri" w:eastAsia="Calibri" w:hAnsi="Calibri" w:cs="Calibri"/>
                <w:b/>
                <w:sz w:val="18"/>
                <w:szCs w:val="18"/>
              </w:rPr>
            </w:pPr>
            <w:r>
              <w:rPr>
                <w:rFonts w:ascii="Calibri" w:eastAsia="Calibri" w:hAnsi="Calibri" w:cs="Calibri"/>
                <w:b/>
                <w:sz w:val="18"/>
                <w:szCs w:val="18"/>
              </w:rPr>
              <w:t>South Atlantic For-Hire Electronic Reporting Program</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4233B0CF" w14:textId="77777777">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412CAB1" w14:textId="77777777">
            <w:pPr>
              <w:spacing w:line="276" w:lineRule="auto"/>
              <w:jc w:val="center"/>
              <w:rPr>
                <w:rFonts w:ascii="Calibri" w:eastAsia="Calibri" w:hAnsi="Calibri" w:cs="Calibri"/>
                <w:sz w:val="18"/>
                <w:szCs w:val="18"/>
              </w:rPr>
            </w:pPr>
            <w:r>
              <w:rPr>
                <w:rFonts w:ascii="Calibri" w:eastAsia="Calibri" w:hAnsi="Calibri" w:cs="Calibri"/>
                <w:sz w:val="18"/>
                <w:szCs w:val="18"/>
              </w:rPr>
              <w:t>1918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6FF6CBCE" w14:textId="3DC8DD35">
            <w:pPr>
              <w:spacing w:line="276" w:lineRule="auto"/>
              <w:jc w:val="center"/>
              <w:rPr>
                <w:rFonts w:ascii="Calibri" w:eastAsia="Calibri" w:hAnsi="Calibri" w:cs="Calibri"/>
                <w:sz w:val="18"/>
                <w:szCs w:val="18"/>
              </w:rPr>
            </w:pPr>
            <w:r>
              <w:rPr>
                <w:rFonts w:ascii="Calibri" w:eastAsia="Calibri" w:hAnsi="Calibri" w:cs="Calibri"/>
                <w:sz w:val="18"/>
                <w:szCs w:val="18"/>
              </w:rPr>
              <w:t>52.373</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69F58011" w14:textId="77777777">
            <w:pPr>
              <w:spacing w:line="276" w:lineRule="auto"/>
              <w:jc w:val="center"/>
              <w:rPr>
                <w:rFonts w:ascii="Calibri" w:eastAsia="Calibri" w:hAnsi="Calibri" w:cs="Calibri"/>
                <w:sz w:val="18"/>
                <w:szCs w:val="18"/>
              </w:rPr>
            </w:pPr>
            <w:r>
              <w:rPr>
                <w:rFonts w:ascii="Calibri" w:eastAsia="Calibri" w:hAnsi="Calibri" w:cs="Calibri"/>
                <w:sz w:val="18"/>
                <w:szCs w:val="18"/>
              </w:rPr>
              <w:t>100,451</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0A3EEB1D" w14:textId="77777777">
            <w:pPr>
              <w:spacing w:line="276" w:lineRule="auto"/>
              <w:jc w:val="center"/>
              <w:rPr>
                <w:rFonts w:ascii="Calibri" w:eastAsia="Calibri" w:hAnsi="Calibri" w:cs="Calibri"/>
                <w:sz w:val="18"/>
                <w:szCs w:val="18"/>
              </w:rPr>
            </w:pPr>
            <w:r>
              <w:rPr>
                <w:rFonts w:ascii="Calibri" w:eastAsia="Calibri" w:hAnsi="Calibri" w:cs="Calibri"/>
                <w:sz w:val="18"/>
                <w:szCs w:val="18"/>
              </w:rPr>
              <w:t>5.378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2ACE7055" w14:textId="77777777">
            <w:pPr>
              <w:spacing w:line="276" w:lineRule="auto"/>
              <w:jc w:val="center"/>
              <w:rPr>
                <w:rFonts w:ascii="Calibri" w:eastAsia="Calibri" w:hAnsi="Calibri" w:cs="Calibri"/>
                <w:sz w:val="18"/>
                <w:szCs w:val="18"/>
              </w:rPr>
            </w:pPr>
            <w:r>
              <w:rPr>
                <w:rFonts w:ascii="Calibri" w:eastAsia="Calibri" w:hAnsi="Calibri" w:cs="Calibri"/>
                <w:sz w:val="18"/>
                <w:szCs w:val="18"/>
              </w:rPr>
              <w:t>9,004</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4CB83A94"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270DAE" w:rsidP="00DA23B9" w14:paraId="52AC2777" w14:textId="77777777">
            <w:pPr>
              <w:spacing w:line="276" w:lineRule="auto"/>
              <w:jc w:val="center"/>
              <w:rPr>
                <w:rFonts w:ascii="Calibri" w:eastAsia="Calibri" w:hAnsi="Calibri" w:cs="Calibri"/>
                <w:sz w:val="18"/>
                <w:szCs w:val="18"/>
              </w:rPr>
            </w:pPr>
            <w:r>
              <w:rPr>
                <w:rFonts w:ascii="Calibri" w:eastAsia="Calibri" w:hAnsi="Calibri" w:cs="Calibri"/>
                <w:sz w:val="18"/>
                <w:szCs w:val="18"/>
              </w:rPr>
              <w:t>$274,262</w:t>
            </w:r>
          </w:p>
        </w:tc>
      </w:tr>
      <w:tr w14:paraId="228B5B9A" w14:textId="77777777" w:rsidTr="00270DAE">
        <w:tblPrEx>
          <w:tblW w:w="13755" w:type="dxa"/>
          <w:jc w:val="center"/>
          <w:tblLayout w:type="fixed"/>
          <w:tblLook w:val="0600"/>
        </w:tblPrEx>
        <w:trPr>
          <w:trHeight w:val="660"/>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20639C59" w14:textId="77777777">
            <w:pPr>
              <w:spacing w:line="276" w:lineRule="auto"/>
              <w:ind w:left="180"/>
              <w:rPr>
                <w:rFonts w:ascii="Calibri" w:eastAsia="Calibri" w:hAnsi="Calibri" w:cs="Calibri"/>
                <w:sz w:val="18"/>
                <w:szCs w:val="18"/>
              </w:rPr>
            </w:pPr>
            <w:r>
              <w:rPr>
                <w:rFonts w:ascii="Calibri" w:eastAsia="Calibri" w:hAnsi="Calibri" w:cs="Calibri"/>
                <w:sz w:val="18"/>
                <w:szCs w:val="18"/>
              </w:rPr>
              <w:t xml:space="preserve">South Atlantic For-hire Elec Reporting </w:t>
            </w:r>
            <w:r>
              <w:rPr>
                <w:rFonts w:ascii="Calibri" w:eastAsia="Calibri" w:hAnsi="Calibri" w:cs="Calibri"/>
                <w:sz w:val="18"/>
                <w:szCs w:val="18"/>
              </w:rPr>
              <w:t>Prgm</w:t>
            </w:r>
            <w:r>
              <w:rPr>
                <w:rFonts w:ascii="Calibri" w:eastAsia="Calibri" w:hAnsi="Calibri" w:cs="Calibri"/>
                <w:sz w:val="18"/>
                <w:szCs w:val="18"/>
              </w:rPr>
              <w:t xml:space="preserve"> (Fishing report - charter vessels)</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2871C924" w14:textId="77777777">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303E3682" w14:textId="77777777">
            <w:pPr>
              <w:spacing w:line="276" w:lineRule="auto"/>
              <w:jc w:val="center"/>
              <w:rPr>
                <w:rFonts w:ascii="Calibri" w:eastAsia="Calibri" w:hAnsi="Calibri" w:cs="Calibri"/>
                <w:sz w:val="18"/>
                <w:szCs w:val="18"/>
              </w:rPr>
            </w:pPr>
            <w:r>
              <w:rPr>
                <w:rFonts w:ascii="Calibri" w:eastAsia="Calibri" w:hAnsi="Calibri" w:cs="Calibri"/>
                <w:sz w:val="18"/>
                <w:szCs w:val="18"/>
              </w:rPr>
              <w:t>1918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DBDD731" w14:textId="77777777">
            <w:pPr>
              <w:spacing w:line="276" w:lineRule="auto"/>
              <w:jc w:val="center"/>
              <w:rPr>
                <w:rFonts w:ascii="Calibri" w:eastAsia="Calibri" w:hAnsi="Calibri" w:cs="Calibri"/>
                <w:sz w:val="18"/>
                <w:szCs w:val="18"/>
              </w:rPr>
            </w:pPr>
            <w:r>
              <w:rPr>
                <w:rFonts w:ascii="Calibri" w:eastAsia="Calibri" w:hAnsi="Calibri" w:cs="Calibri"/>
                <w:sz w:val="18"/>
                <w:szCs w:val="18"/>
              </w:rPr>
              <w:t>22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6F554F5" w14:textId="77777777">
            <w:pPr>
              <w:spacing w:line="276" w:lineRule="auto"/>
              <w:jc w:val="center"/>
              <w:rPr>
                <w:rFonts w:ascii="Calibri" w:eastAsia="Calibri" w:hAnsi="Calibri" w:cs="Calibri"/>
                <w:sz w:val="18"/>
                <w:szCs w:val="18"/>
              </w:rPr>
            </w:pPr>
            <w:r>
              <w:rPr>
                <w:rFonts w:ascii="Calibri" w:eastAsia="Calibri" w:hAnsi="Calibri" w:cs="Calibri"/>
                <w:sz w:val="18"/>
                <w:szCs w:val="18"/>
              </w:rPr>
              <w:t>42,414</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CC912E6" w14:textId="77777777">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8E6B780" w14:textId="77777777">
            <w:pPr>
              <w:spacing w:line="276" w:lineRule="auto"/>
              <w:jc w:val="center"/>
              <w:rPr>
                <w:rFonts w:ascii="Calibri" w:eastAsia="Calibri" w:hAnsi="Calibri" w:cs="Calibri"/>
                <w:sz w:val="18"/>
                <w:szCs w:val="18"/>
              </w:rPr>
            </w:pPr>
            <w:r>
              <w:rPr>
                <w:rFonts w:ascii="Calibri" w:eastAsia="Calibri" w:hAnsi="Calibri" w:cs="Calibri"/>
                <w:sz w:val="18"/>
                <w:szCs w:val="18"/>
              </w:rPr>
              <w:t>7,069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61AA14F"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76AB3E8B" w14:textId="77777777">
            <w:pPr>
              <w:spacing w:line="276" w:lineRule="auto"/>
              <w:jc w:val="center"/>
              <w:rPr>
                <w:rFonts w:ascii="Calibri" w:eastAsia="Calibri" w:hAnsi="Calibri" w:cs="Calibri"/>
                <w:sz w:val="18"/>
                <w:szCs w:val="18"/>
              </w:rPr>
            </w:pPr>
            <w:r>
              <w:rPr>
                <w:rFonts w:ascii="Calibri" w:eastAsia="Calibri" w:hAnsi="Calibri" w:cs="Calibri"/>
                <w:sz w:val="18"/>
                <w:szCs w:val="18"/>
              </w:rPr>
              <w:t>$215,322</w:t>
            </w:r>
          </w:p>
        </w:tc>
      </w:tr>
      <w:tr w14:paraId="186F5FCE" w14:textId="77777777" w:rsidTr="00270DAE">
        <w:tblPrEx>
          <w:tblW w:w="13755" w:type="dxa"/>
          <w:jc w:val="center"/>
          <w:tblLayout w:type="fixed"/>
          <w:tblLook w:val="0600"/>
        </w:tblPrEx>
        <w:trPr>
          <w:trHeight w:val="46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745D539" w14:textId="77777777">
            <w:pPr>
              <w:spacing w:line="276" w:lineRule="auto"/>
              <w:ind w:left="180"/>
              <w:rPr>
                <w:rFonts w:ascii="Calibri" w:eastAsia="Calibri" w:hAnsi="Calibri" w:cs="Calibri"/>
                <w:sz w:val="18"/>
                <w:szCs w:val="18"/>
              </w:rPr>
            </w:pPr>
            <w:r>
              <w:rPr>
                <w:rFonts w:ascii="Calibri" w:eastAsia="Calibri" w:hAnsi="Calibri" w:cs="Calibri"/>
                <w:sz w:val="18"/>
                <w:szCs w:val="18"/>
              </w:rPr>
              <w:t>No-fishing report (charter vessels)</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2D11C0FA" w14:textId="77777777">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D25056C" w14:textId="77777777">
            <w:pPr>
              <w:spacing w:line="276" w:lineRule="auto"/>
              <w:jc w:val="center"/>
              <w:rPr>
                <w:rFonts w:ascii="Calibri" w:eastAsia="Calibri" w:hAnsi="Calibri" w:cs="Calibri"/>
                <w:sz w:val="18"/>
                <w:szCs w:val="18"/>
              </w:rPr>
            </w:pPr>
            <w:r>
              <w:rPr>
                <w:rFonts w:ascii="Calibri" w:eastAsia="Calibri" w:hAnsi="Calibri" w:cs="Calibri"/>
                <w:sz w:val="18"/>
                <w:szCs w:val="18"/>
              </w:rPr>
              <w:t>1918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304DC877" w14:textId="77777777">
            <w:pPr>
              <w:spacing w:line="276" w:lineRule="auto"/>
              <w:jc w:val="center"/>
              <w:rPr>
                <w:rFonts w:ascii="Calibri" w:eastAsia="Calibri" w:hAnsi="Calibri" w:cs="Calibri"/>
                <w:sz w:val="18"/>
                <w:szCs w:val="18"/>
              </w:rPr>
            </w:pPr>
            <w:r>
              <w:rPr>
                <w:rFonts w:ascii="Calibri" w:eastAsia="Calibri" w:hAnsi="Calibri" w:cs="Calibri"/>
                <w:sz w:val="18"/>
                <w:szCs w:val="18"/>
              </w:rPr>
              <w:t>30</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33105AF8" w14:textId="77777777">
            <w:pPr>
              <w:spacing w:line="276" w:lineRule="auto"/>
              <w:jc w:val="center"/>
              <w:rPr>
                <w:rFonts w:ascii="Calibri" w:eastAsia="Calibri" w:hAnsi="Calibri" w:cs="Calibri"/>
                <w:sz w:val="18"/>
                <w:szCs w:val="18"/>
              </w:rPr>
            </w:pPr>
            <w:r>
              <w:rPr>
                <w:rFonts w:ascii="Calibri" w:eastAsia="Calibri" w:hAnsi="Calibri" w:cs="Calibri"/>
                <w:sz w:val="18"/>
                <w:szCs w:val="18"/>
              </w:rPr>
              <w:t>58,037</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157E987D" w14:textId="77777777">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34ACB652" w14:textId="77777777">
            <w:pPr>
              <w:spacing w:line="276" w:lineRule="auto"/>
              <w:jc w:val="center"/>
              <w:rPr>
                <w:rFonts w:ascii="Calibri" w:eastAsia="Calibri" w:hAnsi="Calibri" w:cs="Calibri"/>
                <w:sz w:val="18"/>
                <w:szCs w:val="18"/>
              </w:rPr>
            </w:pPr>
            <w:r>
              <w:rPr>
                <w:rFonts w:ascii="Calibri" w:eastAsia="Calibri" w:hAnsi="Calibri" w:cs="Calibri"/>
                <w:sz w:val="18"/>
                <w:szCs w:val="18"/>
              </w:rPr>
              <w:t>1,935</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60DB497E" w14:textId="77777777">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270DAE" w:rsidP="00DA23B9" w14:paraId="579F6194" w14:textId="77777777">
            <w:pPr>
              <w:spacing w:line="276" w:lineRule="auto"/>
              <w:jc w:val="center"/>
              <w:rPr>
                <w:rFonts w:ascii="Calibri" w:eastAsia="Calibri" w:hAnsi="Calibri" w:cs="Calibri"/>
                <w:sz w:val="18"/>
                <w:szCs w:val="18"/>
              </w:rPr>
            </w:pPr>
            <w:r>
              <w:rPr>
                <w:rFonts w:ascii="Calibri" w:eastAsia="Calibri" w:hAnsi="Calibri" w:cs="Calibri"/>
                <w:sz w:val="18"/>
                <w:szCs w:val="18"/>
              </w:rPr>
              <w:t>$58,940</w:t>
            </w:r>
          </w:p>
        </w:tc>
      </w:tr>
      <w:tr w14:paraId="632A99B4" w14:textId="77777777" w:rsidTr="00270DAE">
        <w:tblPrEx>
          <w:tblW w:w="13755" w:type="dxa"/>
          <w:jc w:val="center"/>
          <w:tblLayout w:type="fixed"/>
          <w:tblLook w:val="0600"/>
        </w:tblPrEx>
        <w:trPr>
          <w:trHeight w:val="345"/>
          <w:jc w:val="center"/>
        </w:trPr>
        <w:tc>
          <w:tcPr>
            <w:tcW w:w="2370" w:type="dxa"/>
            <w:tcBorders>
              <w:top w:val="single" w:sz="6" w:space="0" w:color="CCCCCC"/>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72207C59" w14:textId="77777777">
            <w:pPr>
              <w:spacing w:line="276" w:lineRule="auto"/>
              <w:jc w:val="center"/>
              <w:rPr>
                <w:rFonts w:ascii="Calibri" w:eastAsia="Calibri" w:hAnsi="Calibri" w:cs="Calibri"/>
                <w:sz w:val="18"/>
                <w:szCs w:val="18"/>
              </w:rPr>
            </w:pPr>
            <w:r>
              <w:rPr>
                <w:rFonts w:ascii="Calibri" w:eastAsia="Calibri" w:hAnsi="Calibri" w:cs="Calibri"/>
                <w:b/>
                <w:sz w:val="18"/>
                <w:szCs w:val="18"/>
              </w:rPr>
              <w:t>Total for Collection</w:t>
            </w:r>
          </w:p>
        </w:tc>
        <w:tc>
          <w:tcPr>
            <w:tcW w:w="1485"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634F5831" w14:textId="77777777">
            <w:pPr>
              <w:spacing w:line="276" w:lineRule="auto"/>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75F7455C" w14:textId="77777777">
            <w:pPr>
              <w:spacing w:line="276" w:lineRule="auto"/>
              <w:jc w:val="center"/>
              <w:rPr>
                <w:rFonts w:ascii="Calibri" w:eastAsia="Calibri" w:hAnsi="Calibri" w:cs="Calibri"/>
                <w:sz w:val="18"/>
                <w:szCs w:val="18"/>
              </w:rPr>
            </w:pP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2A2CDA67" w14:textId="77777777">
            <w:pPr>
              <w:spacing w:line="276" w:lineRule="auto"/>
              <w:rPr>
                <w:rFonts w:ascii="Calibri" w:eastAsia="Calibri" w:hAnsi="Calibri" w:cs="Calibri"/>
                <w:sz w:val="18"/>
                <w:szCs w:val="18"/>
              </w:rPr>
            </w:pP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270DAE" w:rsidP="00DA23B9" w14:paraId="15C35E30" w14:textId="505611A3">
            <w:pPr>
              <w:spacing w:line="276" w:lineRule="auto"/>
              <w:jc w:val="center"/>
              <w:rPr>
                <w:rFonts w:ascii="Calibri" w:eastAsia="Calibri" w:hAnsi="Calibri" w:cs="Calibri"/>
                <w:sz w:val="18"/>
                <w:szCs w:val="18"/>
              </w:rPr>
            </w:pPr>
            <w:r>
              <w:rPr>
                <w:rFonts w:ascii="Calibri" w:eastAsia="Calibri" w:hAnsi="Calibri" w:cs="Calibri"/>
                <w:sz w:val="18"/>
                <w:szCs w:val="18"/>
              </w:rPr>
              <w:t>201,907</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030116D5" w14:textId="77777777">
            <w:pPr>
              <w:spacing w:line="276" w:lineRule="auto"/>
              <w:rPr>
                <w:rFonts w:ascii="Calibri" w:eastAsia="Calibri" w:hAnsi="Calibri" w:cs="Calibri"/>
                <w:sz w:val="18"/>
                <w:szCs w:val="18"/>
              </w:rPr>
            </w:pP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270DAE" w:rsidP="007F7933" w14:paraId="5BD5901E" w14:textId="7BFDACFA">
            <w:pPr>
              <w:spacing w:line="276" w:lineRule="auto"/>
              <w:jc w:val="center"/>
              <w:rPr>
                <w:rFonts w:ascii="Calibri" w:eastAsia="Calibri" w:hAnsi="Calibri" w:cs="Calibri"/>
                <w:sz w:val="18"/>
                <w:szCs w:val="18"/>
              </w:rPr>
            </w:pPr>
            <w:r>
              <w:rPr>
                <w:rFonts w:ascii="Calibri" w:eastAsia="Calibri" w:hAnsi="Calibri" w:cs="Calibri"/>
                <w:sz w:val="18"/>
                <w:szCs w:val="18"/>
              </w:rPr>
              <w:t>22,772</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270DAE" w:rsidP="00DA23B9" w14:paraId="2B06A538" w14:textId="77777777">
            <w:pPr>
              <w:spacing w:line="276" w:lineRule="auto"/>
              <w:rPr>
                <w:rFonts w:ascii="Calibri" w:eastAsia="Calibri" w:hAnsi="Calibri" w:cs="Calibri"/>
                <w:sz w:val="18"/>
                <w:szCs w:val="18"/>
              </w:rPr>
            </w:pPr>
          </w:p>
        </w:tc>
        <w:tc>
          <w:tcPr>
            <w:tcW w:w="183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270DAE" w:rsidP="007F7933" w14:paraId="38FD296A" w14:textId="14C4914F">
            <w:pPr>
              <w:spacing w:line="276" w:lineRule="auto"/>
              <w:jc w:val="center"/>
              <w:rPr>
                <w:rFonts w:ascii="Calibri" w:eastAsia="Calibri" w:hAnsi="Calibri" w:cs="Calibri"/>
                <w:sz w:val="18"/>
                <w:szCs w:val="18"/>
              </w:rPr>
            </w:pPr>
            <w:r>
              <w:rPr>
                <w:rFonts w:ascii="Calibri" w:eastAsia="Calibri" w:hAnsi="Calibri" w:cs="Calibri"/>
                <w:sz w:val="18"/>
                <w:szCs w:val="18"/>
              </w:rPr>
              <w:t>$</w:t>
            </w:r>
            <w:r w:rsidR="007F7933">
              <w:rPr>
                <w:rFonts w:ascii="Calibri" w:eastAsia="Calibri" w:hAnsi="Calibri" w:cs="Calibri"/>
                <w:sz w:val="18"/>
                <w:szCs w:val="18"/>
              </w:rPr>
              <w:t>693,635</w:t>
            </w:r>
          </w:p>
        </w:tc>
      </w:tr>
    </w:tbl>
    <w:p w:rsidR="00FE7720" w:rsidRPr="00FE7720" w14:paraId="20D2AD3F" w14:textId="77777777">
      <w:pPr>
        <w:pBdr>
          <w:top w:val="nil"/>
          <w:left w:val="nil"/>
          <w:bottom w:val="nil"/>
          <w:right w:val="nil"/>
          <w:between w:val="nil"/>
        </w:pBdr>
        <w:rPr>
          <w:color w:val="000000"/>
        </w:rPr>
      </w:pPr>
    </w:p>
    <w:p w:rsidR="00EE1074" w14:paraId="1060C556" w14:textId="16D1D5B6"/>
    <w:p w:rsidR="00EE1074" w:rsidP="00E019B2" w14:paraId="187956B1" w14:textId="1942DF9A">
      <w:r>
        <w:t xml:space="preserve">Hourly wage rate source: </w:t>
      </w:r>
      <w:r w:rsidR="007974F1">
        <w:t>May 2024</w:t>
      </w:r>
      <w:r>
        <w:t xml:space="preserve"> National Occupational Employment and Wage Estimates for “</w:t>
      </w:r>
      <w:hyperlink r:id="rId7" w:history="1">
        <w:r>
          <w:t>f</w:t>
        </w:r>
      </w:hyperlink>
      <w:hyperlink r:id="rId7" w:history="1">
        <w:r>
          <w:t>irst-line supervisors/managers of farming, fishing, and forestry workers (45-1011)</w:t>
        </w:r>
      </w:hyperlink>
      <w:r>
        <w:t xml:space="preserve">” at </w:t>
      </w:r>
      <w:hyperlink r:id="rId8" w:anchor="45-0000" w:history="1">
        <w:r>
          <w:t>https://www.bls.gov/oes/current/oes_nat.htm#45-0000</w:t>
        </w:r>
      </w:hyperlink>
      <w:r>
        <w:t>.</w:t>
      </w:r>
    </w:p>
    <w:p w:rsidR="003C4787" w:rsidP="00A7491A" w14:paraId="74F76968" w14:textId="6DDE4676">
      <w:pPr>
        <w:sectPr w:rsidSect="002E77F4">
          <w:pgSz w:w="15840" w:h="12240" w:orient="landscape"/>
          <w:pgMar w:top="1440" w:right="1440" w:bottom="1440" w:left="1440" w:header="720" w:footer="720" w:gutter="0"/>
          <w:cols w:space="720"/>
          <w:docGrid w:linePitch="326"/>
        </w:sectPr>
      </w:pPr>
    </w:p>
    <w:p w:rsidR="00EE1074" w14:paraId="427D29A0" w14:textId="77777777">
      <w:pPr>
        <w:numPr>
          <w:ilvl w:val="0"/>
          <w:numId w:val="1"/>
        </w:numPr>
        <w:pBdr>
          <w:top w:val="nil"/>
          <w:left w:val="nil"/>
          <w:bottom w:val="nil"/>
          <w:right w:val="nil"/>
          <w:between w:val="nil"/>
        </w:pBdr>
        <w:tabs>
          <w:tab w:val="left" w:pos="360"/>
        </w:tabs>
        <w:ind w:left="0" w:firstLine="0"/>
      </w:pPr>
      <w:r>
        <w:rPr>
          <w:b/>
          <w:color w:val="000000"/>
        </w:rPr>
        <w:t>Provide an estimate for the total annual cost burden to respondents or record keepers resulting from the collection of information. (Do not include the cost of any hour burden already reflected on the burden worksheet).</w:t>
      </w:r>
    </w:p>
    <w:p w:rsidR="00EE1074" w14:paraId="56B2C315" w14:textId="77777777">
      <w:pPr>
        <w:pBdr>
          <w:top w:val="nil"/>
          <w:left w:val="nil"/>
          <w:bottom w:val="nil"/>
          <w:right w:val="nil"/>
          <w:between w:val="nil"/>
        </w:pBdr>
        <w:tabs>
          <w:tab w:val="left" w:pos="360"/>
        </w:tabs>
        <w:rPr>
          <w:color w:val="000000"/>
        </w:rPr>
      </w:pPr>
    </w:p>
    <w:p w:rsidR="00EE1074" w14:paraId="2B70183C" w14:textId="57A7B76D">
      <w:pPr>
        <w:pBdr>
          <w:top w:val="nil"/>
          <w:left w:val="nil"/>
          <w:bottom w:val="nil"/>
          <w:right w:val="nil"/>
          <w:between w:val="nil"/>
        </w:pBdr>
        <w:tabs>
          <w:tab w:val="left" w:pos="360"/>
        </w:tabs>
        <w:rPr>
          <w:color w:val="000000"/>
        </w:rPr>
      </w:pPr>
      <w:r>
        <w:rPr>
          <w:color w:val="000000"/>
        </w:rPr>
        <w:t xml:space="preserve">This revision removes the cost burdens associated with the Gulf for-hire electronic </w:t>
      </w:r>
      <w:r w:rsidR="0002488C">
        <w:rPr>
          <w:color w:val="000000"/>
        </w:rPr>
        <w:t xml:space="preserve">reporting program. </w:t>
      </w:r>
      <w:r>
        <w:rPr>
          <w:color w:val="000000"/>
        </w:rPr>
        <w:t xml:space="preserve">NMFS provides respondents with addressed, postage-paid envelopes that </w:t>
      </w:r>
      <w:r w:rsidR="00A7491A">
        <w:rPr>
          <w:color w:val="000000"/>
        </w:rPr>
        <w:t>respondents</w:t>
      </w:r>
      <w:r>
        <w:rPr>
          <w:color w:val="000000"/>
        </w:rPr>
        <w:t xml:space="preserve"> use to return the completed forms. </w:t>
      </w:r>
    </w:p>
    <w:p w:rsidR="00EE1074" w14:paraId="065E726B" w14:textId="77777777">
      <w:pPr>
        <w:pBdr>
          <w:top w:val="nil"/>
          <w:left w:val="nil"/>
          <w:bottom w:val="nil"/>
          <w:right w:val="nil"/>
          <w:between w:val="nil"/>
        </w:pBdr>
        <w:tabs>
          <w:tab w:val="left" w:pos="360"/>
        </w:tabs>
        <w:rPr>
          <w:color w:val="000000"/>
        </w:rPr>
      </w:pPr>
    </w:p>
    <w:tbl>
      <w:tblPr>
        <w:tblStyle w:val="a0"/>
        <w:tblW w:w="9980" w:type="dxa"/>
        <w:tblLayout w:type="fixed"/>
        <w:tblLook w:val="0400"/>
      </w:tblPr>
      <w:tblGrid>
        <w:gridCol w:w="3230"/>
        <w:gridCol w:w="1260"/>
        <w:gridCol w:w="1530"/>
        <w:gridCol w:w="1350"/>
        <w:gridCol w:w="1263"/>
        <w:gridCol w:w="1347"/>
      </w:tblGrid>
      <w:tr w14:paraId="0662DAAF" w14:textId="77777777">
        <w:tblPrEx>
          <w:tblW w:w="9980" w:type="dxa"/>
          <w:tblLayout w:type="fixed"/>
          <w:tblLook w:val="0400"/>
        </w:tblPrEx>
        <w:trPr>
          <w:trHeight w:val="690"/>
        </w:trPr>
        <w:tc>
          <w:tcPr>
            <w:tcW w:w="3230"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EE1074" w14:paraId="70582452"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260" w:type="dxa"/>
            <w:tcBorders>
              <w:top w:val="single" w:sz="8" w:space="0" w:color="000000"/>
              <w:left w:val="nil"/>
              <w:bottom w:val="single" w:sz="8" w:space="0" w:color="000000"/>
              <w:right w:val="single" w:sz="8" w:space="0" w:color="000000"/>
            </w:tcBorders>
            <w:shd w:val="clear" w:color="auto" w:fill="5B9BD5"/>
            <w:vAlign w:val="center"/>
          </w:tcPr>
          <w:p w:rsidR="00EE1074" w14:paraId="00765980"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Respondents</w:t>
            </w:r>
          </w:p>
          <w:p w:rsidR="00EE1074" w14:paraId="575432C7"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(a)</w:t>
            </w:r>
          </w:p>
        </w:tc>
        <w:tc>
          <w:tcPr>
            <w:tcW w:w="1530" w:type="dxa"/>
            <w:tcBorders>
              <w:top w:val="single" w:sz="8" w:space="0" w:color="000000"/>
              <w:left w:val="nil"/>
              <w:bottom w:val="single" w:sz="8" w:space="0" w:color="000000"/>
              <w:right w:val="single" w:sz="8" w:space="0" w:color="000000"/>
            </w:tcBorders>
            <w:shd w:val="clear" w:color="auto" w:fill="5B9BD5"/>
            <w:vAlign w:val="center"/>
          </w:tcPr>
          <w:p w:rsidR="00EE1074" w14:paraId="542CEDBC"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p>
          <w:p w:rsidR="00EE1074" w14:paraId="5AA92AC0"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(b)</w:t>
            </w:r>
          </w:p>
        </w:tc>
        <w:tc>
          <w:tcPr>
            <w:tcW w:w="1350" w:type="dxa"/>
            <w:tcBorders>
              <w:top w:val="single" w:sz="8" w:space="0" w:color="000000"/>
              <w:left w:val="nil"/>
              <w:bottom w:val="single" w:sz="8" w:space="0" w:color="000000"/>
              <w:right w:val="single" w:sz="8" w:space="0" w:color="000000"/>
            </w:tcBorders>
            <w:shd w:val="clear" w:color="auto" w:fill="5B9BD5"/>
            <w:vAlign w:val="center"/>
          </w:tcPr>
          <w:p w:rsidR="00EE1074" w14:paraId="26D9DF58"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p>
          <w:p w:rsidR="00EE1074" w14:paraId="0F59F369"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(c)=(a) x (b)</w:t>
            </w:r>
          </w:p>
        </w:tc>
        <w:tc>
          <w:tcPr>
            <w:tcW w:w="1263" w:type="dxa"/>
            <w:tcBorders>
              <w:top w:val="single" w:sz="8" w:space="0" w:color="000000"/>
              <w:left w:val="nil"/>
              <w:bottom w:val="single" w:sz="8" w:space="0" w:color="000000"/>
              <w:right w:val="single" w:sz="8" w:space="0" w:color="000000"/>
            </w:tcBorders>
            <w:shd w:val="clear" w:color="auto" w:fill="5B9BD5"/>
            <w:vAlign w:val="center"/>
          </w:tcPr>
          <w:p w:rsidR="00EE1074" w14:paraId="08DBBEB7"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Cost Burden per Response ($) (h)</w:t>
            </w:r>
          </w:p>
        </w:tc>
        <w:tc>
          <w:tcPr>
            <w:tcW w:w="1347" w:type="dxa"/>
            <w:tcBorders>
              <w:top w:val="single" w:sz="8" w:space="0" w:color="000000"/>
              <w:left w:val="nil"/>
              <w:bottom w:val="single" w:sz="8" w:space="0" w:color="000000"/>
              <w:right w:val="single" w:sz="8" w:space="0" w:color="000000"/>
            </w:tcBorders>
            <w:shd w:val="clear" w:color="auto" w:fill="5B9BD5"/>
            <w:vAlign w:val="center"/>
          </w:tcPr>
          <w:p w:rsidR="00EE1074" w14:paraId="71303577"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Cost Burden</w:t>
            </w:r>
          </w:p>
          <w:p w:rsidR="00EE1074" w14:paraId="617FFEE7"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 = (c) x (h)</w:t>
            </w:r>
          </w:p>
        </w:tc>
      </w:tr>
      <w:tr w14:paraId="55E5E783" w14:textId="77777777">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center"/>
          </w:tcPr>
          <w:p w:rsidR="009D094B" w14:paraId="6D4D1F88" w14:textId="4D7E840A">
            <w:pPr>
              <w:widowControl/>
              <w:rPr>
                <w:rFonts w:ascii="Calibri" w:eastAsia="Calibri" w:hAnsi="Calibri" w:cs="Calibri"/>
                <w:b/>
                <w:color w:val="000000"/>
                <w:sz w:val="16"/>
                <w:szCs w:val="16"/>
              </w:rPr>
            </w:pPr>
            <w:r>
              <w:rPr>
                <w:rFonts w:ascii="Calibri" w:eastAsia="Calibri" w:hAnsi="Calibri" w:cs="Calibri"/>
                <w:b/>
                <w:sz w:val="18"/>
                <w:szCs w:val="18"/>
              </w:rPr>
              <w:t>South Atlantic For-Hire Electronic Reporting Program</w:t>
            </w:r>
          </w:p>
        </w:tc>
        <w:tc>
          <w:tcPr>
            <w:tcW w:w="1260" w:type="dxa"/>
            <w:tcBorders>
              <w:top w:val="nil"/>
              <w:left w:val="nil"/>
              <w:bottom w:val="single" w:sz="4" w:space="0" w:color="000000"/>
              <w:right w:val="single" w:sz="4" w:space="0" w:color="000000"/>
            </w:tcBorders>
            <w:shd w:val="clear" w:color="auto" w:fill="FFFFFF"/>
            <w:vAlign w:val="center"/>
          </w:tcPr>
          <w:p w:rsidR="009D094B" w14:paraId="42BF8883" w14:textId="77777777">
            <w:pPr>
              <w:widowControl/>
              <w:jc w:val="right"/>
              <w:rPr>
                <w:rFonts w:ascii="Calibri" w:eastAsia="Calibri" w:hAnsi="Calibri" w:cs="Calibri"/>
                <w:color w:val="000000"/>
                <w:sz w:val="16"/>
                <w:szCs w:val="16"/>
              </w:rPr>
            </w:pPr>
          </w:p>
        </w:tc>
        <w:tc>
          <w:tcPr>
            <w:tcW w:w="1530" w:type="dxa"/>
            <w:tcBorders>
              <w:top w:val="nil"/>
              <w:left w:val="nil"/>
              <w:bottom w:val="single" w:sz="4" w:space="0" w:color="000000"/>
              <w:right w:val="single" w:sz="4" w:space="0" w:color="000000"/>
            </w:tcBorders>
            <w:shd w:val="clear" w:color="auto" w:fill="FFFFFF"/>
            <w:vAlign w:val="center"/>
          </w:tcPr>
          <w:p w:rsidR="009D094B" w14:paraId="48E4D6D7" w14:textId="77777777">
            <w:pPr>
              <w:widowControl/>
              <w:jc w:val="right"/>
              <w:rPr>
                <w:rFonts w:ascii="Calibri" w:eastAsia="Calibri" w:hAnsi="Calibri" w:cs="Calibri"/>
                <w:color w:val="000000"/>
                <w:sz w:val="16"/>
                <w:szCs w:val="16"/>
              </w:rPr>
            </w:pPr>
          </w:p>
        </w:tc>
        <w:tc>
          <w:tcPr>
            <w:tcW w:w="1350" w:type="dxa"/>
            <w:tcBorders>
              <w:top w:val="nil"/>
              <w:left w:val="nil"/>
              <w:bottom w:val="single" w:sz="4" w:space="0" w:color="000000"/>
              <w:right w:val="single" w:sz="4" w:space="0" w:color="000000"/>
            </w:tcBorders>
            <w:shd w:val="clear" w:color="auto" w:fill="FFFFFF"/>
            <w:vAlign w:val="center"/>
          </w:tcPr>
          <w:p w:rsidR="009D094B" w14:paraId="0E12DA5D" w14:textId="77777777">
            <w:pPr>
              <w:widowControl/>
              <w:jc w:val="right"/>
              <w:rPr>
                <w:rFonts w:ascii="Calibri" w:eastAsia="Calibri" w:hAnsi="Calibri" w:cs="Calibri"/>
                <w:color w:val="000000"/>
                <w:sz w:val="16"/>
                <w:szCs w:val="16"/>
              </w:rPr>
            </w:pPr>
          </w:p>
        </w:tc>
        <w:tc>
          <w:tcPr>
            <w:tcW w:w="1263" w:type="dxa"/>
            <w:tcBorders>
              <w:top w:val="nil"/>
              <w:left w:val="nil"/>
              <w:bottom w:val="single" w:sz="4" w:space="0" w:color="000000"/>
              <w:right w:val="single" w:sz="4" w:space="0" w:color="000000"/>
            </w:tcBorders>
            <w:shd w:val="clear" w:color="auto" w:fill="FFFFFF"/>
            <w:vAlign w:val="center"/>
          </w:tcPr>
          <w:p w:rsidR="009D094B" w14:paraId="044FD69D" w14:textId="77777777">
            <w:pPr>
              <w:widowControl/>
              <w:jc w:val="right"/>
              <w:rPr>
                <w:rFonts w:ascii="Calibri" w:eastAsia="Calibri" w:hAnsi="Calibri" w:cs="Calibri"/>
                <w:color w:val="000000"/>
                <w:sz w:val="16"/>
                <w:szCs w:val="16"/>
              </w:rPr>
            </w:pPr>
          </w:p>
        </w:tc>
        <w:tc>
          <w:tcPr>
            <w:tcW w:w="1347" w:type="dxa"/>
            <w:tcBorders>
              <w:top w:val="nil"/>
              <w:left w:val="nil"/>
              <w:bottom w:val="single" w:sz="4" w:space="0" w:color="000000"/>
              <w:right w:val="single" w:sz="8" w:space="0" w:color="000000"/>
            </w:tcBorders>
            <w:shd w:val="clear" w:color="auto" w:fill="FFFFFF"/>
            <w:vAlign w:val="center"/>
          </w:tcPr>
          <w:p w:rsidR="009D094B" w14:paraId="05E8FAB0" w14:textId="77777777">
            <w:pPr>
              <w:widowControl/>
              <w:jc w:val="right"/>
              <w:rPr>
                <w:rFonts w:ascii="Calibri" w:eastAsia="Calibri" w:hAnsi="Calibri" w:cs="Calibri"/>
                <w:color w:val="000000"/>
                <w:sz w:val="16"/>
                <w:szCs w:val="16"/>
              </w:rPr>
            </w:pPr>
          </w:p>
        </w:tc>
      </w:tr>
      <w:tr w14:paraId="74C44964" w14:textId="77777777">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center"/>
          </w:tcPr>
          <w:p w:rsidR="00EE1074" w14:paraId="635D6DFD" w14:textId="77777777">
            <w:pPr>
              <w:widowControl/>
              <w:rPr>
                <w:rFonts w:ascii="Calibri" w:eastAsia="Calibri" w:hAnsi="Calibri" w:cs="Calibri"/>
                <w:b/>
                <w:color w:val="000000"/>
                <w:sz w:val="16"/>
                <w:szCs w:val="16"/>
              </w:rPr>
            </w:pPr>
            <w:r>
              <w:rPr>
                <w:rFonts w:ascii="Calibri" w:eastAsia="Calibri" w:hAnsi="Calibri" w:cs="Calibri"/>
                <w:color w:val="000000"/>
                <w:sz w:val="16"/>
                <w:szCs w:val="16"/>
              </w:rPr>
              <w:t>Operations and maintenance costs</w:t>
            </w:r>
          </w:p>
        </w:tc>
        <w:tc>
          <w:tcPr>
            <w:tcW w:w="1260" w:type="dxa"/>
            <w:tcBorders>
              <w:top w:val="nil"/>
              <w:left w:val="nil"/>
              <w:bottom w:val="single" w:sz="4" w:space="0" w:color="000000"/>
              <w:right w:val="single" w:sz="4" w:space="0" w:color="000000"/>
            </w:tcBorders>
            <w:shd w:val="clear" w:color="auto" w:fill="FFFFFF"/>
            <w:vAlign w:val="center"/>
          </w:tcPr>
          <w:p w:rsidR="00EE1074" w14:paraId="12516EA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212</w:t>
            </w:r>
          </w:p>
        </w:tc>
        <w:tc>
          <w:tcPr>
            <w:tcW w:w="1530" w:type="dxa"/>
            <w:tcBorders>
              <w:top w:val="nil"/>
              <w:left w:val="nil"/>
              <w:bottom w:val="single" w:sz="4" w:space="0" w:color="000000"/>
              <w:right w:val="single" w:sz="4" w:space="0" w:color="000000"/>
            </w:tcBorders>
            <w:shd w:val="clear" w:color="auto" w:fill="FFFFFF"/>
            <w:vAlign w:val="center"/>
          </w:tcPr>
          <w:p w:rsidR="00EE1074" w14:paraId="590F0483"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350" w:type="dxa"/>
            <w:tcBorders>
              <w:top w:val="nil"/>
              <w:left w:val="nil"/>
              <w:bottom w:val="single" w:sz="4" w:space="0" w:color="000000"/>
              <w:right w:val="single" w:sz="4" w:space="0" w:color="000000"/>
            </w:tcBorders>
            <w:shd w:val="clear" w:color="auto" w:fill="FFFFFF"/>
            <w:vAlign w:val="center"/>
          </w:tcPr>
          <w:p w:rsidR="00EE1074" w14:paraId="302CFB7E"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212</w:t>
            </w:r>
          </w:p>
        </w:tc>
        <w:tc>
          <w:tcPr>
            <w:tcW w:w="1263" w:type="dxa"/>
            <w:tcBorders>
              <w:top w:val="nil"/>
              <w:left w:val="nil"/>
              <w:bottom w:val="single" w:sz="4" w:space="0" w:color="000000"/>
              <w:right w:val="single" w:sz="4" w:space="0" w:color="000000"/>
            </w:tcBorders>
            <w:shd w:val="clear" w:color="auto" w:fill="FFFFFF"/>
            <w:vAlign w:val="center"/>
          </w:tcPr>
          <w:p w:rsidR="00EE1074" w14:paraId="48B8EBD0"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600</w:t>
            </w:r>
          </w:p>
        </w:tc>
        <w:tc>
          <w:tcPr>
            <w:tcW w:w="1347" w:type="dxa"/>
            <w:tcBorders>
              <w:top w:val="nil"/>
              <w:left w:val="nil"/>
              <w:bottom w:val="single" w:sz="4" w:space="0" w:color="000000"/>
              <w:right w:val="single" w:sz="8" w:space="0" w:color="000000"/>
            </w:tcBorders>
            <w:shd w:val="clear" w:color="auto" w:fill="FFFFFF"/>
            <w:vAlign w:val="center"/>
          </w:tcPr>
          <w:p w:rsidR="00EE1074" w14:paraId="793B58A2"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$127,200</w:t>
            </w:r>
          </w:p>
        </w:tc>
      </w:tr>
      <w:tr w14:paraId="7C6CE600" w14:textId="77777777">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center"/>
          </w:tcPr>
          <w:p w:rsidR="00EE1074" w14:paraId="29407BF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Computer and Internet start-up costs 2021</w:t>
            </w:r>
          </w:p>
        </w:tc>
        <w:tc>
          <w:tcPr>
            <w:tcW w:w="1260" w:type="dxa"/>
            <w:tcBorders>
              <w:top w:val="nil"/>
              <w:left w:val="nil"/>
              <w:bottom w:val="single" w:sz="4" w:space="0" w:color="000000"/>
              <w:right w:val="single" w:sz="4" w:space="0" w:color="000000"/>
            </w:tcBorders>
            <w:shd w:val="clear" w:color="auto" w:fill="FFFFFF"/>
            <w:vAlign w:val="center"/>
          </w:tcPr>
          <w:p w:rsidR="00EE1074" w14:paraId="29E159BA"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212</w:t>
            </w:r>
          </w:p>
        </w:tc>
        <w:tc>
          <w:tcPr>
            <w:tcW w:w="1530" w:type="dxa"/>
            <w:tcBorders>
              <w:top w:val="nil"/>
              <w:left w:val="nil"/>
              <w:bottom w:val="single" w:sz="4" w:space="0" w:color="000000"/>
              <w:right w:val="single" w:sz="4" w:space="0" w:color="000000"/>
            </w:tcBorders>
            <w:shd w:val="clear" w:color="auto" w:fill="FFFFFF"/>
            <w:vAlign w:val="center"/>
          </w:tcPr>
          <w:p w:rsidR="00EE1074" w14:paraId="453BEC9E"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350" w:type="dxa"/>
            <w:tcBorders>
              <w:top w:val="nil"/>
              <w:left w:val="nil"/>
              <w:bottom w:val="single" w:sz="4" w:space="0" w:color="000000"/>
              <w:right w:val="single" w:sz="4" w:space="0" w:color="000000"/>
            </w:tcBorders>
            <w:shd w:val="clear" w:color="auto" w:fill="FFFFFF"/>
            <w:vAlign w:val="center"/>
          </w:tcPr>
          <w:p w:rsidR="00EE1074" w14:paraId="26F13E25"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212</w:t>
            </w:r>
          </w:p>
        </w:tc>
        <w:tc>
          <w:tcPr>
            <w:tcW w:w="1263" w:type="dxa"/>
            <w:tcBorders>
              <w:top w:val="nil"/>
              <w:left w:val="nil"/>
              <w:bottom w:val="single" w:sz="4" w:space="0" w:color="000000"/>
              <w:right w:val="single" w:sz="4" w:space="0" w:color="000000"/>
            </w:tcBorders>
            <w:shd w:val="clear" w:color="auto" w:fill="FFFFFF"/>
            <w:vAlign w:val="center"/>
          </w:tcPr>
          <w:p w:rsidR="00EE1074" w14:paraId="0FE9D5A1"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100</w:t>
            </w:r>
          </w:p>
        </w:tc>
        <w:tc>
          <w:tcPr>
            <w:tcW w:w="1347" w:type="dxa"/>
            <w:tcBorders>
              <w:top w:val="nil"/>
              <w:left w:val="nil"/>
              <w:bottom w:val="single" w:sz="4" w:space="0" w:color="000000"/>
              <w:right w:val="single" w:sz="8" w:space="0" w:color="000000"/>
            </w:tcBorders>
            <w:shd w:val="clear" w:color="auto" w:fill="FFFFFF"/>
            <w:vAlign w:val="center"/>
          </w:tcPr>
          <w:p w:rsidR="00EE1074" w14:paraId="18B54035"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xml:space="preserve">$63,600; </w:t>
            </w:r>
            <w:r>
              <w:rPr>
                <w:rFonts w:ascii="Calibri" w:eastAsia="Calibri" w:hAnsi="Calibri" w:cs="Calibri"/>
                <w:b/>
                <w:color w:val="000000"/>
                <w:sz w:val="16"/>
                <w:szCs w:val="16"/>
              </w:rPr>
              <w:t>$21,200 annualized</w:t>
            </w:r>
          </w:p>
        </w:tc>
      </w:tr>
      <w:tr w14:paraId="629245EF" w14:textId="77777777">
        <w:tblPrEx>
          <w:tblW w:w="9980" w:type="dxa"/>
          <w:tblLayout w:type="fixed"/>
          <w:tblLook w:val="0400"/>
        </w:tblPrEx>
        <w:trPr>
          <w:trHeight w:val="315"/>
        </w:trPr>
        <w:tc>
          <w:tcPr>
            <w:tcW w:w="3230" w:type="dxa"/>
            <w:tcBorders>
              <w:top w:val="single" w:sz="8" w:space="0" w:color="000000"/>
              <w:left w:val="single" w:sz="8" w:space="0" w:color="000000"/>
              <w:bottom w:val="single" w:sz="8" w:space="0" w:color="000000"/>
              <w:right w:val="single" w:sz="4" w:space="0" w:color="000000"/>
            </w:tcBorders>
            <w:shd w:val="clear" w:color="auto" w:fill="BDD6EE"/>
            <w:vAlign w:val="center"/>
          </w:tcPr>
          <w:p w:rsidR="00EE1074" w14:paraId="7FADBDB7" w14:textId="6ED86449">
            <w:pPr>
              <w:widowControl/>
              <w:rPr>
                <w:rFonts w:ascii="Calibri" w:eastAsia="Calibri" w:hAnsi="Calibri" w:cs="Calibri"/>
                <w:b/>
                <w:color w:val="000000"/>
                <w:sz w:val="16"/>
                <w:szCs w:val="16"/>
              </w:rPr>
            </w:pPr>
            <w:r>
              <w:rPr>
                <w:rFonts w:ascii="Calibri" w:eastAsia="Calibri" w:hAnsi="Calibri" w:cs="Calibri"/>
                <w:b/>
                <w:color w:val="000000"/>
                <w:sz w:val="16"/>
                <w:szCs w:val="16"/>
              </w:rPr>
              <w:t>TOTALS (</w:t>
            </w:r>
            <w:r w:rsidR="006A2657">
              <w:rPr>
                <w:rFonts w:ascii="Calibri" w:eastAsia="Calibri" w:hAnsi="Calibri" w:cs="Calibri"/>
                <w:b/>
                <w:color w:val="000000"/>
                <w:sz w:val="16"/>
                <w:szCs w:val="16"/>
              </w:rPr>
              <w:t xml:space="preserve">annualized </w:t>
            </w:r>
            <w:r>
              <w:rPr>
                <w:rFonts w:ascii="Calibri" w:eastAsia="Calibri" w:hAnsi="Calibri" w:cs="Calibri"/>
                <w:b/>
                <w:color w:val="000000"/>
                <w:sz w:val="16"/>
                <w:szCs w:val="16"/>
              </w:rPr>
              <w:t>estimates)</w:t>
            </w:r>
          </w:p>
        </w:tc>
        <w:tc>
          <w:tcPr>
            <w:tcW w:w="1260" w:type="dxa"/>
            <w:tcBorders>
              <w:top w:val="single" w:sz="8" w:space="0" w:color="000000"/>
              <w:left w:val="nil"/>
              <w:bottom w:val="single" w:sz="8" w:space="0" w:color="000000"/>
              <w:right w:val="single" w:sz="4" w:space="0" w:color="000000"/>
            </w:tcBorders>
            <w:shd w:val="clear" w:color="auto" w:fill="808080"/>
            <w:vAlign w:val="center"/>
          </w:tcPr>
          <w:p w:rsidR="00EE1074" w14:paraId="47541768"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30" w:type="dxa"/>
            <w:tcBorders>
              <w:top w:val="single" w:sz="8" w:space="0" w:color="000000"/>
              <w:left w:val="nil"/>
              <w:bottom w:val="single" w:sz="8" w:space="0" w:color="000000"/>
              <w:right w:val="single" w:sz="4" w:space="0" w:color="000000"/>
            </w:tcBorders>
            <w:shd w:val="clear" w:color="auto" w:fill="808080"/>
            <w:vAlign w:val="center"/>
          </w:tcPr>
          <w:p w:rsidR="00EE1074" w14:paraId="0012C96D"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350" w:type="dxa"/>
            <w:tcBorders>
              <w:top w:val="single" w:sz="8" w:space="0" w:color="000000"/>
              <w:left w:val="nil"/>
              <w:bottom w:val="single" w:sz="8" w:space="0" w:color="000000"/>
              <w:right w:val="single" w:sz="4" w:space="0" w:color="000000"/>
            </w:tcBorders>
            <w:shd w:val="clear" w:color="auto" w:fill="BDD6EE"/>
            <w:vAlign w:val="center"/>
          </w:tcPr>
          <w:p w:rsidR="00EE1074" w14:paraId="6BC60980" w14:textId="051FDC8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424</w:t>
            </w:r>
          </w:p>
        </w:tc>
        <w:tc>
          <w:tcPr>
            <w:tcW w:w="1263" w:type="dxa"/>
            <w:tcBorders>
              <w:top w:val="single" w:sz="8" w:space="0" w:color="000000"/>
              <w:left w:val="nil"/>
              <w:bottom w:val="single" w:sz="8" w:space="0" w:color="000000"/>
              <w:right w:val="single" w:sz="4" w:space="0" w:color="000000"/>
            </w:tcBorders>
            <w:shd w:val="clear" w:color="auto" w:fill="808080"/>
            <w:vAlign w:val="center"/>
          </w:tcPr>
          <w:p w:rsidR="00EE1074" w14:paraId="27676877"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347" w:type="dxa"/>
            <w:tcBorders>
              <w:top w:val="single" w:sz="8" w:space="0" w:color="000000"/>
              <w:left w:val="nil"/>
              <w:bottom w:val="single" w:sz="8" w:space="0" w:color="000000"/>
              <w:right w:val="single" w:sz="8" w:space="0" w:color="000000"/>
            </w:tcBorders>
            <w:shd w:val="clear" w:color="auto" w:fill="BDD6EE"/>
            <w:vAlign w:val="center"/>
          </w:tcPr>
          <w:p w:rsidR="00EE1074" w:rsidP="007A3116" w14:paraId="451F732C" w14:textId="72836AC0">
            <w:pPr>
              <w:widowControl/>
              <w:jc w:val="right"/>
              <w:rPr>
                <w:rFonts w:ascii="Calibri" w:eastAsia="Calibri" w:hAnsi="Calibri" w:cs="Calibri"/>
                <w:b/>
                <w:color w:val="000000"/>
                <w:sz w:val="20"/>
                <w:szCs w:val="20"/>
              </w:rPr>
            </w:pPr>
            <w:r>
              <w:rPr>
                <w:rFonts w:ascii="Calibri" w:eastAsia="Calibri" w:hAnsi="Calibri" w:cs="Calibri"/>
                <w:b/>
                <w:color w:val="000000"/>
                <w:sz w:val="20"/>
                <w:szCs w:val="20"/>
              </w:rPr>
              <w:t>$</w:t>
            </w:r>
            <w:r w:rsidR="007A3116">
              <w:rPr>
                <w:rFonts w:ascii="Calibri" w:eastAsia="Calibri" w:hAnsi="Calibri" w:cs="Calibri"/>
                <w:b/>
                <w:color w:val="000000"/>
                <w:sz w:val="20"/>
                <w:szCs w:val="20"/>
              </w:rPr>
              <w:t xml:space="preserve">148,400 </w:t>
            </w:r>
          </w:p>
        </w:tc>
      </w:tr>
    </w:tbl>
    <w:p w:rsidR="00EE1074" w14:paraId="3290E488" w14:textId="65FCEDDF">
      <w:pPr>
        <w:pBdr>
          <w:top w:val="nil"/>
          <w:left w:val="nil"/>
          <w:bottom w:val="nil"/>
          <w:right w:val="nil"/>
          <w:between w:val="nil"/>
        </w:pBdr>
        <w:tabs>
          <w:tab w:val="left" w:pos="360"/>
        </w:tabs>
        <w:rPr>
          <w:color w:val="000000"/>
        </w:rPr>
      </w:pPr>
    </w:p>
    <w:p w:rsidR="00F34507" w14:paraId="333E718F" w14:textId="7D9743DA">
      <w:pPr>
        <w:pBdr>
          <w:top w:val="nil"/>
          <w:left w:val="nil"/>
          <w:bottom w:val="nil"/>
          <w:right w:val="nil"/>
          <w:between w:val="nil"/>
        </w:pBdr>
        <w:tabs>
          <w:tab w:val="left" w:pos="360"/>
        </w:tabs>
        <w:rPr>
          <w:color w:val="000000"/>
        </w:rPr>
      </w:pPr>
    </w:p>
    <w:p w:rsidR="00F34507" w:rsidRPr="00A7491A" w14:paraId="2F12F849" w14:textId="77777777">
      <w:pPr>
        <w:pBdr>
          <w:top w:val="nil"/>
          <w:left w:val="nil"/>
          <w:bottom w:val="nil"/>
          <w:right w:val="nil"/>
          <w:between w:val="nil"/>
        </w:pBdr>
        <w:tabs>
          <w:tab w:val="left" w:pos="360"/>
        </w:tabs>
        <w:rPr>
          <w:color w:val="000000"/>
        </w:rPr>
      </w:pPr>
    </w:p>
    <w:p w:rsidR="00EE1074" w:rsidRPr="00150E61" w14:paraId="7B9BF6AA" w14:textId="48F5EEC0">
      <w:pPr>
        <w:numPr>
          <w:ilvl w:val="0"/>
          <w:numId w:val="1"/>
        </w:numPr>
        <w:pBdr>
          <w:top w:val="nil"/>
          <w:left w:val="nil"/>
          <w:bottom w:val="nil"/>
          <w:right w:val="nil"/>
          <w:between w:val="nil"/>
        </w:pBdr>
        <w:tabs>
          <w:tab w:val="left" w:pos="360"/>
        </w:tabs>
        <w:ind w:left="0" w:firstLine="0"/>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50E61" w:rsidP="00150E61" w14:paraId="1DD5240D" w14:textId="77777777">
      <w:pPr>
        <w:pBdr>
          <w:top w:val="nil"/>
          <w:left w:val="nil"/>
          <w:bottom w:val="nil"/>
          <w:right w:val="nil"/>
          <w:between w:val="nil"/>
        </w:pBdr>
        <w:tabs>
          <w:tab w:val="left" w:pos="360"/>
        </w:tabs>
      </w:pPr>
    </w:p>
    <w:tbl>
      <w:tblPr>
        <w:tblStyle w:val="a6"/>
        <w:tblW w:w="8327" w:type="dxa"/>
        <w:jc w:val="center"/>
        <w:tblLayout w:type="fixed"/>
        <w:tblLook w:val="0400"/>
      </w:tblPr>
      <w:tblGrid>
        <w:gridCol w:w="2280"/>
        <w:gridCol w:w="1120"/>
        <w:gridCol w:w="1140"/>
        <w:gridCol w:w="1120"/>
        <w:gridCol w:w="1280"/>
        <w:gridCol w:w="1387"/>
      </w:tblGrid>
      <w:tr w14:paraId="3DB527C6" w14:textId="77777777" w:rsidTr="00DA23B9">
        <w:tblPrEx>
          <w:tblW w:w="8327" w:type="dxa"/>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1161D8" w:rsidP="00DA23B9" w14:paraId="03D3E9A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1161D8" w:rsidP="00DA23B9" w14:paraId="73B73A0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 or Step</w:t>
            </w:r>
          </w:p>
        </w:tc>
        <w:tc>
          <w:tcPr>
            <w:tcW w:w="1140" w:type="dxa"/>
            <w:tcBorders>
              <w:top w:val="single" w:sz="8" w:space="0" w:color="000000"/>
              <w:left w:val="nil"/>
              <w:bottom w:val="nil"/>
              <w:right w:val="single" w:sz="8" w:space="0" w:color="000000"/>
            </w:tcBorders>
            <w:shd w:val="clear" w:color="auto" w:fill="BDD7EE"/>
            <w:vAlign w:val="center"/>
          </w:tcPr>
          <w:p w:rsidR="001161D8" w:rsidP="00DA23B9" w14:paraId="573B002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or Cost</w:t>
            </w:r>
          </w:p>
        </w:tc>
        <w:tc>
          <w:tcPr>
            <w:tcW w:w="1120" w:type="dxa"/>
            <w:tcBorders>
              <w:top w:val="single" w:sz="8" w:space="0" w:color="000000"/>
              <w:left w:val="nil"/>
              <w:bottom w:val="nil"/>
              <w:right w:val="single" w:sz="8" w:space="0" w:color="000000"/>
            </w:tcBorders>
            <w:shd w:val="clear" w:color="auto" w:fill="BDD7EE"/>
            <w:vAlign w:val="center"/>
          </w:tcPr>
          <w:p w:rsidR="001161D8" w:rsidP="00DA23B9" w14:paraId="0D80D22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Percent of Effort</w:t>
            </w:r>
          </w:p>
        </w:tc>
        <w:tc>
          <w:tcPr>
            <w:tcW w:w="1280" w:type="dxa"/>
            <w:tcBorders>
              <w:top w:val="single" w:sz="8" w:space="0" w:color="000000"/>
              <w:left w:val="nil"/>
              <w:bottom w:val="nil"/>
              <w:right w:val="single" w:sz="8" w:space="0" w:color="000000"/>
            </w:tcBorders>
            <w:shd w:val="clear" w:color="auto" w:fill="BDD7EE"/>
            <w:vAlign w:val="center"/>
          </w:tcPr>
          <w:p w:rsidR="001161D8" w:rsidP="00DA23B9" w14:paraId="2209CAD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87" w:type="dxa"/>
            <w:tcBorders>
              <w:top w:val="single" w:sz="8" w:space="0" w:color="000000"/>
              <w:left w:val="nil"/>
              <w:bottom w:val="nil"/>
              <w:right w:val="single" w:sz="8" w:space="0" w:color="000000"/>
            </w:tcBorders>
            <w:shd w:val="clear" w:color="auto" w:fill="BDD7EE"/>
            <w:vAlign w:val="center"/>
          </w:tcPr>
          <w:p w:rsidR="001161D8" w:rsidP="00DA23B9" w14:paraId="6CB6D92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16AA554F" w14:textId="77777777" w:rsidTr="00DA23B9">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69C3ADC5"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Logbook Programs, remaining</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12EE4C6A" w14:textId="77777777">
            <w:pPr>
              <w:widowControl/>
              <w:rPr>
                <w:rFonts w:ascii="Calibri" w:eastAsia="Calibri" w:hAnsi="Calibri" w:cs="Calibri"/>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5AF63CEC" w14:textId="77777777">
            <w:pPr>
              <w:widowControl/>
              <w:jc w:val="right"/>
              <w:rPr>
                <w:rFonts w:ascii="Calibri" w:eastAsia="Calibri" w:hAnsi="Calibri" w:cs="Calibri"/>
                <w:color w:val="000000"/>
                <w:sz w:val="16"/>
                <w:szCs w:val="16"/>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338C0F57" w14:textId="77777777">
            <w:pPr>
              <w:widowControl/>
              <w:jc w:val="center"/>
              <w:rPr>
                <w:rFonts w:ascii="Calibri" w:eastAsia="Calibri" w:hAnsi="Calibri" w:cs="Calibri"/>
                <w:color w:val="000000"/>
                <w:sz w:val="16"/>
                <w:szCs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1F353BC6" w14:textId="77777777">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5842D320" w14:textId="77777777">
            <w:pPr>
              <w:widowControl/>
              <w:jc w:val="right"/>
              <w:rPr>
                <w:rFonts w:ascii="Calibri" w:eastAsia="Calibri" w:hAnsi="Calibri" w:cs="Calibri"/>
                <w:color w:val="000000"/>
                <w:sz w:val="16"/>
                <w:szCs w:val="16"/>
              </w:rPr>
            </w:pPr>
          </w:p>
        </w:tc>
      </w:tr>
      <w:tr w14:paraId="15814AFD" w14:textId="77777777" w:rsidTr="00DA23B9">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1F9773A5" w14:textId="7D19035A">
            <w:pPr>
              <w:widowControl/>
              <w:rPr>
                <w:rFonts w:ascii="Calibri" w:eastAsia="Calibri" w:hAnsi="Calibri" w:cs="Calibri"/>
                <w:color w:val="000000"/>
                <w:sz w:val="16"/>
                <w:szCs w:val="16"/>
              </w:rPr>
            </w:pPr>
            <w:r>
              <w:rPr>
                <w:rFonts w:ascii="Calibri" w:eastAsia="Calibri" w:hAnsi="Calibri" w:cs="Calibri"/>
                <w:color w:val="000000"/>
                <w:sz w:val="16"/>
                <w:szCs w:val="16"/>
              </w:rPr>
              <w:t>Federal employees (10)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103C4069" w14:textId="77777777">
            <w:pPr>
              <w:widowControl/>
              <w:rPr>
                <w:rFonts w:ascii="Calibri" w:eastAsia="Calibri" w:hAnsi="Calibri" w:cs="Calibri"/>
                <w:color w:val="000000"/>
                <w:sz w:val="16"/>
                <w:szCs w:val="16"/>
              </w:rPr>
            </w:pPr>
            <w:r>
              <w:rPr>
                <w:rFonts w:ascii="Calibri" w:eastAsia="Calibri" w:hAnsi="Calibri" w:cs="Calibri"/>
                <w:sz w:val="16"/>
                <w:szCs w:val="16"/>
              </w:rPr>
              <w:t>ZA-III / 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727FA9D9" w14:textId="77777777">
            <w:pPr>
              <w:widowControl/>
              <w:jc w:val="right"/>
              <w:rPr>
                <w:rFonts w:ascii="Calibri" w:eastAsia="Calibri" w:hAnsi="Calibri" w:cs="Calibri"/>
                <w:color w:val="000000"/>
                <w:sz w:val="16"/>
                <w:szCs w:val="16"/>
              </w:rPr>
            </w:pPr>
            <w:r>
              <w:rPr>
                <w:rFonts w:ascii="Calibri" w:eastAsia="Calibri" w:hAnsi="Calibri" w:cs="Calibri"/>
                <w:sz w:val="16"/>
                <w:szCs w:val="16"/>
              </w:rPr>
              <w:t>$169,571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26A3E265" w14:textId="00E0869D">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r w:rsidR="0085176C">
              <w:rPr>
                <w:rFonts w:ascii="Calibri" w:eastAsia="Calibri" w:hAnsi="Calibri" w:cs="Calibri"/>
                <w:color w:val="000000"/>
                <w:sz w:val="16"/>
                <w:szCs w:val="16"/>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7830FA34" w14:textId="77777777">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09FBA1F8" w14:textId="1AC6FB72">
            <w:pPr>
              <w:widowControl/>
              <w:jc w:val="right"/>
              <w:rPr>
                <w:rFonts w:ascii="Calibri" w:eastAsia="Calibri" w:hAnsi="Calibri" w:cs="Calibri"/>
                <w:color w:val="000000"/>
                <w:sz w:val="16"/>
                <w:szCs w:val="16"/>
              </w:rPr>
            </w:pPr>
            <w:r>
              <w:rPr>
                <w:rFonts w:ascii="Calibri" w:eastAsia="Calibri" w:hAnsi="Calibri" w:cs="Calibri"/>
                <w:sz w:val="16"/>
                <w:szCs w:val="16"/>
              </w:rPr>
              <w:t>847,855</w:t>
            </w:r>
          </w:p>
        </w:tc>
      </w:tr>
      <w:tr w14:paraId="36C32961" w14:textId="77777777" w:rsidTr="00DA23B9">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1C267F9D" w14:textId="66F555D7">
            <w:pPr>
              <w:widowControl/>
              <w:rPr>
                <w:rFonts w:ascii="Calibri" w:eastAsia="Calibri" w:hAnsi="Calibri" w:cs="Calibri"/>
                <w:color w:val="000000"/>
                <w:sz w:val="16"/>
                <w:szCs w:val="16"/>
              </w:rPr>
            </w:pPr>
            <w:r>
              <w:rPr>
                <w:rFonts w:ascii="Calibri" w:eastAsia="Calibri" w:hAnsi="Calibri" w:cs="Calibri"/>
                <w:color w:val="000000"/>
                <w:sz w:val="16"/>
                <w:szCs w:val="16"/>
              </w:rPr>
              <w:t>Contractors (5 employees</w:t>
            </w:r>
            <w:r>
              <w:rPr>
                <w:rFonts w:ascii="Calibri" w:eastAsia="Calibri" w:hAnsi="Calibri" w:cs="Calibri"/>
                <w:color w:val="000000"/>
                <w:sz w:val="16"/>
                <w:szCs w:val="16"/>
              </w:rPr>
              <w:t xml:space="preserve"> annual)</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0BFA6A41" w14:textId="77777777">
            <w:pPr>
              <w:widowControl/>
              <w:rPr>
                <w:rFonts w:ascii="Calibri" w:eastAsia="Calibri" w:hAnsi="Calibri" w:cs="Calibri"/>
                <w:color w:val="000000"/>
                <w:sz w:val="16"/>
                <w:szCs w:val="16"/>
              </w:rPr>
            </w:pPr>
            <w:r>
              <w:rPr>
                <w:rFonts w:ascii="Calibri" w:eastAsia="Calibri" w:hAnsi="Calibri" w:cs="Calibri"/>
                <w:sz w:val="16"/>
                <w:szCs w:val="16"/>
              </w:rPr>
              <w:t>Fish Bio II</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20CAE647" w14:textId="77BC3381">
            <w:pPr>
              <w:widowControl/>
              <w:jc w:val="right"/>
              <w:rPr>
                <w:rFonts w:ascii="Calibri" w:eastAsia="Calibri" w:hAnsi="Calibri" w:cs="Calibri"/>
                <w:color w:val="000000"/>
                <w:sz w:val="16"/>
                <w:szCs w:val="16"/>
              </w:rPr>
            </w:pPr>
            <w:r>
              <w:rPr>
                <w:rFonts w:ascii="Calibri" w:eastAsia="Calibri" w:hAnsi="Calibri" w:cs="Calibri"/>
                <w:color w:val="000000"/>
                <w:sz w:val="16"/>
                <w:szCs w:val="16"/>
              </w:rPr>
              <w:t>128,766</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22F10125" w14:textId="4098F77F">
            <w:pPr>
              <w:widowControl/>
              <w:jc w:val="center"/>
              <w:rPr>
                <w:rFonts w:ascii="Calibri" w:eastAsia="Calibri" w:hAnsi="Calibri" w:cs="Calibri"/>
                <w:color w:val="000000"/>
                <w:sz w:val="16"/>
                <w:szCs w:val="16"/>
              </w:rPr>
            </w:pPr>
            <w:r>
              <w:rPr>
                <w:rFonts w:ascii="Calibri" w:eastAsia="Calibri" w:hAnsi="Calibri" w:cs="Calibri"/>
                <w:sz w:val="16"/>
                <w:szCs w:val="16"/>
              </w:rPr>
              <w:t>75</w:t>
            </w:r>
            <w:r w:rsidR="0085176C">
              <w:rPr>
                <w:rFonts w:ascii="Calibri" w:eastAsia="Calibri" w:hAnsi="Calibri" w:cs="Calibri"/>
                <w:sz w:val="16"/>
                <w:szCs w:val="16"/>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12C5A9A2" w14:textId="77777777">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44096060" w14:textId="233A368D">
            <w:pPr>
              <w:widowControl/>
              <w:jc w:val="right"/>
              <w:rPr>
                <w:rFonts w:ascii="Calibri" w:eastAsia="Calibri" w:hAnsi="Calibri" w:cs="Calibri"/>
                <w:color w:val="000000"/>
                <w:sz w:val="16"/>
                <w:szCs w:val="16"/>
              </w:rPr>
            </w:pPr>
            <w:r>
              <w:rPr>
                <w:rFonts w:ascii="Calibri" w:eastAsia="Calibri" w:hAnsi="Calibri" w:cs="Calibri"/>
                <w:sz w:val="16"/>
                <w:szCs w:val="16"/>
              </w:rPr>
              <w:t>482,873</w:t>
            </w:r>
          </w:p>
        </w:tc>
      </w:tr>
      <w:tr w14:paraId="52E8D829" w14:textId="77777777" w:rsidTr="00DA23B9">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7817344B" w14:textId="563B8561">
            <w:pPr>
              <w:widowControl/>
              <w:rPr>
                <w:rFonts w:ascii="Calibri" w:eastAsia="Calibri" w:hAnsi="Calibri" w:cs="Calibri"/>
                <w:color w:val="000000"/>
                <w:sz w:val="16"/>
                <w:szCs w:val="16"/>
              </w:rPr>
            </w:pPr>
            <w:r>
              <w:rPr>
                <w:rFonts w:ascii="Calibri" w:eastAsia="Calibri" w:hAnsi="Calibri" w:cs="Calibri"/>
                <w:color w:val="000000"/>
                <w:sz w:val="16"/>
                <w:szCs w:val="16"/>
              </w:rPr>
              <w:t xml:space="preserve">IT support (4 employees </w:t>
            </w:r>
            <w:r>
              <w:rPr>
                <w:rFonts w:ascii="Calibri" w:eastAsia="Calibri" w:hAnsi="Calibri" w:cs="Calibri"/>
                <w:color w:val="000000"/>
                <w:sz w:val="16"/>
                <w:szCs w:val="16"/>
              </w:rPr>
              <w:t>annual)</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2D3E1B15" w14:textId="77777777">
            <w:pPr>
              <w:widowControl/>
              <w:rPr>
                <w:rFonts w:ascii="Calibri" w:eastAsia="Calibri" w:hAnsi="Calibri" w:cs="Calibri"/>
                <w:color w:val="000000"/>
                <w:sz w:val="16"/>
                <w:szCs w:val="16"/>
              </w:rPr>
            </w:pPr>
            <w:r>
              <w:rPr>
                <w:rFonts w:ascii="Calibri" w:eastAsia="Calibri" w:hAnsi="Calibri" w:cs="Calibri"/>
                <w:sz w:val="16"/>
                <w:szCs w:val="16"/>
              </w:rPr>
              <w:t>ZP-III / 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42A1B598" w14:textId="77777777">
            <w:pPr>
              <w:widowControl/>
              <w:jc w:val="right"/>
              <w:rPr>
                <w:rFonts w:ascii="Calibri" w:eastAsia="Calibri" w:hAnsi="Calibri" w:cs="Calibri"/>
                <w:color w:val="000000"/>
                <w:sz w:val="16"/>
                <w:szCs w:val="16"/>
              </w:rPr>
            </w:pPr>
            <w:r>
              <w:rPr>
                <w:rFonts w:ascii="Calibri" w:eastAsia="Calibri" w:hAnsi="Calibri" w:cs="Calibri"/>
                <w:sz w:val="16"/>
                <w:szCs w:val="16"/>
              </w:rPr>
              <w:t>$169,571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50C04E33" w14:textId="475BA166">
            <w:pPr>
              <w:widowControl/>
              <w:jc w:val="center"/>
              <w:rPr>
                <w:rFonts w:ascii="Calibri" w:eastAsia="Calibri" w:hAnsi="Calibri" w:cs="Calibri"/>
                <w:color w:val="000000"/>
                <w:sz w:val="16"/>
                <w:szCs w:val="16"/>
              </w:rPr>
            </w:pPr>
            <w:r>
              <w:rPr>
                <w:rFonts w:ascii="Calibri" w:eastAsia="Calibri" w:hAnsi="Calibri" w:cs="Calibri"/>
                <w:color w:val="000000"/>
                <w:sz w:val="16"/>
                <w:szCs w:val="16"/>
              </w:rPr>
              <w:t>100</w:t>
            </w:r>
            <w:r w:rsidR="0085176C">
              <w:rPr>
                <w:rFonts w:ascii="Calibri" w:eastAsia="Calibri" w:hAnsi="Calibri" w:cs="Calibri"/>
                <w:color w:val="000000"/>
                <w:sz w:val="16"/>
                <w:szCs w:val="16"/>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7C84ED64" w14:textId="77777777">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129400A1" w14:textId="0B4B7C38">
            <w:pPr>
              <w:widowControl/>
              <w:jc w:val="right"/>
              <w:rPr>
                <w:rFonts w:ascii="Calibri" w:eastAsia="Calibri" w:hAnsi="Calibri" w:cs="Calibri"/>
                <w:color w:val="000000"/>
                <w:sz w:val="16"/>
                <w:szCs w:val="16"/>
              </w:rPr>
            </w:pPr>
            <w:r>
              <w:rPr>
                <w:rFonts w:ascii="Calibri" w:eastAsia="Calibri" w:hAnsi="Calibri" w:cs="Calibri"/>
                <w:sz w:val="16"/>
                <w:szCs w:val="16"/>
              </w:rPr>
              <w:t>678,284</w:t>
            </w:r>
          </w:p>
        </w:tc>
      </w:tr>
      <w:tr w14:paraId="76609D5C" w14:textId="77777777" w:rsidTr="00DA23B9">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49B9752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Printing and postage (annual)</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6AD07EAF" w14:textId="77777777">
            <w:pPr>
              <w:widowControl/>
              <w:rPr>
                <w:rFonts w:ascii="Calibri" w:eastAsia="Calibri" w:hAnsi="Calibri" w:cs="Calibri"/>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5B98E2C7" w14:textId="77777777">
            <w:pPr>
              <w:widowControl/>
              <w:jc w:val="right"/>
              <w:rPr>
                <w:rFonts w:ascii="Calibri" w:eastAsia="Calibri" w:hAnsi="Calibri" w:cs="Calibri"/>
                <w:color w:val="000000"/>
                <w:sz w:val="16"/>
                <w:szCs w:val="16"/>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1340D904" w14:textId="77777777">
            <w:pPr>
              <w:widowControl/>
              <w:jc w:val="center"/>
              <w:rPr>
                <w:rFonts w:ascii="Calibri" w:eastAsia="Calibri" w:hAnsi="Calibri" w:cs="Calibri"/>
                <w:color w:val="000000"/>
                <w:sz w:val="16"/>
                <w:szCs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39D2376F" w14:textId="77777777">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50A57404"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100,000</w:t>
            </w:r>
          </w:p>
        </w:tc>
      </w:tr>
      <w:tr w14:paraId="16098C9C" w14:textId="77777777" w:rsidTr="00DA23B9">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7381BF71"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539A36FA" w14:textId="77777777">
            <w:pPr>
              <w:widowControl/>
              <w:rPr>
                <w:rFonts w:ascii="Calibri" w:eastAsia="Calibri" w:hAnsi="Calibri" w:cs="Calibri"/>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5E3C086F" w14:textId="77777777">
            <w:pPr>
              <w:widowControl/>
              <w:jc w:val="right"/>
              <w:rPr>
                <w:rFonts w:ascii="Calibri" w:eastAsia="Calibri" w:hAnsi="Calibri" w:cs="Calibri"/>
                <w:color w:val="000000"/>
                <w:sz w:val="16"/>
                <w:szCs w:val="16"/>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401C6E94" w14:textId="77777777">
            <w:pPr>
              <w:widowControl/>
              <w:jc w:val="center"/>
              <w:rPr>
                <w:rFonts w:ascii="Calibri" w:eastAsia="Calibri" w:hAnsi="Calibri" w:cs="Calibri"/>
                <w:color w:val="000000"/>
                <w:sz w:val="16"/>
                <w:szCs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1DCAFEF5" w14:textId="77777777">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161D8" w:rsidP="00DA23B9" w14:paraId="0FA3B2A8" w14:textId="42DC5937">
            <w:pPr>
              <w:widowControl/>
              <w:jc w:val="right"/>
              <w:rPr>
                <w:rFonts w:ascii="Calibri" w:eastAsia="Calibri" w:hAnsi="Calibri" w:cs="Calibri"/>
                <w:b/>
                <w:color w:val="000000"/>
                <w:sz w:val="20"/>
                <w:szCs w:val="20"/>
              </w:rPr>
            </w:pPr>
            <w:r>
              <w:rPr>
                <w:rFonts w:ascii="Calibri" w:eastAsia="Calibri" w:hAnsi="Calibri" w:cs="Calibri"/>
                <w:b/>
                <w:sz w:val="20"/>
                <w:szCs w:val="20"/>
              </w:rPr>
              <w:t>$2,</w:t>
            </w:r>
            <w:r w:rsidR="00431A77">
              <w:rPr>
                <w:rFonts w:ascii="Calibri" w:eastAsia="Calibri" w:hAnsi="Calibri" w:cs="Calibri"/>
                <w:b/>
                <w:sz w:val="20"/>
                <w:szCs w:val="20"/>
              </w:rPr>
              <w:t>109,012</w:t>
            </w:r>
          </w:p>
        </w:tc>
      </w:tr>
    </w:tbl>
    <w:p w:rsidR="00EE1074" w14:paraId="2952DFFB" w14:textId="77777777">
      <w:pPr>
        <w:pBdr>
          <w:top w:val="nil"/>
          <w:left w:val="nil"/>
          <w:bottom w:val="nil"/>
          <w:right w:val="nil"/>
          <w:between w:val="nil"/>
        </w:pBdr>
        <w:tabs>
          <w:tab w:val="left" w:pos="360"/>
        </w:tabs>
        <w:rPr>
          <w:color w:val="000000"/>
        </w:rPr>
      </w:pPr>
    </w:p>
    <w:p w:rsidR="00EE1074" w14:paraId="5E578FD1" w14:textId="77777777">
      <w:pPr>
        <w:pBdr>
          <w:top w:val="nil"/>
          <w:left w:val="nil"/>
          <w:bottom w:val="nil"/>
          <w:right w:val="nil"/>
          <w:between w:val="nil"/>
        </w:pBdr>
        <w:rPr>
          <w:color w:val="000000"/>
        </w:rPr>
      </w:pPr>
    </w:p>
    <w:p w:rsidR="00150E61" w:rsidP="00150E61" w14:paraId="7FC38EC7" w14:textId="77777777">
      <w:pPr>
        <w:pBdr>
          <w:top w:val="nil"/>
          <w:left w:val="nil"/>
          <w:bottom w:val="nil"/>
          <w:right w:val="nil"/>
          <w:between w:val="nil"/>
        </w:pBdr>
        <w:rPr>
          <w:color w:val="000000"/>
        </w:rPr>
      </w:pPr>
      <w:r>
        <w:t xml:space="preserve">The federal salaries were determined using the Department of Commerce Alternative Personnel Pay System (CAPS) pay tables for the Rest of U.S. location. </w:t>
      </w:r>
      <w:hyperlink r:id="rId9">
        <w:r>
          <w:rPr>
            <w:color w:val="1155CC"/>
            <w:u w:val="single"/>
          </w:rPr>
          <w:t>https://www.commerce.gov/sites/default/files/2024-01/CAPS_rpStandard_2024.pdf</w:t>
        </w:r>
      </w:hyperlink>
      <w:r>
        <w:t xml:space="preserve">  The Rest of U.S. location was used as NOAA employees are geographically dispersed.  A multiplier of 1.5 was used to calculate the loaded salary.   </w:t>
      </w:r>
      <w:r>
        <w:rPr>
          <w:color w:val="000000"/>
        </w:rPr>
        <w:t>Many of these logbook programs share resources such as program staff and computer support. Therefore, these calculations were made for all the programs combined.</w:t>
      </w:r>
    </w:p>
    <w:p w:rsidR="00EE1074" w14:paraId="004E0248" w14:textId="0D44B1CE">
      <w:pPr>
        <w:pBdr>
          <w:top w:val="nil"/>
          <w:left w:val="nil"/>
          <w:bottom w:val="nil"/>
          <w:right w:val="nil"/>
          <w:between w:val="nil"/>
        </w:pBdr>
        <w:rPr>
          <w:color w:val="000000"/>
        </w:rPr>
      </w:pPr>
    </w:p>
    <w:p w:rsidR="00106BA5" w14:paraId="01AFCAFF" w14:textId="77777777">
      <w:pPr>
        <w:pBdr>
          <w:top w:val="nil"/>
          <w:left w:val="nil"/>
          <w:bottom w:val="nil"/>
          <w:right w:val="nil"/>
          <w:between w:val="nil"/>
        </w:pBdr>
        <w:rPr>
          <w:color w:val="000000"/>
        </w:rPr>
        <w:sectPr w:rsidSect="002E77F4">
          <w:pgSz w:w="12240" w:h="15840"/>
          <w:pgMar w:top="640" w:right="1080" w:bottom="1200" w:left="1080" w:header="720" w:footer="720" w:gutter="0"/>
          <w:cols w:space="720"/>
          <w:docGrid w:linePitch="326"/>
        </w:sectPr>
      </w:pPr>
    </w:p>
    <w:p w:rsidR="005B2256" w:rsidP="005B2256" w14:paraId="3A6EF4EA" w14:textId="043E496D">
      <w:pPr>
        <w:numPr>
          <w:ilvl w:val="0"/>
          <w:numId w:val="1"/>
        </w:numPr>
        <w:pBdr>
          <w:top w:val="nil"/>
          <w:left w:val="nil"/>
          <w:bottom w:val="nil"/>
          <w:right w:val="nil"/>
          <w:between w:val="nil"/>
        </w:pBdr>
        <w:tabs>
          <w:tab w:val="left" w:pos="360"/>
        </w:tabs>
        <w:ind w:left="0" w:firstLine="0"/>
      </w:pPr>
      <w:r>
        <w:rPr>
          <w:b/>
          <w:color w:val="000000"/>
        </w:rPr>
        <w:t>Explain the reasons for any program changes or adjustments reported in ROCIS.</w:t>
      </w:r>
    </w:p>
    <w:p w:rsidR="005B2256" w:rsidP="005B2256" w14:paraId="649397F6" w14:textId="7EFBBBB1">
      <w:pPr>
        <w:pBdr>
          <w:top w:val="nil"/>
          <w:left w:val="nil"/>
          <w:bottom w:val="nil"/>
          <w:right w:val="nil"/>
          <w:between w:val="nil"/>
        </w:pBdr>
        <w:tabs>
          <w:tab w:val="left" w:pos="360"/>
        </w:tabs>
      </w:pPr>
    </w:p>
    <w:tbl>
      <w:tblPr>
        <w:tblW w:w="14085" w:type="dxa"/>
        <w:tblInd w:w="-415" w:type="dxa"/>
        <w:tblLook w:val="04A0"/>
      </w:tblPr>
      <w:tblGrid>
        <w:gridCol w:w="5085"/>
        <w:gridCol w:w="990"/>
        <w:gridCol w:w="900"/>
        <w:gridCol w:w="990"/>
        <w:gridCol w:w="990"/>
        <w:gridCol w:w="1080"/>
        <w:gridCol w:w="1350"/>
        <w:gridCol w:w="2700"/>
      </w:tblGrid>
      <w:tr w14:paraId="01396366" w14:textId="77777777" w:rsidTr="00106BA5">
        <w:tblPrEx>
          <w:tblW w:w="14085" w:type="dxa"/>
          <w:tblInd w:w="-415" w:type="dxa"/>
          <w:tblLook w:val="04A0"/>
        </w:tblPrEx>
        <w:trPr>
          <w:trHeight w:val="248"/>
        </w:trPr>
        <w:tc>
          <w:tcPr>
            <w:tcW w:w="508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F711A" w:rsidRPr="00FF711A" w:rsidP="00FF711A" w14:paraId="0A47E048" w14:textId="77777777">
            <w:pPr>
              <w:widowControl/>
              <w:jc w:val="center"/>
              <w:rPr>
                <w:rFonts w:ascii="Calibri" w:hAnsi="Calibri" w:cs="Calibri"/>
                <w:b/>
                <w:bCs/>
                <w:color w:val="000000"/>
                <w:sz w:val="16"/>
                <w:szCs w:val="16"/>
              </w:rPr>
            </w:pPr>
            <w:r w:rsidRPr="00FF711A">
              <w:rPr>
                <w:rFonts w:ascii="Calibri" w:hAnsi="Calibri" w:cs="Calibri"/>
                <w:b/>
                <w:bCs/>
                <w:color w:val="000000"/>
                <w:sz w:val="16"/>
                <w:szCs w:val="16"/>
              </w:rPr>
              <w:t>Information Collection</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FF711A" w:rsidRPr="00FF711A" w:rsidP="00FF711A" w14:paraId="0273CDD4" w14:textId="77777777">
            <w:pPr>
              <w:widowControl/>
              <w:jc w:val="center"/>
              <w:rPr>
                <w:rFonts w:ascii="Calibri" w:hAnsi="Calibri" w:cs="Calibri"/>
                <w:b/>
                <w:bCs/>
                <w:color w:val="000000"/>
                <w:sz w:val="16"/>
                <w:szCs w:val="16"/>
              </w:rPr>
            </w:pPr>
            <w:r w:rsidRPr="00FF711A">
              <w:rPr>
                <w:rFonts w:ascii="Calibri" w:hAnsi="Calibri" w:cs="Calibri"/>
                <w:b/>
                <w:bCs/>
                <w:color w:val="000000"/>
                <w:sz w:val="16"/>
                <w:szCs w:val="16"/>
              </w:rPr>
              <w:t>Respondents</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rsidR="00FF711A" w:rsidRPr="00FF711A" w:rsidP="00FF711A" w14:paraId="2FABDCD0" w14:textId="77777777">
            <w:pPr>
              <w:widowControl/>
              <w:jc w:val="center"/>
              <w:rPr>
                <w:rFonts w:ascii="Calibri" w:hAnsi="Calibri" w:cs="Calibri"/>
                <w:b/>
                <w:bCs/>
                <w:color w:val="000000"/>
                <w:sz w:val="16"/>
                <w:szCs w:val="16"/>
              </w:rPr>
            </w:pPr>
            <w:r w:rsidRPr="00FF711A">
              <w:rPr>
                <w:rFonts w:ascii="Calibri" w:hAnsi="Calibri" w:cs="Calibri"/>
                <w:b/>
                <w:bCs/>
                <w:color w:val="000000"/>
                <w:sz w:val="16"/>
                <w:szCs w:val="16"/>
              </w:rPr>
              <w:t>Responses</w:t>
            </w:r>
          </w:p>
        </w:tc>
        <w:tc>
          <w:tcPr>
            <w:tcW w:w="2430" w:type="dxa"/>
            <w:gridSpan w:val="2"/>
            <w:tcBorders>
              <w:top w:val="single" w:sz="8" w:space="0" w:color="auto"/>
              <w:left w:val="nil"/>
              <w:bottom w:val="single" w:sz="8" w:space="0" w:color="auto"/>
              <w:right w:val="single" w:sz="8" w:space="0" w:color="000000"/>
            </w:tcBorders>
            <w:shd w:val="clear" w:color="000000" w:fill="5B9BD5"/>
            <w:vAlign w:val="center"/>
            <w:hideMark/>
          </w:tcPr>
          <w:p w:rsidR="00FF711A" w:rsidRPr="00FF711A" w:rsidP="00FF711A" w14:paraId="6F42E424" w14:textId="77777777">
            <w:pPr>
              <w:widowControl/>
              <w:jc w:val="center"/>
              <w:rPr>
                <w:rFonts w:ascii="Calibri" w:hAnsi="Calibri" w:cs="Calibri"/>
                <w:b/>
                <w:bCs/>
                <w:color w:val="000000"/>
                <w:sz w:val="16"/>
                <w:szCs w:val="16"/>
              </w:rPr>
            </w:pPr>
            <w:r w:rsidRPr="00FF711A">
              <w:rPr>
                <w:rFonts w:ascii="Calibri" w:hAnsi="Calibri" w:cs="Calibri"/>
                <w:b/>
                <w:bCs/>
                <w:color w:val="000000"/>
                <w:sz w:val="16"/>
                <w:szCs w:val="16"/>
              </w:rPr>
              <w:t>Burden Hours</w:t>
            </w:r>
          </w:p>
        </w:tc>
        <w:tc>
          <w:tcPr>
            <w:tcW w:w="27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F711A" w:rsidRPr="00FF711A" w:rsidP="00FF711A" w14:paraId="74371BFB" w14:textId="77777777">
            <w:pPr>
              <w:widowControl/>
              <w:jc w:val="center"/>
              <w:rPr>
                <w:rFonts w:ascii="Calibri" w:hAnsi="Calibri" w:cs="Calibri"/>
                <w:b/>
                <w:bCs/>
                <w:color w:val="000000"/>
                <w:sz w:val="16"/>
                <w:szCs w:val="16"/>
              </w:rPr>
            </w:pPr>
            <w:r w:rsidRPr="00FF711A">
              <w:rPr>
                <w:rFonts w:ascii="Calibri" w:hAnsi="Calibri" w:cs="Calibri"/>
                <w:b/>
                <w:bCs/>
                <w:color w:val="000000"/>
                <w:sz w:val="16"/>
                <w:szCs w:val="16"/>
              </w:rPr>
              <w:t>Reason for change or adjustment</w:t>
            </w:r>
          </w:p>
        </w:tc>
      </w:tr>
      <w:tr w14:paraId="177D6EEE" w14:textId="77777777" w:rsidTr="00106BA5">
        <w:tblPrEx>
          <w:tblW w:w="14085" w:type="dxa"/>
          <w:tblInd w:w="-415" w:type="dxa"/>
          <w:tblLook w:val="04A0"/>
        </w:tblPrEx>
        <w:trPr>
          <w:trHeight w:val="862"/>
        </w:trPr>
        <w:tc>
          <w:tcPr>
            <w:tcW w:w="5085" w:type="dxa"/>
            <w:vMerge/>
            <w:tcBorders>
              <w:top w:val="single" w:sz="8" w:space="0" w:color="auto"/>
              <w:left w:val="single" w:sz="8" w:space="0" w:color="auto"/>
              <w:bottom w:val="single" w:sz="8" w:space="0" w:color="000000"/>
              <w:right w:val="single" w:sz="8" w:space="0" w:color="auto"/>
            </w:tcBorders>
            <w:vAlign w:val="center"/>
            <w:hideMark/>
          </w:tcPr>
          <w:p w:rsidR="00FF711A" w:rsidRPr="00FF711A" w:rsidP="00FF711A" w14:paraId="11A6F33C" w14:textId="77777777">
            <w:pPr>
              <w:widowControl/>
              <w:rPr>
                <w:rFonts w:ascii="Calibri" w:hAnsi="Calibri" w:cs="Calibri"/>
                <w:b/>
                <w:bCs/>
                <w:color w:val="000000"/>
                <w:sz w:val="16"/>
                <w:szCs w:val="16"/>
              </w:rPr>
            </w:pPr>
          </w:p>
        </w:tc>
        <w:tc>
          <w:tcPr>
            <w:tcW w:w="990" w:type="dxa"/>
            <w:tcBorders>
              <w:top w:val="nil"/>
              <w:left w:val="nil"/>
              <w:bottom w:val="single" w:sz="8" w:space="0" w:color="auto"/>
              <w:right w:val="dashed" w:sz="8" w:space="0" w:color="auto"/>
            </w:tcBorders>
            <w:shd w:val="clear" w:color="000000" w:fill="FBE4D5"/>
            <w:vAlign w:val="center"/>
            <w:hideMark/>
          </w:tcPr>
          <w:p w:rsidR="00FF711A" w:rsidRPr="00FF711A" w:rsidP="00FF711A" w14:paraId="4CCDFA99" w14:textId="77777777">
            <w:pPr>
              <w:widowControl/>
              <w:jc w:val="center"/>
              <w:rPr>
                <w:rFonts w:ascii="Calibri" w:hAnsi="Calibri" w:cs="Calibri"/>
                <w:color w:val="000000"/>
                <w:sz w:val="16"/>
                <w:szCs w:val="16"/>
              </w:rPr>
            </w:pPr>
            <w:r w:rsidRPr="00FF711A">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FF711A" w:rsidRPr="00FF711A" w:rsidP="00FF711A" w14:paraId="15138E99" w14:textId="77777777">
            <w:pPr>
              <w:widowControl/>
              <w:jc w:val="center"/>
              <w:rPr>
                <w:rFonts w:ascii="Calibri" w:hAnsi="Calibri" w:cs="Calibri"/>
                <w:color w:val="000000"/>
                <w:sz w:val="16"/>
                <w:szCs w:val="16"/>
              </w:rPr>
            </w:pPr>
            <w:r w:rsidRPr="00FF711A">
              <w:rPr>
                <w:rFonts w:ascii="Calibri" w:hAnsi="Calibri" w:cs="Calibri"/>
                <w:color w:val="000000"/>
                <w:sz w:val="16"/>
                <w:szCs w:val="16"/>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FF711A" w:rsidRPr="00FF711A" w:rsidP="00FF711A" w14:paraId="2A5238A2" w14:textId="77777777">
            <w:pPr>
              <w:widowControl/>
              <w:jc w:val="center"/>
              <w:rPr>
                <w:rFonts w:ascii="Calibri" w:hAnsi="Calibri" w:cs="Calibri"/>
                <w:color w:val="000000"/>
                <w:sz w:val="16"/>
                <w:szCs w:val="16"/>
              </w:rPr>
            </w:pPr>
            <w:r w:rsidRPr="00FF711A">
              <w:rPr>
                <w:rFonts w:ascii="Calibri" w:hAnsi="Calibr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FF711A" w:rsidRPr="00FF711A" w:rsidP="00FF711A" w14:paraId="2F536968" w14:textId="77777777">
            <w:pPr>
              <w:widowControl/>
              <w:jc w:val="center"/>
              <w:rPr>
                <w:rFonts w:ascii="Calibri" w:hAnsi="Calibri" w:cs="Calibri"/>
                <w:color w:val="000000"/>
                <w:sz w:val="16"/>
                <w:szCs w:val="16"/>
              </w:rPr>
            </w:pPr>
            <w:r w:rsidRPr="00FF711A">
              <w:rPr>
                <w:rFonts w:ascii="Calibri" w:hAnsi="Calibri" w:cs="Calibri"/>
                <w:color w:val="000000"/>
                <w:sz w:val="16"/>
                <w:szCs w:val="16"/>
              </w:rPr>
              <w:t>Previous Renewal / Revision</w:t>
            </w:r>
          </w:p>
        </w:tc>
        <w:tc>
          <w:tcPr>
            <w:tcW w:w="1080" w:type="dxa"/>
            <w:tcBorders>
              <w:top w:val="nil"/>
              <w:left w:val="nil"/>
              <w:bottom w:val="single" w:sz="8" w:space="0" w:color="auto"/>
              <w:right w:val="dashed" w:sz="8" w:space="0" w:color="auto"/>
            </w:tcBorders>
            <w:shd w:val="clear" w:color="000000" w:fill="FBE4D5"/>
            <w:vAlign w:val="center"/>
            <w:hideMark/>
          </w:tcPr>
          <w:p w:rsidR="00FF711A" w:rsidRPr="00FF711A" w:rsidP="00FF711A" w14:paraId="2DFF8A5B" w14:textId="77777777">
            <w:pPr>
              <w:widowControl/>
              <w:jc w:val="center"/>
              <w:rPr>
                <w:rFonts w:ascii="Calibri" w:hAnsi="Calibri" w:cs="Calibri"/>
                <w:color w:val="000000"/>
                <w:sz w:val="16"/>
                <w:szCs w:val="16"/>
              </w:rPr>
            </w:pPr>
            <w:r w:rsidRPr="00FF711A">
              <w:rPr>
                <w:rFonts w:ascii="Calibri" w:hAnsi="Calibri" w:cs="Calibri"/>
                <w:color w:val="000000"/>
                <w:sz w:val="16"/>
                <w:szCs w:val="16"/>
              </w:rPr>
              <w:t>Current Renewal / Revision</w:t>
            </w:r>
          </w:p>
        </w:tc>
        <w:tc>
          <w:tcPr>
            <w:tcW w:w="1350" w:type="dxa"/>
            <w:tcBorders>
              <w:top w:val="nil"/>
              <w:left w:val="nil"/>
              <w:bottom w:val="single" w:sz="8" w:space="0" w:color="auto"/>
              <w:right w:val="single" w:sz="8" w:space="0" w:color="auto"/>
            </w:tcBorders>
            <w:shd w:val="clear" w:color="000000" w:fill="FBE4D5"/>
            <w:vAlign w:val="center"/>
            <w:hideMark/>
          </w:tcPr>
          <w:p w:rsidR="00FF711A" w:rsidRPr="00FF711A" w:rsidP="00FF711A" w14:paraId="3F6B9B27" w14:textId="77777777">
            <w:pPr>
              <w:widowControl/>
              <w:jc w:val="center"/>
              <w:rPr>
                <w:rFonts w:ascii="Calibri" w:hAnsi="Calibri" w:cs="Calibri"/>
                <w:color w:val="000000"/>
                <w:sz w:val="16"/>
                <w:szCs w:val="16"/>
              </w:rPr>
            </w:pPr>
            <w:r w:rsidRPr="00FF711A">
              <w:rPr>
                <w:rFonts w:ascii="Calibri" w:hAnsi="Calibri" w:cs="Calibri"/>
                <w:color w:val="000000"/>
                <w:sz w:val="16"/>
                <w:szCs w:val="16"/>
              </w:rPr>
              <w:t>Previous Renewal / Revision</w:t>
            </w:r>
          </w:p>
        </w:tc>
        <w:tc>
          <w:tcPr>
            <w:tcW w:w="2700" w:type="dxa"/>
            <w:vMerge/>
            <w:tcBorders>
              <w:top w:val="single" w:sz="8" w:space="0" w:color="auto"/>
              <w:left w:val="single" w:sz="8" w:space="0" w:color="auto"/>
              <w:bottom w:val="single" w:sz="8" w:space="0" w:color="000000"/>
              <w:right w:val="single" w:sz="8" w:space="0" w:color="auto"/>
            </w:tcBorders>
            <w:vAlign w:val="center"/>
            <w:hideMark/>
          </w:tcPr>
          <w:p w:rsidR="00FF711A" w:rsidRPr="00FF711A" w:rsidP="00FF711A" w14:paraId="1E2BF5B2" w14:textId="77777777">
            <w:pPr>
              <w:widowControl/>
              <w:rPr>
                <w:rFonts w:ascii="Calibri" w:hAnsi="Calibri" w:cs="Calibri"/>
                <w:b/>
                <w:bCs/>
                <w:color w:val="000000"/>
                <w:sz w:val="16"/>
                <w:szCs w:val="16"/>
              </w:rPr>
            </w:pPr>
          </w:p>
        </w:tc>
      </w:tr>
      <w:tr w14:paraId="26094D41" w14:textId="77777777" w:rsidTr="00106BA5">
        <w:tblPrEx>
          <w:tblW w:w="14085" w:type="dxa"/>
          <w:tblInd w:w="-415" w:type="dxa"/>
          <w:tblLook w:val="04A0"/>
        </w:tblPrEx>
        <w:trPr>
          <w:trHeight w:val="430"/>
        </w:trPr>
        <w:tc>
          <w:tcPr>
            <w:tcW w:w="5085"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FF711A" w:rsidRPr="00FF711A" w:rsidP="00FF711A" w14:paraId="467670CF" w14:textId="106AC72D">
            <w:pPr>
              <w:widowControl/>
              <w:rPr>
                <w:rFonts w:ascii="Calibri" w:hAnsi="Calibri" w:cs="Calibri"/>
                <w:b/>
                <w:bCs/>
                <w:color w:val="000000"/>
                <w:sz w:val="16"/>
                <w:szCs w:val="16"/>
              </w:rPr>
            </w:pPr>
            <w:r>
              <w:rPr>
                <w:rFonts w:ascii="Calibri" w:hAnsi="Calibri" w:cs="Calibri"/>
                <w:b/>
                <w:bCs/>
                <w:color w:val="000000"/>
                <w:sz w:val="16"/>
                <w:szCs w:val="16"/>
              </w:rPr>
              <w:t>Pur</w:t>
            </w:r>
            <w:r w:rsidRPr="00FF711A">
              <w:rPr>
                <w:rFonts w:ascii="Calibri" w:hAnsi="Calibri" w:cs="Calibri"/>
                <w:b/>
                <w:bCs/>
                <w:color w:val="000000"/>
                <w:sz w:val="16"/>
                <w:szCs w:val="16"/>
              </w:rPr>
              <w:t>chase and Installation of VMS or GPS (Change to - Gulf For-hire Electronic Reporting Program)</w:t>
            </w:r>
          </w:p>
        </w:tc>
        <w:tc>
          <w:tcPr>
            <w:tcW w:w="990" w:type="dxa"/>
            <w:tcBorders>
              <w:top w:val="nil"/>
              <w:left w:val="nil"/>
              <w:bottom w:val="dotted" w:sz="4" w:space="0" w:color="auto"/>
              <w:right w:val="dashed" w:sz="8" w:space="0" w:color="auto"/>
            </w:tcBorders>
            <w:shd w:val="clear" w:color="auto" w:fill="auto"/>
            <w:vAlign w:val="center"/>
            <w:hideMark/>
          </w:tcPr>
          <w:p w:rsidR="00FF711A" w:rsidRPr="00FF711A" w:rsidP="00FF711A" w14:paraId="48D28FDD" w14:textId="5823539B">
            <w:pPr>
              <w:widowControl/>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nil"/>
              <w:left w:val="nil"/>
              <w:bottom w:val="dotted" w:sz="4" w:space="0" w:color="auto"/>
              <w:right w:val="single" w:sz="8" w:space="0" w:color="auto"/>
            </w:tcBorders>
            <w:shd w:val="clear" w:color="auto" w:fill="auto"/>
            <w:vAlign w:val="center"/>
            <w:hideMark/>
          </w:tcPr>
          <w:p w:rsidR="00FF711A" w:rsidRPr="00FF711A" w:rsidP="00FF711A" w14:paraId="50E5E2E2" w14:textId="77777777">
            <w:pPr>
              <w:widowControl/>
              <w:jc w:val="center"/>
              <w:rPr>
                <w:rFonts w:ascii="Calibri" w:hAnsi="Calibri" w:cs="Calibri"/>
                <w:color w:val="000000"/>
                <w:sz w:val="16"/>
                <w:szCs w:val="16"/>
              </w:rPr>
            </w:pPr>
            <w:r w:rsidRPr="00FF711A">
              <w:rPr>
                <w:rFonts w:ascii="Calibri" w:hAnsi="Calibri" w:cs="Calibri"/>
                <w:color w:val="000000"/>
                <w:sz w:val="16"/>
                <w:szCs w:val="16"/>
              </w:rPr>
              <w:t>325</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1E3DCA86" w14:textId="3584AFD4">
            <w:pPr>
              <w:widowControl/>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sz="4" w:space="0" w:color="auto"/>
              <w:right w:val="single" w:sz="8" w:space="0" w:color="auto"/>
            </w:tcBorders>
            <w:shd w:val="clear" w:color="auto" w:fill="auto"/>
            <w:vAlign w:val="center"/>
            <w:hideMark/>
          </w:tcPr>
          <w:p w:rsidR="00FF711A" w:rsidRPr="00FF711A" w:rsidP="00FF711A" w14:paraId="438F4907" w14:textId="77777777">
            <w:pPr>
              <w:widowControl/>
              <w:jc w:val="center"/>
              <w:rPr>
                <w:rFonts w:ascii="Calibri" w:hAnsi="Calibri" w:cs="Calibri"/>
                <w:color w:val="000000"/>
                <w:sz w:val="16"/>
                <w:szCs w:val="16"/>
              </w:rPr>
            </w:pPr>
            <w:r w:rsidRPr="00FF711A">
              <w:rPr>
                <w:rFonts w:ascii="Calibri" w:hAnsi="Calibri" w:cs="Calibri"/>
                <w:color w:val="000000"/>
                <w:sz w:val="16"/>
                <w:szCs w:val="16"/>
              </w:rPr>
              <w:t>109</w:t>
            </w:r>
          </w:p>
        </w:tc>
        <w:tc>
          <w:tcPr>
            <w:tcW w:w="1080" w:type="dxa"/>
            <w:tcBorders>
              <w:top w:val="nil"/>
              <w:left w:val="nil"/>
              <w:bottom w:val="dotted" w:sz="4" w:space="0" w:color="auto"/>
              <w:right w:val="dashed" w:sz="8" w:space="0" w:color="auto"/>
            </w:tcBorders>
            <w:shd w:val="clear" w:color="auto" w:fill="auto"/>
            <w:vAlign w:val="center"/>
            <w:hideMark/>
          </w:tcPr>
          <w:p w:rsidR="00FF711A" w:rsidRPr="00FF711A" w:rsidP="00FF711A" w14:paraId="6AF15CEB" w14:textId="6E63E1BD">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single" w:sz="8" w:space="0" w:color="auto"/>
            </w:tcBorders>
            <w:shd w:val="clear" w:color="auto" w:fill="auto"/>
            <w:vAlign w:val="center"/>
            <w:hideMark/>
          </w:tcPr>
          <w:p w:rsidR="00FF711A" w:rsidRPr="00FF711A" w:rsidP="00FF711A" w14:paraId="4886993C" w14:textId="77777777">
            <w:pPr>
              <w:widowControl/>
              <w:jc w:val="center"/>
              <w:rPr>
                <w:rFonts w:ascii="Calibri" w:hAnsi="Calibri" w:cs="Calibri"/>
                <w:color w:val="000000"/>
                <w:sz w:val="16"/>
                <w:szCs w:val="16"/>
              </w:rPr>
            </w:pPr>
            <w:r w:rsidRPr="00FF711A">
              <w:rPr>
                <w:rFonts w:ascii="Calibri" w:hAnsi="Calibri" w:cs="Calibri"/>
                <w:color w:val="000000"/>
                <w:sz w:val="16"/>
                <w:szCs w:val="16"/>
              </w:rPr>
              <w:t>542</w:t>
            </w:r>
          </w:p>
        </w:tc>
        <w:tc>
          <w:tcPr>
            <w:tcW w:w="2700" w:type="dxa"/>
            <w:tcBorders>
              <w:top w:val="nil"/>
              <w:left w:val="nil"/>
              <w:bottom w:val="dotted" w:sz="4" w:space="0" w:color="auto"/>
              <w:right w:val="single" w:sz="8" w:space="0" w:color="auto"/>
            </w:tcBorders>
            <w:shd w:val="clear" w:color="auto" w:fill="auto"/>
            <w:vAlign w:val="center"/>
            <w:hideMark/>
          </w:tcPr>
          <w:p w:rsidR="00FF711A" w:rsidRPr="00FF711A" w:rsidP="00FF711A" w14:paraId="6EB161FE" w14:textId="4C369590">
            <w:pPr>
              <w:widowControl/>
              <w:rPr>
                <w:rFonts w:ascii="Calibri" w:hAnsi="Calibri" w:cs="Calibri"/>
                <w:sz w:val="16"/>
                <w:szCs w:val="16"/>
              </w:rPr>
            </w:pPr>
            <w:r>
              <w:rPr>
                <w:rFonts w:ascii="Calibri" w:hAnsi="Calibri" w:cs="Calibri"/>
                <w:sz w:val="16"/>
                <w:szCs w:val="16"/>
              </w:rPr>
              <w:t>Remove information collection.</w:t>
            </w:r>
          </w:p>
        </w:tc>
      </w:tr>
      <w:tr w14:paraId="3D3A76BA" w14:textId="77777777" w:rsidTr="00106BA5">
        <w:tblPrEx>
          <w:tblW w:w="14085" w:type="dxa"/>
          <w:tblInd w:w="-415" w:type="dxa"/>
          <w:tblLook w:val="04A0"/>
        </w:tblPrEx>
        <w:trPr>
          <w:trHeight w:val="356"/>
        </w:trPr>
        <w:tc>
          <w:tcPr>
            <w:tcW w:w="508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F711A" w:rsidRPr="00FF711A" w:rsidP="00743796" w14:paraId="4DE57361" w14:textId="260193CA">
            <w:pPr>
              <w:widowControl/>
              <w:rPr>
                <w:rFonts w:ascii="Calibri" w:hAnsi="Calibri" w:cs="Calibri"/>
                <w:b/>
                <w:bCs/>
                <w:color w:val="000000"/>
                <w:sz w:val="16"/>
                <w:szCs w:val="16"/>
              </w:rPr>
            </w:pPr>
            <w:r w:rsidRPr="00FF711A">
              <w:rPr>
                <w:rFonts w:ascii="Calibri" w:hAnsi="Calibri" w:cs="Calibri"/>
                <w:b/>
                <w:bCs/>
                <w:color w:val="000000"/>
                <w:sz w:val="16"/>
                <w:szCs w:val="16"/>
              </w:rPr>
              <w:t xml:space="preserve">Intercept Survey (to validate Gulf For-hire </w:t>
            </w:r>
            <w:r w:rsidR="00743796">
              <w:rPr>
                <w:rFonts w:ascii="Calibri" w:hAnsi="Calibri" w:cs="Calibri"/>
                <w:b/>
                <w:bCs/>
                <w:color w:val="000000"/>
                <w:sz w:val="16"/>
                <w:szCs w:val="16"/>
              </w:rPr>
              <w:t>Program</w:t>
            </w:r>
            <w:r w:rsidRPr="00FF711A">
              <w:rPr>
                <w:rFonts w:ascii="Calibri" w:hAnsi="Calibri" w:cs="Calibri"/>
                <w:b/>
                <w:bCs/>
                <w:color w:val="000000"/>
                <w:sz w:val="16"/>
                <w:szCs w:val="16"/>
              </w:rPr>
              <w:t>)</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768835FD" w14:textId="62B4BA5F">
            <w:pPr>
              <w:widowControl/>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nil"/>
              <w:left w:val="nil"/>
              <w:bottom w:val="dotted" w:sz="4" w:space="0" w:color="auto"/>
              <w:right w:val="single" w:sz="8" w:space="0" w:color="auto"/>
            </w:tcBorders>
            <w:shd w:val="clear" w:color="auto" w:fill="auto"/>
            <w:vAlign w:val="center"/>
            <w:hideMark/>
          </w:tcPr>
          <w:p w:rsidR="00FF711A" w:rsidRPr="00FF711A" w:rsidP="00FF711A" w14:paraId="628C1E5F" w14:textId="77777777">
            <w:pPr>
              <w:widowControl/>
              <w:jc w:val="center"/>
              <w:rPr>
                <w:rFonts w:ascii="Calibri" w:hAnsi="Calibri" w:cs="Calibri"/>
                <w:color w:val="000000"/>
                <w:sz w:val="16"/>
                <w:szCs w:val="16"/>
              </w:rPr>
            </w:pPr>
            <w:r w:rsidRPr="00FF711A">
              <w:rPr>
                <w:rFonts w:ascii="Calibri" w:hAnsi="Calibri" w:cs="Calibri"/>
                <w:color w:val="000000"/>
                <w:sz w:val="16"/>
                <w:szCs w:val="16"/>
              </w:rPr>
              <w:t>1,150</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34761F45" w14:textId="4EC0FB57">
            <w:pPr>
              <w:widowControl/>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sz="4" w:space="0" w:color="auto"/>
              <w:right w:val="single" w:sz="8" w:space="0" w:color="auto"/>
            </w:tcBorders>
            <w:shd w:val="clear" w:color="auto" w:fill="auto"/>
            <w:vAlign w:val="center"/>
            <w:hideMark/>
          </w:tcPr>
          <w:p w:rsidR="00FF711A" w:rsidRPr="00FF711A" w:rsidP="00FF711A" w14:paraId="329A5E1A" w14:textId="77777777">
            <w:pPr>
              <w:widowControl/>
              <w:jc w:val="center"/>
              <w:rPr>
                <w:rFonts w:ascii="Calibri" w:hAnsi="Calibri" w:cs="Calibri"/>
                <w:color w:val="000000"/>
                <w:sz w:val="16"/>
                <w:szCs w:val="16"/>
              </w:rPr>
            </w:pPr>
            <w:r w:rsidRPr="00FF711A">
              <w:rPr>
                <w:rFonts w:ascii="Calibri" w:hAnsi="Calibri" w:cs="Calibri"/>
                <w:color w:val="000000"/>
                <w:sz w:val="16"/>
                <w:szCs w:val="16"/>
              </w:rPr>
              <w:t>1,150</w:t>
            </w:r>
          </w:p>
        </w:tc>
        <w:tc>
          <w:tcPr>
            <w:tcW w:w="1080" w:type="dxa"/>
            <w:tcBorders>
              <w:top w:val="nil"/>
              <w:left w:val="nil"/>
              <w:bottom w:val="dotted" w:sz="4" w:space="0" w:color="auto"/>
              <w:right w:val="dashed" w:sz="8" w:space="0" w:color="auto"/>
            </w:tcBorders>
            <w:shd w:val="clear" w:color="auto" w:fill="auto"/>
            <w:vAlign w:val="center"/>
            <w:hideMark/>
          </w:tcPr>
          <w:p w:rsidR="00FF711A" w:rsidRPr="00FF711A" w:rsidP="00FF711A" w14:paraId="6718E296" w14:textId="54F6F058">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single" w:sz="8" w:space="0" w:color="auto"/>
            </w:tcBorders>
            <w:shd w:val="clear" w:color="auto" w:fill="auto"/>
            <w:vAlign w:val="center"/>
            <w:hideMark/>
          </w:tcPr>
          <w:p w:rsidR="00FF711A" w:rsidRPr="00FF711A" w:rsidP="00FF711A" w14:paraId="40B977D9" w14:textId="77777777">
            <w:pPr>
              <w:widowControl/>
              <w:jc w:val="center"/>
              <w:rPr>
                <w:rFonts w:ascii="Calibri" w:hAnsi="Calibri" w:cs="Calibri"/>
                <w:color w:val="000000"/>
                <w:sz w:val="16"/>
                <w:szCs w:val="16"/>
              </w:rPr>
            </w:pPr>
            <w:r w:rsidRPr="00FF711A">
              <w:rPr>
                <w:rFonts w:ascii="Calibri" w:hAnsi="Calibri" w:cs="Calibri"/>
                <w:color w:val="000000"/>
                <w:sz w:val="16"/>
                <w:szCs w:val="16"/>
              </w:rPr>
              <w:t>288</w:t>
            </w:r>
          </w:p>
        </w:tc>
        <w:tc>
          <w:tcPr>
            <w:tcW w:w="2700" w:type="dxa"/>
            <w:tcBorders>
              <w:top w:val="nil"/>
              <w:left w:val="nil"/>
              <w:bottom w:val="dotted" w:sz="4" w:space="0" w:color="auto"/>
              <w:right w:val="single" w:sz="8" w:space="0" w:color="auto"/>
            </w:tcBorders>
            <w:shd w:val="clear" w:color="auto" w:fill="auto"/>
            <w:vAlign w:val="center"/>
            <w:hideMark/>
          </w:tcPr>
          <w:p w:rsidR="00FF711A" w:rsidRPr="00FF711A" w:rsidP="00FF711A" w14:paraId="26379421" w14:textId="5E6DA08F">
            <w:pPr>
              <w:widowControl/>
              <w:rPr>
                <w:rFonts w:ascii="Calibri" w:hAnsi="Calibri" w:cs="Calibri"/>
                <w:color w:val="000000"/>
                <w:sz w:val="16"/>
                <w:szCs w:val="16"/>
              </w:rPr>
            </w:pPr>
            <w:r>
              <w:rPr>
                <w:rFonts w:ascii="Calibri" w:hAnsi="Calibri" w:cs="Calibri"/>
                <w:sz w:val="16"/>
                <w:szCs w:val="16"/>
              </w:rPr>
              <w:t>Remove information collection.</w:t>
            </w:r>
          </w:p>
        </w:tc>
      </w:tr>
      <w:tr w14:paraId="2D97DBEE" w14:textId="77777777" w:rsidTr="00106BA5">
        <w:tblPrEx>
          <w:tblW w:w="14085" w:type="dxa"/>
          <w:tblInd w:w="-415" w:type="dxa"/>
          <w:tblLook w:val="04A0"/>
        </w:tblPrEx>
        <w:trPr>
          <w:trHeight w:val="248"/>
        </w:trPr>
        <w:tc>
          <w:tcPr>
            <w:tcW w:w="5085" w:type="dxa"/>
            <w:tcBorders>
              <w:top w:val="nil"/>
              <w:left w:val="single" w:sz="8" w:space="0" w:color="000000"/>
              <w:bottom w:val="single" w:sz="8" w:space="0" w:color="000000"/>
              <w:right w:val="single" w:sz="8" w:space="0" w:color="000000"/>
            </w:tcBorders>
            <w:shd w:val="clear" w:color="auto" w:fill="auto"/>
            <w:vAlign w:val="center"/>
            <w:hideMark/>
          </w:tcPr>
          <w:p w:rsidR="00FF711A" w:rsidRPr="00FF711A" w:rsidP="00FF711A" w14:paraId="06E99504" w14:textId="77777777">
            <w:pPr>
              <w:widowControl/>
              <w:rPr>
                <w:rFonts w:ascii="Calibri" w:hAnsi="Calibri" w:cs="Calibri"/>
                <w:b/>
                <w:bCs/>
                <w:color w:val="000000"/>
                <w:sz w:val="16"/>
                <w:szCs w:val="16"/>
              </w:rPr>
            </w:pPr>
            <w:r w:rsidRPr="00FF711A">
              <w:rPr>
                <w:rFonts w:ascii="Calibri" w:hAnsi="Calibri" w:cs="Calibri"/>
                <w:b/>
                <w:bCs/>
                <w:color w:val="000000"/>
                <w:sz w:val="16"/>
                <w:szCs w:val="16"/>
              </w:rPr>
              <w:t>Landing location request</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4A066CF4" w14:textId="61E39D93">
            <w:pPr>
              <w:widowControl/>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nil"/>
              <w:left w:val="nil"/>
              <w:bottom w:val="dotted" w:sz="4" w:space="0" w:color="auto"/>
              <w:right w:val="single" w:sz="8" w:space="0" w:color="auto"/>
            </w:tcBorders>
            <w:shd w:val="clear" w:color="auto" w:fill="auto"/>
            <w:vAlign w:val="center"/>
            <w:hideMark/>
          </w:tcPr>
          <w:p w:rsidR="00FF711A" w:rsidRPr="00FF711A" w:rsidP="00FF711A" w14:paraId="738EB6D0" w14:textId="77777777">
            <w:pPr>
              <w:widowControl/>
              <w:jc w:val="center"/>
              <w:rPr>
                <w:rFonts w:ascii="Calibri" w:hAnsi="Calibri" w:cs="Calibri"/>
                <w:color w:val="000000"/>
                <w:sz w:val="16"/>
                <w:szCs w:val="16"/>
              </w:rPr>
            </w:pPr>
            <w:r w:rsidRPr="00FF711A">
              <w:rPr>
                <w:rFonts w:ascii="Calibri" w:hAnsi="Calibri" w:cs="Calibri"/>
                <w:color w:val="000000"/>
                <w:sz w:val="16"/>
                <w:szCs w:val="16"/>
              </w:rPr>
              <w:t>1,368</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4508322A" w14:textId="1A25F808">
            <w:pPr>
              <w:widowControl/>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sz="4" w:space="0" w:color="auto"/>
              <w:right w:val="single" w:sz="8" w:space="0" w:color="auto"/>
            </w:tcBorders>
            <w:shd w:val="clear" w:color="auto" w:fill="auto"/>
            <w:vAlign w:val="center"/>
            <w:hideMark/>
          </w:tcPr>
          <w:p w:rsidR="00FF711A" w:rsidRPr="00FF711A" w:rsidP="00FF711A" w14:paraId="66793E9C" w14:textId="77777777">
            <w:pPr>
              <w:widowControl/>
              <w:jc w:val="center"/>
              <w:rPr>
                <w:rFonts w:ascii="Calibri" w:hAnsi="Calibri" w:cs="Calibri"/>
                <w:color w:val="000000"/>
                <w:sz w:val="16"/>
                <w:szCs w:val="16"/>
              </w:rPr>
            </w:pPr>
            <w:r w:rsidRPr="00FF711A">
              <w:rPr>
                <w:rFonts w:ascii="Calibri" w:hAnsi="Calibri" w:cs="Calibri"/>
                <w:color w:val="000000"/>
                <w:sz w:val="16"/>
                <w:szCs w:val="16"/>
              </w:rPr>
              <w:t>400</w:t>
            </w:r>
          </w:p>
        </w:tc>
        <w:tc>
          <w:tcPr>
            <w:tcW w:w="1080" w:type="dxa"/>
            <w:tcBorders>
              <w:top w:val="nil"/>
              <w:left w:val="nil"/>
              <w:bottom w:val="dotted" w:sz="4" w:space="0" w:color="auto"/>
              <w:right w:val="dashed" w:sz="8" w:space="0" w:color="auto"/>
            </w:tcBorders>
            <w:shd w:val="clear" w:color="auto" w:fill="auto"/>
            <w:vAlign w:val="center"/>
            <w:hideMark/>
          </w:tcPr>
          <w:p w:rsidR="00FF711A" w:rsidRPr="00FF711A" w:rsidP="00FF711A" w14:paraId="5463E034" w14:textId="6D76F89D">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single" w:sz="8" w:space="0" w:color="auto"/>
            </w:tcBorders>
            <w:shd w:val="clear" w:color="auto" w:fill="auto"/>
            <w:vAlign w:val="center"/>
            <w:hideMark/>
          </w:tcPr>
          <w:p w:rsidR="00FF711A" w:rsidRPr="00FF711A" w:rsidP="00FF711A" w14:paraId="169D1C8F" w14:textId="77777777">
            <w:pPr>
              <w:widowControl/>
              <w:jc w:val="center"/>
              <w:rPr>
                <w:rFonts w:ascii="Calibri" w:hAnsi="Calibri" w:cs="Calibri"/>
                <w:color w:val="000000"/>
                <w:sz w:val="16"/>
                <w:szCs w:val="16"/>
              </w:rPr>
            </w:pPr>
            <w:r w:rsidRPr="00FF711A">
              <w:rPr>
                <w:rFonts w:ascii="Calibri" w:hAnsi="Calibri" w:cs="Calibri"/>
                <w:color w:val="000000"/>
                <w:sz w:val="16"/>
                <w:szCs w:val="16"/>
              </w:rPr>
              <w:t>33</w:t>
            </w:r>
          </w:p>
        </w:tc>
        <w:tc>
          <w:tcPr>
            <w:tcW w:w="2700" w:type="dxa"/>
            <w:tcBorders>
              <w:top w:val="nil"/>
              <w:left w:val="nil"/>
              <w:bottom w:val="dotted" w:sz="4" w:space="0" w:color="auto"/>
              <w:right w:val="single" w:sz="8" w:space="0" w:color="auto"/>
            </w:tcBorders>
            <w:shd w:val="clear" w:color="auto" w:fill="auto"/>
            <w:vAlign w:val="center"/>
            <w:hideMark/>
          </w:tcPr>
          <w:p w:rsidR="00FF711A" w:rsidRPr="00FF711A" w:rsidP="00FF711A" w14:paraId="245D627B" w14:textId="1D28D8A2">
            <w:pPr>
              <w:widowControl/>
              <w:rPr>
                <w:rFonts w:ascii="Calibri" w:hAnsi="Calibri" w:cs="Calibri"/>
                <w:sz w:val="16"/>
                <w:szCs w:val="16"/>
              </w:rPr>
            </w:pPr>
            <w:r>
              <w:rPr>
                <w:rFonts w:ascii="Calibri" w:hAnsi="Calibri" w:cs="Calibri"/>
                <w:sz w:val="16"/>
                <w:szCs w:val="16"/>
              </w:rPr>
              <w:t>Remove information collection.</w:t>
            </w:r>
          </w:p>
        </w:tc>
      </w:tr>
      <w:tr w14:paraId="427B3645" w14:textId="77777777" w:rsidTr="00106BA5">
        <w:tblPrEx>
          <w:tblW w:w="14085" w:type="dxa"/>
          <w:tblInd w:w="-415" w:type="dxa"/>
          <w:tblLook w:val="04A0"/>
        </w:tblPrEx>
        <w:trPr>
          <w:trHeight w:val="248"/>
        </w:trPr>
        <w:tc>
          <w:tcPr>
            <w:tcW w:w="5085" w:type="dxa"/>
            <w:tcBorders>
              <w:top w:val="nil"/>
              <w:left w:val="single" w:sz="8" w:space="0" w:color="000000"/>
              <w:bottom w:val="single" w:sz="8" w:space="0" w:color="000000"/>
              <w:right w:val="single" w:sz="8" w:space="0" w:color="000000"/>
            </w:tcBorders>
            <w:shd w:val="clear" w:color="auto" w:fill="auto"/>
            <w:vAlign w:val="center"/>
            <w:hideMark/>
          </w:tcPr>
          <w:p w:rsidR="00FF711A" w:rsidRPr="00FF711A" w:rsidP="00FF711A" w14:paraId="35DD0BBC" w14:textId="77777777">
            <w:pPr>
              <w:widowControl/>
              <w:rPr>
                <w:rFonts w:ascii="Calibri" w:hAnsi="Calibri" w:cs="Calibri"/>
                <w:b/>
                <w:bCs/>
                <w:color w:val="000000"/>
                <w:sz w:val="16"/>
                <w:szCs w:val="16"/>
              </w:rPr>
            </w:pPr>
            <w:r w:rsidRPr="00FF711A">
              <w:rPr>
                <w:rFonts w:ascii="Calibri" w:hAnsi="Calibri" w:cs="Calibri"/>
                <w:b/>
                <w:bCs/>
                <w:color w:val="000000"/>
                <w:sz w:val="16"/>
                <w:szCs w:val="16"/>
              </w:rPr>
              <w:t>Trip declaration</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7C17EFB4" w14:textId="7B437F3D">
            <w:pPr>
              <w:widowControl/>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nil"/>
              <w:left w:val="nil"/>
              <w:bottom w:val="dotted" w:sz="4" w:space="0" w:color="auto"/>
              <w:right w:val="single" w:sz="8" w:space="0" w:color="auto"/>
            </w:tcBorders>
            <w:shd w:val="clear" w:color="auto" w:fill="auto"/>
            <w:vAlign w:val="center"/>
            <w:hideMark/>
          </w:tcPr>
          <w:p w:rsidR="00FF711A" w:rsidRPr="00FF711A" w:rsidP="00FF711A" w14:paraId="3D53C660" w14:textId="77777777">
            <w:pPr>
              <w:widowControl/>
              <w:jc w:val="center"/>
              <w:rPr>
                <w:rFonts w:ascii="Calibri" w:hAnsi="Calibri" w:cs="Calibri"/>
                <w:color w:val="000000"/>
                <w:sz w:val="16"/>
                <w:szCs w:val="16"/>
              </w:rPr>
            </w:pPr>
            <w:r w:rsidRPr="00FF711A">
              <w:rPr>
                <w:rFonts w:ascii="Calibri" w:hAnsi="Calibri" w:cs="Calibri"/>
                <w:color w:val="000000"/>
                <w:sz w:val="16"/>
                <w:szCs w:val="16"/>
              </w:rPr>
              <w:t>1,368</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51EE1FA0" w14:textId="105546CF">
            <w:pPr>
              <w:widowControl/>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sz="4" w:space="0" w:color="auto"/>
              <w:right w:val="dashed" w:sz="8" w:space="0" w:color="auto"/>
            </w:tcBorders>
            <w:shd w:val="clear" w:color="auto" w:fill="auto"/>
            <w:vAlign w:val="center"/>
            <w:hideMark/>
          </w:tcPr>
          <w:p w:rsidR="00FF711A" w:rsidRPr="00FF711A" w:rsidP="00FF711A" w14:paraId="3740134B" w14:textId="77777777">
            <w:pPr>
              <w:widowControl/>
              <w:jc w:val="center"/>
              <w:rPr>
                <w:rFonts w:ascii="Calibri" w:hAnsi="Calibri" w:cs="Calibri"/>
                <w:color w:val="000000"/>
                <w:sz w:val="16"/>
                <w:szCs w:val="16"/>
              </w:rPr>
            </w:pPr>
            <w:r w:rsidRPr="00FF711A">
              <w:rPr>
                <w:rFonts w:ascii="Calibri" w:hAnsi="Calibri" w:cs="Calibri"/>
                <w:color w:val="000000"/>
                <w:sz w:val="16"/>
                <w:szCs w:val="16"/>
              </w:rPr>
              <w:t>128,700</w:t>
            </w:r>
          </w:p>
        </w:tc>
        <w:tc>
          <w:tcPr>
            <w:tcW w:w="1080" w:type="dxa"/>
            <w:tcBorders>
              <w:top w:val="nil"/>
              <w:left w:val="nil"/>
              <w:bottom w:val="dotted" w:sz="4" w:space="0" w:color="auto"/>
              <w:right w:val="dashed" w:sz="8" w:space="0" w:color="auto"/>
            </w:tcBorders>
            <w:shd w:val="clear" w:color="auto" w:fill="auto"/>
            <w:vAlign w:val="center"/>
            <w:hideMark/>
          </w:tcPr>
          <w:p w:rsidR="00FF711A" w:rsidRPr="00FF711A" w:rsidP="00FF711A" w14:paraId="3030F9BE" w14:textId="704E11A8">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dashed" w:sz="8" w:space="0" w:color="auto"/>
            </w:tcBorders>
            <w:shd w:val="clear" w:color="auto" w:fill="auto"/>
            <w:vAlign w:val="center"/>
            <w:hideMark/>
          </w:tcPr>
          <w:p w:rsidR="00FF711A" w:rsidRPr="00FF711A" w:rsidP="00FF711A" w14:paraId="61E9AB2A" w14:textId="77777777">
            <w:pPr>
              <w:widowControl/>
              <w:jc w:val="center"/>
              <w:rPr>
                <w:rFonts w:ascii="Calibri" w:hAnsi="Calibri" w:cs="Calibri"/>
                <w:color w:val="000000"/>
                <w:sz w:val="16"/>
                <w:szCs w:val="16"/>
              </w:rPr>
            </w:pPr>
            <w:r w:rsidRPr="00FF711A">
              <w:rPr>
                <w:rFonts w:ascii="Calibri" w:hAnsi="Calibri" w:cs="Calibri"/>
                <w:color w:val="000000"/>
                <w:sz w:val="16"/>
                <w:szCs w:val="16"/>
              </w:rPr>
              <w:t>4,290</w:t>
            </w:r>
          </w:p>
        </w:tc>
        <w:tc>
          <w:tcPr>
            <w:tcW w:w="2700" w:type="dxa"/>
            <w:tcBorders>
              <w:top w:val="nil"/>
              <w:left w:val="nil"/>
              <w:bottom w:val="dotted" w:sz="4" w:space="0" w:color="auto"/>
              <w:right w:val="single" w:sz="8" w:space="0" w:color="auto"/>
            </w:tcBorders>
            <w:shd w:val="clear" w:color="auto" w:fill="auto"/>
            <w:vAlign w:val="center"/>
            <w:hideMark/>
          </w:tcPr>
          <w:p w:rsidR="00FF711A" w:rsidRPr="00FF711A" w:rsidP="00FF711A" w14:paraId="5C584C7D" w14:textId="66EB1AA4">
            <w:pPr>
              <w:widowControl/>
              <w:rPr>
                <w:rFonts w:ascii="Calibri" w:hAnsi="Calibri" w:cs="Calibri"/>
                <w:color w:val="000000"/>
                <w:sz w:val="16"/>
                <w:szCs w:val="16"/>
              </w:rPr>
            </w:pPr>
            <w:r>
              <w:rPr>
                <w:rFonts w:ascii="Calibri" w:hAnsi="Calibri" w:cs="Calibri"/>
                <w:sz w:val="16"/>
                <w:szCs w:val="16"/>
              </w:rPr>
              <w:t>Remove information collection.</w:t>
            </w:r>
          </w:p>
        </w:tc>
      </w:tr>
      <w:tr w14:paraId="7D1634FA" w14:textId="77777777" w:rsidTr="00106BA5">
        <w:tblPrEx>
          <w:tblW w:w="14085" w:type="dxa"/>
          <w:tblInd w:w="-415" w:type="dxa"/>
          <w:tblLook w:val="04A0"/>
        </w:tblPrEx>
        <w:trPr>
          <w:trHeight w:val="248"/>
        </w:trPr>
        <w:tc>
          <w:tcPr>
            <w:tcW w:w="5085" w:type="dxa"/>
            <w:tcBorders>
              <w:top w:val="nil"/>
              <w:left w:val="single" w:sz="8" w:space="0" w:color="000000"/>
              <w:bottom w:val="single" w:sz="8" w:space="0" w:color="000000"/>
              <w:right w:val="single" w:sz="8" w:space="0" w:color="000000"/>
            </w:tcBorders>
            <w:shd w:val="clear" w:color="auto" w:fill="auto"/>
            <w:vAlign w:val="center"/>
            <w:hideMark/>
          </w:tcPr>
          <w:p w:rsidR="00FF711A" w:rsidRPr="00FF711A" w:rsidP="00FF711A" w14:paraId="0BDDCD43" w14:textId="77777777">
            <w:pPr>
              <w:widowControl/>
              <w:rPr>
                <w:rFonts w:ascii="Calibri" w:hAnsi="Calibri" w:cs="Calibri"/>
                <w:b/>
                <w:bCs/>
                <w:color w:val="000000"/>
                <w:sz w:val="16"/>
                <w:szCs w:val="16"/>
              </w:rPr>
            </w:pPr>
            <w:r w:rsidRPr="00FF711A">
              <w:rPr>
                <w:rFonts w:ascii="Calibri" w:hAnsi="Calibri" w:cs="Calibri"/>
                <w:b/>
                <w:bCs/>
                <w:color w:val="000000"/>
                <w:sz w:val="16"/>
                <w:szCs w:val="16"/>
              </w:rPr>
              <w:t>Fishing report (per trip)</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57182ECC" w14:textId="2B25132E">
            <w:pPr>
              <w:widowControl/>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nil"/>
              <w:left w:val="nil"/>
              <w:bottom w:val="dotted" w:sz="4" w:space="0" w:color="auto"/>
              <w:right w:val="single" w:sz="8" w:space="0" w:color="auto"/>
            </w:tcBorders>
            <w:shd w:val="clear" w:color="auto" w:fill="auto"/>
            <w:vAlign w:val="center"/>
            <w:hideMark/>
          </w:tcPr>
          <w:p w:rsidR="00FF711A" w:rsidRPr="00FF711A" w:rsidP="00FF711A" w14:paraId="55C82F6F" w14:textId="77777777">
            <w:pPr>
              <w:widowControl/>
              <w:jc w:val="center"/>
              <w:rPr>
                <w:rFonts w:ascii="Calibri" w:hAnsi="Calibri" w:cs="Calibri"/>
                <w:color w:val="000000"/>
                <w:sz w:val="16"/>
                <w:szCs w:val="16"/>
              </w:rPr>
            </w:pPr>
            <w:r w:rsidRPr="00FF711A">
              <w:rPr>
                <w:rFonts w:ascii="Calibri" w:hAnsi="Calibri" w:cs="Calibri"/>
                <w:color w:val="000000"/>
                <w:sz w:val="16"/>
                <w:szCs w:val="16"/>
              </w:rPr>
              <w:t>1,368</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7BD0A1AB" w14:textId="1E372FB2">
            <w:pPr>
              <w:widowControl/>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sz="4" w:space="0" w:color="auto"/>
              <w:right w:val="dashed" w:sz="8" w:space="0" w:color="auto"/>
            </w:tcBorders>
            <w:shd w:val="clear" w:color="auto" w:fill="auto"/>
            <w:vAlign w:val="center"/>
            <w:hideMark/>
          </w:tcPr>
          <w:p w:rsidR="00FF711A" w:rsidRPr="00FF711A" w:rsidP="00FF711A" w14:paraId="0DD70FFD" w14:textId="77777777">
            <w:pPr>
              <w:widowControl/>
              <w:jc w:val="center"/>
              <w:rPr>
                <w:rFonts w:ascii="Calibri" w:hAnsi="Calibri" w:cs="Calibri"/>
                <w:color w:val="000000"/>
                <w:sz w:val="16"/>
                <w:szCs w:val="16"/>
              </w:rPr>
            </w:pPr>
            <w:r w:rsidRPr="00FF711A">
              <w:rPr>
                <w:rFonts w:ascii="Calibri" w:hAnsi="Calibri" w:cs="Calibri"/>
                <w:color w:val="000000"/>
                <w:sz w:val="16"/>
                <w:szCs w:val="16"/>
              </w:rPr>
              <w:t>128,700</w:t>
            </w:r>
          </w:p>
        </w:tc>
        <w:tc>
          <w:tcPr>
            <w:tcW w:w="1080" w:type="dxa"/>
            <w:tcBorders>
              <w:top w:val="nil"/>
              <w:left w:val="nil"/>
              <w:bottom w:val="dotted" w:sz="4" w:space="0" w:color="auto"/>
              <w:right w:val="dashed" w:sz="8" w:space="0" w:color="auto"/>
            </w:tcBorders>
            <w:shd w:val="clear" w:color="auto" w:fill="auto"/>
            <w:vAlign w:val="center"/>
            <w:hideMark/>
          </w:tcPr>
          <w:p w:rsidR="00FF711A" w:rsidRPr="00FF711A" w:rsidP="00FF711A" w14:paraId="0E8D21EC" w14:textId="0DD0B8BC">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dashed" w:sz="8" w:space="0" w:color="auto"/>
            </w:tcBorders>
            <w:shd w:val="clear" w:color="auto" w:fill="auto"/>
            <w:vAlign w:val="center"/>
            <w:hideMark/>
          </w:tcPr>
          <w:p w:rsidR="00FF711A" w:rsidRPr="00FF711A" w:rsidP="00FF711A" w14:paraId="575B1960" w14:textId="77777777">
            <w:pPr>
              <w:widowControl/>
              <w:jc w:val="center"/>
              <w:rPr>
                <w:rFonts w:ascii="Calibri" w:hAnsi="Calibri" w:cs="Calibri"/>
                <w:color w:val="000000"/>
                <w:sz w:val="16"/>
                <w:szCs w:val="16"/>
              </w:rPr>
            </w:pPr>
            <w:r w:rsidRPr="00FF711A">
              <w:rPr>
                <w:rFonts w:ascii="Calibri" w:hAnsi="Calibri" w:cs="Calibri"/>
                <w:color w:val="000000"/>
                <w:sz w:val="16"/>
                <w:szCs w:val="16"/>
              </w:rPr>
              <w:t>21,450</w:t>
            </w:r>
          </w:p>
        </w:tc>
        <w:tc>
          <w:tcPr>
            <w:tcW w:w="2700" w:type="dxa"/>
            <w:tcBorders>
              <w:top w:val="nil"/>
              <w:left w:val="nil"/>
              <w:bottom w:val="dotted" w:sz="4" w:space="0" w:color="auto"/>
              <w:right w:val="single" w:sz="8" w:space="0" w:color="auto"/>
            </w:tcBorders>
            <w:shd w:val="clear" w:color="auto" w:fill="auto"/>
            <w:vAlign w:val="center"/>
            <w:hideMark/>
          </w:tcPr>
          <w:p w:rsidR="00FF711A" w:rsidRPr="00FF711A" w:rsidP="00FF711A" w14:paraId="5CE94C05" w14:textId="7A8DAE16">
            <w:pPr>
              <w:widowControl/>
              <w:rPr>
                <w:rFonts w:ascii="Calibri" w:hAnsi="Calibri" w:cs="Calibri"/>
                <w:color w:val="000000"/>
                <w:sz w:val="16"/>
                <w:szCs w:val="16"/>
              </w:rPr>
            </w:pPr>
            <w:r>
              <w:rPr>
                <w:rFonts w:ascii="Calibri" w:hAnsi="Calibri" w:cs="Calibri"/>
                <w:sz w:val="16"/>
                <w:szCs w:val="16"/>
              </w:rPr>
              <w:t>Remove information collection.</w:t>
            </w:r>
          </w:p>
        </w:tc>
      </w:tr>
      <w:tr w14:paraId="6E5FC459" w14:textId="77777777" w:rsidTr="00106BA5">
        <w:tblPrEx>
          <w:tblW w:w="14085" w:type="dxa"/>
          <w:tblInd w:w="-415" w:type="dxa"/>
          <w:tblLook w:val="04A0"/>
        </w:tblPrEx>
        <w:trPr>
          <w:trHeight w:val="356"/>
        </w:trPr>
        <w:tc>
          <w:tcPr>
            <w:tcW w:w="5085" w:type="dxa"/>
            <w:tcBorders>
              <w:top w:val="nil"/>
              <w:left w:val="single" w:sz="8" w:space="0" w:color="000000"/>
              <w:bottom w:val="single" w:sz="8" w:space="0" w:color="000000"/>
              <w:right w:val="single" w:sz="8" w:space="0" w:color="000000"/>
            </w:tcBorders>
            <w:shd w:val="clear" w:color="auto" w:fill="auto"/>
            <w:vAlign w:val="center"/>
            <w:hideMark/>
          </w:tcPr>
          <w:p w:rsidR="00FF711A" w:rsidRPr="00FF711A" w:rsidP="00FF711A" w14:paraId="57FB60DE" w14:textId="77777777">
            <w:pPr>
              <w:widowControl/>
              <w:rPr>
                <w:rFonts w:ascii="Calibri" w:hAnsi="Calibri" w:cs="Calibri"/>
                <w:b/>
                <w:bCs/>
                <w:color w:val="000000"/>
                <w:sz w:val="16"/>
                <w:szCs w:val="16"/>
              </w:rPr>
            </w:pPr>
            <w:r w:rsidRPr="00FF711A">
              <w:rPr>
                <w:rFonts w:ascii="Calibri" w:hAnsi="Calibri" w:cs="Calibri"/>
                <w:b/>
                <w:bCs/>
                <w:color w:val="000000"/>
                <w:sz w:val="16"/>
                <w:szCs w:val="16"/>
              </w:rPr>
              <w:t>Power-down exemption request</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61BFFCD6" w14:textId="20DAA8BE">
            <w:pPr>
              <w:widowControl/>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nil"/>
              <w:left w:val="nil"/>
              <w:bottom w:val="dotted" w:sz="4" w:space="0" w:color="auto"/>
              <w:right w:val="single" w:sz="8" w:space="0" w:color="auto"/>
            </w:tcBorders>
            <w:shd w:val="clear" w:color="auto" w:fill="auto"/>
            <w:vAlign w:val="center"/>
            <w:hideMark/>
          </w:tcPr>
          <w:p w:rsidR="00FF711A" w:rsidRPr="00FF711A" w:rsidP="00FF711A" w14:paraId="1D5395EE" w14:textId="77777777">
            <w:pPr>
              <w:widowControl/>
              <w:jc w:val="center"/>
              <w:rPr>
                <w:rFonts w:ascii="Calibri" w:hAnsi="Calibri" w:cs="Calibri"/>
                <w:color w:val="000000"/>
                <w:sz w:val="16"/>
                <w:szCs w:val="16"/>
              </w:rPr>
            </w:pPr>
            <w:r w:rsidRPr="00FF711A">
              <w:rPr>
                <w:rFonts w:ascii="Calibri" w:hAnsi="Calibri" w:cs="Calibri"/>
                <w:color w:val="000000"/>
                <w:sz w:val="16"/>
                <w:szCs w:val="16"/>
              </w:rPr>
              <w:t>1,368</w:t>
            </w:r>
          </w:p>
        </w:tc>
        <w:tc>
          <w:tcPr>
            <w:tcW w:w="990" w:type="dxa"/>
            <w:tcBorders>
              <w:top w:val="nil"/>
              <w:left w:val="nil"/>
              <w:bottom w:val="dotted" w:sz="4" w:space="0" w:color="auto"/>
              <w:right w:val="dashed" w:sz="8" w:space="0" w:color="auto"/>
            </w:tcBorders>
            <w:shd w:val="clear" w:color="auto" w:fill="auto"/>
            <w:vAlign w:val="center"/>
          </w:tcPr>
          <w:p w:rsidR="00FF711A" w:rsidRPr="00FF711A" w:rsidP="00FF711A" w14:paraId="2AAB8C6D" w14:textId="77E085BC">
            <w:pPr>
              <w:widowControl/>
              <w:jc w:val="center"/>
              <w:rPr>
                <w:rFonts w:ascii="Calibri" w:hAnsi="Calibri" w:cs="Calibri"/>
                <w:color w:val="000000"/>
                <w:sz w:val="16"/>
                <w:szCs w:val="16"/>
              </w:rPr>
            </w:pPr>
            <w:r>
              <w:rPr>
                <w:rFonts w:ascii="Calibri" w:hAnsi="Calibri" w:cs="Calibri"/>
                <w:color w:val="000000"/>
                <w:sz w:val="16"/>
                <w:szCs w:val="16"/>
              </w:rPr>
              <w:t>0</w:t>
            </w:r>
          </w:p>
        </w:tc>
        <w:tc>
          <w:tcPr>
            <w:tcW w:w="990" w:type="dxa"/>
            <w:tcBorders>
              <w:top w:val="nil"/>
              <w:left w:val="nil"/>
              <w:bottom w:val="dotted" w:sz="4" w:space="0" w:color="auto"/>
              <w:right w:val="single" w:sz="8" w:space="0" w:color="auto"/>
            </w:tcBorders>
            <w:shd w:val="clear" w:color="auto" w:fill="auto"/>
            <w:vAlign w:val="center"/>
            <w:hideMark/>
          </w:tcPr>
          <w:p w:rsidR="00FF711A" w:rsidRPr="00FF711A" w:rsidP="00FF711A" w14:paraId="1236F795" w14:textId="77777777">
            <w:pPr>
              <w:widowControl/>
              <w:jc w:val="center"/>
              <w:rPr>
                <w:rFonts w:ascii="Calibri" w:hAnsi="Calibri" w:cs="Calibri"/>
                <w:color w:val="000000"/>
                <w:sz w:val="16"/>
                <w:szCs w:val="16"/>
              </w:rPr>
            </w:pPr>
            <w:r w:rsidRPr="00FF711A">
              <w:rPr>
                <w:rFonts w:ascii="Calibri" w:hAnsi="Calibri" w:cs="Calibri"/>
                <w:color w:val="000000"/>
                <w:sz w:val="16"/>
                <w:szCs w:val="16"/>
              </w:rPr>
              <w:t>342</w:t>
            </w:r>
          </w:p>
        </w:tc>
        <w:tc>
          <w:tcPr>
            <w:tcW w:w="1080" w:type="dxa"/>
            <w:tcBorders>
              <w:top w:val="nil"/>
              <w:left w:val="nil"/>
              <w:bottom w:val="dotted" w:sz="4" w:space="0" w:color="auto"/>
              <w:right w:val="dashed" w:sz="8" w:space="0" w:color="auto"/>
            </w:tcBorders>
            <w:shd w:val="clear" w:color="auto" w:fill="auto"/>
            <w:vAlign w:val="center"/>
            <w:hideMark/>
          </w:tcPr>
          <w:p w:rsidR="00FF711A" w:rsidRPr="00FF711A" w:rsidP="00FF711A" w14:paraId="61C4DBA1" w14:textId="355CBCFD">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dashed" w:sz="8" w:space="0" w:color="auto"/>
            </w:tcBorders>
            <w:shd w:val="clear" w:color="auto" w:fill="auto"/>
            <w:vAlign w:val="center"/>
            <w:hideMark/>
          </w:tcPr>
          <w:p w:rsidR="00FF711A" w:rsidRPr="00FF711A" w:rsidP="00FF711A" w14:paraId="582A9AC9" w14:textId="77777777">
            <w:pPr>
              <w:widowControl/>
              <w:jc w:val="center"/>
              <w:rPr>
                <w:rFonts w:ascii="Calibri" w:hAnsi="Calibri" w:cs="Calibri"/>
                <w:color w:val="000000"/>
                <w:sz w:val="16"/>
                <w:szCs w:val="16"/>
              </w:rPr>
            </w:pPr>
            <w:r w:rsidRPr="00FF711A">
              <w:rPr>
                <w:rFonts w:ascii="Calibri" w:hAnsi="Calibri" w:cs="Calibri"/>
                <w:color w:val="000000"/>
                <w:sz w:val="16"/>
                <w:szCs w:val="16"/>
              </w:rPr>
              <w:t>29</w:t>
            </w:r>
          </w:p>
        </w:tc>
        <w:tc>
          <w:tcPr>
            <w:tcW w:w="2700" w:type="dxa"/>
            <w:tcBorders>
              <w:top w:val="nil"/>
              <w:left w:val="nil"/>
              <w:bottom w:val="dotted" w:sz="4" w:space="0" w:color="auto"/>
              <w:right w:val="single" w:sz="8" w:space="0" w:color="auto"/>
            </w:tcBorders>
            <w:shd w:val="clear" w:color="auto" w:fill="auto"/>
            <w:vAlign w:val="center"/>
            <w:hideMark/>
          </w:tcPr>
          <w:p w:rsidR="00FF711A" w:rsidRPr="00FF711A" w:rsidP="00FF711A" w14:paraId="7580EF0D" w14:textId="2D3EE17F">
            <w:pPr>
              <w:widowControl/>
              <w:rPr>
                <w:rFonts w:ascii="Calibri" w:hAnsi="Calibri" w:cs="Calibri"/>
                <w:color w:val="000000"/>
                <w:sz w:val="16"/>
                <w:szCs w:val="16"/>
              </w:rPr>
            </w:pPr>
            <w:r>
              <w:rPr>
                <w:rFonts w:ascii="Calibri" w:hAnsi="Calibri" w:cs="Calibri"/>
                <w:sz w:val="16"/>
                <w:szCs w:val="16"/>
              </w:rPr>
              <w:t>Remove information collection.</w:t>
            </w:r>
          </w:p>
        </w:tc>
      </w:tr>
      <w:tr w14:paraId="769266FE" w14:textId="77777777" w:rsidTr="00106BA5">
        <w:tblPrEx>
          <w:tblW w:w="14085" w:type="dxa"/>
          <w:tblInd w:w="-415" w:type="dxa"/>
          <w:tblLook w:val="04A0"/>
        </w:tblPrEx>
        <w:trPr>
          <w:trHeight w:val="322"/>
        </w:trPr>
        <w:tc>
          <w:tcPr>
            <w:tcW w:w="5085" w:type="dxa"/>
            <w:tcBorders>
              <w:top w:val="nil"/>
              <w:left w:val="single" w:sz="8" w:space="0" w:color="auto"/>
              <w:bottom w:val="nil"/>
              <w:right w:val="single" w:sz="8" w:space="0" w:color="auto"/>
            </w:tcBorders>
            <w:shd w:val="clear" w:color="000000" w:fill="BDD6EE"/>
            <w:vAlign w:val="center"/>
            <w:hideMark/>
          </w:tcPr>
          <w:p w:rsidR="00FF711A" w:rsidRPr="00FF711A" w:rsidP="00FF711A" w14:paraId="6AFC89A2" w14:textId="77777777">
            <w:pPr>
              <w:widowControl/>
              <w:jc w:val="center"/>
              <w:rPr>
                <w:rFonts w:ascii="Calibri" w:hAnsi="Calibri" w:cs="Calibri"/>
                <w:b/>
                <w:bCs/>
                <w:color w:val="000000"/>
                <w:sz w:val="16"/>
                <w:szCs w:val="16"/>
              </w:rPr>
            </w:pPr>
            <w:r w:rsidRPr="00FF711A">
              <w:rPr>
                <w:rFonts w:ascii="Calibri" w:hAnsi="Calibri" w:cs="Calibri"/>
                <w:b/>
                <w:bCs/>
                <w:color w:val="000000"/>
                <w:sz w:val="16"/>
                <w:szCs w:val="16"/>
              </w:rPr>
              <w:t>Total for Collection</w:t>
            </w:r>
          </w:p>
        </w:tc>
        <w:tc>
          <w:tcPr>
            <w:tcW w:w="990" w:type="dxa"/>
            <w:tcBorders>
              <w:top w:val="nil"/>
              <w:left w:val="nil"/>
              <w:bottom w:val="nil"/>
              <w:right w:val="dashed" w:sz="8" w:space="0" w:color="auto"/>
            </w:tcBorders>
            <w:shd w:val="clear" w:color="000000" w:fill="BDD6EE"/>
            <w:vAlign w:val="center"/>
            <w:hideMark/>
          </w:tcPr>
          <w:p w:rsidR="00FF711A" w:rsidRPr="00FF711A" w:rsidP="00FF711A" w14:paraId="7538FD11" w14:textId="109E31A6">
            <w:pPr>
              <w:widowControl/>
              <w:jc w:val="center"/>
              <w:rPr>
                <w:rFonts w:ascii="Calibri" w:hAnsi="Calibri" w:cs="Calibri"/>
                <w:b/>
                <w:bCs/>
                <w:color w:val="000000"/>
                <w:sz w:val="16"/>
                <w:szCs w:val="16"/>
              </w:rPr>
            </w:pPr>
            <w:r>
              <w:rPr>
                <w:rFonts w:ascii="Calibri" w:hAnsi="Calibri" w:cs="Calibri"/>
                <w:b/>
                <w:bCs/>
                <w:color w:val="000000"/>
                <w:sz w:val="16"/>
                <w:szCs w:val="16"/>
              </w:rPr>
              <w:t>0</w:t>
            </w:r>
          </w:p>
        </w:tc>
        <w:tc>
          <w:tcPr>
            <w:tcW w:w="900" w:type="dxa"/>
            <w:tcBorders>
              <w:top w:val="nil"/>
              <w:left w:val="nil"/>
              <w:bottom w:val="nil"/>
              <w:right w:val="single" w:sz="8" w:space="0" w:color="auto"/>
            </w:tcBorders>
            <w:shd w:val="clear" w:color="000000" w:fill="BDD6EE"/>
            <w:vAlign w:val="center"/>
            <w:hideMark/>
          </w:tcPr>
          <w:p w:rsidR="00FF711A" w:rsidRPr="00FF711A" w:rsidP="00117D76" w14:paraId="265160B3" w14:textId="03F6C073">
            <w:pPr>
              <w:widowControl/>
              <w:jc w:val="center"/>
              <w:rPr>
                <w:rFonts w:ascii="Calibri" w:hAnsi="Calibri" w:cs="Calibri"/>
                <w:b/>
                <w:bCs/>
                <w:color w:val="000000"/>
                <w:sz w:val="16"/>
                <w:szCs w:val="16"/>
              </w:rPr>
            </w:pPr>
            <w:r>
              <w:rPr>
                <w:rFonts w:ascii="Calibri" w:hAnsi="Calibri" w:cs="Calibri"/>
                <w:b/>
                <w:bCs/>
                <w:color w:val="000000"/>
                <w:sz w:val="16"/>
                <w:szCs w:val="16"/>
              </w:rPr>
              <w:t>6,947</w:t>
            </w:r>
          </w:p>
        </w:tc>
        <w:tc>
          <w:tcPr>
            <w:tcW w:w="990" w:type="dxa"/>
            <w:tcBorders>
              <w:top w:val="nil"/>
              <w:left w:val="nil"/>
              <w:bottom w:val="nil"/>
              <w:right w:val="dashed" w:sz="8" w:space="0" w:color="auto"/>
            </w:tcBorders>
            <w:shd w:val="clear" w:color="000000" w:fill="BDD6EE"/>
            <w:vAlign w:val="center"/>
            <w:hideMark/>
          </w:tcPr>
          <w:p w:rsidR="00FF711A" w:rsidRPr="00FF711A" w:rsidP="00FF711A" w14:paraId="1AF77FAE" w14:textId="70FEEA96">
            <w:pPr>
              <w:widowControl/>
              <w:jc w:val="center"/>
              <w:rPr>
                <w:rFonts w:ascii="Calibri" w:hAnsi="Calibri" w:cs="Calibri"/>
                <w:b/>
                <w:bCs/>
                <w:color w:val="000000"/>
                <w:sz w:val="16"/>
                <w:szCs w:val="16"/>
              </w:rPr>
            </w:pPr>
            <w:r>
              <w:rPr>
                <w:rFonts w:ascii="Calibri" w:hAnsi="Calibri" w:cs="Calibri"/>
                <w:b/>
                <w:bCs/>
                <w:color w:val="000000"/>
                <w:sz w:val="16"/>
                <w:szCs w:val="16"/>
              </w:rPr>
              <w:t>0</w:t>
            </w:r>
          </w:p>
        </w:tc>
        <w:tc>
          <w:tcPr>
            <w:tcW w:w="990" w:type="dxa"/>
            <w:tcBorders>
              <w:top w:val="nil"/>
              <w:left w:val="nil"/>
              <w:bottom w:val="nil"/>
              <w:right w:val="single" w:sz="8" w:space="0" w:color="auto"/>
            </w:tcBorders>
            <w:shd w:val="clear" w:color="000000" w:fill="BDD6EE"/>
            <w:vAlign w:val="center"/>
            <w:hideMark/>
          </w:tcPr>
          <w:p w:rsidR="00FF711A" w:rsidRPr="00FF711A" w:rsidP="00FF711A" w14:paraId="23EA0915" w14:textId="090AD64D">
            <w:pPr>
              <w:widowControl/>
              <w:jc w:val="center"/>
              <w:rPr>
                <w:rFonts w:ascii="Calibri" w:hAnsi="Calibri" w:cs="Calibri"/>
                <w:b/>
                <w:bCs/>
                <w:color w:val="000000"/>
                <w:sz w:val="16"/>
                <w:szCs w:val="16"/>
              </w:rPr>
            </w:pPr>
            <w:r>
              <w:rPr>
                <w:rFonts w:ascii="Calibri" w:hAnsi="Calibri" w:cs="Calibri"/>
                <w:b/>
                <w:bCs/>
                <w:color w:val="000000"/>
                <w:sz w:val="16"/>
                <w:szCs w:val="16"/>
              </w:rPr>
              <w:t>259,401</w:t>
            </w:r>
          </w:p>
        </w:tc>
        <w:tc>
          <w:tcPr>
            <w:tcW w:w="1080" w:type="dxa"/>
            <w:tcBorders>
              <w:top w:val="nil"/>
              <w:left w:val="nil"/>
              <w:bottom w:val="nil"/>
              <w:right w:val="dashed" w:sz="8" w:space="0" w:color="auto"/>
            </w:tcBorders>
            <w:shd w:val="clear" w:color="000000" w:fill="BDD6EE"/>
            <w:vAlign w:val="center"/>
            <w:hideMark/>
          </w:tcPr>
          <w:p w:rsidR="00FF711A" w:rsidRPr="00FF711A" w:rsidP="00FF711A" w14:paraId="646B406B" w14:textId="3779BF2D">
            <w:pPr>
              <w:widowControl/>
              <w:jc w:val="center"/>
              <w:rPr>
                <w:rFonts w:ascii="Calibri" w:hAnsi="Calibri" w:cs="Calibri"/>
                <w:b/>
                <w:bCs/>
                <w:color w:val="000000"/>
                <w:sz w:val="16"/>
                <w:szCs w:val="16"/>
              </w:rPr>
            </w:pPr>
            <w:r>
              <w:rPr>
                <w:rFonts w:ascii="Calibri" w:hAnsi="Calibri" w:cs="Calibri"/>
                <w:b/>
                <w:bCs/>
                <w:color w:val="000000"/>
                <w:sz w:val="16"/>
                <w:szCs w:val="16"/>
              </w:rPr>
              <w:t>0</w:t>
            </w:r>
          </w:p>
        </w:tc>
        <w:tc>
          <w:tcPr>
            <w:tcW w:w="1350" w:type="dxa"/>
            <w:tcBorders>
              <w:top w:val="nil"/>
              <w:left w:val="nil"/>
              <w:bottom w:val="nil"/>
              <w:right w:val="single" w:sz="8" w:space="0" w:color="auto"/>
            </w:tcBorders>
            <w:shd w:val="clear" w:color="000000" w:fill="BDD6EE"/>
            <w:vAlign w:val="center"/>
            <w:hideMark/>
          </w:tcPr>
          <w:p w:rsidR="00FF711A" w:rsidRPr="00FF711A" w:rsidP="00E91959" w14:paraId="01934841" w14:textId="7E47C094">
            <w:pPr>
              <w:widowControl/>
              <w:jc w:val="center"/>
              <w:rPr>
                <w:rFonts w:ascii="Calibri" w:hAnsi="Calibri" w:cs="Calibri"/>
                <w:b/>
                <w:bCs/>
                <w:color w:val="000000"/>
                <w:sz w:val="16"/>
                <w:szCs w:val="16"/>
              </w:rPr>
            </w:pPr>
            <w:r>
              <w:rPr>
                <w:rFonts w:ascii="Calibri" w:hAnsi="Calibri" w:cs="Calibri"/>
                <w:b/>
                <w:bCs/>
                <w:color w:val="000000"/>
                <w:sz w:val="16"/>
                <w:szCs w:val="16"/>
              </w:rPr>
              <w:t>26,632</w:t>
            </w:r>
          </w:p>
        </w:tc>
        <w:tc>
          <w:tcPr>
            <w:tcW w:w="2700" w:type="dxa"/>
            <w:tcBorders>
              <w:top w:val="nil"/>
              <w:left w:val="nil"/>
              <w:bottom w:val="nil"/>
              <w:right w:val="single" w:sz="8" w:space="0" w:color="auto"/>
            </w:tcBorders>
            <w:shd w:val="clear" w:color="000000" w:fill="000000"/>
            <w:vAlign w:val="center"/>
            <w:hideMark/>
          </w:tcPr>
          <w:p w:rsidR="00FF711A" w:rsidRPr="00FF711A" w:rsidP="00FF711A" w14:paraId="0A479100" w14:textId="77777777">
            <w:pPr>
              <w:widowControl/>
              <w:jc w:val="center"/>
              <w:rPr>
                <w:rFonts w:ascii="Calibri" w:hAnsi="Calibri" w:cs="Calibri"/>
                <w:b/>
                <w:bCs/>
                <w:color w:val="000000"/>
                <w:sz w:val="16"/>
                <w:szCs w:val="16"/>
              </w:rPr>
            </w:pPr>
            <w:r w:rsidRPr="00FF711A">
              <w:rPr>
                <w:rFonts w:ascii="Calibri" w:hAnsi="Calibri" w:cs="Calibri"/>
                <w:b/>
                <w:bCs/>
                <w:color w:val="000000"/>
                <w:sz w:val="16"/>
                <w:szCs w:val="16"/>
              </w:rPr>
              <w:t> </w:t>
            </w:r>
          </w:p>
        </w:tc>
      </w:tr>
      <w:tr w14:paraId="4D3622A9" w14:textId="77777777" w:rsidTr="00106BA5">
        <w:tblPrEx>
          <w:tblW w:w="14085" w:type="dxa"/>
          <w:tblInd w:w="-415" w:type="dxa"/>
          <w:tblLook w:val="04A0"/>
        </w:tblPrEx>
        <w:trPr>
          <w:trHeight w:val="248"/>
        </w:trPr>
        <w:tc>
          <w:tcPr>
            <w:tcW w:w="5085" w:type="dxa"/>
            <w:tcBorders>
              <w:top w:val="single" w:sz="8" w:space="0" w:color="auto"/>
              <w:left w:val="single" w:sz="8" w:space="0" w:color="auto"/>
              <w:bottom w:val="single" w:sz="8" w:space="0" w:color="auto"/>
              <w:right w:val="nil"/>
            </w:tcBorders>
            <w:shd w:val="clear" w:color="000000" w:fill="FCE4D6"/>
            <w:noWrap/>
            <w:vAlign w:val="bottom"/>
            <w:hideMark/>
          </w:tcPr>
          <w:p w:rsidR="00FF711A" w:rsidRPr="00FF711A" w:rsidP="00FF711A" w14:paraId="69861A3D" w14:textId="77777777">
            <w:pPr>
              <w:widowControl/>
              <w:jc w:val="center"/>
              <w:rPr>
                <w:rFonts w:ascii="Calibri" w:hAnsi="Calibri" w:cs="Calibri"/>
                <w:b/>
                <w:bCs/>
                <w:color w:val="000000"/>
                <w:sz w:val="16"/>
                <w:szCs w:val="16"/>
              </w:rPr>
            </w:pPr>
            <w:r w:rsidRPr="00FF711A">
              <w:rPr>
                <w:rFonts w:ascii="Calibri" w:hAnsi="Calibri" w:cs="Calibri"/>
                <w:b/>
                <w:bCs/>
                <w:color w:val="000000"/>
                <w:sz w:val="16"/>
                <w:szCs w:val="16"/>
              </w:rPr>
              <w:t>Difference</w:t>
            </w:r>
          </w:p>
        </w:tc>
        <w:tc>
          <w:tcPr>
            <w:tcW w:w="189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FF711A" w:rsidRPr="00FF711A" w:rsidP="000D6F81" w14:paraId="58A99769" w14:textId="2A42C159">
            <w:pPr>
              <w:widowControl/>
              <w:jc w:val="center"/>
              <w:rPr>
                <w:rFonts w:ascii="Calibri" w:hAnsi="Calibri" w:cs="Calibri"/>
                <w:color w:val="000000"/>
                <w:sz w:val="22"/>
                <w:szCs w:val="22"/>
              </w:rPr>
            </w:pPr>
            <w:r w:rsidRPr="00FF711A">
              <w:rPr>
                <w:rFonts w:ascii="Calibri" w:hAnsi="Calibri" w:cs="Calibri"/>
                <w:color w:val="000000"/>
                <w:sz w:val="22"/>
                <w:szCs w:val="22"/>
              </w:rPr>
              <w:t>-</w:t>
            </w:r>
            <w:r w:rsidR="00A018E4">
              <w:rPr>
                <w:rFonts w:ascii="Calibri" w:hAnsi="Calibri" w:cs="Calibri"/>
                <w:color w:val="000000"/>
                <w:sz w:val="22"/>
                <w:szCs w:val="22"/>
              </w:rPr>
              <w:t>6,947</w:t>
            </w:r>
          </w:p>
        </w:tc>
        <w:tc>
          <w:tcPr>
            <w:tcW w:w="198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FF711A" w:rsidRPr="00FF711A" w:rsidP="000D6F81" w14:paraId="7D227DA5" w14:textId="709EEEC5">
            <w:pPr>
              <w:widowControl/>
              <w:jc w:val="center"/>
              <w:rPr>
                <w:rFonts w:ascii="Calibri" w:hAnsi="Calibri" w:cs="Calibri"/>
                <w:color w:val="000000"/>
                <w:sz w:val="22"/>
                <w:szCs w:val="22"/>
              </w:rPr>
            </w:pPr>
            <w:r>
              <w:rPr>
                <w:rFonts w:ascii="Calibri" w:hAnsi="Calibri" w:cs="Calibri"/>
                <w:color w:val="000000"/>
                <w:sz w:val="22"/>
                <w:szCs w:val="22"/>
              </w:rPr>
              <w:t>-</w:t>
            </w:r>
            <w:r w:rsidR="00A018E4">
              <w:rPr>
                <w:rFonts w:ascii="Calibri" w:hAnsi="Calibri" w:cs="Calibri"/>
                <w:color w:val="000000"/>
                <w:sz w:val="22"/>
                <w:szCs w:val="22"/>
              </w:rPr>
              <w:t>259,401</w:t>
            </w:r>
          </w:p>
        </w:tc>
        <w:tc>
          <w:tcPr>
            <w:tcW w:w="243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FF711A" w:rsidRPr="00FF711A" w:rsidP="000D6F81" w14:paraId="2F3B0F5D" w14:textId="102C3EB0">
            <w:pPr>
              <w:widowControl/>
              <w:jc w:val="center"/>
              <w:rPr>
                <w:rFonts w:ascii="Calibri" w:hAnsi="Calibri" w:cs="Calibri"/>
                <w:color w:val="000000"/>
                <w:sz w:val="22"/>
                <w:szCs w:val="22"/>
              </w:rPr>
            </w:pPr>
            <w:r>
              <w:rPr>
                <w:rFonts w:ascii="Calibri" w:hAnsi="Calibri" w:cs="Calibri"/>
                <w:color w:val="000000"/>
                <w:sz w:val="22"/>
                <w:szCs w:val="22"/>
              </w:rPr>
              <w:t>-</w:t>
            </w:r>
            <w:r w:rsidR="00A018E4">
              <w:rPr>
                <w:rFonts w:ascii="Calibri" w:hAnsi="Calibri" w:cs="Calibri"/>
                <w:color w:val="000000"/>
                <w:sz w:val="22"/>
                <w:szCs w:val="22"/>
              </w:rPr>
              <w:t>26,632*</w:t>
            </w:r>
          </w:p>
        </w:tc>
        <w:tc>
          <w:tcPr>
            <w:tcW w:w="2700" w:type="dxa"/>
            <w:tcBorders>
              <w:top w:val="single" w:sz="8" w:space="0" w:color="auto"/>
              <w:left w:val="nil"/>
              <w:bottom w:val="single" w:sz="8" w:space="0" w:color="auto"/>
              <w:right w:val="single" w:sz="8" w:space="0" w:color="auto"/>
            </w:tcBorders>
            <w:shd w:val="clear" w:color="000000" w:fill="000000"/>
            <w:noWrap/>
            <w:vAlign w:val="bottom"/>
            <w:hideMark/>
          </w:tcPr>
          <w:p w:rsidR="00FF711A" w:rsidRPr="00FF711A" w:rsidP="00FF711A" w14:paraId="07C93655" w14:textId="77777777">
            <w:pPr>
              <w:widowControl/>
              <w:rPr>
                <w:rFonts w:ascii="Calibri" w:hAnsi="Calibri" w:cs="Calibri"/>
                <w:color w:val="000000"/>
                <w:sz w:val="22"/>
                <w:szCs w:val="22"/>
              </w:rPr>
            </w:pPr>
            <w:r w:rsidRPr="00FF711A">
              <w:rPr>
                <w:rFonts w:ascii="Calibri" w:hAnsi="Calibri" w:cs="Calibri"/>
                <w:color w:val="000000"/>
                <w:sz w:val="22"/>
                <w:szCs w:val="22"/>
              </w:rPr>
              <w:t> </w:t>
            </w:r>
          </w:p>
        </w:tc>
      </w:tr>
    </w:tbl>
    <w:p w:rsidR="005515D9" w:rsidP="005B2256" w14:paraId="675FAB9B" w14:textId="06A86800">
      <w:pPr>
        <w:pBdr>
          <w:top w:val="nil"/>
          <w:left w:val="nil"/>
          <w:bottom w:val="nil"/>
          <w:right w:val="nil"/>
          <w:between w:val="nil"/>
        </w:pBdr>
        <w:tabs>
          <w:tab w:val="left" w:pos="360"/>
        </w:tabs>
      </w:pPr>
      <w:r>
        <w:t>* Difference between this and ROCIS is due to rounding.</w:t>
      </w:r>
    </w:p>
    <w:p w:rsidR="00A018E4" w:rsidP="005B2256" w14:paraId="7B18A8EB" w14:textId="77777777">
      <w:pPr>
        <w:pBdr>
          <w:top w:val="nil"/>
          <w:left w:val="nil"/>
          <w:bottom w:val="nil"/>
          <w:right w:val="nil"/>
          <w:between w:val="nil"/>
        </w:pBdr>
        <w:tabs>
          <w:tab w:val="left" w:pos="360"/>
        </w:tabs>
      </w:pPr>
    </w:p>
    <w:tbl>
      <w:tblPr>
        <w:tblW w:w="14040" w:type="dxa"/>
        <w:tblInd w:w="-370" w:type="dxa"/>
        <w:tblLook w:val="04A0"/>
      </w:tblPr>
      <w:tblGrid>
        <w:gridCol w:w="8550"/>
        <w:gridCol w:w="1080"/>
        <w:gridCol w:w="1350"/>
        <w:gridCol w:w="3060"/>
      </w:tblGrid>
      <w:tr w14:paraId="2CF8CAF5" w14:textId="77777777" w:rsidTr="00106BA5">
        <w:tblPrEx>
          <w:tblW w:w="14040" w:type="dxa"/>
          <w:tblInd w:w="-370" w:type="dxa"/>
          <w:tblLook w:val="04A0"/>
        </w:tblPrEx>
        <w:trPr>
          <w:trHeight w:val="296"/>
        </w:trPr>
        <w:tc>
          <w:tcPr>
            <w:tcW w:w="855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91282B" w:rsidRPr="00AA3AA8" w:rsidP="00106BA5" w14:paraId="68C653CE" w14:textId="77777777">
            <w:pPr>
              <w:widowControl/>
              <w:jc w:val="center"/>
              <w:rPr>
                <w:rFonts w:ascii="Calibri" w:hAnsi="Calibri" w:cs="Calibri"/>
                <w:b/>
                <w:bCs/>
                <w:color w:val="000000"/>
                <w:sz w:val="16"/>
                <w:szCs w:val="16"/>
              </w:rPr>
            </w:pPr>
            <w:r w:rsidRPr="00AA3AA8">
              <w:rPr>
                <w:rFonts w:ascii="Calibri" w:hAnsi="Calibri" w:cs="Calibri"/>
                <w:b/>
                <w:bCs/>
                <w:color w:val="000000"/>
                <w:sz w:val="16"/>
                <w:szCs w:val="16"/>
              </w:rPr>
              <w:t>Information Collection</w:t>
            </w:r>
          </w:p>
        </w:tc>
        <w:tc>
          <w:tcPr>
            <w:tcW w:w="2430" w:type="dxa"/>
            <w:gridSpan w:val="2"/>
            <w:tcBorders>
              <w:top w:val="single" w:sz="8" w:space="0" w:color="auto"/>
              <w:left w:val="nil"/>
              <w:bottom w:val="single" w:sz="8" w:space="0" w:color="auto"/>
              <w:right w:val="single" w:sz="8" w:space="0" w:color="000000"/>
            </w:tcBorders>
            <w:shd w:val="clear" w:color="000000" w:fill="5B9BD5"/>
            <w:vAlign w:val="center"/>
            <w:hideMark/>
          </w:tcPr>
          <w:p w:rsidR="0091282B" w:rsidRPr="00AA3AA8" w:rsidP="00106BA5" w14:paraId="167E7D2F" w14:textId="77777777">
            <w:pPr>
              <w:widowControl/>
              <w:jc w:val="center"/>
              <w:rPr>
                <w:rFonts w:ascii="Calibri" w:hAnsi="Calibri" w:cs="Calibri"/>
                <w:b/>
                <w:bCs/>
                <w:color w:val="000000"/>
                <w:sz w:val="16"/>
                <w:szCs w:val="16"/>
              </w:rPr>
            </w:pPr>
            <w:r w:rsidRPr="00AA3AA8">
              <w:rPr>
                <w:rFonts w:ascii="Calibri" w:hAnsi="Calibri" w:cs="Calibri"/>
                <w:b/>
                <w:bCs/>
                <w:color w:val="000000"/>
                <w:sz w:val="16"/>
                <w:szCs w:val="16"/>
              </w:rPr>
              <w:t>Miscellaneous Costs</w:t>
            </w:r>
          </w:p>
        </w:tc>
        <w:tc>
          <w:tcPr>
            <w:tcW w:w="306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91282B" w:rsidRPr="00AA3AA8" w:rsidP="00106BA5" w14:paraId="0D951FFC" w14:textId="77777777">
            <w:pPr>
              <w:widowControl/>
              <w:jc w:val="center"/>
              <w:rPr>
                <w:rFonts w:ascii="Calibri" w:hAnsi="Calibri" w:cs="Calibri"/>
                <w:b/>
                <w:bCs/>
                <w:color w:val="000000"/>
                <w:sz w:val="16"/>
                <w:szCs w:val="16"/>
              </w:rPr>
            </w:pPr>
            <w:r w:rsidRPr="00AA3AA8">
              <w:rPr>
                <w:rFonts w:ascii="Calibri" w:hAnsi="Calibri" w:cs="Calibri"/>
                <w:b/>
                <w:bCs/>
                <w:color w:val="000000"/>
                <w:sz w:val="16"/>
                <w:szCs w:val="16"/>
              </w:rPr>
              <w:t>Reason for change or adjustment</w:t>
            </w:r>
          </w:p>
        </w:tc>
      </w:tr>
      <w:tr w14:paraId="0895F286" w14:textId="77777777" w:rsidTr="00106BA5">
        <w:tblPrEx>
          <w:tblW w:w="14040" w:type="dxa"/>
          <w:tblInd w:w="-370" w:type="dxa"/>
          <w:tblLook w:val="04A0"/>
        </w:tblPrEx>
        <w:trPr>
          <w:trHeight w:val="448"/>
        </w:trPr>
        <w:tc>
          <w:tcPr>
            <w:tcW w:w="8550" w:type="dxa"/>
            <w:vMerge/>
            <w:tcBorders>
              <w:top w:val="single" w:sz="8" w:space="0" w:color="auto"/>
              <w:left w:val="single" w:sz="8" w:space="0" w:color="auto"/>
              <w:bottom w:val="single" w:sz="8" w:space="0" w:color="000000"/>
              <w:right w:val="single" w:sz="8" w:space="0" w:color="auto"/>
            </w:tcBorders>
            <w:vAlign w:val="center"/>
            <w:hideMark/>
          </w:tcPr>
          <w:p w:rsidR="0091282B" w:rsidRPr="00AA3AA8" w:rsidP="00106BA5" w14:paraId="5F8EEC9F" w14:textId="77777777">
            <w:pPr>
              <w:widowControl/>
              <w:jc w:val="center"/>
              <w:rPr>
                <w:rFonts w:ascii="Calibri" w:hAnsi="Calibri" w:cs="Calibri"/>
                <w:b/>
                <w:bCs/>
                <w:color w:val="000000"/>
                <w:sz w:val="16"/>
                <w:szCs w:val="16"/>
              </w:rPr>
            </w:pPr>
          </w:p>
        </w:tc>
        <w:tc>
          <w:tcPr>
            <w:tcW w:w="1080" w:type="dxa"/>
            <w:tcBorders>
              <w:top w:val="nil"/>
              <w:left w:val="nil"/>
              <w:bottom w:val="single" w:sz="8" w:space="0" w:color="auto"/>
              <w:right w:val="dashed" w:sz="8" w:space="0" w:color="auto"/>
            </w:tcBorders>
            <w:shd w:val="clear" w:color="000000" w:fill="FBE4D5"/>
            <w:vAlign w:val="center"/>
            <w:hideMark/>
          </w:tcPr>
          <w:p w:rsidR="0091282B" w:rsidRPr="00AA3AA8" w:rsidP="00106BA5" w14:paraId="17FAB8FE" w14:textId="77777777">
            <w:pPr>
              <w:widowControl/>
              <w:jc w:val="center"/>
              <w:rPr>
                <w:rFonts w:ascii="Calibri" w:hAnsi="Calibri" w:cs="Calibri"/>
                <w:color w:val="000000"/>
                <w:sz w:val="16"/>
                <w:szCs w:val="16"/>
              </w:rPr>
            </w:pPr>
            <w:r w:rsidRPr="00AA3AA8">
              <w:rPr>
                <w:rFonts w:ascii="Calibri" w:hAnsi="Calibri" w:cs="Calibri"/>
                <w:color w:val="000000"/>
                <w:sz w:val="16"/>
                <w:szCs w:val="16"/>
              </w:rPr>
              <w:t>Current</w:t>
            </w:r>
          </w:p>
        </w:tc>
        <w:tc>
          <w:tcPr>
            <w:tcW w:w="1350" w:type="dxa"/>
            <w:tcBorders>
              <w:top w:val="nil"/>
              <w:left w:val="nil"/>
              <w:bottom w:val="single" w:sz="8" w:space="0" w:color="auto"/>
              <w:right w:val="single" w:sz="8" w:space="0" w:color="auto"/>
            </w:tcBorders>
            <w:shd w:val="clear" w:color="000000" w:fill="FBE4D5"/>
            <w:vAlign w:val="center"/>
            <w:hideMark/>
          </w:tcPr>
          <w:p w:rsidR="0091282B" w:rsidRPr="00AA3AA8" w:rsidP="00106BA5" w14:paraId="0897A56B" w14:textId="77777777">
            <w:pPr>
              <w:widowControl/>
              <w:jc w:val="center"/>
              <w:rPr>
                <w:rFonts w:ascii="Calibri" w:hAnsi="Calibri" w:cs="Calibri"/>
                <w:color w:val="000000"/>
                <w:sz w:val="16"/>
                <w:szCs w:val="16"/>
              </w:rPr>
            </w:pPr>
            <w:r w:rsidRPr="00AA3AA8">
              <w:rPr>
                <w:rFonts w:ascii="Calibri" w:hAnsi="Calibri" w:cs="Calibri"/>
                <w:color w:val="000000"/>
                <w:sz w:val="16"/>
                <w:szCs w:val="16"/>
              </w:rPr>
              <w:t>Previous</w:t>
            </w:r>
          </w:p>
        </w:tc>
        <w:tc>
          <w:tcPr>
            <w:tcW w:w="3060" w:type="dxa"/>
            <w:vMerge/>
            <w:tcBorders>
              <w:top w:val="single" w:sz="8" w:space="0" w:color="auto"/>
              <w:left w:val="single" w:sz="8" w:space="0" w:color="auto"/>
              <w:bottom w:val="single" w:sz="8" w:space="0" w:color="000000"/>
              <w:right w:val="single" w:sz="8" w:space="0" w:color="auto"/>
            </w:tcBorders>
            <w:vAlign w:val="center"/>
            <w:hideMark/>
          </w:tcPr>
          <w:p w:rsidR="0091282B" w:rsidRPr="00AA3AA8" w:rsidP="00106BA5" w14:paraId="3CB1B5BD" w14:textId="77777777">
            <w:pPr>
              <w:widowControl/>
              <w:jc w:val="center"/>
              <w:rPr>
                <w:rFonts w:ascii="Calibri" w:hAnsi="Calibri" w:cs="Calibri"/>
                <w:b/>
                <w:bCs/>
                <w:color w:val="000000"/>
                <w:sz w:val="16"/>
                <w:szCs w:val="16"/>
              </w:rPr>
            </w:pPr>
          </w:p>
        </w:tc>
      </w:tr>
      <w:tr w14:paraId="4DACC2A9" w14:textId="77777777" w:rsidTr="00106BA5">
        <w:tblPrEx>
          <w:tblW w:w="14040" w:type="dxa"/>
          <w:tblInd w:w="-370" w:type="dxa"/>
          <w:tblLook w:val="04A0"/>
        </w:tblPrEx>
        <w:trPr>
          <w:trHeight w:val="430"/>
        </w:trPr>
        <w:tc>
          <w:tcPr>
            <w:tcW w:w="855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91282B" w:rsidRPr="00AA3AA8" w:rsidP="00106BA5" w14:paraId="3DAB877C" w14:textId="6710CF0D">
            <w:pPr>
              <w:widowControl/>
              <w:rPr>
                <w:rFonts w:ascii="Calibri" w:hAnsi="Calibri" w:cs="Calibri"/>
                <w:b/>
                <w:bCs/>
                <w:color w:val="000000"/>
                <w:sz w:val="16"/>
                <w:szCs w:val="16"/>
              </w:rPr>
            </w:pPr>
            <w:r w:rsidRPr="00AA3AA8">
              <w:rPr>
                <w:rFonts w:ascii="Calibri" w:hAnsi="Calibri" w:cs="Calibri"/>
                <w:b/>
                <w:bCs/>
                <w:color w:val="000000"/>
                <w:sz w:val="16"/>
                <w:szCs w:val="16"/>
              </w:rPr>
              <w:t>Purchase and Installation of VMS or GPS (Change to - Gulf For-hire Electronic Reporting Program)</w:t>
            </w:r>
          </w:p>
        </w:tc>
        <w:tc>
          <w:tcPr>
            <w:tcW w:w="1080" w:type="dxa"/>
            <w:tcBorders>
              <w:top w:val="nil"/>
              <w:left w:val="nil"/>
              <w:bottom w:val="dotted" w:sz="4" w:space="0" w:color="auto"/>
              <w:right w:val="single" w:sz="8" w:space="0" w:color="auto"/>
            </w:tcBorders>
            <w:shd w:val="clear" w:color="auto" w:fill="auto"/>
            <w:vAlign w:val="center"/>
            <w:hideMark/>
          </w:tcPr>
          <w:p w:rsidR="0091282B" w:rsidRPr="00AA3AA8" w:rsidP="00106BA5" w14:paraId="21847900" w14:textId="01AC591C">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single" w:sz="8" w:space="0" w:color="auto"/>
            </w:tcBorders>
            <w:shd w:val="clear" w:color="auto" w:fill="auto"/>
            <w:vAlign w:val="center"/>
            <w:hideMark/>
          </w:tcPr>
          <w:p w:rsidR="0091282B" w:rsidRPr="00AA3AA8" w:rsidP="00106BA5" w14:paraId="7222A9E6" w14:textId="26F8F73D">
            <w:pPr>
              <w:widowControl/>
              <w:jc w:val="center"/>
              <w:rPr>
                <w:rFonts w:ascii="Calibri" w:hAnsi="Calibri" w:cs="Calibri"/>
                <w:color w:val="000000"/>
                <w:sz w:val="16"/>
                <w:szCs w:val="16"/>
              </w:rPr>
            </w:pPr>
            <w:r w:rsidRPr="00AA3AA8">
              <w:rPr>
                <w:rFonts w:ascii="Calibri" w:hAnsi="Calibri" w:cs="Calibri"/>
                <w:color w:val="000000"/>
                <w:sz w:val="16"/>
                <w:szCs w:val="16"/>
              </w:rPr>
              <w:t>$</w:t>
            </w:r>
            <w:r>
              <w:rPr>
                <w:rFonts w:ascii="Calibri" w:hAnsi="Calibri" w:cs="Calibri"/>
                <w:color w:val="000000"/>
                <w:sz w:val="16"/>
                <w:szCs w:val="16"/>
              </w:rPr>
              <w:t xml:space="preserve"> </w:t>
            </w:r>
            <w:r w:rsidRPr="00AA3AA8">
              <w:rPr>
                <w:rFonts w:ascii="Calibri" w:hAnsi="Calibri" w:cs="Calibri"/>
                <w:color w:val="000000"/>
                <w:sz w:val="16"/>
                <w:szCs w:val="16"/>
              </w:rPr>
              <w:t>162,167</w:t>
            </w:r>
          </w:p>
        </w:tc>
        <w:tc>
          <w:tcPr>
            <w:tcW w:w="3060" w:type="dxa"/>
            <w:tcBorders>
              <w:left w:val="nil"/>
              <w:right w:val="single" w:sz="8" w:space="0" w:color="auto"/>
            </w:tcBorders>
            <w:shd w:val="clear" w:color="auto" w:fill="auto"/>
            <w:vAlign w:val="center"/>
            <w:hideMark/>
          </w:tcPr>
          <w:p w:rsidR="0091282B" w:rsidRPr="00AA3AA8" w:rsidP="00106BA5" w14:paraId="36DCBF89" w14:textId="2AA56731">
            <w:pPr>
              <w:widowControl/>
              <w:jc w:val="center"/>
              <w:rPr>
                <w:rFonts w:ascii="Calibri" w:hAnsi="Calibri" w:cs="Calibri"/>
                <w:color w:val="000000"/>
                <w:sz w:val="16"/>
                <w:szCs w:val="16"/>
              </w:rPr>
            </w:pPr>
            <w:r w:rsidRPr="000227FE">
              <w:rPr>
                <w:rFonts w:ascii="Calibri" w:hAnsi="Calibri" w:cs="Calibri"/>
                <w:sz w:val="16"/>
                <w:szCs w:val="16"/>
              </w:rPr>
              <w:t>Remove information collection.</w:t>
            </w:r>
          </w:p>
        </w:tc>
      </w:tr>
      <w:tr w14:paraId="3AD1B992" w14:textId="77777777" w:rsidTr="00106BA5">
        <w:tblPrEx>
          <w:tblW w:w="14040" w:type="dxa"/>
          <w:tblInd w:w="-370" w:type="dxa"/>
          <w:tblLook w:val="04A0"/>
        </w:tblPrEx>
        <w:trPr>
          <w:trHeight w:val="350"/>
        </w:trPr>
        <w:tc>
          <w:tcPr>
            <w:tcW w:w="855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91282B" w:rsidRPr="00AA3AA8" w:rsidP="00106BA5" w14:paraId="77B4A9B4" w14:textId="4A1261D4">
            <w:pPr>
              <w:widowControl/>
              <w:rPr>
                <w:rFonts w:ascii="Calibri" w:hAnsi="Calibri" w:cs="Calibri"/>
                <w:b/>
                <w:bCs/>
                <w:color w:val="000000"/>
                <w:sz w:val="16"/>
                <w:szCs w:val="16"/>
              </w:rPr>
            </w:pPr>
            <w:r w:rsidRPr="00AA3AA8">
              <w:rPr>
                <w:rFonts w:ascii="Calibri" w:hAnsi="Calibri" w:cs="Calibri"/>
                <w:b/>
                <w:bCs/>
                <w:color w:val="000000"/>
                <w:sz w:val="16"/>
                <w:szCs w:val="16"/>
              </w:rPr>
              <w:t xml:space="preserve">Intercept Survey (to validate Gulf For-hire </w:t>
            </w:r>
            <w:r>
              <w:rPr>
                <w:rFonts w:ascii="Calibri" w:hAnsi="Calibri" w:cs="Calibri"/>
                <w:b/>
                <w:bCs/>
                <w:color w:val="000000"/>
                <w:sz w:val="16"/>
                <w:szCs w:val="16"/>
              </w:rPr>
              <w:t>Program</w:t>
            </w:r>
            <w:r w:rsidRPr="00AA3AA8">
              <w:rPr>
                <w:rFonts w:ascii="Calibri" w:hAnsi="Calibri" w:cs="Calibri"/>
                <w:b/>
                <w:bCs/>
                <w:color w:val="000000"/>
                <w:sz w:val="16"/>
                <w:szCs w:val="16"/>
              </w:rPr>
              <w:t>)</w:t>
            </w:r>
          </w:p>
        </w:tc>
        <w:tc>
          <w:tcPr>
            <w:tcW w:w="1080" w:type="dxa"/>
            <w:tcBorders>
              <w:top w:val="nil"/>
              <w:left w:val="nil"/>
              <w:bottom w:val="dotted" w:sz="4" w:space="0" w:color="auto"/>
              <w:right w:val="dashed" w:sz="8" w:space="0" w:color="auto"/>
            </w:tcBorders>
            <w:shd w:val="clear" w:color="auto" w:fill="auto"/>
            <w:vAlign w:val="center"/>
            <w:hideMark/>
          </w:tcPr>
          <w:p w:rsidR="0091282B" w:rsidRPr="00AA3AA8" w:rsidP="00106BA5" w14:paraId="62A89655" w14:textId="150E7A03">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single" w:sz="8" w:space="0" w:color="auto"/>
            </w:tcBorders>
            <w:shd w:val="clear" w:color="auto" w:fill="auto"/>
            <w:vAlign w:val="center"/>
            <w:hideMark/>
          </w:tcPr>
          <w:p w:rsidR="0091282B" w:rsidRPr="00AA3AA8" w:rsidP="00106BA5" w14:paraId="789C27BF" w14:textId="383199FB">
            <w:pPr>
              <w:widowControl/>
              <w:jc w:val="center"/>
              <w:rPr>
                <w:rFonts w:ascii="Calibri" w:hAnsi="Calibri" w:cs="Calibri"/>
                <w:color w:val="000000"/>
                <w:sz w:val="16"/>
                <w:szCs w:val="16"/>
              </w:rPr>
            </w:pPr>
            <w:r>
              <w:rPr>
                <w:rFonts w:ascii="Calibri" w:hAnsi="Calibri" w:cs="Calibri"/>
                <w:color w:val="000000"/>
                <w:sz w:val="16"/>
                <w:szCs w:val="16"/>
              </w:rPr>
              <w:t>0</w:t>
            </w:r>
          </w:p>
        </w:tc>
        <w:tc>
          <w:tcPr>
            <w:tcW w:w="3060" w:type="dxa"/>
            <w:tcBorders>
              <w:left w:val="nil"/>
              <w:right w:val="single" w:sz="8" w:space="0" w:color="auto"/>
            </w:tcBorders>
            <w:shd w:val="clear" w:color="auto" w:fill="auto"/>
            <w:vAlign w:val="center"/>
            <w:hideMark/>
          </w:tcPr>
          <w:p w:rsidR="0091282B" w:rsidRPr="00AA3AA8" w:rsidP="00106BA5" w14:paraId="19ADC7AB" w14:textId="2674924D">
            <w:pPr>
              <w:widowControl/>
              <w:jc w:val="center"/>
              <w:rPr>
                <w:rFonts w:ascii="Calibri" w:hAnsi="Calibri" w:cs="Calibri"/>
                <w:color w:val="000000"/>
                <w:sz w:val="16"/>
                <w:szCs w:val="16"/>
              </w:rPr>
            </w:pPr>
            <w:r w:rsidRPr="000227FE">
              <w:rPr>
                <w:rFonts w:ascii="Calibri" w:hAnsi="Calibri" w:cs="Calibri"/>
                <w:sz w:val="16"/>
                <w:szCs w:val="16"/>
              </w:rPr>
              <w:t>Remove information collection.</w:t>
            </w:r>
          </w:p>
        </w:tc>
      </w:tr>
      <w:tr w14:paraId="389E9346" w14:textId="77777777" w:rsidTr="00106BA5">
        <w:tblPrEx>
          <w:tblW w:w="14040" w:type="dxa"/>
          <w:tblInd w:w="-370" w:type="dxa"/>
          <w:tblLook w:val="04A0"/>
        </w:tblPrEx>
        <w:trPr>
          <w:trHeight w:val="296"/>
        </w:trPr>
        <w:tc>
          <w:tcPr>
            <w:tcW w:w="8550" w:type="dxa"/>
            <w:tcBorders>
              <w:top w:val="nil"/>
              <w:left w:val="single" w:sz="8" w:space="0" w:color="000000"/>
              <w:bottom w:val="single" w:sz="8" w:space="0" w:color="000000"/>
              <w:right w:val="single" w:sz="8" w:space="0" w:color="000000"/>
            </w:tcBorders>
            <w:shd w:val="clear" w:color="auto" w:fill="auto"/>
            <w:vAlign w:val="center"/>
            <w:hideMark/>
          </w:tcPr>
          <w:p w:rsidR="0091282B" w:rsidRPr="00AA3AA8" w:rsidP="00106BA5" w14:paraId="1AC8F6B3" w14:textId="77777777">
            <w:pPr>
              <w:widowControl/>
              <w:rPr>
                <w:rFonts w:ascii="Calibri" w:hAnsi="Calibri" w:cs="Calibri"/>
                <w:b/>
                <w:bCs/>
                <w:color w:val="000000"/>
                <w:sz w:val="16"/>
                <w:szCs w:val="16"/>
              </w:rPr>
            </w:pPr>
            <w:r w:rsidRPr="00AA3AA8">
              <w:rPr>
                <w:rFonts w:ascii="Calibri" w:hAnsi="Calibri" w:cs="Calibri"/>
                <w:b/>
                <w:bCs/>
                <w:color w:val="000000"/>
                <w:sz w:val="16"/>
                <w:szCs w:val="16"/>
              </w:rPr>
              <w:t>Landing location request</w:t>
            </w:r>
          </w:p>
        </w:tc>
        <w:tc>
          <w:tcPr>
            <w:tcW w:w="1080" w:type="dxa"/>
            <w:tcBorders>
              <w:top w:val="nil"/>
              <w:left w:val="nil"/>
              <w:bottom w:val="dotted" w:sz="4" w:space="0" w:color="auto"/>
              <w:right w:val="dashed" w:sz="8" w:space="0" w:color="auto"/>
            </w:tcBorders>
            <w:shd w:val="clear" w:color="auto" w:fill="auto"/>
            <w:vAlign w:val="center"/>
            <w:hideMark/>
          </w:tcPr>
          <w:p w:rsidR="0091282B" w:rsidRPr="00AA3AA8" w:rsidP="00106BA5" w14:paraId="46153572" w14:textId="1FB38F94">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single" w:sz="8" w:space="0" w:color="auto"/>
            </w:tcBorders>
            <w:shd w:val="clear" w:color="auto" w:fill="auto"/>
            <w:vAlign w:val="center"/>
            <w:hideMark/>
          </w:tcPr>
          <w:p w:rsidR="0091282B" w:rsidRPr="00AA3AA8" w:rsidP="00106BA5" w14:paraId="36B03AF8" w14:textId="5B948F23">
            <w:pPr>
              <w:widowControl/>
              <w:jc w:val="center"/>
              <w:rPr>
                <w:rFonts w:ascii="Calibri" w:hAnsi="Calibri" w:cs="Calibri"/>
                <w:color w:val="000000"/>
                <w:sz w:val="16"/>
                <w:szCs w:val="16"/>
              </w:rPr>
            </w:pPr>
            <w:r w:rsidRPr="00AA3AA8">
              <w:rPr>
                <w:rFonts w:ascii="Calibri" w:hAnsi="Calibri" w:cs="Calibri"/>
                <w:color w:val="000000"/>
                <w:sz w:val="16"/>
                <w:szCs w:val="16"/>
              </w:rPr>
              <w:t>$</w:t>
            </w:r>
            <w:r>
              <w:rPr>
                <w:rFonts w:ascii="Calibri" w:hAnsi="Calibri" w:cs="Calibri"/>
                <w:color w:val="000000"/>
                <w:sz w:val="16"/>
                <w:szCs w:val="16"/>
              </w:rPr>
              <w:t xml:space="preserve"> </w:t>
            </w:r>
            <w:r w:rsidRPr="00AA3AA8">
              <w:rPr>
                <w:rFonts w:ascii="Calibri" w:hAnsi="Calibri" w:cs="Calibri"/>
                <w:color w:val="000000"/>
                <w:sz w:val="16"/>
                <w:szCs w:val="16"/>
              </w:rPr>
              <w:t>79</w:t>
            </w:r>
          </w:p>
        </w:tc>
        <w:tc>
          <w:tcPr>
            <w:tcW w:w="3060" w:type="dxa"/>
            <w:tcBorders>
              <w:left w:val="nil"/>
              <w:right w:val="single" w:sz="8" w:space="0" w:color="auto"/>
            </w:tcBorders>
            <w:shd w:val="clear" w:color="auto" w:fill="auto"/>
            <w:vAlign w:val="center"/>
            <w:hideMark/>
          </w:tcPr>
          <w:p w:rsidR="0091282B" w:rsidRPr="00AA3AA8" w:rsidP="00106BA5" w14:paraId="21D30CCB" w14:textId="611D6318">
            <w:pPr>
              <w:widowControl/>
              <w:jc w:val="center"/>
              <w:rPr>
                <w:rFonts w:ascii="Calibri" w:hAnsi="Calibri" w:cs="Calibri"/>
                <w:color w:val="000000"/>
                <w:sz w:val="16"/>
                <w:szCs w:val="16"/>
              </w:rPr>
            </w:pPr>
            <w:r w:rsidRPr="000227FE">
              <w:rPr>
                <w:rFonts w:ascii="Calibri" w:hAnsi="Calibri" w:cs="Calibri"/>
                <w:sz w:val="16"/>
                <w:szCs w:val="16"/>
              </w:rPr>
              <w:t>Remove information collection.</w:t>
            </w:r>
          </w:p>
        </w:tc>
      </w:tr>
      <w:tr w14:paraId="431EB466" w14:textId="77777777" w:rsidTr="00106BA5">
        <w:tblPrEx>
          <w:tblW w:w="14040" w:type="dxa"/>
          <w:tblInd w:w="-370" w:type="dxa"/>
          <w:tblLook w:val="04A0"/>
        </w:tblPrEx>
        <w:trPr>
          <w:trHeight w:val="296"/>
        </w:trPr>
        <w:tc>
          <w:tcPr>
            <w:tcW w:w="8550" w:type="dxa"/>
            <w:tcBorders>
              <w:top w:val="nil"/>
              <w:left w:val="single" w:sz="8" w:space="0" w:color="000000"/>
              <w:bottom w:val="single" w:sz="8" w:space="0" w:color="000000"/>
              <w:right w:val="single" w:sz="8" w:space="0" w:color="000000"/>
            </w:tcBorders>
            <w:shd w:val="clear" w:color="auto" w:fill="auto"/>
            <w:vAlign w:val="center"/>
            <w:hideMark/>
          </w:tcPr>
          <w:p w:rsidR="0091282B" w:rsidRPr="00AA3AA8" w:rsidP="00106BA5" w14:paraId="3684C1DE" w14:textId="77777777">
            <w:pPr>
              <w:widowControl/>
              <w:rPr>
                <w:rFonts w:ascii="Calibri" w:hAnsi="Calibri" w:cs="Calibri"/>
                <w:b/>
                <w:bCs/>
                <w:color w:val="000000"/>
                <w:sz w:val="16"/>
                <w:szCs w:val="16"/>
              </w:rPr>
            </w:pPr>
            <w:r w:rsidRPr="00AA3AA8">
              <w:rPr>
                <w:rFonts w:ascii="Calibri" w:hAnsi="Calibri" w:cs="Calibri"/>
                <w:b/>
                <w:bCs/>
                <w:color w:val="000000"/>
                <w:sz w:val="16"/>
                <w:szCs w:val="16"/>
              </w:rPr>
              <w:t>Trip declaration</w:t>
            </w:r>
          </w:p>
        </w:tc>
        <w:tc>
          <w:tcPr>
            <w:tcW w:w="1080" w:type="dxa"/>
            <w:tcBorders>
              <w:top w:val="nil"/>
              <w:left w:val="nil"/>
              <w:bottom w:val="dotted" w:sz="4" w:space="0" w:color="auto"/>
              <w:right w:val="single" w:sz="8" w:space="0" w:color="auto"/>
            </w:tcBorders>
            <w:shd w:val="clear" w:color="auto" w:fill="auto"/>
            <w:vAlign w:val="center"/>
            <w:hideMark/>
          </w:tcPr>
          <w:p w:rsidR="0091282B" w:rsidRPr="00AA3AA8" w:rsidP="00106BA5" w14:paraId="4898E4AE" w14:textId="3E0F8371">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single" w:sz="8" w:space="0" w:color="auto"/>
            </w:tcBorders>
            <w:shd w:val="clear" w:color="auto" w:fill="auto"/>
            <w:vAlign w:val="center"/>
            <w:hideMark/>
          </w:tcPr>
          <w:p w:rsidR="0091282B" w:rsidRPr="00AA3AA8" w:rsidP="00106BA5" w14:paraId="2C89C9BE" w14:textId="6A3F0CEE">
            <w:pPr>
              <w:widowControl/>
              <w:jc w:val="center"/>
              <w:rPr>
                <w:rFonts w:ascii="Calibri" w:hAnsi="Calibri" w:cs="Calibri"/>
                <w:color w:val="000000"/>
                <w:sz w:val="16"/>
                <w:szCs w:val="16"/>
              </w:rPr>
            </w:pPr>
            <w:r w:rsidRPr="00AA3AA8">
              <w:rPr>
                <w:rFonts w:ascii="Calibri" w:hAnsi="Calibri" w:cs="Calibri"/>
                <w:color w:val="000000"/>
                <w:sz w:val="16"/>
                <w:szCs w:val="16"/>
              </w:rPr>
              <w:t>$1,395,360</w:t>
            </w:r>
          </w:p>
        </w:tc>
        <w:tc>
          <w:tcPr>
            <w:tcW w:w="3060" w:type="dxa"/>
            <w:tcBorders>
              <w:left w:val="nil"/>
              <w:right w:val="single" w:sz="8" w:space="0" w:color="auto"/>
            </w:tcBorders>
            <w:shd w:val="clear" w:color="auto" w:fill="auto"/>
            <w:vAlign w:val="center"/>
            <w:hideMark/>
          </w:tcPr>
          <w:p w:rsidR="0091282B" w:rsidRPr="00AA3AA8" w:rsidP="00106BA5" w14:paraId="3D0D5265" w14:textId="3F6F88BA">
            <w:pPr>
              <w:widowControl/>
              <w:jc w:val="center"/>
              <w:rPr>
                <w:rFonts w:ascii="Calibri" w:hAnsi="Calibri" w:cs="Calibri"/>
                <w:color w:val="000000"/>
                <w:sz w:val="16"/>
                <w:szCs w:val="16"/>
              </w:rPr>
            </w:pPr>
            <w:r w:rsidRPr="000227FE">
              <w:rPr>
                <w:rFonts w:ascii="Calibri" w:hAnsi="Calibri" w:cs="Calibri"/>
                <w:sz w:val="16"/>
                <w:szCs w:val="16"/>
              </w:rPr>
              <w:t>Remove information collection.</w:t>
            </w:r>
          </w:p>
        </w:tc>
      </w:tr>
      <w:tr w14:paraId="71E8F72B" w14:textId="77777777" w:rsidTr="00106BA5">
        <w:tblPrEx>
          <w:tblW w:w="14040" w:type="dxa"/>
          <w:tblInd w:w="-370" w:type="dxa"/>
          <w:tblLook w:val="04A0"/>
        </w:tblPrEx>
        <w:trPr>
          <w:trHeight w:val="296"/>
        </w:trPr>
        <w:tc>
          <w:tcPr>
            <w:tcW w:w="8550" w:type="dxa"/>
            <w:tcBorders>
              <w:top w:val="nil"/>
              <w:left w:val="single" w:sz="8" w:space="0" w:color="000000"/>
              <w:bottom w:val="single" w:sz="8" w:space="0" w:color="000000"/>
              <w:right w:val="single" w:sz="8" w:space="0" w:color="000000"/>
            </w:tcBorders>
            <w:shd w:val="clear" w:color="auto" w:fill="auto"/>
            <w:vAlign w:val="center"/>
            <w:hideMark/>
          </w:tcPr>
          <w:p w:rsidR="0091282B" w:rsidRPr="00AA3AA8" w:rsidP="00106BA5" w14:paraId="0BFB8061" w14:textId="77777777">
            <w:pPr>
              <w:widowControl/>
              <w:rPr>
                <w:rFonts w:ascii="Calibri" w:hAnsi="Calibri" w:cs="Calibri"/>
                <w:b/>
                <w:bCs/>
                <w:color w:val="000000"/>
                <w:sz w:val="16"/>
                <w:szCs w:val="16"/>
              </w:rPr>
            </w:pPr>
            <w:r w:rsidRPr="00AA3AA8">
              <w:rPr>
                <w:rFonts w:ascii="Calibri" w:hAnsi="Calibri" w:cs="Calibri"/>
                <w:b/>
                <w:bCs/>
                <w:color w:val="000000"/>
                <w:sz w:val="16"/>
                <w:szCs w:val="16"/>
              </w:rPr>
              <w:t>Fishing report (per trip)</w:t>
            </w:r>
          </w:p>
        </w:tc>
        <w:tc>
          <w:tcPr>
            <w:tcW w:w="1080" w:type="dxa"/>
            <w:tcBorders>
              <w:top w:val="nil"/>
              <w:left w:val="nil"/>
              <w:bottom w:val="dotted" w:sz="4" w:space="0" w:color="auto"/>
              <w:right w:val="dashed" w:sz="8" w:space="0" w:color="auto"/>
            </w:tcBorders>
            <w:shd w:val="clear" w:color="auto" w:fill="auto"/>
            <w:vAlign w:val="center"/>
            <w:hideMark/>
          </w:tcPr>
          <w:p w:rsidR="0091282B" w:rsidRPr="00AA3AA8" w:rsidP="00106BA5" w14:paraId="5F49846E" w14:textId="0BD53960">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single" w:sz="8" w:space="0" w:color="auto"/>
            </w:tcBorders>
            <w:shd w:val="clear" w:color="auto" w:fill="auto"/>
            <w:vAlign w:val="center"/>
            <w:hideMark/>
          </w:tcPr>
          <w:p w:rsidR="0091282B" w:rsidRPr="00AA3AA8" w:rsidP="00106BA5" w14:paraId="226A618E" w14:textId="0FE006D1">
            <w:pPr>
              <w:widowControl/>
              <w:jc w:val="center"/>
              <w:rPr>
                <w:rFonts w:ascii="Calibri" w:hAnsi="Calibri" w:cs="Calibri"/>
                <w:color w:val="000000"/>
                <w:sz w:val="16"/>
                <w:szCs w:val="16"/>
              </w:rPr>
            </w:pPr>
            <w:r>
              <w:rPr>
                <w:rFonts w:ascii="Calibri" w:hAnsi="Calibri" w:cs="Calibri"/>
                <w:color w:val="000000"/>
                <w:sz w:val="16"/>
                <w:szCs w:val="16"/>
              </w:rPr>
              <w:t>0</w:t>
            </w:r>
          </w:p>
        </w:tc>
        <w:tc>
          <w:tcPr>
            <w:tcW w:w="3060" w:type="dxa"/>
            <w:tcBorders>
              <w:left w:val="nil"/>
              <w:right w:val="single" w:sz="8" w:space="0" w:color="auto"/>
            </w:tcBorders>
            <w:shd w:val="clear" w:color="auto" w:fill="auto"/>
            <w:vAlign w:val="center"/>
            <w:hideMark/>
          </w:tcPr>
          <w:p w:rsidR="0091282B" w:rsidRPr="00AA3AA8" w:rsidP="00106BA5" w14:paraId="662D4625" w14:textId="34DD2ED3">
            <w:pPr>
              <w:widowControl/>
              <w:jc w:val="center"/>
              <w:rPr>
                <w:rFonts w:ascii="Calibri" w:hAnsi="Calibri" w:cs="Calibri"/>
                <w:color w:val="000000"/>
                <w:sz w:val="16"/>
                <w:szCs w:val="16"/>
              </w:rPr>
            </w:pPr>
            <w:r w:rsidRPr="000227FE">
              <w:rPr>
                <w:rFonts w:ascii="Calibri" w:hAnsi="Calibri" w:cs="Calibri"/>
                <w:sz w:val="16"/>
                <w:szCs w:val="16"/>
              </w:rPr>
              <w:t>Remove information collection.</w:t>
            </w:r>
          </w:p>
        </w:tc>
      </w:tr>
      <w:tr w14:paraId="71FD4B20" w14:textId="77777777" w:rsidTr="00106BA5">
        <w:tblPrEx>
          <w:tblW w:w="14040" w:type="dxa"/>
          <w:tblInd w:w="-370" w:type="dxa"/>
          <w:tblLook w:val="04A0"/>
        </w:tblPrEx>
        <w:trPr>
          <w:trHeight w:val="358"/>
        </w:trPr>
        <w:tc>
          <w:tcPr>
            <w:tcW w:w="8550" w:type="dxa"/>
            <w:tcBorders>
              <w:top w:val="nil"/>
              <w:left w:val="single" w:sz="8" w:space="0" w:color="000000"/>
              <w:bottom w:val="single" w:sz="8" w:space="0" w:color="000000"/>
              <w:right w:val="single" w:sz="8" w:space="0" w:color="000000"/>
            </w:tcBorders>
            <w:shd w:val="clear" w:color="auto" w:fill="auto"/>
            <w:vAlign w:val="center"/>
            <w:hideMark/>
          </w:tcPr>
          <w:p w:rsidR="0091282B" w:rsidRPr="00AA3AA8" w:rsidP="00106BA5" w14:paraId="115F24E2" w14:textId="77777777">
            <w:pPr>
              <w:widowControl/>
              <w:rPr>
                <w:rFonts w:ascii="Calibri" w:hAnsi="Calibri" w:cs="Calibri"/>
                <w:b/>
                <w:bCs/>
                <w:color w:val="000000"/>
                <w:sz w:val="16"/>
                <w:szCs w:val="16"/>
              </w:rPr>
            </w:pPr>
            <w:r w:rsidRPr="00AA3AA8">
              <w:rPr>
                <w:rFonts w:ascii="Calibri" w:hAnsi="Calibri" w:cs="Calibri"/>
                <w:b/>
                <w:bCs/>
                <w:color w:val="000000"/>
                <w:sz w:val="16"/>
                <w:szCs w:val="16"/>
              </w:rPr>
              <w:t>Power-down exemption request</w:t>
            </w:r>
          </w:p>
        </w:tc>
        <w:tc>
          <w:tcPr>
            <w:tcW w:w="1080" w:type="dxa"/>
            <w:tcBorders>
              <w:top w:val="nil"/>
              <w:left w:val="nil"/>
              <w:bottom w:val="dotted" w:sz="4" w:space="0" w:color="auto"/>
              <w:right w:val="dashed" w:sz="8" w:space="0" w:color="auto"/>
            </w:tcBorders>
            <w:shd w:val="clear" w:color="auto" w:fill="auto"/>
            <w:vAlign w:val="center"/>
            <w:hideMark/>
          </w:tcPr>
          <w:p w:rsidR="0091282B" w:rsidRPr="00AA3AA8" w:rsidP="00106BA5" w14:paraId="6EA4281E" w14:textId="5F512E40">
            <w:pPr>
              <w:widowControl/>
              <w:jc w:val="center"/>
              <w:rPr>
                <w:rFonts w:ascii="Calibri" w:hAnsi="Calibri" w:cs="Calibri"/>
                <w:color w:val="000000"/>
                <w:sz w:val="16"/>
                <w:szCs w:val="16"/>
              </w:rPr>
            </w:pPr>
            <w:r>
              <w:rPr>
                <w:rFonts w:ascii="Calibri" w:hAnsi="Calibri" w:cs="Calibri"/>
                <w:color w:val="000000"/>
                <w:sz w:val="16"/>
                <w:szCs w:val="16"/>
              </w:rPr>
              <w:t>0</w:t>
            </w:r>
          </w:p>
        </w:tc>
        <w:tc>
          <w:tcPr>
            <w:tcW w:w="1350" w:type="dxa"/>
            <w:tcBorders>
              <w:top w:val="nil"/>
              <w:left w:val="nil"/>
              <w:bottom w:val="dotted" w:sz="4" w:space="0" w:color="auto"/>
              <w:right w:val="single" w:sz="8" w:space="0" w:color="auto"/>
            </w:tcBorders>
            <w:shd w:val="clear" w:color="auto" w:fill="auto"/>
            <w:vAlign w:val="center"/>
            <w:hideMark/>
          </w:tcPr>
          <w:p w:rsidR="0091282B" w:rsidRPr="00AA3AA8" w:rsidP="00106BA5" w14:paraId="2AA3EF0D" w14:textId="59081E21">
            <w:pPr>
              <w:widowControl/>
              <w:jc w:val="center"/>
              <w:rPr>
                <w:rFonts w:ascii="Calibri" w:hAnsi="Calibri" w:cs="Calibri"/>
                <w:color w:val="000000"/>
                <w:sz w:val="16"/>
                <w:szCs w:val="16"/>
              </w:rPr>
            </w:pPr>
            <w:r w:rsidRPr="00AA3AA8">
              <w:rPr>
                <w:rFonts w:ascii="Calibri" w:hAnsi="Calibri" w:cs="Calibri"/>
                <w:color w:val="000000"/>
                <w:sz w:val="16"/>
                <w:szCs w:val="16"/>
              </w:rPr>
              <w:t>$</w:t>
            </w:r>
            <w:r>
              <w:rPr>
                <w:rFonts w:ascii="Calibri" w:hAnsi="Calibri" w:cs="Calibri"/>
                <w:color w:val="000000"/>
                <w:sz w:val="16"/>
                <w:szCs w:val="16"/>
              </w:rPr>
              <w:t xml:space="preserve"> </w:t>
            </w:r>
            <w:r w:rsidRPr="00AA3AA8">
              <w:rPr>
                <w:rFonts w:ascii="Calibri" w:hAnsi="Calibri" w:cs="Calibri"/>
                <w:color w:val="000000"/>
                <w:sz w:val="16"/>
                <w:szCs w:val="16"/>
              </w:rPr>
              <w:t>205</w:t>
            </w:r>
          </w:p>
        </w:tc>
        <w:tc>
          <w:tcPr>
            <w:tcW w:w="3060" w:type="dxa"/>
            <w:tcBorders>
              <w:left w:val="nil"/>
              <w:bottom w:val="dotted" w:sz="4" w:space="0" w:color="auto"/>
              <w:right w:val="single" w:sz="8" w:space="0" w:color="auto"/>
            </w:tcBorders>
            <w:shd w:val="clear" w:color="auto" w:fill="auto"/>
            <w:vAlign w:val="center"/>
            <w:hideMark/>
          </w:tcPr>
          <w:p w:rsidR="0091282B" w:rsidRPr="00AA3AA8" w:rsidP="00106BA5" w14:paraId="6E168BC7" w14:textId="245A13AB">
            <w:pPr>
              <w:widowControl/>
              <w:jc w:val="center"/>
              <w:rPr>
                <w:rFonts w:ascii="Calibri" w:hAnsi="Calibri" w:cs="Calibri"/>
                <w:color w:val="000000"/>
                <w:sz w:val="16"/>
                <w:szCs w:val="16"/>
              </w:rPr>
            </w:pPr>
            <w:r w:rsidRPr="000227FE">
              <w:rPr>
                <w:rFonts w:ascii="Calibri" w:hAnsi="Calibri" w:cs="Calibri"/>
                <w:sz w:val="16"/>
                <w:szCs w:val="16"/>
              </w:rPr>
              <w:t>Remove information collection.</w:t>
            </w:r>
          </w:p>
        </w:tc>
      </w:tr>
      <w:tr w14:paraId="48B96693" w14:textId="77777777" w:rsidTr="00106BA5">
        <w:tblPrEx>
          <w:tblW w:w="14040" w:type="dxa"/>
          <w:tblInd w:w="-370" w:type="dxa"/>
          <w:tblLook w:val="04A0"/>
        </w:tblPrEx>
        <w:trPr>
          <w:trHeight w:val="250"/>
        </w:trPr>
        <w:tc>
          <w:tcPr>
            <w:tcW w:w="8550" w:type="dxa"/>
            <w:tcBorders>
              <w:top w:val="nil"/>
              <w:left w:val="single" w:sz="8" w:space="0" w:color="auto"/>
              <w:bottom w:val="nil"/>
              <w:right w:val="single" w:sz="8" w:space="0" w:color="auto"/>
            </w:tcBorders>
            <w:shd w:val="clear" w:color="000000" w:fill="BDD6EE"/>
            <w:vAlign w:val="center"/>
            <w:hideMark/>
          </w:tcPr>
          <w:p w:rsidR="0091282B" w:rsidRPr="00AA3AA8" w:rsidP="00106BA5" w14:paraId="1D37F1F4" w14:textId="77777777">
            <w:pPr>
              <w:widowControl/>
              <w:jc w:val="center"/>
              <w:rPr>
                <w:rFonts w:ascii="Calibri" w:hAnsi="Calibri" w:cs="Calibri"/>
                <w:b/>
                <w:bCs/>
                <w:color w:val="000000"/>
                <w:sz w:val="16"/>
                <w:szCs w:val="16"/>
              </w:rPr>
            </w:pPr>
            <w:r w:rsidRPr="00AA3AA8">
              <w:rPr>
                <w:rFonts w:ascii="Calibri" w:hAnsi="Calibri" w:cs="Calibri"/>
                <w:b/>
                <w:bCs/>
                <w:color w:val="000000"/>
                <w:sz w:val="16"/>
                <w:szCs w:val="16"/>
              </w:rPr>
              <w:t>Total for Collection</w:t>
            </w:r>
          </w:p>
        </w:tc>
        <w:tc>
          <w:tcPr>
            <w:tcW w:w="1080" w:type="dxa"/>
            <w:tcBorders>
              <w:top w:val="nil"/>
              <w:left w:val="nil"/>
              <w:bottom w:val="nil"/>
              <w:right w:val="single" w:sz="8" w:space="0" w:color="auto"/>
            </w:tcBorders>
            <w:shd w:val="clear" w:color="000000" w:fill="BDD6EE"/>
            <w:vAlign w:val="center"/>
            <w:hideMark/>
          </w:tcPr>
          <w:p w:rsidR="0091282B" w:rsidRPr="00AA3AA8" w:rsidP="00106BA5" w14:paraId="34C57850" w14:textId="6069D439">
            <w:pPr>
              <w:widowControl/>
              <w:jc w:val="center"/>
              <w:rPr>
                <w:rFonts w:ascii="Calibri" w:hAnsi="Calibri" w:cs="Calibri"/>
                <w:b/>
                <w:bCs/>
                <w:color w:val="000000"/>
                <w:sz w:val="16"/>
                <w:szCs w:val="16"/>
              </w:rPr>
            </w:pPr>
            <w:r w:rsidRPr="00AA3AA8">
              <w:rPr>
                <w:rFonts w:ascii="Calibri" w:hAnsi="Calibri" w:cs="Calibri"/>
                <w:b/>
                <w:bCs/>
                <w:color w:val="000000"/>
                <w:sz w:val="16"/>
                <w:szCs w:val="16"/>
              </w:rPr>
              <w:t>$</w:t>
            </w:r>
            <w:r>
              <w:rPr>
                <w:rFonts w:ascii="Calibri" w:hAnsi="Calibri" w:cs="Calibri"/>
                <w:b/>
                <w:bCs/>
                <w:color w:val="000000"/>
                <w:sz w:val="16"/>
                <w:szCs w:val="16"/>
              </w:rPr>
              <w:t>0</w:t>
            </w:r>
          </w:p>
        </w:tc>
        <w:tc>
          <w:tcPr>
            <w:tcW w:w="1350" w:type="dxa"/>
            <w:tcBorders>
              <w:top w:val="nil"/>
              <w:left w:val="nil"/>
              <w:bottom w:val="nil"/>
              <w:right w:val="single" w:sz="8" w:space="0" w:color="auto"/>
            </w:tcBorders>
            <w:shd w:val="clear" w:color="000000" w:fill="BDD6EE"/>
            <w:vAlign w:val="center"/>
            <w:hideMark/>
          </w:tcPr>
          <w:p w:rsidR="0091282B" w:rsidRPr="00AA3AA8" w:rsidP="00106BA5" w14:paraId="16A5737A" w14:textId="56FF7E33">
            <w:pPr>
              <w:widowControl/>
              <w:jc w:val="center"/>
              <w:rPr>
                <w:rFonts w:ascii="Calibri" w:hAnsi="Calibri" w:cs="Calibri"/>
                <w:b/>
                <w:bCs/>
                <w:color w:val="000000"/>
                <w:sz w:val="16"/>
                <w:szCs w:val="16"/>
              </w:rPr>
            </w:pPr>
            <w:r>
              <w:rPr>
                <w:rFonts w:ascii="Calibri" w:hAnsi="Calibri" w:cs="Calibri"/>
                <w:b/>
                <w:bCs/>
                <w:color w:val="000000"/>
                <w:sz w:val="16"/>
                <w:szCs w:val="16"/>
              </w:rPr>
              <w:t>$1,557,811</w:t>
            </w:r>
          </w:p>
        </w:tc>
        <w:tc>
          <w:tcPr>
            <w:tcW w:w="3060" w:type="dxa"/>
            <w:tcBorders>
              <w:top w:val="nil"/>
              <w:left w:val="nil"/>
              <w:bottom w:val="nil"/>
              <w:right w:val="single" w:sz="8" w:space="0" w:color="auto"/>
            </w:tcBorders>
            <w:shd w:val="clear" w:color="000000" w:fill="000000"/>
            <w:vAlign w:val="center"/>
            <w:hideMark/>
          </w:tcPr>
          <w:p w:rsidR="0091282B" w:rsidRPr="00AA3AA8" w:rsidP="00106BA5" w14:paraId="644BBDB3" w14:textId="22994F28">
            <w:pPr>
              <w:widowControl/>
              <w:jc w:val="center"/>
              <w:rPr>
                <w:rFonts w:ascii="Calibri" w:hAnsi="Calibri" w:cs="Calibri"/>
                <w:b/>
                <w:bCs/>
                <w:color w:val="000000"/>
                <w:sz w:val="16"/>
                <w:szCs w:val="16"/>
              </w:rPr>
            </w:pPr>
          </w:p>
        </w:tc>
      </w:tr>
      <w:tr w14:paraId="17F7C3AB" w14:textId="77777777" w:rsidTr="00106BA5">
        <w:tblPrEx>
          <w:tblW w:w="14040" w:type="dxa"/>
          <w:tblInd w:w="-370" w:type="dxa"/>
          <w:tblLook w:val="04A0"/>
        </w:tblPrEx>
        <w:trPr>
          <w:trHeight w:val="296"/>
        </w:trPr>
        <w:tc>
          <w:tcPr>
            <w:tcW w:w="8550" w:type="dxa"/>
            <w:tcBorders>
              <w:top w:val="single" w:sz="8" w:space="0" w:color="auto"/>
              <w:left w:val="single" w:sz="8" w:space="0" w:color="auto"/>
              <w:bottom w:val="single" w:sz="8" w:space="0" w:color="auto"/>
              <w:right w:val="nil"/>
            </w:tcBorders>
            <w:shd w:val="clear" w:color="000000" w:fill="FCE4D6"/>
            <w:noWrap/>
            <w:vAlign w:val="center"/>
            <w:hideMark/>
          </w:tcPr>
          <w:p w:rsidR="0091282B" w:rsidRPr="00AA3AA8" w:rsidP="00106BA5" w14:paraId="0BA0FA7C" w14:textId="77777777">
            <w:pPr>
              <w:widowControl/>
              <w:jc w:val="center"/>
              <w:rPr>
                <w:rFonts w:ascii="Calibri" w:hAnsi="Calibri" w:cs="Calibri"/>
                <w:b/>
                <w:bCs/>
                <w:color w:val="000000"/>
                <w:sz w:val="16"/>
                <w:szCs w:val="16"/>
              </w:rPr>
            </w:pPr>
            <w:r w:rsidRPr="00AA3AA8">
              <w:rPr>
                <w:rFonts w:ascii="Calibri" w:hAnsi="Calibri" w:cs="Calibri"/>
                <w:b/>
                <w:bCs/>
                <w:color w:val="000000"/>
                <w:sz w:val="16"/>
                <w:szCs w:val="16"/>
              </w:rPr>
              <w:t>Difference</w:t>
            </w:r>
          </w:p>
        </w:tc>
        <w:tc>
          <w:tcPr>
            <w:tcW w:w="2430" w:type="dxa"/>
            <w:gridSpan w:val="2"/>
            <w:tcBorders>
              <w:top w:val="single" w:sz="8" w:space="0" w:color="auto"/>
              <w:left w:val="nil"/>
              <w:bottom w:val="single" w:sz="8" w:space="0" w:color="auto"/>
              <w:right w:val="single" w:sz="4" w:space="0" w:color="auto"/>
            </w:tcBorders>
            <w:shd w:val="clear" w:color="000000" w:fill="FCE4D6"/>
            <w:noWrap/>
            <w:vAlign w:val="center"/>
            <w:hideMark/>
          </w:tcPr>
          <w:p w:rsidR="0091282B" w:rsidRPr="00AA3AA8" w:rsidP="00106BA5" w14:paraId="1A553628" w14:textId="66A29FA2">
            <w:pPr>
              <w:widowControl/>
              <w:jc w:val="center"/>
              <w:rPr>
                <w:rFonts w:ascii="Calibri" w:hAnsi="Calibri" w:cs="Calibri"/>
                <w:color w:val="000000"/>
                <w:sz w:val="22"/>
                <w:szCs w:val="22"/>
              </w:rPr>
            </w:pPr>
            <w:r>
              <w:rPr>
                <w:rFonts w:ascii="Calibri" w:hAnsi="Calibri" w:cs="Calibri"/>
                <w:color w:val="000000"/>
                <w:sz w:val="22"/>
                <w:szCs w:val="22"/>
              </w:rPr>
              <w:t>-1,557,811</w:t>
            </w:r>
          </w:p>
        </w:tc>
        <w:tc>
          <w:tcPr>
            <w:tcW w:w="3060" w:type="dxa"/>
            <w:tcBorders>
              <w:top w:val="single" w:sz="8" w:space="0" w:color="auto"/>
              <w:left w:val="nil"/>
              <w:bottom w:val="single" w:sz="8" w:space="0" w:color="auto"/>
              <w:right w:val="single" w:sz="8" w:space="0" w:color="auto"/>
            </w:tcBorders>
            <w:shd w:val="clear" w:color="000000" w:fill="000000"/>
            <w:noWrap/>
            <w:vAlign w:val="center"/>
            <w:hideMark/>
          </w:tcPr>
          <w:p w:rsidR="0091282B" w:rsidRPr="00AA3AA8" w:rsidP="00106BA5" w14:paraId="520B563A" w14:textId="6E7E8932">
            <w:pPr>
              <w:widowControl/>
              <w:jc w:val="center"/>
              <w:rPr>
                <w:rFonts w:ascii="Calibri" w:hAnsi="Calibri" w:cs="Calibri"/>
                <w:color w:val="000000"/>
                <w:sz w:val="22"/>
                <w:szCs w:val="22"/>
              </w:rPr>
            </w:pPr>
          </w:p>
        </w:tc>
      </w:tr>
    </w:tbl>
    <w:p w:rsidR="005515D9" w14:paraId="3454EB94" w14:textId="02D07C0E">
      <w:pPr>
        <w:pBdr>
          <w:top w:val="nil"/>
          <w:left w:val="nil"/>
          <w:bottom w:val="nil"/>
          <w:right w:val="nil"/>
          <w:between w:val="nil"/>
        </w:pBdr>
        <w:rPr>
          <w:color w:val="000000"/>
        </w:rPr>
      </w:pPr>
    </w:p>
    <w:p w:rsidR="00106BA5" w14:paraId="500B3BB4" w14:textId="77777777">
      <w:pPr>
        <w:pBdr>
          <w:top w:val="nil"/>
          <w:left w:val="nil"/>
          <w:bottom w:val="nil"/>
          <w:right w:val="nil"/>
          <w:between w:val="nil"/>
        </w:pBdr>
        <w:rPr>
          <w:color w:val="000000"/>
        </w:rPr>
        <w:sectPr w:rsidSect="00106BA5">
          <w:pgSz w:w="15840" w:h="12240" w:orient="landscape"/>
          <w:pgMar w:top="1080" w:right="640" w:bottom="1080" w:left="1200" w:header="720" w:footer="720" w:gutter="0"/>
          <w:cols w:space="720"/>
          <w:docGrid w:linePitch="326"/>
        </w:sectPr>
      </w:pPr>
    </w:p>
    <w:p w:rsidR="00EE1074" w14:paraId="1BC024C1" w14:textId="77777777">
      <w:pPr>
        <w:numPr>
          <w:ilvl w:val="0"/>
          <w:numId w:val="1"/>
        </w:numPr>
        <w:pBdr>
          <w:top w:val="nil"/>
          <w:left w:val="nil"/>
          <w:bottom w:val="nil"/>
          <w:right w:val="nil"/>
          <w:between w:val="nil"/>
        </w:pBdr>
        <w:tabs>
          <w:tab w:val="left" w:pos="360"/>
        </w:tabs>
        <w:ind w:left="0" w:firstLine="0"/>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1074" w14:paraId="354EC041" w14:textId="77777777">
      <w:pPr>
        <w:pBdr>
          <w:top w:val="nil"/>
          <w:left w:val="nil"/>
          <w:bottom w:val="nil"/>
          <w:right w:val="nil"/>
          <w:between w:val="nil"/>
        </w:pBdr>
        <w:rPr>
          <w:color w:val="000000"/>
        </w:rPr>
      </w:pPr>
    </w:p>
    <w:p w:rsidR="00EE1074" w14:paraId="293243AC" w14:textId="52983E95">
      <w:pPr>
        <w:pBdr>
          <w:top w:val="nil"/>
          <w:left w:val="nil"/>
          <w:bottom w:val="nil"/>
          <w:right w:val="nil"/>
          <w:between w:val="nil"/>
        </w:pBdr>
        <w:rPr>
          <w:color w:val="000000"/>
        </w:rPr>
      </w:pPr>
      <w:r>
        <w:rPr>
          <w:color w:val="000000"/>
        </w:rPr>
        <w:t>The results from this collection are not expected to be published but will be used as empirical input to stock assessments, economic analyses, and other analyses of proposed or existing fishery management regulations prepared by NMFS.</w:t>
      </w:r>
    </w:p>
    <w:p w:rsidR="003624F7" w14:paraId="35A5BC5C" w14:textId="1F9CA56B">
      <w:pPr>
        <w:pBdr>
          <w:top w:val="nil"/>
          <w:left w:val="nil"/>
          <w:bottom w:val="nil"/>
          <w:right w:val="nil"/>
          <w:between w:val="nil"/>
        </w:pBdr>
        <w:rPr>
          <w:color w:val="000000"/>
        </w:rPr>
      </w:pPr>
    </w:p>
    <w:p w:rsidR="00EE1074" w14:paraId="085AF0F5" w14:textId="77777777">
      <w:pPr>
        <w:pBdr>
          <w:top w:val="nil"/>
          <w:left w:val="nil"/>
          <w:bottom w:val="nil"/>
          <w:right w:val="nil"/>
          <w:between w:val="nil"/>
        </w:pBdr>
        <w:rPr>
          <w:color w:val="000000"/>
        </w:rPr>
      </w:pPr>
    </w:p>
    <w:p w:rsidR="00EE1074" w14:paraId="23DAA7D2" w14:textId="77777777">
      <w:pPr>
        <w:numPr>
          <w:ilvl w:val="0"/>
          <w:numId w:val="1"/>
        </w:numPr>
        <w:pBdr>
          <w:top w:val="nil"/>
          <w:left w:val="nil"/>
          <w:bottom w:val="nil"/>
          <w:right w:val="nil"/>
          <w:between w:val="nil"/>
        </w:pBdr>
        <w:tabs>
          <w:tab w:val="left" w:pos="360"/>
        </w:tabs>
        <w:ind w:left="0" w:firstLine="0"/>
      </w:pPr>
      <w:r>
        <w:rPr>
          <w:b/>
          <w:color w:val="000000"/>
        </w:rPr>
        <w:t>If seeking approval to not display the expiration date for OMB approval of the information collection, explain the reasons that display would be inappropriate.</w:t>
      </w:r>
    </w:p>
    <w:p w:rsidR="00EE1074" w14:paraId="1664DB57" w14:textId="77777777">
      <w:pPr>
        <w:pBdr>
          <w:top w:val="nil"/>
          <w:left w:val="nil"/>
          <w:bottom w:val="nil"/>
          <w:right w:val="nil"/>
          <w:between w:val="nil"/>
        </w:pBdr>
        <w:tabs>
          <w:tab w:val="left" w:pos="360"/>
        </w:tabs>
        <w:rPr>
          <w:color w:val="000000"/>
        </w:rPr>
      </w:pPr>
    </w:p>
    <w:p w:rsidR="00EE1074" w14:paraId="363F46FD" w14:textId="1738B6C7">
      <w:pPr>
        <w:pBdr>
          <w:top w:val="nil"/>
          <w:left w:val="nil"/>
          <w:bottom w:val="nil"/>
          <w:right w:val="nil"/>
          <w:between w:val="nil"/>
        </w:pBdr>
        <w:rPr>
          <w:color w:val="000000"/>
        </w:rPr>
      </w:pPr>
      <w:r>
        <w:rPr>
          <w:color w:val="000000"/>
        </w:rPr>
        <w:t>The agency plans to display the expiration date on all instruments.</w:t>
      </w:r>
    </w:p>
    <w:p w:rsidR="00EE1074" w:rsidRPr="00D2370E" w14:paraId="34931C19" w14:textId="77777777"/>
    <w:p w:rsidR="00EE1074" w14:paraId="0AA9A9CD" w14:textId="77777777">
      <w:pPr>
        <w:numPr>
          <w:ilvl w:val="0"/>
          <w:numId w:val="1"/>
        </w:numPr>
        <w:pBdr>
          <w:top w:val="nil"/>
          <w:left w:val="nil"/>
          <w:bottom w:val="nil"/>
          <w:right w:val="nil"/>
          <w:between w:val="nil"/>
        </w:pBdr>
        <w:tabs>
          <w:tab w:val="left" w:pos="360"/>
        </w:tabs>
        <w:ind w:left="0" w:firstLine="0"/>
      </w:pPr>
      <w:r>
        <w:rPr>
          <w:b/>
          <w:color w:val="000000"/>
        </w:rPr>
        <w:t>Explain each exception to the certification statement identified in “Certification for Paperwork Reduction Act Submissions.”</w:t>
      </w:r>
    </w:p>
    <w:p w:rsidR="00EE1074" w14:paraId="29E3D239" w14:textId="77777777">
      <w:pPr>
        <w:rPr>
          <w:u w:val="single"/>
        </w:rPr>
      </w:pPr>
    </w:p>
    <w:p w:rsidR="00EE1074" w14:paraId="2404A9C1" w14:textId="77777777">
      <w:r>
        <w:t>The agency certifies compliance with 5 CFR 1320.9 and the related provisions of 5 CFR 1320.8(b)(3).</w:t>
      </w:r>
    </w:p>
    <w:sectPr w:rsidSect="00106BA5">
      <w:pgSz w:w="12240" w:h="15840"/>
      <w:pgMar w:top="640" w:right="1080" w:bottom="120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NCHIF+TimesNewRoman,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D9B" w14:paraId="13727BF5" w14:textId="788E77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60E6" w14:paraId="27CD5C54" w14:textId="77777777">
      <w:r>
        <w:separator/>
      </w:r>
    </w:p>
  </w:footnote>
  <w:footnote w:type="continuationSeparator" w:id="1">
    <w:p w:rsidR="00AF60E6" w14:paraId="37500CB4" w14:textId="77777777">
      <w:r>
        <w:continuationSeparator/>
      </w:r>
    </w:p>
  </w:footnote>
  <w:footnote w:id="2">
    <w:p w:rsidR="00C0181C" w14:paraId="4B77B90B" w14:textId="718DCD1B">
      <w:pPr>
        <w:pStyle w:val="FootnoteText"/>
      </w:pPr>
      <w:r>
        <w:rPr>
          <w:rStyle w:val="FootnoteReference"/>
        </w:rPr>
        <w:footnoteRef/>
      </w:r>
      <w:r>
        <w:t xml:space="preserve"> </w:t>
      </w:r>
      <w:r w:rsidRPr="00C0181C">
        <w:t>https://www.commerce.gov/node/4991</w:t>
      </w:r>
    </w:p>
  </w:footnote>
  <w:footnote w:id="3">
    <w:p w:rsidR="00C0181C" w14:paraId="2AC58DF7" w14:textId="1BD7C573">
      <w:pPr>
        <w:pStyle w:val="FootnoteText"/>
      </w:pPr>
      <w:r>
        <w:rPr>
          <w:rStyle w:val="FootnoteReference"/>
        </w:rPr>
        <w:footnoteRef/>
      </w:r>
      <w:r>
        <w:t xml:space="preserve"> </w:t>
      </w:r>
      <w:r w:rsidRPr="00C0181C">
        <w:t>https://www.commerce.gov/sites/default/files/2025-05/NOAA4400%20PIA%20FY25-%20SAOP%20Approved%20Delegated.pdf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3E0"/>
    <w:multiLevelType w:val="multilevel"/>
    <w:tmpl w:val="A59CBC20"/>
    <w:lvl w:ilvl="0">
      <w:start w:val="1"/>
      <w:numFmt w:val="decimal"/>
      <w:lvlText w:val="%1."/>
      <w:lvlJc w:val="left"/>
      <w:pPr>
        <w:ind w:left="400" w:hanging="269"/>
      </w:pPr>
      <w:rPr>
        <w:rFonts w:ascii="Times New Roman" w:eastAsia="Times New Roman" w:hAnsi="Times New Roman" w:cs="Times New Roman"/>
        <w:b/>
        <w:color w:val="auto"/>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113D0CEB"/>
    <w:multiLevelType w:val="multilevel"/>
    <w:tmpl w:val="9F703CF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16cid:durableId="1740248560">
    <w:abstractNumId w:val="0"/>
  </w:num>
  <w:num w:numId="2" w16cid:durableId="240408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74"/>
    <w:rsid w:val="00006C98"/>
    <w:rsid w:val="000227FE"/>
    <w:rsid w:val="0002488C"/>
    <w:rsid w:val="00027DFE"/>
    <w:rsid w:val="00034232"/>
    <w:rsid w:val="00034B66"/>
    <w:rsid w:val="00037B64"/>
    <w:rsid w:val="00054FC2"/>
    <w:rsid w:val="0006466E"/>
    <w:rsid w:val="000A103F"/>
    <w:rsid w:val="000B3C75"/>
    <w:rsid w:val="000B63BE"/>
    <w:rsid w:val="000B6E53"/>
    <w:rsid w:val="000C4E62"/>
    <w:rsid w:val="000D6F81"/>
    <w:rsid w:val="000E2C4E"/>
    <w:rsid w:val="000E5269"/>
    <w:rsid w:val="000F48BD"/>
    <w:rsid w:val="00106BA5"/>
    <w:rsid w:val="001161D8"/>
    <w:rsid w:val="00117D76"/>
    <w:rsid w:val="00150E61"/>
    <w:rsid w:val="001778CC"/>
    <w:rsid w:val="00181433"/>
    <w:rsid w:val="00185700"/>
    <w:rsid w:val="001A2616"/>
    <w:rsid w:val="001D03B4"/>
    <w:rsid w:val="001F5A66"/>
    <w:rsid w:val="0020134F"/>
    <w:rsid w:val="00207472"/>
    <w:rsid w:val="00214D9C"/>
    <w:rsid w:val="00217EBA"/>
    <w:rsid w:val="00230EDA"/>
    <w:rsid w:val="002452D8"/>
    <w:rsid w:val="0026079D"/>
    <w:rsid w:val="00270DAE"/>
    <w:rsid w:val="0029538A"/>
    <w:rsid w:val="002B5A5F"/>
    <w:rsid w:val="002C40F4"/>
    <w:rsid w:val="002D3FAF"/>
    <w:rsid w:val="002E42EE"/>
    <w:rsid w:val="002E733F"/>
    <w:rsid w:val="002E77F4"/>
    <w:rsid w:val="00311CE7"/>
    <w:rsid w:val="00321783"/>
    <w:rsid w:val="003513CC"/>
    <w:rsid w:val="003624F7"/>
    <w:rsid w:val="003A3CEB"/>
    <w:rsid w:val="003B1A38"/>
    <w:rsid w:val="003C4787"/>
    <w:rsid w:val="003D245E"/>
    <w:rsid w:val="003E73A5"/>
    <w:rsid w:val="003F441A"/>
    <w:rsid w:val="003F7FA2"/>
    <w:rsid w:val="004060F6"/>
    <w:rsid w:val="00422896"/>
    <w:rsid w:val="00424E61"/>
    <w:rsid w:val="00424ED0"/>
    <w:rsid w:val="00431A77"/>
    <w:rsid w:val="00431EA3"/>
    <w:rsid w:val="004373A1"/>
    <w:rsid w:val="0046032E"/>
    <w:rsid w:val="0049064A"/>
    <w:rsid w:val="00493643"/>
    <w:rsid w:val="004A5692"/>
    <w:rsid w:val="004B362B"/>
    <w:rsid w:val="005049B6"/>
    <w:rsid w:val="0050528D"/>
    <w:rsid w:val="00505330"/>
    <w:rsid w:val="00515710"/>
    <w:rsid w:val="00520FE1"/>
    <w:rsid w:val="005515D9"/>
    <w:rsid w:val="00561DC9"/>
    <w:rsid w:val="005633FE"/>
    <w:rsid w:val="00565081"/>
    <w:rsid w:val="00566F3B"/>
    <w:rsid w:val="0056790A"/>
    <w:rsid w:val="005840C1"/>
    <w:rsid w:val="005B2256"/>
    <w:rsid w:val="005C3C5A"/>
    <w:rsid w:val="005C59CB"/>
    <w:rsid w:val="005D151C"/>
    <w:rsid w:val="005D43AF"/>
    <w:rsid w:val="00633537"/>
    <w:rsid w:val="00633F9A"/>
    <w:rsid w:val="006406E8"/>
    <w:rsid w:val="0066623C"/>
    <w:rsid w:val="0066665A"/>
    <w:rsid w:val="00666BFC"/>
    <w:rsid w:val="00681CE1"/>
    <w:rsid w:val="0068234A"/>
    <w:rsid w:val="006A2657"/>
    <w:rsid w:val="006A2FFF"/>
    <w:rsid w:val="006B33C3"/>
    <w:rsid w:val="006B4098"/>
    <w:rsid w:val="006C7063"/>
    <w:rsid w:val="006D6AE9"/>
    <w:rsid w:val="006E7013"/>
    <w:rsid w:val="00701F6A"/>
    <w:rsid w:val="00706B68"/>
    <w:rsid w:val="007136BA"/>
    <w:rsid w:val="007313E4"/>
    <w:rsid w:val="007402C2"/>
    <w:rsid w:val="00743796"/>
    <w:rsid w:val="00751B21"/>
    <w:rsid w:val="00761D12"/>
    <w:rsid w:val="00762621"/>
    <w:rsid w:val="0076661F"/>
    <w:rsid w:val="007670C5"/>
    <w:rsid w:val="00776DC5"/>
    <w:rsid w:val="007932D5"/>
    <w:rsid w:val="007974F1"/>
    <w:rsid w:val="007A3116"/>
    <w:rsid w:val="007E0EAB"/>
    <w:rsid w:val="007F7933"/>
    <w:rsid w:val="0081003F"/>
    <w:rsid w:val="008144C2"/>
    <w:rsid w:val="008165C6"/>
    <w:rsid w:val="00830770"/>
    <w:rsid w:val="00840343"/>
    <w:rsid w:val="0085176C"/>
    <w:rsid w:val="008662DE"/>
    <w:rsid w:val="008759BE"/>
    <w:rsid w:val="0089289E"/>
    <w:rsid w:val="00893E62"/>
    <w:rsid w:val="00894770"/>
    <w:rsid w:val="008B0A36"/>
    <w:rsid w:val="008B0F2B"/>
    <w:rsid w:val="008E00C2"/>
    <w:rsid w:val="0091282B"/>
    <w:rsid w:val="009272D8"/>
    <w:rsid w:val="009272DA"/>
    <w:rsid w:val="00971252"/>
    <w:rsid w:val="00977D1A"/>
    <w:rsid w:val="00984F3C"/>
    <w:rsid w:val="009A0E14"/>
    <w:rsid w:val="009A4C6D"/>
    <w:rsid w:val="009C3AE3"/>
    <w:rsid w:val="009C72CC"/>
    <w:rsid w:val="009D094B"/>
    <w:rsid w:val="009E18F0"/>
    <w:rsid w:val="009F027C"/>
    <w:rsid w:val="00A018E4"/>
    <w:rsid w:val="00A10BDE"/>
    <w:rsid w:val="00A14B32"/>
    <w:rsid w:val="00A15D1E"/>
    <w:rsid w:val="00A41D9B"/>
    <w:rsid w:val="00A45C0E"/>
    <w:rsid w:val="00A7491A"/>
    <w:rsid w:val="00A872EC"/>
    <w:rsid w:val="00AA3AA8"/>
    <w:rsid w:val="00AB309A"/>
    <w:rsid w:val="00AB6F51"/>
    <w:rsid w:val="00AC2F83"/>
    <w:rsid w:val="00AE7EF7"/>
    <w:rsid w:val="00AF3AE3"/>
    <w:rsid w:val="00AF60E6"/>
    <w:rsid w:val="00B05118"/>
    <w:rsid w:val="00B12CDB"/>
    <w:rsid w:val="00B20DE5"/>
    <w:rsid w:val="00B32213"/>
    <w:rsid w:val="00B61F45"/>
    <w:rsid w:val="00B6331E"/>
    <w:rsid w:val="00B63BA1"/>
    <w:rsid w:val="00B865A2"/>
    <w:rsid w:val="00BB75E9"/>
    <w:rsid w:val="00BE14C3"/>
    <w:rsid w:val="00C0181C"/>
    <w:rsid w:val="00C0428E"/>
    <w:rsid w:val="00C1045D"/>
    <w:rsid w:val="00C14B18"/>
    <w:rsid w:val="00C2600E"/>
    <w:rsid w:val="00C35BFB"/>
    <w:rsid w:val="00C3711B"/>
    <w:rsid w:val="00C408B7"/>
    <w:rsid w:val="00C41A16"/>
    <w:rsid w:val="00C47224"/>
    <w:rsid w:val="00C5422E"/>
    <w:rsid w:val="00C56D2A"/>
    <w:rsid w:val="00C71170"/>
    <w:rsid w:val="00C776CD"/>
    <w:rsid w:val="00C93948"/>
    <w:rsid w:val="00C95AF3"/>
    <w:rsid w:val="00CB7EB1"/>
    <w:rsid w:val="00CE0038"/>
    <w:rsid w:val="00CF3289"/>
    <w:rsid w:val="00CF43E5"/>
    <w:rsid w:val="00D041F8"/>
    <w:rsid w:val="00D21F9C"/>
    <w:rsid w:val="00D2370E"/>
    <w:rsid w:val="00D3160B"/>
    <w:rsid w:val="00D3760A"/>
    <w:rsid w:val="00D63962"/>
    <w:rsid w:val="00D83742"/>
    <w:rsid w:val="00D84891"/>
    <w:rsid w:val="00D96521"/>
    <w:rsid w:val="00DA23B9"/>
    <w:rsid w:val="00DC2C6D"/>
    <w:rsid w:val="00DC4C94"/>
    <w:rsid w:val="00DC75AE"/>
    <w:rsid w:val="00DD058E"/>
    <w:rsid w:val="00DE7F60"/>
    <w:rsid w:val="00E019B2"/>
    <w:rsid w:val="00E04754"/>
    <w:rsid w:val="00E06DEA"/>
    <w:rsid w:val="00E231D0"/>
    <w:rsid w:val="00E5383F"/>
    <w:rsid w:val="00E91959"/>
    <w:rsid w:val="00E9383D"/>
    <w:rsid w:val="00EA0435"/>
    <w:rsid w:val="00EC1F27"/>
    <w:rsid w:val="00ED36B6"/>
    <w:rsid w:val="00EE1074"/>
    <w:rsid w:val="00EE6AD5"/>
    <w:rsid w:val="00F02107"/>
    <w:rsid w:val="00F1128F"/>
    <w:rsid w:val="00F20363"/>
    <w:rsid w:val="00F22C71"/>
    <w:rsid w:val="00F238A5"/>
    <w:rsid w:val="00F34507"/>
    <w:rsid w:val="00F53D38"/>
    <w:rsid w:val="00F85F9F"/>
    <w:rsid w:val="00FA0DEC"/>
    <w:rsid w:val="00FB38E9"/>
    <w:rsid w:val="00FE2301"/>
    <w:rsid w:val="00FE7720"/>
    <w:rsid w:val="00FF0883"/>
    <w:rsid w:val="00FF5CF2"/>
    <w:rsid w:val="00FF7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F4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ind w:left="403"/>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8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064A"/>
    <w:rPr>
      <w:b/>
      <w:bCs/>
    </w:rPr>
  </w:style>
  <w:style w:type="character" w:customStyle="1" w:styleId="CommentSubjectChar">
    <w:name w:val="Comment Subject Char"/>
    <w:basedOn w:val="CommentTextChar"/>
    <w:link w:val="CommentSubject"/>
    <w:uiPriority w:val="99"/>
    <w:semiHidden/>
    <w:rsid w:val="0049064A"/>
    <w:rPr>
      <w:b/>
      <w:bCs/>
      <w:sz w:val="20"/>
      <w:szCs w:val="20"/>
    </w:rPr>
  </w:style>
  <w:style w:type="character" w:styleId="Hyperlink">
    <w:name w:val="Hyperlink"/>
    <w:basedOn w:val="DefaultParagraphFont"/>
    <w:uiPriority w:val="99"/>
    <w:unhideWhenUsed/>
    <w:rsid w:val="00C5422E"/>
    <w:rPr>
      <w:color w:val="0000FF" w:themeColor="hyperlink"/>
      <w:u w:val="single"/>
    </w:rPr>
  </w:style>
  <w:style w:type="character" w:styleId="FollowedHyperlink">
    <w:name w:val="FollowedHyperlink"/>
    <w:basedOn w:val="DefaultParagraphFont"/>
    <w:uiPriority w:val="99"/>
    <w:semiHidden/>
    <w:unhideWhenUsed/>
    <w:rsid w:val="00C5422E"/>
    <w:rPr>
      <w:color w:val="800080" w:themeColor="followedHyperlink"/>
      <w:u w:val="single"/>
    </w:rPr>
  </w:style>
  <w:style w:type="paragraph" w:styleId="Header">
    <w:name w:val="header"/>
    <w:basedOn w:val="Normal"/>
    <w:link w:val="HeaderChar"/>
    <w:uiPriority w:val="99"/>
    <w:unhideWhenUsed/>
    <w:rsid w:val="004060F6"/>
    <w:pPr>
      <w:tabs>
        <w:tab w:val="center" w:pos="4680"/>
        <w:tab w:val="right" w:pos="9360"/>
      </w:tabs>
    </w:pPr>
  </w:style>
  <w:style w:type="character" w:customStyle="1" w:styleId="HeaderChar">
    <w:name w:val="Header Char"/>
    <w:basedOn w:val="DefaultParagraphFont"/>
    <w:link w:val="Header"/>
    <w:uiPriority w:val="99"/>
    <w:rsid w:val="004060F6"/>
  </w:style>
  <w:style w:type="paragraph" w:styleId="Footer">
    <w:name w:val="footer"/>
    <w:basedOn w:val="Normal"/>
    <w:link w:val="FooterChar"/>
    <w:uiPriority w:val="99"/>
    <w:unhideWhenUsed/>
    <w:rsid w:val="004060F6"/>
    <w:pPr>
      <w:tabs>
        <w:tab w:val="center" w:pos="4680"/>
        <w:tab w:val="right" w:pos="9360"/>
      </w:tabs>
    </w:pPr>
  </w:style>
  <w:style w:type="character" w:customStyle="1" w:styleId="FooterChar">
    <w:name w:val="Footer Char"/>
    <w:basedOn w:val="DefaultParagraphFont"/>
    <w:link w:val="Footer"/>
    <w:uiPriority w:val="99"/>
    <w:rsid w:val="004060F6"/>
  </w:style>
  <w:style w:type="paragraph" w:styleId="FootnoteText">
    <w:name w:val="footnote text"/>
    <w:basedOn w:val="Normal"/>
    <w:link w:val="FootnoteTextChar"/>
    <w:uiPriority w:val="99"/>
    <w:semiHidden/>
    <w:unhideWhenUsed/>
    <w:rsid w:val="007E0EAB"/>
    <w:rPr>
      <w:sz w:val="20"/>
      <w:szCs w:val="20"/>
    </w:rPr>
  </w:style>
  <w:style w:type="character" w:customStyle="1" w:styleId="FootnoteTextChar">
    <w:name w:val="Footnote Text Char"/>
    <w:basedOn w:val="DefaultParagraphFont"/>
    <w:link w:val="FootnoteText"/>
    <w:uiPriority w:val="99"/>
    <w:semiHidden/>
    <w:rsid w:val="007E0EAB"/>
    <w:rPr>
      <w:sz w:val="20"/>
      <w:szCs w:val="20"/>
    </w:rPr>
  </w:style>
  <w:style w:type="character" w:styleId="FootnoteReference">
    <w:name w:val="footnote reference"/>
    <w:basedOn w:val="DefaultParagraphFont"/>
    <w:uiPriority w:val="99"/>
    <w:semiHidden/>
    <w:unhideWhenUsed/>
    <w:rsid w:val="007E0EAB"/>
    <w:rPr>
      <w:vertAlign w:val="superscript"/>
    </w:rPr>
  </w:style>
  <w:style w:type="paragraph" w:customStyle="1" w:styleId="CM11">
    <w:name w:val="CM11"/>
    <w:basedOn w:val="Normal"/>
    <w:next w:val="Normal"/>
    <w:rsid w:val="00B63BA1"/>
    <w:pPr>
      <w:autoSpaceDE w:val="0"/>
      <w:autoSpaceDN w:val="0"/>
      <w:adjustRightInd w:val="0"/>
      <w:spacing w:after="280"/>
    </w:pPr>
    <w:rPr>
      <w:rFonts w:ascii="NNCHIF+TimesNewRoman,Bold" w:hAnsi="NNCHIF+TimesNewRoman,Bold" w:cs="NNCHIF+TimesNewRoman,Bold"/>
    </w:rPr>
  </w:style>
  <w:style w:type="paragraph" w:styleId="ListParagraph">
    <w:name w:val="List Paragraph"/>
    <w:basedOn w:val="Normal"/>
    <w:uiPriority w:val="34"/>
    <w:qFormat/>
    <w:rsid w:val="00F02107"/>
    <w:pPr>
      <w:ind w:left="720"/>
      <w:contextualSpacing/>
    </w:pPr>
  </w:style>
  <w:style w:type="table" w:customStyle="1" w:styleId="a6">
    <w:name w:val="a6"/>
    <w:basedOn w:val="TableNormal"/>
    <w:rsid w:val="001161D8"/>
    <w:tblPr>
      <w:tblStyleRowBandSize w:val="1"/>
      <w:tblStyleColBandSize w:val="1"/>
      <w:tblCellMar>
        <w:left w:w="115" w:type="dxa"/>
        <w:right w:w="115" w:type="dxa"/>
      </w:tblCellMar>
    </w:tblPr>
  </w:style>
  <w:style w:type="table" w:customStyle="1" w:styleId="a4">
    <w:name w:val="a4"/>
    <w:basedOn w:val="TableNormal"/>
    <w:rsid w:val="00270DAE"/>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www.bls.gov/oes/current/oes451011.htm" TargetMode="External" /><Relationship Id="rId8" Type="http://schemas.openxmlformats.org/officeDocument/2006/relationships/hyperlink" Target="https://www.bls.gov/oes/current/oes_nat.htm" TargetMode="External" /><Relationship Id="rId9" Type="http://schemas.openxmlformats.org/officeDocument/2006/relationships/hyperlink" Target="https://www.commerce.gov/sites/default/files/2024-01/CAPS_rpStandard_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9BB1B-3825-4B1B-98AD-2CFE2B9B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5612</Words>
  <Characters>31995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2025-09-22T15:16:00Z</dcterms:created>
  <dcterms:modified xsi:type="dcterms:W3CDTF">2025-09-25T13:44:00Z</dcterms:modified>
</cp:coreProperties>
</file>