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r w:rsidRPr="00B75D93">
        <w:rPr>
          <w:rFonts w:ascii="Arial" w:hAnsi="Arial" w:cs="Arial"/>
          <w:b/>
          <w:bCs/>
        </w:rPr>
        <w:t>United States Patent and Trademark Office</w:t>
      </w:r>
    </w:p>
    <w:p w:rsidR="00636EDA" w:rsidRPr="00B75D93" w:rsidP="00636EDA" w14:paraId="79D4A067" w14:textId="7F13E83A">
      <w:pPr>
        <w:widowControl/>
        <w:jc w:val="center"/>
        <w:rPr>
          <w:rFonts w:ascii="Arial" w:hAnsi="Arial" w:cs="Arial"/>
        </w:rPr>
      </w:pPr>
      <w:r>
        <w:rPr>
          <w:rFonts w:ascii="Arial" w:hAnsi="Arial" w:cs="Arial"/>
          <w:b/>
          <w:bCs/>
        </w:rPr>
        <w:t>Requirements for Patent Applications Containing Nucleotide Sequence and/or Amino Acid Sequence Disclosures</w:t>
      </w:r>
    </w:p>
    <w:p w:rsidR="00636EDA" w:rsidP="00636EDA" w14:paraId="79D4A068" w14:textId="65120711">
      <w:pPr>
        <w:widowControl/>
        <w:jc w:val="center"/>
        <w:rPr>
          <w:rFonts w:ascii="Arial" w:hAnsi="Arial" w:cs="Arial"/>
          <w:b/>
          <w:bCs/>
        </w:rPr>
      </w:pPr>
      <w:r w:rsidRPr="00B75D93">
        <w:rPr>
          <w:rFonts w:ascii="Arial" w:hAnsi="Arial" w:cs="Arial"/>
          <w:b/>
          <w:bCs/>
        </w:rPr>
        <w:t>OMB CONTROL NUMBER 0651-</w:t>
      </w:r>
      <w:r w:rsidR="006C2921">
        <w:rPr>
          <w:rFonts w:ascii="Arial" w:hAnsi="Arial" w:cs="Arial"/>
          <w:b/>
          <w:bCs/>
        </w:rPr>
        <w:t>0024</w:t>
      </w:r>
    </w:p>
    <w:p w:rsidR="00636EDA" w:rsidRPr="00431AC1" w:rsidP="00636EDA" w14:paraId="79D4A069" w14:textId="7DDE8662">
      <w:pPr>
        <w:widowControl/>
        <w:jc w:val="center"/>
        <w:rPr>
          <w:rFonts w:ascii="Arial" w:hAnsi="Arial" w:cs="Arial"/>
          <w:b/>
          <w:bCs/>
          <w:color w:val="FF0000"/>
        </w:rPr>
      </w:pPr>
      <w:r>
        <w:rPr>
          <w:rFonts w:ascii="Arial" w:hAnsi="Arial" w:cs="Arial"/>
          <w:b/>
          <w:bCs/>
        </w:rPr>
        <w:t>2025</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532921" w14:paraId="3C6E5BB5" w14:textId="63222F45">
      <w:pPr>
        <w:pStyle w:val="ListParagraph"/>
        <w:widowControl/>
        <w:numPr>
          <w:ilvl w:val="0"/>
          <w:numId w:val="13"/>
        </w:numPr>
        <w:ind w:left="360"/>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FB6065" w:rsidRPr="00B0428B" w:rsidP="00FB6065" w14:paraId="7DB28351" w14:textId="41ABBB5C">
      <w:pPr>
        <w:widowControl/>
        <w:jc w:val="both"/>
        <w:rPr>
          <w:rFonts w:ascii="Arial" w:hAnsi="Arial" w:cs="Arial"/>
        </w:rPr>
      </w:pPr>
      <w:r w:rsidRPr="00B0428B">
        <w:rPr>
          <w:rFonts w:ascii="Arial" w:hAnsi="Arial" w:cs="Arial"/>
        </w:rPr>
        <w:t xml:space="preserve">Patent applications that contain nucleotide and/or amino acid sequence disclosures </w:t>
      </w:r>
      <w:r>
        <w:rPr>
          <w:rFonts w:ascii="Arial" w:hAnsi="Arial" w:cs="Arial"/>
        </w:rPr>
        <w:t xml:space="preserve">falling within the definitions of </w:t>
      </w:r>
      <w:r w:rsidR="00232F0C">
        <w:rPr>
          <w:rFonts w:ascii="Arial" w:hAnsi="Arial" w:cs="Arial"/>
        </w:rPr>
        <w:t>37 CFR</w:t>
      </w:r>
      <w:r w:rsidR="00AB4E9D">
        <w:rPr>
          <w:rFonts w:ascii="Arial" w:hAnsi="Arial" w:cs="Arial"/>
        </w:rPr>
        <w:t xml:space="preserve"> </w:t>
      </w:r>
      <w:r w:rsidRPr="00AB4E9D" w:rsidR="00AB4E9D">
        <w:rPr>
          <w:rFonts w:ascii="Arial" w:hAnsi="Arial" w:cs="Arial"/>
        </w:rPr>
        <w:t>§</w:t>
      </w:r>
      <w:r w:rsidR="00232F0C">
        <w:rPr>
          <w:rFonts w:ascii="Arial" w:hAnsi="Arial" w:cs="Arial"/>
        </w:rPr>
        <w:t xml:space="preserve"> 1.831 (for applications filed on or after July 1, 2022) or </w:t>
      </w:r>
      <w:r>
        <w:rPr>
          <w:rFonts w:ascii="Arial" w:hAnsi="Arial" w:cs="Arial"/>
        </w:rPr>
        <w:t>37 </w:t>
      </w:r>
      <w:r w:rsidRPr="00AB4E9D" w:rsidR="00AB4E9D">
        <w:rPr>
          <w:rFonts w:ascii="Arial" w:hAnsi="Arial" w:cs="Arial"/>
        </w:rPr>
        <w:t xml:space="preserve">§ </w:t>
      </w:r>
      <w:r>
        <w:rPr>
          <w:rFonts w:ascii="Arial" w:hAnsi="Arial" w:cs="Arial"/>
        </w:rPr>
        <w:t xml:space="preserve">CFR 1.821(a) (for applications filed on or before June 30, 2022) </w:t>
      </w:r>
      <w:r w:rsidRPr="00B0428B">
        <w:rPr>
          <w:rFonts w:ascii="Arial" w:hAnsi="Arial" w:cs="Arial"/>
        </w:rPr>
        <w:t>must include</w:t>
      </w:r>
      <w:r>
        <w:rPr>
          <w:rFonts w:ascii="Arial" w:hAnsi="Arial" w:cs="Arial"/>
        </w:rPr>
        <w:t>, as a separate part of the application disclosure,</w:t>
      </w:r>
      <w:r w:rsidRPr="00B0428B">
        <w:rPr>
          <w:rFonts w:ascii="Arial" w:hAnsi="Arial" w:cs="Arial"/>
        </w:rPr>
        <w:t xml:space="preserve"> a copy of the sequence listing in accordance with the requ</w:t>
      </w:r>
      <w:r>
        <w:rPr>
          <w:rFonts w:ascii="Arial" w:hAnsi="Arial" w:cs="Arial"/>
        </w:rPr>
        <w:t xml:space="preserve">irements in </w:t>
      </w:r>
      <w:r w:rsidR="00232F0C">
        <w:rPr>
          <w:rFonts w:ascii="Arial" w:hAnsi="Arial" w:cs="Arial"/>
        </w:rPr>
        <w:t xml:space="preserve">37 CFR </w:t>
      </w:r>
      <w:r w:rsidRPr="00AB4E9D" w:rsidR="00AB4E9D">
        <w:rPr>
          <w:rFonts w:ascii="Arial" w:hAnsi="Arial" w:cs="Arial"/>
        </w:rPr>
        <w:t xml:space="preserve">§§ </w:t>
      </w:r>
      <w:r w:rsidR="00232F0C">
        <w:rPr>
          <w:rFonts w:ascii="Arial" w:hAnsi="Arial" w:cs="Arial"/>
        </w:rPr>
        <w:t xml:space="preserve">1.831-1.835 or </w:t>
      </w:r>
      <w:r>
        <w:rPr>
          <w:rFonts w:ascii="Arial" w:hAnsi="Arial" w:cs="Arial"/>
        </w:rPr>
        <w:t xml:space="preserve">37 CFR </w:t>
      </w:r>
      <w:r w:rsidRPr="00AB4E9D" w:rsidR="00AB4E9D">
        <w:rPr>
          <w:rFonts w:ascii="Arial" w:hAnsi="Arial" w:cs="Arial"/>
        </w:rPr>
        <w:t xml:space="preserve">§§ </w:t>
      </w:r>
      <w:r>
        <w:rPr>
          <w:rFonts w:ascii="Arial" w:hAnsi="Arial" w:cs="Arial"/>
        </w:rPr>
        <w:t>1.821-1.825, respectively.</w:t>
      </w:r>
      <w:r w:rsidRPr="00B0428B">
        <w:rPr>
          <w:rFonts w:ascii="Arial" w:hAnsi="Arial" w:cs="Arial"/>
        </w:rPr>
        <w:t xml:space="preserve"> Applicants may submit sequence listings for both U.S. and int</w:t>
      </w:r>
      <w:r>
        <w:rPr>
          <w:rFonts w:ascii="Arial" w:hAnsi="Arial" w:cs="Arial"/>
        </w:rPr>
        <w:t>ernational patent applications.</w:t>
      </w:r>
      <w:r w:rsidRPr="00B0428B">
        <w:rPr>
          <w:rFonts w:ascii="Arial" w:hAnsi="Arial" w:cs="Arial"/>
        </w:rPr>
        <w:t xml:space="preserve"> </w:t>
      </w:r>
      <w:r w:rsidR="005117DF">
        <w:rPr>
          <w:rFonts w:ascii="Arial" w:hAnsi="Arial" w:cs="Arial"/>
        </w:rPr>
        <w:t xml:space="preserve">For more information </w:t>
      </w:r>
      <w:r w:rsidR="00C365FA">
        <w:rPr>
          <w:rFonts w:ascii="Arial" w:hAnsi="Arial" w:cs="Arial"/>
        </w:rPr>
        <w:t>concerning the submission of sequence listings in international applications, see</w:t>
      </w:r>
      <w:r w:rsidR="005117DF">
        <w:rPr>
          <w:rFonts w:ascii="Arial" w:hAnsi="Arial" w:cs="Arial"/>
        </w:rPr>
        <w:t xml:space="preserve"> </w:t>
      </w:r>
      <w:r w:rsidR="0074311E">
        <w:rPr>
          <w:rFonts w:ascii="Arial" w:hAnsi="Arial" w:cs="Arial"/>
        </w:rPr>
        <w:t xml:space="preserve">the </w:t>
      </w:r>
      <w:r w:rsidRPr="00B0428B" w:rsidR="0074311E">
        <w:rPr>
          <w:rFonts w:ascii="Arial" w:hAnsi="Arial" w:cs="Arial"/>
        </w:rPr>
        <w:t>Patent Cooperation Treaty (PCT) Rule</w:t>
      </w:r>
      <w:r w:rsidR="0074311E">
        <w:rPr>
          <w:rFonts w:ascii="Arial" w:hAnsi="Arial" w:cs="Arial"/>
        </w:rPr>
        <w:t>s</w:t>
      </w:r>
      <w:r w:rsidRPr="00B0428B" w:rsidR="0074311E">
        <w:rPr>
          <w:rFonts w:ascii="Arial" w:hAnsi="Arial" w:cs="Arial"/>
        </w:rPr>
        <w:t xml:space="preserve"> </w:t>
      </w:r>
      <w:r w:rsidR="0074311E">
        <w:rPr>
          <w:rFonts w:ascii="Arial" w:hAnsi="Arial" w:cs="Arial"/>
        </w:rPr>
        <w:t xml:space="preserve">5.2 and </w:t>
      </w:r>
      <w:r w:rsidRPr="00B0428B" w:rsidR="0074311E">
        <w:rPr>
          <w:rFonts w:ascii="Arial" w:hAnsi="Arial" w:cs="Arial"/>
        </w:rPr>
        <w:t>13</w:t>
      </w:r>
      <w:r w:rsidRPr="009E5083" w:rsidR="0074311E">
        <w:rPr>
          <w:rFonts w:ascii="Arial" w:hAnsi="Arial" w:cs="Arial"/>
          <w:i/>
        </w:rPr>
        <w:t>ter</w:t>
      </w:r>
      <w:r w:rsidR="0074311E">
        <w:rPr>
          <w:rFonts w:ascii="Arial" w:hAnsi="Arial" w:cs="Arial"/>
        </w:rPr>
        <w:t>, Annex C</w:t>
      </w:r>
      <w:r w:rsidRPr="0074311E" w:rsidR="0074311E">
        <w:rPr>
          <w:rFonts w:ascii="Arial" w:hAnsi="Arial" w:cs="Arial"/>
        </w:rPr>
        <w:t xml:space="preserve"> </w:t>
      </w:r>
      <w:r w:rsidR="0074311E">
        <w:rPr>
          <w:rFonts w:ascii="Arial" w:hAnsi="Arial" w:cs="Arial"/>
        </w:rPr>
        <w:t>of the PCT Administrative Instructions, and</w:t>
      </w:r>
      <w:r w:rsidRPr="0074311E" w:rsidR="0074311E">
        <w:rPr>
          <w:rFonts w:ascii="Arial" w:hAnsi="Arial" w:cs="Arial"/>
        </w:rPr>
        <w:t xml:space="preserve"> section </w:t>
      </w:r>
      <w:r w:rsidR="0074311E">
        <w:rPr>
          <w:rFonts w:ascii="Arial" w:hAnsi="Arial" w:cs="Arial"/>
        </w:rPr>
        <w:t xml:space="preserve">1848 </w:t>
      </w:r>
      <w:r w:rsidRPr="0074311E" w:rsidR="0074311E">
        <w:rPr>
          <w:rFonts w:ascii="Arial" w:hAnsi="Arial" w:cs="Arial"/>
        </w:rPr>
        <w:t xml:space="preserve">of </w:t>
      </w:r>
      <w:r w:rsidR="0074311E">
        <w:rPr>
          <w:rFonts w:ascii="Arial" w:hAnsi="Arial" w:cs="Arial"/>
        </w:rPr>
        <w:t xml:space="preserve">the </w:t>
      </w:r>
      <w:r w:rsidRPr="0074311E" w:rsidR="0074311E">
        <w:rPr>
          <w:rFonts w:ascii="Arial" w:hAnsi="Arial" w:cs="Arial"/>
        </w:rPr>
        <w:t>Manual of Patent Examining Procedure (MPEP) (9th ed., Rev. 01.2024, November 2024)</w:t>
      </w:r>
      <w:r>
        <w:rPr>
          <w:rFonts w:ascii="Arial" w:hAnsi="Arial" w:cs="Arial"/>
        </w:rPr>
        <w:t>.</w:t>
      </w:r>
    </w:p>
    <w:p w:rsidR="00FB6065" w:rsidP="00FB6065" w14:paraId="4464A7F9" w14:textId="77777777">
      <w:pPr>
        <w:widowControl/>
        <w:jc w:val="both"/>
        <w:rPr>
          <w:rFonts w:ascii="Arial" w:hAnsi="Arial" w:cs="Arial"/>
        </w:rPr>
      </w:pPr>
    </w:p>
    <w:p w:rsidR="009D2D21" w:rsidP="00FB6065" w14:paraId="38BA04EF" w14:textId="420140B1">
      <w:pPr>
        <w:widowControl/>
        <w:jc w:val="both"/>
        <w:rPr>
          <w:rFonts w:ascii="Arial" w:hAnsi="Arial" w:cs="Arial"/>
        </w:rPr>
      </w:pPr>
      <w:r w:rsidRPr="009D2D21">
        <w:rPr>
          <w:rFonts w:ascii="Arial" w:hAnsi="Arial" w:cs="Arial"/>
        </w:rPr>
        <w:t>The USPTO uses the sequence listings during the examination process to determine the patentability of the invention claimed in the application. The USPTO also uses the sequence listings for pre-grant publication of applications and issued patents. Applicants use sequence listings when preparing both national and international patent applications that disclose nucleotide and/or amino acid sequences to provide a written description of the invention and to distinguish the claimed subject matter from the prior art.</w:t>
      </w:r>
    </w:p>
    <w:p w:rsidR="009D2D21" w:rsidRPr="00B0428B" w:rsidP="00FB6065" w14:paraId="304778E3" w14:textId="77777777">
      <w:pPr>
        <w:widowControl/>
        <w:jc w:val="both"/>
        <w:rPr>
          <w:rFonts w:ascii="Arial" w:hAnsi="Arial" w:cs="Arial"/>
        </w:rPr>
      </w:pPr>
    </w:p>
    <w:p w:rsidR="00FB6065" w:rsidP="00FB6065" w14:paraId="648CC483" w14:textId="00E5FF62">
      <w:pPr>
        <w:widowControl/>
        <w:jc w:val="both"/>
        <w:rPr>
          <w:rFonts w:ascii="Arial" w:hAnsi="Arial" w:cs="Arial"/>
        </w:rPr>
      </w:pPr>
      <w:r w:rsidRPr="00B0428B">
        <w:rPr>
          <w:rFonts w:ascii="Arial" w:hAnsi="Arial" w:cs="Arial"/>
        </w:rPr>
        <w:t xml:space="preserve">This information collection </w:t>
      </w:r>
      <w:r w:rsidR="00A266DE">
        <w:rPr>
          <w:rFonts w:ascii="Arial" w:hAnsi="Arial" w:cs="Arial"/>
        </w:rPr>
        <w:t xml:space="preserve">only </w:t>
      </w:r>
      <w:r>
        <w:rPr>
          <w:rFonts w:ascii="Arial" w:hAnsi="Arial" w:cs="Arial"/>
        </w:rPr>
        <w:t xml:space="preserve">covers the submission of </w:t>
      </w:r>
      <w:r w:rsidRPr="00B0428B">
        <w:rPr>
          <w:rFonts w:ascii="Arial" w:hAnsi="Arial" w:cs="Arial"/>
        </w:rPr>
        <w:t>the sequence listing</w:t>
      </w:r>
      <w:r>
        <w:rPr>
          <w:rFonts w:ascii="Arial" w:hAnsi="Arial" w:cs="Arial"/>
        </w:rPr>
        <w:t xml:space="preserve"> information itself. </w:t>
      </w:r>
      <w:r w:rsidRPr="00B0428B">
        <w:rPr>
          <w:rFonts w:ascii="Arial" w:hAnsi="Arial" w:cs="Arial"/>
        </w:rPr>
        <w:t xml:space="preserve">Information pertaining to the </w:t>
      </w:r>
      <w:r>
        <w:rPr>
          <w:rFonts w:ascii="Arial" w:hAnsi="Arial" w:cs="Arial"/>
        </w:rPr>
        <w:t xml:space="preserve">initial </w:t>
      </w:r>
      <w:r w:rsidRPr="00B0428B">
        <w:rPr>
          <w:rFonts w:ascii="Arial" w:hAnsi="Arial" w:cs="Arial"/>
        </w:rPr>
        <w:t xml:space="preserve">filing of </w:t>
      </w:r>
      <w:r>
        <w:rPr>
          <w:rFonts w:ascii="Arial" w:hAnsi="Arial" w:cs="Arial"/>
        </w:rPr>
        <w:t xml:space="preserve">U.S. </w:t>
      </w:r>
      <w:r w:rsidRPr="00B0428B">
        <w:rPr>
          <w:rFonts w:ascii="Arial" w:hAnsi="Arial" w:cs="Arial"/>
        </w:rPr>
        <w:t>patent application</w:t>
      </w:r>
      <w:r>
        <w:rPr>
          <w:rFonts w:ascii="Arial" w:hAnsi="Arial" w:cs="Arial"/>
        </w:rPr>
        <w:t>s</w:t>
      </w:r>
      <w:r w:rsidRPr="00B0428B">
        <w:rPr>
          <w:rFonts w:ascii="Arial" w:hAnsi="Arial" w:cs="Arial"/>
        </w:rPr>
        <w:t xml:space="preserve"> is collected under OMB Control Number 0651-0032</w:t>
      </w:r>
      <w:r w:rsidR="00A266DE">
        <w:rPr>
          <w:rFonts w:ascii="Arial" w:hAnsi="Arial" w:cs="Arial"/>
        </w:rPr>
        <w:t xml:space="preserve"> (Initial Patent Applications)</w:t>
      </w:r>
      <w:r w:rsidRPr="00B0428B">
        <w:rPr>
          <w:rFonts w:ascii="Arial" w:hAnsi="Arial" w:cs="Arial"/>
        </w:rPr>
        <w:t xml:space="preserve">, and </w:t>
      </w:r>
      <w:r>
        <w:rPr>
          <w:rFonts w:ascii="Arial" w:hAnsi="Arial" w:cs="Arial"/>
        </w:rPr>
        <w:t xml:space="preserve">information pertaining to the initial filing of </w:t>
      </w:r>
      <w:r w:rsidRPr="00B0428B">
        <w:rPr>
          <w:rFonts w:ascii="Arial" w:hAnsi="Arial" w:cs="Arial"/>
        </w:rPr>
        <w:t>international application</w:t>
      </w:r>
      <w:r>
        <w:rPr>
          <w:rFonts w:ascii="Arial" w:hAnsi="Arial" w:cs="Arial"/>
        </w:rPr>
        <w:t xml:space="preserve">s is collected </w:t>
      </w:r>
      <w:r w:rsidRPr="00B0428B">
        <w:rPr>
          <w:rFonts w:ascii="Arial" w:hAnsi="Arial" w:cs="Arial"/>
        </w:rPr>
        <w:t>under OMB Control Number 0651-0021</w:t>
      </w:r>
      <w:r w:rsidR="00870924">
        <w:rPr>
          <w:rFonts w:ascii="Arial" w:hAnsi="Arial" w:cs="Arial"/>
        </w:rPr>
        <w:t xml:space="preserve"> (Patent Cooperation Treaty)</w:t>
      </w:r>
      <w:r w:rsidRPr="00B0428B">
        <w:rPr>
          <w:rFonts w:ascii="Arial" w:hAnsi="Arial" w:cs="Arial"/>
        </w:rPr>
        <w:t>.</w:t>
      </w:r>
    </w:p>
    <w:p w:rsidR="00FB6065" w:rsidP="00FB6065" w14:paraId="075BB341" w14:textId="77777777">
      <w:pPr>
        <w:widowControl/>
        <w:jc w:val="both"/>
        <w:rPr>
          <w:rFonts w:ascii="Arial" w:hAnsi="Arial" w:cs="Arial"/>
        </w:rPr>
      </w:pPr>
    </w:p>
    <w:p w:rsidR="00232F0C" w:rsidP="00232F0C" w14:paraId="168AF3AC" w14:textId="5473358A">
      <w:pPr>
        <w:widowControl/>
        <w:jc w:val="both"/>
        <w:rPr>
          <w:rFonts w:ascii="Arial" w:hAnsi="Arial" w:cs="Arial"/>
        </w:rPr>
      </w:pPr>
      <w:r w:rsidRPr="00D76133">
        <w:rPr>
          <w:rFonts w:ascii="Arial" w:hAnsi="Arial" w:cs="Arial"/>
        </w:rPr>
        <w:t xml:space="preserve">Sequence listings </w:t>
      </w:r>
      <w:r w:rsidR="00156830">
        <w:rPr>
          <w:rFonts w:ascii="Arial" w:hAnsi="Arial" w:cs="Arial"/>
        </w:rPr>
        <w:t xml:space="preserve">for </w:t>
      </w:r>
      <w:r w:rsidRPr="00D76133">
        <w:rPr>
          <w:rFonts w:ascii="Arial" w:hAnsi="Arial" w:cs="Arial"/>
        </w:rPr>
        <w:t xml:space="preserve">applications </w:t>
      </w:r>
      <w:r w:rsidR="00741260">
        <w:rPr>
          <w:rFonts w:ascii="Arial" w:hAnsi="Arial" w:cs="Arial"/>
        </w:rPr>
        <w:t xml:space="preserve">having a filing date of </w:t>
      </w:r>
      <w:r w:rsidRPr="00D76133">
        <w:rPr>
          <w:rFonts w:ascii="Arial" w:hAnsi="Arial" w:cs="Arial"/>
        </w:rPr>
        <w:t>on or after July 1, 2022</w:t>
      </w:r>
      <w:r>
        <w:rPr>
          <w:rFonts w:ascii="Arial" w:hAnsi="Arial" w:cs="Arial"/>
        </w:rPr>
        <w:t>,</w:t>
      </w:r>
      <w:r w:rsidRPr="00D76133">
        <w:rPr>
          <w:rFonts w:ascii="Arial" w:hAnsi="Arial" w:cs="Arial"/>
        </w:rPr>
        <w:t xml:space="preserve"> must be submitted in XML format </w:t>
      </w:r>
      <w:r>
        <w:rPr>
          <w:rFonts w:ascii="Arial" w:hAnsi="Arial" w:cs="Arial"/>
        </w:rPr>
        <w:t xml:space="preserve">in accordance with </w:t>
      </w:r>
      <w:r w:rsidRPr="00D76133">
        <w:rPr>
          <w:rFonts w:ascii="Arial" w:hAnsi="Arial" w:cs="Arial"/>
        </w:rPr>
        <w:t>37</w:t>
      </w:r>
      <w:r w:rsidRPr="00032CDB" w:rsidR="00032CDB">
        <w:t xml:space="preserve"> </w:t>
      </w:r>
      <w:r w:rsidRPr="00032CDB" w:rsidR="00032CDB">
        <w:rPr>
          <w:rFonts w:ascii="Arial" w:hAnsi="Arial" w:cs="Arial"/>
        </w:rPr>
        <w:t>§§</w:t>
      </w:r>
      <w:r w:rsidRPr="00D76133">
        <w:rPr>
          <w:rFonts w:ascii="Arial" w:hAnsi="Arial" w:cs="Arial"/>
        </w:rPr>
        <w:t xml:space="preserve"> CFR 1.831</w:t>
      </w:r>
      <w:r>
        <w:rPr>
          <w:rFonts w:ascii="Arial" w:hAnsi="Arial" w:cs="Arial"/>
        </w:rPr>
        <w:t>-1.835.</w:t>
      </w:r>
      <w:r w:rsidRPr="00D76133">
        <w:rPr>
          <w:rFonts w:ascii="Arial" w:hAnsi="Arial" w:cs="Arial"/>
        </w:rPr>
        <w:t xml:space="preserve"> </w:t>
      </w:r>
      <w:r w:rsidR="00B13C43">
        <w:rPr>
          <w:rFonts w:ascii="Arial" w:hAnsi="Arial" w:cs="Arial"/>
        </w:rPr>
        <w:t xml:space="preserve">The </w:t>
      </w:r>
      <w:r w:rsidRPr="00D76133">
        <w:rPr>
          <w:rFonts w:ascii="Arial" w:hAnsi="Arial" w:cs="Arial"/>
        </w:rPr>
        <w:t>submission</w:t>
      </w:r>
      <w:r w:rsidR="00B13C43">
        <w:rPr>
          <w:rFonts w:ascii="Arial" w:hAnsi="Arial" w:cs="Arial"/>
        </w:rPr>
        <w:t xml:space="preserve"> of a sequence listing in XML format</w:t>
      </w:r>
      <w:r w:rsidRPr="00D76133">
        <w:rPr>
          <w:rFonts w:ascii="Arial" w:hAnsi="Arial" w:cs="Arial"/>
        </w:rPr>
        <w:t xml:space="preserve"> m</w:t>
      </w:r>
      <w:r>
        <w:rPr>
          <w:rFonts w:ascii="Arial" w:hAnsi="Arial" w:cs="Arial"/>
        </w:rPr>
        <w:t>ust</w:t>
      </w:r>
      <w:r w:rsidRPr="00D76133">
        <w:rPr>
          <w:rFonts w:ascii="Arial" w:hAnsi="Arial" w:cs="Arial"/>
        </w:rPr>
        <w:t xml:space="preserve"> be made </w:t>
      </w:r>
      <w:r>
        <w:rPr>
          <w:rFonts w:ascii="Arial" w:hAnsi="Arial" w:cs="Arial"/>
        </w:rPr>
        <w:t xml:space="preserve">either </w:t>
      </w:r>
      <w:r w:rsidRPr="00D76133">
        <w:rPr>
          <w:rFonts w:ascii="Arial" w:hAnsi="Arial" w:cs="Arial"/>
        </w:rPr>
        <w:t xml:space="preserve">electronically via the </w:t>
      </w:r>
      <w:r>
        <w:rPr>
          <w:rFonts w:ascii="Arial" w:hAnsi="Arial" w:cs="Arial"/>
        </w:rPr>
        <w:t>USPTO patent electronic filing system</w:t>
      </w:r>
      <w:r w:rsidRPr="009E4E09">
        <w:rPr>
          <w:rFonts w:ascii="Arial" w:hAnsi="Arial" w:cs="Arial"/>
        </w:rPr>
        <w:t xml:space="preserve"> </w:t>
      </w:r>
      <w:r w:rsidR="005529AD">
        <w:rPr>
          <w:rFonts w:ascii="Arial" w:hAnsi="Arial" w:cs="Arial"/>
        </w:rPr>
        <w:t>(</w:t>
      </w:r>
      <w:r w:rsidR="007345C0">
        <w:rPr>
          <w:rFonts w:ascii="Arial" w:hAnsi="Arial" w:cs="Arial"/>
        </w:rPr>
        <w:t xml:space="preserve">currently </w:t>
      </w:r>
      <w:r w:rsidR="005529AD">
        <w:rPr>
          <w:rFonts w:ascii="Arial" w:hAnsi="Arial" w:cs="Arial"/>
        </w:rPr>
        <w:t xml:space="preserve">Patent Center) </w:t>
      </w:r>
      <w:r w:rsidRPr="00D76133">
        <w:rPr>
          <w:rFonts w:ascii="Arial" w:hAnsi="Arial" w:cs="Arial"/>
        </w:rPr>
        <w:t>as an XML file not exceeding 100MB without file compression, or as an XML file on a read-only optical disc in accordance with 37 CFR</w:t>
      </w:r>
      <w:r w:rsidR="00032CDB">
        <w:rPr>
          <w:rFonts w:ascii="Arial" w:hAnsi="Arial" w:cs="Arial"/>
        </w:rPr>
        <w:t xml:space="preserve"> </w:t>
      </w:r>
      <w:r w:rsidRPr="00032CDB" w:rsidR="00032CDB">
        <w:rPr>
          <w:rFonts w:ascii="Arial" w:hAnsi="Arial" w:cs="Arial"/>
        </w:rPr>
        <w:t>§</w:t>
      </w:r>
      <w:r w:rsidRPr="00D76133">
        <w:rPr>
          <w:rFonts w:ascii="Arial" w:hAnsi="Arial" w:cs="Arial"/>
        </w:rPr>
        <w:t xml:space="preserve"> 1.834(b)</w:t>
      </w:r>
      <w:r>
        <w:rPr>
          <w:rFonts w:ascii="Arial" w:hAnsi="Arial" w:cs="Arial"/>
        </w:rPr>
        <w:t>(2)</w:t>
      </w:r>
      <w:r w:rsidRPr="00D76133">
        <w:rPr>
          <w:rFonts w:ascii="Arial" w:hAnsi="Arial" w:cs="Arial"/>
        </w:rPr>
        <w:t>.</w:t>
      </w:r>
    </w:p>
    <w:p w:rsidR="00232F0C" w:rsidP="00FB6065" w14:paraId="36CE2645" w14:textId="77777777">
      <w:pPr>
        <w:widowControl/>
        <w:jc w:val="both"/>
        <w:rPr>
          <w:rFonts w:ascii="Arial" w:hAnsi="Arial" w:cs="Arial"/>
        </w:rPr>
      </w:pPr>
    </w:p>
    <w:p w:rsidR="000C6373" w:rsidP="00FB6065" w14:paraId="5348105E" w14:textId="7BDD9F82">
      <w:pPr>
        <w:widowControl/>
        <w:jc w:val="both"/>
        <w:rPr>
          <w:rFonts w:ascii="Arial" w:hAnsi="Arial" w:cs="Arial"/>
        </w:rPr>
      </w:pPr>
      <w:r w:rsidRPr="009E4E09">
        <w:rPr>
          <w:rFonts w:ascii="Arial" w:hAnsi="Arial" w:cs="Arial"/>
        </w:rPr>
        <w:t>Sequence listings</w:t>
      </w:r>
      <w:r>
        <w:rPr>
          <w:rFonts w:ascii="Arial" w:hAnsi="Arial" w:cs="Arial"/>
        </w:rPr>
        <w:t xml:space="preserve"> </w:t>
      </w:r>
      <w:bookmarkStart w:id="0" w:name="_Hlk113008223"/>
      <w:r w:rsidR="002355A3">
        <w:rPr>
          <w:rFonts w:ascii="Arial" w:hAnsi="Arial" w:cs="Arial"/>
        </w:rPr>
        <w:t xml:space="preserve">may still be filed </w:t>
      </w:r>
      <w:r>
        <w:rPr>
          <w:rFonts w:ascii="Arial" w:hAnsi="Arial" w:cs="Arial"/>
        </w:rPr>
        <w:t xml:space="preserve">in applications </w:t>
      </w:r>
      <w:r w:rsidR="00741260">
        <w:rPr>
          <w:rFonts w:ascii="Arial" w:hAnsi="Arial" w:cs="Arial"/>
        </w:rPr>
        <w:t xml:space="preserve">having a filing date of </w:t>
      </w:r>
      <w:r>
        <w:rPr>
          <w:rFonts w:ascii="Arial" w:hAnsi="Arial" w:cs="Arial"/>
        </w:rPr>
        <w:t>on or before June 30, 2022</w:t>
      </w:r>
      <w:r w:rsidR="00B9009E">
        <w:rPr>
          <w:rFonts w:ascii="Arial" w:hAnsi="Arial" w:cs="Arial"/>
        </w:rPr>
        <w:t>,</w:t>
      </w:r>
      <w:r>
        <w:rPr>
          <w:rFonts w:ascii="Arial" w:hAnsi="Arial" w:cs="Arial"/>
        </w:rPr>
        <w:t xml:space="preserve"> </w:t>
      </w:r>
      <w:bookmarkEnd w:id="0"/>
      <w:r w:rsidR="002355A3">
        <w:rPr>
          <w:rFonts w:ascii="Arial" w:hAnsi="Arial" w:cs="Arial"/>
        </w:rPr>
        <w:t xml:space="preserve">as amendments that meet the requirements of 37 CFR </w:t>
      </w:r>
      <w:r w:rsidRPr="00032CDB" w:rsidR="00032CDB">
        <w:rPr>
          <w:rFonts w:ascii="Arial" w:hAnsi="Arial" w:cs="Arial"/>
        </w:rPr>
        <w:t xml:space="preserve">§ </w:t>
      </w:r>
      <w:r w:rsidR="002355A3">
        <w:rPr>
          <w:rFonts w:ascii="Arial" w:hAnsi="Arial" w:cs="Arial"/>
        </w:rPr>
        <w:t xml:space="preserve">1.825. </w:t>
      </w:r>
      <w:r w:rsidR="008F70C3">
        <w:rPr>
          <w:rFonts w:ascii="Arial" w:hAnsi="Arial" w:cs="Arial"/>
        </w:rPr>
        <w:t xml:space="preserve">Sequence listings submitted as amendments in accordance with 37 CFR </w:t>
      </w:r>
      <w:r w:rsidRPr="00032CDB" w:rsidR="00032CDB">
        <w:rPr>
          <w:rFonts w:ascii="Arial" w:hAnsi="Arial" w:cs="Arial"/>
        </w:rPr>
        <w:t xml:space="preserve">§ </w:t>
      </w:r>
      <w:r w:rsidR="008F70C3">
        <w:rPr>
          <w:rFonts w:ascii="Arial" w:hAnsi="Arial" w:cs="Arial"/>
        </w:rPr>
        <w:t>1.825 must</w:t>
      </w:r>
      <w:r w:rsidRPr="009E4E09">
        <w:rPr>
          <w:rFonts w:ascii="Arial" w:hAnsi="Arial" w:cs="Arial"/>
        </w:rPr>
        <w:t xml:space="preserve"> be submitted </w:t>
      </w:r>
      <w:r w:rsidR="008F70C3">
        <w:rPr>
          <w:rFonts w:ascii="Arial" w:hAnsi="Arial" w:cs="Arial"/>
        </w:rPr>
        <w:t xml:space="preserve">as: </w:t>
      </w:r>
    </w:p>
    <w:p w:rsidR="000C6373" w:rsidP="000C6373" w14:paraId="4474CD07" w14:textId="0F187DAA">
      <w:pPr>
        <w:pStyle w:val="ListParagraph"/>
        <w:widowControl/>
        <w:numPr>
          <w:ilvl w:val="0"/>
          <w:numId w:val="18"/>
        </w:numPr>
        <w:jc w:val="both"/>
        <w:rPr>
          <w:rFonts w:ascii="Arial" w:hAnsi="Arial" w:cs="Arial"/>
        </w:rPr>
      </w:pPr>
      <w:r w:rsidRPr="000C6373">
        <w:rPr>
          <w:rFonts w:ascii="Arial" w:hAnsi="Arial" w:cs="Arial"/>
        </w:rPr>
        <w:t>A</w:t>
      </w:r>
      <w:r w:rsidRPr="000C6373" w:rsidR="008F70C3">
        <w:rPr>
          <w:rFonts w:ascii="Arial" w:hAnsi="Arial" w:cs="Arial"/>
        </w:rPr>
        <w:t xml:space="preserve">n ASCII plain text file </w:t>
      </w:r>
      <w:r w:rsidRPr="000C6373" w:rsidR="00FB6065">
        <w:rPr>
          <w:rFonts w:ascii="Arial" w:hAnsi="Arial" w:cs="Arial"/>
        </w:rPr>
        <w:t xml:space="preserve">via </w:t>
      </w:r>
      <w:r w:rsidRPr="000C6373" w:rsidR="00356798">
        <w:rPr>
          <w:rFonts w:ascii="Arial" w:hAnsi="Arial" w:cs="Arial"/>
        </w:rPr>
        <w:t>Patent Center</w:t>
      </w:r>
      <w:r w:rsidRPr="000C6373" w:rsidR="00FB6065">
        <w:rPr>
          <w:rFonts w:ascii="Arial" w:hAnsi="Arial" w:cs="Arial"/>
        </w:rPr>
        <w:t xml:space="preserve"> </w:t>
      </w:r>
      <w:r w:rsidRPr="000C6373" w:rsidR="008F70C3">
        <w:rPr>
          <w:rFonts w:ascii="Arial" w:hAnsi="Arial" w:cs="Arial"/>
        </w:rPr>
        <w:t xml:space="preserve">or on a read-only optical disc; </w:t>
      </w:r>
    </w:p>
    <w:p w:rsidR="000C6373" w:rsidP="000C6373" w14:paraId="37775112" w14:textId="5E396BE6">
      <w:pPr>
        <w:pStyle w:val="ListParagraph"/>
        <w:widowControl/>
        <w:numPr>
          <w:ilvl w:val="0"/>
          <w:numId w:val="18"/>
        </w:numPr>
        <w:jc w:val="both"/>
        <w:rPr>
          <w:rFonts w:ascii="Arial" w:hAnsi="Arial" w:cs="Arial"/>
        </w:rPr>
      </w:pPr>
      <w:r>
        <w:rPr>
          <w:rFonts w:ascii="Arial" w:hAnsi="Arial" w:cs="Arial"/>
        </w:rPr>
        <w:t>A</w:t>
      </w:r>
      <w:r w:rsidRPr="000C6373" w:rsidR="008F70C3">
        <w:rPr>
          <w:rFonts w:ascii="Arial" w:hAnsi="Arial" w:cs="Arial"/>
        </w:rPr>
        <w:t xml:space="preserve"> PDF file via </w:t>
      </w:r>
      <w:r w:rsidRPr="000C6373" w:rsidR="005529AD">
        <w:rPr>
          <w:rFonts w:ascii="Arial" w:hAnsi="Arial" w:cs="Arial"/>
        </w:rPr>
        <w:t>Patent Center</w:t>
      </w:r>
      <w:r w:rsidRPr="000C6373" w:rsidR="008F70C3">
        <w:rPr>
          <w:rFonts w:ascii="Arial" w:hAnsi="Arial" w:cs="Arial"/>
        </w:rPr>
        <w:t xml:space="preserve">; or </w:t>
      </w:r>
    </w:p>
    <w:p w:rsidR="000C6373" w:rsidRPr="000C6373" w:rsidP="000C6373" w14:paraId="429B494D" w14:textId="776DE4C5">
      <w:pPr>
        <w:pStyle w:val="ListParagraph"/>
        <w:widowControl/>
        <w:numPr>
          <w:ilvl w:val="0"/>
          <w:numId w:val="18"/>
        </w:numPr>
        <w:jc w:val="both"/>
        <w:rPr>
          <w:rFonts w:ascii="Arial" w:hAnsi="Arial" w:cs="Arial"/>
        </w:rPr>
      </w:pPr>
      <w:r>
        <w:rPr>
          <w:rFonts w:ascii="Arial" w:hAnsi="Arial" w:cs="Arial"/>
        </w:rPr>
        <w:t>P</w:t>
      </w:r>
      <w:r w:rsidRPr="000C6373" w:rsidR="008F70C3">
        <w:rPr>
          <w:rFonts w:ascii="Arial" w:hAnsi="Arial" w:cs="Arial"/>
        </w:rPr>
        <w:t>hysical sheets of paper.</w:t>
      </w:r>
      <w:r w:rsidRPr="000C6373" w:rsidR="00570033">
        <w:rPr>
          <w:rFonts w:ascii="Arial" w:hAnsi="Arial" w:cs="Arial"/>
        </w:rPr>
        <w:t xml:space="preserve"> </w:t>
      </w:r>
    </w:p>
    <w:p w:rsidR="000C6373" w:rsidP="00FB6065" w14:paraId="77D658E4" w14:textId="77777777">
      <w:pPr>
        <w:widowControl/>
        <w:jc w:val="both"/>
        <w:rPr>
          <w:rFonts w:ascii="Arial" w:hAnsi="Arial" w:cs="Arial"/>
        </w:rPr>
      </w:pPr>
    </w:p>
    <w:p w:rsidR="00FB6065" w:rsidP="00FB6065" w14:paraId="03E39318" w14:textId="2005AEC3">
      <w:pPr>
        <w:widowControl/>
        <w:jc w:val="both"/>
        <w:rPr>
          <w:rFonts w:ascii="Arial" w:hAnsi="Arial" w:cs="Arial"/>
        </w:rPr>
      </w:pPr>
      <w:r>
        <w:rPr>
          <w:rFonts w:ascii="Arial" w:hAnsi="Arial" w:cs="Arial"/>
        </w:rPr>
        <w:t xml:space="preserve">When </w:t>
      </w:r>
      <w:r w:rsidR="00212131">
        <w:rPr>
          <w:rFonts w:ascii="Arial" w:hAnsi="Arial" w:cs="Arial"/>
        </w:rPr>
        <w:t xml:space="preserve">an </w:t>
      </w:r>
      <w:r w:rsidRPr="00212131" w:rsidR="00212131">
        <w:rPr>
          <w:rFonts w:ascii="Arial" w:hAnsi="Arial" w:cs="Arial"/>
        </w:rPr>
        <w:t>amendment that meet</w:t>
      </w:r>
      <w:r w:rsidR="00212131">
        <w:rPr>
          <w:rFonts w:ascii="Arial" w:hAnsi="Arial" w:cs="Arial"/>
        </w:rPr>
        <w:t>s</w:t>
      </w:r>
      <w:r w:rsidRPr="00212131" w:rsidR="00212131">
        <w:rPr>
          <w:rFonts w:ascii="Arial" w:hAnsi="Arial" w:cs="Arial"/>
        </w:rPr>
        <w:t xml:space="preserve"> the requirements of 37 CFR </w:t>
      </w:r>
      <w:r w:rsidRPr="00032CDB" w:rsidR="00032CDB">
        <w:rPr>
          <w:rFonts w:ascii="Arial" w:hAnsi="Arial" w:cs="Arial"/>
        </w:rPr>
        <w:t xml:space="preserve">§ </w:t>
      </w:r>
      <w:r w:rsidRPr="00212131" w:rsidR="00212131">
        <w:rPr>
          <w:rFonts w:ascii="Arial" w:hAnsi="Arial" w:cs="Arial"/>
        </w:rPr>
        <w:t>1.825</w:t>
      </w:r>
      <w:r w:rsidR="00212131">
        <w:rPr>
          <w:rFonts w:ascii="Arial" w:hAnsi="Arial" w:cs="Arial"/>
        </w:rPr>
        <w:t xml:space="preserve"> is </w:t>
      </w:r>
      <w:r>
        <w:rPr>
          <w:rFonts w:ascii="Arial" w:hAnsi="Arial" w:cs="Arial"/>
        </w:rPr>
        <w:t>submitted as a PDF or on physical sheets of paper</w:t>
      </w:r>
      <w:r w:rsidR="00212131">
        <w:rPr>
          <w:rFonts w:ascii="Arial" w:hAnsi="Arial" w:cs="Arial"/>
        </w:rPr>
        <w:t xml:space="preserve"> in an application having a filing date of on or before June 30, 2022</w:t>
      </w:r>
      <w:r>
        <w:rPr>
          <w:rFonts w:ascii="Arial" w:hAnsi="Arial" w:cs="Arial"/>
        </w:rPr>
        <w:t xml:space="preserve">, the applicant </w:t>
      </w:r>
      <w:r w:rsidR="00E70D5A">
        <w:rPr>
          <w:rFonts w:ascii="Arial" w:hAnsi="Arial" w:cs="Arial"/>
        </w:rPr>
        <w:t xml:space="preserve">may </w:t>
      </w:r>
      <w:r>
        <w:rPr>
          <w:rFonts w:ascii="Arial" w:hAnsi="Arial" w:cs="Arial"/>
        </w:rPr>
        <w:t xml:space="preserve">also </w:t>
      </w:r>
      <w:r w:rsidR="00E70D5A">
        <w:rPr>
          <w:rFonts w:ascii="Arial" w:hAnsi="Arial" w:cs="Arial"/>
        </w:rPr>
        <w:t xml:space="preserve">need to </w:t>
      </w:r>
      <w:r>
        <w:rPr>
          <w:rFonts w:ascii="Arial" w:hAnsi="Arial" w:cs="Arial"/>
        </w:rPr>
        <w:t xml:space="preserve">submit a new or substitute computer readable form (CRF) </w:t>
      </w:r>
      <w:r w:rsidR="005529AD">
        <w:rPr>
          <w:rFonts w:ascii="Arial" w:hAnsi="Arial" w:cs="Arial"/>
        </w:rPr>
        <w:t xml:space="preserve">copy </w:t>
      </w:r>
      <w:r>
        <w:rPr>
          <w:rFonts w:ascii="Arial" w:hAnsi="Arial" w:cs="Arial"/>
        </w:rPr>
        <w:t xml:space="preserve">of the </w:t>
      </w:r>
      <w:r w:rsidR="00E70D5A">
        <w:rPr>
          <w:rFonts w:ascii="Arial" w:hAnsi="Arial" w:cs="Arial"/>
        </w:rPr>
        <w:t xml:space="preserve">sequence listing under 37 CFR </w:t>
      </w:r>
      <w:r w:rsidRPr="00032CDB" w:rsidR="00032CDB">
        <w:rPr>
          <w:rFonts w:ascii="Arial" w:hAnsi="Arial" w:cs="Arial"/>
        </w:rPr>
        <w:t xml:space="preserve">§§ </w:t>
      </w:r>
      <w:r w:rsidR="00E70D5A">
        <w:rPr>
          <w:rFonts w:ascii="Arial" w:hAnsi="Arial" w:cs="Arial"/>
        </w:rPr>
        <w:t>1.821(e)</w:t>
      </w:r>
      <w:r w:rsidR="005529AD">
        <w:rPr>
          <w:rFonts w:ascii="Arial" w:hAnsi="Arial" w:cs="Arial"/>
        </w:rPr>
        <w:t xml:space="preserve"> and 1.824</w:t>
      </w:r>
      <w:r w:rsidR="00E70D5A">
        <w:rPr>
          <w:rFonts w:ascii="Arial" w:hAnsi="Arial" w:cs="Arial"/>
        </w:rPr>
        <w:t xml:space="preserve">, with the amendment incorporated therein, if </w:t>
      </w:r>
      <w:r w:rsidR="003007ED">
        <w:rPr>
          <w:rFonts w:ascii="Arial" w:hAnsi="Arial" w:cs="Arial"/>
        </w:rPr>
        <w:t>necessary,</w:t>
      </w:r>
      <w:r w:rsidR="00E70D5A">
        <w:rPr>
          <w:rFonts w:ascii="Arial" w:hAnsi="Arial" w:cs="Arial"/>
        </w:rPr>
        <w:t xml:space="preserve"> under 37 CFR </w:t>
      </w:r>
      <w:r w:rsidRPr="00032CDB" w:rsidR="00032CDB">
        <w:rPr>
          <w:rFonts w:ascii="Arial" w:hAnsi="Arial" w:cs="Arial"/>
        </w:rPr>
        <w:t xml:space="preserve">§§ </w:t>
      </w:r>
      <w:r w:rsidR="00E70D5A">
        <w:rPr>
          <w:rFonts w:ascii="Arial" w:hAnsi="Arial" w:cs="Arial"/>
        </w:rPr>
        <w:t xml:space="preserve">1.825(a)(5)(ii) or (b)(6)(ii). </w:t>
      </w:r>
      <w:r w:rsidRPr="009E4E09" w:rsidR="005529AD">
        <w:rPr>
          <w:rFonts w:ascii="Arial" w:hAnsi="Arial" w:cs="Arial"/>
        </w:rPr>
        <w:t>Applicants may submit the</w:t>
      </w:r>
      <w:r w:rsidR="005529AD">
        <w:rPr>
          <w:rFonts w:ascii="Arial" w:hAnsi="Arial" w:cs="Arial"/>
        </w:rPr>
        <w:t xml:space="preserve"> </w:t>
      </w:r>
      <w:r w:rsidRPr="009E4E09" w:rsidR="005529AD">
        <w:rPr>
          <w:rFonts w:ascii="Arial" w:hAnsi="Arial" w:cs="Arial"/>
        </w:rPr>
        <w:t xml:space="preserve">CRF copy </w:t>
      </w:r>
      <w:r w:rsidR="005529AD">
        <w:rPr>
          <w:rFonts w:ascii="Arial" w:hAnsi="Arial" w:cs="Arial"/>
        </w:rPr>
        <w:t xml:space="preserve">via Patent Center or </w:t>
      </w:r>
      <w:r w:rsidRPr="009E4E09" w:rsidR="005529AD">
        <w:rPr>
          <w:rFonts w:ascii="Arial" w:hAnsi="Arial" w:cs="Arial"/>
        </w:rPr>
        <w:t xml:space="preserve">on </w:t>
      </w:r>
      <w:r w:rsidR="005529AD">
        <w:rPr>
          <w:rFonts w:ascii="Arial" w:hAnsi="Arial" w:cs="Arial"/>
        </w:rPr>
        <w:t>a read-only optical disc</w:t>
      </w:r>
      <w:r w:rsidRPr="009E4E09" w:rsidR="005529AD">
        <w:rPr>
          <w:rFonts w:ascii="Arial" w:hAnsi="Arial" w:cs="Arial"/>
        </w:rPr>
        <w:t xml:space="preserve"> as provided in </w:t>
      </w:r>
      <w:r w:rsidR="005529AD">
        <w:rPr>
          <w:rFonts w:ascii="Arial" w:hAnsi="Arial" w:cs="Arial"/>
        </w:rPr>
        <w:t>37 CFR </w:t>
      </w:r>
      <w:r w:rsidRPr="00032CDB" w:rsidR="00032CDB">
        <w:rPr>
          <w:rFonts w:ascii="Arial" w:hAnsi="Arial" w:cs="Arial"/>
        </w:rPr>
        <w:t xml:space="preserve">§ </w:t>
      </w:r>
      <w:r w:rsidRPr="009E4E09" w:rsidR="005529AD">
        <w:rPr>
          <w:rFonts w:ascii="Arial" w:hAnsi="Arial" w:cs="Arial"/>
        </w:rPr>
        <w:t>1.824</w:t>
      </w:r>
      <w:r w:rsidR="005529AD">
        <w:rPr>
          <w:rFonts w:ascii="Arial" w:hAnsi="Arial" w:cs="Arial"/>
        </w:rPr>
        <w:t>(b)</w:t>
      </w:r>
      <w:r w:rsidRPr="009E4E09" w:rsidR="005529AD">
        <w:rPr>
          <w:rFonts w:ascii="Arial" w:hAnsi="Arial" w:cs="Arial"/>
        </w:rPr>
        <w:t xml:space="preserve">. </w:t>
      </w:r>
      <w:r w:rsidR="005529AD">
        <w:rPr>
          <w:rFonts w:ascii="Arial" w:hAnsi="Arial" w:cs="Arial"/>
        </w:rPr>
        <w:t xml:space="preserve">When a new or substitute CRF copy is necessary, applicants must submit </w:t>
      </w:r>
      <w:r w:rsidRPr="009E4E09" w:rsidR="005529AD">
        <w:rPr>
          <w:rFonts w:ascii="Arial" w:hAnsi="Arial" w:cs="Arial"/>
        </w:rPr>
        <w:t>a statement indicating that the CRF copy</w:t>
      </w:r>
      <w:r w:rsidR="005529AD">
        <w:rPr>
          <w:rFonts w:ascii="Arial" w:hAnsi="Arial" w:cs="Arial"/>
        </w:rPr>
        <w:t xml:space="preserve"> </w:t>
      </w:r>
      <w:r w:rsidRPr="009E4E09" w:rsidR="005529AD">
        <w:rPr>
          <w:rFonts w:ascii="Arial" w:hAnsi="Arial" w:cs="Arial"/>
        </w:rPr>
        <w:t>of the sequence listing is identical to the</w:t>
      </w:r>
      <w:r w:rsidR="005529AD">
        <w:rPr>
          <w:rFonts w:ascii="Arial" w:hAnsi="Arial" w:cs="Arial"/>
        </w:rPr>
        <w:t xml:space="preserve"> </w:t>
      </w:r>
      <w:r w:rsidRPr="009E4E09" w:rsidR="005529AD">
        <w:rPr>
          <w:rFonts w:ascii="Arial" w:hAnsi="Arial" w:cs="Arial"/>
        </w:rPr>
        <w:t xml:space="preserve">PDF </w:t>
      </w:r>
      <w:r w:rsidR="005529AD">
        <w:rPr>
          <w:rFonts w:ascii="Arial" w:hAnsi="Arial" w:cs="Arial"/>
        </w:rPr>
        <w:t xml:space="preserve">or paper </w:t>
      </w:r>
      <w:r w:rsidRPr="009E4E09" w:rsidR="005529AD">
        <w:rPr>
          <w:rFonts w:ascii="Arial" w:hAnsi="Arial" w:cs="Arial"/>
        </w:rPr>
        <w:t>copy</w:t>
      </w:r>
      <w:r w:rsidR="005529AD">
        <w:rPr>
          <w:rFonts w:ascii="Arial" w:hAnsi="Arial" w:cs="Arial"/>
        </w:rPr>
        <w:t xml:space="preserve">. </w:t>
      </w:r>
      <w:r w:rsidRPr="009E4E09">
        <w:rPr>
          <w:rFonts w:ascii="Arial" w:hAnsi="Arial" w:cs="Arial"/>
        </w:rPr>
        <w:t>This information collection also</w:t>
      </w:r>
      <w:r>
        <w:rPr>
          <w:rFonts w:ascii="Arial" w:hAnsi="Arial" w:cs="Arial"/>
        </w:rPr>
        <w:t xml:space="preserve"> </w:t>
      </w:r>
      <w:r w:rsidRPr="009E4E09">
        <w:rPr>
          <w:rFonts w:ascii="Arial" w:hAnsi="Arial" w:cs="Arial"/>
        </w:rPr>
        <w:t xml:space="preserve">accounts for </w:t>
      </w:r>
      <w:r w:rsidR="005529AD">
        <w:rPr>
          <w:rFonts w:ascii="Arial" w:hAnsi="Arial" w:cs="Arial"/>
        </w:rPr>
        <w:t xml:space="preserve">these </w:t>
      </w:r>
      <w:r w:rsidR="00E70D5A">
        <w:rPr>
          <w:rFonts w:ascii="Arial" w:hAnsi="Arial" w:cs="Arial"/>
        </w:rPr>
        <w:t xml:space="preserve">CRF </w:t>
      </w:r>
      <w:r w:rsidR="005529AD">
        <w:rPr>
          <w:rFonts w:ascii="Arial" w:hAnsi="Arial" w:cs="Arial"/>
        </w:rPr>
        <w:t xml:space="preserve">copy and statement </w:t>
      </w:r>
      <w:r w:rsidRPr="009E4E09">
        <w:rPr>
          <w:rFonts w:ascii="Arial" w:hAnsi="Arial" w:cs="Arial"/>
        </w:rPr>
        <w:t>requirement</w:t>
      </w:r>
      <w:r w:rsidR="005529AD">
        <w:rPr>
          <w:rFonts w:ascii="Arial" w:hAnsi="Arial" w:cs="Arial"/>
        </w:rPr>
        <w:t>s</w:t>
      </w:r>
      <w:r w:rsidR="00E70D5A">
        <w:rPr>
          <w:rFonts w:ascii="Arial" w:hAnsi="Arial" w:cs="Arial"/>
        </w:rPr>
        <w:t>.</w:t>
      </w:r>
    </w:p>
    <w:p w:rsidR="00FB6065" w:rsidP="00FB6065" w14:paraId="4C8EB152" w14:textId="77777777">
      <w:pPr>
        <w:widowControl/>
        <w:jc w:val="both"/>
        <w:rPr>
          <w:rFonts w:ascii="Arial" w:hAnsi="Arial" w:cs="Arial"/>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857"/>
        <w:gridCol w:w="2790"/>
        <w:gridCol w:w="2813"/>
      </w:tblGrid>
      <w:tr w14:paraId="449DAC3A" w14:textId="77777777" w:rsidTr="00D86ED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8CCE4" w:themeFill="accent1"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2857" w:type="dxa"/>
            <w:shd w:val="clear" w:color="auto" w:fill="B8CCE4" w:themeFill="accent1"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90" w:type="dxa"/>
            <w:shd w:val="clear" w:color="auto" w:fill="B8CCE4" w:themeFill="accent1"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813" w:type="dxa"/>
            <w:shd w:val="clear" w:color="auto" w:fill="B8CCE4" w:themeFill="accent1"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136914">
        <w:tblPrEx>
          <w:tblW w:w="9360" w:type="dxa"/>
          <w:tblInd w:w="108" w:type="dxa"/>
          <w:tblLayout w:type="fixed"/>
          <w:tblLook w:val="0000"/>
        </w:tblPrEx>
        <w:trPr>
          <w:cantSplit/>
        </w:trPr>
        <w:tc>
          <w:tcPr>
            <w:tcW w:w="900" w:type="dxa"/>
            <w:vAlign w:val="center"/>
          </w:tcPr>
          <w:p w:rsidR="006042D9" w:rsidRPr="00C5290A" w:rsidP="006042D9" w14:paraId="6FE50050" w14:textId="08A2149B">
            <w:pPr>
              <w:widowControl/>
              <w:autoSpaceDE/>
              <w:autoSpaceDN/>
              <w:adjustRightInd/>
              <w:jc w:val="center"/>
              <w:rPr>
                <w:rFonts w:ascii="Arial" w:hAnsi="Arial"/>
                <w:b/>
                <w:sz w:val="16"/>
              </w:rPr>
            </w:pPr>
            <w:r w:rsidRPr="00C5290A">
              <w:rPr>
                <w:rFonts w:ascii="Arial" w:hAnsi="Arial"/>
                <w:b/>
                <w:sz w:val="16"/>
              </w:rPr>
              <w:t>1</w:t>
            </w:r>
          </w:p>
        </w:tc>
        <w:tc>
          <w:tcPr>
            <w:tcW w:w="2857" w:type="dxa"/>
            <w:vAlign w:val="center"/>
          </w:tcPr>
          <w:p w:rsidR="006042D9" w:rsidRPr="006042D9" w:rsidP="006042D9" w14:paraId="3F49F5B3" w14:textId="010CAD37">
            <w:pPr>
              <w:widowControl/>
              <w:autoSpaceDE/>
              <w:autoSpaceDN/>
              <w:adjustRightInd/>
              <w:rPr>
                <w:rFonts w:ascii="Arial" w:hAnsi="Arial" w:cs="Arial"/>
                <w:sz w:val="16"/>
                <w:szCs w:val="16"/>
              </w:rPr>
            </w:pPr>
            <w:r w:rsidRPr="00B0428B">
              <w:rPr>
                <w:rFonts w:ascii="Arial" w:hAnsi="Arial" w:cs="Arial"/>
                <w:sz w:val="16"/>
                <w:szCs w:val="16"/>
              </w:rPr>
              <w:t>Sequence Listing in Application</w:t>
            </w:r>
          </w:p>
        </w:tc>
        <w:tc>
          <w:tcPr>
            <w:tcW w:w="2790" w:type="dxa"/>
            <w:vAlign w:val="center"/>
          </w:tcPr>
          <w:p w:rsidR="006042D9" w:rsidRPr="00C5290A" w:rsidP="006042D9" w14:paraId="13639897" w14:textId="11E3CBB5">
            <w:pPr>
              <w:widowControl/>
              <w:autoSpaceDE/>
              <w:autoSpaceDN/>
              <w:adjustRightInd/>
              <w:jc w:val="center"/>
              <w:rPr>
                <w:rFonts w:ascii="Arial" w:hAnsi="Arial"/>
                <w:sz w:val="16"/>
                <w:szCs w:val="20"/>
              </w:rPr>
            </w:pPr>
            <w:r w:rsidRPr="00B0428B">
              <w:rPr>
                <w:rFonts w:ascii="Arial" w:hAnsi="Arial" w:cs="Arial"/>
                <w:sz w:val="16"/>
                <w:szCs w:val="16"/>
              </w:rPr>
              <w:t>35 U.S.C. 22</w:t>
            </w:r>
          </w:p>
        </w:tc>
        <w:tc>
          <w:tcPr>
            <w:tcW w:w="2813" w:type="dxa"/>
            <w:vAlign w:val="center"/>
          </w:tcPr>
          <w:p w:rsidR="006042D9" w:rsidRPr="00C5290A" w:rsidP="006042D9" w14:paraId="6EE1940C" w14:textId="1BA6FB62">
            <w:pPr>
              <w:widowControl/>
              <w:autoSpaceDE/>
              <w:autoSpaceDN/>
              <w:adjustRightInd/>
              <w:jc w:val="center"/>
              <w:rPr>
                <w:rFonts w:ascii="Arial" w:hAnsi="Arial"/>
                <w:sz w:val="16"/>
                <w:szCs w:val="20"/>
              </w:rPr>
            </w:pPr>
            <w:r w:rsidRPr="00B0428B">
              <w:rPr>
                <w:rFonts w:ascii="Arial" w:hAnsi="Arial" w:cs="Arial"/>
                <w:sz w:val="16"/>
                <w:szCs w:val="16"/>
              </w:rPr>
              <w:t>37 CFR</w:t>
            </w:r>
            <w:r w:rsidRPr="00032CDB" w:rsidR="00032CDB">
              <w:t xml:space="preserve"> </w:t>
            </w:r>
            <w:r w:rsidRPr="00032CDB" w:rsidR="00032CDB">
              <w:rPr>
                <w:rFonts w:ascii="Arial" w:hAnsi="Arial" w:cs="Arial"/>
                <w:sz w:val="16"/>
                <w:szCs w:val="16"/>
              </w:rPr>
              <w:t>§§</w:t>
            </w:r>
            <w:r w:rsidRPr="00B0428B">
              <w:rPr>
                <w:rFonts w:ascii="Arial" w:hAnsi="Arial" w:cs="Arial"/>
                <w:sz w:val="16"/>
                <w:szCs w:val="16"/>
              </w:rPr>
              <w:t xml:space="preserve"> 1.821-1.825</w:t>
            </w:r>
            <w:r>
              <w:rPr>
                <w:rFonts w:ascii="Arial" w:hAnsi="Arial" w:cs="Arial"/>
                <w:sz w:val="16"/>
                <w:szCs w:val="16"/>
              </w:rPr>
              <w:t xml:space="preserve"> (applications filed on or before June 30, 2022), 37 CFR</w:t>
            </w:r>
            <w:r w:rsidR="00032CDB">
              <w:rPr>
                <w:rFonts w:ascii="Arial" w:hAnsi="Arial" w:cs="Arial"/>
                <w:sz w:val="16"/>
                <w:szCs w:val="16"/>
              </w:rPr>
              <w:t xml:space="preserve"> </w:t>
            </w:r>
            <w:r w:rsidRPr="00032CDB" w:rsidR="00032CDB">
              <w:rPr>
                <w:rFonts w:ascii="Arial" w:hAnsi="Arial" w:cs="Arial"/>
                <w:sz w:val="16"/>
                <w:szCs w:val="16"/>
              </w:rPr>
              <w:t>§§</w:t>
            </w:r>
            <w:r>
              <w:rPr>
                <w:rFonts w:ascii="Arial" w:hAnsi="Arial" w:cs="Arial"/>
                <w:sz w:val="16"/>
                <w:szCs w:val="16"/>
              </w:rPr>
              <w:t xml:space="preserve"> 1.831-1.835 (applications filed on or after July 1, 2022)</w:t>
            </w:r>
          </w:p>
        </w:tc>
      </w:tr>
    </w:tbl>
    <w:p w:rsidR="00636EDA" w:rsidRPr="00004988" w:rsidP="00636EDA" w14:paraId="79D4A094" w14:textId="6B0A9DEB">
      <w:pPr>
        <w:widowControl/>
        <w:jc w:val="both"/>
        <w:rPr>
          <w:rFonts w:ascii="Arial" w:hAnsi="Arial" w:cs="Arial"/>
          <w:b/>
          <w:color w:val="0000FF"/>
        </w:rPr>
      </w:pPr>
    </w:p>
    <w:p w:rsidR="00026BDE" w:rsidRPr="000E2392" w:rsidP="0019677D" w14:paraId="5366D60C" w14:textId="33474D03">
      <w:pPr>
        <w:pStyle w:val="ListParagraph"/>
        <w:widowControl/>
        <w:numPr>
          <w:ilvl w:val="0"/>
          <w:numId w:val="13"/>
        </w:numPr>
        <w:ind w:left="360"/>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636EDA" w:rsidP="00636EDA" w14:paraId="79D4A098" w14:textId="77777777">
      <w:pPr>
        <w:widowControl/>
        <w:jc w:val="both"/>
        <w:rPr>
          <w:rFonts w:ascii="Arial" w:hAnsi="Arial" w:cs="Arial"/>
          <w:color w:val="0000FF"/>
        </w:rPr>
      </w:pPr>
    </w:p>
    <w:p w:rsidR="008F5375" w:rsidP="00F71569" w14:paraId="633E4D88" w14:textId="77777777">
      <w:pPr>
        <w:widowControl/>
        <w:jc w:val="both"/>
        <w:rPr>
          <w:rFonts w:ascii="Arial" w:hAnsi="Arial" w:cs="Arial"/>
        </w:rPr>
      </w:pPr>
      <w:r w:rsidRPr="00B0428B">
        <w:rPr>
          <w:rFonts w:ascii="Arial" w:hAnsi="Arial" w:cs="Arial"/>
        </w:rPr>
        <w:t xml:space="preserve">The USPTO uses </w:t>
      </w:r>
      <w:r>
        <w:rPr>
          <w:rFonts w:ascii="Arial" w:hAnsi="Arial" w:cs="Arial"/>
        </w:rPr>
        <w:t xml:space="preserve">the </w:t>
      </w:r>
      <w:r w:rsidRPr="00B0428B">
        <w:rPr>
          <w:rFonts w:ascii="Arial" w:hAnsi="Arial" w:cs="Arial"/>
        </w:rPr>
        <w:t>sequence listing</w:t>
      </w:r>
      <w:r>
        <w:rPr>
          <w:rFonts w:ascii="Arial" w:hAnsi="Arial" w:cs="Arial"/>
        </w:rPr>
        <w:t>s</w:t>
      </w:r>
      <w:r w:rsidRPr="00B0428B">
        <w:rPr>
          <w:rFonts w:ascii="Arial" w:hAnsi="Arial" w:cs="Arial"/>
        </w:rPr>
        <w:t xml:space="preserve"> </w:t>
      </w:r>
      <w:r>
        <w:rPr>
          <w:rFonts w:ascii="Arial" w:hAnsi="Arial" w:cs="Arial"/>
        </w:rPr>
        <w:t xml:space="preserve">during the examination process </w:t>
      </w:r>
      <w:r w:rsidRPr="00B0428B">
        <w:rPr>
          <w:rFonts w:ascii="Arial" w:hAnsi="Arial" w:cs="Arial"/>
        </w:rPr>
        <w:t xml:space="preserve">to determine the patentability of </w:t>
      </w:r>
      <w:r>
        <w:rPr>
          <w:rFonts w:ascii="Arial" w:hAnsi="Arial" w:cs="Arial"/>
        </w:rPr>
        <w:t>the invention claimed in the application.</w:t>
      </w:r>
    </w:p>
    <w:p w:rsidR="008F5375" w:rsidP="00F71569" w14:paraId="4831870F" w14:textId="77777777">
      <w:pPr>
        <w:widowControl/>
        <w:jc w:val="both"/>
        <w:rPr>
          <w:rFonts w:ascii="Arial" w:hAnsi="Arial" w:cs="Arial"/>
        </w:rPr>
      </w:pPr>
    </w:p>
    <w:p w:rsidR="008F5375" w:rsidRPr="001A32D4" w:rsidP="008F5375" w14:paraId="5E138516" w14:textId="548D714B">
      <w:pPr>
        <w:widowControl/>
        <w:jc w:val="both"/>
        <w:rPr>
          <w:rFonts w:ascii="Arial" w:hAnsi="Arial" w:cs="Arial"/>
        </w:rPr>
      </w:pPr>
      <w:r>
        <w:rPr>
          <w:rFonts w:ascii="Arial" w:hAnsi="Arial" w:cs="Arial"/>
        </w:rPr>
        <w:t xml:space="preserve">The </w:t>
      </w:r>
      <w:r w:rsidRPr="001A32D4">
        <w:rPr>
          <w:rFonts w:ascii="Arial" w:hAnsi="Arial" w:cs="Arial"/>
        </w:rPr>
        <w:t>USPTO also uses the sequence listings for pre-grant publication of applications and issued patents. In this regard, when an application containing sequence listings is published or issued as a patent, the associated nucleotide or amino acid sequence listings are disclosed to the public. Sequence listings that comprise files smaller than 600 KB are available through the standard application and patent search systems on the USPTO website. Sequence listings that comprise files larger than 600KB</w:t>
      </w:r>
      <w:r w:rsidRPr="001A32D4" w:rsidR="00EB62CA">
        <w:rPr>
          <w:rFonts w:ascii="Arial" w:hAnsi="Arial" w:cs="Arial"/>
        </w:rPr>
        <w:t xml:space="preserve"> </w:t>
      </w:r>
      <w:r w:rsidRPr="001A32D4">
        <w:rPr>
          <w:rFonts w:ascii="Arial" w:hAnsi="Arial" w:cs="Arial"/>
        </w:rPr>
        <w:t xml:space="preserve">are available for public viewing or download through the Publication Site for Issued and Published </w:t>
      </w:r>
      <w:r w:rsidRPr="001A32D4">
        <w:rPr>
          <w:rFonts w:ascii="Arial" w:hAnsi="Arial" w:cs="Arial"/>
        </w:rPr>
        <w:t xml:space="preserve">Sequences (PSIPS) on the USPTO website at </w:t>
      </w:r>
      <w:hyperlink r:id="rId9" w:history="1">
        <w:r w:rsidRPr="001A32D4">
          <w:rPr>
            <w:rStyle w:val="Hyperlink"/>
            <w:rFonts w:ascii="Arial" w:hAnsi="Arial" w:cs="Arial"/>
          </w:rPr>
          <w:t>seqdata.uspto.gov</w:t>
        </w:r>
      </w:hyperlink>
      <w:r w:rsidRPr="001A32D4">
        <w:rPr>
          <w:rFonts w:ascii="Arial" w:hAnsi="Arial" w:cs="Arial"/>
        </w:rPr>
        <w:t xml:space="preserve">. </w:t>
      </w:r>
      <w:r w:rsidR="00863A95">
        <w:rPr>
          <w:rFonts w:ascii="Arial" w:hAnsi="Arial" w:cs="Arial"/>
        </w:rPr>
        <w:t>S</w:t>
      </w:r>
      <w:r w:rsidRPr="001A32D4" w:rsidR="00863A95">
        <w:rPr>
          <w:rFonts w:ascii="Arial" w:hAnsi="Arial" w:cs="Arial"/>
        </w:rPr>
        <w:t xml:space="preserve">equence </w:t>
      </w:r>
      <w:r w:rsidR="00863A95">
        <w:rPr>
          <w:rFonts w:ascii="Arial" w:hAnsi="Arial" w:cs="Arial"/>
        </w:rPr>
        <w:t>l</w:t>
      </w:r>
      <w:r w:rsidRPr="001A32D4" w:rsidR="00863A95">
        <w:rPr>
          <w:rFonts w:ascii="Arial" w:hAnsi="Arial" w:cs="Arial"/>
        </w:rPr>
        <w:t xml:space="preserve">istings that are too large to be loaded into </w:t>
      </w:r>
      <w:r w:rsidR="00863A95">
        <w:rPr>
          <w:rFonts w:ascii="Arial" w:hAnsi="Arial" w:cs="Arial"/>
        </w:rPr>
        <w:t xml:space="preserve">the </w:t>
      </w:r>
      <w:r w:rsidRPr="001A32D4" w:rsidR="00863A95">
        <w:rPr>
          <w:rFonts w:ascii="Arial" w:hAnsi="Arial" w:cs="Arial"/>
        </w:rPr>
        <w:t>PSIPS sequence viewer</w:t>
      </w:r>
      <w:r w:rsidR="00863A95">
        <w:rPr>
          <w:rFonts w:ascii="Arial" w:hAnsi="Arial" w:cs="Arial"/>
        </w:rPr>
        <w:t xml:space="preserve"> are available </w:t>
      </w:r>
      <w:r w:rsidRPr="001A32D4" w:rsidR="00863A95">
        <w:rPr>
          <w:rFonts w:ascii="Arial" w:hAnsi="Arial" w:cs="Arial"/>
        </w:rPr>
        <w:t xml:space="preserve">at </w:t>
      </w:r>
      <w:hyperlink r:id="rId10" w:history="1">
        <w:r w:rsidRPr="00782FCB" w:rsidR="00863A95">
          <w:rPr>
            <w:rStyle w:val="Hyperlink"/>
            <w:rFonts w:ascii="Arial" w:hAnsi="Arial" w:cs="Arial"/>
          </w:rPr>
          <w:t>seqdata.uspto.gov/bulk</w:t>
        </w:r>
      </w:hyperlink>
      <w:r w:rsidR="00863A95">
        <w:rPr>
          <w:rFonts w:ascii="Arial" w:hAnsi="Arial" w:cs="Arial"/>
        </w:rPr>
        <w:t>.</w:t>
      </w:r>
      <w:r w:rsidRPr="001A32D4" w:rsidR="00863A95">
        <w:rPr>
          <w:rFonts w:ascii="Arial" w:hAnsi="Arial" w:cs="Arial"/>
        </w:rPr>
        <w:t xml:space="preserve"> </w:t>
      </w:r>
      <w:r w:rsidRPr="001A32D4">
        <w:rPr>
          <w:rFonts w:ascii="Arial" w:hAnsi="Arial" w:cs="Arial"/>
        </w:rPr>
        <w:t>Please see sections 2419.02 and 2435 of the MPEP for more information.</w:t>
      </w:r>
    </w:p>
    <w:p w:rsidR="00F71569" w:rsidRPr="001A32D4" w:rsidP="00F71569" w14:paraId="688019CA" w14:textId="77777777">
      <w:pPr>
        <w:widowControl/>
        <w:jc w:val="both"/>
        <w:rPr>
          <w:rFonts w:ascii="Arial" w:hAnsi="Arial" w:cs="Arial"/>
        </w:rPr>
      </w:pPr>
    </w:p>
    <w:p w:rsidR="00501DC1" w:rsidP="00F71569" w14:paraId="5EAC5259" w14:textId="04C54885">
      <w:pPr>
        <w:widowControl/>
        <w:jc w:val="both"/>
        <w:rPr>
          <w:rFonts w:ascii="Arial" w:hAnsi="Arial" w:cs="Arial"/>
        </w:rPr>
      </w:pPr>
      <w:r>
        <w:rPr>
          <w:rFonts w:ascii="Arial" w:hAnsi="Arial" w:cs="Arial"/>
        </w:rPr>
        <w:t>In addition, the USPTO forwards c</w:t>
      </w:r>
      <w:r w:rsidRPr="00B0428B" w:rsidR="004A2849">
        <w:rPr>
          <w:rFonts w:ascii="Arial" w:hAnsi="Arial" w:cs="Arial"/>
        </w:rPr>
        <w:t xml:space="preserve">opies of sequence listings </w:t>
      </w:r>
      <w:r w:rsidR="004A2849">
        <w:rPr>
          <w:rFonts w:ascii="Arial" w:hAnsi="Arial" w:cs="Arial"/>
        </w:rPr>
        <w:t xml:space="preserve">from pre-grant patent application publications </w:t>
      </w:r>
      <w:r>
        <w:rPr>
          <w:rFonts w:ascii="Arial" w:hAnsi="Arial" w:cs="Arial"/>
        </w:rPr>
        <w:t xml:space="preserve">and issued patents </w:t>
      </w:r>
      <w:r w:rsidRPr="00B0428B" w:rsidR="004A2849">
        <w:rPr>
          <w:rFonts w:ascii="Arial" w:hAnsi="Arial" w:cs="Arial"/>
        </w:rPr>
        <w:t>to the National Center for Biotechnology Information</w:t>
      </w:r>
      <w:r w:rsidR="004A2849">
        <w:rPr>
          <w:rFonts w:ascii="Arial" w:hAnsi="Arial" w:cs="Arial"/>
        </w:rPr>
        <w:t xml:space="preserve"> for inclusion in the</w:t>
      </w:r>
      <w:r w:rsidR="009F2DCA">
        <w:rPr>
          <w:rFonts w:ascii="Arial" w:hAnsi="Arial" w:cs="Arial"/>
        </w:rPr>
        <w:t xml:space="preserve"> Genbank public </w:t>
      </w:r>
      <w:r w:rsidR="004A2849">
        <w:rPr>
          <w:rFonts w:ascii="Arial" w:hAnsi="Arial" w:cs="Arial"/>
        </w:rPr>
        <w:t>database</w:t>
      </w:r>
      <w:r w:rsidRPr="00B0428B" w:rsidR="004A2849">
        <w:rPr>
          <w:rFonts w:ascii="Arial" w:hAnsi="Arial" w:cs="Arial"/>
        </w:rPr>
        <w:t>.</w:t>
      </w:r>
    </w:p>
    <w:p w:rsidR="00501DC1" w:rsidP="004A2849" w14:paraId="1655F014" w14:textId="77777777">
      <w:pPr>
        <w:widowControl/>
        <w:jc w:val="both"/>
        <w:rPr>
          <w:rFonts w:ascii="Arial" w:hAnsi="Arial" w:cs="Arial"/>
        </w:rPr>
      </w:pPr>
    </w:p>
    <w:p w:rsidR="004A2849" w:rsidRPr="00B0428B" w:rsidP="004A2849" w14:paraId="76A376D6" w14:textId="443220FD">
      <w:pPr>
        <w:widowControl/>
        <w:jc w:val="both"/>
        <w:rPr>
          <w:rFonts w:ascii="Arial" w:hAnsi="Arial" w:cs="Arial"/>
        </w:rPr>
      </w:pPr>
      <w:r w:rsidRPr="00B0428B">
        <w:rPr>
          <w:rFonts w:ascii="Arial" w:hAnsi="Arial" w:cs="Arial"/>
        </w:rPr>
        <w:t xml:space="preserve">Applicants use sequence </w:t>
      </w:r>
      <w:r>
        <w:rPr>
          <w:rFonts w:ascii="Arial" w:hAnsi="Arial" w:cs="Arial"/>
        </w:rPr>
        <w:t xml:space="preserve">listings </w:t>
      </w:r>
      <w:r w:rsidRPr="00B0428B">
        <w:rPr>
          <w:rFonts w:ascii="Arial" w:hAnsi="Arial" w:cs="Arial"/>
        </w:rPr>
        <w:t xml:space="preserve">when preparing both national and international patent applications </w:t>
      </w:r>
      <w:r>
        <w:rPr>
          <w:rFonts w:ascii="Arial" w:hAnsi="Arial" w:cs="Arial"/>
        </w:rPr>
        <w:t>that disclose</w:t>
      </w:r>
      <w:r w:rsidRPr="00B0428B">
        <w:rPr>
          <w:rFonts w:ascii="Arial" w:hAnsi="Arial" w:cs="Arial"/>
        </w:rPr>
        <w:t xml:space="preserve"> nucleotide </w:t>
      </w:r>
      <w:r>
        <w:rPr>
          <w:rFonts w:ascii="Arial" w:hAnsi="Arial" w:cs="Arial"/>
        </w:rPr>
        <w:t>and/</w:t>
      </w:r>
      <w:r w:rsidRPr="00B0428B">
        <w:rPr>
          <w:rFonts w:ascii="Arial" w:hAnsi="Arial" w:cs="Arial"/>
        </w:rPr>
        <w:t>or amino acid sequences</w:t>
      </w:r>
      <w:r>
        <w:rPr>
          <w:rFonts w:ascii="Arial" w:hAnsi="Arial" w:cs="Arial"/>
        </w:rPr>
        <w:t xml:space="preserve"> to provide a written description of the invention and to distinguish the claimed subject matter from the prior art</w:t>
      </w:r>
      <w:r w:rsidRPr="00B0428B">
        <w:rPr>
          <w:rFonts w:ascii="Arial" w:hAnsi="Arial" w:cs="Arial"/>
        </w:rPr>
        <w:t>.</w:t>
      </w:r>
    </w:p>
    <w:p w:rsidR="004A2849" w:rsidRPr="00B0428B" w:rsidP="004A2849" w14:paraId="7812D9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A2849" w:rsidRPr="00B0428B" w:rsidP="004A2849" w14:paraId="06220F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B0428B">
        <w:rPr>
          <w:rFonts w:ascii="Arial" w:hAnsi="Arial" w:cs="Arial"/>
        </w:rPr>
        <w:t xml:space="preserve">The information </w:t>
      </w:r>
      <w:r>
        <w:rPr>
          <w:rFonts w:ascii="Arial" w:hAnsi="Arial" w:cs="Arial"/>
        </w:rPr>
        <w:t xml:space="preserve">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rsidR="00636EDA" w:rsidRPr="0023366F" w:rsidP="00636EDA" w14:paraId="79D4A09C" w14:textId="77777777">
      <w:pPr>
        <w:widowControl/>
        <w:jc w:val="both"/>
        <w:rPr>
          <w:rFonts w:ascii="Arial" w:hAnsi="Arial" w:cs="Arial"/>
        </w:rPr>
      </w:pPr>
    </w:p>
    <w:p w:rsidR="002B4889" w:rsidP="001B77DA" w14:paraId="2016383D" w14:textId="77777777">
      <w:pPr>
        <w:widowControl/>
        <w:jc w:val="both"/>
        <w:rPr>
          <w:rFonts w:ascii="Arial" w:hAnsi="Arial" w:cs="Arial"/>
          <w:b/>
          <w:bCs/>
          <w:sz w:val="20"/>
          <w:szCs w:val="20"/>
        </w:rPr>
      </w:pPr>
      <w:r w:rsidRPr="008D5A6F">
        <w:rPr>
          <w:rFonts w:ascii="Arial" w:hAnsi="Arial" w:cs="Arial"/>
        </w:rPr>
        <w:t>Table 2 outlines how this collection of information is used by the public and the USPTO:</w:t>
      </w:r>
    </w:p>
    <w:p w:rsidR="002B4889" w:rsidP="001B77DA" w14:paraId="1146CC33" w14:textId="77777777">
      <w:pPr>
        <w:widowControl/>
        <w:jc w:val="both"/>
        <w:rPr>
          <w:rFonts w:ascii="Arial" w:hAnsi="Arial" w:cs="Arial"/>
          <w:b/>
          <w:bCs/>
          <w:sz w:val="20"/>
          <w:szCs w:val="20"/>
        </w:rPr>
      </w:pPr>
    </w:p>
    <w:p w:rsidR="00636EDA" w:rsidRPr="00CD7C5E" w:rsidP="001B77DA" w14:paraId="79D4A09F" w14:textId="2298F50B">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867"/>
        <w:gridCol w:w="1800"/>
        <w:gridCol w:w="4523"/>
      </w:tblGrid>
      <w:tr w14:paraId="56771B1B" w14:textId="77777777" w:rsidTr="00D86ED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B8CCE4" w:themeFill="accent1"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F3CEB97">
            <w:pPr>
              <w:widowControl/>
              <w:tabs>
                <w:tab w:val="left" w:pos="720"/>
              </w:tabs>
              <w:autoSpaceDE/>
              <w:autoSpaceDN/>
              <w:adjustRightInd/>
              <w:jc w:val="center"/>
              <w:rPr>
                <w:rFonts w:ascii="Arial" w:hAnsi="Arial"/>
                <w:b/>
                <w:sz w:val="16"/>
                <w:szCs w:val="20"/>
              </w:rPr>
            </w:pPr>
            <w:r w:rsidRPr="00C5290A">
              <w:rPr>
                <w:rFonts w:ascii="Arial" w:hAnsi="Arial"/>
                <w:b/>
                <w:sz w:val="16"/>
                <w:szCs w:val="20"/>
              </w:rPr>
              <w:t>I</w:t>
            </w:r>
            <w:r w:rsidR="00870E68">
              <w:rPr>
                <w:rFonts w:ascii="Arial" w:hAnsi="Arial"/>
                <w:b/>
                <w:sz w:val="16"/>
                <w:szCs w:val="20"/>
              </w:rPr>
              <w:t>tem</w:t>
            </w:r>
            <w:r w:rsidRPr="00C5290A">
              <w:rPr>
                <w:rFonts w:ascii="Arial" w:hAnsi="Arial"/>
                <w:b/>
                <w:sz w:val="16"/>
                <w:szCs w:val="20"/>
              </w:rPr>
              <w:t xml:space="preserve"> N</w:t>
            </w:r>
            <w:r w:rsidR="000E2392">
              <w:rPr>
                <w:rFonts w:ascii="Arial" w:hAnsi="Arial"/>
                <w:b/>
                <w:sz w:val="16"/>
                <w:szCs w:val="20"/>
              </w:rPr>
              <w:t>o.</w:t>
            </w:r>
          </w:p>
        </w:tc>
        <w:tc>
          <w:tcPr>
            <w:tcW w:w="1867" w:type="dxa"/>
            <w:shd w:val="clear" w:color="auto" w:fill="B8CCE4" w:themeFill="accent1"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800" w:type="dxa"/>
            <w:shd w:val="clear" w:color="auto" w:fill="B8CCE4" w:themeFill="accent1"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523" w:type="dxa"/>
            <w:shd w:val="clear" w:color="auto" w:fill="B8CCE4" w:themeFill="accent1"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7F594BC9" w14:textId="77777777" w:rsidTr="00136914">
        <w:tblPrEx>
          <w:tblW w:w="9360" w:type="dxa"/>
          <w:tblInd w:w="108" w:type="dxa"/>
          <w:tblLayout w:type="fixed"/>
          <w:tblLook w:val="0000"/>
        </w:tblPrEx>
        <w:trPr>
          <w:cantSplit/>
        </w:trPr>
        <w:tc>
          <w:tcPr>
            <w:tcW w:w="1170" w:type="dxa"/>
            <w:vAlign w:val="center"/>
          </w:tcPr>
          <w:p w:rsidR="005F76D5" w:rsidRPr="00C5290A" w:rsidP="001A1DE8" w14:paraId="2F3FAD95" w14:textId="4225E7B3">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1867" w:type="dxa"/>
            <w:vAlign w:val="center"/>
          </w:tcPr>
          <w:p w:rsidR="005F76D5" w:rsidRPr="00C5290A" w:rsidP="001A1DE8" w14:paraId="38F30013" w14:textId="43369997">
            <w:pPr>
              <w:widowControl/>
              <w:tabs>
                <w:tab w:val="left" w:pos="720"/>
              </w:tabs>
              <w:autoSpaceDE/>
              <w:autoSpaceDN/>
              <w:adjustRightInd/>
              <w:rPr>
                <w:rFonts w:ascii="Arial" w:hAnsi="Arial" w:cs="Arial"/>
                <w:sz w:val="16"/>
              </w:rPr>
            </w:pPr>
            <w:r w:rsidRPr="00B0428B">
              <w:rPr>
                <w:rFonts w:ascii="Arial" w:hAnsi="Arial" w:cs="Arial"/>
                <w:sz w:val="16"/>
                <w:szCs w:val="16"/>
              </w:rPr>
              <w:t>Sequence Listing in</w:t>
            </w:r>
            <w:r>
              <w:rPr>
                <w:rFonts w:ascii="Arial" w:hAnsi="Arial" w:cs="Arial"/>
                <w:sz w:val="16"/>
                <w:szCs w:val="16"/>
              </w:rPr>
              <w:t xml:space="preserve"> </w:t>
            </w:r>
            <w:r w:rsidRPr="00B0428B">
              <w:rPr>
                <w:rFonts w:ascii="Arial" w:hAnsi="Arial" w:cs="Arial"/>
                <w:sz w:val="16"/>
                <w:szCs w:val="16"/>
              </w:rPr>
              <w:t>Application</w:t>
            </w:r>
          </w:p>
        </w:tc>
        <w:tc>
          <w:tcPr>
            <w:tcW w:w="1800" w:type="dxa"/>
            <w:vAlign w:val="center"/>
          </w:tcPr>
          <w:p w:rsidR="005F76D5" w:rsidRPr="00C5290A" w:rsidP="001A1DE8" w14:paraId="5D56B5A9" w14:textId="20AF0E59">
            <w:pPr>
              <w:widowControl/>
              <w:tabs>
                <w:tab w:val="left" w:pos="720"/>
              </w:tabs>
              <w:autoSpaceDE/>
              <w:autoSpaceDN/>
              <w:adjustRightInd/>
              <w:jc w:val="center"/>
              <w:rPr>
                <w:rFonts w:ascii="Arial" w:hAnsi="Arial"/>
                <w:sz w:val="16"/>
                <w:szCs w:val="20"/>
              </w:rPr>
            </w:pPr>
            <w:r w:rsidRPr="00B0428B">
              <w:rPr>
                <w:rFonts w:ascii="Arial" w:hAnsi="Arial" w:cs="Arial"/>
                <w:sz w:val="16"/>
                <w:szCs w:val="16"/>
              </w:rPr>
              <w:t>No Form Associated</w:t>
            </w:r>
          </w:p>
        </w:tc>
        <w:tc>
          <w:tcPr>
            <w:tcW w:w="4523" w:type="dxa"/>
          </w:tcPr>
          <w:p w:rsidR="005F76D5" w:rsidRPr="00B0428B" w:rsidP="00EF71D6" w14:paraId="76C633A9" w14:textId="77777777">
            <w:pPr>
              <w:pStyle w:val="a0"/>
              <w:widowControl/>
              <w:numPr>
                <w:ilvl w:val="0"/>
                <w:numId w:val="17"/>
              </w:numPr>
              <w:tabs>
                <w:tab w:val="left" w:pos="-1440"/>
                <w:tab w:val="left" w:pos="-720"/>
                <w:tab w:val="left" w:pos="0"/>
                <w:tab w:val="left" w:pos="1440"/>
              </w:tabs>
              <w:ind w:left="164" w:hanging="164"/>
              <w:jc w:val="both"/>
              <w:rPr>
                <w:rFonts w:ascii="Arial" w:hAnsi="Arial" w:cs="Arial"/>
                <w:sz w:val="16"/>
                <w:szCs w:val="16"/>
              </w:rPr>
            </w:pPr>
            <w:r>
              <w:rPr>
                <w:rFonts w:ascii="Arial" w:hAnsi="Arial" w:cs="Arial"/>
                <w:sz w:val="16"/>
                <w:szCs w:val="16"/>
              </w:rPr>
              <w:t>U</w:t>
            </w:r>
            <w:r w:rsidRPr="00B0428B">
              <w:rPr>
                <w:rFonts w:ascii="Arial" w:hAnsi="Arial" w:cs="Arial"/>
                <w:sz w:val="16"/>
                <w:szCs w:val="16"/>
              </w:rPr>
              <w:t>sed by the public when preparing a U.S. or international patent application containing nucleotide and/or amino acid sequence information.</w:t>
            </w:r>
          </w:p>
          <w:p w:rsidR="00532921" w:rsidP="00EF71D6" w14:paraId="472391FC" w14:textId="77777777">
            <w:pPr>
              <w:pStyle w:val="a0"/>
              <w:widowControl/>
              <w:numPr>
                <w:ilvl w:val="0"/>
                <w:numId w:val="17"/>
              </w:numPr>
              <w:tabs>
                <w:tab w:val="left" w:pos="-1440"/>
                <w:tab w:val="left" w:pos="-720"/>
                <w:tab w:val="left" w:pos="0"/>
                <w:tab w:val="left" w:pos="1440"/>
              </w:tabs>
              <w:ind w:left="164" w:hanging="164"/>
              <w:jc w:val="both"/>
              <w:rPr>
                <w:rFonts w:ascii="Arial" w:hAnsi="Arial" w:cs="Arial"/>
                <w:sz w:val="16"/>
                <w:szCs w:val="16"/>
              </w:rPr>
            </w:pPr>
            <w:r w:rsidRPr="00B0428B">
              <w:rPr>
                <w:rFonts w:ascii="Arial" w:hAnsi="Arial" w:cs="Arial"/>
                <w:sz w:val="16"/>
                <w:szCs w:val="16"/>
              </w:rPr>
              <w:t xml:space="preserve">Used by the USPTO to determine the patentability of </w:t>
            </w:r>
            <w:r>
              <w:rPr>
                <w:rFonts w:ascii="Arial" w:hAnsi="Arial" w:cs="Arial"/>
                <w:sz w:val="16"/>
                <w:szCs w:val="16"/>
              </w:rPr>
              <w:t>the invention claimed in an</w:t>
            </w:r>
            <w:r w:rsidRPr="00B0428B">
              <w:rPr>
                <w:rFonts w:ascii="Arial" w:hAnsi="Arial" w:cs="Arial"/>
                <w:sz w:val="16"/>
                <w:szCs w:val="16"/>
              </w:rPr>
              <w:t xml:space="preserve"> application.</w:t>
            </w:r>
          </w:p>
          <w:p w:rsidR="005F76D5" w:rsidRPr="005F76D5" w:rsidP="00EF71D6" w14:paraId="62840FA6" w14:textId="6B340EAA">
            <w:pPr>
              <w:pStyle w:val="a0"/>
              <w:widowControl/>
              <w:numPr>
                <w:ilvl w:val="0"/>
                <w:numId w:val="17"/>
              </w:numPr>
              <w:tabs>
                <w:tab w:val="left" w:pos="-1440"/>
                <w:tab w:val="left" w:pos="-720"/>
                <w:tab w:val="left" w:pos="0"/>
                <w:tab w:val="left" w:pos="1440"/>
              </w:tabs>
              <w:ind w:left="164" w:hanging="164"/>
              <w:jc w:val="both"/>
              <w:rPr>
                <w:rFonts w:ascii="Arial" w:hAnsi="Arial" w:cs="Arial"/>
                <w:sz w:val="16"/>
                <w:szCs w:val="16"/>
              </w:rPr>
            </w:pPr>
            <w:r w:rsidRPr="005F76D5">
              <w:rPr>
                <w:rFonts w:ascii="Arial" w:hAnsi="Arial" w:cs="Arial"/>
                <w:sz w:val="16"/>
                <w:szCs w:val="16"/>
              </w:rPr>
              <w:t>Used by the USPTO to support publication of patent applications and issued patents.</w:t>
            </w:r>
          </w:p>
        </w:tc>
      </w:tr>
    </w:tbl>
    <w:p w:rsidR="00636EDA" w:rsidRPr="00476F66" w:rsidP="00636EDA" w14:paraId="79D4A0B7" w14:textId="77777777">
      <w:pPr>
        <w:widowControl/>
        <w:jc w:val="both"/>
        <w:rPr>
          <w:rFonts w:ascii="Arial" w:hAnsi="Arial" w:cs="Arial"/>
          <w:color w:val="0000FF"/>
        </w:rPr>
      </w:pPr>
    </w:p>
    <w:p w:rsidR="00567B74" w:rsidRPr="00004988" w:rsidP="004A2849" w14:paraId="6F5A8D53" w14:textId="08111934">
      <w:pPr>
        <w:pStyle w:val="ListParagraph"/>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A85048" w:rsidRPr="00385E12" w:rsidP="00350B0B" w14:paraId="07E130BD" w14:textId="77777777">
      <w:pPr>
        <w:widowControl/>
        <w:tabs>
          <w:tab w:val="left" w:pos="-1176"/>
        </w:tabs>
        <w:jc w:val="both"/>
        <w:rPr>
          <w:rFonts w:ascii="Arial" w:hAnsi="Arial" w:cs="Arial"/>
          <w:u w:val="single"/>
        </w:rPr>
      </w:pPr>
      <w:r w:rsidRPr="00385E12">
        <w:rPr>
          <w:rFonts w:ascii="Arial" w:hAnsi="Arial" w:cs="Arial"/>
          <w:u w:val="single"/>
        </w:rPr>
        <w:t>Sequence listings for applications filed on or after July 1, 2022</w:t>
      </w:r>
    </w:p>
    <w:p w:rsidR="00A85048" w:rsidP="00350B0B" w14:paraId="4EF6BB94" w14:textId="77777777">
      <w:pPr>
        <w:widowControl/>
        <w:tabs>
          <w:tab w:val="left" w:pos="-1176"/>
        </w:tabs>
        <w:jc w:val="both"/>
        <w:rPr>
          <w:rFonts w:ascii="Arial" w:hAnsi="Arial" w:cs="Arial"/>
        </w:rPr>
      </w:pPr>
    </w:p>
    <w:p w:rsidR="00A85048" w:rsidP="00350B0B" w14:paraId="48F727D4" w14:textId="4AB6E2BA">
      <w:pPr>
        <w:widowControl/>
        <w:tabs>
          <w:tab w:val="left" w:pos="-1176"/>
        </w:tabs>
        <w:jc w:val="both"/>
        <w:rPr>
          <w:rFonts w:ascii="Arial" w:hAnsi="Arial" w:cs="Arial"/>
        </w:rPr>
      </w:pPr>
      <w:r>
        <w:rPr>
          <w:rFonts w:ascii="Arial" w:hAnsi="Arial" w:cs="Arial"/>
        </w:rPr>
        <w:t>A</w:t>
      </w:r>
      <w:r w:rsidRPr="00D76133">
        <w:rPr>
          <w:rFonts w:ascii="Arial" w:hAnsi="Arial" w:cs="Arial"/>
        </w:rPr>
        <w:t xml:space="preserve">pplicants </w:t>
      </w:r>
      <w:r w:rsidR="00120E88">
        <w:rPr>
          <w:rFonts w:ascii="Arial" w:hAnsi="Arial" w:cs="Arial"/>
        </w:rPr>
        <w:t xml:space="preserve">must </w:t>
      </w:r>
      <w:r w:rsidRPr="00D76133">
        <w:rPr>
          <w:rFonts w:ascii="Arial" w:hAnsi="Arial" w:cs="Arial"/>
        </w:rPr>
        <w:t>submit sequence listings as XML files</w:t>
      </w:r>
      <w:r w:rsidR="00120E88">
        <w:rPr>
          <w:rFonts w:ascii="Arial" w:hAnsi="Arial" w:cs="Arial"/>
        </w:rPr>
        <w:t xml:space="preserve">, either by electronically </w:t>
      </w:r>
      <w:r w:rsidRPr="00D76133">
        <w:rPr>
          <w:rFonts w:ascii="Arial" w:hAnsi="Arial" w:cs="Arial"/>
        </w:rPr>
        <w:t>transmitt</w:t>
      </w:r>
      <w:r w:rsidR="00120E88">
        <w:rPr>
          <w:rFonts w:ascii="Arial" w:hAnsi="Arial" w:cs="Arial"/>
        </w:rPr>
        <w:t xml:space="preserve">ing the XML file </w:t>
      </w:r>
      <w:r w:rsidRPr="00D76133">
        <w:rPr>
          <w:rFonts w:ascii="Arial" w:hAnsi="Arial" w:cs="Arial"/>
        </w:rPr>
        <w:t xml:space="preserve">through </w:t>
      </w:r>
      <w:r>
        <w:rPr>
          <w:rFonts w:ascii="Arial" w:hAnsi="Arial" w:cs="Arial"/>
        </w:rPr>
        <w:t xml:space="preserve">Patent Center, </w:t>
      </w:r>
      <w:r w:rsidRPr="00D76133">
        <w:rPr>
          <w:rFonts w:ascii="Arial" w:hAnsi="Arial" w:cs="Arial"/>
        </w:rPr>
        <w:t>where the file does not exceed 100MB without compression, or on read-only optical disc</w:t>
      </w:r>
      <w:r>
        <w:rPr>
          <w:rFonts w:ascii="Arial" w:hAnsi="Arial" w:cs="Arial"/>
        </w:rPr>
        <w:t>s</w:t>
      </w:r>
      <w:r w:rsidRPr="00D76133">
        <w:rPr>
          <w:rFonts w:ascii="Arial" w:hAnsi="Arial" w:cs="Arial"/>
        </w:rPr>
        <w:t>.</w:t>
      </w:r>
    </w:p>
    <w:p w:rsidR="00A85048" w:rsidP="00350B0B" w14:paraId="77058D54" w14:textId="77777777">
      <w:pPr>
        <w:widowControl/>
        <w:tabs>
          <w:tab w:val="left" w:pos="-1176"/>
        </w:tabs>
        <w:jc w:val="both"/>
        <w:rPr>
          <w:rFonts w:ascii="Arial" w:hAnsi="Arial" w:cs="Arial"/>
        </w:rPr>
      </w:pPr>
    </w:p>
    <w:p w:rsidR="00A85048" w:rsidRPr="00B0428B" w:rsidP="00A85048" w14:paraId="54BEAED2" w14:textId="64B92325">
      <w:pPr>
        <w:widowControl/>
        <w:tabs>
          <w:tab w:val="left" w:pos="-1176"/>
        </w:tabs>
        <w:jc w:val="both"/>
        <w:rPr>
          <w:rFonts w:ascii="Arial" w:hAnsi="Arial" w:cs="Arial"/>
        </w:rPr>
      </w:pPr>
      <w:r>
        <w:rPr>
          <w:rFonts w:ascii="Arial" w:hAnsi="Arial" w:cs="Arial"/>
        </w:rPr>
        <w:t xml:space="preserve">Filers </w:t>
      </w:r>
      <w:r w:rsidRPr="00B0428B">
        <w:rPr>
          <w:rFonts w:ascii="Arial" w:hAnsi="Arial" w:cs="Arial"/>
        </w:rPr>
        <w:t>submit</w:t>
      </w:r>
      <w:r>
        <w:rPr>
          <w:rFonts w:ascii="Arial" w:hAnsi="Arial" w:cs="Arial"/>
        </w:rPr>
        <w:t>ting</w:t>
      </w:r>
      <w:r w:rsidRPr="00B0428B">
        <w:rPr>
          <w:rFonts w:ascii="Arial" w:hAnsi="Arial" w:cs="Arial"/>
        </w:rPr>
        <w:t xml:space="preserve"> sequence listings electronically through</w:t>
      </w:r>
      <w:r w:rsidR="00E3695E">
        <w:rPr>
          <w:rFonts w:ascii="Arial" w:hAnsi="Arial" w:cs="Arial"/>
        </w:rPr>
        <w:t xml:space="preserve"> </w:t>
      </w:r>
      <w:r>
        <w:rPr>
          <w:rFonts w:ascii="Arial" w:hAnsi="Arial" w:cs="Arial"/>
        </w:rPr>
        <w:t>Patent Center</w:t>
      </w:r>
      <w:r w:rsidRPr="00B0428B">
        <w:rPr>
          <w:rFonts w:ascii="Arial" w:hAnsi="Arial" w:cs="Arial"/>
        </w:rPr>
        <w:t xml:space="preserve"> upload </w:t>
      </w:r>
      <w:r>
        <w:rPr>
          <w:rFonts w:ascii="Arial" w:hAnsi="Arial" w:cs="Arial"/>
        </w:rPr>
        <w:t xml:space="preserve">the listings </w:t>
      </w:r>
      <w:r w:rsidRPr="00B0428B">
        <w:rPr>
          <w:rFonts w:ascii="Arial" w:hAnsi="Arial" w:cs="Arial"/>
        </w:rPr>
        <w:t>usin</w:t>
      </w:r>
      <w:r>
        <w:rPr>
          <w:rFonts w:ascii="Arial" w:hAnsi="Arial" w:cs="Arial"/>
        </w:rPr>
        <w:t>g a secure interface.</w:t>
      </w:r>
      <w:r w:rsidRPr="00B0428B">
        <w:rPr>
          <w:rFonts w:ascii="Arial" w:hAnsi="Arial" w:cs="Arial"/>
        </w:rPr>
        <w:t xml:space="preserve"> </w:t>
      </w:r>
      <w:r>
        <w:rPr>
          <w:rFonts w:ascii="Arial" w:hAnsi="Arial" w:cs="Arial"/>
        </w:rPr>
        <w:t xml:space="preserve">Patent Center </w:t>
      </w:r>
      <w:r w:rsidRPr="00B0428B">
        <w:rPr>
          <w:rFonts w:ascii="Arial" w:hAnsi="Arial" w:cs="Arial"/>
        </w:rPr>
        <w:t>offers man</w:t>
      </w:r>
      <w:r>
        <w:rPr>
          <w:rFonts w:ascii="Arial" w:hAnsi="Arial" w:cs="Arial"/>
        </w:rPr>
        <w:t>y potential benefits to filers</w:t>
      </w:r>
      <w:r w:rsidR="00294A31">
        <w:rPr>
          <w:rFonts w:ascii="Arial" w:hAnsi="Arial" w:cs="Arial"/>
        </w:rPr>
        <w:t xml:space="preserve">, including the provision of an immediate </w:t>
      </w:r>
      <w:r w:rsidRPr="00B0428B">
        <w:rPr>
          <w:rFonts w:ascii="Arial" w:hAnsi="Arial" w:cs="Arial"/>
        </w:rPr>
        <w:t>electronic receipt</w:t>
      </w:r>
      <w:r>
        <w:rPr>
          <w:rFonts w:ascii="Arial" w:hAnsi="Arial" w:cs="Arial"/>
        </w:rPr>
        <w:t>.</w:t>
      </w:r>
      <w:r w:rsidRPr="00B0428B">
        <w:rPr>
          <w:rFonts w:ascii="Arial" w:hAnsi="Arial" w:cs="Arial"/>
        </w:rPr>
        <w:t xml:space="preserve"> </w:t>
      </w:r>
      <w:r w:rsidR="00294A31">
        <w:rPr>
          <w:rFonts w:ascii="Arial" w:hAnsi="Arial" w:cs="Arial"/>
        </w:rPr>
        <w:t>E</w:t>
      </w:r>
      <w:r w:rsidRPr="00B0428B">
        <w:rPr>
          <w:rFonts w:ascii="Arial" w:hAnsi="Arial" w:cs="Arial"/>
        </w:rPr>
        <w:t xml:space="preserve">lectronic filing also eliminates the </w:t>
      </w:r>
      <w:r w:rsidRPr="00B0428B">
        <w:rPr>
          <w:rFonts w:ascii="Arial" w:hAnsi="Arial" w:cs="Arial"/>
        </w:rPr>
        <w:t xml:space="preserve">inefficiencies of physically mailing, handling, routing, and storing sequence listings on paper or </w:t>
      </w:r>
      <w:r w:rsidR="00294A31">
        <w:rPr>
          <w:rFonts w:ascii="Arial" w:hAnsi="Arial" w:cs="Arial"/>
        </w:rPr>
        <w:t>read-only optical discs</w:t>
      </w:r>
      <w:r>
        <w:rPr>
          <w:rFonts w:ascii="Arial" w:hAnsi="Arial" w:cs="Arial"/>
        </w:rPr>
        <w:t>.</w:t>
      </w:r>
    </w:p>
    <w:p w:rsidR="00A85048" w:rsidRPr="00B0428B" w:rsidP="00A85048" w14:paraId="32459E75" w14:textId="77777777">
      <w:pPr>
        <w:widowControl/>
        <w:tabs>
          <w:tab w:val="left" w:pos="-1176"/>
        </w:tabs>
        <w:jc w:val="both"/>
        <w:rPr>
          <w:rFonts w:ascii="Arial" w:hAnsi="Arial" w:cs="Arial"/>
        </w:rPr>
      </w:pPr>
    </w:p>
    <w:p w:rsidR="00A85048" w:rsidP="00A85048" w14:paraId="33DCC51F" w14:textId="32D750A6">
      <w:pPr>
        <w:widowControl/>
        <w:tabs>
          <w:tab w:val="left" w:pos="-1176"/>
        </w:tabs>
        <w:jc w:val="both"/>
        <w:rPr>
          <w:rFonts w:ascii="Arial" w:hAnsi="Arial" w:cs="Arial"/>
        </w:rPr>
      </w:pPr>
      <w:r>
        <w:rPr>
          <w:rFonts w:ascii="Arial" w:hAnsi="Arial" w:cs="Arial"/>
        </w:rPr>
        <w:t xml:space="preserve">Filers submitting sequence listings as XML files on read-only optical discs </w:t>
      </w:r>
      <w:r w:rsidRPr="00B0428B">
        <w:rPr>
          <w:rFonts w:ascii="Arial" w:hAnsi="Arial" w:cs="Arial"/>
        </w:rPr>
        <w:t xml:space="preserve">are advised to keep a back-up copy of the </w:t>
      </w:r>
      <w:r>
        <w:rPr>
          <w:rFonts w:ascii="Arial" w:hAnsi="Arial" w:cs="Arial"/>
        </w:rPr>
        <w:t>read-only optical disc</w:t>
      </w:r>
      <w:r w:rsidRPr="00B0428B">
        <w:rPr>
          <w:rFonts w:ascii="Arial" w:hAnsi="Arial" w:cs="Arial"/>
        </w:rPr>
        <w:t xml:space="preserve"> and transmittal information for their own records</w:t>
      </w:r>
      <w:r>
        <w:rPr>
          <w:rFonts w:ascii="Arial" w:hAnsi="Arial" w:cs="Arial"/>
        </w:rPr>
        <w:t>.</w:t>
      </w:r>
    </w:p>
    <w:p w:rsidR="00294A31" w:rsidP="00A85048" w14:paraId="1B139847" w14:textId="59C5AA9E">
      <w:pPr>
        <w:widowControl/>
        <w:tabs>
          <w:tab w:val="left" w:pos="-1176"/>
        </w:tabs>
        <w:jc w:val="both"/>
        <w:rPr>
          <w:rFonts w:ascii="Arial" w:hAnsi="Arial" w:cs="Arial"/>
        </w:rPr>
      </w:pPr>
    </w:p>
    <w:p w:rsidR="00294A31" w:rsidRPr="00C9111A" w:rsidP="00A85048" w14:paraId="0F2F4C8A" w14:textId="4ACBBCF3">
      <w:pPr>
        <w:widowControl/>
        <w:tabs>
          <w:tab w:val="left" w:pos="-1176"/>
        </w:tabs>
        <w:jc w:val="both"/>
        <w:rPr>
          <w:rFonts w:ascii="Arial" w:hAnsi="Arial" w:cs="Arial"/>
        </w:rPr>
      </w:pPr>
      <w:r w:rsidRPr="00C9111A">
        <w:rPr>
          <w:rFonts w:ascii="Arial" w:hAnsi="Arial" w:cs="Arial"/>
        </w:rPr>
        <w:t xml:space="preserve">A desktop software tool, WIPO Sequence, is available to support authoring, validating, and generating XML format sequence listings. WIPO Sequence is downloadable for free from </w:t>
      </w:r>
      <w:hyperlink r:id="rId11" w:history="1">
        <w:r w:rsidRPr="00773E2C" w:rsidR="00773E2C">
          <w:rPr>
            <w:rStyle w:val="Hyperlink"/>
            <w:rFonts w:ascii="Arial" w:hAnsi="Arial" w:cs="Arial"/>
          </w:rPr>
          <w:t>https://www.wipo.int/en/web/standards/sequence/index</w:t>
        </w:r>
      </w:hyperlink>
      <w:r w:rsidRPr="00C9111A">
        <w:rPr>
          <w:rFonts w:ascii="Arial" w:hAnsi="Arial" w:cs="Arial"/>
        </w:rPr>
        <w:t>. WIPO Sequence simplifies the creation of XML format sequence listings with a user-friendly interface so there is no need to directly edit an XML file. Using WIPO sequence to produce XML format sequence listings is not required, but is highly recommended.</w:t>
      </w:r>
    </w:p>
    <w:p w:rsidR="00294A31" w:rsidRPr="00C9111A" w:rsidP="00A85048" w14:paraId="74A449F4" w14:textId="77777777">
      <w:pPr>
        <w:widowControl/>
        <w:tabs>
          <w:tab w:val="left" w:pos="-1176"/>
        </w:tabs>
        <w:jc w:val="both"/>
        <w:rPr>
          <w:rFonts w:ascii="Arial" w:hAnsi="Arial" w:cs="Arial"/>
        </w:rPr>
      </w:pPr>
    </w:p>
    <w:p w:rsidR="00120E88" w:rsidRPr="00373E1D" w:rsidP="00350B0B" w14:paraId="36FCFBC2" w14:textId="711AA9C2">
      <w:pPr>
        <w:widowControl/>
        <w:tabs>
          <w:tab w:val="left" w:pos="-1176"/>
        </w:tabs>
        <w:jc w:val="both"/>
        <w:rPr>
          <w:rFonts w:ascii="Arial" w:hAnsi="Arial" w:cs="Arial"/>
          <w:u w:val="single"/>
        </w:rPr>
      </w:pPr>
      <w:r w:rsidRPr="00373E1D">
        <w:rPr>
          <w:rFonts w:ascii="Arial" w:hAnsi="Arial" w:cs="Arial"/>
          <w:u w:val="single"/>
        </w:rPr>
        <w:t>Sequence listings for applications filed on or before June 30, 2022</w:t>
      </w:r>
    </w:p>
    <w:p w:rsidR="00120E88" w:rsidRPr="00C9111A" w:rsidP="00350B0B" w14:paraId="692665C7" w14:textId="77777777">
      <w:pPr>
        <w:widowControl/>
        <w:tabs>
          <w:tab w:val="left" w:pos="-1176"/>
        </w:tabs>
        <w:jc w:val="both"/>
        <w:rPr>
          <w:rFonts w:ascii="Arial" w:hAnsi="Arial" w:cs="Arial"/>
        </w:rPr>
      </w:pPr>
    </w:p>
    <w:p w:rsidR="00350B0B" w:rsidRPr="00C9111A" w14:paraId="07846CF1" w14:textId="204C6577">
      <w:pPr>
        <w:widowControl/>
        <w:tabs>
          <w:tab w:val="left" w:pos="-1176"/>
        </w:tabs>
        <w:jc w:val="both"/>
        <w:rPr>
          <w:rFonts w:ascii="Arial" w:hAnsi="Arial" w:cs="Arial"/>
        </w:rPr>
      </w:pPr>
      <w:r w:rsidRPr="00060093">
        <w:rPr>
          <w:rFonts w:ascii="Arial" w:hAnsi="Arial" w:cs="Arial"/>
        </w:rPr>
        <w:t>Sequence listings may still be filed in applications having a filing date of on or before June 30, 2022, as amendments that meet the requirements of 37 CFR</w:t>
      </w:r>
      <w:r w:rsidR="00773E2C">
        <w:rPr>
          <w:rFonts w:ascii="Arial" w:hAnsi="Arial" w:cs="Arial"/>
        </w:rPr>
        <w:t xml:space="preserve"> </w:t>
      </w:r>
      <w:r w:rsidRPr="00773E2C" w:rsidR="00773E2C">
        <w:rPr>
          <w:rFonts w:ascii="Arial" w:hAnsi="Arial" w:cs="Arial"/>
        </w:rPr>
        <w:t>§</w:t>
      </w:r>
      <w:r w:rsidRPr="00060093">
        <w:rPr>
          <w:rFonts w:ascii="Arial" w:hAnsi="Arial" w:cs="Arial"/>
        </w:rPr>
        <w:t xml:space="preserve"> 1.825. </w:t>
      </w:r>
      <w:r w:rsidRPr="00945183" w:rsidR="00120E88">
        <w:rPr>
          <w:rFonts w:ascii="Arial" w:hAnsi="Arial" w:cs="Arial"/>
        </w:rPr>
        <w:t xml:space="preserve">In addition to the </w:t>
      </w:r>
      <w:r w:rsidRPr="00C9111A" w:rsidR="00120E88">
        <w:rPr>
          <w:rFonts w:ascii="Arial" w:hAnsi="Arial" w:cs="Arial"/>
        </w:rPr>
        <w:t xml:space="preserve">USPTO’s preferred option of submitting </w:t>
      </w:r>
      <w:r>
        <w:rPr>
          <w:rFonts w:ascii="Arial" w:hAnsi="Arial" w:cs="Arial"/>
        </w:rPr>
        <w:t xml:space="preserve">such an amendment </w:t>
      </w:r>
      <w:r w:rsidRPr="00945183" w:rsidR="00120E88">
        <w:rPr>
          <w:rFonts w:ascii="Arial" w:hAnsi="Arial" w:cs="Arial"/>
        </w:rPr>
        <w:t>as an ASCII plain text file</w:t>
      </w:r>
      <w:r w:rsidRPr="00945183" w:rsidR="00501DC1">
        <w:rPr>
          <w:rFonts w:ascii="Arial" w:hAnsi="Arial" w:cs="Arial"/>
        </w:rPr>
        <w:t xml:space="preserve">, preferably </w:t>
      </w:r>
      <w:r w:rsidRPr="00C9111A" w:rsidR="00120E88">
        <w:rPr>
          <w:rFonts w:ascii="Arial" w:hAnsi="Arial" w:cs="Arial"/>
        </w:rPr>
        <w:t>via Patent Center</w:t>
      </w:r>
      <w:r w:rsidRPr="00C9111A" w:rsidR="00501DC1">
        <w:rPr>
          <w:rFonts w:ascii="Arial" w:hAnsi="Arial" w:cs="Arial"/>
        </w:rPr>
        <w:t>,</w:t>
      </w:r>
      <w:r w:rsidRPr="00C9111A" w:rsidR="00120E88">
        <w:rPr>
          <w:rFonts w:ascii="Arial" w:hAnsi="Arial" w:cs="Arial"/>
        </w:rPr>
        <w:t xml:space="preserve"> or </w:t>
      </w:r>
      <w:r w:rsidRPr="00C9111A" w:rsidR="00501DC1">
        <w:rPr>
          <w:rFonts w:ascii="Arial" w:hAnsi="Arial" w:cs="Arial"/>
        </w:rPr>
        <w:t xml:space="preserve">alternatively </w:t>
      </w:r>
      <w:r w:rsidRPr="00C9111A" w:rsidR="00120E88">
        <w:rPr>
          <w:rFonts w:ascii="Arial" w:hAnsi="Arial" w:cs="Arial"/>
        </w:rPr>
        <w:t>on a read-only optical disc</w:t>
      </w:r>
      <w:r w:rsidRPr="00C9111A" w:rsidR="00501DC1">
        <w:rPr>
          <w:rFonts w:ascii="Arial" w:hAnsi="Arial" w:cs="Arial"/>
        </w:rPr>
        <w:t xml:space="preserve">, </w:t>
      </w:r>
      <w:r w:rsidR="00D01075">
        <w:rPr>
          <w:rFonts w:ascii="Arial" w:hAnsi="Arial" w:cs="Arial"/>
        </w:rPr>
        <w:t xml:space="preserve">the amendment </w:t>
      </w:r>
      <w:r w:rsidRPr="00C9111A">
        <w:rPr>
          <w:rFonts w:ascii="Arial" w:hAnsi="Arial" w:cs="Arial"/>
        </w:rPr>
        <w:t xml:space="preserve">may </w:t>
      </w:r>
      <w:r w:rsidRPr="00C9111A" w:rsidR="00501DC1">
        <w:rPr>
          <w:rFonts w:ascii="Arial" w:hAnsi="Arial" w:cs="Arial"/>
        </w:rPr>
        <w:t xml:space="preserve">be </w:t>
      </w:r>
      <w:r w:rsidRPr="00C9111A">
        <w:rPr>
          <w:rFonts w:ascii="Arial" w:hAnsi="Arial" w:cs="Arial"/>
        </w:rPr>
        <w:t>submit</w:t>
      </w:r>
      <w:r w:rsidRPr="00C9111A" w:rsidR="00501DC1">
        <w:rPr>
          <w:rFonts w:ascii="Arial" w:hAnsi="Arial" w:cs="Arial"/>
        </w:rPr>
        <w:t>ted</w:t>
      </w:r>
      <w:r w:rsidRPr="00C9111A">
        <w:rPr>
          <w:rFonts w:ascii="Arial" w:hAnsi="Arial" w:cs="Arial"/>
        </w:rPr>
        <w:t xml:space="preserve"> electronically through </w:t>
      </w:r>
      <w:r w:rsidRPr="00C9111A" w:rsidR="004C7195">
        <w:rPr>
          <w:rFonts w:ascii="Arial" w:hAnsi="Arial" w:cs="Arial"/>
        </w:rPr>
        <w:t>Patent Center</w:t>
      </w:r>
      <w:r w:rsidRPr="00C9111A">
        <w:rPr>
          <w:rFonts w:ascii="Arial" w:hAnsi="Arial" w:cs="Arial"/>
        </w:rPr>
        <w:t xml:space="preserve"> as a PDF</w:t>
      </w:r>
      <w:r w:rsidRPr="00C9111A" w:rsidR="00501DC1">
        <w:rPr>
          <w:rFonts w:ascii="Arial" w:hAnsi="Arial" w:cs="Arial"/>
        </w:rPr>
        <w:t xml:space="preserve"> or on paper</w:t>
      </w:r>
      <w:r w:rsidRPr="00C9111A">
        <w:rPr>
          <w:rFonts w:ascii="Arial" w:hAnsi="Arial" w:cs="Arial"/>
        </w:rPr>
        <w:t>.</w:t>
      </w:r>
      <w:r w:rsidRPr="00C9111A" w:rsidR="00FE4DE2">
        <w:rPr>
          <w:rFonts w:ascii="Arial" w:hAnsi="Arial" w:cs="Arial"/>
        </w:rPr>
        <w:t xml:space="preserve"> When submitted as a PDF or on physical sheets of paper, the applicant may also need to submit a new or substitute CRF copy of the sequence listing, if </w:t>
      </w:r>
      <w:r w:rsidRPr="00C9111A" w:rsidR="001174FE">
        <w:rPr>
          <w:rFonts w:ascii="Arial" w:hAnsi="Arial" w:cs="Arial"/>
        </w:rPr>
        <w:t>necessary,</w:t>
      </w:r>
      <w:r w:rsidRPr="00C9111A" w:rsidR="00FE4DE2">
        <w:rPr>
          <w:rFonts w:ascii="Arial" w:hAnsi="Arial" w:cs="Arial"/>
        </w:rPr>
        <w:t xml:space="preserve"> under 37 CFR </w:t>
      </w:r>
      <w:r w:rsidRPr="00773E2C" w:rsidR="00773E2C">
        <w:rPr>
          <w:rFonts w:ascii="Arial" w:hAnsi="Arial" w:cs="Arial"/>
        </w:rPr>
        <w:t>§§</w:t>
      </w:r>
      <w:r w:rsidR="00773E2C">
        <w:rPr>
          <w:rFonts w:ascii="Arial" w:hAnsi="Arial" w:cs="Arial"/>
        </w:rPr>
        <w:t xml:space="preserve"> </w:t>
      </w:r>
      <w:r w:rsidRPr="00C9111A" w:rsidR="00FE4DE2">
        <w:rPr>
          <w:rFonts w:ascii="Arial" w:hAnsi="Arial" w:cs="Arial"/>
        </w:rPr>
        <w:t>1.825(a)(5)(ii) or (b)(6)(ii). Applicants may submit the CRF copy via Patent Center or on a read-only optical disc.</w:t>
      </w:r>
    </w:p>
    <w:p w:rsidR="00350B0B" w:rsidRPr="00C9111A" w14:paraId="76C55A80" w14:textId="08CEB685">
      <w:pPr>
        <w:widowControl/>
        <w:tabs>
          <w:tab w:val="left" w:pos="-1176"/>
        </w:tabs>
        <w:jc w:val="both"/>
        <w:rPr>
          <w:rFonts w:ascii="Arial" w:hAnsi="Arial" w:cs="Arial"/>
        </w:rPr>
      </w:pPr>
    </w:p>
    <w:p w:rsidR="00567B74" w:rsidRPr="00004988" w:rsidP="00FF797C" w14:paraId="0C4A149D" w14:textId="2CD8B59D">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567B74" w:rsidP="00636EDA" w14:paraId="10336CF2" w14:textId="77777777">
      <w:pPr>
        <w:widowControl/>
        <w:tabs>
          <w:tab w:val="left" w:pos="-984"/>
          <w:tab w:val="left" w:pos="-720"/>
          <w:tab w:val="left" w:pos="720"/>
        </w:tabs>
        <w:jc w:val="both"/>
        <w:rPr>
          <w:rFonts w:ascii="Arial" w:hAnsi="Arial" w:cs="Arial"/>
        </w:rPr>
      </w:pPr>
    </w:p>
    <w:p w:rsidR="00FF797C" w:rsidRPr="00B0428B" w:rsidP="00FF797C" w14:paraId="2A597CEF" w14:textId="4ABECB4B">
      <w:pPr>
        <w:widowControl/>
        <w:tabs>
          <w:tab w:val="left" w:pos="-1176"/>
        </w:tabs>
        <w:jc w:val="both"/>
        <w:rPr>
          <w:rFonts w:ascii="Arial" w:hAnsi="Arial" w:cs="Arial"/>
        </w:rPr>
      </w:pPr>
      <w:r w:rsidRPr="00B0428B">
        <w:rPr>
          <w:rFonts w:ascii="Arial" w:hAnsi="Arial" w:cs="Arial"/>
        </w:rPr>
        <w:t xml:space="preserve">This collection requires the duplication of a limited amount of identifying information (such as the applicant’s name and </w:t>
      </w:r>
      <w:r w:rsidR="00267A83">
        <w:rPr>
          <w:rFonts w:ascii="Arial" w:hAnsi="Arial" w:cs="Arial"/>
        </w:rPr>
        <w:t xml:space="preserve">application </w:t>
      </w:r>
      <w:r w:rsidRPr="00B0428B">
        <w:rPr>
          <w:rFonts w:ascii="Arial" w:hAnsi="Arial" w:cs="Arial"/>
        </w:rPr>
        <w:t xml:space="preserve">number), </w:t>
      </w:r>
      <w:r w:rsidR="0046192E">
        <w:rPr>
          <w:rFonts w:ascii="Arial" w:hAnsi="Arial" w:cs="Arial"/>
        </w:rPr>
        <w:t xml:space="preserve">which </w:t>
      </w:r>
      <w:r w:rsidRPr="00B0428B">
        <w:rPr>
          <w:rFonts w:ascii="Arial" w:hAnsi="Arial" w:cs="Arial"/>
        </w:rPr>
        <w:t>is also provided on the patent application. However, the duplication of identification information is the most efficient way of accurately associating the sequence listing with the appropriate application case file.</w:t>
      </w:r>
    </w:p>
    <w:p w:rsidR="00636EDA" w:rsidRPr="00FF797C" w:rsidP="00636EDA" w14:paraId="79D4A0C3" w14:textId="58EFD220">
      <w:pPr>
        <w:widowControl/>
        <w:tabs>
          <w:tab w:val="left" w:pos="-984"/>
          <w:tab w:val="left" w:pos="-720"/>
          <w:tab w:val="left" w:pos="720"/>
        </w:tabs>
        <w:jc w:val="both"/>
        <w:rPr>
          <w:rFonts w:ascii="Arial" w:hAnsi="Arial" w:cs="Arial"/>
          <w:b/>
          <w:color w:val="0000FF"/>
          <w:szCs w:val="20"/>
        </w:rPr>
      </w:pPr>
    </w:p>
    <w:p w:rsidR="00567B74" w:rsidRPr="00004988" w:rsidP="00FF797C" w14:paraId="0796867C" w14:textId="3CE8F2B9">
      <w:pPr>
        <w:pStyle w:val="ListParagraph"/>
        <w:keepNext/>
        <w:widowControl/>
        <w:numPr>
          <w:ilvl w:val="0"/>
          <w:numId w:val="13"/>
        </w:numPr>
        <w:tabs>
          <w:tab w:val="left" w:pos="-984"/>
          <w:tab w:val="left" w:pos="-720"/>
        </w:tabs>
        <w:ind w:left="360"/>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035E58" w:rsidRPr="00B0428B" w:rsidP="00035E58" w14:paraId="3724117D" w14:textId="698D0229">
      <w:pPr>
        <w:widowControl/>
        <w:tabs>
          <w:tab w:val="left" w:pos="-1176"/>
        </w:tabs>
        <w:jc w:val="both"/>
        <w:rPr>
          <w:rFonts w:ascii="Arial" w:hAnsi="Arial" w:cs="Arial"/>
        </w:rPr>
      </w:pPr>
      <w:r w:rsidRPr="00B0428B">
        <w:rPr>
          <w:rFonts w:ascii="Arial" w:hAnsi="Arial" w:cs="Arial"/>
        </w:rPr>
        <w:t>Although small businesses or other small entities</w:t>
      </w:r>
      <w:r w:rsidR="00267A83">
        <w:rPr>
          <w:rFonts w:ascii="Arial" w:hAnsi="Arial" w:cs="Arial"/>
        </w:rPr>
        <w:t xml:space="preserve"> submit the sequence listings covered by this information collection</w:t>
      </w:r>
      <w:r w:rsidRPr="00B0428B">
        <w:rPr>
          <w:rFonts w:ascii="Arial" w:hAnsi="Arial" w:cs="Arial"/>
        </w:rPr>
        <w:t xml:space="preserve">, </w:t>
      </w:r>
      <w:r w:rsidR="00267A83">
        <w:rPr>
          <w:rFonts w:ascii="Arial" w:hAnsi="Arial" w:cs="Arial"/>
        </w:rPr>
        <w:t>the</w:t>
      </w:r>
      <w:r w:rsidRPr="00B0428B">
        <w:rPr>
          <w:rFonts w:ascii="Arial" w:hAnsi="Arial" w:cs="Arial"/>
        </w:rPr>
        <w:t xml:space="preserve"> collection does not impose a significant economic impact on small busi</w:t>
      </w:r>
      <w:r>
        <w:rPr>
          <w:rFonts w:ascii="Arial" w:hAnsi="Arial" w:cs="Arial"/>
        </w:rPr>
        <w:t>nesses or other small entities.</w:t>
      </w:r>
      <w:r w:rsidRPr="00B0428B">
        <w:rPr>
          <w:rFonts w:ascii="Arial" w:hAnsi="Arial" w:cs="Arial"/>
        </w:rPr>
        <w:t xml:space="preserve"> The same information is required from every applicant and is not available from any other source.</w:t>
      </w:r>
    </w:p>
    <w:p w:rsidR="00035E58" w:rsidRPr="00B0428B" w:rsidP="00035E58" w14:paraId="7DBFA77F" w14:textId="77777777">
      <w:pPr>
        <w:widowControl/>
        <w:tabs>
          <w:tab w:val="left" w:pos="-1176"/>
        </w:tabs>
        <w:jc w:val="both"/>
        <w:rPr>
          <w:rFonts w:ascii="Arial" w:hAnsi="Arial" w:cs="Arial"/>
        </w:rPr>
      </w:pPr>
    </w:p>
    <w:p w:rsidR="00035E58" w:rsidRPr="00B0428B" w:rsidP="00035E58" w14:paraId="3C89B117" w14:textId="06CE8D13">
      <w:pPr>
        <w:widowControl/>
        <w:tabs>
          <w:tab w:val="left" w:pos="-1176"/>
        </w:tabs>
        <w:jc w:val="both"/>
        <w:rPr>
          <w:rFonts w:ascii="Arial" w:hAnsi="Arial" w:cs="Arial"/>
        </w:rPr>
      </w:pPr>
      <w:r>
        <w:rPr>
          <w:rFonts w:ascii="Arial" w:hAnsi="Arial" w:cs="Arial"/>
        </w:rPr>
        <w:t xml:space="preserve">Moreover, </w:t>
      </w:r>
      <w:r w:rsidR="009607CF">
        <w:rPr>
          <w:rFonts w:ascii="Arial" w:hAnsi="Arial" w:cs="Arial"/>
        </w:rPr>
        <w:t xml:space="preserve">for the fees associated with the item of </w:t>
      </w:r>
      <w:r w:rsidRPr="00B0428B">
        <w:rPr>
          <w:rFonts w:ascii="Arial" w:hAnsi="Arial" w:cs="Arial"/>
        </w:rPr>
        <w:t xml:space="preserve">information </w:t>
      </w:r>
      <w:r w:rsidR="009607CF">
        <w:rPr>
          <w:rFonts w:ascii="Arial" w:hAnsi="Arial" w:cs="Arial"/>
        </w:rPr>
        <w:t xml:space="preserve">in this </w:t>
      </w:r>
      <w:r w:rsidRPr="00B0428B">
        <w:rPr>
          <w:rFonts w:ascii="Arial" w:hAnsi="Arial" w:cs="Arial"/>
        </w:rPr>
        <w:t>collection</w:t>
      </w:r>
      <w:r w:rsidR="009607CF">
        <w:rPr>
          <w:rFonts w:ascii="Arial" w:hAnsi="Arial" w:cs="Arial"/>
        </w:rPr>
        <w:t>,</w:t>
      </w:r>
      <w:r w:rsidRPr="00B0428B">
        <w:rPr>
          <w:rFonts w:ascii="Arial" w:hAnsi="Arial" w:cs="Arial"/>
        </w:rPr>
        <w:t xml:space="preserve"> </w:t>
      </w:r>
      <w:r w:rsidR="009607CF">
        <w:rPr>
          <w:rFonts w:ascii="Arial" w:hAnsi="Arial" w:cs="Arial"/>
        </w:rPr>
        <w:t xml:space="preserve">the USPTO </w:t>
      </w:r>
      <w:r w:rsidRPr="00B0428B">
        <w:rPr>
          <w:rFonts w:ascii="Arial" w:hAnsi="Arial" w:cs="Arial"/>
        </w:rPr>
        <w:t>reduce</w:t>
      </w:r>
      <w:r w:rsidR="009607CF">
        <w:rPr>
          <w:rFonts w:ascii="Arial" w:hAnsi="Arial" w:cs="Arial"/>
        </w:rPr>
        <w:t>s</w:t>
      </w:r>
      <w:r w:rsidRPr="00B0428B">
        <w:rPr>
          <w:rFonts w:ascii="Arial" w:hAnsi="Arial" w:cs="Arial"/>
        </w:rPr>
        <w:t xml:space="preserve"> </w:t>
      </w:r>
      <w:r w:rsidR="009607CF">
        <w:rPr>
          <w:rFonts w:ascii="Arial" w:hAnsi="Arial" w:cs="Arial"/>
        </w:rPr>
        <w:t xml:space="preserve">the </w:t>
      </w:r>
      <w:r w:rsidRPr="00B0428B">
        <w:rPr>
          <w:rFonts w:ascii="Arial" w:hAnsi="Arial" w:cs="Arial"/>
        </w:rPr>
        <w:t>cost burden for small entities</w:t>
      </w:r>
      <w:r w:rsidR="009607CF">
        <w:rPr>
          <w:rFonts w:ascii="Arial" w:hAnsi="Arial" w:cs="Arial"/>
        </w:rPr>
        <w:t xml:space="preserve"> by offering </w:t>
      </w:r>
      <w:r w:rsidRPr="00B0428B">
        <w:rPr>
          <w:rFonts w:ascii="Arial" w:hAnsi="Arial" w:cs="Arial"/>
        </w:rPr>
        <w:t xml:space="preserve">reduced </w:t>
      </w:r>
      <w:r w:rsidR="009607CF">
        <w:rPr>
          <w:rFonts w:ascii="Arial" w:hAnsi="Arial" w:cs="Arial"/>
        </w:rPr>
        <w:t xml:space="preserve">fee amounts </w:t>
      </w:r>
      <w:r w:rsidRPr="00B0428B">
        <w:rPr>
          <w:rFonts w:ascii="Arial" w:hAnsi="Arial" w:cs="Arial"/>
        </w:rPr>
        <w:t xml:space="preserve">for </w:t>
      </w:r>
      <w:r w:rsidRPr="00B0428B">
        <w:rPr>
          <w:rFonts w:ascii="Arial" w:hAnsi="Arial" w:cs="Arial"/>
        </w:rPr>
        <w:t>persons, small business concerns, or nonprofit organizations that qualify as sm</w:t>
      </w:r>
      <w:r>
        <w:rPr>
          <w:rFonts w:ascii="Arial" w:hAnsi="Arial" w:cs="Arial"/>
        </w:rPr>
        <w:t xml:space="preserve">all entities (including micro entities) under 37 CFR </w:t>
      </w:r>
      <w:r w:rsidRPr="00773E2C" w:rsidR="00CF3385">
        <w:rPr>
          <w:rFonts w:ascii="Arial" w:hAnsi="Arial" w:cs="Arial"/>
        </w:rPr>
        <w:t>§</w:t>
      </w:r>
      <w:r w:rsidR="00CF3385">
        <w:rPr>
          <w:rFonts w:ascii="Arial" w:hAnsi="Arial" w:cs="Arial"/>
        </w:rPr>
        <w:t xml:space="preserve"> </w:t>
      </w:r>
      <w:r>
        <w:rPr>
          <w:rFonts w:ascii="Arial" w:hAnsi="Arial" w:cs="Arial"/>
        </w:rPr>
        <w:t xml:space="preserve">1.27 (see 37 CFR </w:t>
      </w:r>
      <w:r w:rsidRPr="00773E2C" w:rsidR="00CF3385">
        <w:rPr>
          <w:rFonts w:ascii="Arial" w:hAnsi="Arial" w:cs="Arial"/>
        </w:rPr>
        <w:t>§</w:t>
      </w:r>
      <w:r w:rsidR="00CF3385">
        <w:rPr>
          <w:rFonts w:ascii="Arial" w:hAnsi="Arial" w:cs="Arial"/>
        </w:rPr>
        <w:t xml:space="preserve"> </w:t>
      </w:r>
      <w:r>
        <w:rPr>
          <w:rFonts w:ascii="Arial" w:hAnsi="Arial" w:cs="Arial"/>
        </w:rPr>
        <w:t>1.29 for micro entity status).</w:t>
      </w:r>
      <w:r w:rsidRPr="00B0428B">
        <w:rPr>
          <w:rFonts w:ascii="Arial" w:hAnsi="Arial" w:cs="Arial"/>
        </w:rPr>
        <w:t xml:space="preserve"> No significant burden is placed on small entities, in that small entities are simply required to identify themselves as such in </w:t>
      </w:r>
      <w:r>
        <w:rPr>
          <w:rFonts w:ascii="Arial" w:hAnsi="Arial" w:cs="Arial"/>
        </w:rPr>
        <w:t>order to obtain these benefits.</w:t>
      </w:r>
      <w:r w:rsidRPr="00B0428B">
        <w:rPr>
          <w:rFonts w:ascii="Arial" w:hAnsi="Arial" w:cs="Arial"/>
        </w:rPr>
        <w:t xml:space="preserve"> An assertion of small entity status</w:t>
      </w:r>
      <w:r>
        <w:rPr>
          <w:rFonts w:ascii="Arial" w:hAnsi="Arial" w:cs="Arial"/>
        </w:rPr>
        <w:t xml:space="preserve"> (or a certification of entitlement to micro entity status)</w:t>
      </w:r>
      <w:r w:rsidRPr="00B0428B">
        <w:rPr>
          <w:rFonts w:ascii="Arial" w:hAnsi="Arial" w:cs="Arial"/>
        </w:rPr>
        <w:t xml:space="preserve"> only needs to be filed once in an application or patent.</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597714" w14:paraId="74658122" w14:textId="10F428CE">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Describe the consequence to </w:t>
      </w:r>
      <w:r w:rsidR="00DF5688">
        <w:rPr>
          <w:rFonts w:ascii="Arial" w:hAnsi="Arial" w:cs="Arial"/>
          <w:b/>
          <w:szCs w:val="20"/>
        </w:rPr>
        <w:t>f</w:t>
      </w:r>
      <w:r w:rsidRPr="00004988">
        <w:rPr>
          <w:rFonts w:ascii="Arial" w:hAnsi="Arial" w:cs="Arial"/>
          <w:b/>
          <w:szCs w:val="20"/>
        </w:rPr>
        <w:t xml:space="preserve">ederal program or policy activities if the collection is not conducted or is conducted less frequently, as well as any technical or legal obstacles to reducing burden. </w:t>
      </w:r>
    </w:p>
    <w:p w:rsidR="00567B74" w:rsidP="00636EDA" w14:paraId="53CFE4DC" w14:textId="77777777">
      <w:pPr>
        <w:keepNext/>
        <w:keepLines/>
        <w:widowControl/>
        <w:tabs>
          <w:tab w:val="left" w:pos="-984"/>
          <w:tab w:val="left" w:pos="-720"/>
          <w:tab w:val="left" w:pos="720"/>
        </w:tabs>
        <w:jc w:val="both"/>
        <w:rPr>
          <w:rFonts w:ascii="Arial" w:hAnsi="Arial" w:cs="Arial"/>
          <w:b/>
          <w:bCs/>
        </w:rPr>
      </w:pPr>
    </w:p>
    <w:p w:rsidR="00597714" w:rsidRPr="00AD165A" w:rsidP="00597714" w14:paraId="62313D87" w14:textId="10EA016E">
      <w:pPr>
        <w:widowControl/>
        <w:tabs>
          <w:tab w:val="left" w:pos="-1176"/>
        </w:tabs>
        <w:jc w:val="both"/>
        <w:rPr>
          <w:rFonts w:ascii="Arial" w:hAnsi="Arial" w:cs="Arial"/>
        </w:rPr>
      </w:pPr>
      <w:r w:rsidRPr="00B0428B">
        <w:rPr>
          <w:rFonts w:ascii="Arial" w:hAnsi="Arial" w:cs="Arial"/>
        </w:rPr>
        <w:t>This collection of information is required for the processing and examination of the respondent's patent application involving a nucleotide o</w:t>
      </w:r>
      <w:r>
        <w:rPr>
          <w:rFonts w:ascii="Arial" w:hAnsi="Arial" w:cs="Arial"/>
        </w:rPr>
        <w:t xml:space="preserve">r amino acid sequence listing. </w:t>
      </w:r>
      <w:r w:rsidRPr="00B0428B">
        <w:rPr>
          <w:rFonts w:ascii="Arial" w:hAnsi="Arial" w:cs="Arial"/>
        </w:rPr>
        <w:t>This information could no</w:t>
      </w:r>
      <w:r>
        <w:rPr>
          <w:rFonts w:ascii="Arial" w:hAnsi="Arial" w:cs="Arial"/>
        </w:rPr>
        <w:t>t be collected less frequently.</w:t>
      </w:r>
      <w:r w:rsidRPr="00B0428B">
        <w:rPr>
          <w:rFonts w:ascii="Arial" w:hAnsi="Arial" w:cs="Arial"/>
        </w:rPr>
        <w:t xml:space="preserve"> If the information were not collected, the USPTO could not properly examine the associated application as required by 35 U.S.C. 131. Further, the collection of this information is necessary in order to publish the sequence listings accurately as part of the application or patent.</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597714" w14:paraId="4F7FFAF0" w14:textId="0C507262">
      <w:pPr>
        <w:pStyle w:val="ListParagraph"/>
        <w:keepNext/>
        <w:keepLines/>
        <w:widowControl/>
        <w:numPr>
          <w:ilvl w:val="0"/>
          <w:numId w:val="13"/>
        </w:numPr>
        <w:tabs>
          <w:tab w:val="left" w:pos="-984"/>
          <w:tab w:val="left" w:pos="-720"/>
        </w:tabs>
        <w:ind w:left="360"/>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597714" w14:paraId="7BCA977C" w14:textId="10348CA2">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report information to the agency more often than</w:t>
      </w:r>
      <w:r w:rsidR="004A110E">
        <w:rPr>
          <w:rFonts w:ascii="Arial" w:hAnsi="Arial" w:cs="Arial"/>
          <w:b/>
        </w:rPr>
        <w:t xml:space="preserve"> </w:t>
      </w:r>
      <w:r w:rsidRPr="00004988">
        <w:rPr>
          <w:rFonts w:ascii="Arial" w:hAnsi="Arial" w:cs="Arial"/>
          <w:b/>
        </w:rPr>
        <w:t xml:space="preserve">quarterly; </w:t>
      </w:r>
    </w:p>
    <w:p w:rsidR="00567B74" w:rsidRPr="00004988" w:rsidP="00597714" w14:paraId="26226922" w14:textId="4B03E8FC">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prepare a written response to a collection of information in fewer than 30 days after receipt of it; </w:t>
      </w:r>
    </w:p>
    <w:p w:rsidR="00567B74" w:rsidRPr="00004988" w:rsidP="00597714" w14:paraId="11280536" w14:textId="700DE5FC">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requiring respondents to submit more than an original and two copies of any</w:t>
      </w:r>
      <w:r w:rsidR="004A110E">
        <w:rPr>
          <w:rFonts w:ascii="Arial" w:hAnsi="Arial" w:cs="Arial"/>
          <w:b/>
        </w:rPr>
        <w:t xml:space="preserve"> </w:t>
      </w:r>
      <w:r w:rsidRPr="00004988">
        <w:rPr>
          <w:rFonts w:ascii="Arial" w:hAnsi="Arial" w:cs="Arial"/>
          <w:b/>
        </w:rPr>
        <w:t xml:space="preserve">document; </w:t>
      </w:r>
    </w:p>
    <w:p w:rsidR="00567B74" w:rsidRPr="00004988" w:rsidP="00597714" w14:paraId="475CA383" w14:textId="603CD79A">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retain records, other than health, medical, government contract, grant-in-aid, or tax records, for more than three years; </w:t>
      </w:r>
    </w:p>
    <w:p w:rsidR="00567B74" w:rsidRPr="00004988" w:rsidP="00597714" w14:paraId="47F9A996" w14:textId="19280DE2">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in connection with a statistical survey, that is not designed to produce valid and reliable results that can be generalized to the universe of study; </w:t>
      </w:r>
    </w:p>
    <w:p w:rsidR="00567B74" w:rsidRPr="00004988" w:rsidP="00597714" w14:paraId="4FEBC6E5" w14:textId="30A94FE6">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the use of a statistical data classification that has not been reviewed and approved by OMB; </w:t>
      </w:r>
      <w:r w:rsidRPr="00004988">
        <w:rPr>
          <w:rFonts w:ascii="Symbol" w:hAnsi="Symbol" w:cs="Arial"/>
          <w:b/>
        </w:rPr>
        <w:sym w:font="Symbol" w:char="F0B7"/>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7B74" w:rsidRPr="00004988" w:rsidP="00597714" w14:paraId="233A0C25" w14:textId="6A6AF841">
      <w:pPr>
        <w:widowControl/>
        <w:autoSpaceDE/>
        <w:autoSpaceDN/>
        <w:adjustRightInd/>
        <w:ind w:left="630" w:hanging="270"/>
        <w:jc w:val="both"/>
        <w:rPr>
          <w:rFonts w:ascii="Arial" w:hAnsi="Arial" w:cs="Arial"/>
          <w:b/>
        </w:rPr>
      </w:pPr>
      <w:r w:rsidRPr="00004988">
        <w:rPr>
          <w:rFonts w:ascii="Symbol" w:hAnsi="Symbol" w:cs="Arial"/>
          <w:b/>
        </w:rPr>
        <w:sym w:font="Symbol" w:char="F0B7"/>
      </w:r>
      <w:r w:rsidRPr="00004988">
        <w:rPr>
          <w:rFonts w:ascii="Arial" w:hAnsi="Arial" w:cs="Arial"/>
          <w:b/>
        </w:rPr>
        <w:t xml:space="preserve"> </w:t>
      </w:r>
      <w:r w:rsidR="004A110E">
        <w:rPr>
          <w:rFonts w:ascii="Arial" w:hAnsi="Arial" w:cs="Arial"/>
          <w:b/>
        </w:rPr>
        <w:tab/>
      </w:r>
      <w:r w:rsidRPr="00004988">
        <w:rPr>
          <w:rFonts w:ascii="Arial" w:hAnsi="Arial" w:cs="Arial"/>
          <w:b/>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97714" w14:paraId="4F6EA99D" w14:textId="561A73E4">
      <w:pPr>
        <w:pStyle w:val="ListParagraph"/>
        <w:keepNext/>
        <w:keepLines/>
        <w:widowControl/>
        <w:numPr>
          <w:ilvl w:val="0"/>
          <w:numId w:val="13"/>
        </w:numPr>
        <w:tabs>
          <w:tab w:val="left" w:pos="-984"/>
          <w:tab w:val="left" w:pos="-720"/>
        </w:tabs>
        <w:ind w:left="360"/>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0C13FCEB">
      <w:pPr>
        <w:widowControl/>
        <w:tabs>
          <w:tab w:val="left" w:pos="-984"/>
          <w:tab w:val="left" w:pos="-720"/>
          <w:tab w:val="left" w:pos="720"/>
        </w:tabs>
        <w:jc w:val="both"/>
        <w:rPr>
          <w:rFonts w:ascii="Arial" w:hAnsi="Arial"/>
        </w:rPr>
      </w:pPr>
      <w:r w:rsidRPr="00C93EDD">
        <w:rPr>
          <w:rFonts w:ascii="Arial" w:hAnsi="Arial" w:cs="Arial"/>
        </w:rPr>
        <w:t>The 60-Day</w:t>
      </w:r>
      <w:r w:rsidR="00B53F5F">
        <w:rPr>
          <w:rFonts w:ascii="Arial" w:hAnsi="Arial" w:cs="Arial"/>
        </w:rPr>
        <w:t xml:space="preserve"> </w:t>
      </w:r>
      <w:r w:rsidR="00B53F5F">
        <w:rPr>
          <w:rFonts w:ascii="Arial" w:hAnsi="Arial" w:cs="Arial"/>
          <w:i/>
          <w:iCs/>
        </w:rPr>
        <w:t>Federal Register</w:t>
      </w:r>
      <w:r w:rsidRPr="00C93EDD">
        <w:rPr>
          <w:rFonts w:ascii="Arial" w:hAnsi="Arial" w:cs="Arial"/>
        </w:rPr>
        <w:t xml:space="preserve"> Notice was published on </w:t>
      </w:r>
      <w:r w:rsidR="009916B6">
        <w:rPr>
          <w:rFonts w:ascii="Arial" w:hAnsi="Arial" w:cs="Arial"/>
        </w:rPr>
        <w:t>June 26, 2025</w:t>
      </w:r>
      <w:r w:rsidR="00814D7E">
        <w:rPr>
          <w:rFonts w:ascii="Arial" w:hAnsi="Arial" w:cs="Arial"/>
        </w:rPr>
        <w:t xml:space="preserve"> (</w:t>
      </w:r>
      <w:r w:rsidR="009916B6">
        <w:rPr>
          <w:rFonts w:ascii="Arial" w:hAnsi="Arial" w:cs="Arial"/>
        </w:rPr>
        <w:t xml:space="preserve">90 </w:t>
      </w:r>
      <w:r w:rsidR="00814D7E">
        <w:rPr>
          <w:rFonts w:ascii="Arial" w:hAnsi="Arial" w:cs="Arial"/>
        </w:rPr>
        <w:t xml:space="preserve">FR </w:t>
      </w:r>
      <w:r w:rsidR="00C7684F">
        <w:rPr>
          <w:rFonts w:ascii="Arial" w:hAnsi="Arial" w:cs="Arial"/>
        </w:rPr>
        <w:t>27284</w:t>
      </w:r>
      <w:r w:rsidR="00814D7E">
        <w:rPr>
          <w:rFonts w:ascii="Arial" w:hAnsi="Arial" w:cs="Arial"/>
        </w:rPr>
        <w:t>)</w:t>
      </w:r>
      <w:r w:rsidRPr="00C93EDD">
        <w:rPr>
          <w:rFonts w:ascii="Arial" w:hAnsi="Arial" w:cs="Arial"/>
        </w:rPr>
        <w:t>.</w:t>
      </w:r>
      <w:r>
        <w:rPr>
          <w:rStyle w:val="FootnoteReference"/>
          <w:rFonts w:ascii="Arial" w:hAnsi="Arial" w:cs="Arial"/>
        </w:rPr>
        <w:footnoteReference w:id="2"/>
      </w:r>
      <w:r>
        <w:rPr>
          <w:rFonts w:ascii="Arial" w:hAnsi="Arial" w:cs="Arial"/>
        </w:rPr>
        <w:t xml:space="preserve"> </w:t>
      </w:r>
      <w:r w:rsidRPr="00C93EDD">
        <w:rPr>
          <w:rFonts w:ascii="Arial" w:hAnsi="Arial" w:cs="Arial"/>
        </w:rPr>
        <w:t xml:space="preserve">The comment period </w:t>
      </w:r>
      <w:r w:rsidRPr="007F0B6F">
        <w:rPr>
          <w:rFonts w:ascii="Arial" w:hAnsi="Arial" w:cs="Arial"/>
        </w:rPr>
        <w:t xml:space="preserve">ended on </w:t>
      </w:r>
      <w:r w:rsidR="009916B6">
        <w:rPr>
          <w:rFonts w:ascii="Arial" w:hAnsi="Arial" w:cs="Arial"/>
        </w:rPr>
        <w:t>August 25, 2025</w:t>
      </w:r>
      <w:r w:rsidRPr="007F0B6F">
        <w:rPr>
          <w:rFonts w:ascii="Arial" w:hAnsi="Arial" w:cs="Arial"/>
        </w:rPr>
        <w:t>.</w:t>
      </w:r>
      <w:r>
        <w:rPr>
          <w:rFonts w:ascii="Arial" w:hAnsi="Arial" w:cs="Arial"/>
        </w:rPr>
        <w:t xml:space="preserve"> </w:t>
      </w:r>
      <w:r w:rsidRPr="000B537A" w:rsidR="0077376E">
        <w:rPr>
          <w:rFonts w:ascii="Arial" w:hAnsi="Arial"/>
        </w:rPr>
        <w:t xml:space="preserve">The USPTO received no public comments in response to the </w:t>
      </w:r>
      <w:r w:rsidR="0077376E">
        <w:rPr>
          <w:rFonts w:ascii="Arial" w:hAnsi="Arial"/>
        </w:rPr>
        <w:t>n</w:t>
      </w:r>
      <w:r w:rsidRPr="000B537A" w:rsidR="0077376E">
        <w:rPr>
          <w:rFonts w:ascii="Arial" w:hAnsi="Arial"/>
        </w:rPr>
        <w:t>otice.</w:t>
      </w:r>
      <w:r w:rsidR="0077376E">
        <w:rPr>
          <w:rFonts w:ascii="Arial" w:hAnsi="Arial"/>
        </w:rPr>
        <w:t xml:space="preserve">  </w:t>
      </w:r>
    </w:p>
    <w:p w:rsidR="00345DF5" w:rsidP="00636EDA" w14:paraId="75A9F6EB" w14:textId="77777777">
      <w:pPr>
        <w:widowControl/>
        <w:tabs>
          <w:tab w:val="left" w:pos="-984"/>
          <w:tab w:val="left" w:pos="-720"/>
          <w:tab w:val="left" w:pos="720"/>
        </w:tabs>
        <w:jc w:val="both"/>
        <w:rPr>
          <w:rFonts w:ascii="Arial" w:hAnsi="Arial"/>
        </w:rPr>
      </w:pPr>
    </w:p>
    <w:p w:rsidR="00B53F5F" w:rsidRPr="00E51301" w:rsidP="00B53F5F" w14:paraId="2E1D7BEA" w14:textId="13155999">
      <w:pPr>
        <w:widowControl/>
        <w:tabs>
          <w:tab w:val="left" w:pos="720"/>
        </w:tabs>
        <w:jc w:val="both"/>
        <w:rPr>
          <w:rFonts w:ascii="Arial" w:hAnsi="Arial"/>
        </w:rPr>
      </w:pPr>
      <w:r>
        <w:rPr>
          <w:rFonts w:ascii="Arial" w:hAnsi="Arial"/>
        </w:rPr>
        <w:t xml:space="preserve">The 30-Day </w:t>
      </w:r>
      <w:r>
        <w:rPr>
          <w:rFonts w:ascii="Arial" w:hAnsi="Arial"/>
          <w:i/>
          <w:iCs/>
        </w:rPr>
        <w:t xml:space="preserve">Federal Register </w:t>
      </w:r>
      <w:r>
        <w:rPr>
          <w:rFonts w:ascii="Arial" w:hAnsi="Arial"/>
        </w:rPr>
        <w:t xml:space="preserve">Notice was published on </w:t>
      </w:r>
      <w:r w:rsidR="00CE254A">
        <w:rPr>
          <w:rFonts w:ascii="Arial" w:hAnsi="Arial"/>
        </w:rPr>
        <w:t>October 24, 2025</w:t>
      </w:r>
      <w:r>
        <w:rPr>
          <w:rFonts w:ascii="Arial" w:hAnsi="Arial"/>
        </w:rPr>
        <w:t xml:space="preserve"> (</w:t>
      </w:r>
      <w:r w:rsidR="001D7B62">
        <w:rPr>
          <w:rFonts w:ascii="Arial" w:hAnsi="Arial"/>
        </w:rPr>
        <w:t>90</w:t>
      </w:r>
      <w:r>
        <w:rPr>
          <w:rFonts w:ascii="Arial" w:hAnsi="Arial"/>
        </w:rPr>
        <w:t xml:space="preserve"> FR </w:t>
      </w:r>
      <w:r w:rsidR="00E51301">
        <w:rPr>
          <w:rFonts w:ascii="Arial" w:hAnsi="Arial"/>
        </w:rPr>
        <w:t>48553</w:t>
      </w:r>
      <w:r>
        <w:rPr>
          <w:rFonts w:ascii="Arial" w:hAnsi="Arial"/>
        </w:rPr>
        <w:t>).</w:t>
      </w:r>
      <w:r>
        <w:rPr>
          <w:rStyle w:val="FootnoteReference"/>
          <w:rFonts w:ascii="Arial" w:hAnsi="Arial"/>
        </w:rPr>
        <w:footnoteReference w:id="3"/>
      </w:r>
      <w:r>
        <w:rPr>
          <w:rFonts w:ascii="Arial" w:hAnsi="Arial"/>
        </w:rPr>
        <w:t xml:space="preserve"> The comment period will end on </w:t>
      </w:r>
      <w:r w:rsidR="00E51301">
        <w:rPr>
          <w:rFonts w:ascii="Arial" w:hAnsi="Arial"/>
        </w:rPr>
        <w:t>November 24, 2025</w:t>
      </w:r>
      <w:r>
        <w:rPr>
          <w:rFonts w:ascii="Arial" w:hAnsi="Arial"/>
        </w:rPr>
        <w:t>.</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597714" w14:paraId="6767514E" w14:textId="11FABB64">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636EDA" w:rsidRPr="00F462AC" w:rsidP="00636EDA" w14:paraId="79D4A0D8" w14:textId="77777777">
      <w:pPr>
        <w:widowControl/>
        <w:tabs>
          <w:tab w:val="left" w:pos="-984"/>
          <w:tab w:val="left" w:pos="-720"/>
          <w:tab w:val="left" w:pos="720"/>
        </w:tabs>
        <w:jc w:val="both"/>
        <w:rPr>
          <w:rFonts w:ascii="Arial" w:hAnsi="Arial" w:cs="Arial"/>
        </w:rPr>
      </w:pPr>
      <w:r w:rsidRPr="00F462AC">
        <w:rPr>
          <w:rFonts w:ascii="Arial" w:hAnsi="Arial" w:cs="Arial"/>
        </w:rPr>
        <w:t xml:space="preserve">This information collection does not involve a payment or gift to any respondent.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A1C90" w14:paraId="6B4947CF" w14:textId="793BA789">
      <w:pPr>
        <w:pStyle w:val="ListParagraph"/>
        <w:keepNext/>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06655D" w:rsidP="00590074" w14:paraId="6D73308F" w14:textId="77777777">
      <w:pPr>
        <w:pStyle w:val="BodyText"/>
        <w:tabs>
          <w:tab w:val="left" w:pos="-1176"/>
        </w:tabs>
        <w:rPr>
          <w:rFonts w:cs="Arial"/>
          <w:szCs w:val="24"/>
        </w:rPr>
      </w:pPr>
    </w:p>
    <w:p w:rsidR="00264A4C" w:rsidRPr="001C3701" w:rsidP="00484838" w14:paraId="22A3E5A9" w14:textId="77777777">
      <w:pPr>
        <w:keepNext/>
        <w:widowControl/>
        <w:tabs>
          <w:tab w:val="left" w:pos="-984"/>
          <w:tab w:val="left" w:pos="-720"/>
          <w:tab w:val="left" w:pos="720"/>
        </w:tabs>
        <w:jc w:val="both"/>
        <w:rPr>
          <w:rFonts w:ascii="Arial" w:hAnsi="Arial" w:cs="Arial"/>
          <w:u w:val="single"/>
        </w:rPr>
      </w:pPr>
      <w:r w:rsidRPr="001C3701">
        <w:rPr>
          <w:rFonts w:ascii="Arial" w:hAnsi="Arial" w:cs="Arial"/>
          <w:u w:val="single"/>
        </w:rPr>
        <w:t>Confidentiality</w:t>
      </w:r>
    </w:p>
    <w:p w:rsidR="00264A4C" w:rsidP="00484838" w14:paraId="69870890" w14:textId="77777777">
      <w:pPr>
        <w:keepNext/>
        <w:widowControl/>
        <w:tabs>
          <w:tab w:val="left" w:pos="-984"/>
          <w:tab w:val="left" w:pos="-720"/>
          <w:tab w:val="left" w:pos="720"/>
        </w:tabs>
        <w:jc w:val="both"/>
        <w:rPr>
          <w:rFonts w:ascii="Arial" w:hAnsi="Arial" w:cs="Arial"/>
        </w:rPr>
      </w:pPr>
    </w:p>
    <w:p w:rsidR="00484838" w:rsidRPr="006B6CF6" w:rsidP="00484838" w14:paraId="5D10DD5F" w14:textId="7A715998">
      <w:pPr>
        <w:keepNext/>
        <w:widowControl/>
        <w:tabs>
          <w:tab w:val="left" w:pos="-984"/>
          <w:tab w:val="left" w:pos="-720"/>
          <w:tab w:val="left" w:pos="720"/>
        </w:tabs>
        <w:jc w:val="both"/>
        <w:rPr>
          <w:rFonts w:ascii="Arial" w:hAnsi="Arial" w:cs="Arial"/>
        </w:rPr>
      </w:pPr>
      <w:r w:rsidRPr="006B6CF6">
        <w:rPr>
          <w:rFonts w:ascii="Arial" w:hAnsi="Arial" w:cs="Arial"/>
        </w:rPr>
        <w:t>Confidentiality of patent applications is governed by statute (35 U.S.C. 122) and regulation (37 CFR</w:t>
      </w:r>
      <w:r w:rsidR="004F0611">
        <w:rPr>
          <w:rFonts w:ascii="Arial" w:hAnsi="Arial" w:cs="Arial"/>
        </w:rPr>
        <w:t xml:space="preserve"> </w:t>
      </w:r>
      <w:r w:rsidRPr="00773E2C" w:rsidR="004F0611">
        <w:rPr>
          <w:rFonts w:ascii="Arial" w:hAnsi="Arial" w:cs="Arial"/>
        </w:rPr>
        <w:t>§§</w:t>
      </w:r>
      <w:r w:rsidRPr="006B6CF6">
        <w:rPr>
          <w:rFonts w:ascii="Arial" w:hAnsi="Arial" w:cs="Arial"/>
        </w:rPr>
        <w:t xml:space="preserve"> 1.11 and 1.14). 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redacted copy of the file contents</w:t>
      </w:r>
      <w:r w:rsidR="009D5082">
        <w:rPr>
          <w:rFonts w:ascii="Arial" w:hAnsi="Arial" w:cs="Arial"/>
        </w:rPr>
        <w:t xml:space="preserve"> </w:t>
      </w:r>
      <w:r w:rsidRPr="001E636E" w:rsidR="009D5082">
        <w:rPr>
          <w:rFonts w:ascii="Arial" w:hAnsi="Arial" w:cs="Arial"/>
        </w:rPr>
        <w:t xml:space="preserve">(37 CFR </w:t>
      </w:r>
      <w:r w:rsidRPr="00773E2C" w:rsidR="004F0611">
        <w:rPr>
          <w:rFonts w:ascii="Arial" w:hAnsi="Arial" w:cs="Arial"/>
        </w:rPr>
        <w:t>§§</w:t>
      </w:r>
      <w:r w:rsidR="004F0611">
        <w:rPr>
          <w:rFonts w:ascii="Arial" w:hAnsi="Arial" w:cs="Arial"/>
        </w:rPr>
        <w:t xml:space="preserve"> </w:t>
      </w:r>
      <w:r w:rsidRPr="001E636E" w:rsidR="009D5082">
        <w:rPr>
          <w:rFonts w:ascii="Arial" w:hAnsi="Arial" w:cs="Arial"/>
        </w:rPr>
        <w:t>1.11(a) and 1.217)</w:t>
      </w:r>
      <w:r w:rsidRPr="006B6CF6">
        <w:rPr>
          <w:rFonts w:ascii="Arial" w:hAnsi="Arial" w:cs="Arial"/>
        </w:rPr>
        <w:t xml:space="preserve">. </w:t>
      </w:r>
      <w:r w:rsidRPr="001E636E" w:rsidR="00C157E4">
        <w:rPr>
          <w:rFonts w:ascii="Arial" w:hAnsi="Arial" w:cs="Arial"/>
        </w:rPr>
        <w:t xml:space="preserve">The item in this information collection </w:t>
      </w:r>
      <w:r w:rsidR="00C157E4">
        <w:rPr>
          <w:rFonts w:ascii="Arial" w:hAnsi="Arial" w:cs="Arial"/>
        </w:rPr>
        <w:t xml:space="preserve">is </w:t>
      </w:r>
      <w:r w:rsidRPr="001E636E" w:rsidR="00C157E4">
        <w:rPr>
          <w:rFonts w:ascii="Arial" w:hAnsi="Arial" w:cs="Arial"/>
        </w:rPr>
        <w:t xml:space="preserve">filed in a patent application. Accordingly, the USPTO will maintain the confidentiality of </w:t>
      </w:r>
      <w:r w:rsidR="00C157E4">
        <w:rPr>
          <w:rFonts w:ascii="Arial" w:hAnsi="Arial" w:cs="Arial"/>
        </w:rPr>
        <w:t xml:space="preserve">responses </w:t>
      </w:r>
      <w:r w:rsidRPr="001E636E" w:rsidR="00C157E4">
        <w:rPr>
          <w:rFonts w:ascii="Arial" w:hAnsi="Arial" w:cs="Arial"/>
        </w:rPr>
        <w:t>received under this information collection until the application in which it is filed publishes or issues as a patent.</w:t>
      </w:r>
    </w:p>
    <w:p w:rsidR="00484838" w:rsidRPr="006B6CF6" w:rsidP="00484838" w14:paraId="6B09602C" w14:textId="77777777">
      <w:pPr>
        <w:keepNext/>
        <w:widowControl/>
        <w:tabs>
          <w:tab w:val="left" w:pos="-984"/>
          <w:tab w:val="left" w:pos="-720"/>
          <w:tab w:val="left" w:pos="720"/>
        </w:tabs>
        <w:jc w:val="both"/>
        <w:rPr>
          <w:rFonts w:ascii="Arial" w:hAnsi="Arial" w:cs="Arial"/>
        </w:rPr>
      </w:pPr>
    </w:p>
    <w:p w:rsidR="00504013" w:rsidRPr="00CC2C4B" w:rsidP="00504013" w14:paraId="76883BF6" w14:textId="77777777">
      <w:pPr>
        <w:pStyle w:val="NoSpacing"/>
        <w:rPr>
          <w:rFonts w:ascii="Arial" w:hAnsi="Arial" w:cs="Arial"/>
          <w:sz w:val="24"/>
          <w:szCs w:val="24"/>
          <w:u w:val="single"/>
        </w:rPr>
      </w:pPr>
      <w:r w:rsidRPr="00CC2C4B">
        <w:rPr>
          <w:rFonts w:ascii="Arial" w:hAnsi="Arial" w:cs="Arial"/>
          <w:sz w:val="24"/>
          <w:szCs w:val="24"/>
          <w:u w:val="single"/>
        </w:rPr>
        <w:t>Privacy Act System of Records Information</w:t>
      </w:r>
    </w:p>
    <w:p w:rsidR="00504013" w:rsidRPr="006B6CF6" w:rsidP="00484838" w14:paraId="4E1B3191" w14:textId="77777777">
      <w:pPr>
        <w:keepNext/>
        <w:widowControl/>
        <w:tabs>
          <w:tab w:val="left" w:pos="-984"/>
          <w:tab w:val="left" w:pos="-720"/>
          <w:tab w:val="left" w:pos="720"/>
        </w:tabs>
        <w:jc w:val="both"/>
        <w:rPr>
          <w:rFonts w:ascii="Arial" w:hAnsi="Arial" w:cs="Arial"/>
        </w:rPr>
      </w:pPr>
    </w:p>
    <w:p w:rsidR="00C82752" w:rsidRPr="00C82752" w:rsidP="00C82752" w14:paraId="3D9739B9" w14:textId="76388105">
      <w:pPr>
        <w:keepNext/>
        <w:widowControl/>
        <w:tabs>
          <w:tab w:val="left" w:pos="-984"/>
          <w:tab w:val="left" w:pos="-720"/>
          <w:tab w:val="left" w:pos="720"/>
        </w:tabs>
        <w:jc w:val="both"/>
        <w:rPr>
          <w:rFonts w:ascii="Arial" w:hAnsi="Arial" w:cs="Arial"/>
        </w:rPr>
      </w:pPr>
      <w:bookmarkStart w:id="1" w:name="_Hlk166674258"/>
      <w:r w:rsidRPr="00C82752">
        <w:rPr>
          <w:rFonts w:ascii="Arial" w:hAnsi="Arial" w:cs="Arial"/>
        </w:rPr>
        <w:t>This information collection contains information which is subject to the Privacy Act. This information is collected on documents related to patent applications. Privacy Act Statements are included on these forms. The following System of Records Notice (SORN) provide</w:t>
      </w:r>
      <w:r>
        <w:rPr>
          <w:rFonts w:ascii="Arial" w:hAnsi="Arial" w:cs="Arial"/>
        </w:rPr>
        <w:t>s</w:t>
      </w:r>
      <w:r w:rsidRPr="00C82752">
        <w:rPr>
          <w:rFonts w:ascii="Arial" w:hAnsi="Arial" w:cs="Arial"/>
        </w:rPr>
        <w:t xml:space="preserve"> privacy disclosures and information about the USPTO’s handling of any personally identifiable information (PII) that may be included when submitting the information </w:t>
      </w:r>
      <w:r w:rsidR="00685696">
        <w:rPr>
          <w:rFonts w:ascii="Arial" w:hAnsi="Arial" w:cs="Arial"/>
        </w:rPr>
        <w:t>in</w:t>
      </w:r>
      <w:r w:rsidRPr="00C82752">
        <w:rPr>
          <w:rFonts w:ascii="Arial" w:hAnsi="Arial" w:cs="Arial"/>
        </w:rPr>
        <w:t xml:space="preserve"> this collection. </w:t>
      </w:r>
    </w:p>
    <w:p w:rsidR="00C82752" w:rsidRPr="00C82752" w:rsidP="00C82752" w14:paraId="6D8E3F94" w14:textId="77777777">
      <w:pPr>
        <w:keepNext/>
        <w:widowControl/>
        <w:tabs>
          <w:tab w:val="left" w:pos="-984"/>
          <w:tab w:val="left" w:pos="-720"/>
          <w:tab w:val="left" w:pos="720"/>
        </w:tabs>
        <w:jc w:val="both"/>
        <w:rPr>
          <w:rFonts w:ascii="Arial" w:hAnsi="Arial" w:cs="Arial"/>
        </w:rPr>
      </w:pPr>
    </w:p>
    <w:p w:rsidR="00484838" w:rsidP="00484838" w14:paraId="1F3476DA" w14:textId="01DD6A2C">
      <w:pPr>
        <w:keepNext/>
        <w:widowControl/>
        <w:tabs>
          <w:tab w:val="left" w:pos="-984"/>
          <w:tab w:val="left" w:pos="-720"/>
          <w:tab w:val="left" w:pos="720"/>
        </w:tabs>
        <w:jc w:val="both"/>
        <w:rPr>
          <w:rFonts w:ascii="Arial" w:hAnsi="Arial" w:cs="Arial"/>
        </w:rPr>
      </w:pPr>
      <w:r w:rsidRPr="00C82752">
        <w:rPr>
          <w:rFonts w:ascii="Arial" w:hAnsi="Arial" w:cs="Arial"/>
        </w:rPr>
        <w:t>The applicable Privacy Act System of Records Notice for this information collection is COMMERCE/PAT-TM-7 Patent Application Files, available at 78 FR 19243 (March 29, 2013).</w:t>
      </w:r>
      <w:r>
        <w:rPr>
          <w:rFonts w:ascii="Arial" w:hAnsi="Arial" w:cs="Arial"/>
          <w:vertAlign w:val="superscript"/>
        </w:rPr>
        <w:footnoteReference w:id="4"/>
      </w:r>
      <w:r w:rsidRPr="00C82752">
        <w:rPr>
          <w:rFonts w:ascii="Arial" w:hAnsi="Arial" w:cs="Arial"/>
        </w:rPr>
        <w:t xml:space="preserve"> </w:t>
      </w:r>
      <w:bookmarkEnd w:id="1"/>
      <w:r w:rsidRPr="00725736" w:rsidR="001D3939">
        <w:rPr>
          <w:rFonts w:ascii="Arial" w:hAnsi="Arial" w:cs="Arial"/>
        </w:rPr>
        <w:t xml:space="preserve">The purpose of </w:t>
      </w:r>
      <w:r w:rsidR="001D3939">
        <w:rPr>
          <w:rFonts w:ascii="Arial" w:hAnsi="Arial" w:cs="Arial"/>
        </w:rPr>
        <w:t>PAT-TM</w:t>
      </w:r>
      <w:r w:rsidRPr="002777DB" w:rsidR="001D3939">
        <w:rPr>
          <w:rFonts w:ascii="Arial" w:hAnsi="Arial" w:cs="Arial"/>
        </w:rPr>
        <w:t xml:space="preserve"> 7 </w:t>
      </w:r>
      <w:r w:rsidRPr="00BD4180" w:rsidR="001D3939">
        <w:rPr>
          <w:rFonts w:ascii="Arial" w:hAnsi="Arial" w:cs="Arial"/>
        </w:rPr>
        <w:t xml:space="preserve">is to </w:t>
      </w:r>
      <w:r w:rsidRPr="000F16D6" w:rsidR="001D3939">
        <w:rPr>
          <w:rFonts w:ascii="Arial" w:hAnsi="Arial" w:cs="Arial"/>
        </w:rPr>
        <w:t>disclose how the USPTO intends to use, main</w:t>
      </w:r>
      <w:r w:rsidRPr="000F52A1" w:rsidR="001D3939">
        <w:rPr>
          <w:rFonts w:ascii="Arial" w:hAnsi="Arial" w:cs="Arial"/>
        </w:rPr>
        <w:t xml:space="preserve">tain, and protect the information that it has collected to carry out the duties of the USPTO to examine patent applications and issue patents. </w:t>
      </w:r>
      <w:r w:rsidR="001D3939">
        <w:rPr>
          <w:rFonts w:ascii="Arial" w:hAnsi="Arial" w:cs="Arial"/>
        </w:rPr>
        <w:t>PAT-TM</w:t>
      </w:r>
      <w:r w:rsidRPr="000F52A1" w:rsidR="001D3939">
        <w:rPr>
          <w:rFonts w:ascii="Arial" w:hAnsi="Arial" w:cs="Arial"/>
        </w:rPr>
        <w:t xml:space="preserve"> 7 </w:t>
      </w:r>
      <w:r w:rsidR="001D3939">
        <w:rPr>
          <w:rFonts w:ascii="Arial" w:hAnsi="Arial" w:cs="Arial"/>
        </w:rPr>
        <w:t>includes all applicant records</w:t>
      </w:r>
      <w:r w:rsidR="00221CA2">
        <w:rPr>
          <w:rFonts w:ascii="Arial" w:hAnsi="Arial" w:cs="Arial"/>
        </w:rPr>
        <w:t>,</w:t>
      </w:r>
      <w:r w:rsidR="001D3939">
        <w:rPr>
          <w:rFonts w:ascii="Arial" w:hAnsi="Arial" w:cs="Arial"/>
        </w:rPr>
        <w:t xml:space="preserve"> including name, citizenship, residence, post office address, and other information pertaining to the applicant’s activities in connection with the invention for which a patent is sought or has been granted.</w:t>
      </w:r>
    </w:p>
    <w:p w:rsidR="009019B4" w:rsidP="00484838" w14:paraId="5FB6BB87" w14:textId="77777777">
      <w:pPr>
        <w:keepNext/>
        <w:widowControl/>
        <w:tabs>
          <w:tab w:val="left" w:pos="-984"/>
          <w:tab w:val="left" w:pos="-720"/>
          <w:tab w:val="left" w:pos="720"/>
        </w:tabs>
        <w:jc w:val="both"/>
        <w:rPr>
          <w:rFonts w:ascii="Arial" w:hAnsi="Arial" w:cs="Arial"/>
        </w:rPr>
      </w:pPr>
    </w:p>
    <w:p w:rsidR="009019B4" w:rsidRPr="006B6CF6" w:rsidP="00484838" w14:paraId="59E4D6FB" w14:textId="2070FC18">
      <w:pPr>
        <w:keepNext/>
        <w:widowControl/>
        <w:tabs>
          <w:tab w:val="left" w:pos="-984"/>
          <w:tab w:val="left" w:pos="-720"/>
          <w:tab w:val="left" w:pos="720"/>
        </w:tabs>
        <w:jc w:val="both"/>
        <w:rPr>
          <w:rFonts w:ascii="Arial" w:hAnsi="Arial" w:cs="Arial"/>
        </w:rPr>
      </w:pPr>
      <w:r w:rsidRPr="006A6E4E">
        <w:rPr>
          <w:rFonts w:ascii="Arial" w:hAnsi="Arial" w:cs="Arial"/>
          <w:color w:val="1B1B1B"/>
          <w:shd w:val="clear" w:color="auto" w:fill="FFFFFF"/>
        </w:rPr>
        <w:t xml:space="preserve">Information in this system of records is derived from </w:t>
      </w:r>
      <w:r>
        <w:rPr>
          <w:rFonts w:ascii="Helvetica" w:hAnsi="Helvetica" w:cs="Helvetica"/>
          <w:color w:val="1B1B1B"/>
          <w:sz w:val="25"/>
          <w:szCs w:val="25"/>
          <w:shd w:val="clear" w:color="auto" w:fill="FFFFFF"/>
        </w:rPr>
        <w:t>applicants for patent, including inventors, legal representatives for deceased or incapacitated inventors, and other persons authorized by law to make applications for patent</w:t>
      </w:r>
      <w:r w:rsidRPr="006A6E4E">
        <w:rPr>
          <w:rFonts w:ascii="Arial" w:hAnsi="Arial" w:cs="Arial"/>
          <w:color w:val="1B1B1B"/>
          <w:shd w:val="clear" w:color="auto" w:fill="FFFFFF"/>
        </w:rPr>
        <w:t xml:space="preserve">. </w:t>
      </w:r>
      <w:r w:rsidRPr="006A6E4E">
        <w:rPr>
          <w:rFonts w:ascii="Arial" w:hAnsi="Arial" w:cs="Arial"/>
        </w:rPr>
        <w:t xml:space="preserve">Patents applications are maintained in confidence as required by 35 U.S.C. 122(a) </w:t>
      </w:r>
      <w:bookmarkStart w:id="2" w:name="_Hlk146546489"/>
      <w:r w:rsidRPr="006A6E4E">
        <w:rPr>
          <w:rFonts w:ascii="Arial" w:hAnsi="Arial" w:cs="Arial"/>
        </w:rPr>
        <w:t>until the application is published or issued as a patent</w:t>
      </w:r>
      <w:bookmarkEnd w:id="2"/>
      <w:r w:rsidRPr="006A6E4E">
        <w:rPr>
          <w:rFonts w:ascii="Arial" w:hAnsi="Arial" w:cs="Arial"/>
        </w:rPr>
        <w:t>.</w:t>
      </w:r>
      <w:r>
        <w:rPr>
          <w:rFonts w:ascii="Arial" w:hAnsi="Arial" w:cs="Arial"/>
        </w:rPr>
        <w:t xml:space="preserve"> Categories of records in the system comprise the following: oath or declaration of applicant including name, citizenship, residence, post office address, and other information pertaining to the applicant’s activities in connection with the invention for which a patent is sought.</w:t>
      </w:r>
    </w:p>
    <w:p w:rsidR="00484838" w:rsidRPr="006B6CF6" w:rsidP="00484838" w14:paraId="3AC04BF5" w14:textId="77777777">
      <w:pPr>
        <w:keepNext/>
        <w:widowControl/>
        <w:tabs>
          <w:tab w:val="left" w:pos="-984"/>
          <w:tab w:val="left" w:pos="-720"/>
          <w:tab w:val="left" w:pos="720"/>
        </w:tabs>
        <w:jc w:val="both"/>
        <w:rPr>
          <w:rFonts w:ascii="Arial" w:hAnsi="Arial" w:cs="Arial"/>
        </w:rPr>
      </w:pPr>
    </w:p>
    <w:p w:rsidR="00484838" w:rsidRPr="006B6CF6" w:rsidP="00484838" w14:paraId="7E2EC9C5" w14:textId="77777777">
      <w:pPr>
        <w:keepNext/>
        <w:widowControl/>
        <w:tabs>
          <w:tab w:val="left" w:pos="-984"/>
          <w:tab w:val="left" w:pos="-720"/>
          <w:tab w:val="left" w:pos="720"/>
        </w:tabs>
        <w:jc w:val="both"/>
        <w:rPr>
          <w:rFonts w:ascii="Arial" w:hAnsi="Arial" w:cs="Arial"/>
        </w:rPr>
      </w:pPr>
      <w:r w:rsidRPr="006B6CF6">
        <w:rPr>
          <w:rFonts w:ascii="Arial" w:hAnsi="Arial" w:cs="Arial"/>
        </w:rPr>
        <w:t xml:space="preserve">The information in SORN 7 is protected from disclosure to third parties in accordance with the Privacy Act until the application is published under 35 U.S.C. 122(b) or issued as a patent under 35 U.S.C. 153. Prior to application publication or patent issuance, the information in SORN 7 is protected from disclosure to third parties in accordance with the Privacy Act, except that disclosure is permitted for the following routine uses including, but not limited to: </w:t>
      </w:r>
      <w:bookmarkStart w:id="3" w:name="_Hlk146546511"/>
      <w:r w:rsidRPr="006B6CF6">
        <w:rPr>
          <w:rFonts w:ascii="Arial" w:hAnsi="Arial" w:cs="Arial"/>
        </w:rPr>
        <w:t xml:space="preserve">law enforcement in the event that the system of records indicates a violation or potential violation of law; a federal, state, local, or international agency, in response to its request; an agency, organization, or individual for the purpose of performing audit or oversight operations as authorized by law; non-federal personnel under contract to the agency; the Department of Justice for Freedom of Information Act (FOIA) assistance; a member of Congress working on behalf of an individual to whom the record pertains, when the individual has requested the member’s assistance with respect to the subject matter of the record; the Office of Personnel Management (OPM) for </w:t>
      </w:r>
      <w:r w:rsidRPr="006B6CF6">
        <w:rPr>
          <w:rFonts w:ascii="Arial" w:hAnsi="Arial" w:cs="Arial"/>
        </w:rPr>
        <w:t>personnel research purposes; and the Office of Management and Budget (OMB) for legislative coordination and clearance.</w:t>
      </w:r>
      <w:bookmarkEnd w:id="3"/>
    </w:p>
    <w:p w:rsidR="0006655D" w:rsidP="00590074" w14:paraId="76DBF2C2" w14:textId="66C2715A">
      <w:pPr>
        <w:pStyle w:val="NoSpacing"/>
        <w:jc w:val="both"/>
        <w:rPr>
          <w:rFonts w:ascii="Arial" w:hAnsi="Arial" w:cs="Arial"/>
          <w:sz w:val="24"/>
          <w:szCs w:val="24"/>
        </w:rPr>
      </w:pPr>
    </w:p>
    <w:p w:rsidR="0006655D" w:rsidRPr="001C3701" w:rsidP="0006655D" w14:paraId="6B9EE1A0" w14:textId="77777777">
      <w:pPr>
        <w:jc w:val="both"/>
        <w:rPr>
          <w:rFonts w:ascii="Arial" w:hAnsi="Arial"/>
          <w:u w:val="single"/>
        </w:rPr>
      </w:pPr>
      <w:r w:rsidRPr="001C3701">
        <w:rPr>
          <w:rFonts w:ascii="Arial" w:hAnsi="Arial"/>
          <w:u w:val="single"/>
        </w:rPr>
        <w:t>Privacy Impact Assessment</w:t>
      </w:r>
    </w:p>
    <w:p w:rsidR="0006655D" w:rsidP="0006655D" w14:paraId="494294DC" w14:textId="77777777"/>
    <w:p w:rsidR="00966A50" w:rsidRPr="00966A50" w:rsidP="00216080" w14:paraId="1FE2E616" w14:textId="77777777">
      <w:pPr>
        <w:jc w:val="both"/>
        <w:rPr>
          <w:rFonts w:ascii="Arial" w:hAnsi="Arial" w:cs="Arial"/>
        </w:rPr>
      </w:pPr>
      <w:r w:rsidRPr="00966A50">
        <w:rPr>
          <w:rFonts w:ascii="Arial" w:hAnsi="Arial" w:cs="Arial"/>
        </w:rPr>
        <w:t xml:space="preserve">The data in this system of records may also be associated with an IT system that has a Privacy Impact Assessment (PIA) which provides additional information about how data is handled and maintained. The following IT systems may include data collected as a part of this information collection:  </w:t>
      </w:r>
    </w:p>
    <w:p w:rsidR="00966A50" w:rsidRPr="00966A50" w:rsidP="00216080" w14:paraId="5EA19A94" w14:textId="77777777">
      <w:pPr>
        <w:jc w:val="both"/>
        <w:rPr>
          <w:rFonts w:ascii="Arial" w:hAnsi="Arial" w:cs="Arial"/>
        </w:rPr>
      </w:pPr>
    </w:p>
    <w:p w:rsidR="00966A50" w:rsidRPr="00966A50" w:rsidP="00216080" w14:paraId="78B40FA1" w14:textId="77777777">
      <w:pPr>
        <w:jc w:val="both"/>
        <w:rPr>
          <w:rFonts w:ascii="Arial" w:hAnsi="Arial" w:cs="Arial"/>
        </w:rPr>
      </w:pPr>
      <w:r w:rsidRPr="00966A50">
        <w:rPr>
          <w:rFonts w:ascii="Arial" w:hAnsi="Arial" w:cs="Arial"/>
        </w:rPr>
        <w:t>Data Conversion Laboratory Patent Support (DCLPS)</w:t>
      </w:r>
    </w:p>
    <w:p w:rsidR="00966A50" w:rsidRPr="00966A50" w:rsidP="00216080" w14:paraId="2EC89AF6" w14:textId="77777777">
      <w:pPr>
        <w:jc w:val="both"/>
        <w:rPr>
          <w:rFonts w:ascii="Arial" w:hAnsi="Arial" w:cs="Arial"/>
        </w:rPr>
      </w:pPr>
      <w:r w:rsidRPr="00966A50">
        <w:rPr>
          <w:rFonts w:ascii="Arial" w:hAnsi="Arial" w:cs="Arial"/>
        </w:rPr>
        <w:t>Enterprise Data Services System – Databricks (EDS-DBX)</w:t>
      </w:r>
    </w:p>
    <w:p w:rsidR="00966A50" w:rsidRPr="00966A50" w:rsidP="00216080" w14:paraId="60ED926D" w14:textId="77777777">
      <w:pPr>
        <w:jc w:val="both"/>
        <w:rPr>
          <w:rFonts w:ascii="Arial" w:hAnsi="Arial" w:cs="Arial"/>
        </w:rPr>
      </w:pPr>
      <w:r w:rsidRPr="00966A50">
        <w:rPr>
          <w:rFonts w:ascii="Arial" w:hAnsi="Arial" w:cs="Arial"/>
        </w:rPr>
        <w:t>Flatirons Patent Data and Document Management (Flatirons PDDM)</w:t>
      </w:r>
    </w:p>
    <w:p w:rsidR="00966A50" w:rsidRPr="00966A50" w:rsidP="00216080" w14:paraId="15174F3E" w14:textId="77777777">
      <w:pPr>
        <w:jc w:val="both"/>
        <w:rPr>
          <w:rFonts w:ascii="Arial" w:hAnsi="Arial" w:cs="Arial"/>
        </w:rPr>
      </w:pPr>
      <w:r w:rsidRPr="00966A50">
        <w:rPr>
          <w:rFonts w:ascii="Arial" w:hAnsi="Arial" w:cs="Arial"/>
        </w:rPr>
        <w:t>Global Patent Solutions (GPS) System</w:t>
      </w:r>
    </w:p>
    <w:p w:rsidR="00966A50" w:rsidRPr="00966A50" w:rsidP="00216080" w14:paraId="3A47C9BA" w14:textId="77777777">
      <w:pPr>
        <w:jc w:val="both"/>
        <w:rPr>
          <w:rFonts w:ascii="Arial" w:hAnsi="Arial" w:cs="Arial"/>
        </w:rPr>
      </w:pPr>
      <w:r w:rsidRPr="00966A50">
        <w:rPr>
          <w:rFonts w:ascii="Arial" w:hAnsi="Arial" w:cs="Arial"/>
        </w:rPr>
        <w:t>International Data Exchange Cloud (IDE-C)</w:t>
      </w:r>
    </w:p>
    <w:p w:rsidR="00966A50" w:rsidRPr="00966A50" w:rsidP="00216080" w14:paraId="6F12B3FE" w14:textId="77777777">
      <w:pPr>
        <w:jc w:val="both"/>
        <w:rPr>
          <w:rFonts w:ascii="Arial" w:hAnsi="Arial" w:cs="Arial"/>
        </w:rPr>
      </w:pPr>
      <w:r w:rsidRPr="00966A50">
        <w:rPr>
          <w:rFonts w:ascii="Arial" w:hAnsi="Arial" w:cs="Arial"/>
        </w:rPr>
        <w:t>Information Delivery Product (IDP)</w:t>
      </w:r>
    </w:p>
    <w:p w:rsidR="00966A50" w:rsidRPr="00966A50" w:rsidP="00216080" w14:paraId="3B9005CB" w14:textId="77777777">
      <w:pPr>
        <w:jc w:val="both"/>
        <w:rPr>
          <w:rFonts w:ascii="Arial" w:hAnsi="Arial" w:cs="Arial"/>
        </w:rPr>
      </w:pPr>
      <w:r w:rsidRPr="00966A50">
        <w:rPr>
          <w:rFonts w:ascii="Arial" w:hAnsi="Arial" w:cs="Arial"/>
        </w:rPr>
        <w:t>Information Dissemination Support System (IDSS)</w:t>
      </w:r>
    </w:p>
    <w:p w:rsidR="00966A50" w:rsidRPr="00966A50" w:rsidP="00216080" w14:paraId="1F3B1397" w14:textId="77777777">
      <w:pPr>
        <w:jc w:val="both"/>
        <w:rPr>
          <w:rFonts w:ascii="Arial" w:hAnsi="Arial" w:cs="Arial"/>
        </w:rPr>
      </w:pPr>
      <w:r w:rsidRPr="00966A50">
        <w:rPr>
          <w:rFonts w:ascii="Arial" w:hAnsi="Arial" w:cs="Arial"/>
        </w:rPr>
        <w:t>Landon IP Information System</w:t>
      </w:r>
    </w:p>
    <w:p w:rsidR="00966A50" w:rsidRPr="00966A50" w:rsidP="00216080" w14:paraId="386B4F56" w14:textId="77777777">
      <w:pPr>
        <w:jc w:val="both"/>
        <w:rPr>
          <w:rFonts w:ascii="Arial" w:hAnsi="Arial" w:cs="Arial"/>
        </w:rPr>
      </w:pPr>
      <w:r w:rsidRPr="00966A50">
        <w:rPr>
          <w:rFonts w:ascii="Arial" w:hAnsi="Arial" w:cs="Arial"/>
        </w:rPr>
        <w:t>Open Data-Big Data Master System (OD-BD MS)</w:t>
      </w:r>
    </w:p>
    <w:p w:rsidR="00966A50" w:rsidRPr="00966A50" w:rsidP="00216080" w14:paraId="07CF7B06" w14:textId="77777777">
      <w:pPr>
        <w:jc w:val="both"/>
        <w:rPr>
          <w:rFonts w:ascii="Arial" w:hAnsi="Arial" w:cs="Arial"/>
        </w:rPr>
      </w:pPr>
      <w:r w:rsidRPr="00966A50">
        <w:rPr>
          <w:rFonts w:ascii="Arial" w:hAnsi="Arial" w:cs="Arial"/>
        </w:rPr>
        <w:t>Patent Capture and Application Processing System - Examination Support (PCAPS-ES)</w:t>
      </w:r>
    </w:p>
    <w:p w:rsidR="00966A50" w:rsidRPr="00966A50" w:rsidP="00216080" w14:paraId="3DAF546B" w14:textId="77777777">
      <w:pPr>
        <w:jc w:val="both"/>
        <w:rPr>
          <w:rFonts w:ascii="Arial" w:hAnsi="Arial" w:cs="Arial"/>
        </w:rPr>
      </w:pPr>
      <w:r w:rsidRPr="00966A50">
        <w:rPr>
          <w:rFonts w:ascii="Arial" w:hAnsi="Arial" w:cs="Arial"/>
        </w:rPr>
        <w:t>Patent Capture and Application Processing System - Initial Processing (PCAPS-IP)</w:t>
      </w:r>
    </w:p>
    <w:p w:rsidR="00966A50" w:rsidRPr="00966A50" w:rsidP="00216080" w14:paraId="0A467267" w14:textId="77777777">
      <w:pPr>
        <w:jc w:val="both"/>
        <w:rPr>
          <w:rFonts w:ascii="Arial" w:hAnsi="Arial" w:cs="Arial"/>
        </w:rPr>
      </w:pPr>
      <w:r w:rsidRPr="00966A50">
        <w:rPr>
          <w:rFonts w:ascii="Arial" w:hAnsi="Arial" w:cs="Arial"/>
        </w:rPr>
        <w:t>Patent End to End (PE2E)</w:t>
      </w:r>
    </w:p>
    <w:p w:rsidR="00966A50" w:rsidRPr="00966A50" w:rsidP="00216080" w14:paraId="4B9F919D" w14:textId="77777777">
      <w:pPr>
        <w:jc w:val="both"/>
        <w:rPr>
          <w:rFonts w:ascii="Arial" w:hAnsi="Arial" w:cs="Arial"/>
        </w:rPr>
      </w:pPr>
      <w:r w:rsidRPr="00966A50">
        <w:rPr>
          <w:rFonts w:ascii="Arial" w:hAnsi="Arial" w:cs="Arial"/>
        </w:rPr>
        <w:t>Patent Trial and Appeal Board End to End (PTAB E2E)</w:t>
      </w:r>
    </w:p>
    <w:p w:rsidR="00966A50" w:rsidRPr="00966A50" w:rsidP="00216080" w14:paraId="43A216B7" w14:textId="77777777">
      <w:pPr>
        <w:jc w:val="both"/>
        <w:rPr>
          <w:rFonts w:ascii="Arial" w:hAnsi="Arial" w:cs="Arial"/>
        </w:rPr>
      </w:pPr>
      <w:r w:rsidRPr="00966A50">
        <w:rPr>
          <w:rFonts w:ascii="Arial" w:hAnsi="Arial" w:cs="Arial"/>
        </w:rPr>
        <w:t>Patent Search System - Primary Search and Retrieval (PSS-PS)</w:t>
      </w:r>
    </w:p>
    <w:p w:rsidR="00966A50" w:rsidRPr="00966A50" w:rsidP="00216080" w14:paraId="3C4E4CC9" w14:textId="77777777">
      <w:pPr>
        <w:jc w:val="both"/>
        <w:rPr>
          <w:rFonts w:ascii="Arial" w:hAnsi="Arial" w:cs="Arial"/>
        </w:rPr>
      </w:pPr>
      <w:r w:rsidRPr="00966A50">
        <w:rPr>
          <w:rFonts w:ascii="Arial" w:hAnsi="Arial" w:cs="Arial"/>
        </w:rPr>
        <w:t>Patent Business and Content Management Services (PBCMS) EventHub</w:t>
      </w:r>
    </w:p>
    <w:p w:rsidR="00966A50" w:rsidRPr="00966A50" w:rsidP="00216080" w14:paraId="22E4A0D9" w14:textId="77777777">
      <w:pPr>
        <w:jc w:val="both"/>
        <w:rPr>
          <w:rFonts w:ascii="Arial" w:hAnsi="Arial" w:cs="Arial"/>
        </w:rPr>
      </w:pPr>
      <w:r w:rsidRPr="00966A50">
        <w:rPr>
          <w:rFonts w:ascii="Arial" w:hAnsi="Arial" w:cs="Arial"/>
        </w:rPr>
        <w:t>Patent Exam Center (PEC)</w:t>
      </w:r>
    </w:p>
    <w:p w:rsidR="00966A50" w:rsidRPr="00966A50" w:rsidP="00216080" w14:paraId="37FB78E7" w14:textId="77777777">
      <w:pPr>
        <w:jc w:val="both"/>
        <w:rPr>
          <w:rFonts w:ascii="Arial" w:hAnsi="Arial" w:cs="Arial"/>
        </w:rPr>
      </w:pPr>
      <w:r w:rsidRPr="00966A50">
        <w:rPr>
          <w:rFonts w:ascii="Arial" w:hAnsi="Arial" w:cs="Arial"/>
        </w:rPr>
        <w:t>Patent Examination Data Search (PEDS)</w:t>
      </w:r>
    </w:p>
    <w:p w:rsidR="00966A50" w:rsidRPr="00966A50" w:rsidP="00216080" w14:paraId="455A081D" w14:textId="77777777">
      <w:pPr>
        <w:jc w:val="both"/>
        <w:rPr>
          <w:rFonts w:ascii="Arial" w:hAnsi="Arial" w:cs="Arial"/>
        </w:rPr>
      </w:pPr>
      <w:r w:rsidRPr="00966A50">
        <w:rPr>
          <w:rFonts w:ascii="Arial" w:hAnsi="Arial" w:cs="Arial"/>
        </w:rPr>
        <w:t>Patent Public Search (PPUBS)</w:t>
      </w:r>
    </w:p>
    <w:p w:rsidR="00966A50" w:rsidRPr="00966A50" w:rsidP="00216080" w14:paraId="29F62457" w14:textId="77777777">
      <w:pPr>
        <w:jc w:val="both"/>
        <w:rPr>
          <w:rFonts w:ascii="Arial" w:hAnsi="Arial" w:cs="Arial"/>
        </w:rPr>
      </w:pPr>
      <w:r w:rsidRPr="00966A50">
        <w:rPr>
          <w:rFonts w:ascii="Arial" w:hAnsi="Arial" w:cs="Arial"/>
        </w:rPr>
        <w:t>Patent Search System - Primary Search and Retrieval System (PSS-PS)</w:t>
      </w:r>
    </w:p>
    <w:p w:rsidR="00966A50" w:rsidRPr="00966A50" w:rsidP="00216080" w14:paraId="62DCF558" w14:textId="77777777">
      <w:pPr>
        <w:jc w:val="both"/>
        <w:rPr>
          <w:rFonts w:ascii="Arial" w:hAnsi="Arial" w:cs="Arial"/>
        </w:rPr>
      </w:pPr>
      <w:r w:rsidRPr="00966A50">
        <w:rPr>
          <w:rFonts w:ascii="Arial" w:hAnsi="Arial" w:cs="Arial"/>
        </w:rPr>
        <w:t>Patent Trial and Appeal Case Tracking System (P-TACTS)</w:t>
      </w:r>
    </w:p>
    <w:p w:rsidR="00966A50" w:rsidRPr="00966A50" w:rsidP="00216080" w14:paraId="51BD25B5" w14:textId="77777777">
      <w:pPr>
        <w:jc w:val="both"/>
        <w:rPr>
          <w:rFonts w:ascii="Arial" w:hAnsi="Arial" w:cs="Arial"/>
        </w:rPr>
      </w:pPr>
      <w:r w:rsidRPr="00966A50">
        <w:rPr>
          <w:rFonts w:ascii="Arial" w:hAnsi="Arial" w:cs="Arial"/>
        </w:rPr>
        <w:t>Reed Technology and Information Services Inc. (RTIS) Patent Data Capture (PDCap)</w:t>
      </w:r>
    </w:p>
    <w:p w:rsidR="00966A50" w:rsidRPr="00966A50" w:rsidP="00216080" w14:paraId="605C6A71" w14:textId="77777777">
      <w:pPr>
        <w:jc w:val="both"/>
        <w:rPr>
          <w:rFonts w:ascii="Arial" w:hAnsi="Arial" w:cs="Arial"/>
        </w:rPr>
      </w:pPr>
      <w:r w:rsidRPr="00966A50">
        <w:rPr>
          <w:rFonts w:ascii="Arial" w:hAnsi="Arial" w:cs="Arial"/>
        </w:rPr>
        <w:t>Reed Technology and Information Services Inc. (RTIS) Public Data Dissemination (RTIS PDD)</w:t>
      </w:r>
    </w:p>
    <w:p w:rsidR="00966A50" w:rsidRPr="00966A50" w:rsidP="00216080" w14:paraId="546C5B26" w14:textId="77777777">
      <w:pPr>
        <w:jc w:val="both"/>
        <w:rPr>
          <w:rFonts w:ascii="Arial" w:hAnsi="Arial" w:cs="Arial"/>
        </w:rPr>
      </w:pPr>
      <w:r w:rsidRPr="00966A50">
        <w:rPr>
          <w:rFonts w:ascii="Arial" w:hAnsi="Arial" w:cs="Arial"/>
        </w:rPr>
        <w:t>Serco Patent Processing System (PPS)</w:t>
      </w:r>
    </w:p>
    <w:p w:rsidR="00966A50" w:rsidRPr="00966A50" w:rsidP="00216080" w14:paraId="5BF1A26F" w14:textId="77777777">
      <w:pPr>
        <w:jc w:val="both"/>
        <w:rPr>
          <w:rFonts w:ascii="Arial" w:hAnsi="Arial" w:cs="Arial"/>
        </w:rPr>
      </w:pPr>
      <w:r w:rsidRPr="00966A50">
        <w:rPr>
          <w:rFonts w:ascii="Arial" w:hAnsi="Arial" w:cs="Arial"/>
        </w:rPr>
        <w:t>Trilateral Network (TRINET)</w:t>
      </w:r>
    </w:p>
    <w:p w:rsidR="00966A50" w:rsidRPr="00966A50" w:rsidP="00216080" w14:paraId="5FF17029" w14:textId="77777777">
      <w:pPr>
        <w:jc w:val="both"/>
        <w:rPr>
          <w:rFonts w:ascii="Arial" w:hAnsi="Arial" w:cs="Arial"/>
        </w:rPr>
      </w:pPr>
      <w:r w:rsidRPr="00966A50">
        <w:rPr>
          <w:rFonts w:ascii="Arial" w:hAnsi="Arial" w:cs="Arial"/>
        </w:rPr>
        <w:t>VASTEC Data Conversion System (VASTEC DCS)</w:t>
      </w:r>
    </w:p>
    <w:p w:rsidR="00966A50" w:rsidRPr="00966A50" w:rsidP="00966A50" w14:paraId="4C68CE0E" w14:textId="77777777">
      <w:pPr>
        <w:rPr>
          <w:rFonts w:ascii="Arial" w:hAnsi="Arial" w:cs="Arial"/>
        </w:rPr>
      </w:pPr>
    </w:p>
    <w:p w:rsidR="00966A50" w:rsidRPr="00966A50" w:rsidP="00216080" w14:paraId="6BB5BDE8" w14:textId="77777777">
      <w:pPr>
        <w:jc w:val="both"/>
        <w:rPr>
          <w:rFonts w:ascii="Arial" w:hAnsi="Arial" w:cs="Arial"/>
        </w:rPr>
      </w:pPr>
      <w:r w:rsidRPr="00966A50">
        <w:rPr>
          <w:rFonts w:ascii="Arial" w:hAnsi="Arial" w:cs="Arial"/>
        </w:rPr>
        <w:t>More information about these PIAs is available through the Department of Commerce’s Office of Privacy and Open Government.</w:t>
      </w:r>
      <w:r>
        <w:rPr>
          <w:rFonts w:ascii="Arial" w:hAnsi="Arial" w:cs="Arial"/>
          <w:vertAlign w:val="superscript"/>
        </w:rPr>
        <w:footnoteReference w:id="5"/>
      </w:r>
    </w:p>
    <w:p w:rsidR="00590074" w:rsidRPr="00476F66" w:rsidP="00636EDA" w14:paraId="5E8BEFC5" w14:textId="77777777">
      <w:pPr>
        <w:widowControl/>
        <w:tabs>
          <w:tab w:val="left" w:pos="-984"/>
          <w:tab w:val="left" w:pos="-720"/>
          <w:tab w:val="left" w:pos="720"/>
        </w:tabs>
        <w:jc w:val="both"/>
        <w:rPr>
          <w:rFonts w:ascii="Arial" w:hAnsi="Arial" w:cs="Arial"/>
          <w:color w:val="0000FF"/>
        </w:rPr>
      </w:pPr>
    </w:p>
    <w:p w:rsidR="00567B74" w:rsidRPr="00436B01" w:rsidP="00590074" w14:paraId="1435F90C" w14:textId="2962C44B">
      <w:pPr>
        <w:pStyle w:val="ListParagraph"/>
        <w:widowControl/>
        <w:numPr>
          <w:ilvl w:val="0"/>
          <w:numId w:val="13"/>
        </w:numPr>
        <w:tabs>
          <w:tab w:val="left" w:pos="-984"/>
          <w:tab w:val="left" w:pos="-720"/>
        </w:tabs>
        <w:ind w:left="360"/>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w:t>
      </w:r>
      <w:r w:rsidRPr="00004988">
        <w:rPr>
          <w:rFonts w:ascii="Arial" w:hAnsi="Arial" w:cs="Arial"/>
          <w:b/>
          <w:szCs w:val="20"/>
        </w:rPr>
        <w:t xml:space="preserve">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590074" w14:paraId="40DA344C" w14:textId="53F42733">
      <w:pPr>
        <w:pStyle w:val="ListParagraph"/>
        <w:keepNext/>
        <w:keepLines/>
        <w:widowControl/>
        <w:numPr>
          <w:ilvl w:val="0"/>
          <w:numId w:val="13"/>
        </w:numPr>
        <w:tabs>
          <w:tab w:val="left" w:pos="-984"/>
          <w:tab w:val="left" w:pos="-720"/>
          <w:tab w:val="left" w:pos="720"/>
        </w:tabs>
        <w:ind w:left="360"/>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590074" w14:paraId="0E15219A"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590074" w14:paraId="5BB6CA30"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590074" w14:paraId="0E778AF4"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590074" w14:paraId="1B1A5B41" w14:textId="77777777">
      <w:pPr>
        <w:widowControl/>
        <w:numPr>
          <w:ilvl w:val="0"/>
          <w:numId w:val="12"/>
        </w:numPr>
        <w:tabs>
          <w:tab w:val="clear" w:pos="1080"/>
        </w:tabs>
        <w:autoSpaceDE/>
        <w:autoSpaceDN/>
        <w:adjustRightInd/>
        <w:ind w:left="720"/>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636EDA"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14:paraId="79D4A0E9" w14:textId="77777777">
      <w:pPr>
        <w:pStyle w:val="Style"/>
        <w:widowControl/>
        <w:numPr>
          <w:ilvl w:val="0"/>
          <w:numId w:val="1"/>
        </w:numPr>
        <w:tabs>
          <w:tab w:val="left" w:pos="-984"/>
          <w:tab w:val="left" w:pos="-720"/>
        </w:tabs>
        <w:jc w:val="both"/>
        <w:rPr>
          <w:rFonts w:ascii="Arial" w:hAnsi="Arial" w:cs="Arial"/>
        </w:rPr>
      </w:pPr>
      <w:r w:rsidRPr="00B62DF4">
        <w:rPr>
          <w:rFonts w:ascii="Arial" w:hAnsi="Arial" w:cs="Arial"/>
          <w:b/>
          <w:bCs/>
        </w:rPr>
        <w:t>Respondent Calculation Factors</w:t>
      </w:r>
    </w:p>
    <w:p w:rsidR="00240A35" w:rsidP="007C21ED" w14:paraId="2A94AA17" w14:textId="56E21561">
      <w:pPr>
        <w:pStyle w:val="NoSpacing"/>
        <w:ind w:left="720"/>
        <w:jc w:val="both"/>
        <w:rPr>
          <w:rFonts w:ascii="Arial" w:hAnsi="Arial" w:cs="Arial"/>
          <w:sz w:val="24"/>
        </w:rPr>
      </w:pPr>
      <w:r>
        <w:rPr>
          <w:rFonts w:ascii="Arial" w:hAnsi="Arial" w:cs="Arial"/>
          <w:sz w:val="24"/>
        </w:rPr>
        <w:t xml:space="preserve">The USPTO estimates that it will receive approximately </w:t>
      </w:r>
      <w:r w:rsidR="004657E8">
        <w:rPr>
          <w:rFonts w:ascii="Arial" w:hAnsi="Arial" w:cs="Arial"/>
          <w:bCs/>
          <w:sz w:val="24"/>
        </w:rPr>
        <w:t xml:space="preserve">30,000 </w:t>
      </w:r>
      <w:r>
        <w:rPr>
          <w:rFonts w:ascii="Arial" w:hAnsi="Arial" w:cs="Arial"/>
          <w:sz w:val="24"/>
        </w:rPr>
        <w:t xml:space="preserve">responses per year from </w:t>
      </w:r>
      <w:r w:rsidR="004657E8">
        <w:rPr>
          <w:rFonts w:ascii="Arial" w:hAnsi="Arial" w:cs="Arial"/>
          <w:sz w:val="24"/>
        </w:rPr>
        <w:t xml:space="preserve">30,000 </w:t>
      </w:r>
      <w:r>
        <w:rPr>
          <w:rFonts w:ascii="Arial" w:hAnsi="Arial" w:cs="Arial"/>
          <w:sz w:val="24"/>
        </w:rPr>
        <w:t xml:space="preserve">respondents for this information collection, with approximately </w:t>
      </w:r>
      <w:r w:rsidR="0044660E">
        <w:rPr>
          <w:rFonts w:ascii="Arial" w:hAnsi="Arial" w:cs="Arial"/>
          <w:sz w:val="24"/>
        </w:rPr>
        <w:t>5</w:t>
      </w:r>
      <w:r w:rsidR="0016361F">
        <w:rPr>
          <w:rFonts w:ascii="Arial" w:hAnsi="Arial" w:cs="Arial"/>
          <w:sz w:val="24"/>
        </w:rPr>
        <w:t>5</w:t>
      </w:r>
      <w:r>
        <w:rPr>
          <w:rFonts w:ascii="Arial" w:hAnsi="Arial" w:cs="Arial"/>
          <w:sz w:val="24"/>
        </w:rPr>
        <w:t xml:space="preserve">% of these responses submitted by small entities.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61BE477A">
      <w:pPr>
        <w:widowControl/>
        <w:tabs>
          <w:tab w:val="left" w:pos="-984"/>
          <w:tab w:val="left" w:pos="-720"/>
          <w:tab w:val="left" w:pos="720"/>
        </w:tabs>
        <w:ind w:left="720"/>
        <w:jc w:val="both"/>
        <w:rPr>
          <w:rFonts w:ascii="Arial" w:hAnsi="Arial" w:cs="Arial"/>
        </w:rPr>
      </w:pPr>
      <w:bookmarkStart w:id="4" w:name="_Hlk135747336"/>
      <w:r w:rsidRPr="00B62DF4">
        <w:rPr>
          <w:rFonts w:ascii="Arial" w:hAnsi="Arial" w:cs="Arial"/>
        </w:rPr>
        <w:t xml:space="preserve">The USPTO estimates that </w:t>
      </w:r>
      <w:r w:rsidRPr="00DF1D69">
        <w:rPr>
          <w:rFonts w:ascii="Arial" w:hAnsi="Arial" w:cs="Arial"/>
        </w:rPr>
        <w:t xml:space="preserve">approximately </w:t>
      </w:r>
      <w:r w:rsidR="0016361F">
        <w:rPr>
          <w:rFonts w:ascii="Arial" w:hAnsi="Arial" w:cs="Arial"/>
        </w:rPr>
        <w:t>99</w:t>
      </w:r>
      <w:r w:rsidRPr="00DF1D69">
        <w:rPr>
          <w:rFonts w:ascii="Arial" w:hAnsi="Arial" w:cs="Arial"/>
        </w:rPr>
        <w:t xml:space="preserve">% </w:t>
      </w:r>
      <w:bookmarkStart w:id="5" w:name="_Hlk172184305"/>
      <w:r w:rsidRPr="00DF1D69">
        <w:rPr>
          <w:rFonts w:ascii="Arial" w:hAnsi="Arial" w:cs="Arial"/>
        </w:rPr>
        <w:t>of the</w:t>
      </w:r>
      <w:r w:rsidRPr="00B62DF4">
        <w:rPr>
          <w:rFonts w:ascii="Arial" w:hAnsi="Arial" w:cs="Arial"/>
        </w:rPr>
        <w:t xml:space="preserve"> responses </w:t>
      </w:r>
      <w:r w:rsidR="007A77E9">
        <w:rPr>
          <w:rFonts w:ascii="Arial" w:hAnsi="Arial" w:cs="Arial"/>
        </w:rPr>
        <w:t>in</w:t>
      </w:r>
      <w:r w:rsidRPr="00B62DF4" w:rsidR="007A77E9">
        <w:rPr>
          <w:rFonts w:ascii="Arial" w:hAnsi="Arial" w:cs="Arial"/>
        </w:rPr>
        <w:t xml:space="preserve"> </w:t>
      </w:r>
      <w:r w:rsidRPr="00B62DF4">
        <w:rPr>
          <w:rFonts w:ascii="Arial" w:hAnsi="Arial" w:cs="Arial"/>
        </w:rPr>
        <w:t xml:space="preserve">this collection will be submitted electronically </w:t>
      </w:r>
      <w:bookmarkEnd w:id="5"/>
      <w:r w:rsidRPr="00B62DF4">
        <w:rPr>
          <w:rFonts w:ascii="Arial" w:hAnsi="Arial" w:cs="Arial"/>
        </w:rPr>
        <w:t xml:space="preserve">via </w:t>
      </w:r>
      <w:r w:rsidR="00212A0A">
        <w:rPr>
          <w:rFonts w:ascii="Arial" w:hAnsi="Arial" w:cs="Arial"/>
        </w:rPr>
        <w:t>Patent Center</w:t>
      </w:r>
      <w:r w:rsidRPr="00B62DF4">
        <w:rPr>
          <w:rFonts w:ascii="Arial" w:hAnsi="Arial" w:cs="Arial"/>
        </w:rPr>
        <w:t xml:space="preserve">, which customers may </w:t>
      </w:r>
      <w:r w:rsidRPr="001C077C">
        <w:rPr>
          <w:rFonts w:ascii="Arial" w:hAnsi="Arial" w:cs="Arial"/>
        </w:rPr>
        <w:t xml:space="preserve">access through the USPTO </w:t>
      </w:r>
      <w:r w:rsidR="00FD59CA">
        <w:rPr>
          <w:rFonts w:ascii="Arial" w:hAnsi="Arial" w:cs="Arial"/>
        </w:rPr>
        <w:t>w</w:t>
      </w:r>
      <w:r>
        <w:rPr>
          <w:rFonts w:ascii="Arial" w:hAnsi="Arial" w:cs="Arial"/>
        </w:rPr>
        <w:t>ebsite</w:t>
      </w:r>
      <w:bookmarkEnd w:id="4"/>
      <w:r w:rsidRPr="001C077C">
        <w:rPr>
          <w:rFonts w:ascii="Arial" w:hAnsi="Arial" w:cs="Arial"/>
        </w:rPr>
        <w:t>.</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14:paraId="79D4A0EE"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Burden Hour Calculation Factors</w:t>
      </w:r>
    </w:p>
    <w:p w:rsidR="00240A35" w:rsidRPr="00240A35" w:rsidP="007C21ED" w14:paraId="176ABB08" w14:textId="54B4B707">
      <w:pPr>
        <w:pStyle w:val="ListParagraph"/>
        <w:jc w:val="both"/>
        <w:rPr>
          <w:rFonts w:ascii="Arial" w:hAnsi="Arial"/>
        </w:rPr>
      </w:pPr>
      <w:r w:rsidRPr="00240A35">
        <w:rPr>
          <w:rFonts w:ascii="Arial" w:hAnsi="Arial" w:cs="Arial"/>
        </w:rPr>
        <w:t xml:space="preserve">The USPTO estimates that it takes the public approximately </w:t>
      </w:r>
      <w:r w:rsidR="00152B81">
        <w:rPr>
          <w:rFonts w:ascii="Arial" w:hAnsi="Arial" w:cs="Arial"/>
        </w:rPr>
        <w:t>6</w:t>
      </w:r>
      <w:r w:rsidRPr="00240A35">
        <w:rPr>
          <w:rFonts w:ascii="Arial" w:hAnsi="Arial" w:cs="Arial"/>
        </w:rPr>
        <w:t xml:space="preserve"> hours</w:t>
      </w:r>
      <w:r w:rsidR="00212A0A">
        <w:rPr>
          <w:rFonts w:ascii="Arial" w:hAnsi="Arial" w:cs="Arial"/>
        </w:rPr>
        <w:t xml:space="preserve"> </w:t>
      </w:r>
      <w:r w:rsidRPr="00240A35">
        <w:rPr>
          <w:rFonts w:ascii="Arial" w:hAnsi="Arial" w:cs="Arial"/>
        </w:rPr>
        <w:t xml:space="preserve">to gather the necessary information, prepare the appropriate document(s), and submit the </w:t>
      </w:r>
      <w:r w:rsidR="00846E8F">
        <w:rPr>
          <w:rFonts w:ascii="Arial" w:hAnsi="Arial" w:cs="Arial"/>
        </w:rPr>
        <w:t>item</w:t>
      </w:r>
      <w:r w:rsidRPr="00240A35" w:rsidR="00846E8F">
        <w:rPr>
          <w:rFonts w:ascii="Arial" w:hAnsi="Arial" w:cs="Arial"/>
        </w:rPr>
        <w:t xml:space="preserve"> </w:t>
      </w:r>
      <w:r w:rsidRPr="00240A35">
        <w:rPr>
          <w:rFonts w:ascii="Arial" w:hAnsi="Arial" w:cs="Arial"/>
        </w:rPr>
        <w:t xml:space="preserve">to the USPTO. </w:t>
      </w:r>
      <w:r w:rsidRPr="00240A35">
        <w:rPr>
          <w:rFonts w:ascii="Arial" w:hAnsi="Arial"/>
        </w:rPr>
        <w:t xml:space="preserve">Using these burden factors, USPTO estimates that the total respondent hourly burden for this information collection is </w:t>
      </w:r>
      <w:r w:rsidR="004657E8">
        <w:rPr>
          <w:rFonts w:ascii="Arial" w:hAnsi="Arial"/>
        </w:rPr>
        <w:t>180,000</w:t>
      </w:r>
      <w:r w:rsidRPr="00240A35" w:rsidR="004657E8">
        <w:rPr>
          <w:rFonts w:ascii="Arial" w:hAnsi="Arial"/>
        </w:rPr>
        <w:t xml:space="preserve"> </w:t>
      </w:r>
      <w:r w:rsidRPr="00240A35">
        <w:rPr>
          <w:rFonts w:ascii="Arial" w:hAnsi="Arial"/>
        </w:rPr>
        <w:t>hours per year.</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14:paraId="79D4A0F1" w14:textId="77777777">
      <w:pPr>
        <w:pStyle w:val="Style"/>
        <w:widowControl/>
        <w:numPr>
          <w:ilvl w:val="0"/>
          <w:numId w:val="1"/>
        </w:numPr>
        <w:tabs>
          <w:tab w:val="left" w:pos="-984"/>
          <w:tab w:val="left" w:pos="-720"/>
        </w:tabs>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footerReference w:type="even" r:id="rId12"/>
          <w:footerReference w:type="default" r:id="rId13"/>
          <w:type w:val="continuous"/>
          <w:pgSz w:w="12240" w:h="15840"/>
          <w:pgMar w:top="1440" w:right="1440" w:bottom="1440" w:left="1440" w:header="1440" w:footer="1440" w:gutter="0"/>
          <w:cols w:space="720"/>
          <w:noEndnote/>
        </w:sectPr>
      </w:pPr>
    </w:p>
    <w:p w:rsidR="00636EDA" w:rsidRPr="000D5B34" w:rsidP="00636EDA" w14:paraId="79D4A0F3" w14:textId="3FFFA1DA">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bookmarkStart w:id="6" w:name="_Hlk128405347"/>
      <w:r w:rsidRPr="00881472">
        <w:rPr>
          <w:rFonts w:ascii="Arial" w:hAnsi="Arial" w:cs="Arial"/>
        </w:rPr>
        <w:t>The USPTO uses a professional rate of $</w:t>
      </w:r>
      <w:r w:rsidR="00152B81">
        <w:rPr>
          <w:rFonts w:ascii="Arial" w:hAnsi="Arial" w:cs="Arial"/>
        </w:rPr>
        <w:t>447</w:t>
      </w:r>
      <w:r w:rsidRPr="00881472">
        <w:rPr>
          <w:rFonts w:ascii="Arial" w:hAnsi="Arial" w:cs="Arial"/>
        </w:rPr>
        <w:t xml:space="preserve"> per hour for respondent cost burden calculations, which is the median rate for </w:t>
      </w:r>
      <w:r w:rsidR="007D74FB">
        <w:rPr>
          <w:rFonts w:ascii="Arial" w:hAnsi="Arial" w:cs="Arial"/>
        </w:rPr>
        <w:t xml:space="preserve">intellectual property </w:t>
      </w:r>
      <w:r w:rsidRPr="00881472">
        <w:rPr>
          <w:rFonts w:ascii="Arial" w:hAnsi="Arial" w:cs="Arial"/>
        </w:rPr>
        <w:t xml:space="preserve">attorneys in private firms as shown in the </w:t>
      </w:r>
      <w:r w:rsidRPr="000D5B34" w:rsidR="000D5B34">
        <w:rPr>
          <w:rFonts w:ascii="Arial" w:hAnsi="Arial" w:cs="Arial"/>
        </w:rPr>
        <w:t>20</w:t>
      </w:r>
      <w:r w:rsidR="00240A35">
        <w:rPr>
          <w:rFonts w:ascii="Arial" w:hAnsi="Arial" w:cs="Arial"/>
        </w:rPr>
        <w:t>2</w:t>
      </w:r>
      <w:r w:rsidR="00345D98">
        <w:rPr>
          <w:rFonts w:ascii="Arial" w:hAnsi="Arial" w:cs="Arial"/>
        </w:rPr>
        <w:t>3</w:t>
      </w:r>
      <w:r w:rsidRPr="000D5B34">
        <w:rPr>
          <w:rFonts w:ascii="Arial" w:hAnsi="Arial" w:cs="Arial"/>
        </w:rPr>
        <w:t xml:space="preserve"> </w:t>
      </w:r>
      <w:r w:rsidRPr="000D5B34">
        <w:rPr>
          <w:rFonts w:ascii="Arial" w:hAnsi="Arial" w:cs="Arial"/>
          <w:i/>
        </w:rPr>
        <w:t>Report of the Economic Survey</w:t>
      </w:r>
      <w:r w:rsidRPr="000D5B34">
        <w:rPr>
          <w:rFonts w:ascii="Arial" w:hAnsi="Arial" w:cs="Arial"/>
        </w:rPr>
        <w:t xml:space="preserve"> published by the American Intellectual Property Law Association (AIPLA).</w:t>
      </w:r>
    </w:p>
    <w:bookmarkEnd w:id="6"/>
    <w:p w:rsidR="00636EDA" w:rsidP="00152B81"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747327F8">
      <w:pPr>
        <w:widowControl/>
        <w:tabs>
          <w:tab w:val="left" w:pos="-984"/>
          <w:tab w:val="left" w:pos="-720"/>
          <w:tab w:val="left" w:pos="720"/>
        </w:tabs>
        <w:ind w:left="720"/>
        <w:jc w:val="both"/>
        <w:rPr>
          <w:rFonts w:ascii="Arial" w:hAnsi="Arial" w:cs="Arial"/>
        </w:rPr>
      </w:pPr>
      <w:bookmarkStart w:id="7" w:name="_Hlk128405377"/>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004657E8">
        <w:rPr>
          <w:rFonts w:ascii="Arial" w:hAnsi="Arial" w:cs="Arial"/>
        </w:rPr>
        <w:t>80,460,000</w:t>
      </w:r>
      <w:r w:rsidRPr="00624AF0" w:rsidR="004657E8">
        <w:rPr>
          <w:rFonts w:ascii="Arial" w:hAnsi="Arial" w:cs="Arial"/>
        </w:rPr>
        <w:t xml:space="preserve"> </w:t>
      </w:r>
      <w:r w:rsidRPr="00624AF0">
        <w:rPr>
          <w:rFonts w:ascii="Arial" w:hAnsi="Arial" w:cs="Arial"/>
        </w:rPr>
        <w:t>per year</w:t>
      </w:r>
      <w:r w:rsidR="00436B01">
        <w:rPr>
          <w:rFonts w:ascii="Arial" w:hAnsi="Arial" w:cs="Arial"/>
        </w:rPr>
        <w:t>.</w:t>
      </w:r>
    </w:p>
    <w:bookmarkEnd w:id="7"/>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1BD24266" w14:textId="77777777" w:rsidTr="001C3701">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6"/>
        </w:trPr>
        <w:tc>
          <w:tcPr>
            <w:tcW w:w="625" w:type="dxa"/>
            <w:shd w:val="clear" w:color="auto" w:fill="C6D9F0" w:themeFill="text2" w:themeFillTint="33"/>
          </w:tcPr>
          <w:p w:rsidR="00D50F03" w:rsidRPr="00436B01" w:rsidP="00D50F03" w14:paraId="37A44251" w14:textId="48B9724E">
            <w:pPr>
              <w:jc w:val="center"/>
              <w:rPr>
                <w:rFonts w:ascii="Arial" w:hAnsi="Arial" w:cs="Arial"/>
                <w:b/>
                <w:sz w:val="16"/>
                <w:szCs w:val="16"/>
              </w:rPr>
            </w:pPr>
            <w:r w:rsidRPr="008970EA">
              <w:rPr>
                <w:rFonts w:ascii="Arial" w:hAnsi="Arial" w:cs="Arial"/>
                <w:b/>
                <w:sz w:val="16"/>
                <w:szCs w:val="16"/>
              </w:rPr>
              <w:t>Item No.</w:t>
            </w:r>
          </w:p>
        </w:tc>
        <w:tc>
          <w:tcPr>
            <w:tcW w:w="1890" w:type="dxa"/>
            <w:shd w:val="clear" w:color="auto" w:fill="C6D9F0" w:themeFill="text2" w:themeFillTint="33"/>
          </w:tcPr>
          <w:p w:rsidR="00D50F03" w:rsidP="001771C3" w14:paraId="3390F9D0" w14:textId="0D62F4ED">
            <w:pPr>
              <w:jc w:val="center"/>
              <w:rPr>
                <w:rFonts w:ascii="Arial" w:hAnsi="Arial" w:cs="Arial"/>
                <w:sz w:val="16"/>
                <w:szCs w:val="16"/>
              </w:rPr>
            </w:pPr>
            <w:r w:rsidRPr="008970EA">
              <w:rPr>
                <w:rFonts w:ascii="Arial" w:hAnsi="Arial" w:cs="Arial"/>
                <w:b/>
                <w:sz w:val="16"/>
                <w:szCs w:val="16"/>
              </w:rPr>
              <w:t>Item</w:t>
            </w:r>
          </w:p>
        </w:tc>
        <w:tc>
          <w:tcPr>
            <w:tcW w:w="1260" w:type="dxa"/>
            <w:shd w:val="clear" w:color="auto" w:fill="C6D9F0" w:themeFill="text2" w:themeFillTint="33"/>
          </w:tcPr>
          <w:p w:rsidR="00D50F03" w:rsidRPr="008970EA" w:rsidP="00D50F03" w14:paraId="285AF2BA" w14:textId="77777777">
            <w:pPr>
              <w:jc w:val="center"/>
              <w:rPr>
                <w:rFonts w:ascii="Arial" w:hAnsi="Arial" w:cs="Arial"/>
                <w:b/>
                <w:sz w:val="16"/>
                <w:szCs w:val="16"/>
              </w:rPr>
            </w:pPr>
            <w:r w:rsidRPr="008970EA">
              <w:rPr>
                <w:rFonts w:ascii="Arial" w:hAnsi="Arial" w:cs="Arial"/>
                <w:b/>
                <w:sz w:val="16"/>
                <w:szCs w:val="16"/>
              </w:rPr>
              <w:t>Estimated Annual Respondents</w:t>
            </w:r>
          </w:p>
          <w:p w:rsidR="00D50F03" w:rsidRPr="008970EA" w:rsidP="00D50F03" w14:paraId="441EA01D" w14:textId="77777777">
            <w:pPr>
              <w:jc w:val="center"/>
              <w:rPr>
                <w:rFonts w:ascii="Arial" w:hAnsi="Arial" w:cs="Arial"/>
                <w:b/>
                <w:sz w:val="16"/>
                <w:szCs w:val="16"/>
              </w:rPr>
            </w:pPr>
          </w:p>
          <w:p w:rsidR="00D50F03" w:rsidRPr="008970EA" w:rsidP="00D50F03" w14:paraId="65F14A81" w14:textId="77777777">
            <w:pPr>
              <w:jc w:val="center"/>
              <w:rPr>
                <w:rFonts w:ascii="Arial" w:hAnsi="Arial" w:cs="Arial"/>
                <w:b/>
                <w:sz w:val="16"/>
                <w:szCs w:val="16"/>
              </w:rPr>
            </w:pPr>
          </w:p>
          <w:p w:rsidR="00D50F03" w:rsidP="001771C3" w14:paraId="5BCC78FA" w14:textId="74C42C20">
            <w:pPr>
              <w:jc w:val="center"/>
              <w:rPr>
                <w:rFonts w:ascii="Arial" w:hAnsi="Arial" w:cs="Arial"/>
                <w:sz w:val="16"/>
                <w:szCs w:val="16"/>
              </w:rPr>
            </w:pPr>
            <w:r w:rsidRPr="008970EA">
              <w:rPr>
                <w:rFonts w:ascii="Arial" w:hAnsi="Arial" w:cs="Arial"/>
                <w:b/>
                <w:sz w:val="16"/>
                <w:szCs w:val="16"/>
              </w:rPr>
              <w:t>(a)</w:t>
            </w:r>
          </w:p>
        </w:tc>
        <w:tc>
          <w:tcPr>
            <w:tcW w:w="1170" w:type="dxa"/>
            <w:shd w:val="clear" w:color="auto" w:fill="C6D9F0" w:themeFill="text2" w:themeFillTint="33"/>
          </w:tcPr>
          <w:p w:rsidR="00D50F03" w:rsidRPr="008970EA" w:rsidP="00D50F03" w14:paraId="24DDABBB" w14:textId="77777777">
            <w:pPr>
              <w:jc w:val="center"/>
              <w:rPr>
                <w:rFonts w:ascii="Arial" w:hAnsi="Arial" w:cs="Arial"/>
                <w:b/>
                <w:sz w:val="16"/>
                <w:szCs w:val="16"/>
              </w:rPr>
            </w:pPr>
            <w:r w:rsidRPr="008970EA">
              <w:rPr>
                <w:rFonts w:ascii="Arial" w:hAnsi="Arial" w:cs="Arial"/>
                <w:b/>
                <w:sz w:val="16"/>
                <w:szCs w:val="16"/>
              </w:rPr>
              <w:t>Responses per Respondent</w:t>
            </w:r>
          </w:p>
          <w:p w:rsidR="00D50F03" w:rsidRPr="008970EA" w:rsidP="00D50F03" w14:paraId="6711F22F" w14:textId="77777777">
            <w:pPr>
              <w:jc w:val="center"/>
              <w:rPr>
                <w:rFonts w:ascii="Arial" w:hAnsi="Arial" w:cs="Arial"/>
                <w:b/>
                <w:sz w:val="16"/>
                <w:szCs w:val="16"/>
              </w:rPr>
            </w:pPr>
          </w:p>
          <w:p w:rsidR="00D50F03" w:rsidRPr="008970EA" w:rsidP="00D50F03" w14:paraId="3684D954" w14:textId="77777777">
            <w:pPr>
              <w:jc w:val="center"/>
              <w:rPr>
                <w:rFonts w:ascii="Arial" w:hAnsi="Arial" w:cs="Arial"/>
                <w:b/>
                <w:sz w:val="16"/>
                <w:szCs w:val="16"/>
              </w:rPr>
            </w:pPr>
          </w:p>
          <w:p w:rsidR="00D50F03" w:rsidRPr="005E2FFD" w:rsidP="001771C3" w14:paraId="4E49F58C" w14:textId="219246B5">
            <w:pPr>
              <w:jc w:val="center"/>
              <w:rPr>
                <w:rFonts w:ascii="Arial" w:hAnsi="Arial" w:cs="Arial"/>
                <w:color w:val="000000"/>
                <w:sz w:val="16"/>
                <w:szCs w:val="16"/>
              </w:rPr>
            </w:pPr>
            <w:r w:rsidRPr="008970EA">
              <w:rPr>
                <w:rFonts w:ascii="Arial" w:hAnsi="Arial" w:cs="Arial"/>
                <w:b/>
                <w:sz w:val="16"/>
                <w:szCs w:val="16"/>
              </w:rPr>
              <w:t>(b)</w:t>
            </w:r>
          </w:p>
        </w:tc>
        <w:tc>
          <w:tcPr>
            <w:tcW w:w="1080" w:type="dxa"/>
            <w:shd w:val="clear" w:color="auto" w:fill="C6D9F0" w:themeFill="text2" w:themeFillTint="33"/>
          </w:tcPr>
          <w:p w:rsidR="00D50F03" w:rsidRPr="008970EA" w:rsidP="00D50F03" w14:paraId="03AF4368" w14:textId="77777777">
            <w:pPr>
              <w:jc w:val="center"/>
              <w:rPr>
                <w:rFonts w:ascii="Arial" w:hAnsi="Arial" w:cs="Arial"/>
                <w:b/>
                <w:sz w:val="16"/>
                <w:szCs w:val="16"/>
              </w:rPr>
            </w:pPr>
            <w:r w:rsidRPr="008970EA">
              <w:rPr>
                <w:rFonts w:ascii="Arial" w:hAnsi="Arial" w:cs="Arial"/>
                <w:b/>
                <w:sz w:val="16"/>
                <w:szCs w:val="16"/>
              </w:rPr>
              <w:t>Estimated Annual Responses</w:t>
            </w:r>
          </w:p>
          <w:p w:rsidR="00D50F03" w:rsidRPr="008970EA" w:rsidP="00D50F03" w14:paraId="75B9A25A" w14:textId="77777777">
            <w:pPr>
              <w:jc w:val="center"/>
              <w:rPr>
                <w:rFonts w:ascii="Arial" w:hAnsi="Arial" w:cs="Arial"/>
                <w:b/>
                <w:sz w:val="16"/>
                <w:szCs w:val="16"/>
              </w:rPr>
            </w:pPr>
          </w:p>
          <w:p w:rsidR="00D50F03" w:rsidRPr="008970EA" w:rsidP="00D50F03" w14:paraId="6D965206" w14:textId="77777777">
            <w:pPr>
              <w:jc w:val="center"/>
              <w:rPr>
                <w:rFonts w:ascii="Arial" w:hAnsi="Arial" w:cs="Arial"/>
                <w:b/>
                <w:sz w:val="16"/>
                <w:szCs w:val="16"/>
              </w:rPr>
            </w:pPr>
          </w:p>
          <w:p w:rsidR="00D50F03" w:rsidP="001771C3" w14:paraId="065DD6D3" w14:textId="3AD5AFC9">
            <w:pPr>
              <w:jc w:val="center"/>
              <w:rPr>
                <w:rFonts w:ascii="Arial" w:hAnsi="Arial" w:cs="Arial"/>
                <w:sz w:val="16"/>
                <w:szCs w:val="16"/>
              </w:rPr>
            </w:pPr>
            <w:r w:rsidRPr="008970EA">
              <w:rPr>
                <w:rFonts w:ascii="Arial" w:hAnsi="Arial" w:cs="Arial"/>
                <w:b/>
                <w:sz w:val="16"/>
                <w:szCs w:val="16"/>
              </w:rPr>
              <w:t>(a) x (b) = (c)</w:t>
            </w:r>
          </w:p>
        </w:tc>
        <w:tc>
          <w:tcPr>
            <w:tcW w:w="990" w:type="dxa"/>
            <w:shd w:val="clear" w:color="auto" w:fill="C6D9F0" w:themeFill="text2" w:themeFillTint="33"/>
          </w:tcPr>
          <w:p w:rsidR="00D50F03" w:rsidRPr="008970EA" w:rsidP="00D50F03" w14:paraId="32C57262" w14:textId="77777777">
            <w:pPr>
              <w:tabs>
                <w:tab w:val="left" w:pos="-1176"/>
              </w:tabs>
              <w:jc w:val="center"/>
              <w:rPr>
                <w:rFonts w:ascii="Arial" w:hAnsi="Arial" w:cs="Arial"/>
                <w:b/>
                <w:sz w:val="16"/>
                <w:szCs w:val="16"/>
              </w:rPr>
            </w:pPr>
            <w:r w:rsidRPr="008970EA">
              <w:rPr>
                <w:rFonts w:ascii="Arial" w:hAnsi="Arial" w:cs="Arial"/>
                <w:b/>
                <w:sz w:val="16"/>
                <w:szCs w:val="16"/>
              </w:rPr>
              <w:t xml:space="preserve">Estimated Time </w:t>
            </w:r>
            <w:r>
              <w:rPr>
                <w:rFonts w:ascii="Arial" w:hAnsi="Arial" w:cs="Arial"/>
                <w:b/>
                <w:sz w:val="16"/>
                <w:szCs w:val="16"/>
              </w:rPr>
              <w:t>f</w:t>
            </w:r>
            <w:r w:rsidRPr="008970EA">
              <w:rPr>
                <w:rFonts w:ascii="Arial" w:hAnsi="Arial" w:cs="Arial"/>
                <w:b/>
                <w:sz w:val="16"/>
                <w:szCs w:val="16"/>
              </w:rPr>
              <w:t>or Response (hours)</w:t>
            </w:r>
          </w:p>
          <w:p w:rsidR="00D50F03" w:rsidRPr="008970EA" w:rsidP="00D50F03" w14:paraId="5BC1F490" w14:textId="77777777">
            <w:pPr>
              <w:tabs>
                <w:tab w:val="left" w:pos="-1176"/>
              </w:tabs>
              <w:jc w:val="center"/>
              <w:rPr>
                <w:rFonts w:ascii="Arial" w:hAnsi="Arial" w:cs="Arial"/>
                <w:b/>
                <w:sz w:val="16"/>
                <w:szCs w:val="16"/>
              </w:rPr>
            </w:pPr>
          </w:p>
          <w:p w:rsidR="00D50F03" w:rsidRPr="005E2FFD" w:rsidP="001771C3" w14:paraId="590723C2" w14:textId="3AD025C9">
            <w:pPr>
              <w:jc w:val="center"/>
              <w:rPr>
                <w:rFonts w:ascii="Arial" w:hAnsi="Arial" w:cs="Arial"/>
                <w:sz w:val="16"/>
                <w:szCs w:val="16"/>
              </w:rPr>
            </w:pPr>
            <w:r w:rsidRPr="008970EA">
              <w:rPr>
                <w:rFonts w:ascii="Arial" w:hAnsi="Arial" w:cs="Arial"/>
                <w:b/>
                <w:sz w:val="16"/>
                <w:szCs w:val="16"/>
              </w:rPr>
              <w:t>(d)</w:t>
            </w:r>
          </w:p>
        </w:tc>
        <w:tc>
          <w:tcPr>
            <w:tcW w:w="1260" w:type="dxa"/>
            <w:shd w:val="clear" w:color="auto" w:fill="C6D9F0" w:themeFill="text2" w:themeFillTint="33"/>
          </w:tcPr>
          <w:p w:rsidR="00D50F03" w:rsidRPr="008970EA" w:rsidP="00D50F03" w14:paraId="5E4651F4" w14:textId="77777777">
            <w:pPr>
              <w:tabs>
                <w:tab w:val="left" w:pos="-1176"/>
              </w:tabs>
              <w:jc w:val="center"/>
              <w:rPr>
                <w:rFonts w:ascii="Arial" w:hAnsi="Arial" w:cs="Arial"/>
                <w:b/>
                <w:sz w:val="16"/>
                <w:szCs w:val="16"/>
              </w:rPr>
            </w:pPr>
            <w:r w:rsidRPr="008970EA">
              <w:rPr>
                <w:rFonts w:ascii="Arial" w:hAnsi="Arial" w:cs="Arial"/>
                <w:b/>
                <w:sz w:val="16"/>
                <w:szCs w:val="16"/>
              </w:rPr>
              <w:t>Estimated Burden</w:t>
            </w:r>
          </w:p>
          <w:p w:rsidR="00D50F03" w:rsidRPr="008970EA" w:rsidP="00D50F03" w14:paraId="4AC2F7D9" w14:textId="77777777">
            <w:pPr>
              <w:tabs>
                <w:tab w:val="left" w:pos="-1176"/>
              </w:tabs>
              <w:jc w:val="center"/>
              <w:rPr>
                <w:rFonts w:ascii="Arial" w:hAnsi="Arial" w:cs="Arial"/>
                <w:b/>
                <w:sz w:val="16"/>
                <w:szCs w:val="16"/>
              </w:rPr>
            </w:pPr>
            <w:r w:rsidRPr="008970EA">
              <w:rPr>
                <w:rFonts w:ascii="Arial" w:hAnsi="Arial" w:cs="Arial"/>
                <w:b/>
                <w:sz w:val="16"/>
                <w:szCs w:val="16"/>
              </w:rPr>
              <w:t>(hour/year)</w:t>
            </w:r>
          </w:p>
          <w:p w:rsidR="00D50F03" w:rsidRPr="008970EA" w:rsidP="00D50F03" w14:paraId="34AB237D" w14:textId="77777777">
            <w:pPr>
              <w:tabs>
                <w:tab w:val="left" w:pos="-1176"/>
              </w:tabs>
              <w:jc w:val="center"/>
              <w:rPr>
                <w:rFonts w:ascii="Arial" w:hAnsi="Arial" w:cs="Arial"/>
                <w:b/>
                <w:sz w:val="16"/>
                <w:szCs w:val="16"/>
              </w:rPr>
            </w:pPr>
          </w:p>
          <w:p w:rsidR="00D50F03" w:rsidRPr="008970EA" w:rsidP="001771C3" w14:paraId="247D3C37" w14:textId="77777777">
            <w:pPr>
              <w:tabs>
                <w:tab w:val="left" w:pos="-1176"/>
              </w:tabs>
              <w:jc w:val="center"/>
              <w:rPr>
                <w:rFonts w:ascii="Arial" w:hAnsi="Arial" w:cs="Arial"/>
                <w:b/>
                <w:sz w:val="16"/>
                <w:szCs w:val="16"/>
              </w:rPr>
            </w:pPr>
          </w:p>
          <w:p w:rsidR="00D50F03" w:rsidP="001771C3" w14:paraId="01F3B1C8" w14:textId="4347D5E7">
            <w:pPr>
              <w:jc w:val="center"/>
              <w:rPr>
                <w:rFonts w:ascii="Arial" w:hAnsi="Arial" w:cs="Arial"/>
                <w:sz w:val="16"/>
                <w:szCs w:val="16"/>
              </w:rPr>
            </w:pPr>
            <w:r w:rsidRPr="008970EA">
              <w:rPr>
                <w:rFonts w:ascii="Arial" w:hAnsi="Arial" w:cs="Arial"/>
                <w:b/>
                <w:sz w:val="16"/>
                <w:szCs w:val="16"/>
              </w:rPr>
              <w:t>(c) x (d) = (e)</w:t>
            </w:r>
          </w:p>
        </w:tc>
        <w:tc>
          <w:tcPr>
            <w:tcW w:w="900" w:type="dxa"/>
            <w:shd w:val="clear" w:color="auto" w:fill="C6D9F0" w:themeFill="text2" w:themeFillTint="33"/>
          </w:tcPr>
          <w:p w:rsidR="00D50F03" w:rsidRPr="008970EA" w:rsidP="00D50F03" w14:paraId="615AB947" w14:textId="77777777">
            <w:pPr>
              <w:tabs>
                <w:tab w:val="left" w:pos="-1176"/>
              </w:tabs>
              <w:jc w:val="center"/>
              <w:rPr>
                <w:rFonts w:ascii="Arial" w:hAnsi="Arial" w:cs="Arial"/>
                <w:b/>
                <w:sz w:val="16"/>
                <w:szCs w:val="16"/>
              </w:rPr>
            </w:pPr>
            <w:r w:rsidRPr="008970EA">
              <w:rPr>
                <w:rFonts w:ascii="Arial" w:hAnsi="Arial" w:cs="Arial"/>
                <w:b/>
                <w:sz w:val="16"/>
                <w:szCs w:val="16"/>
              </w:rPr>
              <w:t>Rate</w:t>
            </w:r>
            <w:r>
              <w:rPr>
                <w:rFonts w:ascii="Arial" w:hAnsi="Arial" w:cs="Arial"/>
                <w:b/>
                <w:sz w:val="16"/>
                <w:szCs w:val="16"/>
                <w:vertAlign w:val="superscript"/>
              </w:rPr>
              <w:footnoteReference w:id="6"/>
            </w:r>
          </w:p>
          <w:p w:rsidR="00D50F03" w:rsidRPr="008970EA" w:rsidP="00D50F03" w14:paraId="7082BB2C" w14:textId="77777777">
            <w:pPr>
              <w:tabs>
                <w:tab w:val="left" w:pos="-1176"/>
              </w:tabs>
              <w:jc w:val="center"/>
              <w:rPr>
                <w:rFonts w:ascii="Arial" w:hAnsi="Arial" w:cs="Arial"/>
                <w:b/>
                <w:sz w:val="16"/>
                <w:szCs w:val="16"/>
              </w:rPr>
            </w:pPr>
            <w:r w:rsidRPr="008970EA">
              <w:rPr>
                <w:rFonts w:ascii="Arial" w:hAnsi="Arial" w:cs="Arial"/>
                <w:b/>
                <w:sz w:val="16"/>
                <w:szCs w:val="16"/>
              </w:rPr>
              <w:t>($/hour)</w:t>
            </w:r>
          </w:p>
          <w:p w:rsidR="00D50F03" w:rsidRPr="008970EA" w:rsidP="00D50F03" w14:paraId="625373C7" w14:textId="77777777">
            <w:pPr>
              <w:tabs>
                <w:tab w:val="left" w:pos="-1176"/>
              </w:tabs>
              <w:jc w:val="center"/>
              <w:rPr>
                <w:rFonts w:ascii="Arial" w:hAnsi="Arial" w:cs="Arial"/>
                <w:b/>
                <w:sz w:val="16"/>
                <w:szCs w:val="16"/>
              </w:rPr>
            </w:pPr>
          </w:p>
          <w:p w:rsidR="00D50F03" w:rsidRPr="008970EA" w:rsidP="00D50F03" w14:paraId="368D8F9B" w14:textId="77777777">
            <w:pPr>
              <w:tabs>
                <w:tab w:val="left" w:pos="-1176"/>
              </w:tabs>
              <w:jc w:val="center"/>
              <w:rPr>
                <w:rFonts w:ascii="Arial" w:hAnsi="Arial" w:cs="Arial"/>
                <w:b/>
                <w:sz w:val="16"/>
                <w:szCs w:val="16"/>
              </w:rPr>
            </w:pPr>
          </w:p>
          <w:p w:rsidR="00D50F03" w:rsidRPr="008970EA" w:rsidP="00D50F03" w14:paraId="6FCAFFE1" w14:textId="77777777">
            <w:pPr>
              <w:tabs>
                <w:tab w:val="left" w:pos="-1176"/>
              </w:tabs>
              <w:jc w:val="center"/>
              <w:rPr>
                <w:rFonts w:ascii="Arial" w:hAnsi="Arial" w:cs="Arial"/>
                <w:b/>
                <w:sz w:val="16"/>
                <w:szCs w:val="16"/>
              </w:rPr>
            </w:pPr>
          </w:p>
          <w:p w:rsidR="00D50F03" w:rsidRPr="005E2FFD" w:rsidP="001771C3" w14:paraId="7CF7F322" w14:textId="59C73B05">
            <w:pPr>
              <w:jc w:val="center"/>
              <w:rPr>
                <w:rFonts w:ascii="Arial" w:hAnsi="Arial" w:cs="Arial"/>
                <w:sz w:val="16"/>
                <w:szCs w:val="16"/>
              </w:rPr>
            </w:pPr>
            <w:r w:rsidRPr="008970EA">
              <w:rPr>
                <w:rFonts w:ascii="Arial" w:hAnsi="Arial" w:cs="Arial"/>
                <w:b/>
                <w:sz w:val="16"/>
                <w:szCs w:val="16"/>
              </w:rPr>
              <w:t>(f)</w:t>
            </w:r>
          </w:p>
        </w:tc>
        <w:tc>
          <w:tcPr>
            <w:tcW w:w="1260" w:type="dxa"/>
            <w:shd w:val="clear" w:color="auto" w:fill="C6D9F0" w:themeFill="text2" w:themeFillTint="33"/>
          </w:tcPr>
          <w:p w:rsidR="00D50F03" w:rsidRPr="008970EA" w:rsidP="00D50F03" w14:paraId="0F248B8C" w14:textId="77777777">
            <w:pPr>
              <w:tabs>
                <w:tab w:val="left" w:pos="-1176"/>
              </w:tabs>
              <w:jc w:val="center"/>
              <w:rPr>
                <w:rFonts w:ascii="Arial" w:hAnsi="Arial" w:cs="Arial"/>
                <w:b/>
                <w:sz w:val="16"/>
                <w:szCs w:val="16"/>
              </w:rPr>
            </w:pPr>
            <w:r w:rsidRPr="008970EA">
              <w:rPr>
                <w:rFonts w:ascii="Arial" w:hAnsi="Arial" w:cs="Arial"/>
                <w:b/>
                <w:sz w:val="16"/>
                <w:szCs w:val="16"/>
              </w:rPr>
              <w:t>Estimated Annual Respondent Cost Burden</w:t>
            </w:r>
          </w:p>
          <w:p w:rsidR="00D50F03" w:rsidRPr="008970EA" w:rsidP="00D50F03" w14:paraId="080A3DD3" w14:textId="77777777">
            <w:pPr>
              <w:tabs>
                <w:tab w:val="left" w:pos="-1176"/>
              </w:tabs>
              <w:jc w:val="center"/>
              <w:rPr>
                <w:rFonts w:ascii="Arial" w:hAnsi="Arial" w:cs="Arial"/>
                <w:b/>
                <w:sz w:val="16"/>
                <w:szCs w:val="16"/>
              </w:rPr>
            </w:pPr>
          </w:p>
          <w:p w:rsidR="00D50F03" w:rsidRPr="005E2FFD" w:rsidP="001771C3" w14:paraId="4F37695F" w14:textId="0BF27177">
            <w:pPr>
              <w:jc w:val="center"/>
              <w:rPr>
                <w:rFonts w:ascii="Arial" w:hAnsi="Arial" w:cs="Arial"/>
                <w:sz w:val="16"/>
                <w:szCs w:val="16"/>
              </w:rPr>
            </w:pPr>
            <w:r w:rsidRPr="008970EA">
              <w:rPr>
                <w:rFonts w:ascii="Arial" w:hAnsi="Arial" w:cs="Arial"/>
                <w:b/>
                <w:sz w:val="16"/>
                <w:szCs w:val="16"/>
              </w:rPr>
              <w:t>(e) x (f) = (g)</w:t>
            </w:r>
          </w:p>
        </w:tc>
      </w:tr>
      <w:tr w14:paraId="77FCE274" w14:textId="77777777" w:rsidTr="00152B81">
        <w:tblPrEx>
          <w:tblW w:w="10435" w:type="dxa"/>
          <w:tblLayout w:type="fixed"/>
          <w:tblLook w:val="04A0"/>
        </w:tblPrEx>
        <w:trPr>
          <w:trHeight w:val="636"/>
        </w:trPr>
        <w:tc>
          <w:tcPr>
            <w:tcW w:w="625" w:type="dxa"/>
            <w:vAlign w:val="center"/>
            <w:hideMark/>
          </w:tcPr>
          <w:p w:rsidR="005E2FFD" w:rsidRPr="00436B01" w:rsidP="005E2FFD" w14:paraId="61803487" w14:textId="289A9D6D">
            <w:pPr>
              <w:jc w:val="center"/>
              <w:rPr>
                <w:rFonts w:ascii="Arial" w:hAnsi="Arial" w:cs="Arial"/>
                <w:b/>
                <w:sz w:val="16"/>
                <w:szCs w:val="16"/>
              </w:rPr>
            </w:pPr>
            <w:r w:rsidRPr="00436B01">
              <w:rPr>
                <w:rFonts w:ascii="Arial" w:hAnsi="Arial" w:cs="Arial"/>
                <w:b/>
                <w:sz w:val="16"/>
                <w:szCs w:val="16"/>
              </w:rPr>
              <w:t>1</w:t>
            </w:r>
          </w:p>
        </w:tc>
        <w:tc>
          <w:tcPr>
            <w:tcW w:w="1890" w:type="dxa"/>
            <w:vAlign w:val="center"/>
            <w:hideMark/>
          </w:tcPr>
          <w:p w:rsidR="005E2FFD" w:rsidRPr="00240A35" w:rsidP="005E2FFD" w14:paraId="3643AE7A" w14:textId="22528E1D">
            <w:pPr>
              <w:rPr>
                <w:rFonts w:ascii="Arial" w:hAnsi="Arial" w:cs="Arial"/>
                <w:b/>
                <w:sz w:val="16"/>
                <w:szCs w:val="16"/>
              </w:rPr>
            </w:pPr>
            <w:r>
              <w:rPr>
                <w:rFonts w:ascii="Arial" w:hAnsi="Arial" w:cs="Arial"/>
                <w:sz w:val="16"/>
                <w:szCs w:val="16"/>
              </w:rPr>
              <w:t>Sequence Listing in Application</w:t>
            </w:r>
          </w:p>
        </w:tc>
        <w:tc>
          <w:tcPr>
            <w:tcW w:w="1260" w:type="dxa"/>
            <w:vAlign w:val="center"/>
            <w:hideMark/>
          </w:tcPr>
          <w:p w:rsidR="005E2FFD" w:rsidRPr="005E2FFD" w:rsidP="005E2FFD" w14:paraId="5D894952" w14:textId="28F5B4A4">
            <w:pPr>
              <w:jc w:val="right"/>
              <w:rPr>
                <w:rFonts w:ascii="Arial" w:hAnsi="Arial" w:cs="Arial"/>
                <w:sz w:val="16"/>
                <w:szCs w:val="16"/>
              </w:rPr>
            </w:pPr>
            <w:r>
              <w:rPr>
                <w:rFonts w:ascii="Arial" w:hAnsi="Arial" w:cs="Arial"/>
                <w:sz w:val="16"/>
                <w:szCs w:val="16"/>
              </w:rPr>
              <w:t>30,000</w:t>
            </w:r>
          </w:p>
        </w:tc>
        <w:tc>
          <w:tcPr>
            <w:tcW w:w="1170" w:type="dxa"/>
            <w:vAlign w:val="center"/>
          </w:tcPr>
          <w:p w:rsidR="005E2FFD" w:rsidRPr="005E2FFD" w:rsidP="005E2FFD" w14:paraId="76CEC82B" w14:textId="1CD05CA9">
            <w:pPr>
              <w:jc w:val="right"/>
              <w:rPr>
                <w:rFonts w:ascii="Arial" w:hAnsi="Arial" w:cs="Arial"/>
                <w:sz w:val="16"/>
                <w:szCs w:val="16"/>
              </w:rPr>
            </w:pPr>
            <w:r w:rsidRPr="005E2FFD">
              <w:rPr>
                <w:rFonts w:ascii="Arial" w:hAnsi="Arial" w:cs="Arial"/>
                <w:color w:val="000000"/>
                <w:sz w:val="16"/>
                <w:szCs w:val="16"/>
              </w:rPr>
              <w:t>1</w:t>
            </w:r>
          </w:p>
        </w:tc>
        <w:tc>
          <w:tcPr>
            <w:tcW w:w="1080" w:type="dxa"/>
            <w:vAlign w:val="center"/>
            <w:hideMark/>
          </w:tcPr>
          <w:p w:rsidR="005E2FFD" w:rsidRPr="005E2FFD" w:rsidP="005E2FFD" w14:paraId="75E223B6" w14:textId="1C0137A6">
            <w:pPr>
              <w:jc w:val="right"/>
              <w:rPr>
                <w:rFonts w:ascii="Arial" w:hAnsi="Arial" w:cs="Arial"/>
                <w:sz w:val="16"/>
                <w:szCs w:val="16"/>
              </w:rPr>
            </w:pPr>
            <w:r>
              <w:rPr>
                <w:rFonts w:ascii="Arial" w:hAnsi="Arial" w:cs="Arial"/>
                <w:sz w:val="16"/>
                <w:szCs w:val="16"/>
              </w:rPr>
              <w:t>30,000</w:t>
            </w:r>
          </w:p>
        </w:tc>
        <w:tc>
          <w:tcPr>
            <w:tcW w:w="990" w:type="dxa"/>
            <w:vAlign w:val="center"/>
            <w:hideMark/>
          </w:tcPr>
          <w:p w:rsidR="005E2FFD" w:rsidRPr="005E2FFD" w:rsidP="005E2FFD" w14:paraId="7F80F453" w14:textId="2F590F72">
            <w:pPr>
              <w:jc w:val="right"/>
              <w:rPr>
                <w:rFonts w:ascii="Arial" w:hAnsi="Arial" w:cs="Arial"/>
                <w:sz w:val="16"/>
                <w:szCs w:val="16"/>
              </w:rPr>
            </w:pPr>
            <w:r w:rsidRPr="005E2FFD">
              <w:rPr>
                <w:rFonts w:ascii="Arial" w:hAnsi="Arial" w:cs="Arial"/>
                <w:sz w:val="16"/>
                <w:szCs w:val="16"/>
              </w:rPr>
              <w:t>6</w:t>
            </w:r>
          </w:p>
        </w:tc>
        <w:tc>
          <w:tcPr>
            <w:tcW w:w="1260" w:type="dxa"/>
            <w:vAlign w:val="center"/>
            <w:hideMark/>
          </w:tcPr>
          <w:p w:rsidR="005E2FFD" w:rsidRPr="005E2FFD" w:rsidP="005E2FFD" w14:paraId="112A140F" w14:textId="476A0E00">
            <w:pPr>
              <w:jc w:val="right"/>
              <w:rPr>
                <w:rFonts w:ascii="Arial" w:hAnsi="Arial" w:cs="Arial"/>
                <w:sz w:val="16"/>
                <w:szCs w:val="16"/>
              </w:rPr>
            </w:pPr>
            <w:r>
              <w:rPr>
                <w:rFonts w:ascii="Arial" w:hAnsi="Arial" w:cs="Arial"/>
                <w:sz w:val="16"/>
                <w:szCs w:val="16"/>
              </w:rPr>
              <w:t>180,000</w:t>
            </w:r>
          </w:p>
        </w:tc>
        <w:tc>
          <w:tcPr>
            <w:tcW w:w="900" w:type="dxa"/>
            <w:vAlign w:val="center"/>
            <w:hideMark/>
          </w:tcPr>
          <w:p w:rsidR="005E2FFD" w:rsidRPr="005E2FFD" w:rsidP="005E2FFD" w14:paraId="16503953" w14:textId="6236EB76">
            <w:pPr>
              <w:jc w:val="right"/>
              <w:rPr>
                <w:rFonts w:ascii="Arial" w:hAnsi="Arial" w:cs="Arial"/>
                <w:sz w:val="16"/>
                <w:szCs w:val="16"/>
              </w:rPr>
            </w:pPr>
            <w:r w:rsidRPr="005E2FFD">
              <w:rPr>
                <w:rFonts w:ascii="Arial" w:hAnsi="Arial" w:cs="Arial"/>
                <w:sz w:val="16"/>
                <w:szCs w:val="16"/>
              </w:rPr>
              <w:t>$447</w:t>
            </w:r>
          </w:p>
        </w:tc>
        <w:tc>
          <w:tcPr>
            <w:tcW w:w="1260" w:type="dxa"/>
            <w:vAlign w:val="center"/>
            <w:hideMark/>
          </w:tcPr>
          <w:p w:rsidR="005E2FFD" w:rsidRPr="005E2FFD" w:rsidP="005E2FFD" w14:paraId="1EB3EFA2" w14:textId="3EBD4640">
            <w:pPr>
              <w:jc w:val="right"/>
              <w:rPr>
                <w:rFonts w:ascii="Arial" w:hAnsi="Arial" w:cs="Arial"/>
                <w:sz w:val="16"/>
                <w:szCs w:val="16"/>
              </w:rPr>
            </w:pPr>
            <w:r w:rsidRPr="005E2FFD">
              <w:rPr>
                <w:rFonts w:ascii="Arial" w:hAnsi="Arial" w:cs="Arial"/>
                <w:sz w:val="16"/>
                <w:szCs w:val="16"/>
              </w:rPr>
              <w:t>$</w:t>
            </w:r>
            <w:r w:rsidR="004657E8">
              <w:rPr>
                <w:rFonts w:ascii="Arial" w:hAnsi="Arial" w:cs="Arial"/>
                <w:sz w:val="16"/>
                <w:szCs w:val="16"/>
              </w:rPr>
              <w:t>80,460,000</w:t>
            </w:r>
          </w:p>
        </w:tc>
      </w:tr>
      <w:tr w14:paraId="6D3A0D3C" w14:textId="77777777" w:rsidTr="006E2E84">
        <w:tblPrEx>
          <w:tblW w:w="10435" w:type="dxa"/>
          <w:tblLayout w:type="fixed"/>
          <w:tblLook w:val="04A0"/>
        </w:tblPrEx>
        <w:trPr>
          <w:trHeight w:val="300"/>
        </w:trPr>
        <w:tc>
          <w:tcPr>
            <w:tcW w:w="625" w:type="dxa"/>
            <w:noWrap/>
            <w:hideMark/>
          </w:tcPr>
          <w:p w:rsidR="005E2FFD" w:rsidRPr="00240A35" w:rsidP="005E2FFD" w14:paraId="3B887CB8" w14:textId="77777777">
            <w:pPr>
              <w:jc w:val="both"/>
              <w:rPr>
                <w:rFonts w:ascii="Arial" w:hAnsi="Arial" w:cs="Arial"/>
                <w:sz w:val="16"/>
                <w:szCs w:val="16"/>
              </w:rPr>
            </w:pPr>
            <w:r w:rsidRPr="00240A35">
              <w:rPr>
                <w:rFonts w:ascii="Arial" w:hAnsi="Arial" w:cs="Arial"/>
                <w:sz w:val="16"/>
                <w:szCs w:val="16"/>
              </w:rPr>
              <w:t> </w:t>
            </w:r>
          </w:p>
        </w:tc>
        <w:tc>
          <w:tcPr>
            <w:tcW w:w="1890" w:type="dxa"/>
            <w:noWrap/>
            <w:vAlign w:val="center"/>
            <w:hideMark/>
          </w:tcPr>
          <w:p w:rsidR="005E2FFD" w:rsidRPr="00240A35" w:rsidP="005E2FFD" w14:paraId="7E256CFE" w14:textId="062D2F82">
            <w:pPr>
              <w:jc w:val="both"/>
              <w:rPr>
                <w:rFonts w:ascii="Arial" w:hAnsi="Arial" w:cs="Arial"/>
                <w:b/>
                <w:sz w:val="16"/>
                <w:szCs w:val="16"/>
              </w:rPr>
            </w:pPr>
            <w:r>
              <w:rPr>
                <w:rFonts w:ascii="Arial" w:hAnsi="Arial" w:cs="Arial"/>
                <w:b/>
                <w:sz w:val="16"/>
                <w:szCs w:val="16"/>
              </w:rPr>
              <w:t>Totals</w:t>
            </w:r>
          </w:p>
        </w:tc>
        <w:tc>
          <w:tcPr>
            <w:tcW w:w="1260" w:type="dxa"/>
            <w:noWrap/>
            <w:vAlign w:val="center"/>
            <w:hideMark/>
          </w:tcPr>
          <w:p w:rsidR="005E2FFD" w:rsidRPr="005E2FFD" w:rsidP="005E2FFD" w14:paraId="7CD3376B" w14:textId="00D15706">
            <w:pPr>
              <w:jc w:val="right"/>
              <w:rPr>
                <w:rFonts w:ascii="Arial" w:hAnsi="Arial" w:cs="Arial"/>
                <w:b/>
                <w:sz w:val="16"/>
                <w:szCs w:val="16"/>
              </w:rPr>
            </w:pPr>
            <w:r>
              <w:rPr>
                <w:rFonts w:ascii="Arial" w:hAnsi="Arial" w:cs="Arial"/>
                <w:b/>
                <w:sz w:val="16"/>
                <w:szCs w:val="16"/>
              </w:rPr>
              <w:t>30,000</w:t>
            </w:r>
          </w:p>
        </w:tc>
        <w:tc>
          <w:tcPr>
            <w:tcW w:w="1170" w:type="dxa"/>
            <w:vAlign w:val="center"/>
          </w:tcPr>
          <w:p w:rsidR="005E2FFD" w:rsidRPr="005E2FFD" w:rsidP="005E2FFD" w14:paraId="4E01FA7B" w14:textId="2DF25E03">
            <w:pPr>
              <w:jc w:val="right"/>
              <w:rPr>
                <w:rFonts w:ascii="Arial" w:hAnsi="Arial" w:cs="Arial"/>
                <w:b/>
                <w:sz w:val="16"/>
                <w:szCs w:val="16"/>
              </w:rPr>
            </w:pPr>
            <w:r w:rsidRPr="005E2FFD">
              <w:rPr>
                <w:rFonts w:ascii="Arial" w:hAnsi="Arial" w:cs="Arial"/>
                <w:b/>
                <w:sz w:val="16"/>
                <w:szCs w:val="16"/>
              </w:rPr>
              <w:t>- - -</w:t>
            </w:r>
          </w:p>
        </w:tc>
        <w:tc>
          <w:tcPr>
            <w:tcW w:w="1080" w:type="dxa"/>
            <w:noWrap/>
            <w:vAlign w:val="center"/>
            <w:hideMark/>
          </w:tcPr>
          <w:p w:rsidR="005E2FFD" w:rsidRPr="005E2FFD" w:rsidP="005E2FFD" w14:paraId="3CF32F34" w14:textId="7A043374">
            <w:pPr>
              <w:jc w:val="right"/>
              <w:rPr>
                <w:rFonts w:ascii="Arial" w:hAnsi="Arial" w:cs="Arial"/>
                <w:b/>
                <w:sz w:val="16"/>
                <w:szCs w:val="16"/>
              </w:rPr>
            </w:pPr>
            <w:r>
              <w:rPr>
                <w:rFonts w:ascii="Arial" w:hAnsi="Arial" w:cs="Arial"/>
                <w:b/>
                <w:sz w:val="16"/>
                <w:szCs w:val="16"/>
              </w:rPr>
              <w:t>30,000</w:t>
            </w:r>
          </w:p>
        </w:tc>
        <w:tc>
          <w:tcPr>
            <w:tcW w:w="990" w:type="dxa"/>
            <w:noWrap/>
            <w:vAlign w:val="center"/>
            <w:hideMark/>
          </w:tcPr>
          <w:p w:rsidR="005E2FFD" w:rsidRPr="005E2FFD" w:rsidP="005E2FFD" w14:paraId="5866B4A8" w14:textId="53C20DE6">
            <w:pPr>
              <w:jc w:val="right"/>
              <w:rPr>
                <w:rFonts w:ascii="Arial" w:hAnsi="Arial" w:cs="Arial"/>
                <w:b/>
                <w:sz w:val="16"/>
                <w:szCs w:val="16"/>
              </w:rPr>
            </w:pPr>
            <w:r w:rsidRPr="005E2FFD">
              <w:rPr>
                <w:rFonts w:ascii="Arial" w:hAnsi="Arial" w:cs="Arial"/>
                <w:b/>
                <w:sz w:val="16"/>
                <w:szCs w:val="16"/>
              </w:rPr>
              <w:t>- - -</w:t>
            </w:r>
          </w:p>
        </w:tc>
        <w:tc>
          <w:tcPr>
            <w:tcW w:w="1260" w:type="dxa"/>
            <w:noWrap/>
            <w:vAlign w:val="center"/>
            <w:hideMark/>
          </w:tcPr>
          <w:p w:rsidR="005E2FFD" w:rsidRPr="005E2FFD" w:rsidP="005E2FFD" w14:paraId="772D77E8" w14:textId="0E36E4C7">
            <w:pPr>
              <w:jc w:val="right"/>
              <w:rPr>
                <w:rFonts w:ascii="Arial" w:hAnsi="Arial" w:cs="Arial"/>
                <w:b/>
                <w:sz w:val="16"/>
                <w:szCs w:val="16"/>
              </w:rPr>
            </w:pPr>
            <w:r>
              <w:rPr>
                <w:rFonts w:ascii="Arial" w:hAnsi="Arial" w:cs="Arial"/>
                <w:b/>
                <w:sz w:val="16"/>
                <w:szCs w:val="16"/>
              </w:rPr>
              <w:t>180,000</w:t>
            </w:r>
          </w:p>
        </w:tc>
        <w:tc>
          <w:tcPr>
            <w:tcW w:w="900" w:type="dxa"/>
            <w:noWrap/>
            <w:vAlign w:val="center"/>
            <w:hideMark/>
          </w:tcPr>
          <w:p w:rsidR="005E2FFD" w:rsidRPr="005E2FFD" w:rsidP="005E2FFD" w14:paraId="265DE82F" w14:textId="1B9C358C">
            <w:pPr>
              <w:jc w:val="right"/>
              <w:rPr>
                <w:rFonts w:ascii="Arial" w:hAnsi="Arial" w:cs="Arial"/>
                <w:b/>
                <w:sz w:val="16"/>
                <w:szCs w:val="16"/>
              </w:rPr>
            </w:pPr>
            <w:r w:rsidRPr="005E2FFD">
              <w:rPr>
                <w:rFonts w:ascii="Arial" w:hAnsi="Arial" w:cs="Arial"/>
                <w:b/>
                <w:sz w:val="16"/>
                <w:szCs w:val="16"/>
              </w:rPr>
              <w:t>- - -</w:t>
            </w:r>
          </w:p>
        </w:tc>
        <w:tc>
          <w:tcPr>
            <w:tcW w:w="1260" w:type="dxa"/>
            <w:noWrap/>
            <w:vAlign w:val="center"/>
            <w:hideMark/>
          </w:tcPr>
          <w:p w:rsidR="005E2FFD" w:rsidRPr="005E2FFD" w:rsidP="005E2FFD" w14:paraId="7BA111F0" w14:textId="28E78980">
            <w:pPr>
              <w:jc w:val="right"/>
              <w:rPr>
                <w:rFonts w:ascii="Arial" w:hAnsi="Arial" w:cs="Arial"/>
                <w:b/>
                <w:sz w:val="16"/>
                <w:szCs w:val="16"/>
              </w:rPr>
            </w:pPr>
            <w:r w:rsidRPr="005E2FFD">
              <w:rPr>
                <w:rFonts w:ascii="Arial" w:hAnsi="Arial" w:cs="Arial"/>
                <w:b/>
                <w:sz w:val="16"/>
                <w:szCs w:val="16"/>
              </w:rPr>
              <w:t>$</w:t>
            </w:r>
            <w:r w:rsidR="004657E8">
              <w:rPr>
                <w:rFonts w:ascii="Arial" w:hAnsi="Arial" w:cs="Arial"/>
                <w:b/>
                <w:sz w:val="16"/>
                <w:szCs w:val="16"/>
              </w:rPr>
              <w:t>80,460,000</w:t>
            </w:r>
          </w:p>
        </w:tc>
      </w:tr>
    </w:tbl>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5E2FFD" w14:paraId="2D01BEF9" w14:textId="5D77E62B">
      <w:pPr>
        <w:pStyle w:val="ListParagraph"/>
        <w:widowControl/>
        <w:numPr>
          <w:ilvl w:val="0"/>
          <w:numId w:val="13"/>
        </w:numPr>
        <w:tabs>
          <w:tab w:val="left" w:pos="-984"/>
          <w:tab w:val="left" w:pos="-720"/>
        </w:tabs>
        <w:ind w:left="360"/>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5E2FFD"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5E2FFD"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rsidRPr="002E7B48">
        <w:rPr>
          <w:rFonts w:ascii="Arial" w:hAnsi="Arial" w:cs="Arial"/>
          <w:b/>
          <w:szCs w:val="20"/>
        </w:rPr>
        <w:t>economic or regulatory impact analysis associated with the rulemaking containing the information collection, as appropriate.</w:t>
      </w:r>
    </w:p>
    <w:p w:rsidR="00567B74" w:rsidP="00636EDA" w14:paraId="7D28C1DF"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E614F2" w:rsidP="00636EDA" w14:paraId="1E09C2E0" w14:textId="6EE5600A">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both fees paid by the public and associated postage costs for mailing items to USPTO.  </w:t>
      </w:r>
    </w:p>
    <w:p w:rsidR="00E614F2" w:rsidP="00636EDA" w14:paraId="7785DBFF" w14:textId="14F4FF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240A35" w:rsidRPr="00241134" w:rsidP="00636EDA" w14:paraId="15FF9084" w14:textId="131A4DA1">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collection is estimated to be </w:t>
      </w:r>
      <w:r w:rsidRPr="002A37BB">
        <w:rPr>
          <w:bCs/>
          <w:color w:val="auto"/>
        </w:rPr>
        <w:t>$</w:t>
      </w:r>
      <w:r w:rsidR="00EF53E1">
        <w:rPr>
          <w:bCs/>
          <w:color w:val="auto"/>
        </w:rPr>
        <w:t>336,97</w:t>
      </w:r>
      <w:r w:rsidR="00802C6C">
        <w:rPr>
          <w:bCs/>
          <w:color w:val="auto"/>
        </w:rPr>
        <w:t>3</w:t>
      </w:r>
      <w:r w:rsidR="00F946B2">
        <w:rPr>
          <w:bCs/>
          <w:color w:val="auto"/>
        </w:rPr>
        <w:t xml:space="preserve"> </w:t>
      </w:r>
      <w:r w:rsidRPr="002A37BB">
        <w:rPr>
          <w:bCs/>
          <w:color w:val="auto"/>
        </w:rPr>
        <w:t xml:space="preserve">per year, which includes </w:t>
      </w:r>
      <w:r w:rsidRPr="00740406">
        <w:rPr>
          <w:color w:val="auto"/>
        </w:rPr>
        <w:t>$</w:t>
      </w:r>
      <w:r w:rsidR="00F946B2">
        <w:rPr>
          <w:color w:val="auto"/>
        </w:rPr>
        <w:t>33</w:t>
      </w:r>
      <w:r w:rsidR="00C75A39">
        <w:rPr>
          <w:color w:val="auto"/>
        </w:rPr>
        <w:t xml:space="preserve">3,853 </w:t>
      </w:r>
      <w:r w:rsidRPr="002A37BB">
        <w:rPr>
          <w:bCs/>
          <w:color w:val="auto"/>
        </w:rPr>
        <w:t>in fees and $</w:t>
      </w:r>
      <w:r w:rsidR="0061133F">
        <w:t>3</w:t>
      </w:r>
      <w:r w:rsidR="00D22292">
        <w:t>,</w:t>
      </w:r>
      <w:r w:rsidR="00C75A39">
        <w:t>120</w:t>
      </w:r>
      <w:r w:rsidRPr="002A37BB" w:rsidR="0061133F">
        <w:rPr>
          <w:color w:val="auto"/>
        </w:rPr>
        <w:t xml:space="preserve"> </w:t>
      </w:r>
      <w:r w:rsidRPr="002A37BB">
        <w:rPr>
          <w:color w:val="auto"/>
        </w:rPr>
        <w:t xml:space="preserve">in </w:t>
      </w:r>
      <w:r w:rsidRPr="002A37BB">
        <w:rPr>
          <w:bCs/>
          <w:color w:val="auto"/>
        </w:rPr>
        <w:t>postage.</w:t>
      </w:r>
    </w:p>
    <w:p w:rsidR="00636EDA" w:rsidP="00636EDA" w14:paraId="79D4A139" w14:textId="77777777">
      <w:pPr>
        <w:widowControl/>
        <w:tabs>
          <w:tab w:val="left" w:pos="-984"/>
          <w:tab w:val="left" w:pos="-720"/>
          <w:tab w:val="left" w:pos="720"/>
        </w:tabs>
        <w:jc w:val="both"/>
        <w:rPr>
          <w:rFonts w:ascii="Arial" w:hAnsi="Arial" w:cs="Arial"/>
          <w:color w:val="0000FF"/>
        </w:rPr>
      </w:pPr>
    </w:p>
    <w:p w:rsidR="00636EDA" w:rsidP="00636EDA" w14:paraId="79D4A13A" w14:textId="1920F690">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Pr>
          <w:rFonts w:ascii="Arial" w:hAnsi="Arial"/>
          <w:u w:val="single"/>
        </w:rPr>
        <w:t xml:space="preserve">Filing </w:t>
      </w:r>
      <w:r w:rsidRPr="00DF130C">
        <w:rPr>
          <w:rFonts w:ascii="Arial" w:hAnsi="Arial"/>
          <w:u w:val="single"/>
        </w:rPr>
        <w:t>Fees</w:t>
      </w:r>
    </w:p>
    <w:p w:rsidR="00636EDA" w:rsidRPr="003664AC" w:rsidP="00636EDA" w14:paraId="79D4A13B"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5E286E" w:rsidRPr="005228F8" w:rsidP="005E286E" w14:paraId="194A376E" w14:textId="77777777">
      <w:pPr>
        <w:widowControl/>
        <w:tabs>
          <w:tab w:val="left" w:pos="-1176"/>
        </w:tabs>
        <w:jc w:val="both"/>
        <w:rPr>
          <w:rFonts w:ascii="Arial" w:hAnsi="Arial" w:cs="Arial"/>
          <w:i/>
          <w:iCs/>
        </w:rPr>
      </w:pPr>
      <w:r w:rsidRPr="005228F8">
        <w:rPr>
          <w:rFonts w:ascii="Arial" w:hAnsi="Arial" w:cs="Arial"/>
          <w:i/>
          <w:iCs/>
        </w:rPr>
        <w:t>Sequence listings for applications filed on or after July 1, 2022</w:t>
      </w:r>
    </w:p>
    <w:p w:rsidR="005E286E" w:rsidP="005E286E" w14:paraId="4F3D452F" w14:textId="77777777">
      <w:pPr>
        <w:widowControl/>
        <w:tabs>
          <w:tab w:val="left" w:pos="-1176"/>
        </w:tabs>
        <w:jc w:val="both"/>
        <w:rPr>
          <w:rFonts w:ascii="Arial" w:hAnsi="Arial" w:cs="Arial"/>
        </w:rPr>
      </w:pPr>
    </w:p>
    <w:p w:rsidR="005E286E" w:rsidRPr="00C9111A" w:rsidP="005E286E" w14:paraId="7C940E30" w14:textId="16F58A1D">
      <w:pPr>
        <w:widowControl/>
        <w:tabs>
          <w:tab w:val="left" w:pos="-1176"/>
        </w:tabs>
        <w:jc w:val="both"/>
        <w:rPr>
          <w:rFonts w:ascii="Arial" w:hAnsi="Arial" w:cs="Arial"/>
        </w:rPr>
      </w:pPr>
      <w:r w:rsidRPr="007823CF">
        <w:rPr>
          <w:rFonts w:ascii="Arial" w:hAnsi="Arial" w:cs="Arial"/>
        </w:rPr>
        <w:t xml:space="preserve">Applicants must submit sequence listings as XML files, either by electronically transmitting the XML file through Patent Center, where the file does not exceed 100MB without compression, or on read-only optical discs. Accordingly, the size fees for excess pages under 35 U.S.C. 41(a)(1)(G) and 37 CFR </w:t>
      </w:r>
      <w:r w:rsidRPr="00773E2C" w:rsidR="001F4478">
        <w:rPr>
          <w:rFonts w:ascii="Arial" w:hAnsi="Arial" w:cs="Arial"/>
        </w:rPr>
        <w:t>§§</w:t>
      </w:r>
      <w:r w:rsidR="001F4478">
        <w:rPr>
          <w:rFonts w:ascii="Arial" w:hAnsi="Arial" w:cs="Arial"/>
        </w:rPr>
        <w:t xml:space="preserve"> </w:t>
      </w:r>
      <w:r w:rsidRPr="007823CF">
        <w:rPr>
          <w:rFonts w:ascii="Arial" w:hAnsi="Arial" w:cs="Arial"/>
        </w:rPr>
        <w:t>1.16(s), 1.52(f), and 1.492(j), from which XML file submissions via Patent Center or read-only optical discs are excluded, do not apply to sequence listings filed in applications having a filing date of on or after July 1, 2022.</w:t>
      </w:r>
    </w:p>
    <w:p w:rsidR="005E286E" w:rsidRPr="005C6DBB" w:rsidP="00A03446" w14:paraId="4B8A35F3" w14:textId="2FE942E2">
      <w:pPr>
        <w:pStyle w:val="NoSpacing"/>
        <w:jc w:val="both"/>
        <w:rPr>
          <w:rFonts w:ascii="Arial" w:hAnsi="Arial" w:cs="Arial"/>
          <w:sz w:val="24"/>
          <w:szCs w:val="24"/>
        </w:rPr>
      </w:pPr>
    </w:p>
    <w:p w:rsidR="00B53FAD" w:rsidRPr="00C9111A" w:rsidP="00B53FAD" w14:paraId="395034A6" w14:textId="77777777">
      <w:pPr>
        <w:widowControl/>
        <w:tabs>
          <w:tab w:val="left" w:pos="-1176"/>
        </w:tabs>
        <w:jc w:val="both"/>
        <w:rPr>
          <w:rFonts w:ascii="Arial" w:hAnsi="Arial" w:cs="Arial"/>
        </w:rPr>
      </w:pPr>
      <w:r w:rsidRPr="00C9111A">
        <w:rPr>
          <w:rFonts w:ascii="Arial" w:hAnsi="Arial" w:cs="Arial"/>
          <w:i/>
          <w:iCs/>
        </w:rPr>
        <w:t>Sequence listings for applications filed on or before June 30, 2022</w:t>
      </w:r>
    </w:p>
    <w:p w:rsidR="00B53FAD" w:rsidRPr="00C9111A" w:rsidP="00B53FAD" w14:paraId="55009C1F" w14:textId="77777777">
      <w:pPr>
        <w:widowControl/>
        <w:tabs>
          <w:tab w:val="left" w:pos="-1176"/>
        </w:tabs>
        <w:jc w:val="both"/>
        <w:rPr>
          <w:rFonts w:ascii="Arial" w:hAnsi="Arial" w:cs="Arial"/>
        </w:rPr>
      </w:pPr>
    </w:p>
    <w:p w:rsidR="00A93989" w:rsidRPr="00A93989" w:rsidP="00A93989" w14:paraId="444E4713" w14:textId="14793A6A">
      <w:pPr>
        <w:widowControl/>
        <w:tabs>
          <w:tab w:val="left" w:pos="-1176"/>
        </w:tabs>
        <w:jc w:val="both"/>
        <w:rPr>
          <w:rFonts w:ascii="Arial" w:hAnsi="Arial" w:eastAsiaTheme="minorHAnsi" w:cs="Arial"/>
        </w:rPr>
      </w:pPr>
      <w:r w:rsidRPr="00A93989">
        <w:rPr>
          <w:rFonts w:ascii="Arial" w:hAnsi="Arial" w:eastAsiaTheme="minorHAnsi" w:cs="Arial"/>
        </w:rPr>
        <w:t>Sequence listings may still be filed in applications having a filing date of on or before June 30, 2022, as amendments that meet the requirements of 37 CFR</w:t>
      </w:r>
      <w:r w:rsidR="001F4478">
        <w:rPr>
          <w:rFonts w:ascii="Arial" w:hAnsi="Arial" w:eastAsiaTheme="minorHAnsi" w:cs="Arial"/>
        </w:rPr>
        <w:t xml:space="preserve"> </w:t>
      </w:r>
      <w:r w:rsidRPr="00773E2C" w:rsidR="001F4478">
        <w:rPr>
          <w:rFonts w:ascii="Arial" w:hAnsi="Arial" w:cs="Arial"/>
        </w:rPr>
        <w:t>§</w:t>
      </w:r>
      <w:r w:rsidRPr="00A93989">
        <w:rPr>
          <w:rFonts w:ascii="Arial" w:hAnsi="Arial" w:eastAsiaTheme="minorHAnsi" w:cs="Arial"/>
        </w:rPr>
        <w:t xml:space="preserve"> 1.825. The USPTO prefers that such an amendment be submitted as an ASCII plain text file via Patent Center or a read-only optical disc. If so, the size fees for excess pages under 35 U.S.C. 41(a)(1)(G) and 37 CFR </w:t>
      </w:r>
      <w:r w:rsidRPr="00773E2C" w:rsidR="001F4478">
        <w:rPr>
          <w:rFonts w:ascii="Arial" w:hAnsi="Arial" w:cs="Arial"/>
        </w:rPr>
        <w:t>§§</w:t>
      </w:r>
      <w:r w:rsidR="001F4478">
        <w:rPr>
          <w:rFonts w:ascii="Arial" w:hAnsi="Arial" w:cs="Arial"/>
        </w:rPr>
        <w:t xml:space="preserve"> </w:t>
      </w:r>
      <w:r w:rsidRPr="00A93989">
        <w:rPr>
          <w:rFonts w:ascii="Arial" w:hAnsi="Arial" w:eastAsiaTheme="minorHAnsi" w:cs="Arial"/>
        </w:rPr>
        <w:t>1.16(s) and 1.52(f), from which ASCII plain text file submissions via Patent Center or read-only optical discs are excluded, do not apply.</w:t>
      </w:r>
    </w:p>
    <w:p w:rsidR="00A93989" w:rsidP="00A93989" w14:paraId="4631340E" w14:textId="77777777">
      <w:pPr>
        <w:widowControl/>
        <w:tabs>
          <w:tab w:val="left" w:pos="-1176"/>
        </w:tabs>
        <w:jc w:val="both"/>
        <w:rPr>
          <w:rFonts w:ascii="Arial" w:hAnsi="Arial" w:eastAsiaTheme="minorHAnsi" w:cs="Arial"/>
        </w:rPr>
      </w:pPr>
    </w:p>
    <w:p w:rsidR="00A93989" w:rsidRPr="00A93989" w:rsidP="00A93989" w14:paraId="0A09737B" w14:textId="63E69E1F">
      <w:pPr>
        <w:widowControl/>
        <w:tabs>
          <w:tab w:val="left" w:pos="-1176"/>
        </w:tabs>
        <w:jc w:val="both"/>
        <w:rPr>
          <w:rFonts w:ascii="Arial" w:hAnsi="Arial" w:eastAsiaTheme="minorHAnsi" w:cs="Arial"/>
        </w:rPr>
      </w:pPr>
      <w:r w:rsidRPr="00A93989">
        <w:rPr>
          <w:rFonts w:ascii="Arial" w:hAnsi="Arial" w:eastAsiaTheme="minorHAnsi" w:cs="Arial"/>
        </w:rPr>
        <w:t>However, the USPTO permits the amendment to be submitted electronically through Patent Center as a PDF or on paper. When doing so, the submission may incur a size fee for excess pages under 35 U.S.C. 41(a)(1)(G) and 37</w:t>
      </w:r>
      <w:r w:rsidR="001F4478">
        <w:rPr>
          <w:rFonts w:ascii="Arial" w:hAnsi="Arial" w:eastAsiaTheme="minorHAnsi" w:cs="Arial"/>
        </w:rPr>
        <w:t xml:space="preserve"> </w:t>
      </w:r>
      <w:r w:rsidRPr="00773E2C" w:rsidR="001F4478">
        <w:rPr>
          <w:rFonts w:ascii="Arial" w:hAnsi="Arial" w:cs="Arial"/>
        </w:rPr>
        <w:t>§§</w:t>
      </w:r>
      <w:r w:rsidRPr="00A93989">
        <w:rPr>
          <w:rFonts w:ascii="Arial" w:hAnsi="Arial" w:eastAsiaTheme="minorHAnsi" w:cs="Arial"/>
        </w:rPr>
        <w:t xml:space="preserve"> CFR 1.16(s) and 1.52(f).</w:t>
      </w:r>
    </w:p>
    <w:p w:rsidR="00A93989" w:rsidP="00A93989" w14:paraId="5727BD29" w14:textId="77777777">
      <w:pPr>
        <w:pStyle w:val="NoSpacing"/>
        <w:jc w:val="both"/>
        <w:rPr>
          <w:rFonts w:ascii="Arial" w:hAnsi="Arial" w:cs="Arial"/>
        </w:rPr>
      </w:pPr>
    </w:p>
    <w:p w:rsidR="00A93989" w:rsidRPr="00A93989" w:rsidP="00A93989" w14:paraId="77039026" w14:textId="66EFEE78">
      <w:pPr>
        <w:pStyle w:val="NoSpacing"/>
        <w:jc w:val="both"/>
        <w:rPr>
          <w:rFonts w:ascii="Arial" w:hAnsi="Arial" w:cs="Arial"/>
          <w:sz w:val="24"/>
          <w:szCs w:val="24"/>
        </w:rPr>
      </w:pPr>
      <w:r w:rsidRPr="001C3701">
        <w:rPr>
          <w:rFonts w:ascii="Arial" w:hAnsi="Arial" w:cs="Arial"/>
          <w:sz w:val="24"/>
          <w:szCs w:val="24"/>
        </w:rPr>
        <w:t xml:space="preserve">Specifically, under 37 CFR </w:t>
      </w:r>
      <w:r w:rsidRPr="001C3701" w:rsidR="001F4478">
        <w:rPr>
          <w:rFonts w:ascii="Arial" w:hAnsi="Arial" w:cs="Arial"/>
          <w:sz w:val="24"/>
          <w:szCs w:val="24"/>
        </w:rPr>
        <w:t xml:space="preserve">§ </w:t>
      </w:r>
      <w:r w:rsidRPr="001C3701">
        <w:rPr>
          <w:rFonts w:ascii="Arial" w:hAnsi="Arial" w:cs="Arial"/>
          <w:sz w:val="24"/>
          <w:szCs w:val="24"/>
        </w:rPr>
        <w:t xml:space="preserve">1.16(s), if a patent application inclusive of a sequence listing amendment filed as a PDF or on paper exceeds 100 pages, the application size fee is $450 ($180 for small entities, $90 for micro entities) for each additional 50 pages or fraction thereof. For the purposes of this calculation, the USPTO assumes that the average length of a sequence listing filed as a PDF or on paper is 150 pages, which would result in a total size fee of three times the $450 application size fee under 37 CFR </w:t>
      </w:r>
      <w:r w:rsidRPr="001C3701" w:rsidR="001F4478">
        <w:rPr>
          <w:rFonts w:ascii="Arial" w:hAnsi="Arial" w:cs="Arial"/>
          <w:sz w:val="24"/>
          <w:szCs w:val="24"/>
        </w:rPr>
        <w:t>§</w:t>
      </w:r>
      <w:r w:rsidR="001F4478">
        <w:rPr>
          <w:rFonts w:ascii="Arial" w:hAnsi="Arial" w:cs="Arial"/>
        </w:rPr>
        <w:t xml:space="preserve"> </w:t>
      </w:r>
      <w:r w:rsidRPr="001C3701">
        <w:rPr>
          <w:rFonts w:ascii="Arial" w:hAnsi="Arial" w:cs="Arial"/>
          <w:sz w:val="24"/>
          <w:szCs w:val="24"/>
        </w:rPr>
        <w:t xml:space="preserve">1.16(s), i.e., $1,350 ($540 for small entities, $270 for micro entities) for applications that are at least 100 pages long prior to the sequence listing amendment. The USPTO estimates that 67 respondents annually will file sequence listing amendments as a PDF or on paper that will require the payment, on average, of $1,350 for the undiscounted utility application size fee under 37 CFR </w:t>
      </w:r>
      <w:r w:rsidRPr="00536457" w:rsidR="001F4478">
        <w:rPr>
          <w:rFonts w:ascii="Arial" w:hAnsi="Arial" w:cs="Arial"/>
          <w:sz w:val="24"/>
          <w:szCs w:val="24"/>
        </w:rPr>
        <w:t>§</w:t>
      </w:r>
      <w:r w:rsidR="001F4478">
        <w:rPr>
          <w:rFonts w:ascii="Arial" w:hAnsi="Arial" w:cs="Arial"/>
          <w:sz w:val="24"/>
          <w:szCs w:val="24"/>
        </w:rPr>
        <w:t xml:space="preserve"> </w:t>
      </w:r>
      <w:r w:rsidRPr="001C3701">
        <w:rPr>
          <w:rFonts w:ascii="Arial" w:hAnsi="Arial" w:cs="Arial"/>
          <w:sz w:val="24"/>
          <w:szCs w:val="24"/>
        </w:rPr>
        <w:t xml:space="preserve">1.16(s). The USPTO presents this estimate in </w:t>
      </w:r>
      <w:r w:rsidRPr="001C3701">
        <w:rPr>
          <w:rFonts w:ascii="Arial" w:hAnsi="Arial" w:cs="Arial"/>
          <w:sz w:val="24"/>
          <w:szCs w:val="24"/>
        </w:rPr>
        <w:t xml:space="preserve">Table </w:t>
      </w:r>
      <w:r w:rsidR="001F4478">
        <w:rPr>
          <w:rFonts w:ascii="Arial" w:hAnsi="Arial" w:cs="Arial"/>
          <w:sz w:val="24"/>
          <w:szCs w:val="24"/>
        </w:rPr>
        <w:t>4</w:t>
      </w:r>
      <w:r w:rsidRPr="001C3701">
        <w:rPr>
          <w:rFonts w:ascii="Arial" w:hAnsi="Arial" w:cs="Arial"/>
          <w:sz w:val="24"/>
          <w:szCs w:val="24"/>
        </w:rPr>
        <w:t xml:space="preserve"> below as 201 responses annually for the undiscounted utility application size fee under 37 CFR </w:t>
      </w:r>
      <w:r w:rsidRPr="00536457" w:rsidR="001F4478">
        <w:rPr>
          <w:rFonts w:ascii="Arial" w:hAnsi="Arial" w:cs="Arial"/>
          <w:sz w:val="24"/>
          <w:szCs w:val="24"/>
        </w:rPr>
        <w:t>§§</w:t>
      </w:r>
      <w:r w:rsidR="001F4478">
        <w:rPr>
          <w:rFonts w:ascii="Arial" w:hAnsi="Arial" w:cs="Arial"/>
          <w:sz w:val="24"/>
          <w:szCs w:val="24"/>
        </w:rPr>
        <w:t xml:space="preserve"> </w:t>
      </w:r>
      <w:r w:rsidRPr="001C3701">
        <w:rPr>
          <w:rFonts w:ascii="Arial" w:hAnsi="Arial" w:cs="Arial"/>
          <w:sz w:val="24"/>
          <w:szCs w:val="24"/>
        </w:rPr>
        <w:t xml:space="preserve">1.16(s) of $450 (67 respondents paying the fee three times). Table 2 also reflects similar adjustments for the small and micro entity discounted utility application size fee under 37 CFR </w:t>
      </w:r>
      <w:r w:rsidRPr="00536457" w:rsidR="001F4478">
        <w:rPr>
          <w:rFonts w:ascii="Arial" w:hAnsi="Arial" w:cs="Arial"/>
          <w:sz w:val="24"/>
          <w:szCs w:val="24"/>
        </w:rPr>
        <w:t>§</w:t>
      </w:r>
      <w:r w:rsidR="001F4478">
        <w:rPr>
          <w:rFonts w:ascii="Arial" w:hAnsi="Arial" w:cs="Arial"/>
          <w:sz w:val="24"/>
          <w:szCs w:val="24"/>
        </w:rPr>
        <w:t xml:space="preserve"> </w:t>
      </w:r>
      <w:r w:rsidRPr="001C3701">
        <w:rPr>
          <w:rFonts w:ascii="Arial" w:hAnsi="Arial" w:cs="Arial"/>
          <w:sz w:val="24"/>
          <w:szCs w:val="24"/>
        </w:rPr>
        <w:t xml:space="preserve">1.16(s).   </w:t>
      </w:r>
    </w:p>
    <w:p w:rsidR="00945183" w:rsidP="00900B61" w14:paraId="73AFEC27" w14:textId="3F039A5D">
      <w:pPr>
        <w:pStyle w:val="NoSpacing"/>
        <w:jc w:val="both"/>
        <w:rPr>
          <w:rFonts w:ascii="Arial" w:hAnsi="Arial" w:cs="Arial"/>
          <w:sz w:val="24"/>
          <w:szCs w:val="24"/>
        </w:rPr>
      </w:pPr>
    </w:p>
    <w:p w:rsidR="00945183" w:rsidP="00900B61" w14:paraId="0845C7EB" w14:textId="56AD023A">
      <w:pPr>
        <w:pStyle w:val="NoSpacing"/>
        <w:jc w:val="both"/>
        <w:rPr>
          <w:rFonts w:ascii="Arial" w:hAnsi="Arial" w:cs="Arial"/>
          <w:sz w:val="24"/>
          <w:szCs w:val="24"/>
        </w:rPr>
      </w:pPr>
      <w:r>
        <w:rPr>
          <w:rFonts w:ascii="Arial" w:hAnsi="Arial" w:cs="Arial"/>
          <w:i/>
          <w:iCs/>
          <w:sz w:val="24"/>
          <w:szCs w:val="24"/>
        </w:rPr>
        <w:t>Mega-sequence listings</w:t>
      </w:r>
    </w:p>
    <w:p w:rsidR="00945183" w:rsidP="00900B61" w14:paraId="463B3E77" w14:textId="69D83B70">
      <w:pPr>
        <w:pStyle w:val="NoSpacing"/>
        <w:jc w:val="both"/>
        <w:rPr>
          <w:rFonts w:ascii="Arial" w:hAnsi="Arial" w:cs="Arial"/>
          <w:sz w:val="24"/>
          <w:szCs w:val="24"/>
        </w:rPr>
      </w:pPr>
    </w:p>
    <w:p w:rsidR="006D770F" w:rsidP="007424A2" w14:paraId="470F9C20" w14:textId="78B8B634">
      <w:pPr>
        <w:pStyle w:val="NoSpacing"/>
        <w:jc w:val="both"/>
        <w:rPr>
          <w:rFonts w:ascii="Arial" w:hAnsi="Arial" w:cs="Arial"/>
          <w:sz w:val="24"/>
          <w:szCs w:val="24"/>
        </w:rPr>
      </w:pPr>
      <w:r w:rsidRPr="006D770F">
        <w:rPr>
          <w:rFonts w:ascii="Arial" w:hAnsi="Arial" w:cs="Arial"/>
          <w:sz w:val="24"/>
          <w:szCs w:val="24"/>
        </w:rPr>
        <w:t xml:space="preserve">Regardless of application filing date, the USPTO’s receipt in electronic form of a very lengthy sequence listing (mega-sequence listing) in an application under 35 U.S.C. 111 or 371 is subject to the fee under 37 CFR </w:t>
      </w:r>
      <w:r w:rsidRPr="00536457" w:rsidR="001F4478">
        <w:rPr>
          <w:rFonts w:ascii="Arial" w:hAnsi="Arial" w:cs="Arial"/>
          <w:sz w:val="24"/>
          <w:szCs w:val="24"/>
        </w:rPr>
        <w:t>§</w:t>
      </w:r>
      <w:r w:rsidR="001F4478">
        <w:rPr>
          <w:rFonts w:ascii="Arial" w:hAnsi="Arial" w:cs="Arial"/>
          <w:sz w:val="24"/>
          <w:szCs w:val="24"/>
        </w:rPr>
        <w:t xml:space="preserve"> </w:t>
      </w:r>
      <w:r w:rsidRPr="006D770F">
        <w:rPr>
          <w:rFonts w:ascii="Arial" w:hAnsi="Arial" w:cs="Arial"/>
          <w:sz w:val="24"/>
          <w:szCs w:val="24"/>
        </w:rPr>
        <w:t>1.21(o). In particular, the first receipt by the USPTO of a sequence listing in electronic form ranging in size from 300MB to 800MB (without file compression) incurs the fee under 37 CFR</w:t>
      </w:r>
      <w:r w:rsidR="001F4478">
        <w:rPr>
          <w:rFonts w:ascii="Arial" w:hAnsi="Arial" w:cs="Arial"/>
          <w:sz w:val="24"/>
          <w:szCs w:val="24"/>
        </w:rPr>
        <w:t xml:space="preserve"> </w:t>
      </w:r>
      <w:r w:rsidRPr="00536457" w:rsidR="001F4478">
        <w:rPr>
          <w:rFonts w:ascii="Arial" w:hAnsi="Arial" w:cs="Arial"/>
          <w:sz w:val="24"/>
          <w:szCs w:val="24"/>
        </w:rPr>
        <w:t>§</w:t>
      </w:r>
      <w:r w:rsidRPr="006D770F">
        <w:rPr>
          <w:rFonts w:ascii="Arial" w:hAnsi="Arial" w:cs="Arial"/>
          <w:sz w:val="24"/>
          <w:szCs w:val="24"/>
        </w:rPr>
        <w:t xml:space="preserve"> 1.21(o)(1). The first receipt by the USPTO of a sequence listing in electronic form exceeding 800MB (without file compression) incurs the fee under 37 CFR </w:t>
      </w:r>
      <w:r w:rsidRPr="00536457" w:rsidR="001F4478">
        <w:rPr>
          <w:rFonts w:ascii="Arial" w:hAnsi="Arial" w:cs="Arial"/>
          <w:sz w:val="24"/>
          <w:szCs w:val="24"/>
        </w:rPr>
        <w:t>§</w:t>
      </w:r>
      <w:r w:rsidR="001F4478">
        <w:rPr>
          <w:rFonts w:ascii="Arial" w:hAnsi="Arial" w:cs="Arial"/>
          <w:sz w:val="24"/>
          <w:szCs w:val="24"/>
        </w:rPr>
        <w:t xml:space="preserve"> </w:t>
      </w:r>
      <w:r w:rsidRPr="006D770F">
        <w:rPr>
          <w:rFonts w:ascii="Arial" w:hAnsi="Arial" w:cs="Arial"/>
          <w:sz w:val="24"/>
          <w:szCs w:val="24"/>
        </w:rPr>
        <w:t>1.21(o)(2).</w:t>
      </w:r>
    </w:p>
    <w:p w:rsidR="007424A2" w:rsidP="007424A2" w14:paraId="335A4FB9" w14:textId="2AB13E08">
      <w:pPr>
        <w:pStyle w:val="NoSpacing"/>
        <w:jc w:val="both"/>
        <w:rPr>
          <w:rFonts w:ascii="Arial" w:hAnsi="Arial" w:cs="Arial"/>
          <w:sz w:val="24"/>
          <w:szCs w:val="24"/>
        </w:rPr>
      </w:pPr>
    </w:p>
    <w:p w:rsidR="007424A2" w:rsidRPr="001638E1" w:rsidP="007424A2" w14:paraId="6CA579DE" w14:textId="3724E726">
      <w:pPr>
        <w:pStyle w:val="NoSpacing"/>
        <w:jc w:val="both"/>
        <w:rPr>
          <w:rFonts w:ascii="Arial" w:hAnsi="Arial" w:cs="Arial"/>
          <w:i/>
          <w:iCs/>
          <w:sz w:val="24"/>
          <w:szCs w:val="24"/>
        </w:rPr>
      </w:pPr>
      <w:r w:rsidRPr="001638E1">
        <w:rPr>
          <w:rFonts w:ascii="Arial" w:hAnsi="Arial" w:cs="Arial"/>
          <w:i/>
          <w:iCs/>
          <w:sz w:val="24"/>
          <w:szCs w:val="24"/>
        </w:rPr>
        <w:t>Late furnishing fee in PCT applications</w:t>
      </w:r>
    </w:p>
    <w:p w:rsidR="007424A2" w:rsidP="007424A2" w14:paraId="155B744B" w14:textId="70890DC0">
      <w:pPr>
        <w:pStyle w:val="NoSpacing"/>
        <w:jc w:val="both"/>
        <w:rPr>
          <w:rFonts w:ascii="Arial" w:hAnsi="Arial" w:cs="Arial"/>
          <w:sz w:val="24"/>
          <w:szCs w:val="24"/>
        </w:rPr>
      </w:pPr>
    </w:p>
    <w:p w:rsidR="007424A2" w:rsidRPr="001638E1" w:rsidP="007424A2" w14:paraId="54E17AE8" w14:textId="453EC431">
      <w:pPr>
        <w:pStyle w:val="NoSpacing"/>
        <w:jc w:val="both"/>
        <w:rPr>
          <w:rFonts w:ascii="Arial" w:hAnsi="Arial" w:cs="Arial"/>
          <w:sz w:val="24"/>
          <w:szCs w:val="24"/>
        </w:rPr>
      </w:pPr>
      <w:r w:rsidRPr="001F4478">
        <w:rPr>
          <w:rFonts w:ascii="Arial" w:hAnsi="Arial" w:cs="Arial"/>
          <w:sz w:val="24"/>
          <w:szCs w:val="24"/>
        </w:rPr>
        <w:t xml:space="preserve">Where a PCT applicant has not provided a sequence listing, and the USPTO acts as the International Searching Authority (ISA) or International Preliminary Examining Authority (IPEA), the USPTO may invite the applicant to furnish a sequence listing, with a late furnishing fee under 37 CFR </w:t>
      </w:r>
      <w:r w:rsidRPr="00536457">
        <w:rPr>
          <w:rFonts w:ascii="Arial" w:hAnsi="Arial" w:cs="Arial"/>
          <w:sz w:val="24"/>
          <w:szCs w:val="24"/>
        </w:rPr>
        <w:t>§§</w:t>
      </w:r>
      <w:r>
        <w:rPr>
          <w:rFonts w:ascii="Arial" w:hAnsi="Arial" w:cs="Arial"/>
          <w:sz w:val="24"/>
          <w:szCs w:val="24"/>
        </w:rPr>
        <w:t xml:space="preserve"> </w:t>
      </w:r>
      <w:r w:rsidRPr="001F4478">
        <w:rPr>
          <w:rFonts w:ascii="Arial" w:hAnsi="Arial" w:cs="Arial"/>
          <w:sz w:val="24"/>
          <w:szCs w:val="24"/>
        </w:rPr>
        <w:t>1.445(a)(5) and 1.482(c), under PCT Rule 13</w:t>
      </w:r>
      <w:r w:rsidRPr="001C3701">
        <w:rPr>
          <w:rFonts w:ascii="Arial" w:hAnsi="Arial" w:cs="Arial"/>
          <w:i/>
          <w:iCs/>
          <w:sz w:val="24"/>
          <w:szCs w:val="24"/>
        </w:rPr>
        <w:t>ter</w:t>
      </w:r>
      <w:r w:rsidRPr="001F4478">
        <w:rPr>
          <w:rFonts w:ascii="Arial" w:hAnsi="Arial" w:cs="Arial"/>
          <w:sz w:val="24"/>
          <w:szCs w:val="24"/>
        </w:rPr>
        <w:t>. See section 1848(I) of the MPEP for more information.</w:t>
      </w:r>
    </w:p>
    <w:p w:rsidR="00636EDA" w:rsidRPr="00293F19" w:rsidP="00636EDA" w14:paraId="79D4A141" w14:textId="77777777">
      <w:pPr>
        <w:widowControl/>
        <w:tabs>
          <w:tab w:val="left" w:pos="-984"/>
          <w:tab w:val="left" w:pos="-720"/>
          <w:tab w:val="left" w:pos="720"/>
        </w:tabs>
        <w:jc w:val="both"/>
        <w:rPr>
          <w:rFonts w:ascii="Arial" w:hAnsi="Arial" w:cs="Arial"/>
        </w:rPr>
      </w:pPr>
    </w:p>
    <w:p w:rsidR="00636EDA" w:rsidRPr="00804EA2" w:rsidP="00636EDA" w14:paraId="79D4A142" w14:textId="63D404D4">
      <w:pPr>
        <w:widowControl/>
        <w:tabs>
          <w:tab w:val="left" w:pos="-984"/>
          <w:tab w:val="left" w:pos="-720"/>
          <w:tab w:val="left" w:pos="720"/>
        </w:tabs>
        <w:jc w:val="both"/>
        <w:rPr>
          <w:rFonts w:ascii="Arial" w:hAnsi="Arial" w:cs="Arial"/>
        </w:rPr>
      </w:pPr>
      <w:r w:rsidRPr="00804EA2">
        <w:rPr>
          <w:rFonts w:ascii="Arial" w:hAnsi="Arial" w:cs="Arial"/>
          <w:b/>
          <w:bCs/>
          <w:sz w:val="20"/>
          <w:szCs w:val="20"/>
        </w:rPr>
        <w:t>Table 4: Filing Fees</w:t>
      </w:r>
    </w:p>
    <w:tbl>
      <w:tblPr>
        <w:tblStyle w:val="TableGrid3"/>
        <w:tblW w:w="9985" w:type="dxa"/>
        <w:tblLook w:val="04A0"/>
      </w:tblPr>
      <w:tblGrid>
        <w:gridCol w:w="617"/>
        <w:gridCol w:w="720"/>
        <w:gridCol w:w="2202"/>
        <w:gridCol w:w="1306"/>
        <w:gridCol w:w="1228"/>
        <w:gridCol w:w="1083"/>
        <w:gridCol w:w="1155"/>
        <w:gridCol w:w="1674"/>
      </w:tblGrid>
      <w:tr w14:paraId="7F480913" w14:textId="77777777" w:rsidTr="009776DF">
        <w:tblPrEx>
          <w:tblW w:w="9985" w:type="dxa"/>
          <w:tblLook w:val="04A0"/>
        </w:tblPrEx>
        <w:trPr>
          <w:cantSplit/>
          <w:tblHeader/>
        </w:trPr>
        <w:tc>
          <w:tcPr>
            <w:tcW w:w="617" w:type="dxa"/>
            <w:shd w:val="clear" w:color="auto" w:fill="B8CCE4" w:themeFill="accent1" w:themeFillTint="66"/>
          </w:tcPr>
          <w:p w:rsidR="009776DF" w:rsidRPr="001C3701" w:rsidP="00536457" w14:paraId="719A3C46" w14:textId="77777777">
            <w:pPr>
              <w:pStyle w:val="NoSpacing"/>
              <w:jc w:val="center"/>
              <w:rPr>
                <w:rFonts w:ascii="Arial" w:hAnsi="Arial" w:cs="Arial"/>
                <w:b/>
                <w:sz w:val="16"/>
                <w:szCs w:val="16"/>
              </w:rPr>
            </w:pPr>
            <w:r w:rsidRPr="001C3701">
              <w:rPr>
                <w:rFonts w:ascii="Arial" w:hAnsi="Arial" w:cs="Arial"/>
                <w:b/>
                <w:sz w:val="16"/>
                <w:szCs w:val="16"/>
              </w:rPr>
              <w:t>Item No.</w:t>
            </w:r>
          </w:p>
        </w:tc>
        <w:tc>
          <w:tcPr>
            <w:tcW w:w="720" w:type="dxa"/>
            <w:shd w:val="clear" w:color="auto" w:fill="B8CCE4" w:themeFill="accent1" w:themeFillTint="66"/>
          </w:tcPr>
          <w:p w:rsidR="009776DF" w:rsidRPr="001C3701" w:rsidP="00536457" w14:paraId="450741D7" w14:textId="77777777">
            <w:pPr>
              <w:pStyle w:val="NoSpacing"/>
              <w:jc w:val="center"/>
              <w:rPr>
                <w:rFonts w:ascii="Arial" w:hAnsi="Arial" w:cs="Arial"/>
                <w:b/>
                <w:sz w:val="16"/>
                <w:szCs w:val="16"/>
              </w:rPr>
            </w:pPr>
            <w:r w:rsidRPr="001C3701">
              <w:rPr>
                <w:rFonts w:ascii="Arial" w:hAnsi="Arial" w:cs="Arial"/>
                <w:b/>
                <w:sz w:val="16"/>
                <w:szCs w:val="16"/>
              </w:rPr>
              <w:t>Fee Code</w:t>
            </w:r>
          </w:p>
        </w:tc>
        <w:tc>
          <w:tcPr>
            <w:tcW w:w="2202" w:type="dxa"/>
            <w:shd w:val="clear" w:color="auto" w:fill="B8CCE4" w:themeFill="accent1" w:themeFillTint="66"/>
          </w:tcPr>
          <w:p w:rsidR="009776DF" w:rsidRPr="001C3701" w:rsidP="00536457" w14:paraId="4275AB0C" w14:textId="77777777">
            <w:pPr>
              <w:pStyle w:val="NoSpacing"/>
              <w:jc w:val="center"/>
              <w:rPr>
                <w:rFonts w:ascii="Arial" w:hAnsi="Arial" w:cs="Arial"/>
                <w:b/>
                <w:sz w:val="16"/>
                <w:szCs w:val="16"/>
              </w:rPr>
            </w:pPr>
            <w:r w:rsidRPr="001C3701">
              <w:rPr>
                <w:rFonts w:ascii="Arial" w:hAnsi="Arial" w:cs="Arial"/>
                <w:b/>
                <w:sz w:val="16"/>
                <w:szCs w:val="16"/>
              </w:rPr>
              <w:t>Item</w:t>
            </w:r>
          </w:p>
        </w:tc>
        <w:tc>
          <w:tcPr>
            <w:tcW w:w="1306" w:type="dxa"/>
            <w:shd w:val="clear" w:color="auto" w:fill="B8CCE4" w:themeFill="accent1" w:themeFillTint="66"/>
          </w:tcPr>
          <w:p w:rsidR="009776DF" w:rsidRPr="001C3701" w:rsidP="00536457" w14:paraId="372FD250" w14:textId="77777777">
            <w:pPr>
              <w:pStyle w:val="NoSpacing"/>
              <w:jc w:val="center"/>
              <w:rPr>
                <w:rFonts w:ascii="Arial" w:hAnsi="Arial" w:cs="Arial"/>
                <w:b/>
                <w:sz w:val="16"/>
                <w:szCs w:val="16"/>
              </w:rPr>
            </w:pPr>
            <w:r w:rsidRPr="001C3701">
              <w:rPr>
                <w:rFonts w:ascii="Arial" w:hAnsi="Arial" w:cs="Arial"/>
                <w:b/>
                <w:bCs/>
                <w:sz w:val="16"/>
                <w:szCs w:val="16"/>
              </w:rPr>
              <w:t xml:space="preserve">Estimated Annual Respondents Paying a Fee </w:t>
            </w:r>
          </w:p>
          <w:p w:rsidR="009776DF" w:rsidRPr="001C3701" w:rsidP="00536457" w14:paraId="40A41091" w14:textId="77777777">
            <w:pPr>
              <w:pStyle w:val="NoSpacing"/>
              <w:jc w:val="center"/>
              <w:rPr>
                <w:rFonts w:ascii="Arial" w:hAnsi="Arial" w:cs="Arial"/>
                <w:b/>
                <w:sz w:val="16"/>
                <w:szCs w:val="16"/>
              </w:rPr>
            </w:pPr>
          </w:p>
          <w:p w:rsidR="009776DF" w:rsidRPr="001C3701" w:rsidP="00536457" w14:paraId="711C6BC8" w14:textId="77777777">
            <w:pPr>
              <w:pStyle w:val="NoSpacing"/>
              <w:jc w:val="center"/>
              <w:rPr>
                <w:rFonts w:ascii="Arial" w:hAnsi="Arial" w:cs="Arial"/>
                <w:b/>
                <w:sz w:val="16"/>
                <w:szCs w:val="16"/>
              </w:rPr>
            </w:pPr>
          </w:p>
          <w:p w:rsidR="009776DF" w:rsidRPr="001C3701" w:rsidP="00536457" w14:paraId="6A5FC114" w14:textId="77777777">
            <w:pPr>
              <w:pStyle w:val="NoSpacing"/>
              <w:jc w:val="center"/>
              <w:rPr>
                <w:rFonts w:ascii="Arial" w:hAnsi="Arial" w:cs="Arial"/>
                <w:b/>
                <w:sz w:val="16"/>
                <w:szCs w:val="16"/>
              </w:rPr>
            </w:pPr>
            <w:r w:rsidRPr="001C3701">
              <w:rPr>
                <w:rFonts w:ascii="Arial" w:hAnsi="Arial" w:cs="Arial"/>
                <w:b/>
                <w:sz w:val="16"/>
                <w:szCs w:val="16"/>
              </w:rPr>
              <w:t>(a)</w:t>
            </w:r>
          </w:p>
        </w:tc>
        <w:tc>
          <w:tcPr>
            <w:tcW w:w="1228" w:type="dxa"/>
            <w:shd w:val="clear" w:color="auto" w:fill="B8CCE4" w:themeFill="accent1" w:themeFillTint="66"/>
          </w:tcPr>
          <w:p w:rsidR="009776DF" w:rsidRPr="001C3701" w:rsidP="00536457" w14:paraId="767F0BFB" w14:textId="77777777">
            <w:pPr>
              <w:pStyle w:val="NoSpacing"/>
              <w:jc w:val="center"/>
              <w:rPr>
                <w:rFonts w:ascii="Arial" w:hAnsi="Arial" w:cs="Arial"/>
                <w:b/>
                <w:sz w:val="16"/>
                <w:szCs w:val="16"/>
              </w:rPr>
            </w:pPr>
            <w:r w:rsidRPr="001C3701">
              <w:rPr>
                <w:rFonts w:ascii="Arial" w:hAnsi="Arial" w:cs="Arial"/>
                <w:b/>
                <w:sz w:val="16"/>
                <w:szCs w:val="16"/>
              </w:rPr>
              <w:t xml:space="preserve">Number of Responses Per Respondent </w:t>
            </w:r>
          </w:p>
          <w:p w:rsidR="009776DF" w:rsidRPr="001C3701" w:rsidP="00536457" w14:paraId="02FB95B9" w14:textId="77777777">
            <w:pPr>
              <w:pStyle w:val="NoSpacing"/>
              <w:rPr>
                <w:rFonts w:ascii="Arial" w:hAnsi="Arial" w:cs="Arial"/>
                <w:b/>
                <w:sz w:val="16"/>
                <w:szCs w:val="16"/>
              </w:rPr>
            </w:pPr>
          </w:p>
          <w:p w:rsidR="009776DF" w:rsidRPr="001C3701" w:rsidP="00536457" w14:paraId="08AB7F4D" w14:textId="77777777">
            <w:pPr>
              <w:pStyle w:val="NoSpacing"/>
              <w:jc w:val="center"/>
              <w:rPr>
                <w:rFonts w:ascii="Arial" w:hAnsi="Arial" w:cs="Arial"/>
                <w:b/>
                <w:sz w:val="16"/>
                <w:szCs w:val="16"/>
              </w:rPr>
            </w:pPr>
          </w:p>
          <w:p w:rsidR="009776DF" w:rsidRPr="001C3701" w:rsidP="00536457" w14:paraId="363F5D14" w14:textId="77777777">
            <w:pPr>
              <w:pStyle w:val="NoSpacing"/>
              <w:jc w:val="center"/>
              <w:rPr>
                <w:rFonts w:ascii="Arial" w:hAnsi="Arial" w:cs="Arial"/>
                <w:b/>
                <w:sz w:val="16"/>
                <w:szCs w:val="16"/>
              </w:rPr>
            </w:pPr>
            <w:r w:rsidRPr="001C3701">
              <w:rPr>
                <w:rFonts w:ascii="Arial" w:hAnsi="Arial" w:cs="Arial"/>
                <w:b/>
                <w:bCs/>
                <w:sz w:val="16"/>
                <w:szCs w:val="16"/>
              </w:rPr>
              <w:t>(b)</w:t>
            </w:r>
          </w:p>
        </w:tc>
        <w:tc>
          <w:tcPr>
            <w:tcW w:w="1083" w:type="dxa"/>
            <w:shd w:val="clear" w:color="auto" w:fill="B8CCE4" w:themeFill="accent1" w:themeFillTint="66"/>
            <w:vAlign w:val="center"/>
          </w:tcPr>
          <w:p w:rsidR="009776DF" w:rsidRPr="001C3701" w:rsidP="00536457" w14:paraId="37E2AA43" w14:textId="77777777">
            <w:pPr>
              <w:pStyle w:val="NoSpacing"/>
              <w:jc w:val="center"/>
              <w:rPr>
                <w:rFonts w:ascii="Arial" w:hAnsi="Arial" w:cs="Arial"/>
                <w:b/>
                <w:sz w:val="16"/>
                <w:szCs w:val="16"/>
              </w:rPr>
            </w:pPr>
            <w:r w:rsidRPr="001C3701">
              <w:rPr>
                <w:rFonts w:ascii="Arial" w:hAnsi="Arial" w:cs="Arial"/>
                <w:b/>
                <w:sz w:val="16"/>
                <w:szCs w:val="16"/>
              </w:rPr>
              <w:t>Estimated Annual Number of Fees Being Paid</w:t>
            </w:r>
          </w:p>
          <w:p w:rsidR="009776DF" w:rsidRPr="001C3701" w:rsidP="00536457" w14:paraId="67C9F7F7" w14:textId="77777777">
            <w:pPr>
              <w:pStyle w:val="NoSpacing"/>
              <w:rPr>
                <w:rFonts w:ascii="Arial" w:hAnsi="Arial" w:cs="Arial"/>
                <w:b/>
                <w:sz w:val="16"/>
                <w:szCs w:val="16"/>
              </w:rPr>
            </w:pPr>
          </w:p>
          <w:p w:rsidR="009776DF" w:rsidRPr="001C3701" w:rsidP="00536457" w14:paraId="4A3AB27F" w14:textId="77777777">
            <w:pPr>
              <w:pStyle w:val="NoSpacing"/>
              <w:jc w:val="center"/>
              <w:rPr>
                <w:rFonts w:ascii="Arial" w:hAnsi="Arial" w:cs="Arial"/>
                <w:b/>
                <w:sz w:val="16"/>
                <w:szCs w:val="16"/>
              </w:rPr>
            </w:pPr>
            <w:r w:rsidRPr="001C3701">
              <w:rPr>
                <w:rFonts w:ascii="Arial" w:hAnsi="Arial" w:cs="Arial"/>
                <w:b/>
                <w:sz w:val="16"/>
                <w:szCs w:val="16"/>
              </w:rPr>
              <w:t>(c)</w:t>
            </w:r>
          </w:p>
        </w:tc>
        <w:tc>
          <w:tcPr>
            <w:tcW w:w="1155" w:type="dxa"/>
            <w:shd w:val="clear" w:color="auto" w:fill="B8CCE4" w:themeFill="accent1" w:themeFillTint="66"/>
          </w:tcPr>
          <w:p w:rsidR="009776DF" w:rsidRPr="001C3701" w:rsidP="00536457" w14:paraId="48DE7DF7" w14:textId="77777777">
            <w:pPr>
              <w:pStyle w:val="NoSpacing"/>
              <w:jc w:val="center"/>
              <w:rPr>
                <w:rFonts w:ascii="Arial" w:hAnsi="Arial" w:cs="Arial"/>
                <w:b/>
                <w:sz w:val="16"/>
                <w:szCs w:val="16"/>
              </w:rPr>
            </w:pPr>
            <w:r w:rsidRPr="001C3701">
              <w:rPr>
                <w:rFonts w:ascii="Arial" w:hAnsi="Arial" w:cs="Arial"/>
                <w:b/>
                <w:sz w:val="16"/>
                <w:szCs w:val="16"/>
              </w:rPr>
              <w:t>Filing Fee</w:t>
            </w:r>
          </w:p>
          <w:p w:rsidR="009776DF" w:rsidRPr="001C3701" w:rsidP="00536457" w14:paraId="1A933FAE" w14:textId="77777777">
            <w:pPr>
              <w:pStyle w:val="NoSpacing"/>
              <w:jc w:val="center"/>
              <w:rPr>
                <w:rFonts w:ascii="Arial" w:hAnsi="Arial" w:cs="Arial"/>
                <w:b/>
                <w:sz w:val="16"/>
                <w:szCs w:val="16"/>
              </w:rPr>
            </w:pPr>
            <w:r w:rsidRPr="001C3701">
              <w:rPr>
                <w:rFonts w:ascii="Arial" w:hAnsi="Arial" w:cs="Arial"/>
                <w:b/>
                <w:sz w:val="16"/>
                <w:szCs w:val="16"/>
              </w:rPr>
              <w:t>($)</w:t>
            </w:r>
          </w:p>
          <w:p w:rsidR="009776DF" w:rsidRPr="001C3701" w:rsidP="00536457" w14:paraId="1DFEAC9C" w14:textId="77777777">
            <w:pPr>
              <w:pStyle w:val="NoSpacing"/>
              <w:jc w:val="center"/>
              <w:rPr>
                <w:rFonts w:ascii="Arial" w:hAnsi="Arial" w:cs="Arial"/>
                <w:b/>
                <w:sz w:val="16"/>
                <w:szCs w:val="16"/>
              </w:rPr>
            </w:pPr>
          </w:p>
          <w:p w:rsidR="009776DF" w:rsidRPr="001C3701" w:rsidP="00536457" w14:paraId="4E30B191" w14:textId="77777777">
            <w:pPr>
              <w:pStyle w:val="NoSpacing"/>
              <w:rPr>
                <w:rFonts w:ascii="Arial" w:hAnsi="Arial" w:cs="Arial"/>
                <w:b/>
                <w:sz w:val="16"/>
                <w:szCs w:val="16"/>
              </w:rPr>
            </w:pPr>
          </w:p>
          <w:p w:rsidR="009776DF" w:rsidP="00536457" w14:paraId="3D18D9CC" w14:textId="77777777">
            <w:pPr>
              <w:pStyle w:val="NoSpacing"/>
              <w:jc w:val="center"/>
              <w:rPr>
                <w:rFonts w:ascii="Arial" w:hAnsi="Arial" w:cs="Arial"/>
                <w:b/>
                <w:sz w:val="16"/>
                <w:szCs w:val="16"/>
              </w:rPr>
            </w:pPr>
          </w:p>
          <w:p w:rsidR="00EC0AB9" w:rsidRPr="001C3701" w:rsidP="00536457" w14:paraId="74A47C43" w14:textId="77777777">
            <w:pPr>
              <w:pStyle w:val="NoSpacing"/>
              <w:jc w:val="center"/>
              <w:rPr>
                <w:rFonts w:ascii="Arial" w:hAnsi="Arial" w:cs="Arial"/>
                <w:b/>
                <w:sz w:val="16"/>
                <w:szCs w:val="16"/>
              </w:rPr>
            </w:pPr>
          </w:p>
          <w:p w:rsidR="009776DF" w:rsidRPr="001C3701" w:rsidP="00536457" w14:paraId="7D6843F1" w14:textId="77777777">
            <w:pPr>
              <w:pStyle w:val="NoSpacing"/>
              <w:jc w:val="center"/>
              <w:rPr>
                <w:rFonts w:ascii="Arial" w:hAnsi="Arial" w:cs="Arial"/>
                <w:b/>
                <w:sz w:val="16"/>
                <w:szCs w:val="16"/>
              </w:rPr>
            </w:pPr>
            <w:r w:rsidRPr="001C3701">
              <w:rPr>
                <w:rFonts w:ascii="Arial" w:hAnsi="Arial" w:cs="Arial"/>
                <w:b/>
                <w:sz w:val="16"/>
                <w:szCs w:val="16"/>
              </w:rPr>
              <w:t>(d)</w:t>
            </w:r>
          </w:p>
        </w:tc>
        <w:tc>
          <w:tcPr>
            <w:tcW w:w="1674" w:type="dxa"/>
            <w:shd w:val="clear" w:color="auto" w:fill="B8CCE4" w:themeFill="accent1" w:themeFillTint="66"/>
          </w:tcPr>
          <w:p w:rsidR="009776DF" w:rsidRPr="001C3701" w:rsidP="00536457" w14:paraId="240376C7" w14:textId="77777777">
            <w:pPr>
              <w:pStyle w:val="NoSpacing"/>
              <w:jc w:val="center"/>
              <w:rPr>
                <w:rFonts w:ascii="Arial" w:hAnsi="Arial" w:cs="Arial"/>
                <w:b/>
                <w:sz w:val="16"/>
                <w:szCs w:val="16"/>
              </w:rPr>
            </w:pPr>
            <w:r w:rsidRPr="001C3701">
              <w:rPr>
                <w:rFonts w:ascii="Arial" w:hAnsi="Arial" w:cs="Arial"/>
                <w:b/>
                <w:sz w:val="16"/>
                <w:szCs w:val="16"/>
              </w:rPr>
              <w:t>Non-hourly Cost Burden</w:t>
            </w:r>
          </w:p>
          <w:p w:rsidR="009776DF" w:rsidRPr="001C3701" w:rsidP="00536457" w14:paraId="33F07E72" w14:textId="77777777">
            <w:pPr>
              <w:pStyle w:val="NoSpacing"/>
              <w:jc w:val="center"/>
              <w:rPr>
                <w:rFonts w:ascii="Arial" w:hAnsi="Arial" w:cs="Arial"/>
                <w:b/>
                <w:sz w:val="16"/>
                <w:szCs w:val="16"/>
              </w:rPr>
            </w:pPr>
          </w:p>
          <w:p w:rsidR="009776DF" w:rsidRPr="001C3701" w:rsidP="00536457" w14:paraId="2C2FA033" w14:textId="77777777">
            <w:pPr>
              <w:pStyle w:val="NoSpacing"/>
              <w:jc w:val="center"/>
              <w:rPr>
                <w:rFonts w:ascii="Arial" w:hAnsi="Arial" w:cs="Arial"/>
                <w:b/>
                <w:sz w:val="16"/>
                <w:szCs w:val="16"/>
              </w:rPr>
            </w:pPr>
          </w:p>
          <w:p w:rsidR="009776DF" w:rsidRPr="001C3701" w:rsidP="00536457" w14:paraId="3A2194A0" w14:textId="77777777">
            <w:pPr>
              <w:pStyle w:val="NoSpacing"/>
              <w:jc w:val="center"/>
              <w:rPr>
                <w:rFonts w:ascii="Arial" w:hAnsi="Arial" w:cs="Arial"/>
                <w:b/>
                <w:sz w:val="16"/>
                <w:szCs w:val="16"/>
              </w:rPr>
            </w:pPr>
          </w:p>
          <w:p w:rsidR="009776DF" w:rsidRPr="001C3701" w:rsidP="00536457" w14:paraId="354F9EA2" w14:textId="77777777">
            <w:pPr>
              <w:pStyle w:val="NoSpacing"/>
              <w:jc w:val="center"/>
              <w:rPr>
                <w:rFonts w:ascii="Arial" w:hAnsi="Arial" w:cs="Arial"/>
                <w:b/>
                <w:sz w:val="16"/>
                <w:szCs w:val="16"/>
              </w:rPr>
            </w:pPr>
          </w:p>
          <w:p w:rsidR="009776DF" w:rsidRPr="001C3701" w:rsidP="00536457" w14:paraId="4A8584E4" w14:textId="77777777">
            <w:pPr>
              <w:pStyle w:val="NoSpacing"/>
              <w:jc w:val="center"/>
              <w:rPr>
                <w:rFonts w:ascii="Arial" w:hAnsi="Arial" w:cs="Arial"/>
                <w:b/>
                <w:sz w:val="16"/>
                <w:szCs w:val="16"/>
              </w:rPr>
            </w:pPr>
            <w:r w:rsidRPr="001C3701">
              <w:rPr>
                <w:rFonts w:ascii="Arial" w:hAnsi="Arial" w:cs="Arial"/>
                <w:b/>
                <w:sz w:val="16"/>
                <w:szCs w:val="16"/>
              </w:rPr>
              <w:t>(c) x (d) = (e)</w:t>
            </w:r>
          </w:p>
        </w:tc>
      </w:tr>
      <w:tr w14:paraId="38DF4B1A" w14:textId="77777777" w:rsidTr="009776DF">
        <w:tblPrEx>
          <w:tblW w:w="9985" w:type="dxa"/>
          <w:tblLook w:val="04A0"/>
        </w:tblPrEx>
        <w:trPr>
          <w:cantSplit/>
        </w:trPr>
        <w:tc>
          <w:tcPr>
            <w:tcW w:w="617" w:type="dxa"/>
            <w:vAlign w:val="center"/>
          </w:tcPr>
          <w:p w:rsidR="009776DF" w:rsidRPr="001C3701" w:rsidP="00536457" w14:paraId="09910D79"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1CBEA045" w14:textId="77777777">
            <w:pPr>
              <w:pStyle w:val="NoSpacing"/>
              <w:jc w:val="center"/>
              <w:rPr>
                <w:rFonts w:ascii="Arial" w:hAnsi="Arial" w:cs="Arial"/>
                <w:sz w:val="16"/>
                <w:szCs w:val="16"/>
              </w:rPr>
            </w:pPr>
            <w:r w:rsidRPr="001C3701">
              <w:rPr>
                <w:rFonts w:ascii="Arial" w:hAnsi="Arial" w:cs="Arial"/>
                <w:sz w:val="16"/>
                <w:szCs w:val="16"/>
              </w:rPr>
              <w:t>1081</w:t>
            </w:r>
          </w:p>
        </w:tc>
        <w:tc>
          <w:tcPr>
            <w:tcW w:w="2202" w:type="dxa"/>
            <w:vAlign w:val="center"/>
          </w:tcPr>
          <w:p w:rsidR="009776DF" w:rsidRPr="001C3701" w:rsidP="00536457" w14:paraId="58172B37" w14:textId="32321605">
            <w:pPr>
              <w:pStyle w:val="NoSpacing"/>
              <w:rPr>
                <w:rFonts w:ascii="Arial" w:hAnsi="Arial" w:cs="Arial"/>
                <w:bCs/>
                <w:sz w:val="16"/>
                <w:szCs w:val="16"/>
              </w:rPr>
            </w:pPr>
            <w:r w:rsidRPr="001C3701">
              <w:rPr>
                <w:rFonts w:ascii="Arial" w:hAnsi="Arial" w:cs="Arial"/>
                <w:bCs/>
                <w:sz w:val="16"/>
                <w:szCs w:val="16"/>
              </w:rPr>
              <w:t xml:space="preserve">Utility application size fee under 37 CFR </w:t>
            </w:r>
            <w:r w:rsidRPr="00CC4DBA" w:rsidR="00CC4DBA">
              <w:rPr>
                <w:rFonts w:ascii="Arial" w:hAnsi="Arial" w:cs="Arial"/>
                <w:bCs/>
                <w:sz w:val="16"/>
                <w:szCs w:val="16"/>
              </w:rPr>
              <w:t>§</w:t>
            </w:r>
            <w:r w:rsidR="00CC4DBA">
              <w:rPr>
                <w:rFonts w:ascii="Arial" w:hAnsi="Arial" w:cs="Arial"/>
                <w:bCs/>
                <w:sz w:val="16"/>
                <w:szCs w:val="16"/>
              </w:rPr>
              <w:t xml:space="preserve"> </w:t>
            </w:r>
            <w:r w:rsidRPr="001C3701">
              <w:rPr>
                <w:rFonts w:ascii="Arial" w:hAnsi="Arial" w:cs="Arial"/>
                <w:bCs/>
                <w:sz w:val="16"/>
                <w:szCs w:val="16"/>
              </w:rPr>
              <w:t>1.16(s) (undiscounted entity)</w:t>
            </w:r>
          </w:p>
        </w:tc>
        <w:tc>
          <w:tcPr>
            <w:tcW w:w="1306" w:type="dxa"/>
            <w:shd w:val="clear" w:color="auto" w:fill="FFFFFF" w:themeFill="background1"/>
            <w:vAlign w:val="center"/>
          </w:tcPr>
          <w:p w:rsidR="009776DF" w:rsidRPr="001C3701" w:rsidP="00536457" w14:paraId="0BE1C702"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67</w:t>
            </w:r>
          </w:p>
        </w:tc>
        <w:tc>
          <w:tcPr>
            <w:tcW w:w="1228" w:type="dxa"/>
            <w:shd w:val="clear" w:color="auto" w:fill="FFFFFF" w:themeFill="background1"/>
            <w:vAlign w:val="center"/>
          </w:tcPr>
          <w:p w:rsidR="009776DF" w:rsidRPr="001C3701" w:rsidP="00536457" w14:paraId="6F9C4C06"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3</w:t>
            </w:r>
          </w:p>
        </w:tc>
        <w:tc>
          <w:tcPr>
            <w:tcW w:w="1083" w:type="dxa"/>
            <w:shd w:val="clear" w:color="auto" w:fill="FFFFFF" w:themeFill="background1"/>
            <w:vAlign w:val="center"/>
          </w:tcPr>
          <w:p w:rsidR="009776DF" w:rsidRPr="001C3701" w:rsidP="00536457" w14:paraId="5A1D7A23"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201</w:t>
            </w:r>
          </w:p>
        </w:tc>
        <w:tc>
          <w:tcPr>
            <w:tcW w:w="1155" w:type="dxa"/>
            <w:shd w:val="clear" w:color="auto" w:fill="FFFFFF" w:themeFill="background1"/>
            <w:vAlign w:val="center"/>
          </w:tcPr>
          <w:p w:rsidR="009776DF" w:rsidRPr="001C3701" w:rsidP="00536457" w14:paraId="37E38993" w14:textId="77777777">
            <w:pPr>
              <w:pStyle w:val="NoSpacing"/>
              <w:jc w:val="right"/>
              <w:rPr>
                <w:rFonts w:ascii="Arial" w:hAnsi="Arial" w:cs="Arial"/>
                <w:sz w:val="16"/>
                <w:szCs w:val="16"/>
              </w:rPr>
            </w:pPr>
            <w:r w:rsidRPr="001C3701">
              <w:rPr>
                <w:rFonts w:ascii="Arial" w:hAnsi="Arial" w:cs="Arial"/>
                <w:sz w:val="16"/>
                <w:szCs w:val="16"/>
              </w:rPr>
              <w:t>$450</w:t>
            </w:r>
          </w:p>
        </w:tc>
        <w:tc>
          <w:tcPr>
            <w:tcW w:w="1674" w:type="dxa"/>
            <w:vAlign w:val="center"/>
          </w:tcPr>
          <w:p w:rsidR="009776DF" w:rsidRPr="001C3701" w:rsidP="00536457" w14:paraId="2F21A5B8" w14:textId="77777777">
            <w:pPr>
              <w:pStyle w:val="NoSpacing"/>
              <w:jc w:val="right"/>
              <w:rPr>
                <w:rFonts w:ascii="Arial" w:hAnsi="Arial" w:cs="Arial"/>
                <w:sz w:val="16"/>
                <w:szCs w:val="16"/>
              </w:rPr>
            </w:pPr>
            <w:r w:rsidRPr="001C3701">
              <w:rPr>
                <w:rFonts w:ascii="Arial" w:hAnsi="Arial" w:cs="Arial"/>
                <w:sz w:val="16"/>
                <w:szCs w:val="16"/>
              </w:rPr>
              <w:t>$90,450</w:t>
            </w:r>
          </w:p>
        </w:tc>
      </w:tr>
      <w:tr w14:paraId="1D3E85A2" w14:textId="77777777" w:rsidTr="009776DF">
        <w:tblPrEx>
          <w:tblW w:w="9985" w:type="dxa"/>
          <w:tblLook w:val="04A0"/>
        </w:tblPrEx>
        <w:tc>
          <w:tcPr>
            <w:tcW w:w="617" w:type="dxa"/>
            <w:vAlign w:val="center"/>
          </w:tcPr>
          <w:p w:rsidR="009776DF" w:rsidRPr="001C3701" w:rsidP="00536457" w14:paraId="6950F451"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61B9B964" w14:textId="77777777">
            <w:pPr>
              <w:pStyle w:val="NoSpacing"/>
              <w:jc w:val="center"/>
              <w:rPr>
                <w:rFonts w:ascii="Arial" w:hAnsi="Arial" w:cs="Arial"/>
                <w:sz w:val="16"/>
                <w:szCs w:val="16"/>
              </w:rPr>
            </w:pPr>
            <w:r w:rsidRPr="001C3701">
              <w:rPr>
                <w:rFonts w:ascii="Arial" w:hAnsi="Arial" w:cs="Arial"/>
                <w:sz w:val="16"/>
                <w:szCs w:val="16"/>
              </w:rPr>
              <w:t>2081</w:t>
            </w:r>
          </w:p>
        </w:tc>
        <w:tc>
          <w:tcPr>
            <w:tcW w:w="2202" w:type="dxa"/>
            <w:vAlign w:val="center"/>
          </w:tcPr>
          <w:p w:rsidR="009776DF" w:rsidRPr="001C3701" w:rsidP="00536457" w14:paraId="2D0A15BC" w14:textId="6FE6B4F0">
            <w:pPr>
              <w:pStyle w:val="NoSpacing"/>
              <w:rPr>
                <w:rFonts w:ascii="Arial" w:hAnsi="Arial" w:cs="Arial"/>
                <w:bCs/>
                <w:sz w:val="16"/>
                <w:szCs w:val="16"/>
              </w:rPr>
            </w:pPr>
            <w:r w:rsidRPr="001C3701">
              <w:rPr>
                <w:rFonts w:ascii="Arial" w:hAnsi="Arial" w:cs="Arial"/>
                <w:bCs/>
                <w:sz w:val="16"/>
                <w:szCs w:val="16"/>
              </w:rPr>
              <w:t xml:space="preserve">Utility application size fee under 37 CFR </w:t>
            </w:r>
            <w:r w:rsidRPr="00CC4DBA" w:rsidR="00CC4DBA">
              <w:rPr>
                <w:rFonts w:ascii="Arial" w:hAnsi="Arial" w:cs="Arial"/>
                <w:bCs/>
                <w:sz w:val="16"/>
                <w:szCs w:val="16"/>
              </w:rPr>
              <w:t>§</w:t>
            </w:r>
            <w:r w:rsidR="00CC4DBA">
              <w:rPr>
                <w:rFonts w:ascii="Arial" w:hAnsi="Arial" w:cs="Arial"/>
                <w:bCs/>
                <w:sz w:val="16"/>
                <w:szCs w:val="16"/>
              </w:rPr>
              <w:t xml:space="preserve"> </w:t>
            </w:r>
            <w:r w:rsidRPr="001C3701">
              <w:rPr>
                <w:rFonts w:ascii="Arial" w:hAnsi="Arial" w:cs="Arial"/>
                <w:bCs/>
                <w:sz w:val="16"/>
                <w:szCs w:val="16"/>
              </w:rPr>
              <w:t>1.16(s) (small entity)</w:t>
            </w:r>
          </w:p>
        </w:tc>
        <w:tc>
          <w:tcPr>
            <w:tcW w:w="1306" w:type="dxa"/>
            <w:shd w:val="clear" w:color="auto" w:fill="FFFFFF" w:themeFill="background1"/>
            <w:vAlign w:val="center"/>
          </w:tcPr>
          <w:p w:rsidR="009776DF" w:rsidRPr="001C3701" w:rsidP="00536457" w14:paraId="76F0900E"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82</w:t>
            </w:r>
          </w:p>
        </w:tc>
        <w:tc>
          <w:tcPr>
            <w:tcW w:w="1228" w:type="dxa"/>
            <w:shd w:val="clear" w:color="auto" w:fill="FFFFFF" w:themeFill="background1"/>
            <w:vAlign w:val="center"/>
          </w:tcPr>
          <w:p w:rsidR="009776DF" w:rsidRPr="001C3701" w:rsidP="00536457" w14:paraId="05D36339"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3</w:t>
            </w:r>
          </w:p>
        </w:tc>
        <w:tc>
          <w:tcPr>
            <w:tcW w:w="1083" w:type="dxa"/>
            <w:shd w:val="clear" w:color="auto" w:fill="FFFFFF" w:themeFill="background1"/>
            <w:vAlign w:val="center"/>
          </w:tcPr>
          <w:p w:rsidR="009776DF" w:rsidRPr="001C3701" w:rsidP="00536457" w14:paraId="1992382F"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246</w:t>
            </w:r>
          </w:p>
        </w:tc>
        <w:tc>
          <w:tcPr>
            <w:tcW w:w="1155" w:type="dxa"/>
            <w:shd w:val="clear" w:color="auto" w:fill="FFFFFF" w:themeFill="background1"/>
            <w:vAlign w:val="center"/>
          </w:tcPr>
          <w:p w:rsidR="009776DF" w:rsidRPr="001C3701" w:rsidP="00536457" w14:paraId="19821893" w14:textId="77777777">
            <w:pPr>
              <w:pStyle w:val="NoSpacing"/>
              <w:jc w:val="right"/>
              <w:rPr>
                <w:rFonts w:ascii="Arial" w:hAnsi="Arial" w:cs="Arial"/>
                <w:sz w:val="16"/>
                <w:szCs w:val="16"/>
              </w:rPr>
            </w:pPr>
            <w:r w:rsidRPr="001C3701">
              <w:rPr>
                <w:rFonts w:ascii="Arial" w:hAnsi="Arial" w:cs="Arial"/>
                <w:sz w:val="16"/>
                <w:szCs w:val="16"/>
              </w:rPr>
              <w:t>$180</w:t>
            </w:r>
          </w:p>
        </w:tc>
        <w:tc>
          <w:tcPr>
            <w:tcW w:w="1674" w:type="dxa"/>
            <w:vAlign w:val="center"/>
          </w:tcPr>
          <w:p w:rsidR="009776DF" w:rsidRPr="001C3701" w:rsidP="00536457" w14:paraId="2EF58D67" w14:textId="77777777">
            <w:pPr>
              <w:pStyle w:val="NoSpacing"/>
              <w:jc w:val="right"/>
              <w:rPr>
                <w:rFonts w:ascii="Arial" w:hAnsi="Arial" w:cs="Arial"/>
                <w:sz w:val="16"/>
                <w:szCs w:val="16"/>
              </w:rPr>
            </w:pPr>
            <w:r w:rsidRPr="001C3701">
              <w:rPr>
                <w:rFonts w:ascii="Arial" w:hAnsi="Arial" w:cs="Arial"/>
                <w:sz w:val="16"/>
                <w:szCs w:val="16"/>
              </w:rPr>
              <w:t>$44,280</w:t>
            </w:r>
          </w:p>
        </w:tc>
      </w:tr>
      <w:tr w14:paraId="2F964C93" w14:textId="77777777" w:rsidTr="009776DF">
        <w:tblPrEx>
          <w:tblW w:w="9985" w:type="dxa"/>
          <w:tblLook w:val="04A0"/>
        </w:tblPrEx>
        <w:tc>
          <w:tcPr>
            <w:tcW w:w="617" w:type="dxa"/>
            <w:vAlign w:val="center"/>
          </w:tcPr>
          <w:p w:rsidR="009776DF" w:rsidRPr="001C3701" w:rsidP="00536457" w14:paraId="029949D5"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4DB229C6" w14:textId="77777777">
            <w:pPr>
              <w:pStyle w:val="NoSpacing"/>
              <w:jc w:val="center"/>
              <w:rPr>
                <w:rFonts w:ascii="Arial" w:hAnsi="Arial" w:cs="Arial"/>
                <w:sz w:val="16"/>
                <w:szCs w:val="16"/>
              </w:rPr>
            </w:pPr>
            <w:r w:rsidRPr="001C3701">
              <w:rPr>
                <w:rFonts w:ascii="Arial" w:hAnsi="Arial" w:cs="Arial"/>
                <w:sz w:val="16"/>
                <w:szCs w:val="16"/>
              </w:rPr>
              <w:t>3081</w:t>
            </w:r>
          </w:p>
        </w:tc>
        <w:tc>
          <w:tcPr>
            <w:tcW w:w="2202" w:type="dxa"/>
            <w:vAlign w:val="center"/>
          </w:tcPr>
          <w:p w:rsidR="009776DF" w:rsidRPr="001C3701" w:rsidP="00536457" w14:paraId="46F97004" w14:textId="0644F1DE">
            <w:pPr>
              <w:pStyle w:val="NoSpacing"/>
              <w:rPr>
                <w:rFonts w:ascii="Arial" w:hAnsi="Arial" w:cs="Arial"/>
                <w:bCs/>
                <w:sz w:val="16"/>
                <w:szCs w:val="16"/>
              </w:rPr>
            </w:pPr>
            <w:r w:rsidRPr="001C3701">
              <w:rPr>
                <w:rFonts w:ascii="Arial" w:hAnsi="Arial" w:cs="Arial"/>
                <w:bCs/>
                <w:sz w:val="16"/>
                <w:szCs w:val="16"/>
              </w:rPr>
              <w:t xml:space="preserve">Utility application size fee under 37 CFR </w:t>
            </w:r>
            <w:r w:rsidRPr="00CC4DBA" w:rsidR="00CC4DBA">
              <w:rPr>
                <w:rFonts w:ascii="Arial" w:hAnsi="Arial" w:cs="Arial"/>
                <w:bCs/>
                <w:sz w:val="16"/>
                <w:szCs w:val="16"/>
              </w:rPr>
              <w:t>§</w:t>
            </w:r>
            <w:r w:rsidR="00CC4DBA">
              <w:rPr>
                <w:rFonts w:ascii="Arial" w:hAnsi="Arial" w:cs="Arial"/>
                <w:bCs/>
                <w:sz w:val="16"/>
                <w:szCs w:val="16"/>
              </w:rPr>
              <w:t xml:space="preserve"> </w:t>
            </w:r>
            <w:r w:rsidRPr="001C3701">
              <w:rPr>
                <w:rFonts w:ascii="Arial" w:hAnsi="Arial" w:cs="Arial"/>
                <w:bCs/>
                <w:sz w:val="16"/>
                <w:szCs w:val="16"/>
              </w:rPr>
              <w:t>1.16(s) (micro entity)</w:t>
            </w:r>
          </w:p>
        </w:tc>
        <w:tc>
          <w:tcPr>
            <w:tcW w:w="1306" w:type="dxa"/>
            <w:shd w:val="clear" w:color="auto" w:fill="FFFFFF" w:themeFill="background1"/>
            <w:vAlign w:val="center"/>
          </w:tcPr>
          <w:p w:rsidR="009776DF" w:rsidRPr="001C3701" w:rsidP="00536457" w14:paraId="6A4B2730"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1</w:t>
            </w:r>
          </w:p>
        </w:tc>
        <w:tc>
          <w:tcPr>
            <w:tcW w:w="1228" w:type="dxa"/>
            <w:shd w:val="clear" w:color="auto" w:fill="FFFFFF" w:themeFill="background1"/>
            <w:vAlign w:val="center"/>
          </w:tcPr>
          <w:p w:rsidR="009776DF" w:rsidRPr="001C3701" w:rsidP="00536457" w14:paraId="602B3F31"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3</w:t>
            </w:r>
          </w:p>
        </w:tc>
        <w:tc>
          <w:tcPr>
            <w:tcW w:w="1083" w:type="dxa"/>
            <w:shd w:val="clear" w:color="auto" w:fill="FFFFFF" w:themeFill="background1"/>
            <w:vAlign w:val="center"/>
          </w:tcPr>
          <w:p w:rsidR="009776DF" w:rsidRPr="001C3701" w:rsidP="00536457" w14:paraId="76242412" w14:textId="77777777">
            <w:pPr>
              <w:pStyle w:val="NoSpacing"/>
              <w:jc w:val="right"/>
              <w:rPr>
                <w:rFonts w:ascii="Arial" w:eastAsia="Calibri" w:hAnsi="Arial" w:cs="Arial"/>
                <w:bCs/>
                <w:sz w:val="16"/>
                <w:szCs w:val="16"/>
              </w:rPr>
            </w:pPr>
            <w:r w:rsidRPr="001C3701">
              <w:rPr>
                <w:rFonts w:ascii="Arial" w:eastAsia="Calibri" w:hAnsi="Arial" w:cs="Arial"/>
                <w:bCs/>
                <w:sz w:val="16"/>
                <w:szCs w:val="16"/>
              </w:rPr>
              <w:t>3</w:t>
            </w:r>
          </w:p>
        </w:tc>
        <w:tc>
          <w:tcPr>
            <w:tcW w:w="1155" w:type="dxa"/>
            <w:shd w:val="clear" w:color="auto" w:fill="FFFFFF" w:themeFill="background1"/>
            <w:vAlign w:val="center"/>
          </w:tcPr>
          <w:p w:rsidR="009776DF" w:rsidRPr="001C3701" w:rsidP="00536457" w14:paraId="6388CE9B" w14:textId="77777777">
            <w:pPr>
              <w:pStyle w:val="NoSpacing"/>
              <w:jc w:val="right"/>
              <w:rPr>
                <w:rFonts w:ascii="Arial" w:hAnsi="Arial" w:cs="Arial"/>
                <w:sz w:val="16"/>
                <w:szCs w:val="16"/>
              </w:rPr>
            </w:pPr>
            <w:r w:rsidRPr="001C3701">
              <w:rPr>
                <w:rFonts w:ascii="Arial" w:hAnsi="Arial" w:cs="Arial"/>
                <w:sz w:val="16"/>
                <w:szCs w:val="16"/>
              </w:rPr>
              <w:t>$90</w:t>
            </w:r>
          </w:p>
        </w:tc>
        <w:tc>
          <w:tcPr>
            <w:tcW w:w="1674" w:type="dxa"/>
            <w:vAlign w:val="center"/>
          </w:tcPr>
          <w:p w:rsidR="009776DF" w:rsidRPr="001C3701" w:rsidP="00536457" w14:paraId="126B0B1F" w14:textId="77777777">
            <w:pPr>
              <w:pStyle w:val="NoSpacing"/>
              <w:jc w:val="right"/>
              <w:rPr>
                <w:rFonts w:ascii="Arial" w:hAnsi="Arial" w:cs="Arial"/>
                <w:sz w:val="16"/>
                <w:szCs w:val="16"/>
              </w:rPr>
            </w:pPr>
            <w:r w:rsidRPr="001C3701">
              <w:rPr>
                <w:rFonts w:ascii="Arial" w:hAnsi="Arial" w:cs="Arial"/>
                <w:sz w:val="16"/>
                <w:szCs w:val="16"/>
              </w:rPr>
              <w:t>$270</w:t>
            </w:r>
          </w:p>
        </w:tc>
      </w:tr>
      <w:tr w14:paraId="04D20FDE" w14:textId="77777777" w:rsidTr="009776DF">
        <w:tblPrEx>
          <w:tblW w:w="9985" w:type="dxa"/>
          <w:tblLook w:val="04A0"/>
        </w:tblPrEx>
        <w:trPr>
          <w:cantSplit/>
          <w:tblHeader/>
        </w:trPr>
        <w:tc>
          <w:tcPr>
            <w:tcW w:w="617" w:type="dxa"/>
            <w:vAlign w:val="center"/>
          </w:tcPr>
          <w:p w:rsidR="009776DF" w:rsidRPr="001C3701" w:rsidP="00536457" w14:paraId="3404729A"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29AD5790" w14:textId="77777777">
            <w:pPr>
              <w:pStyle w:val="NoSpacing"/>
              <w:jc w:val="center"/>
              <w:rPr>
                <w:rFonts w:ascii="Arial" w:hAnsi="Arial" w:cs="Arial"/>
                <w:sz w:val="16"/>
                <w:szCs w:val="16"/>
              </w:rPr>
            </w:pPr>
            <w:r w:rsidRPr="001C3701">
              <w:rPr>
                <w:rFonts w:ascii="Arial" w:hAnsi="Arial" w:cs="Arial"/>
                <w:sz w:val="16"/>
                <w:szCs w:val="16"/>
              </w:rPr>
              <w:t>1091</w:t>
            </w:r>
          </w:p>
        </w:tc>
        <w:tc>
          <w:tcPr>
            <w:tcW w:w="2202" w:type="dxa"/>
            <w:vAlign w:val="center"/>
          </w:tcPr>
          <w:p w:rsidR="009776DF" w:rsidRPr="001C3701" w:rsidP="00536457" w14:paraId="7A04EC13" w14:textId="77777777">
            <w:pPr>
              <w:pStyle w:val="NoSpacing"/>
              <w:rPr>
                <w:rFonts w:ascii="Arial" w:hAnsi="Arial" w:cs="Arial"/>
                <w:sz w:val="16"/>
                <w:szCs w:val="16"/>
              </w:rPr>
            </w:pPr>
            <w:r w:rsidRPr="001C3701">
              <w:rPr>
                <w:rFonts w:ascii="Arial" w:hAnsi="Arial" w:cs="Arial"/>
                <w:bCs/>
                <w:sz w:val="16"/>
                <w:szCs w:val="16"/>
              </w:rPr>
              <w:t>Submission of sequence listings of 300MB to 800MB (undiscounted entity)</w:t>
            </w:r>
          </w:p>
        </w:tc>
        <w:tc>
          <w:tcPr>
            <w:tcW w:w="1306" w:type="dxa"/>
            <w:shd w:val="clear" w:color="auto" w:fill="FFFFFF" w:themeFill="background1"/>
            <w:vAlign w:val="center"/>
          </w:tcPr>
          <w:p w:rsidR="009776DF" w:rsidRPr="001C3701" w:rsidP="00536457" w14:paraId="29E1A105" w14:textId="77777777">
            <w:pPr>
              <w:pStyle w:val="NoSpacing"/>
              <w:jc w:val="right"/>
              <w:rPr>
                <w:rFonts w:ascii="Arial" w:hAnsi="Arial" w:cs="Arial"/>
                <w:sz w:val="16"/>
                <w:szCs w:val="16"/>
              </w:rPr>
            </w:pPr>
            <w:r w:rsidRPr="001C3701">
              <w:rPr>
                <w:rFonts w:ascii="Arial" w:hAnsi="Arial" w:cs="Arial"/>
                <w:sz w:val="16"/>
                <w:szCs w:val="16"/>
              </w:rPr>
              <w:t>10</w:t>
            </w:r>
          </w:p>
        </w:tc>
        <w:tc>
          <w:tcPr>
            <w:tcW w:w="1228" w:type="dxa"/>
            <w:shd w:val="clear" w:color="auto" w:fill="FFFFFF" w:themeFill="background1"/>
            <w:vAlign w:val="center"/>
          </w:tcPr>
          <w:p w:rsidR="009776DF" w:rsidRPr="001C3701" w:rsidP="00536457" w14:paraId="4FEB0A11"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06EE126F" w14:textId="77777777">
            <w:pPr>
              <w:pStyle w:val="NoSpacing"/>
              <w:jc w:val="right"/>
              <w:rPr>
                <w:rFonts w:ascii="Arial" w:hAnsi="Arial" w:cs="Arial"/>
                <w:sz w:val="16"/>
                <w:szCs w:val="16"/>
              </w:rPr>
            </w:pPr>
            <w:r w:rsidRPr="001C3701">
              <w:rPr>
                <w:rFonts w:ascii="Arial" w:hAnsi="Arial" w:cs="Arial"/>
                <w:sz w:val="16"/>
                <w:szCs w:val="16"/>
              </w:rPr>
              <w:t>10</w:t>
            </w:r>
          </w:p>
        </w:tc>
        <w:tc>
          <w:tcPr>
            <w:tcW w:w="1155" w:type="dxa"/>
            <w:shd w:val="clear" w:color="auto" w:fill="FFFFFF" w:themeFill="background1"/>
            <w:vAlign w:val="center"/>
          </w:tcPr>
          <w:p w:rsidR="009776DF" w:rsidRPr="001C3701" w:rsidP="00536457" w14:paraId="7645E125" w14:textId="77777777">
            <w:pPr>
              <w:pStyle w:val="NoSpacing"/>
              <w:jc w:val="right"/>
              <w:rPr>
                <w:rFonts w:ascii="Arial" w:hAnsi="Arial" w:cs="Arial"/>
                <w:sz w:val="16"/>
                <w:szCs w:val="16"/>
              </w:rPr>
            </w:pPr>
            <w:r w:rsidRPr="001C3701">
              <w:rPr>
                <w:rFonts w:ascii="Arial" w:hAnsi="Arial" w:cs="Arial"/>
                <w:sz w:val="16"/>
                <w:szCs w:val="16"/>
              </w:rPr>
              <w:t>$1,140</w:t>
            </w:r>
          </w:p>
        </w:tc>
        <w:tc>
          <w:tcPr>
            <w:tcW w:w="1674" w:type="dxa"/>
            <w:vAlign w:val="center"/>
          </w:tcPr>
          <w:p w:rsidR="009776DF" w:rsidRPr="001C3701" w:rsidP="00536457" w14:paraId="71DB4AD0" w14:textId="77777777">
            <w:pPr>
              <w:pStyle w:val="NoSpacing"/>
              <w:jc w:val="right"/>
              <w:rPr>
                <w:rFonts w:ascii="Arial" w:hAnsi="Arial" w:cs="Arial"/>
                <w:sz w:val="16"/>
                <w:szCs w:val="16"/>
              </w:rPr>
            </w:pPr>
            <w:r w:rsidRPr="001C3701">
              <w:rPr>
                <w:rFonts w:ascii="Arial" w:hAnsi="Arial" w:cs="Arial"/>
                <w:sz w:val="16"/>
                <w:szCs w:val="16"/>
              </w:rPr>
              <w:t>$11,400</w:t>
            </w:r>
          </w:p>
        </w:tc>
      </w:tr>
      <w:tr w14:paraId="53AEB07D" w14:textId="77777777" w:rsidTr="009776DF">
        <w:tblPrEx>
          <w:tblW w:w="9985" w:type="dxa"/>
          <w:tblLook w:val="04A0"/>
        </w:tblPrEx>
        <w:trPr>
          <w:cantSplit/>
          <w:tblHeader/>
        </w:trPr>
        <w:tc>
          <w:tcPr>
            <w:tcW w:w="617" w:type="dxa"/>
            <w:vAlign w:val="center"/>
          </w:tcPr>
          <w:p w:rsidR="009776DF" w:rsidRPr="001C3701" w:rsidP="00536457" w14:paraId="09B76655"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5BDD8493" w14:textId="77777777">
            <w:pPr>
              <w:pStyle w:val="NoSpacing"/>
              <w:jc w:val="center"/>
              <w:rPr>
                <w:rFonts w:ascii="Arial" w:hAnsi="Arial" w:cs="Arial"/>
                <w:sz w:val="16"/>
                <w:szCs w:val="16"/>
              </w:rPr>
            </w:pPr>
            <w:r w:rsidRPr="001C3701">
              <w:rPr>
                <w:rFonts w:ascii="Arial" w:hAnsi="Arial" w:cs="Arial"/>
                <w:sz w:val="16"/>
                <w:szCs w:val="16"/>
              </w:rPr>
              <w:t>2091</w:t>
            </w:r>
          </w:p>
        </w:tc>
        <w:tc>
          <w:tcPr>
            <w:tcW w:w="2202" w:type="dxa"/>
            <w:vAlign w:val="center"/>
          </w:tcPr>
          <w:p w:rsidR="009776DF" w:rsidRPr="001C3701" w:rsidP="00536457" w14:paraId="5C33CFFF" w14:textId="77777777">
            <w:pPr>
              <w:pStyle w:val="NoSpacing"/>
              <w:rPr>
                <w:rFonts w:ascii="Arial" w:hAnsi="Arial" w:cs="Arial"/>
                <w:sz w:val="16"/>
                <w:szCs w:val="16"/>
              </w:rPr>
            </w:pPr>
            <w:r w:rsidRPr="001C3701">
              <w:rPr>
                <w:rFonts w:ascii="Arial" w:hAnsi="Arial" w:cs="Arial"/>
                <w:bCs/>
                <w:sz w:val="16"/>
                <w:szCs w:val="16"/>
              </w:rPr>
              <w:t>Submission of sequence listings of 300MB to 800MB (small entity)</w:t>
            </w:r>
          </w:p>
        </w:tc>
        <w:tc>
          <w:tcPr>
            <w:tcW w:w="1306" w:type="dxa"/>
            <w:shd w:val="clear" w:color="auto" w:fill="FFFFFF" w:themeFill="background1"/>
            <w:vAlign w:val="center"/>
          </w:tcPr>
          <w:p w:rsidR="009776DF" w:rsidRPr="001C3701" w:rsidP="00536457" w14:paraId="4ABF463F" w14:textId="77777777">
            <w:pPr>
              <w:pStyle w:val="NoSpacing"/>
              <w:jc w:val="right"/>
              <w:rPr>
                <w:rFonts w:ascii="Arial" w:hAnsi="Arial" w:cs="Arial"/>
                <w:sz w:val="16"/>
                <w:szCs w:val="16"/>
              </w:rPr>
            </w:pPr>
            <w:r w:rsidRPr="001C3701">
              <w:rPr>
                <w:rFonts w:ascii="Arial" w:hAnsi="Arial" w:cs="Arial"/>
                <w:sz w:val="16"/>
                <w:szCs w:val="16"/>
              </w:rPr>
              <w:t>1</w:t>
            </w:r>
          </w:p>
        </w:tc>
        <w:tc>
          <w:tcPr>
            <w:tcW w:w="1228" w:type="dxa"/>
            <w:shd w:val="clear" w:color="auto" w:fill="FFFFFF" w:themeFill="background1"/>
            <w:vAlign w:val="center"/>
          </w:tcPr>
          <w:p w:rsidR="009776DF" w:rsidRPr="001C3701" w:rsidP="00536457" w14:paraId="26F6CC35"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6504E79E" w14:textId="77777777">
            <w:pPr>
              <w:pStyle w:val="NoSpacing"/>
              <w:jc w:val="right"/>
              <w:rPr>
                <w:rFonts w:ascii="Arial" w:hAnsi="Arial" w:cs="Arial"/>
                <w:sz w:val="16"/>
                <w:szCs w:val="16"/>
              </w:rPr>
            </w:pPr>
            <w:r w:rsidRPr="001C3701">
              <w:rPr>
                <w:rFonts w:ascii="Arial" w:hAnsi="Arial" w:cs="Arial"/>
                <w:sz w:val="16"/>
                <w:szCs w:val="16"/>
              </w:rPr>
              <w:t>1</w:t>
            </w:r>
          </w:p>
        </w:tc>
        <w:tc>
          <w:tcPr>
            <w:tcW w:w="1155" w:type="dxa"/>
            <w:shd w:val="clear" w:color="auto" w:fill="FFFFFF" w:themeFill="background1"/>
            <w:vAlign w:val="center"/>
          </w:tcPr>
          <w:p w:rsidR="009776DF" w:rsidRPr="001C3701" w:rsidP="00536457" w14:paraId="0836747D" w14:textId="77777777">
            <w:pPr>
              <w:pStyle w:val="NoSpacing"/>
              <w:jc w:val="right"/>
              <w:rPr>
                <w:rFonts w:ascii="Arial" w:hAnsi="Arial" w:cs="Arial"/>
                <w:sz w:val="16"/>
                <w:szCs w:val="16"/>
              </w:rPr>
            </w:pPr>
            <w:r w:rsidRPr="001C3701">
              <w:rPr>
                <w:rFonts w:ascii="Arial" w:hAnsi="Arial" w:cs="Arial"/>
                <w:sz w:val="16"/>
                <w:szCs w:val="16"/>
              </w:rPr>
              <w:t>$456</w:t>
            </w:r>
          </w:p>
        </w:tc>
        <w:tc>
          <w:tcPr>
            <w:tcW w:w="1674" w:type="dxa"/>
            <w:vAlign w:val="center"/>
          </w:tcPr>
          <w:p w:rsidR="009776DF" w:rsidRPr="001C3701" w:rsidP="00536457" w14:paraId="2C1F9BF4" w14:textId="77777777">
            <w:pPr>
              <w:pStyle w:val="NoSpacing"/>
              <w:jc w:val="right"/>
              <w:rPr>
                <w:rFonts w:ascii="Arial" w:hAnsi="Arial" w:cs="Arial"/>
                <w:sz w:val="16"/>
                <w:szCs w:val="16"/>
              </w:rPr>
            </w:pPr>
            <w:r w:rsidRPr="001C3701">
              <w:rPr>
                <w:rFonts w:ascii="Arial" w:hAnsi="Arial" w:cs="Arial"/>
                <w:sz w:val="16"/>
                <w:szCs w:val="16"/>
              </w:rPr>
              <w:t>$456</w:t>
            </w:r>
          </w:p>
        </w:tc>
      </w:tr>
      <w:tr w14:paraId="48B2B416" w14:textId="77777777" w:rsidTr="009776DF">
        <w:tblPrEx>
          <w:tblW w:w="9985" w:type="dxa"/>
          <w:tblLook w:val="04A0"/>
        </w:tblPrEx>
        <w:trPr>
          <w:cantSplit/>
          <w:tblHeader/>
        </w:trPr>
        <w:tc>
          <w:tcPr>
            <w:tcW w:w="617" w:type="dxa"/>
            <w:vAlign w:val="center"/>
          </w:tcPr>
          <w:p w:rsidR="009776DF" w:rsidRPr="001C3701" w:rsidP="00536457" w14:paraId="6FB584DF"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21B75A92" w14:textId="77777777">
            <w:pPr>
              <w:pStyle w:val="NoSpacing"/>
              <w:jc w:val="center"/>
              <w:rPr>
                <w:rFonts w:ascii="Arial" w:hAnsi="Arial" w:cs="Arial"/>
                <w:sz w:val="16"/>
                <w:szCs w:val="16"/>
              </w:rPr>
            </w:pPr>
            <w:r w:rsidRPr="001C3701">
              <w:rPr>
                <w:rFonts w:ascii="Arial" w:hAnsi="Arial" w:cs="Arial"/>
                <w:sz w:val="16"/>
                <w:szCs w:val="16"/>
              </w:rPr>
              <w:t>3091</w:t>
            </w:r>
          </w:p>
        </w:tc>
        <w:tc>
          <w:tcPr>
            <w:tcW w:w="2202" w:type="dxa"/>
            <w:vAlign w:val="center"/>
          </w:tcPr>
          <w:p w:rsidR="009776DF" w:rsidRPr="001C3701" w:rsidP="00536457" w14:paraId="121A5AC0" w14:textId="77777777">
            <w:pPr>
              <w:pStyle w:val="NoSpacing"/>
              <w:rPr>
                <w:rFonts w:ascii="Arial" w:hAnsi="Arial" w:cs="Arial"/>
                <w:sz w:val="16"/>
                <w:szCs w:val="16"/>
              </w:rPr>
            </w:pPr>
            <w:r w:rsidRPr="001C3701">
              <w:rPr>
                <w:rFonts w:ascii="Arial" w:hAnsi="Arial" w:cs="Arial"/>
                <w:bCs/>
                <w:sz w:val="16"/>
                <w:szCs w:val="16"/>
              </w:rPr>
              <w:t>Submission of sequence listings of 300MB to 800MB (micro entity)</w:t>
            </w:r>
          </w:p>
        </w:tc>
        <w:tc>
          <w:tcPr>
            <w:tcW w:w="1306" w:type="dxa"/>
            <w:shd w:val="clear" w:color="auto" w:fill="FFFFFF" w:themeFill="background1"/>
            <w:vAlign w:val="center"/>
          </w:tcPr>
          <w:p w:rsidR="009776DF" w:rsidRPr="001C3701" w:rsidP="00536457" w14:paraId="181824B6" w14:textId="77777777">
            <w:pPr>
              <w:pStyle w:val="NoSpacing"/>
              <w:jc w:val="right"/>
              <w:rPr>
                <w:rFonts w:ascii="Arial" w:hAnsi="Arial" w:cs="Arial"/>
                <w:sz w:val="16"/>
                <w:szCs w:val="16"/>
              </w:rPr>
            </w:pPr>
            <w:r w:rsidRPr="001C3701">
              <w:rPr>
                <w:rFonts w:ascii="Arial" w:hAnsi="Arial" w:cs="Arial"/>
                <w:sz w:val="16"/>
                <w:szCs w:val="16"/>
              </w:rPr>
              <w:t>1</w:t>
            </w:r>
          </w:p>
        </w:tc>
        <w:tc>
          <w:tcPr>
            <w:tcW w:w="1228" w:type="dxa"/>
            <w:shd w:val="clear" w:color="auto" w:fill="FFFFFF" w:themeFill="background1"/>
            <w:vAlign w:val="center"/>
          </w:tcPr>
          <w:p w:rsidR="009776DF" w:rsidRPr="001C3701" w:rsidP="00536457" w14:paraId="71450CFE"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011052EE" w14:textId="77777777">
            <w:pPr>
              <w:pStyle w:val="NoSpacing"/>
              <w:jc w:val="right"/>
              <w:rPr>
                <w:rFonts w:ascii="Arial" w:hAnsi="Arial" w:cs="Arial"/>
                <w:sz w:val="16"/>
                <w:szCs w:val="16"/>
              </w:rPr>
            </w:pPr>
            <w:r w:rsidRPr="001C3701">
              <w:rPr>
                <w:rFonts w:ascii="Arial" w:hAnsi="Arial" w:cs="Arial"/>
                <w:sz w:val="16"/>
                <w:szCs w:val="16"/>
              </w:rPr>
              <w:t>1</w:t>
            </w:r>
          </w:p>
        </w:tc>
        <w:tc>
          <w:tcPr>
            <w:tcW w:w="1155" w:type="dxa"/>
            <w:shd w:val="clear" w:color="auto" w:fill="FFFFFF" w:themeFill="background1"/>
            <w:vAlign w:val="center"/>
          </w:tcPr>
          <w:p w:rsidR="009776DF" w:rsidRPr="001C3701" w:rsidP="00536457" w14:paraId="6A4A223D" w14:textId="77777777">
            <w:pPr>
              <w:pStyle w:val="NoSpacing"/>
              <w:jc w:val="right"/>
              <w:rPr>
                <w:rFonts w:ascii="Arial" w:hAnsi="Arial" w:cs="Arial"/>
                <w:sz w:val="16"/>
                <w:szCs w:val="16"/>
              </w:rPr>
            </w:pPr>
            <w:r w:rsidRPr="001C3701">
              <w:rPr>
                <w:rFonts w:ascii="Arial" w:hAnsi="Arial" w:cs="Arial"/>
                <w:sz w:val="16"/>
                <w:szCs w:val="16"/>
              </w:rPr>
              <w:t>$228</w:t>
            </w:r>
          </w:p>
        </w:tc>
        <w:tc>
          <w:tcPr>
            <w:tcW w:w="1674" w:type="dxa"/>
            <w:vAlign w:val="center"/>
          </w:tcPr>
          <w:p w:rsidR="009776DF" w:rsidRPr="001C3701" w:rsidP="00536457" w14:paraId="39107DB1" w14:textId="77777777">
            <w:pPr>
              <w:pStyle w:val="NoSpacing"/>
              <w:jc w:val="right"/>
              <w:rPr>
                <w:rFonts w:ascii="Arial" w:hAnsi="Arial" w:cs="Arial"/>
                <w:sz w:val="16"/>
                <w:szCs w:val="16"/>
              </w:rPr>
            </w:pPr>
            <w:r w:rsidRPr="001C3701">
              <w:rPr>
                <w:rFonts w:ascii="Arial" w:hAnsi="Arial" w:cs="Arial"/>
                <w:sz w:val="16"/>
                <w:szCs w:val="16"/>
              </w:rPr>
              <w:t>$228</w:t>
            </w:r>
          </w:p>
        </w:tc>
      </w:tr>
      <w:tr w14:paraId="7C2079CF" w14:textId="77777777" w:rsidTr="009776DF">
        <w:tblPrEx>
          <w:tblW w:w="9985" w:type="dxa"/>
          <w:tblLook w:val="04A0"/>
        </w:tblPrEx>
        <w:trPr>
          <w:cantSplit/>
          <w:tblHeader/>
        </w:trPr>
        <w:tc>
          <w:tcPr>
            <w:tcW w:w="617" w:type="dxa"/>
            <w:vAlign w:val="center"/>
          </w:tcPr>
          <w:p w:rsidR="009776DF" w:rsidRPr="001C3701" w:rsidP="00536457" w14:paraId="0AB38018"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2345D2DD" w14:textId="77777777">
            <w:pPr>
              <w:pStyle w:val="NoSpacing"/>
              <w:jc w:val="center"/>
              <w:rPr>
                <w:rFonts w:ascii="Arial" w:hAnsi="Arial" w:cs="Arial"/>
                <w:sz w:val="16"/>
                <w:szCs w:val="16"/>
              </w:rPr>
            </w:pPr>
            <w:r w:rsidRPr="001C3701">
              <w:rPr>
                <w:rFonts w:ascii="Arial" w:hAnsi="Arial" w:cs="Arial"/>
                <w:sz w:val="16"/>
                <w:szCs w:val="16"/>
              </w:rPr>
              <w:t>1092</w:t>
            </w:r>
          </w:p>
        </w:tc>
        <w:tc>
          <w:tcPr>
            <w:tcW w:w="2202" w:type="dxa"/>
            <w:vAlign w:val="center"/>
          </w:tcPr>
          <w:p w:rsidR="009776DF" w:rsidRPr="001C3701" w:rsidP="00536457" w14:paraId="48B74053" w14:textId="77777777">
            <w:pPr>
              <w:pStyle w:val="NoSpacing"/>
              <w:rPr>
                <w:rFonts w:ascii="Arial" w:hAnsi="Arial" w:cs="Arial"/>
                <w:sz w:val="16"/>
                <w:szCs w:val="16"/>
              </w:rPr>
            </w:pPr>
            <w:r w:rsidRPr="001C3701">
              <w:rPr>
                <w:rFonts w:ascii="Arial" w:hAnsi="Arial" w:cs="Arial"/>
                <w:bCs/>
                <w:sz w:val="16"/>
                <w:szCs w:val="16"/>
              </w:rPr>
              <w:t>Submission of sequence listings of more than 800MB (undiscounted entity)</w:t>
            </w:r>
          </w:p>
        </w:tc>
        <w:tc>
          <w:tcPr>
            <w:tcW w:w="1306" w:type="dxa"/>
            <w:shd w:val="clear" w:color="auto" w:fill="FFFFFF" w:themeFill="background1"/>
            <w:vAlign w:val="center"/>
          </w:tcPr>
          <w:p w:rsidR="009776DF" w:rsidRPr="001C3701" w:rsidP="00536457" w14:paraId="392B9A67" w14:textId="77777777">
            <w:pPr>
              <w:pStyle w:val="NoSpacing"/>
              <w:jc w:val="right"/>
              <w:rPr>
                <w:rFonts w:ascii="Arial" w:hAnsi="Arial" w:cs="Arial"/>
                <w:sz w:val="16"/>
                <w:szCs w:val="16"/>
              </w:rPr>
            </w:pPr>
            <w:r w:rsidRPr="001C3701">
              <w:rPr>
                <w:rFonts w:ascii="Arial" w:hAnsi="Arial" w:cs="Arial"/>
                <w:sz w:val="16"/>
                <w:szCs w:val="16"/>
              </w:rPr>
              <w:t>1</w:t>
            </w:r>
          </w:p>
        </w:tc>
        <w:tc>
          <w:tcPr>
            <w:tcW w:w="1228" w:type="dxa"/>
            <w:shd w:val="clear" w:color="auto" w:fill="FFFFFF" w:themeFill="background1"/>
            <w:vAlign w:val="center"/>
          </w:tcPr>
          <w:p w:rsidR="009776DF" w:rsidRPr="001C3701" w:rsidP="00536457" w14:paraId="58CF2A9F"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1EA3015C" w14:textId="77777777">
            <w:pPr>
              <w:pStyle w:val="NoSpacing"/>
              <w:jc w:val="right"/>
              <w:rPr>
                <w:rFonts w:ascii="Arial" w:hAnsi="Arial" w:cs="Arial"/>
                <w:sz w:val="16"/>
                <w:szCs w:val="16"/>
              </w:rPr>
            </w:pPr>
            <w:r w:rsidRPr="001C3701">
              <w:rPr>
                <w:rFonts w:ascii="Arial" w:hAnsi="Arial" w:cs="Arial"/>
                <w:sz w:val="16"/>
                <w:szCs w:val="16"/>
              </w:rPr>
              <w:t>1</w:t>
            </w:r>
          </w:p>
        </w:tc>
        <w:tc>
          <w:tcPr>
            <w:tcW w:w="1155" w:type="dxa"/>
            <w:shd w:val="clear" w:color="auto" w:fill="FFFFFF" w:themeFill="background1"/>
            <w:vAlign w:val="center"/>
          </w:tcPr>
          <w:p w:rsidR="009776DF" w:rsidRPr="001C3701" w:rsidP="00536457" w14:paraId="6E77F9F7" w14:textId="77777777">
            <w:pPr>
              <w:pStyle w:val="NoSpacing"/>
              <w:jc w:val="right"/>
              <w:rPr>
                <w:rFonts w:ascii="Arial" w:hAnsi="Arial" w:cs="Arial"/>
                <w:sz w:val="16"/>
                <w:szCs w:val="16"/>
              </w:rPr>
            </w:pPr>
            <w:r w:rsidRPr="001C3701">
              <w:rPr>
                <w:rFonts w:ascii="Arial" w:hAnsi="Arial" w:cs="Arial"/>
                <w:sz w:val="16"/>
                <w:szCs w:val="16"/>
              </w:rPr>
              <w:t>$11,290</w:t>
            </w:r>
          </w:p>
        </w:tc>
        <w:tc>
          <w:tcPr>
            <w:tcW w:w="1674" w:type="dxa"/>
            <w:vAlign w:val="center"/>
          </w:tcPr>
          <w:p w:rsidR="009776DF" w:rsidRPr="001C3701" w:rsidP="00536457" w14:paraId="0BBD66E1" w14:textId="77777777">
            <w:pPr>
              <w:pStyle w:val="NoSpacing"/>
              <w:jc w:val="right"/>
              <w:rPr>
                <w:rFonts w:ascii="Arial" w:hAnsi="Arial" w:cs="Arial"/>
                <w:sz w:val="16"/>
                <w:szCs w:val="16"/>
              </w:rPr>
            </w:pPr>
            <w:r w:rsidRPr="001C3701">
              <w:rPr>
                <w:rFonts w:ascii="Arial" w:hAnsi="Arial" w:cs="Arial"/>
                <w:sz w:val="16"/>
                <w:szCs w:val="16"/>
              </w:rPr>
              <w:t>$11,290</w:t>
            </w:r>
          </w:p>
        </w:tc>
      </w:tr>
      <w:tr w14:paraId="248CEA2F" w14:textId="77777777" w:rsidTr="009776DF">
        <w:tblPrEx>
          <w:tblW w:w="9985" w:type="dxa"/>
          <w:tblLook w:val="04A0"/>
        </w:tblPrEx>
        <w:trPr>
          <w:cantSplit/>
          <w:tblHeader/>
        </w:trPr>
        <w:tc>
          <w:tcPr>
            <w:tcW w:w="617" w:type="dxa"/>
            <w:vAlign w:val="center"/>
          </w:tcPr>
          <w:p w:rsidR="009776DF" w:rsidRPr="001C3701" w:rsidP="00536457" w14:paraId="04EE039F"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3A0DA355" w14:textId="77777777">
            <w:pPr>
              <w:pStyle w:val="NoSpacing"/>
              <w:jc w:val="center"/>
              <w:rPr>
                <w:rFonts w:ascii="Arial" w:hAnsi="Arial" w:cs="Arial"/>
                <w:sz w:val="16"/>
                <w:szCs w:val="16"/>
              </w:rPr>
            </w:pPr>
            <w:r w:rsidRPr="001C3701">
              <w:rPr>
                <w:rFonts w:ascii="Arial" w:hAnsi="Arial" w:cs="Arial"/>
                <w:sz w:val="16"/>
                <w:szCs w:val="16"/>
              </w:rPr>
              <w:t>2092</w:t>
            </w:r>
          </w:p>
        </w:tc>
        <w:tc>
          <w:tcPr>
            <w:tcW w:w="2202" w:type="dxa"/>
            <w:vAlign w:val="center"/>
          </w:tcPr>
          <w:p w:rsidR="009776DF" w:rsidRPr="001C3701" w:rsidP="00536457" w14:paraId="383FD30A" w14:textId="77777777">
            <w:pPr>
              <w:pStyle w:val="NoSpacing"/>
              <w:rPr>
                <w:rFonts w:ascii="Arial" w:hAnsi="Arial" w:cs="Arial"/>
                <w:sz w:val="16"/>
                <w:szCs w:val="16"/>
              </w:rPr>
            </w:pPr>
            <w:r w:rsidRPr="001C3701">
              <w:rPr>
                <w:rFonts w:ascii="Arial" w:hAnsi="Arial" w:cs="Arial"/>
                <w:bCs/>
                <w:sz w:val="16"/>
                <w:szCs w:val="16"/>
              </w:rPr>
              <w:t>Submission of sequence listings of more than 800MB (small entity)</w:t>
            </w:r>
          </w:p>
        </w:tc>
        <w:tc>
          <w:tcPr>
            <w:tcW w:w="1306" w:type="dxa"/>
            <w:shd w:val="clear" w:color="auto" w:fill="FFFFFF" w:themeFill="background1"/>
            <w:vAlign w:val="center"/>
          </w:tcPr>
          <w:p w:rsidR="009776DF" w:rsidRPr="001C3701" w:rsidP="00536457" w14:paraId="038FF456" w14:textId="77777777">
            <w:pPr>
              <w:pStyle w:val="NoSpacing"/>
              <w:jc w:val="right"/>
              <w:rPr>
                <w:rFonts w:ascii="Arial" w:hAnsi="Arial" w:cs="Arial"/>
                <w:sz w:val="16"/>
                <w:szCs w:val="16"/>
              </w:rPr>
            </w:pPr>
            <w:r w:rsidRPr="001C3701">
              <w:rPr>
                <w:rFonts w:ascii="Arial" w:hAnsi="Arial" w:cs="Arial"/>
                <w:sz w:val="16"/>
                <w:szCs w:val="16"/>
              </w:rPr>
              <w:t>1</w:t>
            </w:r>
          </w:p>
        </w:tc>
        <w:tc>
          <w:tcPr>
            <w:tcW w:w="1228" w:type="dxa"/>
            <w:shd w:val="clear" w:color="auto" w:fill="FFFFFF" w:themeFill="background1"/>
            <w:vAlign w:val="center"/>
          </w:tcPr>
          <w:p w:rsidR="009776DF" w:rsidRPr="001C3701" w:rsidP="00536457" w14:paraId="449D4894"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60F63E97" w14:textId="77777777">
            <w:pPr>
              <w:pStyle w:val="NoSpacing"/>
              <w:jc w:val="right"/>
              <w:rPr>
                <w:rFonts w:ascii="Arial" w:hAnsi="Arial" w:cs="Arial"/>
                <w:sz w:val="16"/>
                <w:szCs w:val="16"/>
              </w:rPr>
            </w:pPr>
            <w:r w:rsidRPr="001C3701">
              <w:rPr>
                <w:rFonts w:ascii="Arial" w:hAnsi="Arial" w:cs="Arial"/>
                <w:sz w:val="16"/>
                <w:szCs w:val="16"/>
              </w:rPr>
              <w:t>1</w:t>
            </w:r>
          </w:p>
        </w:tc>
        <w:tc>
          <w:tcPr>
            <w:tcW w:w="1155" w:type="dxa"/>
            <w:shd w:val="clear" w:color="auto" w:fill="FFFFFF" w:themeFill="background1"/>
            <w:vAlign w:val="center"/>
          </w:tcPr>
          <w:p w:rsidR="009776DF" w:rsidRPr="001C3701" w:rsidP="00536457" w14:paraId="61CC051D" w14:textId="77777777">
            <w:pPr>
              <w:pStyle w:val="NoSpacing"/>
              <w:jc w:val="right"/>
              <w:rPr>
                <w:rFonts w:ascii="Arial" w:hAnsi="Arial" w:cs="Arial"/>
                <w:sz w:val="16"/>
                <w:szCs w:val="16"/>
              </w:rPr>
            </w:pPr>
            <w:r w:rsidRPr="001C3701">
              <w:rPr>
                <w:rFonts w:ascii="Arial" w:hAnsi="Arial" w:cs="Arial"/>
                <w:sz w:val="16"/>
                <w:szCs w:val="16"/>
              </w:rPr>
              <w:t>$4,516</w:t>
            </w:r>
          </w:p>
        </w:tc>
        <w:tc>
          <w:tcPr>
            <w:tcW w:w="1674" w:type="dxa"/>
            <w:vAlign w:val="center"/>
          </w:tcPr>
          <w:p w:rsidR="009776DF" w:rsidRPr="001C3701" w:rsidP="00536457" w14:paraId="6AED16B4" w14:textId="77777777">
            <w:pPr>
              <w:pStyle w:val="NoSpacing"/>
              <w:jc w:val="right"/>
              <w:rPr>
                <w:rFonts w:ascii="Arial" w:hAnsi="Arial" w:cs="Arial"/>
                <w:sz w:val="16"/>
                <w:szCs w:val="16"/>
              </w:rPr>
            </w:pPr>
            <w:r w:rsidRPr="001C3701">
              <w:rPr>
                <w:rFonts w:ascii="Arial" w:hAnsi="Arial" w:cs="Arial"/>
                <w:sz w:val="16"/>
                <w:szCs w:val="16"/>
              </w:rPr>
              <w:t>$4,516</w:t>
            </w:r>
          </w:p>
        </w:tc>
      </w:tr>
      <w:tr w14:paraId="315D3474" w14:textId="77777777" w:rsidTr="009776DF">
        <w:tblPrEx>
          <w:tblW w:w="9985" w:type="dxa"/>
          <w:tblLook w:val="04A0"/>
        </w:tblPrEx>
        <w:trPr>
          <w:cantSplit/>
          <w:tblHeader/>
        </w:trPr>
        <w:tc>
          <w:tcPr>
            <w:tcW w:w="617" w:type="dxa"/>
            <w:vAlign w:val="center"/>
          </w:tcPr>
          <w:p w:rsidR="009776DF" w:rsidRPr="001C3701" w:rsidP="00536457" w14:paraId="4D00CB0A"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327A20CA" w14:textId="77777777">
            <w:pPr>
              <w:pStyle w:val="NoSpacing"/>
              <w:jc w:val="center"/>
              <w:rPr>
                <w:rFonts w:ascii="Arial" w:hAnsi="Arial" w:cs="Arial"/>
                <w:sz w:val="16"/>
                <w:szCs w:val="16"/>
              </w:rPr>
            </w:pPr>
            <w:r w:rsidRPr="001C3701">
              <w:rPr>
                <w:rFonts w:ascii="Arial" w:hAnsi="Arial" w:cs="Arial"/>
                <w:sz w:val="16"/>
                <w:szCs w:val="16"/>
              </w:rPr>
              <w:t>3092</w:t>
            </w:r>
          </w:p>
        </w:tc>
        <w:tc>
          <w:tcPr>
            <w:tcW w:w="2202" w:type="dxa"/>
            <w:vAlign w:val="center"/>
          </w:tcPr>
          <w:p w:rsidR="009776DF" w:rsidRPr="001C3701" w:rsidP="00536457" w14:paraId="1248BD47" w14:textId="77777777">
            <w:pPr>
              <w:pStyle w:val="NoSpacing"/>
              <w:rPr>
                <w:rFonts w:ascii="Arial" w:hAnsi="Arial" w:cs="Arial"/>
                <w:sz w:val="16"/>
                <w:szCs w:val="16"/>
              </w:rPr>
            </w:pPr>
            <w:r w:rsidRPr="001C3701">
              <w:rPr>
                <w:rFonts w:ascii="Arial" w:hAnsi="Arial" w:cs="Arial"/>
                <w:bCs/>
                <w:sz w:val="16"/>
                <w:szCs w:val="16"/>
              </w:rPr>
              <w:t>Submission of sequence listings of more than 800MB (micro entity)</w:t>
            </w:r>
          </w:p>
        </w:tc>
        <w:tc>
          <w:tcPr>
            <w:tcW w:w="1306" w:type="dxa"/>
            <w:shd w:val="clear" w:color="auto" w:fill="FFFFFF" w:themeFill="background1"/>
            <w:vAlign w:val="center"/>
          </w:tcPr>
          <w:p w:rsidR="009776DF" w:rsidRPr="001C3701" w:rsidP="00536457" w14:paraId="0B9202BF" w14:textId="77777777">
            <w:pPr>
              <w:pStyle w:val="NoSpacing"/>
              <w:jc w:val="right"/>
              <w:rPr>
                <w:rFonts w:ascii="Arial" w:hAnsi="Arial" w:cs="Arial"/>
                <w:sz w:val="16"/>
                <w:szCs w:val="16"/>
              </w:rPr>
            </w:pPr>
            <w:r w:rsidRPr="001C3701">
              <w:rPr>
                <w:rFonts w:ascii="Arial" w:hAnsi="Arial" w:cs="Arial"/>
                <w:sz w:val="16"/>
                <w:szCs w:val="16"/>
              </w:rPr>
              <w:t>1</w:t>
            </w:r>
          </w:p>
        </w:tc>
        <w:tc>
          <w:tcPr>
            <w:tcW w:w="1228" w:type="dxa"/>
            <w:shd w:val="clear" w:color="auto" w:fill="FFFFFF" w:themeFill="background1"/>
            <w:vAlign w:val="center"/>
          </w:tcPr>
          <w:p w:rsidR="009776DF" w:rsidRPr="001C3701" w:rsidP="00536457" w14:paraId="7B800478"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79385A70" w14:textId="77777777">
            <w:pPr>
              <w:pStyle w:val="NoSpacing"/>
              <w:jc w:val="right"/>
              <w:rPr>
                <w:rFonts w:ascii="Arial" w:hAnsi="Arial" w:cs="Arial"/>
                <w:sz w:val="16"/>
                <w:szCs w:val="16"/>
              </w:rPr>
            </w:pPr>
            <w:r w:rsidRPr="001C3701">
              <w:rPr>
                <w:rFonts w:ascii="Arial" w:hAnsi="Arial" w:cs="Arial"/>
                <w:sz w:val="16"/>
                <w:szCs w:val="16"/>
              </w:rPr>
              <w:t>1</w:t>
            </w:r>
          </w:p>
        </w:tc>
        <w:tc>
          <w:tcPr>
            <w:tcW w:w="1155" w:type="dxa"/>
            <w:shd w:val="clear" w:color="auto" w:fill="FFFFFF" w:themeFill="background1"/>
            <w:vAlign w:val="center"/>
          </w:tcPr>
          <w:p w:rsidR="009776DF" w:rsidRPr="001C3701" w:rsidP="00536457" w14:paraId="01F27BCB" w14:textId="77777777">
            <w:pPr>
              <w:pStyle w:val="NoSpacing"/>
              <w:jc w:val="right"/>
              <w:rPr>
                <w:rFonts w:ascii="Arial" w:hAnsi="Arial" w:cs="Arial"/>
                <w:sz w:val="16"/>
                <w:szCs w:val="16"/>
              </w:rPr>
            </w:pPr>
            <w:r w:rsidRPr="001C3701">
              <w:rPr>
                <w:rFonts w:ascii="Arial" w:hAnsi="Arial" w:cs="Arial"/>
                <w:sz w:val="16"/>
                <w:szCs w:val="16"/>
              </w:rPr>
              <w:t>$2,258</w:t>
            </w:r>
          </w:p>
        </w:tc>
        <w:tc>
          <w:tcPr>
            <w:tcW w:w="1674" w:type="dxa"/>
            <w:vAlign w:val="center"/>
          </w:tcPr>
          <w:p w:rsidR="009776DF" w:rsidRPr="001C3701" w:rsidP="00536457" w14:paraId="4E83CD06" w14:textId="77777777">
            <w:pPr>
              <w:pStyle w:val="NoSpacing"/>
              <w:jc w:val="right"/>
              <w:rPr>
                <w:rFonts w:ascii="Arial" w:hAnsi="Arial" w:cs="Arial"/>
                <w:sz w:val="16"/>
                <w:szCs w:val="16"/>
              </w:rPr>
            </w:pPr>
            <w:r w:rsidRPr="001C3701">
              <w:rPr>
                <w:rFonts w:ascii="Arial" w:hAnsi="Arial" w:cs="Arial"/>
                <w:sz w:val="16"/>
                <w:szCs w:val="16"/>
              </w:rPr>
              <w:t>$2,258</w:t>
            </w:r>
          </w:p>
        </w:tc>
      </w:tr>
      <w:tr w14:paraId="227CFF0D" w14:textId="77777777" w:rsidTr="009776DF">
        <w:tblPrEx>
          <w:tblW w:w="9985" w:type="dxa"/>
          <w:tblLook w:val="04A0"/>
        </w:tblPrEx>
        <w:trPr>
          <w:cantSplit/>
          <w:tblHeader/>
        </w:trPr>
        <w:tc>
          <w:tcPr>
            <w:tcW w:w="617" w:type="dxa"/>
            <w:vAlign w:val="center"/>
          </w:tcPr>
          <w:p w:rsidR="009776DF" w:rsidRPr="001C3701" w:rsidP="00536457" w14:paraId="5FB20561"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4B853FC4" w14:textId="77777777">
            <w:pPr>
              <w:pStyle w:val="NoSpacing"/>
              <w:jc w:val="center"/>
              <w:rPr>
                <w:rFonts w:ascii="Arial" w:hAnsi="Arial" w:cs="Arial"/>
                <w:sz w:val="16"/>
                <w:szCs w:val="16"/>
              </w:rPr>
            </w:pPr>
            <w:r w:rsidRPr="001C3701">
              <w:rPr>
                <w:rFonts w:ascii="Arial" w:hAnsi="Arial" w:cs="Arial"/>
                <w:sz w:val="16"/>
                <w:szCs w:val="16"/>
              </w:rPr>
              <w:t>1627</w:t>
            </w:r>
          </w:p>
        </w:tc>
        <w:tc>
          <w:tcPr>
            <w:tcW w:w="2202" w:type="dxa"/>
            <w:vAlign w:val="center"/>
          </w:tcPr>
          <w:p w:rsidR="009776DF" w:rsidRPr="001C3701" w:rsidP="00536457" w14:paraId="51EC20C3" w14:textId="77777777">
            <w:pPr>
              <w:pStyle w:val="NoSpacing"/>
              <w:rPr>
                <w:rFonts w:ascii="Arial" w:hAnsi="Arial" w:cs="Arial"/>
                <w:sz w:val="16"/>
                <w:szCs w:val="16"/>
              </w:rPr>
            </w:pPr>
            <w:r w:rsidRPr="001C3701">
              <w:rPr>
                <w:rFonts w:ascii="Arial" w:hAnsi="Arial" w:cs="Arial"/>
                <w:bCs/>
                <w:sz w:val="16"/>
                <w:szCs w:val="16"/>
              </w:rPr>
              <w:t>Late Furnishing Fee for Providing a Sequence Listing in Response to an Invitation Under PCT Rule 13</w:t>
            </w:r>
            <w:r w:rsidRPr="001C3701">
              <w:rPr>
                <w:rFonts w:ascii="Arial" w:hAnsi="Arial" w:cs="Arial"/>
                <w:bCs/>
                <w:i/>
                <w:sz w:val="16"/>
                <w:szCs w:val="16"/>
              </w:rPr>
              <w:t>ter</w:t>
            </w:r>
            <w:r w:rsidRPr="001C3701">
              <w:rPr>
                <w:rFonts w:ascii="Arial" w:hAnsi="Arial" w:cs="Arial"/>
                <w:bCs/>
                <w:sz w:val="16"/>
                <w:szCs w:val="16"/>
              </w:rPr>
              <w:t xml:space="preserve"> (undiscounted entity)</w:t>
            </w:r>
          </w:p>
        </w:tc>
        <w:tc>
          <w:tcPr>
            <w:tcW w:w="1306" w:type="dxa"/>
            <w:shd w:val="clear" w:color="auto" w:fill="FFFFFF" w:themeFill="background1"/>
            <w:vAlign w:val="center"/>
          </w:tcPr>
          <w:p w:rsidR="009776DF" w:rsidRPr="001C3701" w:rsidP="00536457" w14:paraId="6AB1BB85" w14:textId="77777777">
            <w:pPr>
              <w:pStyle w:val="NoSpacing"/>
              <w:jc w:val="right"/>
              <w:rPr>
                <w:rFonts w:ascii="Arial" w:hAnsi="Arial" w:cs="Arial"/>
                <w:sz w:val="16"/>
                <w:szCs w:val="16"/>
              </w:rPr>
            </w:pPr>
            <w:r w:rsidRPr="001C3701">
              <w:rPr>
                <w:rFonts w:ascii="Arial" w:hAnsi="Arial" w:cs="Arial"/>
                <w:sz w:val="16"/>
                <w:szCs w:val="16"/>
              </w:rPr>
              <w:t>230</w:t>
            </w:r>
          </w:p>
        </w:tc>
        <w:tc>
          <w:tcPr>
            <w:tcW w:w="1228" w:type="dxa"/>
            <w:shd w:val="clear" w:color="auto" w:fill="FFFFFF" w:themeFill="background1"/>
            <w:vAlign w:val="center"/>
          </w:tcPr>
          <w:p w:rsidR="009776DF" w:rsidRPr="001C3701" w:rsidP="00536457" w14:paraId="3F73BF9F"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568B1C97" w14:textId="77777777">
            <w:pPr>
              <w:pStyle w:val="NoSpacing"/>
              <w:jc w:val="right"/>
              <w:rPr>
                <w:rFonts w:ascii="Arial" w:hAnsi="Arial" w:cs="Arial"/>
                <w:sz w:val="16"/>
                <w:szCs w:val="16"/>
              </w:rPr>
            </w:pPr>
            <w:r w:rsidRPr="001C3701">
              <w:rPr>
                <w:rFonts w:ascii="Arial" w:hAnsi="Arial" w:cs="Arial"/>
                <w:sz w:val="16"/>
                <w:szCs w:val="16"/>
              </w:rPr>
              <w:t>230</w:t>
            </w:r>
          </w:p>
        </w:tc>
        <w:tc>
          <w:tcPr>
            <w:tcW w:w="1155" w:type="dxa"/>
            <w:shd w:val="clear" w:color="auto" w:fill="FFFFFF" w:themeFill="background1"/>
            <w:vAlign w:val="center"/>
          </w:tcPr>
          <w:p w:rsidR="009776DF" w:rsidRPr="001C3701" w:rsidP="00536457" w14:paraId="31D4A0ED" w14:textId="77777777">
            <w:pPr>
              <w:pStyle w:val="NoSpacing"/>
              <w:jc w:val="right"/>
              <w:rPr>
                <w:rFonts w:ascii="Arial" w:hAnsi="Arial" w:cs="Arial"/>
                <w:sz w:val="16"/>
                <w:szCs w:val="16"/>
              </w:rPr>
            </w:pPr>
            <w:r w:rsidRPr="001C3701">
              <w:rPr>
                <w:rFonts w:ascii="Arial" w:hAnsi="Arial" w:cs="Arial"/>
                <w:sz w:val="16"/>
                <w:szCs w:val="16"/>
              </w:rPr>
              <w:t>$345</w:t>
            </w:r>
          </w:p>
        </w:tc>
        <w:tc>
          <w:tcPr>
            <w:tcW w:w="1674" w:type="dxa"/>
            <w:vAlign w:val="center"/>
          </w:tcPr>
          <w:p w:rsidR="009776DF" w:rsidRPr="001C3701" w:rsidP="00536457" w14:paraId="452E764B" w14:textId="77777777">
            <w:pPr>
              <w:pStyle w:val="NoSpacing"/>
              <w:jc w:val="right"/>
              <w:rPr>
                <w:rFonts w:ascii="Arial" w:hAnsi="Arial" w:cs="Arial"/>
                <w:sz w:val="16"/>
                <w:szCs w:val="16"/>
              </w:rPr>
            </w:pPr>
            <w:r w:rsidRPr="001C3701">
              <w:rPr>
                <w:rFonts w:ascii="Arial" w:hAnsi="Arial" w:cs="Arial"/>
                <w:sz w:val="16"/>
                <w:szCs w:val="16"/>
              </w:rPr>
              <w:t>$79,350</w:t>
            </w:r>
          </w:p>
        </w:tc>
      </w:tr>
      <w:tr w14:paraId="164A4BA7" w14:textId="77777777" w:rsidTr="009776DF">
        <w:tblPrEx>
          <w:tblW w:w="9985" w:type="dxa"/>
          <w:tblLook w:val="04A0"/>
        </w:tblPrEx>
        <w:trPr>
          <w:cantSplit/>
          <w:tblHeader/>
        </w:trPr>
        <w:tc>
          <w:tcPr>
            <w:tcW w:w="617" w:type="dxa"/>
            <w:vAlign w:val="center"/>
          </w:tcPr>
          <w:p w:rsidR="009776DF" w:rsidRPr="001C3701" w:rsidP="00536457" w14:paraId="30516D77"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3EE13C9B" w14:textId="77777777">
            <w:pPr>
              <w:pStyle w:val="NoSpacing"/>
              <w:jc w:val="center"/>
              <w:rPr>
                <w:rFonts w:ascii="Arial" w:hAnsi="Arial" w:cs="Arial"/>
                <w:sz w:val="16"/>
                <w:szCs w:val="16"/>
              </w:rPr>
            </w:pPr>
            <w:r w:rsidRPr="001C3701">
              <w:rPr>
                <w:rFonts w:ascii="Arial" w:hAnsi="Arial" w:cs="Arial"/>
                <w:sz w:val="16"/>
                <w:szCs w:val="16"/>
              </w:rPr>
              <w:t>2627</w:t>
            </w:r>
          </w:p>
        </w:tc>
        <w:tc>
          <w:tcPr>
            <w:tcW w:w="2202" w:type="dxa"/>
            <w:vAlign w:val="center"/>
          </w:tcPr>
          <w:p w:rsidR="009776DF" w:rsidRPr="001C3701" w:rsidP="00536457" w14:paraId="61DEDFFF" w14:textId="77777777">
            <w:pPr>
              <w:pStyle w:val="NoSpacing"/>
              <w:rPr>
                <w:rFonts w:ascii="Arial" w:hAnsi="Arial" w:cs="Arial"/>
                <w:sz w:val="16"/>
                <w:szCs w:val="16"/>
              </w:rPr>
            </w:pPr>
            <w:r w:rsidRPr="001C3701">
              <w:rPr>
                <w:rFonts w:ascii="Arial" w:hAnsi="Arial" w:cs="Arial"/>
                <w:bCs/>
                <w:sz w:val="16"/>
                <w:szCs w:val="16"/>
              </w:rPr>
              <w:t>Late Furnishing Fee for Providing a Sequence Listing in Response to an Invitation Under PCT Rule 13</w:t>
            </w:r>
            <w:r w:rsidRPr="001C3701">
              <w:rPr>
                <w:rFonts w:ascii="Arial" w:hAnsi="Arial" w:cs="Arial"/>
                <w:bCs/>
                <w:i/>
                <w:sz w:val="16"/>
                <w:szCs w:val="16"/>
              </w:rPr>
              <w:t>ter</w:t>
            </w:r>
            <w:r w:rsidRPr="001C3701">
              <w:rPr>
                <w:rFonts w:ascii="Arial" w:hAnsi="Arial" w:cs="Arial"/>
                <w:bCs/>
                <w:sz w:val="16"/>
                <w:szCs w:val="16"/>
              </w:rPr>
              <w:t xml:space="preserve"> (small entity)</w:t>
            </w:r>
          </w:p>
        </w:tc>
        <w:tc>
          <w:tcPr>
            <w:tcW w:w="1306" w:type="dxa"/>
            <w:shd w:val="clear" w:color="auto" w:fill="FFFFFF" w:themeFill="background1"/>
            <w:vAlign w:val="center"/>
          </w:tcPr>
          <w:p w:rsidR="009776DF" w:rsidRPr="001C3701" w:rsidP="00536457" w14:paraId="3E4423BC" w14:textId="77777777">
            <w:pPr>
              <w:pStyle w:val="NoSpacing"/>
              <w:jc w:val="right"/>
              <w:rPr>
                <w:rFonts w:ascii="Arial" w:hAnsi="Arial" w:cs="Arial"/>
                <w:sz w:val="16"/>
                <w:szCs w:val="16"/>
              </w:rPr>
            </w:pPr>
            <w:r w:rsidRPr="001C3701">
              <w:rPr>
                <w:rFonts w:ascii="Arial" w:hAnsi="Arial" w:cs="Arial"/>
                <w:sz w:val="16"/>
                <w:szCs w:val="16"/>
              </w:rPr>
              <w:t>645</w:t>
            </w:r>
          </w:p>
        </w:tc>
        <w:tc>
          <w:tcPr>
            <w:tcW w:w="1228" w:type="dxa"/>
            <w:shd w:val="clear" w:color="auto" w:fill="FFFFFF" w:themeFill="background1"/>
            <w:vAlign w:val="center"/>
          </w:tcPr>
          <w:p w:rsidR="009776DF" w:rsidRPr="001C3701" w:rsidP="00536457" w14:paraId="571BC4ED"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5F5EABEF" w14:textId="77777777">
            <w:pPr>
              <w:pStyle w:val="NoSpacing"/>
              <w:jc w:val="right"/>
              <w:rPr>
                <w:rFonts w:ascii="Arial" w:hAnsi="Arial" w:cs="Arial"/>
                <w:sz w:val="16"/>
                <w:szCs w:val="16"/>
              </w:rPr>
            </w:pPr>
            <w:r w:rsidRPr="001C3701">
              <w:rPr>
                <w:rFonts w:ascii="Arial" w:hAnsi="Arial" w:cs="Arial"/>
                <w:sz w:val="16"/>
                <w:szCs w:val="16"/>
              </w:rPr>
              <w:t>645</w:t>
            </w:r>
          </w:p>
        </w:tc>
        <w:tc>
          <w:tcPr>
            <w:tcW w:w="1155" w:type="dxa"/>
            <w:shd w:val="clear" w:color="auto" w:fill="FFFFFF" w:themeFill="background1"/>
            <w:vAlign w:val="center"/>
          </w:tcPr>
          <w:p w:rsidR="009776DF" w:rsidRPr="001C3701" w:rsidP="00536457" w14:paraId="4DF6E8FC" w14:textId="77777777">
            <w:pPr>
              <w:pStyle w:val="NoSpacing"/>
              <w:jc w:val="right"/>
              <w:rPr>
                <w:rFonts w:ascii="Arial" w:hAnsi="Arial" w:cs="Arial"/>
                <w:sz w:val="16"/>
                <w:szCs w:val="16"/>
              </w:rPr>
            </w:pPr>
            <w:r w:rsidRPr="001C3701">
              <w:rPr>
                <w:rFonts w:ascii="Arial" w:hAnsi="Arial" w:cs="Arial"/>
                <w:sz w:val="16"/>
                <w:szCs w:val="16"/>
              </w:rPr>
              <w:t>$138</w:t>
            </w:r>
          </w:p>
        </w:tc>
        <w:tc>
          <w:tcPr>
            <w:tcW w:w="1674" w:type="dxa"/>
            <w:vAlign w:val="center"/>
          </w:tcPr>
          <w:p w:rsidR="009776DF" w:rsidRPr="001C3701" w:rsidP="00536457" w14:paraId="1454DA60" w14:textId="77777777">
            <w:pPr>
              <w:pStyle w:val="NoSpacing"/>
              <w:jc w:val="right"/>
              <w:rPr>
                <w:rFonts w:ascii="Arial" w:hAnsi="Arial" w:cs="Arial"/>
                <w:sz w:val="16"/>
                <w:szCs w:val="16"/>
              </w:rPr>
            </w:pPr>
            <w:r w:rsidRPr="001C3701">
              <w:rPr>
                <w:rFonts w:ascii="Arial" w:hAnsi="Arial" w:cs="Arial"/>
                <w:sz w:val="16"/>
                <w:szCs w:val="16"/>
              </w:rPr>
              <w:t>$89,010</w:t>
            </w:r>
          </w:p>
        </w:tc>
      </w:tr>
      <w:tr w14:paraId="6F26C8B8" w14:textId="77777777" w:rsidTr="009776DF">
        <w:tblPrEx>
          <w:tblW w:w="9985" w:type="dxa"/>
          <w:tblLook w:val="04A0"/>
        </w:tblPrEx>
        <w:trPr>
          <w:cantSplit/>
          <w:tblHeader/>
        </w:trPr>
        <w:tc>
          <w:tcPr>
            <w:tcW w:w="617" w:type="dxa"/>
            <w:vAlign w:val="center"/>
          </w:tcPr>
          <w:p w:rsidR="009776DF" w:rsidRPr="001C3701" w:rsidP="00536457" w14:paraId="3B44F0AD" w14:textId="77777777">
            <w:pPr>
              <w:pStyle w:val="NoSpacing"/>
              <w:jc w:val="center"/>
              <w:rPr>
                <w:rFonts w:ascii="Arial" w:hAnsi="Arial" w:cs="Arial"/>
                <w:b/>
                <w:sz w:val="16"/>
                <w:szCs w:val="16"/>
              </w:rPr>
            </w:pPr>
            <w:r w:rsidRPr="001C3701">
              <w:rPr>
                <w:rFonts w:ascii="Arial" w:hAnsi="Arial" w:cs="Arial"/>
                <w:b/>
                <w:sz w:val="16"/>
                <w:szCs w:val="16"/>
              </w:rPr>
              <w:t>1</w:t>
            </w:r>
          </w:p>
        </w:tc>
        <w:tc>
          <w:tcPr>
            <w:tcW w:w="720" w:type="dxa"/>
            <w:vAlign w:val="center"/>
          </w:tcPr>
          <w:p w:rsidR="009776DF" w:rsidRPr="001C3701" w:rsidP="00536457" w14:paraId="5ED200BA" w14:textId="77777777">
            <w:pPr>
              <w:pStyle w:val="NoSpacing"/>
              <w:jc w:val="center"/>
              <w:rPr>
                <w:rFonts w:ascii="Arial" w:hAnsi="Arial" w:cs="Arial"/>
                <w:sz w:val="16"/>
                <w:szCs w:val="16"/>
              </w:rPr>
            </w:pPr>
            <w:r w:rsidRPr="001C3701">
              <w:rPr>
                <w:rFonts w:ascii="Arial" w:hAnsi="Arial" w:cs="Arial"/>
                <w:sz w:val="16"/>
                <w:szCs w:val="16"/>
              </w:rPr>
              <w:t>3627</w:t>
            </w:r>
          </w:p>
        </w:tc>
        <w:tc>
          <w:tcPr>
            <w:tcW w:w="2202" w:type="dxa"/>
            <w:vAlign w:val="center"/>
          </w:tcPr>
          <w:p w:rsidR="009776DF" w:rsidRPr="001C3701" w:rsidP="00536457" w14:paraId="3972BE48" w14:textId="77777777">
            <w:pPr>
              <w:pStyle w:val="NoSpacing"/>
              <w:rPr>
                <w:rFonts w:ascii="Arial" w:hAnsi="Arial" w:cs="Arial"/>
                <w:sz w:val="16"/>
                <w:szCs w:val="16"/>
              </w:rPr>
            </w:pPr>
            <w:r w:rsidRPr="001C3701">
              <w:rPr>
                <w:rFonts w:ascii="Arial" w:hAnsi="Arial" w:cs="Arial"/>
                <w:bCs/>
                <w:sz w:val="16"/>
                <w:szCs w:val="16"/>
              </w:rPr>
              <w:t>Late Furnishing Fee for Providing a Sequence Listing in Response to an Invitation Under PCT Rule 13</w:t>
            </w:r>
            <w:r w:rsidRPr="001C3701">
              <w:rPr>
                <w:rFonts w:ascii="Arial" w:hAnsi="Arial" w:cs="Arial"/>
                <w:bCs/>
                <w:i/>
                <w:sz w:val="16"/>
                <w:szCs w:val="16"/>
              </w:rPr>
              <w:t>ter</w:t>
            </w:r>
            <w:r w:rsidRPr="001C3701">
              <w:rPr>
                <w:rFonts w:ascii="Arial" w:hAnsi="Arial" w:cs="Arial"/>
                <w:bCs/>
                <w:sz w:val="16"/>
                <w:szCs w:val="16"/>
              </w:rPr>
              <w:t xml:space="preserve"> (micro entity)</w:t>
            </w:r>
          </w:p>
        </w:tc>
        <w:tc>
          <w:tcPr>
            <w:tcW w:w="1306" w:type="dxa"/>
            <w:shd w:val="clear" w:color="auto" w:fill="FFFFFF" w:themeFill="background1"/>
            <w:vAlign w:val="center"/>
          </w:tcPr>
          <w:p w:rsidR="009776DF" w:rsidRPr="001C3701" w:rsidP="00536457" w14:paraId="01FA9A6A" w14:textId="77777777">
            <w:pPr>
              <w:pStyle w:val="NoSpacing"/>
              <w:jc w:val="right"/>
              <w:rPr>
                <w:rFonts w:ascii="Arial" w:hAnsi="Arial" w:cs="Arial"/>
                <w:sz w:val="16"/>
                <w:szCs w:val="16"/>
              </w:rPr>
            </w:pPr>
            <w:r w:rsidRPr="001C3701">
              <w:rPr>
                <w:rFonts w:ascii="Arial" w:hAnsi="Arial" w:cs="Arial"/>
                <w:sz w:val="16"/>
                <w:szCs w:val="16"/>
              </w:rPr>
              <w:t>5</w:t>
            </w:r>
          </w:p>
        </w:tc>
        <w:tc>
          <w:tcPr>
            <w:tcW w:w="1228" w:type="dxa"/>
            <w:shd w:val="clear" w:color="auto" w:fill="FFFFFF" w:themeFill="background1"/>
            <w:vAlign w:val="center"/>
          </w:tcPr>
          <w:p w:rsidR="009776DF" w:rsidRPr="001C3701" w:rsidP="00536457" w14:paraId="06028836" w14:textId="77777777">
            <w:pPr>
              <w:pStyle w:val="NoSpacing"/>
              <w:jc w:val="right"/>
              <w:rPr>
                <w:rFonts w:ascii="Arial" w:hAnsi="Arial" w:cs="Arial"/>
                <w:sz w:val="16"/>
                <w:szCs w:val="16"/>
              </w:rPr>
            </w:pPr>
            <w:r w:rsidRPr="001C3701">
              <w:rPr>
                <w:rFonts w:ascii="Arial" w:hAnsi="Arial" w:cs="Arial"/>
                <w:sz w:val="16"/>
                <w:szCs w:val="16"/>
              </w:rPr>
              <w:t>1</w:t>
            </w:r>
          </w:p>
        </w:tc>
        <w:tc>
          <w:tcPr>
            <w:tcW w:w="1083" w:type="dxa"/>
            <w:shd w:val="clear" w:color="auto" w:fill="FFFFFF" w:themeFill="background1"/>
            <w:vAlign w:val="center"/>
          </w:tcPr>
          <w:p w:rsidR="009776DF" w:rsidRPr="001C3701" w:rsidP="00536457" w14:paraId="2A303FD6" w14:textId="77777777">
            <w:pPr>
              <w:pStyle w:val="NoSpacing"/>
              <w:jc w:val="right"/>
              <w:rPr>
                <w:rFonts w:ascii="Arial" w:hAnsi="Arial" w:cs="Arial"/>
                <w:sz w:val="16"/>
                <w:szCs w:val="16"/>
              </w:rPr>
            </w:pPr>
            <w:r w:rsidRPr="001C3701">
              <w:rPr>
                <w:rFonts w:ascii="Arial" w:hAnsi="Arial" w:cs="Arial"/>
                <w:sz w:val="16"/>
                <w:szCs w:val="16"/>
              </w:rPr>
              <w:t>5</w:t>
            </w:r>
          </w:p>
        </w:tc>
        <w:tc>
          <w:tcPr>
            <w:tcW w:w="1155" w:type="dxa"/>
            <w:shd w:val="clear" w:color="auto" w:fill="FFFFFF" w:themeFill="background1"/>
            <w:vAlign w:val="center"/>
          </w:tcPr>
          <w:p w:rsidR="009776DF" w:rsidRPr="001C3701" w:rsidP="00536457" w14:paraId="180DB267" w14:textId="77777777">
            <w:pPr>
              <w:pStyle w:val="NoSpacing"/>
              <w:jc w:val="right"/>
              <w:rPr>
                <w:rFonts w:ascii="Arial" w:hAnsi="Arial" w:cs="Arial"/>
                <w:sz w:val="16"/>
                <w:szCs w:val="16"/>
              </w:rPr>
            </w:pPr>
            <w:r w:rsidRPr="001C3701">
              <w:rPr>
                <w:rFonts w:ascii="Arial" w:hAnsi="Arial" w:cs="Arial"/>
                <w:sz w:val="16"/>
                <w:szCs w:val="16"/>
              </w:rPr>
              <w:t>$69</w:t>
            </w:r>
          </w:p>
        </w:tc>
        <w:tc>
          <w:tcPr>
            <w:tcW w:w="1674" w:type="dxa"/>
            <w:vAlign w:val="center"/>
          </w:tcPr>
          <w:p w:rsidR="009776DF" w:rsidRPr="001C3701" w:rsidP="00536457" w14:paraId="6081D073" w14:textId="77777777">
            <w:pPr>
              <w:pStyle w:val="NoSpacing"/>
              <w:jc w:val="right"/>
              <w:rPr>
                <w:rFonts w:ascii="Arial" w:hAnsi="Arial" w:cs="Arial"/>
                <w:sz w:val="16"/>
                <w:szCs w:val="16"/>
              </w:rPr>
            </w:pPr>
            <w:r w:rsidRPr="001C3701">
              <w:rPr>
                <w:rFonts w:ascii="Arial" w:hAnsi="Arial" w:cs="Arial"/>
                <w:sz w:val="16"/>
                <w:szCs w:val="16"/>
              </w:rPr>
              <w:t>$345</w:t>
            </w:r>
          </w:p>
        </w:tc>
      </w:tr>
      <w:tr w14:paraId="3C340466" w14:textId="77777777" w:rsidTr="009776DF">
        <w:tblPrEx>
          <w:tblW w:w="9985" w:type="dxa"/>
          <w:tblLook w:val="04A0"/>
        </w:tblPrEx>
        <w:trPr>
          <w:cantSplit/>
          <w:tblHeader/>
        </w:trPr>
        <w:tc>
          <w:tcPr>
            <w:tcW w:w="617" w:type="dxa"/>
            <w:vAlign w:val="center"/>
          </w:tcPr>
          <w:p w:rsidR="009776DF" w:rsidRPr="001C3701" w:rsidP="00536457" w14:paraId="3DEF2372" w14:textId="77777777">
            <w:pPr>
              <w:pStyle w:val="NoSpacing"/>
              <w:jc w:val="center"/>
              <w:rPr>
                <w:rFonts w:ascii="Arial" w:hAnsi="Arial" w:cs="Arial"/>
                <w:b/>
                <w:sz w:val="16"/>
                <w:szCs w:val="16"/>
              </w:rPr>
            </w:pPr>
          </w:p>
        </w:tc>
        <w:tc>
          <w:tcPr>
            <w:tcW w:w="720" w:type="dxa"/>
          </w:tcPr>
          <w:p w:rsidR="009776DF" w:rsidRPr="001C3701" w:rsidP="00536457" w14:paraId="1A2F95C6" w14:textId="77777777">
            <w:pPr>
              <w:pStyle w:val="NoSpacing"/>
              <w:rPr>
                <w:rFonts w:ascii="Arial" w:hAnsi="Arial" w:cs="Arial"/>
                <w:b/>
                <w:sz w:val="16"/>
                <w:szCs w:val="16"/>
              </w:rPr>
            </w:pPr>
          </w:p>
        </w:tc>
        <w:tc>
          <w:tcPr>
            <w:tcW w:w="2202" w:type="dxa"/>
            <w:vAlign w:val="center"/>
          </w:tcPr>
          <w:p w:rsidR="009776DF" w:rsidRPr="001C3701" w:rsidP="00536457" w14:paraId="2E9179BD" w14:textId="77777777">
            <w:pPr>
              <w:pStyle w:val="NoSpacing"/>
              <w:rPr>
                <w:rFonts w:ascii="Arial" w:hAnsi="Arial" w:cs="Arial"/>
                <w:b/>
                <w:bCs/>
                <w:sz w:val="16"/>
                <w:szCs w:val="16"/>
              </w:rPr>
            </w:pPr>
            <w:r w:rsidRPr="001C3701">
              <w:rPr>
                <w:rFonts w:ascii="Arial" w:hAnsi="Arial" w:cs="Arial"/>
                <w:b/>
                <w:bCs/>
                <w:sz w:val="16"/>
                <w:szCs w:val="16"/>
              </w:rPr>
              <w:t>Totals</w:t>
            </w:r>
          </w:p>
        </w:tc>
        <w:tc>
          <w:tcPr>
            <w:tcW w:w="1306" w:type="dxa"/>
            <w:shd w:val="clear" w:color="auto" w:fill="FFFFFF" w:themeFill="background1"/>
          </w:tcPr>
          <w:p w:rsidR="009776DF" w:rsidRPr="001C3701" w:rsidP="00536457" w14:paraId="1DF812F7" w14:textId="77777777">
            <w:pPr>
              <w:pStyle w:val="NoSpacing"/>
              <w:jc w:val="right"/>
              <w:rPr>
                <w:rFonts w:ascii="Arial" w:hAnsi="Arial" w:cs="Arial"/>
                <w:b/>
                <w:sz w:val="16"/>
                <w:szCs w:val="16"/>
              </w:rPr>
            </w:pPr>
            <w:r w:rsidRPr="001C3701">
              <w:rPr>
                <w:rFonts w:ascii="Arial" w:hAnsi="Arial" w:cs="Arial"/>
                <w:b/>
                <w:sz w:val="16"/>
                <w:szCs w:val="16"/>
              </w:rPr>
              <w:t>1,045</w:t>
            </w:r>
          </w:p>
        </w:tc>
        <w:tc>
          <w:tcPr>
            <w:tcW w:w="1228" w:type="dxa"/>
            <w:shd w:val="clear" w:color="auto" w:fill="FFFFFF" w:themeFill="background1"/>
          </w:tcPr>
          <w:p w:rsidR="009776DF" w:rsidRPr="001C3701" w:rsidP="00536457" w14:paraId="50FC5643" w14:textId="77777777">
            <w:pPr>
              <w:pStyle w:val="NoSpacing"/>
              <w:jc w:val="right"/>
              <w:rPr>
                <w:rFonts w:ascii="Arial" w:hAnsi="Arial" w:cs="Arial"/>
                <w:b/>
                <w:sz w:val="16"/>
                <w:szCs w:val="16"/>
              </w:rPr>
            </w:pPr>
            <w:r w:rsidRPr="001C3701">
              <w:rPr>
                <w:rFonts w:ascii="Arial" w:hAnsi="Arial" w:cs="Arial"/>
                <w:b/>
                <w:sz w:val="16"/>
                <w:szCs w:val="16"/>
              </w:rPr>
              <w:t>- - -</w:t>
            </w:r>
          </w:p>
        </w:tc>
        <w:tc>
          <w:tcPr>
            <w:tcW w:w="1083" w:type="dxa"/>
            <w:shd w:val="clear" w:color="auto" w:fill="FFFFFF" w:themeFill="background1"/>
          </w:tcPr>
          <w:p w:rsidR="009776DF" w:rsidRPr="001C3701" w:rsidP="00536457" w14:paraId="7B861B95" w14:textId="77777777">
            <w:pPr>
              <w:pStyle w:val="NoSpacing"/>
              <w:jc w:val="right"/>
              <w:rPr>
                <w:rFonts w:ascii="Arial" w:hAnsi="Arial" w:cs="Arial"/>
                <w:b/>
                <w:sz w:val="16"/>
                <w:szCs w:val="16"/>
              </w:rPr>
            </w:pPr>
            <w:r w:rsidRPr="001C3701">
              <w:rPr>
                <w:rFonts w:ascii="Arial" w:hAnsi="Arial" w:cs="Arial"/>
                <w:b/>
                <w:sz w:val="16"/>
                <w:szCs w:val="16"/>
              </w:rPr>
              <w:t>1,345</w:t>
            </w:r>
          </w:p>
        </w:tc>
        <w:tc>
          <w:tcPr>
            <w:tcW w:w="1155" w:type="dxa"/>
            <w:shd w:val="clear" w:color="auto" w:fill="FFFFFF" w:themeFill="background1"/>
            <w:vAlign w:val="center"/>
          </w:tcPr>
          <w:p w:rsidR="009776DF" w:rsidRPr="001C3701" w:rsidP="00536457" w14:paraId="62DD1BC3" w14:textId="77777777">
            <w:pPr>
              <w:pStyle w:val="NoSpacing"/>
              <w:jc w:val="right"/>
              <w:rPr>
                <w:rFonts w:ascii="Arial" w:hAnsi="Arial" w:cs="Arial"/>
                <w:b/>
                <w:sz w:val="16"/>
                <w:szCs w:val="16"/>
              </w:rPr>
            </w:pPr>
            <w:r w:rsidRPr="001C3701">
              <w:rPr>
                <w:rFonts w:ascii="Arial" w:hAnsi="Arial" w:cs="Arial"/>
                <w:b/>
                <w:sz w:val="16"/>
                <w:szCs w:val="16"/>
              </w:rPr>
              <w:t>- - -</w:t>
            </w:r>
          </w:p>
        </w:tc>
        <w:tc>
          <w:tcPr>
            <w:tcW w:w="1674" w:type="dxa"/>
            <w:vAlign w:val="center"/>
          </w:tcPr>
          <w:p w:rsidR="009776DF" w:rsidRPr="001C3701" w:rsidP="00536457" w14:paraId="577EF2C3" w14:textId="77777777">
            <w:pPr>
              <w:pStyle w:val="NoSpacing"/>
              <w:jc w:val="right"/>
              <w:rPr>
                <w:rFonts w:ascii="Arial" w:hAnsi="Arial" w:cs="Arial"/>
                <w:b/>
                <w:sz w:val="16"/>
                <w:szCs w:val="16"/>
              </w:rPr>
            </w:pPr>
            <w:r w:rsidRPr="001C3701">
              <w:rPr>
                <w:rFonts w:ascii="Arial" w:hAnsi="Arial" w:cs="Arial"/>
                <w:b/>
                <w:sz w:val="16"/>
                <w:szCs w:val="16"/>
              </w:rPr>
              <w:t>$333,853</w:t>
            </w:r>
          </w:p>
        </w:tc>
      </w:tr>
    </w:tbl>
    <w:p w:rsidR="00E614F2" w:rsidP="00233E93" w14:paraId="0FE2327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240A35" w:rsidP="00240A35" w14:paraId="462124A3" w14:textId="77777777">
      <w:pPr>
        <w:pStyle w:val="NoSpacing"/>
        <w:jc w:val="both"/>
        <w:rPr>
          <w:rFonts w:ascii="Arial" w:hAnsi="Arial" w:cs="Arial"/>
          <w:sz w:val="24"/>
          <w:szCs w:val="24"/>
        </w:rPr>
      </w:pPr>
      <w:r>
        <w:rPr>
          <w:rFonts w:ascii="Arial" w:hAnsi="Arial" w:cs="Arial"/>
          <w:sz w:val="24"/>
          <w:szCs w:val="24"/>
          <w:u w:val="single"/>
        </w:rPr>
        <w:t>Postage Costs</w:t>
      </w:r>
    </w:p>
    <w:p w:rsidR="00240A35" w:rsidP="00240A35" w14:paraId="0087501E" w14:textId="77777777">
      <w:pPr>
        <w:pStyle w:val="NoSpacing"/>
        <w:jc w:val="both"/>
        <w:rPr>
          <w:rFonts w:ascii="Arial" w:hAnsi="Arial" w:cs="Arial"/>
          <w:sz w:val="24"/>
          <w:szCs w:val="24"/>
        </w:rPr>
      </w:pPr>
    </w:p>
    <w:p w:rsidR="00E614F2" w:rsidRPr="00A25005" w:rsidP="00FC5454" w14:paraId="73B6295C" w14:textId="30A835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Only s</w:t>
      </w:r>
      <w:r w:rsidRPr="0093738F">
        <w:rPr>
          <w:rFonts w:ascii="Arial" w:hAnsi="Arial" w:cs="Arial"/>
        </w:rPr>
        <w:t xml:space="preserve">equence listings filed as 37 CFR </w:t>
      </w:r>
      <w:r w:rsidRPr="00EC0AB9" w:rsidR="00EC0AB9">
        <w:rPr>
          <w:rFonts w:ascii="Arial" w:hAnsi="Arial" w:cs="Arial"/>
        </w:rPr>
        <w:t>§</w:t>
      </w:r>
      <w:r w:rsidR="00EC0AB9">
        <w:rPr>
          <w:rFonts w:ascii="Arial" w:hAnsi="Arial" w:cs="Arial"/>
        </w:rPr>
        <w:t xml:space="preserve"> </w:t>
      </w:r>
      <w:r w:rsidRPr="0093738F">
        <w:rPr>
          <w:rFonts w:ascii="Arial" w:hAnsi="Arial" w:cs="Arial"/>
        </w:rPr>
        <w:t>1.825 amendments in applications having a filing date of on or before June 30, 2022, may be submitted by mail through the United States Postal Service.</w:t>
      </w:r>
      <w:r w:rsidR="00F66421">
        <w:rPr>
          <w:rFonts w:ascii="Arial" w:hAnsi="Arial" w:cs="Arial"/>
        </w:rPr>
        <w:t xml:space="preserve"> Accordingly, t</w:t>
      </w:r>
      <w:r w:rsidRPr="00E525CA" w:rsidR="00240A35">
        <w:rPr>
          <w:rFonts w:ascii="Arial" w:hAnsi="Arial" w:cs="Arial"/>
        </w:rPr>
        <w:t>he USPTO expects that at most</w:t>
      </w:r>
      <w:r w:rsidR="003D2F8B">
        <w:rPr>
          <w:rFonts w:ascii="Arial" w:hAnsi="Arial" w:cs="Arial"/>
        </w:rPr>
        <w:t xml:space="preserve"> </w:t>
      </w:r>
      <w:r w:rsidR="00FC5454">
        <w:rPr>
          <w:rFonts w:ascii="Arial" w:hAnsi="Arial" w:cs="Arial"/>
        </w:rPr>
        <w:t>1</w:t>
      </w:r>
      <w:r w:rsidRPr="00E525CA" w:rsidR="00240A35">
        <w:rPr>
          <w:rFonts w:ascii="Arial" w:hAnsi="Arial" w:cs="Arial"/>
        </w:rPr>
        <w:t>% of the responses in this collection will be submitted by mail. The USPTO estimates that the average postage cost for a mailed submission, using a Priority Mail</w:t>
      </w:r>
      <w:r w:rsidR="00C81B78">
        <w:rPr>
          <w:rFonts w:ascii="Arial" w:hAnsi="Arial" w:cs="Arial"/>
        </w:rPr>
        <w:t xml:space="preserve"> legal</w:t>
      </w:r>
      <w:r w:rsidRPr="00E525CA" w:rsidR="00240A35">
        <w:rPr>
          <w:rFonts w:ascii="Arial" w:hAnsi="Arial" w:cs="Arial"/>
        </w:rPr>
        <w:t xml:space="preserve"> flat rate envelope, will be $</w:t>
      </w:r>
      <w:r w:rsidR="00C81B78">
        <w:rPr>
          <w:rFonts w:ascii="Arial" w:hAnsi="Arial" w:cs="Arial"/>
        </w:rPr>
        <w:t>10.</w:t>
      </w:r>
      <w:r w:rsidR="00141386">
        <w:rPr>
          <w:rFonts w:ascii="Arial" w:hAnsi="Arial" w:cs="Arial"/>
        </w:rPr>
        <w:t>40</w:t>
      </w:r>
      <w:r w:rsidRPr="00E525CA" w:rsidR="00240A35">
        <w:rPr>
          <w:rFonts w:ascii="Arial" w:hAnsi="Arial" w:cs="Arial"/>
        </w:rPr>
        <w:t xml:space="preserve">. The USPTO estimates approximately </w:t>
      </w:r>
      <w:r w:rsidR="0061133F">
        <w:rPr>
          <w:rFonts w:ascii="Arial" w:hAnsi="Arial" w:cs="Arial"/>
        </w:rPr>
        <w:t>3</w:t>
      </w:r>
      <w:r w:rsidR="00D22292">
        <w:rPr>
          <w:rFonts w:ascii="Arial" w:hAnsi="Arial" w:cs="Arial"/>
        </w:rPr>
        <w:t>00</w:t>
      </w:r>
      <w:r w:rsidRPr="00E525CA" w:rsidR="0061133F">
        <w:rPr>
          <w:rFonts w:ascii="Arial" w:hAnsi="Arial" w:cs="Arial"/>
        </w:rPr>
        <w:t xml:space="preserve"> </w:t>
      </w:r>
      <w:r w:rsidRPr="00E525CA" w:rsidR="00240A35">
        <w:rPr>
          <w:rFonts w:ascii="Arial" w:hAnsi="Arial" w:cs="Arial"/>
        </w:rPr>
        <w:t>submissions per year may be mailed to the USPTO,</w:t>
      </w:r>
      <w:r w:rsidRPr="00E525CA" w:rsidR="00240A35">
        <w:rPr>
          <w:rFonts w:ascii="Arial" w:hAnsi="Arial" w:cs="Arial"/>
          <w:color w:val="FF0000"/>
        </w:rPr>
        <w:t xml:space="preserve"> </w:t>
      </w:r>
      <w:r w:rsidRPr="00E525CA" w:rsidR="00240A35">
        <w:rPr>
          <w:rFonts w:ascii="Arial" w:hAnsi="Arial" w:cs="Arial"/>
        </w:rPr>
        <w:t>for a</w:t>
      </w:r>
      <w:r w:rsidR="00240A35">
        <w:rPr>
          <w:rFonts w:ascii="Arial" w:hAnsi="Arial" w:cs="Arial"/>
        </w:rPr>
        <w:t>n estimated</w:t>
      </w:r>
      <w:r w:rsidRPr="00E525CA" w:rsidR="00240A35">
        <w:rPr>
          <w:rFonts w:ascii="Arial" w:hAnsi="Arial" w:cs="Arial"/>
        </w:rPr>
        <w:t xml:space="preserve"> total postage cost of $</w:t>
      </w:r>
      <w:r w:rsidR="0061133F">
        <w:rPr>
          <w:rFonts w:ascii="Arial" w:hAnsi="Arial" w:cs="Arial"/>
        </w:rPr>
        <w:t>3</w:t>
      </w:r>
      <w:r w:rsidR="00D22292">
        <w:rPr>
          <w:rFonts w:ascii="Arial" w:hAnsi="Arial" w:cs="Arial"/>
        </w:rPr>
        <w:t>,</w:t>
      </w:r>
      <w:r w:rsidR="00141386">
        <w:rPr>
          <w:rFonts w:ascii="Arial" w:hAnsi="Arial" w:cs="Arial"/>
        </w:rPr>
        <w:t>120</w:t>
      </w:r>
      <w:r w:rsidRPr="00E525CA" w:rsidR="00141386">
        <w:rPr>
          <w:rFonts w:ascii="Arial" w:hAnsi="Arial" w:cs="Arial"/>
        </w:rPr>
        <w:t xml:space="preserve"> </w:t>
      </w:r>
      <w:r w:rsidRPr="00E525CA" w:rsidR="00240A35">
        <w:rPr>
          <w:rFonts w:ascii="Arial" w:hAnsi="Arial" w:cs="Arial"/>
        </w:rPr>
        <w:t>per year.</w:t>
      </w:r>
    </w:p>
    <w:p w:rsidR="00F301D5" w:rsidRPr="00233E93" w:rsidP="00233E93" w14:paraId="6BA289B7"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F2336C" w:rsidRPr="00F2336C" w:rsidP="00FC5454" w14:paraId="15ECDFB3" w14:textId="58BCC535">
      <w:pPr>
        <w:pStyle w:val="ListParagraph"/>
        <w:numPr>
          <w:ilvl w:val="0"/>
          <w:numId w:val="13"/>
        </w:numPr>
        <w:ind w:left="360"/>
        <w:jc w:val="both"/>
        <w:rPr>
          <w:rFonts w:ascii="Arial" w:hAnsi="Arial" w:cs="Arial"/>
          <w:b/>
        </w:rPr>
      </w:pPr>
      <w:r w:rsidRPr="00F2336C">
        <w:rPr>
          <w:rFonts w:ascii="Arial" w:hAnsi="Arial" w:cs="Arial"/>
          <w:b/>
        </w:rPr>
        <w:t xml:space="preserve">Provide estimates of annualized costs to the </w:t>
      </w:r>
      <w:r w:rsidR="000D56F1">
        <w:rPr>
          <w:rFonts w:ascii="Arial" w:hAnsi="Arial" w:cs="Arial"/>
          <w:b/>
        </w:rPr>
        <w:t>f</w:t>
      </w:r>
      <w:r w:rsidRPr="00F2336C">
        <w:rPr>
          <w:rFonts w:ascii="Arial" w:hAnsi="Arial" w:cs="Arial"/>
          <w:b/>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2C218A0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The USPTO employs GS-</w:t>
      </w:r>
      <w:r w:rsidR="003D2F8B">
        <w:rPr>
          <w:rFonts w:cs="Arial"/>
          <w:color w:val="auto"/>
        </w:rPr>
        <w:t>6, GS-12, and GS-13</w:t>
      </w:r>
      <w:r w:rsidR="00284493">
        <w:rPr>
          <w:rFonts w:cs="Arial"/>
          <w:color w:val="auto"/>
        </w:rPr>
        <w:t xml:space="preserve"> employees</w:t>
      </w:r>
      <w:r w:rsidRPr="004D7E96">
        <w:rPr>
          <w:rFonts w:cs="Arial"/>
          <w:color w:val="auto"/>
        </w:rPr>
        <w:t xml:space="preserve"> to process submissions for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65598BDE">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bookmarkStart w:id="8" w:name="_Hlk167111323"/>
      <w:r w:rsidRPr="00233E93">
        <w:rPr>
          <w:color w:val="auto"/>
        </w:rPr>
        <w:t>The USPTO estimates that the cost of a GS-</w:t>
      </w:r>
      <w:r w:rsidR="003D2F8B">
        <w:rPr>
          <w:color w:val="auto"/>
        </w:rPr>
        <w:t>6</w:t>
      </w:r>
      <w:r w:rsidRPr="00233E93">
        <w:rPr>
          <w:color w:val="auto"/>
        </w:rPr>
        <w:t xml:space="preserve">, step </w:t>
      </w:r>
      <w:r w:rsidR="00090EA7">
        <w:rPr>
          <w:color w:val="auto"/>
        </w:rPr>
        <w:t>1</w:t>
      </w:r>
      <w:r w:rsidRPr="00233E93">
        <w:rPr>
          <w:color w:val="auto"/>
        </w:rPr>
        <w:t xml:space="preserve"> employee is $</w:t>
      </w:r>
      <w:r w:rsidR="00E06A53">
        <w:rPr>
          <w:color w:val="auto"/>
        </w:rPr>
        <w:t>33.59</w:t>
      </w:r>
      <w:r w:rsidRPr="00233E93">
        <w:rPr>
          <w:color w:val="auto"/>
        </w:rPr>
        <w:t xml:space="preserve"> per hour </w:t>
      </w:r>
      <w:bookmarkStart w:id="9" w:name="_Hlk136939523"/>
      <w:r w:rsidRPr="00233E93">
        <w:rPr>
          <w:color w:val="auto"/>
        </w:rPr>
        <w:t>(GS hourly rate of $</w:t>
      </w:r>
      <w:r w:rsidR="00473CA5">
        <w:rPr>
          <w:color w:val="auto"/>
        </w:rPr>
        <w:t>24.65</w:t>
      </w:r>
      <w:r w:rsidRPr="00233E93">
        <w:rPr>
          <w:color w:val="auto"/>
        </w:rPr>
        <w:t xml:space="preserve"> with </w:t>
      </w:r>
      <w:r w:rsidR="00860867">
        <w:rPr>
          <w:color w:val="auto"/>
        </w:rPr>
        <w:t>36.25</w:t>
      </w:r>
      <w:r w:rsidRPr="00233E93">
        <w:rPr>
          <w:color w:val="auto"/>
        </w:rPr>
        <w:t>% ($</w:t>
      </w:r>
      <w:r w:rsidR="00EE4DAF">
        <w:rPr>
          <w:color w:val="auto"/>
        </w:rPr>
        <w:t>8.94</w:t>
      </w:r>
      <w:r w:rsidRPr="00233E93">
        <w:rPr>
          <w:color w:val="auto"/>
        </w:rPr>
        <w:t>) added for benefits and overhead</w:t>
      </w:r>
      <w:r w:rsidR="00707AED">
        <w:rPr>
          <w:color w:val="auto"/>
        </w:rPr>
        <w:t>)</w:t>
      </w:r>
      <w:bookmarkEnd w:id="9"/>
      <w:r w:rsidRPr="00233E93" w:rsidR="00233E93">
        <w:rPr>
          <w:color w:val="auto"/>
        </w:rPr>
        <w:t>.</w:t>
      </w:r>
    </w:p>
    <w:bookmarkEnd w:id="8"/>
    <w:p w:rsidR="00636EDA" w:rsidP="00636EDA" w14:paraId="79D4A172" w14:textId="77777777">
      <w:pPr>
        <w:widowControl/>
        <w:tabs>
          <w:tab w:val="left" w:pos="-984"/>
          <w:tab w:val="left" w:pos="-720"/>
          <w:tab w:val="left" w:pos="720"/>
        </w:tabs>
        <w:jc w:val="both"/>
        <w:rPr>
          <w:rFonts w:ascii="Arial" w:hAnsi="Arial" w:cs="Arial"/>
          <w:color w:val="0000FF"/>
        </w:rPr>
      </w:pPr>
    </w:p>
    <w:p w:rsidR="003D2F8B" w:rsidRPr="00233E93" w:rsidP="003D2F8B" w14:paraId="347888F5" w14:textId="64EABDB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The USPTO estimates that the cost of a GS-</w:t>
      </w:r>
      <w:r>
        <w:rPr>
          <w:color w:val="auto"/>
        </w:rPr>
        <w:t>12</w:t>
      </w:r>
      <w:r w:rsidRPr="00233E93">
        <w:rPr>
          <w:color w:val="auto"/>
        </w:rPr>
        <w:t xml:space="preserve">, step </w:t>
      </w:r>
      <w:r w:rsidR="00090EA7">
        <w:rPr>
          <w:color w:val="auto"/>
        </w:rPr>
        <w:t>1</w:t>
      </w:r>
      <w:r w:rsidRPr="00233E93">
        <w:rPr>
          <w:color w:val="auto"/>
        </w:rPr>
        <w:t xml:space="preserve"> employee is $</w:t>
      </w:r>
      <w:r w:rsidR="00DF36E0">
        <w:rPr>
          <w:color w:val="auto"/>
        </w:rPr>
        <w:t>66.20</w:t>
      </w:r>
      <w:r w:rsidR="00473CA5">
        <w:rPr>
          <w:color w:val="auto"/>
        </w:rPr>
        <w:t xml:space="preserve"> </w:t>
      </w:r>
      <w:r w:rsidRPr="00233E93">
        <w:rPr>
          <w:color w:val="auto"/>
        </w:rPr>
        <w:t>per hour (GS hourly rate of $</w:t>
      </w:r>
      <w:r w:rsidR="00473CA5">
        <w:rPr>
          <w:color w:val="auto"/>
        </w:rPr>
        <w:t>48.59</w:t>
      </w:r>
      <w:r w:rsidRPr="00233E93">
        <w:rPr>
          <w:color w:val="auto"/>
        </w:rPr>
        <w:t xml:space="preserve"> with </w:t>
      </w:r>
      <w:r w:rsidR="00860867">
        <w:rPr>
          <w:color w:val="auto"/>
        </w:rPr>
        <w:t>36.25</w:t>
      </w:r>
      <w:r w:rsidRPr="00233E93">
        <w:rPr>
          <w:color w:val="auto"/>
        </w:rPr>
        <w:t>% ($</w:t>
      </w:r>
      <w:r w:rsidR="00E06A53">
        <w:rPr>
          <w:color w:val="auto"/>
        </w:rPr>
        <w:t>17.61</w:t>
      </w:r>
      <w:r w:rsidRPr="00233E93">
        <w:rPr>
          <w:color w:val="auto"/>
        </w:rPr>
        <w:t>) added for benefits and overhead</w:t>
      </w:r>
      <w:r>
        <w:rPr>
          <w:color w:val="auto"/>
        </w:rPr>
        <w:t>)</w:t>
      </w:r>
      <w:r w:rsidRPr="00233E93">
        <w:rPr>
          <w:color w:val="auto"/>
        </w:rPr>
        <w:t>.</w:t>
      </w:r>
    </w:p>
    <w:p w:rsidR="003D2F8B" w:rsidP="00636EDA" w14:paraId="7A6FF78B" w14:textId="77777777">
      <w:pPr>
        <w:widowControl/>
        <w:tabs>
          <w:tab w:val="left" w:pos="-984"/>
          <w:tab w:val="left" w:pos="-720"/>
          <w:tab w:val="left" w:pos="720"/>
        </w:tabs>
        <w:jc w:val="both"/>
        <w:rPr>
          <w:rFonts w:ascii="Arial" w:hAnsi="Arial" w:cs="Arial"/>
          <w:color w:val="0000FF"/>
        </w:rPr>
      </w:pPr>
    </w:p>
    <w:p w:rsidR="003D2F8B" w:rsidP="003D2F8B" w14:paraId="3F333DE7" w14:textId="6AEB32A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233E93">
        <w:rPr>
          <w:color w:val="auto"/>
        </w:rPr>
        <w:t>The USPTO estimates that the cost of a GS-</w:t>
      </w:r>
      <w:r>
        <w:rPr>
          <w:color w:val="auto"/>
        </w:rPr>
        <w:t>13</w:t>
      </w:r>
      <w:r w:rsidRPr="00233E93">
        <w:rPr>
          <w:color w:val="auto"/>
        </w:rPr>
        <w:t xml:space="preserve">, step </w:t>
      </w:r>
      <w:r w:rsidR="00090EA7">
        <w:rPr>
          <w:color w:val="auto"/>
        </w:rPr>
        <w:t>1</w:t>
      </w:r>
      <w:r w:rsidRPr="00233E93">
        <w:rPr>
          <w:color w:val="auto"/>
        </w:rPr>
        <w:t xml:space="preserve"> employee is $</w:t>
      </w:r>
      <w:r w:rsidR="00DF36E0">
        <w:rPr>
          <w:color w:val="auto"/>
        </w:rPr>
        <w:t>78.73</w:t>
      </w:r>
      <w:r w:rsidR="00473CA5">
        <w:rPr>
          <w:color w:val="auto"/>
        </w:rPr>
        <w:t xml:space="preserve"> </w:t>
      </w:r>
      <w:r w:rsidRPr="00233E93">
        <w:rPr>
          <w:color w:val="auto"/>
        </w:rPr>
        <w:t>per hour (GS hourly rate of $</w:t>
      </w:r>
      <w:r w:rsidR="00473CA5">
        <w:rPr>
          <w:color w:val="auto"/>
        </w:rPr>
        <w:t>57.78</w:t>
      </w:r>
      <w:r w:rsidRPr="00233E93">
        <w:rPr>
          <w:color w:val="auto"/>
        </w:rPr>
        <w:t xml:space="preserve"> with </w:t>
      </w:r>
      <w:r w:rsidR="00860867">
        <w:rPr>
          <w:color w:val="auto"/>
        </w:rPr>
        <w:t>36.25</w:t>
      </w:r>
      <w:r w:rsidRPr="00233E93">
        <w:rPr>
          <w:color w:val="auto"/>
        </w:rPr>
        <w:t>% ($</w:t>
      </w:r>
      <w:r w:rsidR="00DF36E0">
        <w:rPr>
          <w:color w:val="auto"/>
        </w:rPr>
        <w:t>20.95</w:t>
      </w:r>
      <w:r w:rsidRPr="00233E93">
        <w:rPr>
          <w:color w:val="auto"/>
        </w:rPr>
        <w:t>) added for benefits and overhead</w:t>
      </w:r>
      <w:r>
        <w:rPr>
          <w:color w:val="auto"/>
        </w:rPr>
        <w:t>)</w:t>
      </w:r>
      <w:r w:rsidRPr="00233E93">
        <w:rPr>
          <w:color w:val="auto"/>
        </w:rPr>
        <w:t>.</w:t>
      </w:r>
    </w:p>
    <w:p w:rsidR="00090EA7" w:rsidP="003D2F8B" w14:paraId="559A5924"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p>
    <w:p w:rsidR="00090EA7" w:rsidRPr="00233E93" w:rsidP="003D2F8B" w14:paraId="359EDEEB" w14:textId="538033F8">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Pr>
          <w:color w:val="auto"/>
        </w:rPr>
        <w:t xml:space="preserve">The </w:t>
      </w:r>
      <w:r w:rsidR="008B741F">
        <w:rPr>
          <w:color w:val="auto"/>
        </w:rPr>
        <w:t>average hourly rate</w:t>
      </w:r>
      <w:r w:rsidR="00DA43F1">
        <w:rPr>
          <w:color w:val="auto"/>
        </w:rPr>
        <w:t xml:space="preserve"> of these employees</w:t>
      </w:r>
      <w:r w:rsidR="008B741F">
        <w:rPr>
          <w:color w:val="auto"/>
        </w:rPr>
        <w:t xml:space="preserve"> is $</w:t>
      </w:r>
      <w:r w:rsidR="00665FEB">
        <w:rPr>
          <w:color w:val="auto"/>
        </w:rPr>
        <w:t>59.51</w:t>
      </w:r>
      <w:r w:rsidR="008B741F">
        <w:rPr>
          <w:color w:val="auto"/>
        </w:rPr>
        <w:t xml:space="preserve">. </w:t>
      </w:r>
    </w:p>
    <w:p w:rsidR="003D2F8B" w:rsidRPr="006B46CC" w:rsidP="00636EDA" w14:paraId="7B8A795D" w14:textId="5705B49B">
      <w:pPr>
        <w:widowControl/>
        <w:tabs>
          <w:tab w:val="left" w:pos="-984"/>
          <w:tab w:val="left" w:pos="-720"/>
          <w:tab w:val="left" w:pos="720"/>
        </w:tabs>
        <w:jc w:val="both"/>
        <w:rPr>
          <w:rFonts w:ascii="Arial" w:hAnsi="Arial" w:cs="Arial"/>
          <w:color w:val="0000FF"/>
        </w:rPr>
      </w:pPr>
    </w:p>
    <w:p w:rsidR="00636EDA" w:rsidRPr="007E5193" w:rsidP="00636EDA" w14:paraId="79D4A173" w14:textId="28CA6171">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w:t>
      </w:r>
      <w:r w:rsidRPr="004D7E96">
        <w:rPr>
          <w:rFonts w:ascii="Arial" w:hAnsi="Arial" w:cs="Arial"/>
        </w:rPr>
        <w:t>employee</w:t>
      </w:r>
      <w:r w:rsidR="00DA43F1">
        <w:rPr>
          <w:rFonts w:ascii="Arial" w:hAnsi="Arial" w:cs="Arial"/>
        </w:rPr>
        <w:t>s</w:t>
      </w:r>
      <w:r w:rsidRPr="004D7E96">
        <w:rPr>
          <w:rFonts w:ascii="Arial" w:hAnsi="Arial" w:cs="Arial"/>
        </w:rPr>
        <w:t xml:space="preserve"> </w:t>
      </w:r>
      <w:r w:rsidR="007F1A78">
        <w:rPr>
          <w:rFonts w:ascii="Arial" w:hAnsi="Arial" w:cs="Arial"/>
        </w:rPr>
        <w:t>24</w:t>
      </w:r>
      <w:r w:rsidRPr="004D7E96">
        <w:rPr>
          <w:rFonts w:ascii="Arial" w:hAnsi="Arial" w:cs="Arial"/>
        </w:rPr>
        <w:t xml:space="preserve"> minutes (0.</w:t>
      </w:r>
      <w:r w:rsidR="007F1A78">
        <w:rPr>
          <w:rFonts w:ascii="Arial" w:hAnsi="Arial" w:cs="Arial"/>
        </w:rPr>
        <w:t>40</w:t>
      </w:r>
      <w:r w:rsidRPr="004D7E96">
        <w:rPr>
          <w:rFonts w:ascii="Arial" w:hAnsi="Arial" w:cs="Arial"/>
        </w:rPr>
        <w:t xml:space="preserve"> hours) to process </w:t>
      </w:r>
      <w:r w:rsidR="007F1A78">
        <w:rPr>
          <w:rFonts w:ascii="Arial" w:hAnsi="Arial" w:cs="Arial"/>
        </w:rPr>
        <w:t xml:space="preserve">items in this collection.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116DF072">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0D56F1">
        <w:rPr>
          <w:rFonts w:ascii="Arial" w:hAnsi="Arial" w:cs="Arial"/>
        </w:rPr>
        <w:t>f</w:t>
      </w:r>
      <w:r w:rsidRPr="00321808">
        <w:rPr>
          <w:rFonts w:ascii="Arial" w:hAnsi="Arial" w:cs="Arial"/>
        </w:rPr>
        <w:t xml:space="preserve">ederal </w:t>
      </w:r>
      <w:r w:rsidR="000D56F1">
        <w:rPr>
          <w:rFonts w:ascii="Arial" w:hAnsi="Arial" w:cs="Arial"/>
        </w:rPr>
        <w:t>g</w:t>
      </w:r>
      <w:r w:rsidRPr="00321808">
        <w:rPr>
          <w:rFonts w:ascii="Arial" w:hAnsi="Arial" w:cs="Arial"/>
        </w:rPr>
        <w:t>overnment for processing this information collection</w:t>
      </w:r>
      <w:r>
        <w:rPr>
          <w:rFonts w:ascii="Arial" w:hAnsi="Arial" w:cs="Arial"/>
        </w:rPr>
        <w:t>:</w:t>
      </w:r>
    </w:p>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7"/>
        <w:gridCol w:w="2743"/>
        <w:gridCol w:w="1189"/>
        <w:gridCol w:w="1326"/>
        <w:gridCol w:w="1098"/>
        <w:gridCol w:w="1098"/>
        <w:gridCol w:w="1279"/>
      </w:tblGrid>
      <w:tr w14:paraId="5F48EAC3" w14:textId="77777777" w:rsidTr="00240E1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30" w:type="pct"/>
            <w:shd w:val="clear" w:color="auto" w:fill="B8CCE4" w:themeFill="accent1" w:themeFillTint="66"/>
          </w:tcPr>
          <w:p w:rsidR="00707AED" w:rsidRPr="00C5290A" w:rsidP="00707AED" w14:paraId="43D2C70E" w14:textId="65C1D710">
            <w:pPr>
              <w:widowControl/>
              <w:autoSpaceDE/>
              <w:autoSpaceDN/>
              <w:adjustRightInd/>
              <w:jc w:val="center"/>
              <w:rPr>
                <w:rFonts w:ascii="Arial" w:hAnsi="Arial"/>
                <w:b/>
                <w:sz w:val="16"/>
                <w:szCs w:val="20"/>
              </w:rPr>
            </w:pPr>
            <w:bookmarkStart w:id="10" w:name="_Hlk153975689"/>
            <w:r w:rsidRPr="00C5290A">
              <w:rPr>
                <w:rFonts w:ascii="Arial" w:hAnsi="Arial"/>
                <w:b/>
                <w:sz w:val="16"/>
                <w:szCs w:val="20"/>
              </w:rPr>
              <w:t>I</w:t>
            </w:r>
            <w:r>
              <w:rPr>
                <w:rFonts w:ascii="Arial" w:hAnsi="Arial"/>
                <w:b/>
                <w:sz w:val="16"/>
                <w:szCs w:val="20"/>
              </w:rPr>
              <w:t>tem</w:t>
            </w:r>
            <w:r w:rsidRPr="00C5290A">
              <w:rPr>
                <w:rFonts w:ascii="Arial" w:hAnsi="Arial"/>
                <w:b/>
                <w:sz w:val="16"/>
                <w:szCs w:val="20"/>
              </w:rPr>
              <w:t xml:space="preserve"> N</w:t>
            </w:r>
            <w:r>
              <w:rPr>
                <w:rFonts w:ascii="Arial" w:hAnsi="Arial"/>
                <w:b/>
                <w:sz w:val="16"/>
                <w:szCs w:val="20"/>
              </w:rPr>
              <w:t>o.</w:t>
            </w:r>
          </w:p>
        </w:tc>
        <w:tc>
          <w:tcPr>
            <w:tcW w:w="1467" w:type="pct"/>
            <w:shd w:val="clear" w:color="auto" w:fill="B8CCE4" w:themeFill="accent1" w:themeFillTint="66"/>
          </w:tcPr>
          <w:p w:rsidR="00707AED" w:rsidRPr="00C5290A" w:rsidP="00707AED"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636" w:type="pct"/>
            <w:shd w:val="clear" w:color="auto" w:fill="B8CCE4" w:themeFill="accent1" w:themeFillTint="66"/>
          </w:tcPr>
          <w:p w:rsidR="00707AED" w:rsidRPr="00C5290A" w:rsidP="00707AED" w14:paraId="6DC5B171"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BA529D" w:rsidP="00707AED" w14:paraId="7D53705B" w14:textId="77777777">
            <w:pPr>
              <w:widowControl/>
              <w:autoSpaceDE/>
              <w:autoSpaceDN/>
              <w:adjustRightInd/>
              <w:jc w:val="center"/>
              <w:rPr>
                <w:rFonts w:ascii="Arial" w:hAnsi="Arial"/>
                <w:b/>
                <w:sz w:val="16"/>
                <w:szCs w:val="20"/>
              </w:rPr>
            </w:pPr>
          </w:p>
          <w:p w:rsidR="00707AED" w:rsidP="00707AED" w14:paraId="39613C3F" w14:textId="67929462">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709" w:type="pct"/>
            <w:shd w:val="clear" w:color="auto" w:fill="B8CCE4" w:themeFill="accent1" w:themeFillTint="66"/>
          </w:tcPr>
          <w:p w:rsidR="00707AED" w:rsidRPr="00C5290A" w:rsidP="00707AED" w14:paraId="3BF0FC26" w14:textId="7FDF6CE3">
            <w:pPr>
              <w:widowControl/>
              <w:autoSpaceDE/>
              <w:autoSpaceDN/>
              <w:adjustRightInd/>
              <w:jc w:val="center"/>
              <w:rPr>
                <w:rFonts w:ascii="Arial" w:hAnsi="Arial"/>
                <w:b/>
                <w:sz w:val="16"/>
                <w:szCs w:val="20"/>
              </w:rPr>
            </w:pPr>
            <w:r>
              <w:rPr>
                <w:rFonts w:ascii="Arial" w:hAnsi="Arial"/>
                <w:b/>
                <w:sz w:val="16"/>
                <w:szCs w:val="20"/>
              </w:rPr>
              <w:t>Estimated Burden Hours</w:t>
            </w:r>
          </w:p>
          <w:p w:rsidR="00BA529D" w:rsidP="00707AED" w14:paraId="41F19E8F" w14:textId="77777777">
            <w:pPr>
              <w:widowControl/>
              <w:autoSpaceDE/>
              <w:autoSpaceDN/>
              <w:adjustRightInd/>
              <w:jc w:val="center"/>
              <w:rPr>
                <w:rFonts w:ascii="Arial" w:hAnsi="Arial"/>
                <w:b/>
                <w:sz w:val="16"/>
                <w:szCs w:val="20"/>
              </w:rPr>
            </w:pPr>
          </w:p>
          <w:p w:rsidR="00BA529D" w:rsidP="00707AED" w14:paraId="6F9638B6" w14:textId="77777777">
            <w:pPr>
              <w:widowControl/>
              <w:autoSpaceDE/>
              <w:autoSpaceDN/>
              <w:adjustRightInd/>
              <w:jc w:val="center"/>
              <w:rPr>
                <w:rFonts w:ascii="Arial" w:hAnsi="Arial"/>
                <w:b/>
                <w:sz w:val="16"/>
                <w:szCs w:val="20"/>
              </w:rPr>
            </w:pPr>
          </w:p>
          <w:p w:rsidR="00707AED" w:rsidRPr="00C5290A" w:rsidP="00707AED" w14:paraId="11BFCB87" w14:textId="655100BD">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587" w:type="pct"/>
            <w:shd w:val="clear" w:color="auto" w:fill="B8CCE4" w:themeFill="accent1" w:themeFillTint="66"/>
          </w:tcPr>
          <w:p w:rsidR="00707AED" w:rsidRPr="005158F0" w:rsidP="00707AED"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BA529D" w:rsidP="00707AED" w14:paraId="1E98A036" w14:textId="77777777">
            <w:pPr>
              <w:widowControl/>
              <w:autoSpaceDE/>
              <w:autoSpaceDN/>
              <w:adjustRightInd/>
              <w:jc w:val="center"/>
              <w:rPr>
                <w:rFonts w:ascii="Arial" w:hAnsi="Arial"/>
                <w:b/>
                <w:sz w:val="16"/>
                <w:szCs w:val="20"/>
              </w:rPr>
            </w:pPr>
          </w:p>
          <w:p w:rsidR="00707AED" w:rsidRPr="00C5290A" w:rsidP="00707AED" w14:paraId="1393345E" w14:textId="69C3FB9D">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587" w:type="pct"/>
            <w:shd w:val="clear" w:color="auto" w:fill="B8CCE4" w:themeFill="accent1" w:themeFillTint="66"/>
          </w:tcPr>
          <w:p w:rsidR="00707AED" w:rsidRPr="005158F0" w:rsidP="00707AED"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7"/>
            </w:r>
          </w:p>
          <w:p w:rsidR="00707AED" w:rsidRPr="005158F0" w:rsidP="00707AED"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BA529D" w:rsidP="00707AED" w14:paraId="5F02376C" w14:textId="77777777">
            <w:pPr>
              <w:widowControl/>
              <w:autoSpaceDE/>
              <w:autoSpaceDN/>
              <w:adjustRightInd/>
              <w:jc w:val="center"/>
              <w:rPr>
                <w:rFonts w:ascii="Arial" w:hAnsi="Arial"/>
                <w:b/>
                <w:sz w:val="16"/>
                <w:szCs w:val="20"/>
              </w:rPr>
            </w:pPr>
          </w:p>
          <w:p w:rsidR="00BA529D" w:rsidP="00707AED" w14:paraId="2FED6CE6" w14:textId="77777777">
            <w:pPr>
              <w:widowControl/>
              <w:autoSpaceDE/>
              <w:autoSpaceDN/>
              <w:adjustRightInd/>
              <w:jc w:val="center"/>
              <w:rPr>
                <w:rFonts w:ascii="Arial" w:hAnsi="Arial"/>
                <w:b/>
                <w:sz w:val="16"/>
                <w:szCs w:val="20"/>
              </w:rPr>
            </w:pPr>
          </w:p>
          <w:p w:rsidR="00707AED" w:rsidRPr="00C5290A" w:rsidP="00707AED" w14:paraId="5B7D5AD7" w14:textId="2DD7192C">
            <w:pPr>
              <w:widowControl/>
              <w:autoSpaceDE/>
              <w:autoSpaceDN/>
              <w:adjustRightInd/>
              <w:jc w:val="center"/>
              <w:rPr>
                <w:rFonts w:ascii="Arial" w:hAnsi="Arial"/>
                <w:b/>
                <w:sz w:val="16"/>
                <w:szCs w:val="20"/>
              </w:rPr>
            </w:pPr>
            <w:r w:rsidRPr="005158F0">
              <w:rPr>
                <w:rFonts w:ascii="Arial" w:hAnsi="Arial"/>
                <w:b/>
                <w:sz w:val="16"/>
                <w:szCs w:val="20"/>
              </w:rPr>
              <w:t>(d)</w:t>
            </w:r>
          </w:p>
        </w:tc>
        <w:tc>
          <w:tcPr>
            <w:tcW w:w="685" w:type="pct"/>
            <w:shd w:val="clear" w:color="auto" w:fill="B8CCE4" w:themeFill="accent1" w:themeFillTint="66"/>
          </w:tcPr>
          <w:p w:rsidR="00707AED" w:rsidRPr="005158F0" w:rsidP="00707AED" w14:paraId="1C2F6765" w14:textId="5DB38C1B">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C648DD">
              <w:rPr>
                <w:rFonts w:ascii="Arial" w:hAnsi="Arial"/>
                <w:b/>
                <w:sz w:val="16"/>
                <w:szCs w:val="20"/>
              </w:rPr>
              <w:t>Government Cost</w:t>
            </w:r>
          </w:p>
          <w:p w:rsidR="00BA529D" w:rsidP="00707AED" w14:paraId="3D2B45EF" w14:textId="77777777">
            <w:pPr>
              <w:widowControl/>
              <w:autoSpaceDE/>
              <w:autoSpaceDN/>
              <w:adjustRightInd/>
              <w:jc w:val="center"/>
              <w:rPr>
                <w:rFonts w:ascii="Arial" w:hAnsi="Arial"/>
                <w:b/>
                <w:sz w:val="16"/>
                <w:szCs w:val="20"/>
              </w:rPr>
            </w:pPr>
          </w:p>
          <w:p w:rsidR="00707AED" w:rsidRPr="00C5290A" w:rsidP="00707AED" w14:paraId="2B831853" w14:textId="5B1E86EE">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1C3701">
        <w:tblPrEx>
          <w:tblW w:w="5000" w:type="pct"/>
          <w:tblLayout w:type="fixed"/>
          <w:tblLook w:val="0000"/>
        </w:tblPrEx>
        <w:trPr>
          <w:cantSplit/>
        </w:trPr>
        <w:tc>
          <w:tcPr>
            <w:tcW w:w="330" w:type="pct"/>
            <w:vAlign w:val="center"/>
          </w:tcPr>
          <w:p w:rsidR="00707AED" w:rsidRPr="00C5290A" w:rsidP="00707AED" w14:paraId="0B63270A" w14:textId="77777777">
            <w:pPr>
              <w:widowControl/>
              <w:autoSpaceDE/>
              <w:autoSpaceDN/>
              <w:adjustRightInd/>
              <w:jc w:val="center"/>
              <w:rPr>
                <w:rFonts w:ascii="Arial" w:hAnsi="Arial"/>
                <w:b/>
                <w:sz w:val="16"/>
                <w:szCs w:val="20"/>
              </w:rPr>
            </w:pPr>
            <w:r w:rsidRPr="00C5290A">
              <w:rPr>
                <w:rFonts w:ascii="Arial" w:hAnsi="Arial"/>
                <w:b/>
                <w:sz w:val="16"/>
                <w:szCs w:val="20"/>
              </w:rPr>
              <w:t>1</w:t>
            </w:r>
          </w:p>
        </w:tc>
        <w:tc>
          <w:tcPr>
            <w:tcW w:w="1467" w:type="pct"/>
            <w:vAlign w:val="center"/>
          </w:tcPr>
          <w:p w:rsidR="00707AED" w:rsidRPr="00C5290A" w:rsidP="00707AED" w14:paraId="52B754D3" w14:textId="09EC589C">
            <w:pPr>
              <w:widowControl/>
              <w:autoSpaceDE/>
              <w:autoSpaceDN/>
              <w:adjustRightInd/>
              <w:rPr>
                <w:rFonts w:ascii="Arial" w:hAnsi="Arial"/>
                <w:sz w:val="16"/>
                <w:szCs w:val="20"/>
              </w:rPr>
            </w:pPr>
            <w:r>
              <w:rPr>
                <w:rFonts w:ascii="Arial" w:hAnsi="Arial"/>
                <w:sz w:val="16"/>
                <w:szCs w:val="20"/>
              </w:rPr>
              <w:t>Sequence Listing in Application</w:t>
            </w:r>
          </w:p>
        </w:tc>
        <w:tc>
          <w:tcPr>
            <w:tcW w:w="636" w:type="pct"/>
            <w:vAlign w:val="center"/>
          </w:tcPr>
          <w:p w:rsidR="00707AED" w:rsidRPr="00C5290A" w:rsidP="007F1A78" w14:paraId="5C492A96" w14:textId="5D7D6F40">
            <w:pPr>
              <w:widowControl/>
              <w:autoSpaceDE/>
              <w:autoSpaceDN/>
              <w:adjustRightInd/>
              <w:jc w:val="right"/>
              <w:rPr>
                <w:rFonts w:ascii="Arial" w:hAnsi="Arial"/>
                <w:sz w:val="16"/>
                <w:szCs w:val="20"/>
              </w:rPr>
            </w:pPr>
            <w:r>
              <w:rPr>
                <w:rFonts w:ascii="Arial" w:hAnsi="Arial"/>
                <w:sz w:val="16"/>
                <w:szCs w:val="20"/>
              </w:rPr>
              <w:t>30,000</w:t>
            </w:r>
          </w:p>
        </w:tc>
        <w:tc>
          <w:tcPr>
            <w:tcW w:w="709" w:type="pct"/>
            <w:vAlign w:val="center"/>
          </w:tcPr>
          <w:p w:rsidR="00707AED" w:rsidP="00707AED" w14:paraId="03DD10D8" w14:textId="77777777">
            <w:pPr>
              <w:widowControl/>
              <w:autoSpaceDE/>
              <w:autoSpaceDN/>
              <w:adjustRightInd/>
              <w:jc w:val="right"/>
              <w:rPr>
                <w:rFonts w:ascii="Arial" w:hAnsi="Arial"/>
                <w:sz w:val="16"/>
                <w:szCs w:val="20"/>
              </w:rPr>
            </w:pPr>
            <w:r>
              <w:rPr>
                <w:rFonts w:ascii="Arial" w:hAnsi="Arial"/>
                <w:sz w:val="16"/>
                <w:szCs w:val="20"/>
              </w:rPr>
              <w:t>0.40</w:t>
            </w:r>
          </w:p>
          <w:p w:rsidR="0034016F" w:rsidRPr="00C5290A" w:rsidP="00707AED" w14:paraId="5E3E0FE5" w14:textId="44E1409F">
            <w:pPr>
              <w:widowControl/>
              <w:autoSpaceDE/>
              <w:autoSpaceDN/>
              <w:adjustRightInd/>
              <w:jc w:val="right"/>
              <w:rPr>
                <w:rFonts w:ascii="Arial" w:hAnsi="Arial"/>
                <w:sz w:val="16"/>
                <w:szCs w:val="20"/>
              </w:rPr>
            </w:pPr>
            <w:r>
              <w:rPr>
                <w:rFonts w:ascii="Arial" w:hAnsi="Arial"/>
                <w:sz w:val="16"/>
                <w:szCs w:val="20"/>
              </w:rPr>
              <w:t>(24 minute</w:t>
            </w:r>
            <w:r w:rsidR="00204EA6">
              <w:rPr>
                <w:rFonts w:ascii="Arial" w:hAnsi="Arial"/>
                <w:sz w:val="16"/>
                <w:szCs w:val="20"/>
              </w:rPr>
              <w:t>s</w:t>
            </w:r>
            <w:r>
              <w:rPr>
                <w:rFonts w:ascii="Arial" w:hAnsi="Arial"/>
                <w:sz w:val="16"/>
                <w:szCs w:val="20"/>
              </w:rPr>
              <w:t>)</w:t>
            </w:r>
          </w:p>
        </w:tc>
        <w:tc>
          <w:tcPr>
            <w:tcW w:w="587" w:type="pct"/>
            <w:vAlign w:val="center"/>
          </w:tcPr>
          <w:p w:rsidR="00707AED" w:rsidRPr="00C5290A" w:rsidP="00707AED" w14:paraId="0127F37D" w14:textId="460E3B8C">
            <w:pPr>
              <w:widowControl/>
              <w:autoSpaceDE/>
              <w:autoSpaceDN/>
              <w:adjustRightInd/>
              <w:jc w:val="right"/>
              <w:rPr>
                <w:rFonts w:ascii="Arial" w:hAnsi="Arial"/>
                <w:sz w:val="16"/>
                <w:szCs w:val="20"/>
              </w:rPr>
            </w:pPr>
            <w:r>
              <w:rPr>
                <w:rFonts w:ascii="Arial" w:hAnsi="Arial"/>
                <w:sz w:val="16"/>
                <w:szCs w:val="20"/>
              </w:rPr>
              <w:t>12,000</w:t>
            </w:r>
          </w:p>
        </w:tc>
        <w:tc>
          <w:tcPr>
            <w:tcW w:w="587" w:type="pct"/>
            <w:vAlign w:val="center"/>
          </w:tcPr>
          <w:p w:rsidR="00707AED" w:rsidRPr="00C5290A" w:rsidP="00707AED" w14:paraId="74B4BE93" w14:textId="75706B50">
            <w:pPr>
              <w:widowControl/>
              <w:autoSpaceDE/>
              <w:autoSpaceDN/>
              <w:adjustRightInd/>
              <w:jc w:val="right"/>
              <w:rPr>
                <w:rFonts w:ascii="Arial" w:hAnsi="Arial"/>
                <w:sz w:val="16"/>
                <w:szCs w:val="20"/>
              </w:rPr>
            </w:pPr>
            <w:r>
              <w:rPr>
                <w:rFonts w:ascii="Arial" w:hAnsi="Arial"/>
                <w:sz w:val="16"/>
                <w:szCs w:val="20"/>
              </w:rPr>
              <w:t>$</w:t>
            </w:r>
            <w:r w:rsidR="00665FEB">
              <w:rPr>
                <w:rFonts w:ascii="Arial" w:hAnsi="Arial"/>
                <w:sz w:val="16"/>
                <w:szCs w:val="20"/>
              </w:rPr>
              <w:t>59.51</w:t>
            </w:r>
          </w:p>
        </w:tc>
        <w:tc>
          <w:tcPr>
            <w:tcW w:w="685" w:type="pct"/>
            <w:vAlign w:val="center"/>
          </w:tcPr>
          <w:p w:rsidR="00707AED" w:rsidRPr="00C5290A" w:rsidP="00707AED" w14:paraId="55000823" w14:textId="0B52B9F6">
            <w:pPr>
              <w:widowControl/>
              <w:autoSpaceDE/>
              <w:autoSpaceDN/>
              <w:adjustRightInd/>
              <w:jc w:val="right"/>
              <w:rPr>
                <w:rFonts w:ascii="Arial" w:hAnsi="Arial"/>
                <w:sz w:val="16"/>
                <w:szCs w:val="20"/>
              </w:rPr>
            </w:pPr>
            <w:r>
              <w:rPr>
                <w:rFonts w:ascii="Arial" w:hAnsi="Arial"/>
                <w:sz w:val="16"/>
                <w:szCs w:val="20"/>
              </w:rPr>
              <w:t>$</w:t>
            </w:r>
            <w:r w:rsidR="00BD5DD2">
              <w:rPr>
                <w:rFonts w:ascii="Arial" w:hAnsi="Arial"/>
                <w:sz w:val="16"/>
                <w:szCs w:val="20"/>
              </w:rPr>
              <w:t>714,120</w:t>
            </w:r>
          </w:p>
        </w:tc>
      </w:tr>
      <w:tr w14:paraId="638E4730" w14:textId="77777777" w:rsidTr="001C3701">
        <w:tblPrEx>
          <w:tblW w:w="5000" w:type="pct"/>
          <w:tblLayout w:type="fixed"/>
          <w:tblLook w:val="0000"/>
        </w:tblPrEx>
        <w:trPr>
          <w:cantSplit/>
          <w:trHeight w:val="377"/>
        </w:trPr>
        <w:tc>
          <w:tcPr>
            <w:tcW w:w="330" w:type="pct"/>
            <w:vAlign w:val="center"/>
          </w:tcPr>
          <w:p w:rsidR="00707AED" w:rsidRPr="00C5290A" w:rsidP="00707AED" w14:paraId="16308BC6" w14:textId="77777777">
            <w:pPr>
              <w:widowControl/>
              <w:autoSpaceDE/>
              <w:autoSpaceDN/>
              <w:adjustRightInd/>
              <w:rPr>
                <w:rFonts w:ascii="Arial" w:hAnsi="Arial"/>
                <w:b/>
                <w:sz w:val="16"/>
                <w:szCs w:val="20"/>
              </w:rPr>
            </w:pPr>
          </w:p>
          <w:p w:rsidR="00707AED" w:rsidRPr="00C5290A" w:rsidP="00707AED" w14:paraId="5F6EF8A1" w14:textId="77777777">
            <w:pPr>
              <w:widowControl/>
              <w:autoSpaceDE/>
              <w:autoSpaceDN/>
              <w:adjustRightInd/>
              <w:rPr>
                <w:rFonts w:ascii="Arial" w:hAnsi="Arial"/>
                <w:b/>
                <w:sz w:val="16"/>
                <w:szCs w:val="20"/>
              </w:rPr>
            </w:pPr>
          </w:p>
        </w:tc>
        <w:tc>
          <w:tcPr>
            <w:tcW w:w="1467" w:type="pct"/>
            <w:vAlign w:val="center"/>
          </w:tcPr>
          <w:p w:rsidR="00707AED" w:rsidRPr="00C5290A" w:rsidP="00707AED" w14:paraId="3F452030" w14:textId="461F044D">
            <w:pPr>
              <w:keepNext/>
              <w:widowControl/>
              <w:autoSpaceDE/>
              <w:autoSpaceDN/>
              <w:adjustRightInd/>
              <w:outlineLvl w:val="8"/>
              <w:rPr>
                <w:rFonts w:ascii="Arial" w:hAnsi="Arial"/>
                <w:b/>
                <w:sz w:val="16"/>
                <w:szCs w:val="20"/>
              </w:rPr>
            </w:pPr>
            <w:r w:rsidRPr="00C5290A">
              <w:rPr>
                <w:rFonts w:ascii="Arial" w:hAnsi="Arial"/>
                <w:b/>
                <w:sz w:val="16"/>
                <w:szCs w:val="20"/>
              </w:rPr>
              <w:t>T</w:t>
            </w:r>
            <w:r w:rsidR="00DA5BF2">
              <w:rPr>
                <w:rFonts w:ascii="Arial" w:hAnsi="Arial"/>
                <w:b/>
                <w:sz w:val="16"/>
                <w:szCs w:val="20"/>
              </w:rPr>
              <w:t>otals</w:t>
            </w:r>
          </w:p>
        </w:tc>
        <w:tc>
          <w:tcPr>
            <w:tcW w:w="636" w:type="pct"/>
            <w:vAlign w:val="center"/>
          </w:tcPr>
          <w:p w:rsidR="00707AED" w:rsidRPr="00C5290A" w:rsidP="00B114CE" w14:paraId="25CEC1E6" w14:textId="090846FA">
            <w:pPr>
              <w:widowControl/>
              <w:autoSpaceDE/>
              <w:autoSpaceDN/>
              <w:adjustRightInd/>
              <w:jc w:val="right"/>
              <w:rPr>
                <w:rFonts w:ascii="Arial" w:hAnsi="Arial"/>
                <w:b/>
                <w:sz w:val="16"/>
                <w:szCs w:val="20"/>
              </w:rPr>
            </w:pPr>
            <w:r>
              <w:rPr>
                <w:rFonts w:ascii="Arial" w:hAnsi="Arial"/>
                <w:b/>
                <w:sz w:val="16"/>
                <w:szCs w:val="20"/>
              </w:rPr>
              <w:t>30,000</w:t>
            </w:r>
          </w:p>
        </w:tc>
        <w:tc>
          <w:tcPr>
            <w:tcW w:w="709" w:type="pct"/>
            <w:vAlign w:val="center"/>
          </w:tcPr>
          <w:p w:rsidR="00707AED" w:rsidRPr="00C5290A" w:rsidP="00707AED" w14:paraId="59F0BA43" w14:textId="2B436C9A">
            <w:pPr>
              <w:widowControl/>
              <w:autoSpaceDE/>
              <w:autoSpaceDN/>
              <w:adjustRightInd/>
              <w:jc w:val="right"/>
              <w:rPr>
                <w:rFonts w:ascii="Arial" w:hAnsi="Arial"/>
                <w:b/>
                <w:sz w:val="16"/>
                <w:szCs w:val="20"/>
              </w:rPr>
            </w:pPr>
            <w:r>
              <w:rPr>
                <w:rFonts w:ascii="Arial" w:hAnsi="Arial" w:cs="Arial"/>
                <w:b/>
                <w:bCs/>
                <w:sz w:val="16"/>
                <w:szCs w:val="16"/>
              </w:rPr>
              <w:t>- - -</w:t>
            </w:r>
          </w:p>
        </w:tc>
        <w:tc>
          <w:tcPr>
            <w:tcW w:w="587" w:type="pct"/>
            <w:vAlign w:val="center"/>
          </w:tcPr>
          <w:p w:rsidR="00707AED" w:rsidRPr="00C5290A" w:rsidP="00707AED" w14:paraId="763A2CC0" w14:textId="4CBCAB32">
            <w:pPr>
              <w:widowControl/>
              <w:autoSpaceDE/>
              <w:autoSpaceDN/>
              <w:adjustRightInd/>
              <w:jc w:val="right"/>
              <w:rPr>
                <w:rFonts w:ascii="Arial" w:hAnsi="Arial"/>
                <w:b/>
                <w:sz w:val="16"/>
                <w:szCs w:val="20"/>
              </w:rPr>
            </w:pPr>
            <w:r>
              <w:rPr>
                <w:rFonts w:ascii="Arial" w:hAnsi="Arial"/>
                <w:b/>
                <w:sz w:val="16"/>
                <w:szCs w:val="20"/>
              </w:rPr>
              <w:t>12,000</w:t>
            </w:r>
          </w:p>
        </w:tc>
        <w:tc>
          <w:tcPr>
            <w:tcW w:w="587" w:type="pct"/>
            <w:vAlign w:val="center"/>
          </w:tcPr>
          <w:p w:rsidR="00707AED" w:rsidRPr="00C5290A" w:rsidP="00707AED" w14:paraId="30D3B48B" w14:textId="452ED6BB">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685" w:type="pct"/>
            <w:vAlign w:val="center"/>
          </w:tcPr>
          <w:p w:rsidR="00707AED" w:rsidRPr="00C5290A" w:rsidP="00707AED" w14:paraId="44C20D8A" w14:textId="04108569">
            <w:pPr>
              <w:widowControl/>
              <w:autoSpaceDE/>
              <w:autoSpaceDN/>
              <w:adjustRightInd/>
              <w:jc w:val="right"/>
              <w:rPr>
                <w:rFonts w:ascii="Arial" w:hAnsi="Arial"/>
                <w:b/>
                <w:sz w:val="16"/>
                <w:szCs w:val="20"/>
              </w:rPr>
            </w:pPr>
            <w:r w:rsidRPr="00C5290A">
              <w:rPr>
                <w:rFonts w:ascii="Arial" w:hAnsi="Arial"/>
                <w:b/>
                <w:sz w:val="16"/>
                <w:szCs w:val="20"/>
              </w:rPr>
              <w:t>$</w:t>
            </w:r>
            <w:r w:rsidR="00BD5DD2">
              <w:rPr>
                <w:rFonts w:ascii="Arial" w:hAnsi="Arial"/>
                <w:b/>
                <w:sz w:val="16"/>
                <w:szCs w:val="20"/>
              </w:rPr>
              <w:t>71</w:t>
            </w:r>
            <w:r w:rsidR="00FD7DBA">
              <w:rPr>
                <w:rFonts w:ascii="Arial" w:hAnsi="Arial"/>
                <w:b/>
                <w:sz w:val="16"/>
                <w:szCs w:val="20"/>
              </w:rPr>
              <w:t>4</w:t>
            </w:r>
            <w:r w:rsidR="00BD5DD2">
              <w:rPr>
                <w:rFonts w:ascii="Arial" w:hAnsi="Arial"/>
                <w:b/>
                <w:sz w:val="16"/>
                <w:szCs w:val="20"/>
              </w:rPr>
              <w:t>,120</w:t>
            </w:r>
          </w:p>
        </w:tc>
      </w:tr>
      <w:bookmarkEnd w:id="10"/>
    </w:tbl>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164C92" w:rsidP="00532921" w14:paraId="2D3E549F" w14:textId="70C57467">
      <w:pPr>
        <w:pStyle w:val="ListParagraph"/>
        <w:widowControl/>
        <w:numPr>
          <w:ilvl w:val="0"/>
          <w:numId w:val="15"/>
        </w:numPr>
        <w:tabs>
          <w:tab w:val="left" w:pos="-984"/>
          <w:tab w:val="left" w:pos="-720"/>
        </w:tabs>
        <w:ind w:left="360"/>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C160A2" w:rsidRPr="004A7EB3" w:rsidP="00164C92" w14:paraId="620F7E57" w14:textId="77777777">
      <w:pPr>
        <w:pStyle w:val="ListParagraph"/>
        <w:widowControl/>
        <w:tabs>
          <w:tab w:val="left" w:pos="-984"/>
          <w:tab w:val="left" w:pos="-720"/>
          <w:tab w:val="left" w:pos="720"/>
        </w:tabs>
        <w:ind w:left="450"/>
        <w:jc w:val="both"/>
        <w:rPr>
          <w:rFonts w:ascii="Arial" w:hAnsi="Arial" w:cs="Arial"/>
          <w:b/>
          <w:szCs w:val="20"/>
        </w:rPr>
      </w:pPr>
    </w:p>
    <w:p w:rsidR="00567B74" w:rsidRPr="00164C92" w:rsidP="00164C92" w14:paraId="70A29635" w14:textId="738C8489">
      <w:pPr>
        <w:pStyle w:val="NoSpacing"/>
        <w:jc w:val="both"/>
        <w:rPr>
          <w:rFonts w:ascii="Arial" w:hAnsi="Arial" w:cs="Arial"/>
          <w:b/>
          <w:sz w:val="20"/>
          <w:szCs w:val="20"/>
        </w:rPr>
      </w:pPr>
      <w:bookmarkStart w:id="11" w:name="_Hlk166673648"/>
      <w:bookmarkStart w:id="12"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9830B7">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11"/>
          <w:p w:rsidR="00A25005" w:rsidRPr="008E27CC" w:rsidP="00870E68"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870E68"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4281C752" w14:textId="2DFD3716">
            <w:pPr>
              <w:spacing w:line="225" w:lineRule="atLeast"/>
              <w:rPr>
                <w:rFonts w:ascii="Arial" w:hAnsi="Arial" w:cs="Arial"/>
                <w:sz w:val="17"/>
                <w:szCs w:val="17"/>
              </w:rPr>
            </w:pPr>
            <w:r>
              <w:rPr>
                <w:rFonts w:ascii="Arial" w:hAnsi="Arial" w:cs="Arial"/>
                <w:sz w:val="17"/>
                <w:szCs w:val="17"/>
              </w:rPr>
              <w:t>30,000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3187CE4C" w14:textId="44AB9318">
            <w:pPr>
              <w:spacing w:line="225" w:lineRule="atLeast"/>
              <w:rPr>
                <w:rFonts w:ascii="Arial" w:hAnsi="Arial" w:cs="Arial"/>
                <w:sz w:val="17"/>
                <w:szCs w:val="17"/>
              </w:rPr>
            </w:pPr>
            <w:r w:rsidRPr="00216B80">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4202006B" w14:textId="66F50DB6">
            <w:pPr>
              <w:spacing w:line="225" w:lineRule="atLeast"/>
              <w:rPr>
                <w:rFonts w:ascii="Arial" w:hAnsi="Arial" w:cs="Arial"/>
                <w:sz w:val="17"/>
                <w:szCs w:val="17"/>
              </w:rPr>
            </w:pPr>
            <w:r>
              <w:rPr>
                <w:rFonts w:ascii="Arial" w:hAnsi="Arial" w:cs="Arial"/>
                <w:sz w:val="17"/>
                <w:szCs w:val="17"/>
              </w:rPr>
              <w:t>1,450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1D6D54C" w14:textId="151DD9E2">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09C1A8F1" w14:textId="0B218706">
            <w:pPr>
              <w:spacing w:line="225" w:lineRule="atLeast"/>
              <w:rPr>
                <w:rFonts w:ascii="Arial" w:hAnsi="Arial" w:cs="Arial"/>
                <w:sz w:val="17"/>
                <w:szCs w:val="17"/>
              </w:rPr>
            </w:pPr>
            <w:r>
              <w:rPr>
                <w:rFonts w:ascii="Arial" w:hAnsi="Arial" w:cs="Arial"/>
                <w:sz w:val="17"/>
                <w:szCs w:val="17"/>
              </w:rPr>
              <w:t>28,550</w:t>
            </w:r>
          </w:p>
        </w:tc>
      </w:tr>
      <w:tr w14:paraId="4ABA6DCA"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8E27CC" w:rsidP="00870E68"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544083D" w14:textId="707EEEC8">
            <w:pPr>
              <w:spacing w:line="225" w:lineRule="atLeast"/>
              <w:rPr>
                <w:rFonts w:ascii="Arial" w:hAnsi="Arial" w:cs="Arial"/>
                <w:sz w:val="17"/>
                <w:szCs w:val="17"/>
              </w:rPr>
            </w:pPr>
            <w:r>
              <w:rPr>
                <w:rFonts w:ascii="Arial" w:hAnsi="Arial" w:cs="Arial"/>
                <w:sz w:val="17"/>
                <w:szCs w:val="17"/>
              </w:rPr>
              <w:t>180,000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30EB060" w14:textId="23FD37DB">
            <w:pPr>
              <w:spacing w:line="225" w:lineRule="atLeast"/>
              <w:rPr>
                <w:rFonts w:ascii="Arial" w:hAnsi="Arial" w:cs="Arial"/>
                <w:sz w:val="17"/>
                <w:szCs w:val="17"/>
              </w:rPr>
            </w:pPr>
            <w:r w:rsidRPr="00216B80">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361D9E" w:rsidP="00870E68" w14:paraId="35910740" w14:textId="6560352E">
            <w:pPr>
              <w:spacing w:line="225" w:lineRule="atLeast"/>
              <w:rPr>
                <w:rFonts w:ascii="Arial" w:hAnsi="Arial" w:cs="Arial"/>
                <w:sz w:val="17"/>
                <w:szCs w:val="17"/>
              </w:rPr>
            </w:pPr>
            <w:r>
              <w:rPr>
                <w:rFonts w:ascii="Arial" w:hAnsi="Arial" w:cs="Arial"/>
                <w:sz w:val="17"/>
                <w:szCs w:val="17"/>
              </w:rPr>
              <w:t>8</w:t>
            </w:r>
            <w:r w:rsidR="00170663">
              <w:rPr>
                <w:rFonts w:ascii="Arial" w:hAnsi="Arial" w:cs="Arial"/>
                <w:sz w:val="17"/>
                <w:szCs w:val="17"/>
              </w:rPr>
              <w:t>,700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17CFFAD1" w14:textId="6B1817D6">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A25005" w:rsidRPr="00216B80" w:rsidP="00870E68" w14:paraId="20D5F23A" w14:textId="0630C452">
            <w:pPr>
              <w:spacing w:line="225" w:lineRule="atLeast"/>
              <w:rPr>
                <w:rFonts w:ascii="Arial" w:hAnsi="Arial" w:cs="Arial"/>
                <w:sz w:val="17"/>
                <w:szCs w:val="17"/>
              </w:rPr>
            </w:pPr>
            <w:r>
              <w:rPr>
                <w:rFonts w:ascii="Arial" w:hAnsi="Arial" w:cs="Arial"/>
                <w:sz w:val="17"/>
                <w:szCs w:val="17"/>
              </w:rPr>
              <w:t>171,300</w:t>
            </w:r>
          </w:p>
        </w:tc>
      </w:tr>
      <w:tr w14:paraId="224721FB" w14:textId="77777777" w:rsidTr="009830B7">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6D12CC9A" w14:textId="0ECD21A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401135" w14:textId="7594B590">
            <w:pPr>
              <w:spacing w:line="225" w:lineRule="atLeast"/>
              <w:rPr>
                <w:rFonts w:ascii="Arial" w:hAnsi="Arial" w:cs="Arial"/>
                <w:sz w:val="17"/>
                <w:szCs w:val="17"/>
              </w:rPr>
            </w:pPr>
            <w:r>
              <w:rPr>
                <w:rFonts w:ascii="Arial" w:hAnsi="Arial" w:cs="Arial"/>
                <w:sz w:val="17"/>
                <w:szCs w:val="17"/>
              </w:rPr>
              <w:t>336,973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05E0C90B" w14:textId="0DC0B296">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8E1811" w:rsidP="009830B7" w14:paraId="1B8D539C" w14:textId="7CA05E52">
            <w:pPr>
              <w:spacing w:line="225" w:lineRule="atLeast"/>
              <w:rPr>
                <w:rFonts w:ascii="Arial" w:hAnsi="Arial" w:cs="Arial"/>
                <w:sz w:val="17"/>
                <w:szCs w:val="17"/>
              </w:rPr>
            </w:pPr>
            <w:r w:rsidRPr="008E1811">
              <w:rPr>
                <w:rFonts w:ascii="Arial" w:hAnsi="Arial" w:cs="Arial"/>
                <w:sz w:val="17"/>
                <w:szCs w:val="17"/>
              </w:rPr>
              <w:t>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361D9E" w:rsidP="009830B7" w14:paraId="17CD4C62" w14:textId="3B28E772">
            <w:pPr>
              <w:spacing w:line="225" w:lineRule="atLeast"/>
              <w:rPr>
                <w:rFonts w:ascii="Arial" w:hAnsi="Arial" w:cs="Arial"/>
                <w:sz w:val="17"/>
                <w:szCs w:val="17"/>
              </w:rPr>
            </w:pPr>
            <w:r>
              <w:rPr>
                <w:rFonts w:ascii="Arial" w:hAnsi="Arial" w:cs="Arial"/>
                <w:sz w:val="17"/>
                <w:szCs w:val="17"/>
              </w:rPr>
              <w:t>-924,514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39F814BB" w14:textId="33432E5B">
            <w:pPr>
              <w:spacing w:line="225" w:lineRule="atLeast"/>
              <w:rPr>
                <w:rFonts w:ascii="Arial" w:hAnsi="Arial" w:cs="Arial"/>
                <w:sz w:val="17"/>
                <w:szCs w:val="17"/>
              </w:rPr>
            </w:pPr>
            <w:r w:rsidRPr="00216B80">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9830B7" w:rsidRPr="00216B80" w:rsidP="009830B7" w14:paraId="7D402E8F" w14:textId="41F5AE44">
            <w:pPr>
              <w:spacing w:line="225" w:lineRule="atLeast"/>
              <w:rPr>
                <w:rFonts w:ascii="Arial" w:hAnsi="Arial" w:cs="Arial"/>
                <w:sz w:val="17"/>
                <w:szCs w:val="17"/>
              </w:rPr>
            </w:pPr>
            <w:r>
              <w:rPr>
                <w:rFonts w:ascii="Arial" w:hAnsi="Arial" w:cs="Arial"/>
                <w:sz w:val="17"/>
                <w:szCs w:val="17"/>
              </w:rPr>
              <w:t>1,261,487</w:t>
            </w:r>
          </w:p>
        </w:tc>
      </w:tr>
    </w:tbl>
    <w:p w:rsidR="00AE7289" w:rsidP="00240A35" w14:paraId="446E63F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bookmarkStart w:id="13" w:name="_Hlk167110957"/>
      <w:bookmarkEnd w:id="12"/>
    </w:p>
    <w:p w:rsidR="00204EA6" w:rsidRPr="00966AF4" w:rsidP="00204EA6" w14:paraId="0B6F8517" w14:textId="09E5A17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966AF4">
        <w:rPr>
          <w:rFonts w:ascii="Arial" w:hAnsi="Arial" w:cs="Arial"/>
          <w:u w:val="single"/>
        </w:rPr>
        <w:t>Change</w:t>
      </w:r>
      <w:r w:rsidRPr="00136914">
        <w:rPr>
          <w:rFonts w:ascii="Arial" w:hAnsi="Arial" w:cs="Arial"/>
          <w:u w:val="single"/>
        </w:rPr>
        <w:t>s</w:t>
      </w:r>
      <w:r w:rsidRPr="00966AF4">
        <w:rPr>
          <w:rFonts w:ascii="Arial" w:hAnsi="Arial" w:cs="Arial"/>
          <w:u w:val="single"/>
        </w:rPr>
        <w:t xml:space="preserve"> </w:t>
      </w:r>
      <w:r w:rsidRPr="00136914" w:rsidR="00966AF4">
        <w:rPr>
          <w:rFonts w:ascii="Arial" w:hAnsi="Arial" w:cs="Arial"/>
          <w:u w:val="single"/>
        </w:rPr>
        <w:t xml:space="preserve">in Collection </w:t>
      </w:r>
      <w:r w:rsidRPr="00136914">
        <w:rPr>
          <w:rFonts w:ascii="Arial" w:hAnsi="Arial" w:cs="Arial"/>
          <w:u w:val="single"/>
        </w:rPr>
        <w:t>Since Previous Renewal</w:t>
      </w:r>
    </w:p>
    <w:p w:rsidR="00204EA6" w:rsidRPr="00136914" w:rsidP="00204EA6" w14:paraId="50518B49" w14:textId="6C2D80D2">
      <w:pPr>
        <w:pStyle w:val="NoSpacing"/>
        <w:jc w:val="both"/>
        <w:rPr>
          <w:rFonts w:ascii="Arial" w:hAnsi="Arial" w:cs="Arial"/>
          <w:sz w:val="24"/>
          <w:szCs w:val="24"/>
        </w:rPr>
      </w:pPr>
    </w:p>
    <w:p w:rsidR="00966AF4" w:rsidRPr="00966AF4" w:rsidP="00204EA6" w14:paraId="28B3E6F6" w14:textId="3E9C4320">
      <w:pPr>
        <w:pStyle w:val="NoSpacing"/>
        <w:jc w:val="both"/>
        <w:rPr>
          <w:rFonts w:ascii="Arial" w:hAnsi="Arial" w:cs="Arial"/>
          <w:sz w:val="24"/>
          <w:szCs w:val="24"/>
        </w:rPr>
      </w:pPr>
      <w:r w:rsidRPr="00136914">
        <w:rPr>
          <w:rFonts w:ascii="Arial" w:hAnsi="Arial" w:cs="Arial"/>
          <w:sz w:val="24"/>
          <w:szCs w:val="24"/>
        </w:rPr>
        <w:t xml:space="preserve">Since the previous renewal by OMB in 2022, the USPTO </w:t>
      </w:r>
      <w:r>
        <w:rPr>
          <w:rFonts w:ascii="Arial" w:hAnsi="Arial" w:cs="Arial"/>
          <w:sz w:val="24"/>
          <w:szCs w:val="24"/>
        </w:rPr>
        <w:t xml:space="preserve">has </w:t>
      </w:r>
      <w:r w:rsidRPr="00136914">
        <w:rPr>
          <w:rFonts w:ascii="Arial" w:hAnsi="Arial" w:cs="Arial"/>
          <w:sz w:val="24"/>
          <w:szCs w:val="24"/>
        </w:rPr>
        <w:t xml:space="preserve">filed two nonsubstantive change requests (change worksheets) </w:t>
      </w:r>
      <w:r>
        <w:rPr>
          <w:rFonts w:ascii="Arial" w:hAnsi="Arial" w:cs="Arial"/>
          <w:sz w:val="24"/>
          <w:szCs w:val="24"/>
        </w:rPr>
        <w:t>making changes to this information collection.</w:t>
      </w:r>
    </w:p>
    <w:p w:rsidR="00966AF4" w:rsidRPr="00136914" w:rsidP="00204EA6" w14:paraId="7D3EC58C" w14:textId="77777777">
      <w:pPr>
        <w:pStyle w:val="NoSpacing"/>
        <w:jc w:val="both"/>
        <w:rPr>
          <w:rFonts w:ascii="Arial" w:hAnsi="Arial" w:cs="Arial"/>
          <w:sz w:val="24"/>
        </w:rPr>
      </w:pPr>
    </w:p>
    <w:p w:rsidR="00550244" w:rsidP="00204EA6" w14:paraId="269C1D7D" w14:textId="39458E35">
      <w:pPr>
        <w:pStyle w:val="NoSpacing"/>
        <w:jc w:val="both"/>
        <w:rPr>
          <w:rFonts w:ascii="Arial" w:hAnsi="Arial" w:cs="Arial"/>
          <w:sz w:val="24"/>
        </w:rPr>
      </w:pPr>
      <w:r w:rsidRPr="00AD712E">
        <w:rPr>
          <w:rFonts w:ascii="Arial" w:hAnsi="Arial" w:cs="Arial"/>
          <w:sz w:val="24"/>
        </w:rPr>
        <w:t>The first change worksheet was submitted to OMB in March 2023</w:t>
      </w:r>
      <w:r w:rsidR="00B4265A">
        <w:rPr>
          <w:rFonts w:ascii="Arial" w:hAnsi="Arial" w:cs="Arial"/>
          <w:sz w:val="24"/>
        </w:rPr>
        <w:t>. T</w:t>
      </w:r>
      <w:r w:rsidRPr="00AD712E">
        <w:rPr>
          <w:rFonts w:ascii="Arial" w:hAnsi="Arial" w:cs="Arial"/>
          <w:sz w:val="24"/>
        </w:rPr>
        <w:t xml:space="preserve">he USPTO changed the filing fees collected by this collection as part of RIN 0651-AD66 (Reducing Patent Fees for Small Entities and Micro Entities Under the Unleashing American Innovators Act </w:t>
      </w:r>
      <w:r w:rsidRPr="00AD712E">
        <w:rPr>
          <w:rFonts w:ascii="Arial" w:hAnsi="Arial" w:cs="Arial"/>
          <w:sz w:val="24"/>
        </w:rPr>
        <w:t>of 2022). This change resulted in a decrease of $240,438 to this collection’s non-hourly annual cost burden.</w:t>
      </w:r>
      <w:r>
        <w:rPr>
          <w:rFonts w:ascii="Arial" w:hAnsi="Arial" w:cs="Arial"/>
          <w:sz w:val="24"/>
        </w:rPr>
        <w:t xml:space="preserve"> </w:t>
      </w:r>
    </w:p>
    <w:p w:rsidR="00550244" w:rsidP="00204EA6" w14:paraId="596FFD04" w14:textId="77777777">
      <w:pPr>
        <w:pStyle w:val="NoSpacing"/>
        <w:jc w:val="both"/>
        <w:rPr>
          <w:rFonts w:ascii="Arial" w:hAnsi="Arial" w:cs="Arial"/>
          <w:sz w:val="24"/>
        </w:rPr>
      </w:pPr>
    </w:p>
    <w:p w:rsidR="00204EA6" w:rsidRPr="000A10E8" w:rsidP="00204EA6" w14:paraId="635957BE" w14:textId="4E241615">
      <w:pPr>
        <w:pStyle w:val="NoSpacing"/>
        <w:jc w:val="both"/>
        <w:rPr>
          <w:rFonts w:ascii="Arial" w:hAnsi="Arial" w:cs="Arial"/>
          <w:sz w:val="24"/>
        </w:rPr>
      </w:pPr>
      <w:r w:rsidRPr="000A10E8">
        <w:rPr>
          <w:rFonts w:ascii="Arial" w:hAnsi="Arial" w:cs="Arial"/>
          <w:sz w:val="24"/>
        </w:rPr>
        <w:t xml:space="preserve">The </w:t>
      </w:r>
      <w:r w:rsidR="00550244">
        <w:rPr>
          <w:rFonts w:ascii="Arial" w:hAnsi="Arial" w:cs="Arial"/>
          <w:sz w:val="24"/>
        </w:rPr>
        <w:t>second</w:t>
      </w:r>
      <w:r w:rsidRPr="000A10E8">
        <w:rPr>
          <w:rFonts w:ascii="Arial" w:hAnsi="Arial" w:cs="Arial"/>
          <w:sz w:val="24"/>
        </w:rPr>
        <w:t xml:space="preserve"> change worksheet was submitted to OMB in </w:t>
      </w:r>
      <w:r w:rsidRPr="00136914">
        <w:rPr>
          <w:rFonts w:ascii="Arial" w:hAnsi="Arial" w:cs="Arial"/>
          <w:sz w:val="24"/>
        </w:rPr>
        <w:t>November 2024. T</w:t>
      </w:r>
      <w:r w:rsidRPr="000A10E8">
        <w:rPr>
          <w:rFonts w:ascii="Arial" w:hAnsi="Arial" w:cs="Arial"/>
          <w:sz w:val="24"/>
        </w:rPr>
        <w:t xml:space="preserve">he USPTO adjusted the filing fees </w:t>
      </w:r>
      <w:r w:rsidRPr="00136914">
        <w:rPr>
          <w:rFonts w:ascii="Arial" w:hAnsi="Arial" w:cs="Arial"/>
          <w:sz w:val="24"/>
        </w:rPr>
        <w:t>in support of</w:t>
      </w:r>
      <w:r w:rsidRPr="000A10E8">
        <w:rPr>
          <w:rFonts w:ascii="Arial" w:hAnsi="Arial" w:cs="Arial"/>
          <w:sz w:val="24"/>
        </w:rPr>
        <w:t xml:space="preserve"> RIN 0651-AD6</w:t>
      </w:r>
      <w:r w:rsidRPr="00136914">
        <w:rPr>
          <w:rFonts w:ascii="Arial" w:hAnsi="Arial" w:cs="Arial"/>
          <w:sz w:val="24"/>
        </w:rPr>
        <w:t>4</w:t>
      </w:r>
      <w:r w:rsidRPr="000A10E8">
        <w:rPr>
          <w:rFonts w:ascii="Arial" w:hAnsi="Arial" w:cs="Arial"/>
          <w:sz w:val="24"/>
        </w:rPr>
        <w:t xml:space="preserve"> </w:t>
      </w:r>
      <w:r w:rsidRPr="000A10E8">
        <w:rPr>
          <w:rFonts w:ascii="Arial" w:hAnsi="Arial" w:cs="Arial"/>
          <w:color w:val="000000" w:themeColor="text1"/>
          <w:sz w:val="24"/>
          <w:szCs w:val="24"/>
        </w:rPr>
        <w:t>(Setting and Adjusting Patent Fees During Fiscal Year 2025</w:t>
      </w:r>
      <w:r w:rsidRPr="000A10E8">
        <w:rPr>
          <w:rFonts w:ascii="Arial" w:hAnsi="Arial" w:cs="Arial"/>
          <w:sz w:val="24"/>
        </w:rPr>
        <w:t>). This adjustment resulted in a</w:t>
      </w:r>
      <w:r w:rsidRPr="00136914">
        <w:rPr>
          <w:rFonts w:ascii="Arial" w:hAnsi="Arial" w:cs="Arial"/>
          <w:sz w:val="24"/>
        </w:rPr>
        <w:t>n in</w:t>
      </w:r>
      <w:r w:rsidRPr="000A10E8">
        <w:rPr>
          <w:rFonts w:ascii="Arial" w:hAnsi="Arial" w:cs="Arial"/>
          <w:sz w:val="24"/>
        </w:rPr>
        <w:t xml:space="preserve">crease of $17,989 </w:t>
      </w:r>
      <w:r w:rsidRPr="00136914">
        <w:rPr>
          <w:rFonts w:ascii="Arial" w:hAnsi="Arial" w:cs="Arial"/>
          <w:sz w:val="24"/>
        </w:rPr>
        <w:t>to</w:t>
      </w:r>
      <w:r w:rsidRPr="000A10E8">
        <w:rPr>
          <w:rFonts w:ascii="Arial" w:hAnsi="Arial" w:cs="Arial"/>
          <w:sz w:val="24"/>
        </w:rPr>
        <w:t xml:space="preserve"> this collection’s non-hourly annual cost burden.</w:t>
      </w:r>
    </w:p>
    <w:p w:rsidR="00204EA6" w:rsidP="00240A35" w14:paraId="2437CAE5"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28FD9B33">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w:t>
      </w:r>
      <w:r w:rsidR="00905497">
        <w:rPr>
          <w:rFonts w:ascii="Arial" w:hAnsi="Arial" w:cs="Arial"/>
          <w:u w:val="single"/>
        </w:rPr>
        <w:t>se</w:t>
      </w:r>
      <w:r>
        <w:rPr>
          <w:rFonts w:ascii="Arial" w:hAnsi="Arial" w:cs="Arial"/>
          <w:u w:val="single"/>
        </w:rPr>
        <w: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5F39327F">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number of respon</w:t>
      </w:r>
      <w:r w:rsidR="00905497">
        <w:rPr>
          <w:rFonts w:ascii="Arial" w:hAnsi="Arial" w:cs="Arial"/>
        </w:rPr>
        <w:t>se</w:t>
      </w:r>
      <w:r>
        <w:rPr>
          <w:rFonts w:ascii="Arial" w:hAnsi="Arial" w:cs="Arial"/>
        </w:rPr>
        <w:t xml:space="preserve">s has </w:t>
      </w:r>
      <w:r w:rsidR="00B53E19">
        <w:rPr>
          <w:rFonts w:ascii="Arial" w:hAnsi="Arial" w:cs="Arial"/>
        </w:rPr>
        <w:t>increased</w:t>
      </w:r>
      <w:r>
        <w:rPr>
          <w:rFonts w:ascii="Arial" w:hAnsi="Arial" w:cs="Arial"/>
        </w:rPr>
        <w:t xml:space="preserve"> by </w:t>
      </w:r>
      <w:r w:rsidR="00F32086">
        <w:rPr>
          <w:rFonts w:ascii="Arial" w:hAnsi="Arial" w:cs="Arial"/>
        </w:rPr>
        <w:t>1,450</w:t>
      </w:r>
      <w:r>
        <w:rPr>
          <w:rFonts w:ascii="Arial" w:hAnsi="Arial" w:cs="Arial"/>
        </w:rPr>
        <w:t xml:space="preserve"> due to estimated fluctuations in the number of submissions in this information collection. This </w:t>
      </w:r>
      <w:r w:rsidR="00B53E19">
        <w:rPr>
          <w:rFonts w:ascii="Arial" w:hAnsi="Arial" w:cs="Arial"/>
        </w:rPr>
        <w:t>increase</w:t>
      </w:r>
      <w:r>
        <w:rPr>
          <w:rFonts w:ascii="Arial" w:hAnsi="Arial" w:cs="Arial"/>
        </w:rPr>
        <w:t xml:space="preserve"> in the number of respondents and responses results in </w:t>
      </w:r>
      <w:r w:rsidR="00B53E19">
        <w:rPr>
          <w:rFonts w:ascii="Arial" w:hAnsi="Arial" w:cs="Arial"/>
        </w:rPr>
        <w:t>an increase</w:t>
      </w:r>
      <w:r>
        <w:rPr>
          <w:rFonts w:ascii="Arial" w:hAnsi="Arial" w:cs="Arial"/>
        </w:rPr>
        <w:t xml:space="preserve"> of </w:t>
      </w:r>
      <w:r w:rsidR="00F32086">
        <w:rPr>
          <w:rFonts w:ascii="Arial" w:hAnsi="Arial" w:cs="Arial"/>
        </w:rPr>
        <w:t>8,700</w:t>
      </w:r>
      <w:r>
        <w:rPr>
          <w:rFonts w:ascii="Arial" w:hAnsi="Arial" w:cs="Arial"/>
        </w:rPr>
        <w:t xml:space="preserve"> hours in the annual time burden estimates.  </w:t>
      </w:r>
    </w:p>
    <w:p w:rsidR="00240A35" w:rsidP="00240A35" w14:paraId="0C9AFE9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RPr="00980E8E" w:rsidP="00240A35" w14:paraId="31263BCE" w14:textId="5CE66E60">
      <w:pPr>
        <w:rPr>
          <w:rFonts w:ascii="Arial" w:hAnsi="Arial" w:cs="Arial"/>
          <w:sz w:val="32"/>
          <w:u w:val="single"/>
        </w:rPr>
      </w:pPr>
      <w:r w:rsidRPr="00980E8E">
        <w:rPr>
          <w:rFonts w:ascii="Arial" w:hAnsi="Arial" w:cs="Arial"/>
          <w:u w:val="single"/>
        </w:rPr>
        <w:t>Change in Annual Non-hour Costs due to Adjustment in Agency Estimate</w:t>
      </w:r>
    </w:p>
    <w:p w:rsidR="00240A35" w:rsidP="00240A35" w14:paraId="22D109DB" w14:textId="77777777">
      <w:pPr>
        <w:keepNext/>
        <w:widowControl/>
        <w:tabs>
          <w:tab w:val="left" w:pos="-1152"/>
        </w:tabs>
        <w:jc w:val="both"/>
        <w:rPr>
          <w:rFonts w:ascii="Arial" w:hAnsi="Arial" w:cs="Arial"/>
        </w:rPr>
      </w:pPr>
    </w:p>
    <w:p w:rsidR="00240A35" w:rsidP="00732469" w14:paraId="1A347948" w14:textId="2C405E6E">
      <w:pPr>
        <w:widowControl/>
        <w:tabs>
          <w:tab w:val="left" w:pos="-1152"/>
        </w:tabs>
        <w:jc w:val="both"/>
      </w:pPr>
      <w:r>
        <w:rPr>
          <w:rFonts w:ascii="Arial" w:hAnsi="Arial" w:cs="Arial"/>
        </w:rPr>
        <w:t>For this renewal, the USPTO estimates that the total annual non-hour costs will decrease by $</w:t>
      </w:r>
      <w:r w:rsidR="00674296">
        <w:rPr>
          <w:rFonts w:ascii="Arial" w:hAnsi="Arial" w:cs="Arial"/>
        </w:rPr>
        <w:t>924,</w:t>
      </w:r>
      <w:r w:rsidR="00985F2C">
        <w:rPr>
          <w:rFonts w:ascii="Arial" w:hAnsi="Arial" w:cs="Arial"/>
        </w:rPr>
        <w:t xml:space="preserve">514 </w:t>
      </w:r>
      <w:r>
        <w:rPr>
          <w:rFonts w:ascii="Arial" w:hAnsi="Arial" w:cs="Arial"/>
        </w:rPr>
        <w:t xml:space="preserve">from the previous approval. This decrease is </w:t>
      </w:r>
      <w:r w:rsidR="008B3002">
        <w:rPr>
          <w:rFonts w:ascii="Arial" w:hAnsi="Arial" w:cs="Arial"/>
        </w:rPr>
        <w:t>largely</w:t>
      </w:r>
      <w:r w:rsidR="00E84505">
        <w:rPr>
          <w:rFonts w:ascii="Arial" w:hAnsi="Arial" w:cs="Arial"/>
        </w:rPr>
        <w:t xml:space="preserve"> </w:t>
      </w:r>
      <w:r>
        <w:rPr>
          <w:rFonts w:ascii="Arial" w:hAnsi="Arial" w:cs="Arial"/>
        </w:rPr>
        <w:t xml:space="preserve">due to </w:t>
      </w:r>
      <w:r w:rsidR="00226061">
        <w:rPr>
          <w:rFonts w:ascii="Arial" w:hAnsi="Arial" w:cs="Arial"/>
        </w:rPr>
        <w:t xml:space="preserve">the fact that </w:t>
      </w:r>
      <w:r w:rsidR="003C31E0">
        <w:rPr>
          <w:rFonts w:ascii="Arial" w:hAnsi="Arial" w:cs="Arial"/>
        </w:rPr>
        <w:t>s</w:t>
      </w:r>
      <w:r w:rsidRPr="003C31E0" w:rsidR="003C31E0">
        <w:rPr>
          <w:rFonts w:ascii="Arial" w:hAnsi="Arial" w:cs="Arial"/>
        </w:rPr>
        <w:t>equence listings for applications filed on or after July 1, 2022</w:t>
      </w:r>
      <w:r w:rsidR="003C31E0">
        <w:rPr>
          <w:rFonts w:ascii="Arial" w:hAnsi="Arial" w:cs="Arial"/>
        </w:rPr>
        <w:t>, must be submitted</w:t>
      </w:r>
      <w:r w:rsidRPr="00226061" w:rsidR="00226061">
        <w:rPr>
          <w:rFonts w:ascii="Arial" w:hAnsi="Arial" w:cs="Arial"/>
        </w:rPr>
        <w:t xml:space="preserve"> </w:t>
      </w:r>
      <w:r w:rsidRPr="00C9111A" w:rsidR="00226061">
        <w:rPr>
          <w:rFonts w:ascii="Arial" w:hAnsi="Arial" w:cs="Arial"/>
        </w:rPr>
        <w:t xml:space="preserve">as XML files, either by </w:t>
      </w:r>
      <w:r w:rsidRPr="00293F19" w:rsidR="00226061">
        <w:rPr>
          <w:rFonts w:ascii="Arial" w:hAnsi="Arial" w:cs="Arial"/>
        </w:rPr>
        <w:t xml:space="preserve">electronically </w:t>
      </w:r>
      <w:r w:rsidRPr="00C9111A" w:rsidR="00226061">
        <w:rPr>
          <w:rFonts w:ascii="Arial" w:hAnsi="Arial" w:cs="Arial"/>
        </w:rPr>
        <w:t>transmitting the XML file through Patent Center, where the file does not exceed 100MB without compression, or on read-only optical discs. Accordingly, the size fees for excess pages under 35 U.S.C. 41(a)(1)(G) and 37 CFR</w:t>
      </w:r>
      <w:r w:rsidR="00AE7AF2">
        <w:rPr>
          <w:rFonts w:ascii="Arial" w:hAnsi="Arial" w:cs="Arial"/>
        </w:rPr>
        <w:t xml:space="preserve"> </w:t>
      </w:r>
      <w:r w:rsidRPr="00EC0AB9" w:rsidR="00AE7AF2">
        <w:rPr>
          <w:rFonts w:ascii="Arial" w:hAnsi="Arial" w:cs="Arial"/>
        </w:rPr>
        <w:t>§§</w:t>
      </w:r>
      <w:r w:rsidRPr="00C9111A" w:rsidR="00226061">
        <w:rPr>
          <w:rFonts w:ascii="Arial" w:hAnsi="Arial" w:cs="Arial"/>
        </w:rPr>
        <w:t xml:space="preserve"> 1.16(s), 1.52(f), and 1.492(j), from which XML file submissions via Patent Center or read-only optical discs are excluded, do not apply to sequence listings filed in applications having a filing date of on or after July 1, 2022.</w:t>
      </w:r>
    </w:p>
    <w:bookmarkEnd w:id="13"/>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C3397E" w14:paraId="7858C805" w14:textId="4F2D13E0">
      <w:pPr>
        <w:pStyle w:val="ListParagraph"/>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636EDA" w:rsidRPr="00E0554B" w:rsidP="00636EDA" w14:paraId="79D4A1E4" w14:textId="7890BB43">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C3397E" w14:paraId="093923B1" w14:textId="1213648F">
      <w:pPr>
        <w:pStyle w:val="ListParagraph"/>
        <w:keepNext/>
        <w:keepLines/>
        <w:widowControl/>
        <w:numPr>
          <w:ilvl w:val="0"/>
          <w:numId w:val="15"/>
        </w:numPr>
        <w:tabs>
          <w:tab w:val="left" w:pos="-984"/>
          <w:tab w:val="left" w:pos="-720"/>
        </w:tabs>
        <w:ind w:left="360"/>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D4013D" w:rsidP="00636EDA" w14:paraId="43D4234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D4013D" w:rsidRPr="008E22B0" w:rsidP="00D4013D" w14:paraId="3427F685" w14:textId="7777777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8E22B0">
        <w:rPr>
          <w:rFonts w:ascii="Arial" w:hAnsi="Arial" w:cs="Arial"/>
        </w:rPr>
        <w:t>There are no forms in this information collection on which to display the OMB Control Number and the expiration date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C3397E" w14:paraId="048AD12F" w14:textId="041B7D38">
      <w:pPr>
        <w:pStyle w:val="ListParagraph"/>
        <w:keepNext/>
        <w:widowControl/>
        <w:numPr>
          <w:ilvl w:val="0"/>
          <w:numId w:val="15"/>
        </w:numPr>
        <w:tabs>
          <w:tab w:val="left" w:pos="-984"/>
          <w:tab w:val="left" w:pos="-720"/>
        </w:tabs>
        <w:ind w:left="360"/>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C3397E" w14:paraId="79D4A1F1" w14:textId="77777777">
      <w:pPr>
        <w:keepNext/>
        <w:widowControl/>
        <w:tabs>
          <w:tab w:val="left" w:pos="-984"/>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4B78"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B78" w14:paraId="79D4A1FB" w14:textId="77777777">
    <w:pPr>
      <w:spacing w:line="240" w:lineRule="exact"/>
    </w:pPr>
  </w:p>
  <w:p w:rsidR="00FD4B78" w:rsidRPr="00532921" w:rsidP="00436B01" w14:paraId="79D4A1FC" w14:textId="2741978A">
    <w:pPr>
      <w:framePr w:wrap="around" w:vAnchor="text" w:hAnchor="margin" w:xAlign="center" w:y="1"/>
      <w:jc w:val="center"/>
      <w:rPr>
        <w:rFonts w:ascii="Arial" w:hAnsi="Arial" w:cs="Arial"/>
        <w:sz w:val="20"/>
        <w:szCs w:val="20"/>
      </w:rPr>
    </w:pPr>
    <w:r w:rsidRPr="00532921">
      <w:rPr>
        <w:rFonts w:ascii="Arial" w:hAnsi="Arial" w:cs="Arial"/>
        <w:sz w:val="20"/>
        <w:szCs w:val="20"/>
      </w:rPr>
      <w:fldChar w:fldCharType="begin"/>
    </w:r>
    <w:r w:rsidRPr="00532921">
      <w:rPr>
        <w:rFonts w:ascii="Arial" w:hAnsi="Arial" w:cs="Arial"/>
        <w:sz w:val="20"/>
        <w:szCs w:val="20"/>
      </w:rPr>
      <w:instrText xml:space="preserve">PAGE </w:instrText>
    </w:r>
    <w:r w:rsidRPr="00532921">
      <w:rPr>
        <w:rFonts w:ascii="Arial" w:hAnsi="Arial" w:cs="Arial"/>
        <w:sz w:val="20"/>
        <w:szCs w:val="20"/>
      </w:rPr>
      <w:fldChar w:fldCharType="separate"/>
    </w:r>
    <w:r w:rsidRPr="00532921">
      <w:rPr>
        <w:rFonts w:ascii="Arial" w:hAnsi="Arial" w:cs="Arial"/>
        <w:noProof/>
        <w:sz w:val="20"/>
        <w:szCs w:val="20"/>
      </w:rPr>
      <w:t>15</w:t>
    </w:r>
    <w:r w:rsidRPr="00532921">
      <w:rPr>
        <w:rFonts w:ascii="Arial" w:hAnsi="Arial" w:cs="Arial"/>
        <w:sz w:val="20"/>
        <w:szCs w:val="20"/>
      </w:rPr>
      <w:fldChar w:fldCharType="end"/>
    </w:r>
  </w:p>
  <w:p w:rsidR="00FD4B78" w:rsidP="00436B01" w14:paraId="79D4A1FD"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38C4" w14:paraId="7BF40671" w14:textId="77777777">
      <w:r>
        <w:separator/>
      </w:r>
    </w:p>
  </w:footnote>
  <w:footnote w:type="continuationSeparator" w:id="1">
    <w:p w:rsidR="006338C4" w14:paraId="59BF4C38" w14:textId="77777777">
      <w:r>
        <w:continuationSeparator/>
      </w:r>
    </w:p>
  </w:footnote>
  <w:footnote w:id="2">
    <w:p w:rsidR="00FD4B78" w:rsidRPr="002A5C74" w:rsidP="000E2392" w14:paraId="2EFCB798" w14:textId="28D19FDF">
      <w:pPr>
        <w:pStyle w:val="FootnoteText"/>
        <w:rPr>
          <w:rFonts w:ascii="Arial" w:hAnsi="Arial" w:cs="Arial"/>
          <w:sz w:val="16"/>
          <w:szCs w:val="16"/>
        </w:rPr>
      </w:pPr>
      <w:r w:rsidRPr="002A5C74">
        <w:rPr>
          <w:rStyle w:val="FootnoteReference"/>
          <w:rFonts w:ascii="Arial" w:hAnsi="Arial" w:cs="Arial"/>
          <w:sz w:val="16"/>
          <w:szCs w:val="16"/>
        </w:rPr>
        <w:footnoteRef/>
      </w:r>
      <w:r w:rsidRPr="002A5C74">
        <w:rPr>
          <w:rFonts w:ascii="Arial" w:hAnsi="Arial" w:cs="Arial"/>
          <w:sz w:val="16"/>
          <w:szCs w:val="16"/>
        </w:rPr>
        <w:t xml:space="preserve"> </w:t>
      </w:r>
      <w:hyperlink r:id="rId1" w:history="1">
        <w:r w:rsidRPr="002A5C74" w:rsidR="006F0359">
          <w:rPr>
            <w:rStyle w:val="Hyperlink"/>
            <w:rFonts w:ascii="Arial" w:hAnsi="Arial" w:cs="Arial"/>
            <w:sz w:val="16"/>
            <w:szCs w:val="16"/>
          </w:rPr>
          <w:t>https://www.govinfo.gov/content/pkg/FR-2025-06-26/pdf/2025-11798.pdf</w:t>
        </w:r>
      </w:hyperlink>
      <w:r w:rsidRPr="002A5C74" w:rsidR="00C7684F">
        <w:rPr>
          <w:rFonts w:ascii="Arial" w:hAnsi="Arial" w:cs="Arial"/>
          <w:sz w:val="16"/>
          <w:szCs w:val="16"/>
        </w:rPr>
        <w:t>.</w:t>
      </w:r>
      <w:r w:rsidRPr="002A5C74" w:rsidR="006F0359">
        <w:rPr>
          <w:rFonts w:ascii="Arial" w:hAnsi="Arial" w:cs="Arial"/>
          <w:sz w:val="16"/>
          <w:szCs w:val="16"/>
        </w:rPr>
        <w:t xml:space="preserve"> </w:t>
      </w:r>
    </w:p>
  </w:footnote>
  <w:footnote w:id="3">
    <w:p w:rsidR="00B53F5F" w:rsidP="00B53F5F" w14:paraId="3C279594" w14:textId="51848E6C">
      <w:pPr>
        <w:pStyle w:val="FootnoteText"/>
      </w:pPr>
      <w:r w:rsidRPr="002A5C74">
        <w:rPr>
          <w:rStyle w:val="FootnoteReference"/>
          <w:rFonts w:ascii="Arial" w:hAnsi="Arial" w:cs="Arial"/>
          <w:sz w:val="16"/>
          <w:szCs w:val="16"/>
        </w:rPr>
        <w:footnoteRef/>
      </w:r>
      <w:r w:rsidRPr="002A5C74">
        <w:rPr>
          <w:rFonts w:ascii="Arial" w:hAnsi="Arial" w:cs="Arial"/>
          <w:sz w:val="16"/>
          <w:szCs w:val="16"/>
        </w:rPr>
        <w:t xml:space="preserve"> </w:t>
      </w:r>
      <w:hyperlink r:id="rId2" w:history="1">
        <w:r w:rsidRPr="002A5C74" w:rsidR="002A5C74">
          <w:rPr>
            <w:rStyle w:val="Hyperlink"/>
            <w:rFonts w:ascii="Arial" w:hAnsi="Arial" w:cs="Arial"/>
            <w:sz w:val="16"/>
            <w:szCs w:val="16"/>
          </w:rPr>
          <w:t>https://www.govinfo.gov/content/pkg/FR-2025-10-24/pdf/2025-19650.pdf</w:t>
        </w:r>
      </w:hyperlink>
      <w:r w:rsidRPr="002A5C74" w:rsidR="002A5C74">
        <w:rPr>
          <w:rFonts w:ascii="Arial" w:hAnsi="Arial" w:cs="Arial"/>
          <w:sz w:val="16"/>
          <w:szCs w:val="16"/>
        </w:rPr>
        <w:t>.</w:t>
      </w:r>
      <w:r w:rsidRPr="00917BF9">
        <w:rPr>
          <w:sz w:val="16"/>
          <w:szCs w:val="16"/>
        </w:rPr>
        <w:t xml:space="preserve"> </w:t>
      </w:r>
    </w:p>
  </w:footnote>
  <w:footnote w:id="4">
    <w:p w:rsidR="00C82752" w:rsidRPr="001C3701" w:rsidP="00C82752" w14:paraId="390DB4F3" w14:textId="77777777">
      <w:pPr>
        <w:pStyle w:val="FootnoteText"/>
        <w:rPr>
          <w:rFonts w:ascii="Arial" w:hAnsi="Arial" w:cs="Arial"/>
          <w:sz w:val="16"/>
          <w:szCs w:val="16"/>
        </w:rPr>
      </w:pPr>
      <w:r w:rsidRPr="001C3701">
        <w:rPr>
          <w:rStyle w:val="FootnoteReference"/>
          <w:rFonts w:ascii="Arial" w:hAnsi="Arial" w:cs="Arial"/>
          <w:sz w:val="16"/>
          <w:szCs w:val="16"/>
        </w:rPr>
        <w:footnoteRef/>
      </w:r>
      <w:r w:rsidRPr="001C3701">
        <w:rPr>
          <w:rFonts w:ascii="Arial" w:hAnsi="Arial" w:cs="Arial"/>
          <w:sz w:val="16"/>
          <w:szCs w:val="16"/>
        </w:rPr>
        <w:t xml:space="preserve"> </w:t>
      </w:r>
      <w:hyperlink r:id="rId3" w:history="1">
        <w:r w:rsidRPr="001C3701">
          <w:rPr>
            <w:rStyle w:val="Hyperlink"/>
            <w:rFonts w:ascii="Arial" w:hAnsi="Arial" w:cs="Arial"/>
            <w:sz w:val="16"/>
            <w:szCs w:val="16"/>
          </w:rPr>
          <w:t>https://www.govinfo.gov/content/pkg/FR-2013-03-29/pdf/2013-07341.pdf</w:t>
        </w:r>
      </w:hyperlink>
      <w:r w:rsidRPr="006B2FCE">
        <w:rPr>
          <w:rFonts w:ascii="Arial" w:hAnsi="Arial" w:cs="Arial"/>
          <w:sz w:val="16"/>
          <w:szCs w:val="16"/>
        </w:rPr>
        <w:t>.</w:t>
      </w:r>
    </w:p>
  </w:footnote>
  <w:footnote w:id="5">
    <w:p w:rsidR="00966A50" w:rsidP="00966A50" w14:paraId="364370C8" w14:textId="3CF718D4">
      <w:pPr>
        <w:pStyle w:val="FootnoteText"/>
        <w:rPr>
          <w:rFonts w:ascii="Arial" w:hAnsi="Arial" w:cs="Arial"/>
          <w:sz w:val="16"/>
          <w:szCs w:val="16"/>
        </w:rPr>
      </w:pPr>
      <w:r w:rsidRPr="001C3701">
        <w:rPr>
          <w:rStyle w:val="FootnoteReference"/>
          <w:rFonts w:ascii="Arial" w:hAnsi="Arial" w:cs="Arial"/>
          <w:sz w:val="16"/>
          <w:szCs w:val="16"/>
        </w:rPr>
        <w:footnoteRef/>
      </w:r>
      <w:r w:rsidRPr="001C3701">
        <w:rPr>
          <w:rFonts w:ascii="Arial" w:hAnsi="Arial" w:cs="Arial"/>
        </w:rPr>
        <w:t xml:space="preserve"> </w:t>
      </w:r>
      <w:hyperlink r:id="rId4" w:history="1">
        <w:r w:rsidRPr="001C3701">
          <w:rPr>
            <w:rStyle w:val="Hyperlink"/>
            <w:rFonts w:ascii="Arial" w:hAnsi="Arial" w:cs="Arial"/>
            <w:sz w:val="16"/>
            <w:szCs w:val="16"/>
          </w:rPr>
          <w:t>https://www.commerce.gov/opog/privacy/PIA/USPTO-PIA</w:t>
        </w:r>
      </w:hyperlink>
      <w:r w:rsidRPr="00216080">
        <w:rPr>
          <w:rStyle w:val="Hyperlink"/>
          <w:rFonts w:ascii="Arial" w:hAnsi="Arial" w:cs="Arial"/>
          <w:color w:val="auto"/>
          <w:sz w:val="16"/>
          <w:szCs w:val="16"/>
          <w:u w:val="none"/>
        </w:rPr>
        <w:t>.</w:t>
      </w:r>
    </w:p>
  </w:footnote>
  <w:footnote w:id="6">
    <w:p w:rsidR="00D50F03" w:rsidRPr="00282E13" w:rsidP="001C3701" w14:paraId="4B301864" w14:textId="233380CB">
      <w:pPr>
        <w:pStyle w:val="FootnoteText"/>
        <w:jc w:val="both"/>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A736CE">
        <w:rPr>
          <w:rFonts w:ascii="Arial" w:hAnsi="Arial" w:cs="Arial"/>
          <w:sz w:val="16"/>
          <w:szCs w:val="16"/>
        </w:rPr>
        <w:t>2023 Report of the Economic Survey, published by the Committee on Economics of Legal Practice of AIPLA; pg. F–41. The USPTO uses the average billing rate for intellectual property work in all firms which is $447 per hour (</w:t>
      </w:r>
      <w:hyperlink r:id="rId5" w:history="1">
        <w:r w:rsidRPr="00467A56">
          <w:rPr>
            <w:rStyle w:val="Hyperlink"/>
            <w:rFonts w:ascii="Arial" w:hAnsi="Arial" w:cs="Arial"/>
            <w:sz w:val="16"/>
            <w:szCs w:val="16"/>
          </w:rPr>
          <w:t>https://www.aipla.org/home/news-publications/economic-survey</w:t>
        </w:r>
      </w:hyperlink>
      <w:r>
        <w:rPr>
          <w:rFonts w:ascii="Arial" w:hAnsi="Arial" w:cs="Arial"/>
          <w:sz w:val="16"/>
          <w:szCs w:val="16"/>
        </w:rPr>
        <w:t>).</w:t>
      </w:r>
    </w:p>
  </w:footnote>
  <w:footnote w:id="7">
    <w:p w:rsidR="00707AED" w:rsidRPr="00A25005" w14:paraId="589B5A49" w14:textId="70FD2A18">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6" w:history="1">
        <w:r w:rsidRPr="001E6C9E" w:rsidR="00651455">
          <w:rPr>
            <w:rStyle w:val="Hyperlink"/>
            <w:rFonts w:ascii="Arial" w:hAnsi="Arial" w:cs="Arial"/>
            <w:sz w:val="16"/>
          </w:rPr>
          <w:t>https://www.opm.gov/policy-data-oversight/pay-leave/salaries-wages/salary-tables/pdf/2025/DCB_h.pdf</w:t>
        </w:r>
      </w:hyperlink>
      <w:r w:rsidR="00651455">
        <w:rPr>
          <w:rFonts w:ascii="Arial" w:hAnsi="Arial" w:cs="Arial"/>
          <w:sz w:val="16"/>
        </w:rPr>
        <w:t xml:space="preserve">. </w:t>
      </w:r>
      <w:r w:rsidRPr="00651455" w:rsidR="00651455">
        <w:rPr>
          <w:rFonts w:ascii="Arial" w:hAnsi="Arial" w:cs="Arial"/>
          <w:sz w:val="16"/>
        </w:rPr>
        <w:t xml:space="preserve"> </w:t>
      </w:r>
      <w:r w:rsidR="00651455">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073720D"/>
    <w:multiLevelType w:val="hybridMultilevel"/>
    <w:tmpl w:val="35509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D93621"/>
    <w:multiLevelType w:val="hybridMultilevel"/>
    <w:tmpl w:val="95EC0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CE402E3"/>
    <w:multiLevelType w:val="hybridMultilevel"/>
    <w:tmpl w:val="CE7AD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8">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16cid:durableId="1943297214">
    <w:abstractNumId w:val="11"/>
  </w:num>
  <w:num w:numId="2" w16cid:durableId="1105231450">
    <w:abstractNumId w:val="0"/>
  </w:num>
  <w:num w:numId="3" w16cid:durableId="1846699478">
    <w:abstractNumId w:val="7"/>
  </w:num>
  <w:num w:numId="4" w16cid:durableId="1108356584">
    <w:abstractNumId w:val="1"/>
  </w:num>
  <w:num w:numId="5" w16cid:durableId="1021200322">
    <w:abstractNumId w:val="15"/>
  </w:num>
  <w:num w:numId="6" w16cid:durableId="274989275">
    <w:abstractNumId w:val="10"/>
  </w:num>
  <w:num w:numId="7" w16cid:durableId="1234700509">
    <w:abstractNumId w:val="17"/>
  </w:num>
  <w:num w:numId="8" w16cid:durableId="1035623357">
    <w:abstractNumId w:val="2"/>
  </w:num>
  <w:num w:numId="9" w16cid:durableId="1485002748">
    <w:abstractNumId w:val="9"/>
  </w:num>
  <w:num w:numId="10" w16cid:durableId="309754943">
    <w:abstractNumId w:val="18"/>
  </w:num>
  <w:num w:numId="11" w16cid:durableId="1658462946">
    <w:abstractNumId w:val="8"/>
  </w:num>
  <w:num w:numId="12" w16cid:durableId="480272511">
    <w:abstractNumId w:val="3"/>
  </w:num>
  <w:num w:numId="13" w16cid:durableId="1005590905">
    <w:abstractNumId w:val="5"/>
  </w:num>
  <w:num w:numId="14" w16cid:durableId="1059983419">
    <w:abstractNumId w:val="12"/>
  </w:num>
  <w:num w:numId="15" w16cid:durableId="179666784">
    <w:abstractNumId w:val="6"/>
  </w:num>
  <w:num w:numId="16" w16cid:durableId="1450857064">
    <w:abstractNumId w:val="14"/>
  </w:num>
  <w:num w:numId="17" w16cid:durableId="1648703958">
    <w:abstractNumId w:val="13"/>
  </w:num>
  <w:num w:numId="18" w16cid:durableId="1164853692">
    <w:abstractNumId w:val="16"/>
  </w:num>
  <w:num w:numId="19" w16cid:durableId="255792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12A42"/>
    <w:rsid w:val="0001614D"/>
    <w:rsid w:val="000179EF"/>
    <w:rsid w:val="00026BDE"/>
    <w:rsid w:val="00032CDB"/>
    <w:rsid w:val="000334E7"/>
    <w:rsid w:val="00035E58"/>
    <w:rsid w:val="000536B9"/>
    <w:rsid w:val="00060093"/>
    <w:rsid w:val="00062E5D"/>
    <w:rsid w:val="0006655D"/>
    <w:rsid w:val="00080198"/>
    <w:rsid w:val="00085C6A"/>
    <w:rsid w:val="00090EA7"/>
    <w:rsid w:val="000911CD"/>
    <w:rsid w:val="000A10E8"/>
    <w:rsid w:val="000A1C90"/>
    <w:rsid w:val="000A284D"/>
    <w:rsid w:val="000A7230"/>
    <w:rsid w:val="000B537A"/>
    <w:rsid w:val="000B745D"/>
    <w:rsid w:val="000C448C"/>
    <w:rsid w:val="000C6373"/>
    <w:rsid w:val="000C7A48"/>
    <w:rsid w:val="000D0B9B"/>
    <w:rsid w:val="000D56F1"/>
    <w:rsid w:val="000D5B34"/>
    <w:rsid w:val="000E2392"/>
    <w:rsid w:val="000E4800"/>
    <w:rsid w:val="000F16D6"/>
    <w:rsid w:val="000F52A1"/>
    <w:rsid w:val="000F72E5"/>
    <w:rsid w:val="000F7A59"/>
    <w:rsid w:val="0010153E"/>
    <w:rsid w:val="001102BD"/>
    <w:rsid w:val="001174FE"/>
    <w:rsid w:val="00120E88"/>
    <w:rsid w:val="00123C8D"/>
    <w:rsid w:val="00134C05"/>
    <w:rsid w:val="00135EB1"/>
    <w:rsid w:val="00136914"/>
    <w:rsid w:val="00141386"/>
    <w:rsid w:val="00151F4E"/>
    <w:rsid w:val="00152B81"/>
    <w:rsid w:val="00156830"/>
    <w:rsid w:val="0016361F"/>
    <w:rsid w:val="001638E1"/>
    <w:rsid w:val="00163DFA"/>
    <w:rsid w:val="00164C92"/>
    <w:rsid w:val="00170663"/>
    <w:rsid w:val="00176546"/>
    <w:rsid w:val="001771C3"/>
    <w:rsid w:val="00181F19"/>
    <w:rsid w:val="00184974"/>
    <w:rsid w:val="00192118"/>
    <w:rsid w:val="0019677D"/>
    <w:rsid w:val="001A1DE8"/>
    <w:rsid w:val="001A2B13"/>
    <w:rsid w:val="001A32D4"/>
    <w:rsid w:val="001A4093"/>
    <w:rsid w:val="001A564C"/>
    <w:rsid w:val="001A5C44"/>
    <w:rsid w:val="001A773B"/>
    <w:rsid w:val="001B047A"/>
    <w:rsid w:val="001B62C4"/>
    <w:rsid w:val="001B77DA"/>
    <w:rsid w:val="001C077C"/>
    <w:rsid w:val="001C12EC"/>
    <w:rsid w:val="001C3701"/>
    <w:rsid w:val="001D3939"/>
    <w:rsid w:val="001D3BD1"/>
    <w:rsid w:val="001D7B62"/>
    <w:rsid w:val="001E636E"/>
    <w:rsid w:val="001E6C9E"/>
    <w:rsid w:val="001F4478"/>
    <w:rsid w:val="001F494D"/>
    <w:rsid w:val="00203E42"/>
    <w:rsid w:val="00204E9D"/>
    <w:rsid w:val="00204EA6"/>
    <w:rsid w:val="00212131"/>
    <w:rsid w:val="00212A0A"/>
    <w:rsid w:val="00216080"/>
    <w:rsid w:val="00216B80"/>
    <w:rsid w:val="0022110A"/>
    <w:rsid w:val="00221CA2"/>
    <w:rsid w:val="00222A00"/>
    <w:rsid w:val="00226061"/>
    <w:rsid w:val="00232F0C"/>
    <w:rsid w:val="0023366F"/>
    <w:rsid w:val="00233E93"/>
    <w:rsid w:val="002355A3"/>
    <w:rsid w:val="00237911"/>
    <w:rsid w:val="00240A35"/>
    <w:rsid w:val="00240E11"/>
    <w:rsid w:val="00241134"/>
    <w:rsid w:val="0025223C"/>
    <w:rsid w:val="00255BAB"/>
    <w:rsid w:val="0025743F"/>
    <w:rsid w:val="00264A4C"/>
    <w:rsid w:val="00267A83"/>
    <w:rsid w:val="00274CE0"/>
    <w:rsid w:val="002777DB"/>
    <w:rsid w:val="00280CF9"/>
    <w:rsid w:val="00282E13"/>
    <w:rsid w:val="00284493"/>
    <w:rsid w:val="002847DD"/>
    <w:rsid w:val="002910E6"/>
    <w:rsid w:val="00293F19"/>
    <w:rsid w:val="00294A31"/>
    <w:rsid w:val="00295E8E"/>
    <w:rsid w:val="00297080"/>
    <w:rsid w:val="002A37BB"/>
    <w:rsid w:val="002A5184"/>
    <w:rsid w:val="002A5C74"/>
    <w:rsid w:val="002B4889"/>
    <w:rsid w:val="002C1FA7"/>
    <w:rsid w:val="002D266C"/>
    <w:rsid w:val="002D6E12"/>
    <w:rsid w:val="002E6E13"/>
    <w:rsid w:val="002E7B48"/>
    <w:rsid w:val="003007ED"/>
    <w:rsid w:val="00317387"/>
    <w:rsid w:val="0031773D"/>
    <w:rsid w:val="00320BDF"/>
    <w:rsid w:val="00321808"/>
    <w:rsid w:val="00332830"/>
    <w:rsid w:val="003340BE"/>
    <w:rsid w:val="00335066"/>
    <w:rsid w:val="0034016F"/>
    <w:rsid w:val="00345D98"/>
    <w:rsid w:val="00345DF5"/>
    <w:rsid w:val="00346FB4"/>
    <w:rsid w:val="00350B0B"/>
    <w:rsid w:val="00353C22"/>
    <w:rsid w:val="00356798"/>
    <w:rsid w:val="00361D9E"/>
    <w:rsid w:val="003664AC"/>
    <w:rsid w:val="00373E1D"/>
    <w:rsid w:val="00376175"/>
    <w:rsid w:val="00385E12"/>
    <w:rsid w:val="00393A24"/>
    <w:rsid w:val="0039676D"/>
    <w:rsid w:val="003A185A"/>
    <w:rsid w:val="003B724D"/>
    <w:rsid w:val="003C31E0"/>
    <w:rsid w:val="003D2F8B"/>
    <w:rsid w:val="003E6012"/>
    <w:rsid w:val="003E656D"/>
    <w:rsid w:val="003F0D10"/>
    <w:rsid w:val="003F6FAA"/>
    <w:rsid w:val="004007FF"/>
    <w:rsid w:val="00402D93"/>
    <w:rsid w:val="004079E8"/>
    <w:rsid w:val="00431AC1"/>
    <w:rsid w:val="00432944"/>
    <w:rsid w:val="00436B01"/>
    <w:rsid w:val="0044122F"/>
    <w:rsid w:val="00445B9A"/>
    <w:rsid w:val="0044660E"/>
    <w:rsid w:val="00452D5B"/>
    <w:rsid w:val="00455011"/>
    <w:rsid w:val="00460B09"/>
    <w:rsid w:val="0046192E"/>
    <w:rsid w:val="004657E8"/>
    <w:rsid w:val="00467A56"/>
    <w:rsid w:val="00473121"/>
    <w:rsid w:val="00473CA5"/>
    <w:rsid w:val="00476F66"/>
    <w:rsid w:val="00484466"/>
    <w:rsid w:val="00484838"/>
    <w:rsid w:val="00484D0B"/>
    <w:rsid w:val="00492469"/>
    <w:rsid w:val="004A110E"/>
    <w:rsid w:val="004A16AB"/>
    <w:rsid w:val="004A2849"/>
    <w:rsid w:val="004A7EB3"/>
    <w:rsid w:val="004B07BA"/>
    <w:rsid w:val="004C14A1"/>
    <w:rsid w:val="004C2474"/>
    <w:rsid w:val="004C7195"/>
    <w:rsid w:val="004D250C"/>
    <w:rsid w:val="004D7E96"/>
    <w:rsid w:val="004E40EC"/>
    <w:rsid w:val="004F0611"/>
    <w:rsid w:val="00501DC1"/>
    <w:rsid w:val="00504013"/>
    <w:rsid w:val="005117DF"/>
    <w:rsid w:val="005158F0"/>
    <w:rsid w:val="00515A5B"/>
    <w:rsid w:val="00520B33"/>
    <w:rsid w:val="005228F8"/>
    <w:rsid w:val="005301EC"/>
    <w:rsid w:val="005327FC"/>
    <w:rsid w:val="00532921"/>
    <w:rsid w:val="00536457"/>
    <w:rsid w:val="00536909"/>
    <w:rsid w:val="00543177"/>
    <w:rsid w:val="00550244"/>
    <w:rsid w:val="005514F9"/>
    <w:rsid w:val="005529AD"/>
    <w:rsid w:val="0056760B"/>
    <w:rsid w:val="00567B74"/>
    <w:rsid w:val="00570033"/>
    <w:rsid w:val="00580B78"/>
    <w:rsid w:val="00582E53"/>
    <w:rsid w:val="00590074"/>
    <w:rsid w:val="0059323F"/>
    <w:rsid w:val="00593350"/>
    <w:rsid w:val="00597714"/>
    <w:rsid w:val="005A7D91"/>
    <w:rsid w:val="005B1E0A"/>
    <w:rsid w:val="005B7243"/>
    <w:rsid w:val="005C15E7"/>
    <w:rsid w:val="005C1E2B"/>
    <w:rsid w:val="005C6DBB"/>
    <w:rsid w:val="005D35AD"/>
    <w:rsid w:val="005D3B07"/>
    <w:rsid w:val="005E286E"/>
    <w:rsid w:val="005E2FFD"/>
    <w:rsid w:val="005F76D5"/>
    <w:rsid w:val="006042D9"/>
    <w:rsid w:val="0061133F"/>
    <w:rsid w:val="006145CC"/>
    <w:rsid w:val="00614F01"/>
    <w:rsid w:val="00615B54"/>
    <w:rsid w:val="00615F85"/>
    <w:rsid w:val="00624AF0"/>
    <w:rsid w:val="00627CC7"/>
    <w:rsid w:val="00630436"/>
    <w:rsid w:val="006338C4"/>
    <w:rsid w:val="00636EDA"/>
    <w:rsid w:val="00651455"/>
    <w:rsid w:val="0066330B"/>
    <w:rsid w:val="00665FEB"/>
    <w:rsid w:val="0067168E"/>
    <w:rsid w:val="00674296"/>
    <w:rsid w:val="00676AB8"/>
    <w:rsid w:val="006772A1"/>
    <w:rsid w:val="00682DA0"/>
    <w:rsid w:val="00685696"/>
    <w:rsid w:val="006A6E4E"/>
    <w:rsid w:val="006B2FCE"/>
    <w:rsid w:val="006B46CC"/>
    <w:rsid w:val="006B6CF6"/>
    <w:rsid w:val="006C2921"/>
    <w:rsid w:val="006D1660"/>
    <w:rsid w:val="006D5630"/>
    <w:rsid w:val="006D770F"/>
    <w:rsid w:val="006E1B21"/>
    <w:rsid w:val="006E4780"/>
    <w:rsid w:val="006F0359"/>
    <w:rsid w:val="00707AED"/>
    <w:rsid w:val="00712B4D"/>
    <w:rsid w:val="007164C5"/>
    <w:rsid w:val="00725736"/>
    <w:rsid w:val="00732469"/>
    <w:rsid w:val="007345C0"/>
    <w:rsid w:val="00740406"/>
    <w:rsid w:val="007410D6"/>
    <w:rsid w:val="00741260"/>
    <w:rsid w:val="007424A2"/>
    <w:rsid w:val="0074311E"/>
    <w:rsid w:val="00744B73"/>
    <w:rsid w:val="0076389F"/>
    <w:rsid w:val="00767F43"/>
    <w:rsid w:val="0077376E"/>
    <w:rsid w:val="00773E2C"/>
    <w:rsid w:val="007823CF"/>
    <w:rsid w:val="00782FCB"/>
    <w:rsid w:val="00785139"/>
    <w:rsid w:val="00787C67"/>
    <w:rsid w:val="0079089B"/>
    <w:rsid w:val="007A77E9"/>
    <w:rsid w:val="007B3A38"/>
    <w:rsid w:val="007C21ED"/>
    <w:rsid w:val="007C7DD9"/>
    <w:rsid w:val="007D12CA"/>
    <w:rsid w:val="007D74FB"/>
    <w:rsid w:val="007E3B49"/>
    <w:rsid w:val="007E5193"/>
    <w:rsid w:val="007F0B6F"/>
    <w:rsid w:val="007F1A78"/>
    <w:rsid w:val="007F1BAC"/>
    <w:rsid w:val="007F6328"/>
    <w:rsid w:val="007F70F5"/>
    <w:rsid w:val="0080067D"/>
    <w:rsid w:val="008019E2"/>
    <w:rsid w:val="00801B0F"/>
    <w:rsid w:val="00802C6C"/>
    <w:rsid w:val="00804EA2"/>
    <w:rsid w:val="00807367"/>
    <w:rsid w:val="008075E5"/>
    <w:rsid w:val="00807925"/>
    <w:rsid w:val="008121EF"/>
    <w:rsid w:val="00814D7E"/>
    <w:rsid w:val="00821A93"/>
    <w:rsid w:val="00833543"/>
    <w:rsid w:val="00834481"/>
    <w:rsid w:val="00845685"/>
    <w:rsid w:val="00846E8F"/>
    <w:rsid w:val="0084761F"/>
    <w:rsid w:val="00851B0E"/>
    <w:rsid w:val="008530FB"/>
    <w:rsid w:val="008535A8"/>
    <w:rsid w:val="00853D0D"/>
    <w:rsid w:val="00860867"/>
    <w:rsid w:val="00860C84"/>
    <w:rsid w:val="00863A95"/>
    <w:rsid w:val="00870924"/>
    <w:rsid w:val="00870E68"/>
    <w:rsid w:val="00880ABD"/>
    <w:rsid w:val="00881472"/>
    <w:rsid w:val="0089153A"/>
    <w:rsid w:val="008970EA"/>
    <w:rsid w:val="008B3002"/>
    <w:rsid w:val="008B741F"/>
    <w:rsid w:val="008C77EC"/>
    <w:rsid w:val="008C7D76"/>
    <w:rsid w:val="008D1249"/>
    <w:rsid w:val="008D1F2D"/>
    <w:rsid w:val="008D2B09"/>
    <w:rsid w:val="008D5A6F"/>
    <w:rsid w:val="008E024B"/>
    <w:rsid w:val="008E1811"/>
    <w:rsid w:val="008E22B0"/>
    <w:rsid w:val="008E27CC"/>
    <w:rsid w:val="008E5087"/>
    <w:rsid w:val="008E56BD"/>
    <w:rsid w:val="008F0305"/>
    <w:rsid w:val="008F5375"/>
    <w:rsid w:val="008F70C3"/>
    <w:rsid w:val="00900792"/>
    <w:rsid w:val="00900B61"/>
    <w:rsid w:val="009019B4"/>
    <w:rsid w:val="00905497"/>
    <w:rsid w:val="00910925"/>
    <w:rsid w:val="00917BF9"/>
    <w:rsid w:val="00931AF7"/>
    <w:rsid w:val="0093738F"/>
    <w:rsid w:val="00945183"/>
    <w:rsid w:val="009523C2"/>
    <w:rsid w:val="00957C9B"/>
    <w:rsid w:val="009607CF"/>
    <w:rsid w:val="00965ACE"/>
    <w:rsid w:val="00966A50"/>
    <w:rsid w:val="00966AF4"/>
    <w:rsid w:val="00975390"/>
    <w:rsid w:val="00976174"/>
    <w:rsid w:val="009776DF"/>
    <w:rsid w:val="00980E8E"/>
    <w:rsid w:val="009830B7"/>
    <w:rsid w:val="00983983"/>
    <w:rsid w:val="009842B2"/>
    <w:rsid w:val="00985F2C"/>
    <w:rsid w:val="009916B6"/>
    <w:rsid w:val="009A28D0"/>
    <w:rsid w:val="009A6572"/>
    <w:rsid w:val="009A6E04"/>
    <w:rsid w:val="009C3B1C"/>
    <w:rsid w:val="009D2D21"/>
    <w:rsid w:val="009D5082"/>
    <w:rsid w:val="009E18EF"/>
    <w:rsid w:val="009E4E09"/>
    <w:rsid w:val="009E5083"/>
    <w:rsid w:val="009F2DCA"/>
    <w:rsid w:val="009F3DE8"/>
    <w:rsid w:val="009F4AC1"/>
    <w:rsid w:val="00A03446"/>
    <w:rsid w:val="00A05A31"/>
    <w:rsid w:val="00A060E2"/>
    <w:rsid w:val="00A0710D"/>
    <w:rsid w:val="00A25005"/>
    <w:rsid w:val="00A266DE"/>
    <w:rsid w:val="00A30095"/>
    <w:rsid w:val="00A31737"/>
    <w:rsid w:val="00A4557E"/>
    <w:rsid w:val="00A47FBB"/>
    <w:rsid w:val="00A51A07"/>
    <w:rsid w:val="00A5355E"/>
    <w:rsid w:val="00A6497C"/>
    <w:rsid w:val="00A66B97"/>
    <w:rsid w:val="00A72D6E"/>
    <w:rsid w:val="00A736CE"/>
    <w:rsid w:val="00A85048"/>
    <w:rsid w:val="00A8633F"/>
    <w:rsid w:val="00A87063"/>
    <w:rsid w:val="00A920B7"/>
    <w:rsid w:val="00A927F0"/>
    <w:rsid w:val="00A93989"/>
    <w:rsid w:val="00AA71C1"/>
    <w:rsid w:val="00AA7316"/>
    <w:rsid w:val="00AB0D31"/>
    <w:rsid w:val="00AB4E9D"/>
    <w:rsid w:val="00AB7FB3"/>
    <w:rsid w:val="00AD034C"/>
    <w:rsid w:val="00AD165A"/>
    <w:rsid w:val="00AD712E"/>
    <w:rsid w:val="00AE7289"/>
    <w:rsid w:val="00AE7AF2"/>
    <w:rsid w:val="00B01F5F"/>
    <w:rsid w:val="00B0428B"/>
    <w:rsid w:val="00B0503D"/>
    <w:rsid w:val="00B114CE"/>
    <w:rsid w:val="00B13C43"/>
    <w:rsid w:val="00B20955"/>
    <w:rsid w:val="00B21A6E"/>
    <w:rsid w:val="00B27B55"/>
    <w:rsid w:val="00B4265A"/>
    <w:rsid w:val="00B467F4"/>
    <w:rsid w:val="00B50EAD"/>
    <w:rsid w:val="00B51743"/>
    <w:rsid w:val="00B53E19"/>
    <w:rsid w:val="00B53F5F"/>
    <w:rsid w:val="00B53FAD"/>
    <w:rsid w:val="00B57DCB"/>
    <w:rsid w:val="00B62DF4"/>
    <w:rsid w:val="00B710EA"/>
    <w:rsid w:val="00B75D93"/>
    <w:rsid w:val="00B76F36"/>
    <w:rsid w:val="00B9009E"/>
    <w:rsid w:val="00B97650"/>
    <w:rsid w:val="00BA0D10"/>
    <w:rsid w:val="00BA529D"/>
    <w:rsid w:val="00BA71BC"/>
    <w:rsid w:val="00BC4A76"/>
    <w:rsid w:val="00BD4180"/>
    <w:rsid w:val="00BD5DD2"/>
    <w:rsid w:val="00C052C8"/>
    <w:rsid w:val="00C157E4"/>
    <w:rsid w:val="00C160A2"/>
    <w:rsid w:val="00C17B33"/>
    <w:rsid w:val="00C17C90"/>
    <w:rsid w:val="00C30DE6"/>
    <w:rsid w:val="00C3397E"/>
    <w:rsid w:val="00C365FA"/>
    <w:rsid w:val="00C3779D"/>
    <w:rsid w:val="00C413A8"/>
    <w:rsid w:val="00C4299B"/>
    <w:rsid w:val="00C5290A"/>
    <w:rsid w:val="00C52BB5"/>
    <w:rsid w:val="00C53582"/>
    <w:rsid w:val="00C559A1"/>
    <w:rsid w:val="00C648DD"/>
    <w:rsid w:val="00C66113"/>
    <w:rsid w:val="00C67BE8"/>
    <w:rsid w:val="00C7454A"/>
    <w:rsid w:val="00C75A39"/>
    <w:rsid w:val="00C760F1"/>
    <w:rsid w:val="00C7684F"/>
    <w:rsid w:val="00C81965"/>
    <w:rsid w:val="00C81B78"/>
    <w:rsid w:val="00C82752"/>
    <w:rsid w:val="00C9111A"/>
    <w:rsid w:val="00C93EDD"/>
    <w:rsid w:val="00CB2A63"/>
    <w:rsid w:val="00CC2C4B"/>
    <w:rsid w:val="00CC4DBA"/>
    <w:rsid w:val="00CD2A06"/>
    <w:rsid w:val="00CD7C5E"/>
    <w:rsid w:val="00CE254A"/>
    <w:rsid w:val="00CF3385"/>
    <w:rsid w:val="00CF74F9"/>
    <w:rsid w:val="00D01075"/>
    <w:rsid w:val="00D06D18"/>
    <w:rsid w:val="00D12E37"/>
    <w:rsid w:val="00D17682"/>
    <w:rsid w:val="00D22292"/>
    <w:rsid w:val="00D3250B"/>
    <w:rsid w:val="00D35910"/>
    <w:rsid w:val="00D4013D"/>
    <w:rsid w:val="00D50F03"/>
    <w:rsid w:val="00D546B8"/>
    <w:rsid w:val="00D56A1E"/>
    <w:rsid w:val="00D63A22"/>
    <w:rsid w:val="00D73345"/>
    <w:rsid w:val="00D76133"/>
    <w:rsid w:val="00D7652B"/>
    <w:rsid w:val="00D86ED5"/>
    <w:rsid w:val="00D92CEB"/>
    <w:rsid w:val="00DA0ED8"/>
    <w:rsid w:val="00DA43F1"/>
    <w:rsid w:val="00DA5BF2"/>
    <w:rsid w:val="00DB6FA7"/>
    <w:rsid w:val="00DC38BF"/>
    <w:rsid w:val="00DC3A90"/>
    <w:rsid w:val="00DC4963"/>
    <w:rsid w:val="00DD49E3"/>
    <w:rsid w:val="00DF130C"/>
    <w:rsid w:val="00DF1D69"/>
    <w:rsid w:val="00DF36E0"/>
    <w:rsid w:val="00DF5688"/>
    <w:rsid w:val="00E00FA1"/>
    <w:rsid w:val="00E0554B"/>
    <w:rsid w:val="00E06A53"/>
    <w:rsid w:val="00E14866"/>
    <w:rsid w:val="00E1645F"/>
    <w:rsid w:val="00E21A2B"/>
    <w:rsid w:val="00E27FA4"/>
    <w:rsid w:val="00E3615D"/>
    <w:rsid w:val="00E3695E"/>
    <w:rsid w:val="00E51301"/>
    <w:rsid w:val="00E525CA"/>
    <w:rsid w:val="00E614F2"/>
    <w:rsid w:val="00E66574"/>
    <w:rsid w:val="00E70D5A"/>
    <w:rsid w:val="00E83D1A"/>
    <w:rsid w:val="00E84505"/>
    <w:rsid w:val="00E96D26"/>
    <w:rsid w:val="00EA4993"/>
    <w:rsid w:val="00EA4C8D"/>
    <w:rsid w:val="00EA5EBF"/>
    <w:rsid w:val="00EA641E"/>
    <w:rsid w:val="00EA6DD6"/>
    <w:rsid w:val="00EB525F"/>
    <w:rsid w:val="00EB622D"/>
    <w:rsid w:val="00EB62CA"/>
    <w:rsid w:val="00EC03AA"/>
    <w:rsid w:val="00EC0AB9"/>
    <w:rsid w:val="00EC550B"/>
    <w:rsid w:val="00EC77FB"/>
    <w:rsid w:val="00ED3819"/>
    <w:rsid w:val="00EE4DAF"/>
    <w:rsid w:val="00EF53E1"/>
    <w:rsid w:val="00EF71D6"/>
    <w:rsid w:val="00EF767D"/>
    <w:rsid w:val="00F03E8B"/>
    <w:rsid w:val="00F2336C"/>
    <w:rsid w:val="00F301D5"/>
    <w:rsid w:val="00F32086"/>
    <w:rsid w:val="00F328A9"/>
    <w:rsid w:val="00F360BE"/>
    <w:rsid w:val="00F423E7"/>
    <w:rsid w:val="00F447B9"/>
    <w:rsid w:val="00F44AF2"/>
    <w:rsid w:val="00F462AC"/>
    <w:rsid w:val="00F5000D"/>
    <w:rsid w:val="00F50590"/>
    <w:rsid w:val="00F60B54"/>
    <w:rsid w:val="00F65EE8"/>
    <w:rsid w:val="00F66421"/>
    <w:rsid w:val="00F71569"/>
    <w:rsid w:val="00F72FEA"/>
    <w:rsid w:val="00F946B2"/>
    <w:rsid w:val="00F9644F"/>
    <w:rsid w:val="00FA7EF8"/>
    <w:rsid w:val="00FB20EC"/>
    <w:rsid w:val="00FB2250"/>
    <w:rsid w:val="00FB51EA"/>
    <w:rsid w:val="00FB6065"/>
    <w:rsid w:val="00FB69BF"/>
    <w:rsid w:val="00FC42A2"/>
    <w:rsid w:val="00FC5454"/>
    <w:rsid w:val="00FD4B78"/>
    <w:rsid w:val="00FD59CA"/>
    <w:rsid w:val="00FD7DBA"/>
    <w:rsid w:val="00FE4CE1"/>
    <w:rsid w:val="00FE4DE2"/>
    <w:rsid w:val="00FF79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0A35"/>
    <w:rPr>
      <w:sz w:val="20"/>
      <w:szCs w:val="20"/>
    </w:rPr>
  </w:style>
  <w:style w:type="character" w:customStyle="1" w:styleId="FootnoteTextChar">
    <w:name w:val="Footnote Text Char"/>
    <w:basedOn w:val="DefaultParagraphFont"/>
    <w:link w:val="FootnoteText"/>
    <w:uiPriority w:val="99"/>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7D12CA"/>
    <w:pPr>
      <w:tabs>
        <w:tab w:val="center" w:pos="4680"/>
        <w:tab w:val="right" w:pos="9360"/>
      </w:tabs>
    </w:pPr>
  </w:style>
  <w:style w:type="character" w:customStyle="1" w:styleId="HeaderChar">
    <w:name w:val="Header Char"/>
    <w:basedOn w:val="DefaultParagraphFont"/>
    <w:link w:val="Header"/>
    <w:uiPriority w:val="99"/>
    <w:rsid w:val="007D12C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51EA"/>
    <w:rPr>
      <w:color w:val="800080" w:themeColor="followedHyperlink"/>
      <w:u w:val="single"/>
    </w:rPr>
  </w:style>
  <w:style w:type="paragraph" w:customStyle="1" w:styleId="a0">
    <w:name w:val="_"/>
    <w:basedOn w:val="Normal"/>
    <w:rsid w:val="005F76D5"/>
    <w:pPr>
      <w:ind w:left="360" w:hanging="360"/>
    </w:pPr>
  </w:style>
  <w:style w:type="character" w:styleId="UnresolvedMention">
    <w:name w:val="Unresolved Mention"/>
    <w:basedOn w:val="DefaultParagraphFont"/>
    <w:uiPriority w:val="99"/>
    <w:semiHidden/>
    <w:unhideWhenUsed/>
    <w:rsid w:val="00356798"/>
    <w:rPr>
      <w:color w:val="605E5C"/>
      <w:shd w:val="clear" w:color="auto" w:fill="E1DFDD"/>
    </w:rPr>
  </w:style>
  <w:style w:type="character" w:customStyle="1" w:styleId="ui-provider">
    <w:name w:val="ui-provider"/>
    <w:basedOn w:val="DefaultParagraphFont"/>
    <w:rsid w:val="0006655D"/>
  </w:style>
  <w:style w:type="paragraph" w:styleId="Revision">
    <w:name w:val="Revision"/>
    <w:hidden/>
    <w:uiPriority w:val="99"/>
    <w:semiHidden/>
    <w:rsid w:val="00FC42A2"/>
    <w:pPr>
      <w:spacing w:after="0"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97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qdata.uspto.gov/bulk" TargetMode="External" /><Relationship Id="rId11" Type="http://schemas.openxmlformats.org/officeDocument/2006/relationships/hyperlink" Target="https://www.wipo.int/en/web/standards/sequence/inde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eqdata.uspto.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5-06-26/pdf/2025-11798.pdf" TargetMode="External" /><Relationship Id="rId2" Type="http://schemas.openxmlformats.org/officeDocument/2006/relationships/hyperlink" Target="https://www.govinfo.gov/content/pkg/FR-2025-10-24/pdf/2025-19650.pdf" TargetMode="External" /><Relationship Id="rId3" Type="http://schemas.openxmlformats.org/officeDocument/2006/relationships/hyperlink" Target="https://www.govinfo.gov/content/pkg/FR-2013-03-29/pdf/2013-07341.pdf" TargetMode="External" /><Relationship Id="rId4" Type="http://schemas.openxmlformats.org/officeDocument/2006/relationships/hyperlink" Target="https://www.commerce.gov/opog/privacy/PIA/USPTO-PIA" TargetMode="External" /><Relationship Id="rId5" Type="http://schemas.openxmlformats.org/officeDocument/2006/relationships/hyperlink" Target="https://www.aipla.org/home/news-publications/economic-survey" TargetMode="External" /><Relationship Id="rId6"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9b241f4041320f0ffac2d40d0a9c17f2">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d17be0fd4036f3b918c90291a05c972c"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tes xmlns="0f5e2127-2ba4-41f5-b528-d0f9d9208b73" xsi:nil="true"/>
    <TaxCatchAll xmlns="ebb8c3bc-3ea9-4050-8e17-eb45cd7e46fa" xsi:nil="true"/>
    <lcf76f155ced4ddcb4097134ff3c332f xmlns="0f5e2127-2ba4-41f5-b528-d0f9d9208b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1884AB-F552-49CC-9815-8A1A33383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08130-51E3-4B24-8F18-BADE796A2696}">
  <ds:schemaRefs>
    <ds:schemaRef ds:uri="http://schemas.openxmlformats.org/officeDocument/2006/bibliography"/>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microsoft.com/office/2006/metadata/properties"/>
    <ds:schemaRef ds:uri="0f5e2127-2ba4-41f5-b528-d0f9d9208b73"/>
    <ds:schemaRef ds:uri="ebb8c3bc-3ea9-4050-8e17-eb45cd7e46fa"/>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16</Pages>
  <Words>5662</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19</cp:revision>
  <cp:lastPrinted>2016-10-26T18:15:00Z</cp:lastPrinted>
  <dcterms:created xsi:type="dcterms:W3CDTF">2025-10-22T18:33:00Z</dcterms:created>
  <dcterms:modified xsi:type="dcterms:W3CDTF">2025-10-24T15:48:00Z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