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3E92" w:rsidP="008545C3" w14:paraId="2A6B5CFD" w14:textId="539DD132">
      <w:pPr>
        <w:pStyle w:val="BodyText"/>
        <w:jc w:val="center"/>
      </w:pPr>
      <w:r>
        <w:t>UNITED</w:t>
      </w:r>
      <w:r>
        <w:rPr>
          <w:spacing w:val="-10"/>
        </w:rPr>
        <w:t xml:space="preserve"> </w:t>
      </w:r>
      <w:r>
        <w:t>STATES</w:t>
      </w:r>
      <w:r>
        <w:rPr>
          <w:spacing w:val="-10"/>
        </w:rPr>
        <w:t xml:space="preserve"> </w:t>
      </w:r>
      <w:r>
        <w:t>FOOD</w:t>
      </w:r>
      <w:r>
        <w:rPr>
          <w:spacing w:val="-10"/>
        </w:rPr>
        <w:t xml:space="preserve"> </w:t>
      </w:r>
      <w:r>
        <w:t>AND</w:t>
      </w:r>
      <w:r>
        <w:rPr>
          <w:spacing w:val="-10"/>
        </w:rPr>
        <w:t xml:space="preserve"> </w:t>
      </w:r>
      <w:r>
        <w:t>DRUG</w:t>
      </w:r>
      <w:r>
        <w:rPr>
          <w:spacing w:val="-10"/>
        </w:rPr>
        <w:t xml:space="preserve"> </w:t>
      </w:r>
      <w:r>
        <w:rPr>
          <w:spacing w:val="-2"/>
        </w:rPr>
        <w:t>ADMINISTRATION</w:t>
      </w:r>
    </w:p>
    <w:p w:rsidR="009F3E92" w:rsidP="008545C3" w14:paraId="73DB29AD" w14:textId="77777777">
      <w:pPr>
        <w:pStyle w:val="BodyText"/>
        <w:jc w:val="center"/>
      </w:pPr>
    </w:p>
    <w:p w:rsidR="009F3E92" w:rsidP="008545C3" w14:paraId="39DAD4E6" w14:textId="77777777">
      <w:pPr>
        <w:pStyle w:val="BodyText"/>
        <w:jc w:val="center"/>
      </w:pPr>
      <w:r w:rsidRPr="002A4DAE">
        <w:t>Investigational New Drug Regulations</w:t>
      </w:r>
    </w:p>
    <w:p w:rsidR="002A4DAE" w:rsidP="008545C3" w14:paraId="1B26498F" w14:textId="77777777">
      <w:pPr>
        <w:pStyle w:val="BodyText"/>
        <w:jc w:val="center"/>
      </w:pPr>
    </w:p>
    <w:p w:rsidR="009F3E92" w:rsidRPr="008545C3" w:rsidP="008545C3" w14:paraId="26E0A9CC" w14:textId="176F002C">
      <w:pPr>
        <w:pStyle w:val="BodyText"/>
        <w:jc w:val="center"/>
        <w:rPr>
          <w:u w:val="single"/>
        </w:rPr>
      </w:pPr>
      <w:r w:rsidRPr="008545C3">
        <w:rPr>
          <w:u w:val="single"/>
        </w:rPr>
        <w:t>OMB</w:t>
      </w:r>
      <w:r w:rsidRPr="008545C3">
        <w:rPr>
          <w:spacing w:val="-3"/>
          <w:u w:val="single"/>
        </w:rPr>
        <w:t xml:space="preserve"> </w:t>
      </w:r>
      <w:r w:rsidRPr="008545C3">
        <w:rPr>
          <w:u w:val="single"/>
        </w:rPr>
        <w:t>Control</w:t>
      </w:r>
      <w:r w:rsidRPr="008545C3">
        <w:rPr>
          <w:spacing w:val="-2"/>
          <w:u w:val="single"/>
        </w:rPr>
        <w:t xml:space="preserve"> </w:t>
      </w:r>
      <w:r w:rsidRPr="008545C3">
        <w:rPr>
          <w:u w:val="single"/>
        </w:rPr>
        <w:t>No.</w:t>
      </w:r>
      <w:r w:rsidRPr="008545C3" w:rsidR="007D1901">
        <w:rPr>
          <w:spacing w:val="-2"/>
          <w:u w:val="single"/>
        </w:rPr>
        <w:t xml:space="preserve"> </w:t>
      </w:r>
      <w:r w:rsidRPr="008545C3">
        <w:rPr>
          <w:u w:val="single"/>
        </w:rPr>
        <w:t>0910-</w:t>
      </w:r>
      <w:r w:rsidRPr="008545C3">
        <w:rPr>
          <w:spacing w:val="-4"/>
          <w:u w:val="single"/>
        </w:rPr>
        <w:t>0</w:t>
      </w:r>
      <w:r w:rsidRPr="008545C3" w:rsidR="002A4DAE">
        <w:rPr>
          <w:spacing w:val="-4"/>
          <w:u w:val="single"/>
        </w:rPr>
        <w:t>014 – Revision</w:t>
      </w:r>
    </w:p>
    <w:p w:rsidR="009F3E92" w:rsidP="008545C3" w14:paraId="13DECF74" w14:textId="77777777">
      <w:pPr>
        <w:pStyle w:val="BodyText"/>
        <w:jc w:val="center"/>
        <w:rPr>
          <w:sz w:val="20"/>
        </w:rPr>
      </w:pPr>
    </w:p>
    <w:p w:rsidR="00AD7AB6" w:rsidP="008545C3" w14:paraId="7AF4D392" w14:textId="77777777">
      <w:pPr>
        <w:pStyle w:val="BodyText"/>
        <w:jc w:val="center"/>
        <w:rPr>
          <w:spacing w:val="-2"/>
        </w:rPr>
      </w:pPr>
      <w:r>
        <w:rPr>
          <w:spacing w:val="-2"/>
        </w:rPr>
        <w:t>SUPPORTING STATEMENT</w:t>
      </w:r>
    </w:p>
    <w:p w:rsidR="00AD7AB6" w:rsidP="008545C3" w14:paraId="5B50C275" w14:textId="77777777">
      <w:pPr>
        <w:pStyle w:val="BodyText"/>
        <w:rPr>
          <w:spacing w:val="-2"/>
        </w:rPr>
      </w:pPr>
    </w:p>
    <w:p w:rsidR="009F3E92" w:rsidP="008545C3" w14:paraId="65C94E89" w14:textId="74886AA9">
      <w:pPr>
        <w:pStyle w:val="BodyText"/>
      </w:pPr>
      <w:r w:rsidRPr="00647D8B">
        <w:rPr>
          <w:b/>
          <w:bCs/>
        </w:rPr>
        <w:t>Part</w:t>
      </w:r>
      <w:r w:rsidRPr="00647D8B">
        <w:rPr>
          <w:b/>
          <w:bCs/>
          <w:spacing w:val="-1"/>
        </w:rPr>
        <w:t xml:space="preserve"> </w:t>
      </w:r>
      <w:r w:rsidRPr="00647D8B">
        <w:rPr>
          <w:b/>
          <w:bCs/>
        </w:rPr>
        <w:t>A</w:t>
      </w:r>
      <w:r w:rsidR="00EA697A">
        <w:rPr>
          <w:b/>
          <w:bCs/>
        </w:rPr>
        <w:t>:</w:t>
      </w:r>
      <w:r w:rsidRPr="00647D8B">
        <w:rPr>
          <w:b/>
          <w:bCs/>
        </w:rPr>
        <w:t xml:space="preserve"> </w:t>
      </w:r>
      <w:r w:rsidR="00D90EE8">
        <w:rPr>
          <w:b/>
          <w:bCs/>
        </w:rPr>
        <w:t xml:space="preserve"> </w:t>
      </w:r>
      <w:r w:rsidRPr="00647D8B">
        <w:rPr>
          <w:b/>
          <w:bCs/>
          <w:spacing w:val="-2"/>
        </w:rPr>
        <w:t>Justification</w:t>
      </w:r>
      <w:r w:rsidR="0027766D">
        <w:rPr>
          <w:b/>
          <w:bCs/>
          <w:spacing w:val="-2"/>
        </w:rPr>
        <w:t>:</w:t>
      </w:r>
      <w:r w:rsidR="009D6FCA">
        <w:rPr>
          <w:spacing w:val="-2"/>
        </w:rPr>
        <w:t xml:space="preserve"> </w:t>
      </w:r>
    </w:p>
    <w:p w:rsidR="009F3E92" w:rsidP="008545C3" w14:paraId="76D6BCDA" w14:textId="77777777">
      <w:pPr>
        <w:pStyle w:val="BodyText"/>
        <w:rPr>
          <w:b/>
        </w:rPr>
      </w:pPr>
    </w:p>
    <w:p w:rsidR="009F3E92" w:rsidP="008545C3" w14:paraId="2717E44B" w14:textId="77777777">
      <w:pPr>
        <w:pStyle w:val="ListParagraph"/>
        <w:numPr>
          <w:ilvl w:val="0"/>
          <w:numId w:val="1"/>
        </w:numPr>
        <w:ind w:left="0" w:hanging="361"/>
        <w:rPr>
          <w:sz w:val="24"/>
          <w:u w:val="none"/>
        </w:rPr>
      </w:pPr>
      <w:r>
        <w:rPr>
          <w:sz w:val="24"/>
        </w:rPr>
        <w:t>Circumstances</w:t>
      </w:r>
      <w:r>
        <w:rPr>
          <w:spacing w:val="-2"/>
          <w:sz w:val="24"/>
        </w:rPr>
        <w:t xml:space="preserve"> </w:t>
      </w:r>
      <w:r>
        <w:rPr>
          <w:sz w:val="24"/>
        </w:rPr>
        <w:t>Making</w:t>
      </w:r>
      <w:r>
        <w:rPr>
          <w:spacing w:val="-2"/>
          <w:sz w:val="24"/>
        </w:rPr>
        <w:t xml:space="preserve"> </w:t>
      </w:r>
      <w:r>
        <w:rPr>
          <w:sz w:val="24"/>
        </w:rPr>
        <w:t>the</w:t>
      </w:r>
      <w:r>
        <w:rPr>
          <w:spacing w:val="-1"/>
          <w:sz w:val="24"/>
        </w:rPr>
        <w:t xml:space="preserve"> </w:t>
      </w:r>
      <w:r>
        <w:rPr>
          <w:sz w:val="24"/>
        </w:rPr>
        <w:t>Collection</w:t>
      </w:r>
      <w:r>
        <w:rPr>
          <w:spacing w:val="-2"/>
          <w:sz w:val="24"/>
        </w:rPr>
        <w:t xml:space="preserve"> </w:t>
      </w:r>
      <w:r>
        <w:rPr>
          <w:sz w:val="24"/>
        </w:rPr>
        <w:t>of</w:t>
      </w:r>
      <w:r>
        <w:rPr>
          <w:spacing w:val="-2"/>
          <w:sz w:val="24"/>
        </w:rPr>
        <w:t xml:space="preserve"> </w:t>
      </w:r>
      <w:r>
        <w:rPr>
          <w:sz w:val="24"/>
        </w:rPr>
        <w:t>Information</w:t>
      </w:r>
      <w:r>
        <w:rPr>
          <w:spacing w:val="-2"/>
          <w:sz w:val="24"/>
        </w:rPr>
        <w:t xml:space="preserve"> Necessary</w:t>
      </w:r>
    </w:p>
    <w:p w:rsidR="009F3E92" w:rsidP="008545C3" w14:paraId="5A9DD6B4" w14:textId="77777777">
      <w:pPr>
        <w:pStyle w:val="BodyText"/>
        <w:rPr>
          <w:sz w:val="21"/>
        </w:rPr>
      </w:pPr>
    </w:p>
    <w:p w:rsidR="00682CDA" w:rsidP="008545C3" w14:paraId="74429FD6" w14:textId="0C67497D">
      <w:pPr>
        <w:pStyle w:val="BodyText"/>
        <w:rPr>
          <w:rFonts w:eastAsia="Calibri"/>
        </w:rPr>
      </w:pPr>
      <w:r w:rsidRPr="362012EE">
        <w:rPr>
          <w:rFonts w:eastAsia="Calibri"/>
        </w:rPr>
        <w:t xml:space="preserve">This information collection supports implementation of provisions of section 505 of the Federal Food, Drug, and Cosmetic Act (FD&amp;C Act) (21 U.S.C. 355) and of the licensing provisions of the Public Health Service Act (42 U.S.C. 201 et seq.) that govern investigational new drugs and investigational new drug applications (IND). Implementing regulations are found in </w:t>
      </w:r>
      <w:r w:rsidRPr="0034025D">
        <w:rPr>
          <w:rFonts w:eastAsia="Calibri"/>
        </w:rPr>
        <w:t>part 312 (21 CFR part 312) and provide for the issuance of guidance documents under 21 CFR 10.115 to assist persons in complying with the applicable requirements (see § 312.145).</w:t>
      </w:r>
      <w:r w:rsidRPr="362012EE">
        <w:rPr>
          <w:rFonts w:eastAsia="Calibri"/>
        </w:rPr>
        <w:t xml:space="preserve"> The information collection applies to all clinical investigations subject to section 505 of the FD&amp;C Act.</w:t>
      </w:r>
      <w:r>
        <w:rPr>
          <w:rFonts w:eastAsia="Calibri"/>
        </w:rPr>
        <w:t xml:space="preserve">   </w:t>
      </w:r>
    </w:p>
    <w:p w:rsidR="00682CDA" w:rsidP="008545C3" w14:paraId="3AFADCE3" w14:textId="77777777">
      <w:pPr>
        <w:pStyle w:val="BodyText"/>
        <w:rPr>
          <w:rFonts w:eastAsia="Calibri"/>
        </w:rPr>
      </w:pPr>
    </w:p>
    <w:p w:rsidR="00647D8B" w:rsidP="008545C3" w14:paraId="44F8CBF4" w14:textId="074C0D07">
      <w:pPr>
        <w:pStyle w:val="BodyText"/>
      </w:pPr>
      <w:r>
        <w:rPr>
          <w:rFonts w:eastAsia="Calibri"/>
        </w:rPr>
        <w:t>W</w:t>
      </w:r>
      <w:r w:rsidRPr="362012EE" w:rsidR="00682CDA">
        <w:rPr>
          <w:rFonts w:eastAsia="Calibri"/>
        </w:rPr>
        <w:t xml:space="preserve">e are revising the information collection to </w:t>
      </w:r>
      <w:r>
        <w:rPr>
          <w:rFonts w:eastAsia="Calibri"/>
        </w:rPr>
        <w:t xml:space="preserve">account for activities </w:t>
      </w:r>
      <w:r w:rsidRPr="362012EE" w:rsidR="00682CDA">
        <w:rPr>
          <w:rFonts w:eastAsia="Calibri"/>
        </w:rPr>
        <w:t xml:space="preserve">associated with recommendations found in the guidance </w:t>
      </w:r>
      <w:r w:rsidR="00682CDA">
        <w:rPr>
          <w:rFonts w:eastAsia="Calibri"/>
        </w:rPr>
        <w:t xml:space="preserve">document </w:t>
      </w:r>
      <w:r w:rsidRPr="362012EE" w:rsidR="00682CDA">
        <w:t xml:space="preserve">entitled </w:t>
      </w:r>
      <w:r w:rsidRPr="00AD7AB6" w:rsidR="00682CDA">
        <w:rPr>
          <w:i/>
          <w:iCs/>
        </w:rPr>
        <w:t>E6(R2) Good Clinical Practice: Integrated Addendum to ICH E6(R1)</w:t>
      </w:r>
      <w:r w:rsidRPr="362012EE" w:rsidR="00682CDA">
        <w:t xml:space="preserve"> (March 2018), currently approved in OMB control number 0910-0843.</w:t>
      </w:r>
      <w:r w:rsidR="008545C3">
        <w:t xml:space="preserve">  </w:t>
      </w:r>
      <w:r w:rsidRPr="362012EE" w:rsidR="00682CDA">
        <w:t>The guidance is intended to facilitate implementation of improved and efficient approaches to clinical trial design, including conduct, oversight, recording, and reporting.</w:t>
      </w:r>
      <w:r w:rsidR="008545C3">
        <w:t xml:space="preserve">  </w:t>
      </w:r>
      <w:r w:rsidRPr="362012EE" w:rsidR="00682CDA">
        <w:t>The</w:t>
      </w:r>
      <w:r w:rsidR="00682CDA">
        <w:t xml:space="preserve"> recommendations</w:t>
      </w:r>
      <w:r w:rsidRPr="362012EE" w:rsidR="00682CDA">
        <w:t xml:space="preserve"> in </w:t>
      </w:r>
      <w:r w:rsidR="00682CDA">
        <w:t>the g</w:t>
      </w:r>
      <w:r w:rsidRPr="362012EE" w:rsidR="00682CDA">
        <w:t xml:space="preserve">uidance help us ensure that sponsors of clinical trials are </w:t>
      </w:r>
      <w:r w:rsidR="00682CDA">
        <w:t xml:space="preserve">adhering to </w:t>
      </w:r>
      <w:r w:rsidRPr="362012EE" w:rsidR="00682CDA">
        <w:t xml:space="preserve">requirements </w:t>
      </w:r>
      <w:r w:rsidR="00682CDA">
        <w:t xml:space="preserve">prescribed </w:t>
      </w:r>
      <w:r w:rsidRPr="362012EE" w:rsidR="00682CDA">
        <w:t xml:space="preserve">in </w:t>
      </w:r>
      <w:r w:rsidR="00BE5042">
        <w:t>Food and Drug Administration (</w:t>
      </w:r>
      <w:r w:rsidRPr="362012EE" w:rsidR="00682CDA">
        <w:t>FDA</w:t>
      </w:r>
      <w:r w:rsidR="00BE5042">
        <w:t>)</w:t>
      </w:r>
      <w:r w:rsidRPr="362012EE" w:rsidR="00682CDA">
        <w:t xml:space="preserve"> regulations regarding new drug applications (NDA) </w:t>
      </w:r>
      <w:r w:rsidRPr="00B46E0B" w:rsidR="00682CDA">
        <w:t>(</w:t>
      </w:r>
      <w:r w:rsidR="007C29DE">
        <w:t xml:space="preserve">21 CFR </w:t>
      </w:r>
      <w:r w:rsidRPr="00B46E0B" w:rsidR="00682CDA">
        <w:t xml:space="preserve">part 312), INDs (21 CFR </w:t>
      </w:r>
      <w:r w:rsidR="007C29DE">
        <w:t xml:space="preserve">part </w:t>
      </w:r>
      <w:r w:rsidRPr="00B46E0B" w:rsidR="00682CDA">
        <w:t>314), and biological licensing applications</w:t>
      </w:r>
      <w:r w:rsidR="007C29DE">
        <w:t xml:space="preserve"> (BLA)</w:t>
      </w:r>
      <w:r w:rsidRPr="00B46E0B" w:rsidR="00682CDA">
        <w:t xml:space="preserve"> (21 CFR part 601).</w:t>
      </w:r>
      <w:r w:rsidR="008545C3">
        <w:t xml:space="preserve">  </w:t>
      </w:r>
      <w:r w:rsidRPr="00B46E0B" w:rsidR="00682CDA">
        <w:t>The guidance document is available for download from our website at</w:t>
      </w:r>
      <w:r w:rsidRPr="362012EE" w:rsidR="00682CDA">
        <w:t xml:space="preserve"> </w:t>
      </w:r>
      <w:hyperlink r:id="rId4" w:history="1">
        <w:r w:rsidRPr="00383619" w:rsidR="00383619">
          <w:rPr>
            <w:rStyle w:val="Hyperlink"/>
          </w:rPr>
          <w:t>https://www.fda.gov/media</w:t>
        </w:r>
        <w:r w:rsidRPr="00383619" w:rsidR="00383619">
          <w:rPr>
            <w:rStyle w:val="Hyperlink"/>
          </w:rPr>
          <w:t>/</w:t>
        </w:r>
        <w:r w:rsidRPr="00383619" w:rsidR="00383619">
          <w:rPr>
            <w:rStyle w:val="Hyperlink"/>
          </w:rPr>
          <w:t>93884/download</w:t>
        </w:r>
      </w:hyperlink>
      <w:r w:rsidRPr="362012EE" w:rsidR="00682CDA">
        <w:rPr>
          <w:i/>
          <w:iCs/>
        </w:rPr>
        <w:t>.</w:t>
      </w:r>
      <w:r w:rsidRPr="362012EE" w:rsidR="00682CDA">
        <w:t xml:space="preserve">  </w:t>
      </w:r>
    </w:p>
    <w:p w:rsidR="00647D8B" w:rsidP="008545C3" w14:paraId="17B5212A" w14:textId="77777777">
      <w:pPr>
        <w:pStyle w:val="BodyText"/>
      </w:pPr>
    </w:p>
    <w:p w:rsidR="00647D8B" w:rsidRPr="00F071E6" w:rsidP="008545C3" w14:paraId="1AC613B7" w14:textId="77777777">
      <w:pPr>
        <w:pStyle w:val="BodyText"/>
      </w:pPr>
      <w:r w:rsidRPr="00F071E6">
        <w:t>We are therefore requesting OMB approval to revise the information collection accordingly, and as discussed in this supporting statement.</w:t>
      </w:r>
    </w:p>
    <w:p w:rsidR="00647D8B" w:rsidRPr="002469C6" w:rsidP="008545C3" w14:paraId="3BEF0396" w14:textId="77777777">
      <w:pPr>
        <w:pStyle w:val="BodyText"/>
        <w:rPr>
          <w:i/>
          <w:iCs/>
        </w:rPr>
      </w:pPr>
    </w:p>
    <w:p w:rsidR="009F3E92" w:rsidP="008545C3" w14:paraId="5B695C7E" w14:textId="77777777">
      <w:pPr>
        <w:pStyle w:val="ListParagraph"/>
        <w:numPr>
          <w:ilvl w:val="0"/>
          <w:numId w:val="1"/>
        </w:numPr>
        <w:ind w:left="0"/>
        <w:rPr>
          <w:sz w:val="24"/>
          <w:u w:val="none"/>
        </w:rPr>
      </w:pPr>
      <w:r>
        <w:rPr>
          <w:sz w:val="24"/>
        </w:rPr>
        <w:t>Purpose</w:t>
      </w:r>
      <w:r>
        <w:rPr>
          <w:spacing w:val="-2"/>
          <w:sz w:val="24"/>
        </w:rPr>
        <w:t xml:space="preserve"> </w:t>
      </w:r>
      <w:r>
        <w:rPr>
          <w:sz w:val="24"/>
        </w:rPr>
        <w:t>and</w:t>
      </w:r>
      <w:r>
        <w:rPr>
          <w:spacing w:val="-4"/>
          <w:sz w:val="24"/>
        </w:rPr>
        <w:t xml:space="preserve"> </w:t>
      </w:r>
      <w:r>
        <w:rPr>
          <w:sz w:val="24"/>
        </w:rPr>
        <w:t>Use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Information</w:t>
      </w:r>
      <w:r>
        <w:rPr>
          <w:spacing w:val="-2"/>
          <w:sz w:val="24"/>
        </w:rPr>
        <w:t xml:space="preserve"> Collection</w:t>
      </w:r>
    </w:p>
    <w:p w:rsidR="009F3E92" w:rsidP="008545C3" w14:paraId="740E4728" w14:textId="77777777">
      <w:pPr>
        <w:pStyle w:val="BodyText"/>
        <w:rPr>
          <w:sz w:val="16"/>
        </w:rPr>
      </w:pPr>
    </w:p>
    <w:p w:rsidR="009F3E92" w:rsidP="008545C3" w14:paraId="62CCAD42" w14:textId="77777777">
      <w:pPr>
        <w:pStyle w:val="BodyText"/>
      </w:pPr>
      <w:r>
        <w:t>This information collection provides a means for sponsors of clinical trials involving human drugs and biological products to implement improved and more-efficient approaches to manage</w:t>
      </w:r>
      <w:r>
        <w:rPr>
          <w:spacing w:val="-3"/>
        </w:rPr>
        <w:t xml:space="preserve"> </w:t>
      </w:r>
      <w:r>
        <w:t>quality</w:t>
      </w:r>
      <w:r>
        <w:rPr>
          <w:spacing w:val="-3"/>
        </w:rPr>
        <w:t xml:space="preserve"> </w:t>
      </w:r>
      <w:r>
        <w:t>throughout</w:t>
      </w:r>
      <w:r>
        <w:rPr>
          <w:spacing w:val="-3"/>
        </w:rPr>
        <w:t xml:space="preserve"> </w:t>
      </w:r>
      <w:r>
        <w:t>all</w:t>
      </w:r>
      <w:r>
        <w:rPr>
          <w:spacing w:val="-3"/>
        </w:rPr>
        <w:t xml:space="preserve"> </w:t>
      </w:r>
      <w:r>
        <w:t>stages</w:t>
      </w:r>
      <w:r>
        <w:rPr>
          <w:spacing w:val="-3"/>
        </w:rPr>
        <w:t xml:space="preserve"> </w:t>
      </w:r>
      <w:r>
        <w:t>of</w:t>
      </w:r>
      <w:r>
        <w:rPr>
          <w:spacing w:val="-3"/>
        </w:rPr>
        <w:t xml:space="preserve"> </w:t>
      </w:r>
      <w:r>
        <w:t>the</w:t>
      </w:r>
      <w:r>
        <w:rPr>
          <w:spacing w:val="-3"/>
        </w:rPr>
        <w:t xml:space="preserve"> </w:t>
      </w:r>
      <w:r>
        <w:t>clinical</w:t>
      </w:r>
      <w:r>
        <w:rPr>
          <w:spacing w:val="-3"/>
        </w:rPr>
        <w:t xml:space="preserve"> </w:t>
      </w:r>
      <w:r>
        <w:t>trial</w:t>
      </w:r>
      <w:r>
        <w:rPr>
          <w:spacing w:val="-3"/>
        </w:rPr>
        <w:t xml:space="preserve"> </w:t>
      </w:r>
      <w:r>
        <w:t>process</w:t>
      </w:r>
      <w:r>
        <w:rPr>
          <w:spacing w:val="-3"/>
        </w:rPr>
        <w:t xml:space="preserve"> </w:t>
      </w:r>
      <w:r>
        <w:t>while</w:t>
      </w:r>
      <w:r>
        <w:rPr>
          <w:spacing w:val="-3"/>
        </w:rPr>
        <w:t xml:space="preserve"> </w:t>
      </w:r>
      <w:r>
        <w:t>continuing</w:t>
      </w:r>
      <w:r>
        <w:rPr>
          <w:spacing w:val="-3"/>
        </w:rPr>
        <w:t xml:space="preserve"> </w:t>
      </w:r>
      <w:r>
        <w:t>to</w:t>
      </w:r>
      <w:r>
        <w:rPr>
          <w:spacing w:val="-3"/>
        </w:rPr>
        <w:t xml:space="preserve"> </w:t>
      </w:r>
      <w:r>
        <w:t>ensure</w:t>
      </w:r>
      <w:r>
        <w:rPr>
          <w:spacing w:val="-3"/>
        </w:rPr>
        <w:t xml:space="preserve"> </w:t>
      </w:r>
      <w:r>
        <w:t>the protection of human subjects and the reliability of trial results.</w:t>
      </w:r>
      <w:r>
        <w:rPr>
          <w:spacing w:val="40"/>
        </w:rPr>
        <w:t xml:space="preserve"> </w:t>
      </w:r>
      <w:r>
        <w:t>The recommendations of the guidance assist respondents with developing and implementing a quality management system while</w:t>
      </w:r>
      <w:r>
        <w:rPr>
          <w:spacing w:val="-1"/>
        </w:rPr>
        <w:t xml:space="preserve"> </w:t>
      </w:r>
      <w:r>
        <w:t>at</w:t>
      </w:r>
      <w:r>
        <w:rPr>
          <w:spacing w:val="-1"/>
        </w:rPr>
        <w:t xml:space="preserve"> </w:t>
      </w:r>
      <w:r>
        <w:t>the</w:t>
      </w:r>
      <w:r>
        <w:rPr>
          <w:spacing w:val="-1"/>
        </w:rPr>
        <w:t xml:space="preserve"> </w:t>
      </w:r>
      <w:r>
        <w:t>same time help</w:t>
      </w:r>
      <w:r>
        <w:rPr>
          <w:spacing w:val="-1"/>
        </w:rPr>
        <w:t xml:space="preserve"> </w:t>
      </w:r>
      <w:r>
        <w:t>us</w:t>
      </w:r>
      <w:r>
        <w:rPr>
          <w:spacing w:val="-1"/>
        </w:rPr>
        <w:t xml:space="preserve"> </w:t>
      </w:r>
      <w:r>
        <w:t>oversee</w:t>
      </w:r>
      <w:r>
        <w:rPr>
          <w:spacing w:val="-1"/>
        </w:rPr>
        <w:t xml:space="preserve"> </w:t>
      </w:r>
      <w:r>
        <w:t>sponsors’ responsibilities</w:t>
      </w:r>
      <w:r>
        <w:rPr>
          <w:spacing w:val="-1"/>
        </w:rPr>
        <w:t xml:space="preserve"> </w:t>
      </w:r>
      <w:r>
        <w:t>to</w:t>
      </w:r>
      <w:r>
        <w:rPr>
          <w:spacing w:val="-1"/>
        </w:rPr>
        <w:t xml:space="preserve"> </w:t>
      </w:r>
      <w:r>
        <w:t>ensure adequate protection of the rights, welfare, and safety of human subjects and the quality and integrity of the resulting data</w:t>
      </w:r>
      <w:r>
        <w:rPr>
          <w:spacing w:val="40"/>
        </w:rPr>
        <w:t xml:space="preserve"> </w:t>
      </w:r>
      <w:r>
        <w:t>submitted to us.</w:t>
      </w:r>
    </w:p>
    <w:p w:rsidR="009F3E92" w:rsidP="008545C3" w14:paraId="611FB430" w14:textId="77777777">
      <w:pPr>
        <w:sectPr w:rsidSect="008545C3">
          <w:type w:val="continuous"/>
          <w:pgSz w:w="12240" w:h="15840"/>
          <w:pgMar w:top="1440" w:right="1440" w:bottom="1440" w:left="1440" w:header="720" w:footer="720" w:gutter="0"/>
          <w:cols w:space="720"/>
        </w:sectPr>
      </w:pPr>
    </w:p>
    <w:p w:rsidR="009F3E92" w:rsidP="008545C3" w14:paraId="18506EE8" w14:textId="77777777">
      <w:pPr>
        <w:pStyle w:val="ListParagraph"/>
        <w:numPr>
          <w:ilvl w:val="0"/>
          <w:numId w:val="1"/>
        </w:numPr>
        <w:ind w:left="0"/>
        <w:rPr>
          <w:sz w:val="24"/>
          <w:u w:val="none"/>
        </w:rPr>
      </w:pPr>
      <w:r>
        <w:rPr>
          <w:sz w:val="24"/>
        </w:rPr>
        <w:t>Use</w:t>
      </w:r>
      <w:r>
        <w:rPr>
          <w:spacing w:val="-5"/>
          <w:sz w:val="24"/>
        </w:rPr>
        <w:t xml:space="preserve"> </w:t>
      </w:r>
      <w:r>
        <w:rPr>
          <w:sz w:val="24"/>
        </w:rPr>
        <w:t>of</w:t>
      </w:r>
      <w:r>
        <w:rPr>
          <w:spacing w:val="-5"/>
          <w:sz w:val="24"/>
        </w:rPr>
        <w:t xml:space="preserve"> </w:t>
      </w:r>
      <w:r>
        <w:rPr>
          <w:sz w:val="24"/>
        </w:rPr>
        <w:t>Improved</w:t>
      </w:r>
      <w:r>
        <w:rPr>
          <w:spacing w:val="-5"/>
          <w:sz w:val="24"/>
        </w:rPr>
        <w:t xml:space="preserve"> </w:t>
      </w:r>
      <w:r>
        <w:rPr>
          <w:sz w:val="24"/>
        </w:rPr>
        <w:t>Information</w:t>
      </w:r>
      <w:r>
        <w:rPr>
          <w:spacing w:val="-5"/>
          <w:sz w:val="24"/>
        </w:rPr>
        <w:t xml:space="preserve"> </w:t>
      </w:r>
      <w:r>
        <w:rPr>
          <w:sz w:val="24"/>
        </w:rPr>
        <w:t>Technology</w:t>
      </w:r>
      <w:r>
        <w:rPr>
          <w:spacing w:val="-4"/>
          <w:sz w:val="24"/>
        </w:rPr>
        <w:t xml:space="preserve"> </w:t>
      </w:r>
      <w:r>
        <w:rPr>
          <w:sz w:val="24"/>
        </w:rPr>
        <w:t>and</w:t>
      </w:r>
      <w:r>
        <w:rPr>
          <w:spacing w:val="-3"/>
          <w:sz w:val="24"/>
        </w:rPr>
        <w:t xml:space="preserve"> </w:t>
      </w:r>
      <w:r>
        <w:rPr>
          <w:sz w:val="24"/>
        </w:rPr>
        <w:t>Burden</w:t>
      </w:r>
      <w:r>
        <w:rPr>
          <w:spacing w:val="-5"/>
          <w:sz w:val="24"/>
        </w:rPr>
        <w:t xml:space="preserve"> </w:t>
      </w:r>
      <w:r>
        <w:rPr>
          <w:spacing w:val="-2"/>
          <w:sz w:val="24"/>
        </w:rPr>
        <w:t>Reduction</w:t>
      </w:r>
    </w:p>
    <w:p w:rsidR="009F3E92" w:rsidP="008545C3" w14:paraId="60BB691C" w14:textId="77777777">
      <w:pPr>
        <w:pStyle w:val="BodyText"/>
        <w:rPr>
          <w:sz w:val="16"/>
        </w:rPr>
      </w:pPr>
    </w:p>
    <w:p w:rsidR="009F3E92" w:rsidP="008545C3" w14:paraId="10BC452B" w14:textId="77777777">
      <w:pPr>
        <w:pStyle w:val="BodyText"/>
      </w:pPr>
      <w:r>
        <w:t>We</w:t>
      </w:r>
      <w:r>
        <w:rPr>
          <w:spacing w:val="-3"/>
        </w:rPr>
        <w:t xml:space="preserve"> </w:t>
      </w:r>
      <w:r>
        <w:t>encourage</w:t>
      </w:r>
      <w:r>
        <w:rPr>
          <w:spacing w:val="-3"/>
        </w:rPr>
        <w:t xml:space="preserve"> </w:t>
      </w:r>
      <w:r>
        <w:t>electronic</w:t>
      </w:r>
      <w:r>
        <w:rPr>
          <w:spacing w:val="-3"/>
        </w:rPr>
        <w:t xml:space="preserve"> </w:t>
      </w:r>
      <w:r>
        <w:t>submission</w:t>
      </w:r>
      <w:r>
        <w:rPr>
          <w:spacing w:val="-3"/>
        </w:rPr>
        <w:t xml:space="preserve"> </w:t>
      </w:r>
      <w:r>
        <w:t>of</w:t>
      </w:r>
      <w:r>
        <w:rPr>
          <w:spacing w:val="-3"/>
        </w:rPr>
        <w:t xml:space="preserve"> </w:t>
      </w:r>
      <w:r>
        <w:t>the</w:t>
      </w:r>
      <w:r>
        <w:rPr>
          <w:spacing w:val="-5"/>
        </w:rPr>
        <w:t xml:space="preserve"> </w:t>
      </w:r>
      <w:r>
        <w:t>information</w:t>
      </w:r>
      <w:r>
        <w:rPr>
          <w:spacing w:val="-4"/>
        </w:rPr>
        <w:t xml:space="preserve"> </w:t>
      </w:r>
      <w:r>
        <w:t>required</w:t>
      </w:r>
      <w:r>
        <w:rPr>
          <w:spacing w:val="-4"/>
        </w:rPr>
        <w:t xml:space="preserve"> </w:t>
      </w:r>
      <w:r>
        <w:t>under</w:t>
      </w:r>
      <w:r>
        <w:rPr>
          <w:spacing w:val="-4"/>
        </w:rPr>
        <w:t xml:space="preserve"> </w:t>
      </w:r>
      <w:r>
        <w:t>parts</w:t>
      </w:r>
      <w:r>
        <w:rPr>
          <w:spacing w:val="-4"/>
        </w:rPr>
        <w:t xml:space="preserve"> </w:t>
      </w:r>
      <w:r>
        <w:t>312,</w:t>
      </w:r>
      <w:r>
        <w:rPr>
          <w:spacing w:val="-4"/>
        </w:rPr>
        <w:t xml:space="preserve"> </w:t>
      </w:r>
      <w:r>
        <w:t>314,</w:t>
      </w:r>
      <w:r>
        <w:rPr>
          <w:spacing w:val="-4"/>
        </w:rPr>
        <w:t xml:space="preserve"> </w:t>
      </w:r>
      <w:r>
        <w:t>and</w:t>
      </w:r>
      <w:r>
        <w:rPr>
          <w:spacing w:val="-4"/>
        </w:rPr>
        <w:t xml:space="preserve"> </w:t>
      </w:r>
      <w:r>
        <w:t>601 and have developed several guidance documents describing the process for submitting information to us in electronic format.</w:t>
      </w:r>
      <w:r>
        <w:rPr>
          <w:spacing w:val="40"/>
        </w:rPr>
        <w:t xml:space="preserve"> </w:t>
      </w:r>
      <w:r>
        <w:t xml:space="preserve">These guidance documents and others are available on our website at </w:t>
      </w:r>
      <w:hyperlink r:id="rId5">
        <w:r>
          <w:rPr>
            <w:color w:val="0563C1"/>
            <w:u w:val="single" w:color="0563C1"/>
          </w:rPr>
          <w:t>https://www.fda.gov/RegulatoryInf</w:t>
        </w:r>
      </w:hyperlink>
      <w:r>
        <w:rPr>
          <w:color w:val="0563C1"/>
          <w:u w:val="single" w:color="0563C1"/>
        </w:rPr>
        <w:t>orma</w:t>
      </w:r>
      <w:hyperlink r:id="rId5">
        <w:r>
          <w:rPr>
            <w:color w:val="0563C1"/>
            <w:u w:val="single" w:color="0563C1"/>
          </w:rPr>
          <w:t>tion/Guidances/default.htm</w:t>
        </w:r>
      </w:hyperlink>
      <w:r>
        <w:t>.</w:t>
      </w:r>
    </w:p>
    <w:p w:rsidR="009F3E92" w:rsidP="008545C3" w14:paraId="21B64EFA" w14:textId="77777777">
      <w:pPr>
        <w:pStyle w:val="BodyText"/>
        <w:rPr>
          <w:sz w:val="16"/>
        </w:rPr>
      </w:pPr>
    </w:p>
    <w:p w:rsidR="009F3E92" w:rsidP="008545C3" w14:paraId="6A0083D1" w14:textId="77777777">
      <w:pPr>
        <w:pStyle w:val="ListParagraph"/>
        <w:numPr>
          <w:ilvl w:val="0"/>
          <w:numId w:val="1"/>
        </w:numPr>
        <w:ind w:left="0" w:hanging="361"/>
        <w:rPr>
          <w:sz w:val="24"/>
          <w:u w:val="none"/>
        </w:rPr>
      </w:pPr>
      <w:r>
        <w:rPr>
          <w:sz w:val="24"/>
        </w:rPr>
        <w:t>Efforts</w:t>
      </w:r>
      <w:r>
        <w:rPr>
          <w:spacing w:val="-2"/>
          <w:sz w:val="24"/>
        </w:rPr>
        <w:t xml:space="preserve"> </w:t>
      </w:r>
      <w:r>
        <w:rPr>
          <w:sz w:val="24"/>
        </w:rPr>
        <w:t>to</w:t>
      </w:r>
      <w:r>
        <w:rPr>
          <w:spacing w:val="-2"/>
          <w:sz w:val="24"/>
        </w:rPr>
        <w:t xml:space="preserve"> </w:t>
      </w:r>
      <w:r>
        <w:rPr>
          <w:sz w:val="24"/>
        </w:rPr>
        <w:t>Identify</w:t>
      </w:r>
      <w:r>
        <w:rPr>
          <w:spacing w:val="-2"/>
          <w:sz w:val="24"/>
        </w:rPr>
        <w:t xml:space="preserve"> </w:t>
      </w:r>
      <w:r>
        <w:rPr>
          <w:sz w:val="24"/>
        </w:rPr>
        <w:t>Duplication</w:t>
      </w:r>
      <w:r>
        <w:rPr>
          <w:spacing w:val="-2"/>
          <w:sz w:val="24"/>
        </w:rPr>
        <w:t xml:space="preserve"> </w:t>
      </w:r>
      <w:r>
        <w:rPr>
          <w:sz w:val="24"/>
        </w:rPr>
        <w:t>and</w:t>
      </w:r>
      <w:r>
        <w:rPr>
          <w:spacing w:val="-2"/>
          <w:sz w:val="24"/>
        </w:rPr>
        <w:t xml:space="preserve"> </w:t>
      </w:r>
      <w:r>
        <w:rPr>
          <w:sz w:val="24"/>
        </w:rPr>
        <w:t>Use</w:t>
      </w:r>
      <w:r>
        <w:rPr>
          <w:spacing w:val="-1"/>
          <w:sz w:val="24"/>
        </w:rPr>
        <w:t xml:space="preserve"> </w:t>
      </w:r>
      <w:r>
        <w:rPr>
          <w:sz w:val="24"/>
        </w:rPr>
        <w:t>of</w:t>
      </w:r>
      <w:r>
        <w:rPr>
          <w:spacing w:val="-2"/>
          <w:sz w:val="24"/>
        </w:rPr>
        <w:t xml:space="preserve"> </w:t>
      </w:r>
      <w:r>
        <w:rPr>
          <w:sz w:val="24"/>
        </w:rPr>
        <w:t>Similar</w:t>
      </w:r>
      <w:r>
        <w:rPr>
          <w:spacing w:val="-2"/>
          <w:sz w:val="24"/>
        </w:rPr>
        <w:t xml:space="preserve"> Information</w:t>
      </w:r>
    </w:p>
    <w:p w:rsidR="009F3E92" w:rsidP="008545C3" w14:paraId="30CDCF34" w14:textId="77777777">
      <w:pPr>
        <w:pStyle w:val="BodyText"/>
        <w:rPr>
          <w:sz w:val="16"/>
        </w:rPr>
      </w:pPr>
    </w:p>
    <w:p w:rsidR="009148A7" w:rsidP="008545C3" w14:paraId="6292D568" w14:textId="1F59E55B">
      <w:pPr>
        <w:pStyle w:val="BodyText"/>
      </w:pPr>
      <w:r>
        <w:t>We</w:t>
      </w:r>
      <w:r>
        <w:rPr>
          <w:spacing w:val="-1"/>
        </w:rPr>
        <w:t xml:space="preserve"> </w:t>
      </w:r>
      <w:r>
        <w:t>are</w:t>
      </w:r>
      <w:r>
        <w:rPr>
          <w:spacing w:val="-1"/>
        </w:rPr>
        <w:t xml:space="preserve"> </w:t>
      </w:r>
      <w:r>
        <w:t>unaware</w:t>
      </w:r>
      <w:r>
        <w:rPr>
          <w:spacing w:val="-1"/>
        </w:rPr>
        <w:t xml:space="preserve"> </w:t>
      </w:r>
      <w:r>
        <w:t>of</w:t>
      </w:r>
      <w:r>
        <w:rPr>
          <w:spacing w:val="-1"/>
        </w:rPr>
        <w:t xml:space="preserve"> </w:t>
      </w:r>
      <w:r>
        <w:t>duplicative</w:t>
      </w:r>
      <w:r>
        <w:rPr>
          <w:spacing w:val="-1"/>
        </w:rPr>
        <w:t xml:space="preserve"> </w:t>
      </w:r>
      <w:r>
        <w:t xml:space="preserve">information </w:t>
      </w:r>
      <w:r>
        <w:rPr>
          <w:spacing w:val="-2"/>
        </w:rPr>
        <w:t>collection.</w:t>
      </w:r>
      <w:r w:rsidR="005029FB">
        <w:rPr>
          <w:spacing w:val="-2"/>
        </w:rPr>
        <w:t xml:space="preserve"> This consolidation request is based on a review of our active inventory and information collection associated with </w:t>
      </w:r>
      <w:r w:rsidRPr="00766059" w:rsidR="00766059">
        <w:rPr>
          <w:spacing w:val="-2"/>
        </w:rPr>
        <w:t>recordkeeping for developing and implementing a system to manage</w:t>
      </w:r>
      <w:r w:rsidR="00766059">
        <w:rPr>
          <w:spacing w:val="-2"/>
        </w:rPr>
        <w:t xml:space="preserve"> </w:t>
      </w:r>
      <w:r w:rsidRPr="00766059" w:rsidR="00766059">
        <w:rPr>
          <w:spacing w:val="-2"/>
        </w:rPr>
        <w:t>quality throughout all stages of the clinical trial process, and the reporting associated with</w:t>
      </w:r>
      <w:r w:rsidR="00766059">
        <w:rPr>
          <w:spacing w:val="-2"/>
        </w:rPr>
        <w:t xml:space="preserve"> </w:t>
      </w:r>
      <w:r w:rsidRPr="00766059" w:rsidR="00766059">
        <w:rPr>
          <w:spacing w:val="-2"/>
        </w:rPr>
        <w:t>describing the quality management approach</w:t>
      </w:r>
      <w:r w:rsidR="00766059">
        <w:rPr>
          <w:spacing w:val="-2"/>
        </w:rPr>
        <w:t xml:space="preserve"> i</w:t>
      </w:r>
      <w:r w:rsidRPr="00766059" w:rsidR="00766059">
        <w:rPr>
          <w:spacing w:val="-2"/>
        </w:rPr>
        <w:t>mplemented in the trial and summarizing</w:t>
      </w:r>
      <w:r w:rsidR="00766059">
        <w:rPr>
          <w:spacing w:val="-2"/>
        </w:rPr>
        <w:t xml:space="preserve"> </w:t>
      </w:r>
      <w:r w:rsidRPr="00766059" w:rsidR="00766059">
        <w:rPr>
          <w:spacing w:val="-2"/>
        </w:rPr>
        <w:t>important deviations from the predefined quality tolerance limits and remedial actions taken in</w:t>
      </w:r>
      <w:r w:rsidR="00766059">
        <w:rPr>
          <w:spacing w:val="-2"/>
        </w:rPr>
        <w:t xml:space="preserve"> </w:t>
      </w:r>
      <w:r w:rsidRPr="00766059" w:rsidR="00766059">
        <w:rPr>
          <w:spacing w:val="-2"/>
        </w:rPr>
        <w:t>the clinical study report</w:t>
      </w:r>
      <w:r w:rsidR="00766059">
        <w:rPr>
          <w:spacing w:val="-2"/>
        </w:rPr>
        <w:t xml:space="preserve">. </w:t>
      </w:r>
      <w:r w:rsidRPr="00F071E6">
        <w:t xml:space="preserve">Upon OMB approval of the information collection request, we intend to discontinue </w:t>
      </w:r>
      <w:r w:rsidR="00350A4A">
        <w:t>OMB c</w:t>
      </w:r>
      <w:r w:rsidRPr="00F071E6">
        <w:t xml:space="preserve">ontrol </w:t>
      </w:r>
      <w:r w:rsidR="00350A4A">
        <w:t>n</w:t>
      </w:r>
      <w:r w:rsidR="00F33704">
        <w:t>umber</w:t>
      </w:r>
      <w:r w:rsidRPr="00F071E6">
        <w:t xml:space="preserve"> 0910-08</w:t>
      </w:r>
      <w:r>
        <w:t>43</w:t>
      </w:r>
      <w:r w:rsidR="00350A4A">
        <w:t>.</w:t>
      </w:r>
    </w:p>
    <w:p w:rsidR="009F3E92" w:rsidP="008545C3" w14:paraId="3611D69E" w14:textId="77777777">
      <w:pPr>
        <w:pStyle w:val="BodyText"/>
      </w:pPr>
    </w:p>
    <w:p w:rsidR="009F3E92" w:rsidP="008545C3" w14:paraId="65632B16" w14:textId="77777777">
      <w:pPr>
        <w:pStyle w:val="ListParagraph"/>
        <w:numPr>
          <w:ilvl w:val="0"/>
          <w:numId w:val="1"/>
        </w:numPr>
        <w:ind w:left="0" w:hanging="361"/>
        <w:rPr>
          <w:sz w:val="24"/>
          <w:u w:val="none"/>
        </w:rPr>
      </w:pPr>
      <w:r>
        <w:rPr>
          <w:sz w:val="24"/>
        </w:rPr>
        <w:t>Impact</w:t>
      </w:r>
      <w:r>
        <w:rPr>
          <w:spacing w:val="-4"/>
          <w:sz w:val="24"/>
        </w:rPr>
        <w:t xml:space="preserve"> </w:t>
      </w:r>
      <w:r>
        <w:rPr>
          <w:sz w:val="24"/>
        </w:rPr>
        <w:t>on</w:t>
      </w:r>
      <w:r>
        <w:rPr>
          <w:spacing w:val="-3"/>
          <w:sz w:val="24"/>
        </w:rPr>
        <w:t xml:space="preserve"> </w:t>
      </w:r>
      <w:r>
        <w:rPr>
          <w:sz w:val="24"/>
        </w:rPr>
        <w:t>Small</w:t>
      </w:r>
      <w:r>
        <w:rPr>
          <w:spacing w:val="-3"/>
          <w:sz w:val="24"/>
        </w:rPr>
        <w:t xml:space="preserve"> </w:t>
      </w:r>
      <w:r>
        <w:rPr>
          <w:sz w:val="24"/>
        </w:rPr>
        <w:t>Businesses</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Small</w:t>
      </w:r>
      <w:r>
        <w:rPr>
          <w:spacing w:val="-3"/>
          <w:sz w:val="24"/>
        </w:rPr>
        <w:t xml:space="preserve"> </w:t>
      </w:r>
      <w:r>
        <w:rPr>
          <w:spacing w:val="-2"/>
          <w:sz w:val="24"/>
        </w:rPr>
        <w:t>Entities</w:t>
      </w:r>
    </w:p>
    <w:p w:rsidR="009F3E92" w:rsidP="008545C3" w14:paraId="2878D3F8" w14:textId="77777777">
      <w:pPr>
        <w:pStyle w:val="BodyText"/>
        <w:rPr>
          <w:sz w:val="16"/>
        </w:rPr>
      </w:pPr>
    </w:p>
    <w:p w:rsidR="009F3E92" w:rsidP="008545C3" w14:paraId="3E6896ED" w14:textId="0F0F6C64">
      <w:pPr>
        <w:pStyle w:val="BodyText"/>
      </w:pPr>
      <w:r>
        <w:t>Information</w:t>
      </w:r>
      <w:r>
        <w:rPr>
          <w:spacing w:val="-4"/>
        </w:rPr>
        <w:t xml:space="preserve"> </w:t>
      </w:r>
      <w:r>
        <w:t>collection</w:t>
      </w:r>
      <w:r>
        <w:rPr>
          <w:spacing w:val="-4"/>
        </w:rPr>
        <w:t xml:space="preserve"> </w:t>
      </w:r>
      <w:r>
        <w:t>recommendations</w:t>
      </w:r>
      <w:r>
        <w:rPr>
          <w:spacing w:val="-4"/>
        </w:rPr>
        <w:t xml:space="preserve"> </w:t>
      </w:r>
      <w:r>
        <w:t>found</w:t>
      </w:r>
      <w:r>
        <w:rPr>
          <w:spacing w:val="-4"/>
        </w:rPr>
        <w:t xml:space="preserve"> </w:t>
      </w:r>
      <w:r>
        <w:t>in</w:t>
      </w:r>
      <w:r>
        <w:rPr>
          <w:spacing w:val="-4"/>
        </w:rPr>
        <w:t xml:space="preserve"> </w:t>
      </w:r>
      <w:r>
        <w:t>the</w:t>
      </w:r>
      <w:r>
        <w:rPr>
          <w:spacing w:val="-3"/>
        </w:rPr>
        <w:t xml:space="preserve"> </w:t>
      </w:r>
      <w:r>
        <w:t>guidance</w:t>
      </w:r>
      <w:r>
        <w:rPr>
          <w:spacing w:val="-3"/>
        </w:rPr>
        <w:t xml:space="preserve"> </w:t>
      </w:r>
      <w:r>
        <w:t>apply</w:t>
      </w:r>
      <w:r>
        <w:rPr>
          <w:spacing w:val="-3"/>
        </w:rPr>
        <w:t xml:space="preserve"> </w:t>
      </w:r>
      <w:r>
        <w:t>to</w:t>
      </w:r>
      <w:r>
        <w:rPr>
          <w:spacing w:val="-3"/>
        </w:rPr>
        <w:t xml:space="preserve"> </w:t>
      </w:r>
      <w:r>
        <w:t>both</w:t>
      </w:r>
      <w:r>
        <w:rPr>
          <w:spacing w:val="-3"/>
        </w:rPr>
        <w:t xml:space="preserve"> </w:t>
      </w:r>
      <w:r>
        <w:t>small</w:t>
      </w:r>
      <w:r>
        <w:rPr>
          <w:spacing w:val="-2"/>
        </w:rPr>
        <w:t xml:space="preserve"> </w:t>
      </w:r>
      <w:r>
        <w:t>and</w:t>
      </w:r>
      <w:r>
        <w:rPr>
          <w:spacing w:val="-3"/>
        </w:rPr>
        <w:t xml:space="preserve"> </w:t>
      </w:r>
      <w:r>
        <w:t xml:space="preserve">large businesses. We routinely aid small businesses in complying with </w:t>
      </w:r>
      <w:r w:rsidR="000A4047">
        <w:t>A</w:t>
      </w:r>
      <w:r>
        <w:t xml:space="preserve">gency requirements through its Regional Small Business Representatives and through the scientific and administrative staffs within the Agency. We have provided a Small Business </w:t>
      </w:r>
      <w:r w:rsidR="00130A42">
        <w:t>Assistance</w:t>
      </w:r>
      <w:r>
        <w:t xml:space="preserve"> on the </w:t>
      </w:r>
      <w:r w:rsidR="00860EE6">
        <w:t>A</w:t>
      </w:r>
      <w:r>
        <w:t>gency’s website at</w:t>
      </w:r>
      <w:r w:rsidR="006A22D8">
        <w:t xml:space="preserve"> </w:t>
      </w:r>
      <w:hyperlink r:id="rId6" w:history="1">
        <w:r w:rsidRPr="006D18AA" w:rsidR="006A22D8">
          <w:rPr>
            <w:rStyle w:val="Hyperlink"/>
          </w:rPr>
          <w:t>https://www.fda.gov/industry/small-business-assistance</w:t>
        </w:r>
      </w:hyperlink>
      <w:r w:rsidR="006A22D8">
        <w:t xml:space="preserve">. </w:t>
      </w:r>
      <w:r>
        <w:t xml:space="preserve"> </w:t>
      </w:r>
    </w:p>
    <w:p w:rsidR="009F3E92" w:rsidP="008545C3" w14:paraId="4D72E707" w14:textId="77777777">
      <w:pPr>
        <w:pStyle w:val="BodyText"/>
        <w:rPr>
          <w:sz w:val="16"/>
        </w:rPr>
      </w:pPr>
    </w:p>
    <w:p w:rsidR="009F3E92" w:rsidP="008545C3" w14:paraId="4C15C4B8" w14:textId="77777777">
      <w:pPr>
        <w:pStyle w:val="ListParagraph"/>
        <w:numPr>
          <w:ilvl w:val="0"/>
          <w:numId w:val="1"/>
        </w:numPr>
        <w:ind w:left="0" w:hanging="361"/>
        <w:rPr>
          <w:sz w:val="24"/>
          <w:u w:val="none"/>
        </w:rPr>
      </w:pPr>
      <w:r>
        <w:rPr>
          <w:sz w:val="24"/>
        </w:rPr>
        <w:t>Consequences</w:t>
      </w:r>
      <w:r>
        <w:rPr>
          <w:spacing w:val="-2"/>
          <w:sz w:val="24"/>
        </w:rPr>
        <w:t xml:space="preserve"> </w:t>
      </w:r>
      <w:r>
        <w:rPr>
          <w:sz w:val="24"/>
        </w:rPr>
        <w:t>of</w:t>
      </w:r>
      <w:r>
        <w:rPr>
          <w:spacing w:val="-1"/>
          <w:sz w:val="24"/>
        </w:rPr>
        <w:t xml:space="preserve"> </w:t>
      </w:r>
      <w:r>
        <w:rPr>
          <w:sz w:val="24"/>
        </w:rPr>
        <w:t>Collecting</w:t>
      </w:r>
      <w:r>
        <w:rPr>
          <w:spacing w:val="-1"/>
          <w:sz w:val="24"/>
        </w:rPr>
        <w:t xml:space="preserve"> </w:t>
      </w:r>
      <w:r>
        <w:rPr>
          <w:sz w:val="24"/>
        </w:rPr>
        <w:t>the</w:t>
      </w:r>
      <w:r>
        <w:rPr>
          <w:spacing w:val="-2"/>
          <w:sz w:val="24"/>
        </w:rPr>
        <w:t xml:space="preserve"> </w:t>
      </w:r>
      <w:r>
        <w:rPr>
          <w:sz w:val="24"/>
        </w:rPr>
        <w:t>Information</w:t>
      </w:r>
      <w:r>
        <w:rPr>
          <w:spacing w:val="-3"/>
          <w:sz w:val="24"/>
        </w:rPr>
        <w:t xml:space="preserve"> </w:t>
      </w:r>
      <w:r>
        <w:rPr>
          <w:sz w:val="24"/>
        </w:rPr>
        <w:t>Less</w:t>
      </w:r>
      <w:r>
        <w:rPr>
          <w:spacing w:val="-2"/>
          <w:sz w:val="24"/>
        </w:rPr>
        <w:t xml:space="preserve"> Frequently</w:t>
      </w:r>
    </w:p>
    <w:p w:rsidR="009F3E92" w:rsidP="008545C3" w14:paraId="7A28A420" w14:textId="77777777">
      <w:pPr>
        <w:pStyle w:val="BodyText"/>
        <w:rPr>
          <w:sz w:val="16"/>
        </w:rPr>
      </w:pPr>
    </w:p>
    <w:p w:rsidR="009F3E92" w:rsidP="008545C3" w14:paraId="042D654D" w14:textId="77777777">
      <w:pPr>
        <w:pStyle w:val="BodyText"/>
      </w:pPr>
      <w:r>
        <w:t>We believe the recommended reporting and recordkeeping schedules found in the guidance represent</w:t>
      </w:r>
      <w:r>
        <w:rPr>
          <w:spacing w:val="-4"/>
        </w:rPr>
        <w:t xml:space="preserve"> </w:t>
      </w:r>
      <w:r>
        <w:t>minimal</w:t>
      </w:r>
      <w:r>
        <w:rPr>
          <w:spacing w:val="-4"/>
        </w:rPr>
        <w:t xml:space="preserve"> </w:t>
      </w:r>
      <w:r>
        <w:t>burden</w:t>
      </w:r>
      <w:r>
        <w:rPr>
          <w:spacing w:val="-4"/>
        </w:rPr>
        <w:t xml:space="preserve"> </w:t>
      </w:r>
      <w:r>
        <w:t>on</w:t>
      </w:r>
      <w:r>
        <w:rPr>
          <w:spacing w:val="-4"/>
        </w:rPr>
        <w:t xml:space="preserve"> </w:t>
      </w:r>
      <w:r>
        <w:t>respondents.</w:t>
      </w:r>
      <w:r>
        <w:rPr>
          <w:spacing w:val="-4"/>
        </w:rPr>
        <w:t xml:space="preserve"> </w:t>
      </w:r>
      <w:r>
        <w:t>Less</w:t>
      </w:r>
      <w:r>
        <w:rPr>
          <w:spacing w:val="-5"/>
        </w:rPr>
        <w:t xml:space="preserve"> </w:t>
      </w:r>
      <w:r>
        <w:t>frequent</w:t>
      </w:r>
      <w:r>
        <w:rPr>
          <w:spacing w:val="-5"/>
        </w:rPr>
        <w:t xml:space="preserve"> </w:t>
      </w:r>
      <w:r>
        <w:t>collection</w:t>
      </w:r>
      <w:r>
        <w:rPr>
          <w:spacing w:val="-5"/>
        </w:rPr>
        <w:t xml:space="preserve"> </w:t>
      </w:r>
      <w:r>
        <w:t>might</w:t>
      </w:r>
      <w:r>
        <w:rPr>
          <w:spacing w:val="-5"/>
        </w:rPr>
        <w:t xml:space="preserve"> </w:t>
      </w:r>
      <w:r>
        <w:t>undermine</w:t>
      </w:r>
      <w:r>
        <w:rPr>
          <w:spacing w:val="-5"/>
        </w:rPr>
        <w:t xml:space="preserve"> </w:t>
      </w:r>
      <w:r>
        <w:t>important oversight regarding implementation of clinical trials</w:t>
      </w:r>
      <w:r w:rsidR="00E41EBA">
        <w:t>.</w:t>
      </w:r>
    </w:p>
    <w:p w:rsidR="009F3E92" w:rsidP="008545C3" w14:paraId="5C93F03F" w14:textId="77777777">
      <w:pPr>
        <w:pStyle w:val="BodyText"/>
        <w:rPr>
          <w:sz w:val="23"/>
        </w:rPr>
      </w:pPr>
    </w:p>
    <w:p w:rsidR="009F3E92" w:rsidP="008545C3" w14:paraId="32748059" w14:textId="77777777">
      <w:pPr>
        <w:pStyle w:val="ListParagraph"/>
        <w:numPr>
          <w:ilvl w:val="0"/>
          <w:numId w:val="1"/>
        </w:numPr>
        <w:ind w:left="0" w:hanging="361"/>
        <w:rPr>
          <w:sz w:val="24"/>
          <w:u w:val="none"/>
        </w:rPr>
      </w:pPr>
      <w:r>
        <w:rPr>
          <w:sz w:val="24"/>
        </w:rPr>
        <w:t>Special</w:t>
      </w:r>
      <w:r>
        <w:rPr>
          <w:spacing w:val="-2"/>
          <w:sz w:val="24"/>
        </w:rPr>
        <w:t xml:space="preserve"> </w:t>
      </w:r>
      <w:r>
        <w:rPr>
          <w:sz w:val="24"/>
        </w:rPr>
        <w:t>Circumstances</w:t>
      </w:r>
      <w:r>
        <w:rPr>
          <w:spacing w:val="-2"/>
          <w:sz w:val="24"/>
        </w:rPr>
        <w:t xml:space="preserve"> </w:t>
      </w:r>
      <w:r>
        <w:rPr>
          <w:sz w:val="24"/>
        </w:rPr>
        <w:t>Relating</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Guidelines</w:t>
      </w:r>
      <w:r>
        <w:rPr>
          <w:spacing w:val="-3"/>
          <w:sz w:val="24"/>
        </w:rPr>
        <w:t xml:space="preserve"> </w:t>
      </w:r>
      <w:r>
        <w:rPr>
          <w:sz w:val="24"/>
        </w:rPr>
        <w:t>of</w:t>
      </w:r>
      <w:r>
        <w:rPr>
          <w:spacing w:val="-2"/>
          <w:sz w:val="24"/>
        </w:rPr>
        <w:t xml:space="preserve"> </w:t>
      </w:r>
      <w:r>
        <w:rPr>
          <w:sz w:val="24"/>
        </w:rPr>
        <w:t>5</w:t>
      </w:r>
      <w:r>
        <w:rPr>
          <w:spacing w:val="-2"/>
          <w:sz w:val="24"/>
        </w:rPr>
        <w:t xml:space="preserve"> </w:t>
      </w:r>
      <w:r>
        <w:rPr>
          <w:sz w:val="24"/>
        </w:rPr>
        <w:t>CFR</w:t>
      </w:r>
      <w:r>
        <w:rPr>
          <w:spacing w:val="-2"/>
          <w:sz w:val="24"/>
        </w:rPr>
        <w:t xml:space="preserve"> 1320.5</w:t>
      </w:r>
    </w:p>
    <w:p w:rsidR="009F3E92" w:rsidP="008545C3" w14:paraId="3A6C998B" w14:textId="77777777">
      <w:pPr>
        <w:pStyle w:val="BodyText"/>
        <w:rPr>
          <w:sz w:val="16"/>
        </w:rPr>
      </w:pPr>
    </w:p>
    <w:p w:rsidR="009F3E92" w:rsidP="008545C3" w14:paraId="734B40B6" w14:textId="77777777">
      <w:pPr>
        <w:pStyle w:val="BodyText"/>
      </w:pPr>
      <w:r>
        <w:t>This</w:t>
      </w:r>
      <w:r>
        <w:rPr>
          <w:spacing w:val="-4"/>
        </w:rPr>
        <w:t xml:space="preserve"> </w:t>
      </w:r>
      <w:r>
        <w:t>information</w:t>
      </w:r>
      <w:r>
        <w:rPr>
          <w:spacing w:val="-3"/>
        </w:rPr>
        <w:t xml:space="preserve"> </w:t>
      </w:r>
      <w:r>
        <w:t>collection</w:t>
      </w:r>
      <w:r>
        <w:rPr>
          <w:spacing w:val="-5"/>
        </w:rPr>
        <w:t xml:space="preserve"> </w:t>
      </w:r>
      <w:r>
        <w:t>is</w:t>
      </w:r>
      <w:r>
        <w:rPr>
          <w:spacing w:val="-3"/>
        </w:rPr>
        <w:t xml:space="preserve"> </w:t>
      </w:r>
      <w:r>
        <w:t>consistent</w:t>
      </w:r>
      <w:r>
        <w:rPr>
          <w:spacing w:val="-3"/>
        </w:rPr>
        <w:t xml:space="preserve"> </w:t>
      </w:r>
      <w:r>
        <w:t>with</w:t>
      </w:r>
      <w:r>
        <w:rPr>
          <w:spacing w:val="-2"/>
        </w:rPr>
        <w:t xml:space="preserve"> </w:t>
      </w:r>
      <w:r>
        <w:t>the</w:t>
      </w:r>
      <w:r>
        <w:rPr>
          <w:spacing w:val="-3"/>
        </w:rPr>
        <w:t xml:space="preserve"> </w:t>
      </w:r>
      <w:r>
        <w:t>requirements</w:t>
      </w:r>
      <w:r>
        <w:rPr>
          <w:spacing w:val="-3"/>
        </w:rPr>
        <w:t xml:space="preserve"> </w:t>
      </w:r>
      <w:r>
        <w:t>of</w:t>
      </w:r>
      <w:r>
        <w:rPr>
          <w:spacing w:val="-3"/>
        </w:rPr>
        <w:t xml:space="preserve"> </w:t>
      </w:r>
      <w:r>
        <w:t>5</w:t>
      </w:r>
      <w:r>
        <w:rPr>
          <w:spacing w:val="-3"/>
        </w:rPr>
        <w:t xml:space="preserve"> </w:t>
      </w:r>
      <w:r>
        <w:t>CFR</w:t>
      </w:r>
      <w:r>
        <w:rPr>
          <w:spacing w:val="-3"/>
        </w:rPr>
        <w:t xml:space="preserve"> </w:t>
      </w:r>
      <w:r>
        <w:rPr>
          <w:spacing w:val="-2"/>
        </w:rPr>
        <w:t>1320.5.</w:t>
      </w:r>
    </w:p>
    <w:p w:rsidR="009F3E92" w:rsidP="008545C3" w14:paraId="28FE7071" w14:textId="77777777">
      <w:pPr>
        <w:pStyle w:val="BodyText"/>
      </w:pPr>
    </w:p>
    <w:p w:rsidR="009F3E92" w:rsidP="008545C3" w14:paraId="442C6F4D" w14:textId="77777777">
      <w:pPr>
        <w:pStyle w:val="ListParagraph"/>
        <w:numPr>
          <w:ilvl w:val="0"/>
          <w:numId w:val="1"/>
        </w:numPr>
        <w:ind w:left="0"/>
        <w:rPr>
          <w:sz w:val="24"/>
          <w:u w:val="none"/>
        </w:rPr>
      </w:pPr>
      <w:r>
        <w:rPr>
          <w:sz w:val="24"/>
        </w:rPr>
        <w:t>Comments</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the</w:t>
      </w:r>
      <w:r>
        <w:rPr>
          <w:spacing w:val="-3"/>
          <w:sz w:val="24"/>
        </w:rPr>
        <w:t xml:space="preserve"> </w:t>
      </w:r>
      <w:r w:rsidRPr="007C29DE">
        <w:rPr>
          <w:i/>
          <w:iCs/>
          <w:sz w:val="24"/>
        </w:rPr>
        <w:t>Federal</w:t>
      </w:r>
      <w:r w:rsidRPr="007C29DE">
        <w:rPr>
          <w:i/>
          <w:iCs/>
          <w:spacing w:val="-3"/>
          <w:sz w:val="24"/>
        </w:rPr>
        <w:t xml:space="preserve"> </w:t>
      </w:r>
      <w:r w:rsidRPr="007C29DE">
        <w:rPr>
          <w:i/>
          <w:iCs/>
          <w:sz w:val="24"/>
        </w:rPr>
        <w:t>Register</w:t>
      </w:r>
      <w:r>
        <w:rPr>
          <w:spacing w:val="-4"/>
          <w:sz w:val="24"/>
        </w:rPr>
        <w:t xml:space="preserve"> </w:t>
      </w:r>
      <w:r>
        <w:rPr>
          <w:sz w:val="24"/>
        </w:rPr>
        <w:t>Notice</w:t>
      </w:r>
      <w:r>
        <w:rPr>
          <w:spacing w:val="-4"/>
          <w:sz w:val="24"/>
        </w:rPr>
        <w:t xml:space="preserve"> </w:t>
      </w:r>
      <w:r>
        <w:rPr>
          <w:sz w:val="24"/>
        </w:rPr>
        <w:t>and</w:t>
      </w:r>
      <w:r>
        <w:rPr>
          <w:spacing w:val="-4"/>
          <w:sz w:val="24"/>
        </w:rPr>
        <w:t xml:space="preserve"> </w:t>
      </w:r>
      <w:r>
        <w:rPr>
          <w:sz w:val="24"/>
        </w:rPr>
        <w:t>Efforts</w:t>
      </w:r>
      <w:r>
        <w:rPr>
          <w:spacing w:val="-4"/>
          <w:sz w:val="24"/>
        </w:rPr>
        <w:t xml:space="preserve"> </w:t>
      </w:r>
      <w:r>
        <w:rPr>
          <w:sz w:val="24"/>
        </w:rPr>
        <w:t>to</w:t>
      </w:r>
      <w:r>
        <w:rPr>
          <w:spacing w:val="-4"/>
          <w:sz w:val="24"/>
        </w:rPr>
        <w:t xml:space="preserve"> </w:t>
      </w:r>
      <w:r>
        <w:rPr>
          <w:sz w:val="24"/>
        </w:rPr>
        <w:t>Consult</w:t>
      </w:r>
      <w:r>
        <w:rPr>
          <w:spacing w:val="-4"/>
          <w:sz w:val="24"/>
        </w:rPr>
        <w:t xml:space="preserve"> </w:t>
      </w:r>
      <w:r>
        <w:rPr>
          <w:sz w:val="24"/>
        </w:rPr>
        <w:t>Outside</w:t>
      </w:r>
      <w:r>
        <w:rPr>
          <w:spacing w:val="-4"/>
          <w:sz w:val="24"/>
        </w:rPr>
        <w:t xml:space="preserve"> </w:t>
      </w:r>
      <w:r w:rsidRPr="002A60F4">
        <w:rPr>
          <w:sz w:val="24"/>
        </w:rPr>
        <w:t>the</w:t>
      </w:r>
      <w:r w:rsidRPr="007C29DE">
        <w:rPr>
          <w:sz w:val="24"/>
        </w:rPr>
        <w:t xml:space="preserve"> </w:t>
      </w:r>
      <w:r w:rsidRPr="002A60F4">
        <w:rPr>
          <w:spacing w:val="-2"/>
          <w:sz w:val="24"/>
        </w:rPr>
        <w:t>A</w:t>
      </w:r>
      <w:r>
        <w:rPr>
          <w:spacing w:val="-2"/>
          <w:sz w:val="24"/>
        </w:rPr>
        <w:t>gency</w:t>
      </w:r>
    </w:p>
    <w:p w:rsidR="009F3E92" w:rsidP="008545C3" w14:paraId="77B6A50D" w14:textId="77777777">
      <w:pPr>
        <w:pStyle w:val="BodyText"/>
        <w:rPr>
          <w:sz w:val="16"/>
        </w:rPr>
      </w:pPr>
    </w:p>
    <w:p w:rsidR="009F3E92" w:rsidP="008545C3" w14:paraId="34E6D9E3" w14:textId="7AB0FC8C">
      <w:pPr>
        <w:pStyle w:val="BodyText"/>
      </w:pPr>
      <w:r>
        <w:rPr>
          <w:noProof/>
        </w:rPr>
        <mc:AlternateContent>
          <mc:Choice Requires="wps">
            <w:drawing>
              <wp:anchor distT="0" distB="0" distL="114300" distR="114300" simplePos="0" relativeHeight="251658240" behindDoc="1" locked="0" layoutInCell="1" allowOverlap="1">
                <wp:simplePos x="0" y="0"/>
                <wp:positionH relativeFrom="page">
                  <wp:posOffset>5057140</wp:posOffset>
                </wp:positionH>
                <wp:positionV relativeFrom="paragraph">
                  <wp:posOffset>215900</wp:posOffset>
                </wp:positionV>
                <wp:extent cx="38100" cy="762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3pt;height:0.6pt;margin-top:17pt;margin-left:398.2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001966CB">
        <w:t>In</w:t>
      </w:r>
      <w:r w:rsidR="001966CB">
        <w:rPr>
          <w:spacing w:val="-3"/>
        </w:rPr>
        <w:t xml:space="preserve"> </w:t>
      </w:r>
      <w:r w:rsidR="001966CB">
        <w:t>accordance</w:t>
      </w:r>
      <w:r w:rsidR="001966CB">
        <w:rPr>
          <w:spacing w:val="-3"/>
        </w:rPr>
        <w:t xml:space="preserve"> </w:t>
      </w:r>
      <w:r w:rsidR="001966CB">
        <w:t>with</w:t>
      </w:r>
      <w:r w:rsidR="001966CB">
        <w:rPr>
          <w:spacing w:val="-3"/>
        </w:rPr>
        <w:t xml:space="preserve"> </w:t>
      </w:r>
      <w:r w:rsidR="001966CB">
        <w:t>5</w:t>
      </w:r>
      <w:r w:rsidR="001966CB">
        <w:rPr>
          <w:spacing w:val="-3"/>
        </w:rPr>
        <w:t xml:space="preserve"> </w:t>
      </w:r>
      <w:r w:rsidR="001966CB">
        <w:t>CFR</w:t>
      </w:r>
      <w:r w:rsidR="001966CB">
        <w:rPr>
          <w:spacing w:val="-3"/>
        </w:rPr>
        <w:t xml:space="preserve"> </w:t>
      </w:r>
      <w:r w:rsidR="001966CB">
        <w:t>1320.8(d),</w:t>
      </w:r>
      <w:r w:rsidR="001966CB">
        <w:rPr>
          <w:spacing w:val="-3"/>
        </w:rPr>
        <w:t xml:space="preserve"> </w:t>
      </w:r>
      <w:r w:rsidR="001966CB">
        <w:t>we</w:t>
      </w:r>
      <w:r w:rsidR="001966CB">
        <w:rPr>
          <w:spacing w:val="-3"/>
        </w:rPr>
        <w:t xml:space="preserve"> </w:t>
      </w:r>
      <w:r w:rsidR="001966CB">
        <w:t>published</w:t>
      </w:r>
      <w:r w:rsidR="001966CB">
        <w:rPr>
          <w:spacing w:val="-3"/>
        </w:rPr>
        <w:t xml:space="preserve"> </w:t>
      </w:r>
      <w:r w:rsidR="001966CB">
        <w:t>a</w:t>
      </w:r>
      <w:r w:rsidR="001966CB">
        <w:rPr>
          <w:spacing w:val="-3"/>
        </w:rPr>
        <w:t xml:space="preserve"> </w:t>
      </w:r>
      <w:r w:rsidR="001966CB">
        <w:t>60-day</w:t>
      </w:r>
      <w:r w:rsidR="001966CB">
        <w:rPr>
          <w:spacing w:val="-3"/>
        </w:rPr>
        <w:t xml:space="preserve"> </w:t>
      </w:r>
      <w:r w:rsidR="001966CB">
        <w:t>notice</w:t>
      </w:r>
      <w:r w:rsidRPr="00702F24" w:rsidR="001966CB">
        <w:rPr>
          <w:spacing w:val="-3"/>
        </w:rPr>
        <w:t xml:space="preserve"> </w:t>
      </w:r>
      <w:r w:rsidR="001966CB">
        <w:t>for</w:t>
      </w:r>
      <w:r w:rsidR="001966CB">
        <w:rPr>
          <w:spacing w:val="-3"/>
        </w:rPr>
        <w:t xml:space="preserve"> </w:t>
      </w:r>
      <w:r w:rsidR="001966CB">
        <w:t>public</w:t>
      </w:r>
      <w:r w:rsidR="001966CB">
        <w:rPr>
          <w:spacing w:val="-3"/>
        </w:rPr>
        <w:t xml:space="preserve"> </w:t>
      </w:r>
      <w:r w:rsidR="001966CB">
        <w:t>comment</w:t>
      </w:r>
      <w:r w:rsidR="001966CB">
        <w:rPr>
          <w:spacing w:val="-3"/>
        </w:rPr>
        <w:t xml:space="preserve"> </w:t>
      </w:r>
      <w:r w:rsidR="001966CB">
        <w:t>in</w:t>
      </w:r>
      <w:r w:rsidR="001966CB">
        <w:rPr>
          <w:spacing w:val="-3"/>
        </w:rPr>
        <w:t xml:space="preserve"> </w:t>
      </w:r>
      <w:r w:rsidR="001966CB">
        <w:t xml:space="preserve">the </w:t>
      </w:r>
      <w:r w:rsidRPr="007C29DE" w:rsidR="001966CB">
        <w:rPr>
          <w:i/>
          <w:iCs/>
          <w:u w:val="single"/>
        </w:rPr>
        <w:t>Federal Register</w:t>
      </w:r>
      <w:r w:rsidR="001966CB">
        <w:t xml:space="preserve"> o</w:t>
      </w:r>
      <w:r w:rsidR="000365B3">
        <w:t>n</w:t>
      </w:r>
      <w:r w:rsidR="001966CB">
        <w:t xml:space="preserve"> </w:t>
      </w:r>
      <w:r w:rsidRPr="008545C3" w:rsidR="00AF14C3">
        <w:t>April 11, 2023</w:t>
      </w:r>
      <w:r w:rsidRPr="008545C3" w:rsidR="001966CB">
        <w:t xml:space="preserve"> (8</w:t>
      </w:r>
      <w:r w:rsidRPr="008545C3" w:rsidR="00AF14C3">
        <w:t>8</w:t>
      </w:r>
      <w:r w:rsidRPr="008545C3" w:rsidR="001966CB">
        <w:t xml:space="preserve"> FR </w:t>
      </w:r>
      <w:r w:rsidRPr="008545C3" w:rsidR="00AF14C3">
        <w:t>21682</w:t>
      </w:r>
      <w:r w:rsidRPr="008545C3" w:rsidR="001966CB">
        <w:t>).</w:t>
      </w:r>
      <w:r w:rsidR="001966CB">
        <w:t xml:space="preserve"> </w:t>
      </w:r>
      <w:r w:rsidR="008545C3">
        <w:t xml:space="preserve"> </w:t>
      </w:r>
      <w:r w:rsidR="001966CB">
        <w:t>No comments were received.</w:t>
      </w:r>
      <w:r w:rsidR="00DC12CF">
        <w:t xml:space="preserve"> </w:t>
      </w:r>
    </w:p>
    <w:p w:rsidR="009F3E92" w:rsidP="008545C3" w14:paraId="17419E2D" w14:textId="77777777">
      <w:pPr>
        <w:pStyle w:val="BodyText"/>
        <w:rPr>
          <w:sz w:val="16"/>
        </w:rPr>
      </w:pPr>
    </w:p>
    <w:p w:rsidR="009F3E92" w:rsidP="008545C3" w14:paraId="4B5DED7A" w14:textId="77777777">
      <w:pPr>
        <w:pStyle w:val="ListParagraph"/>
        <w:numPr>
          <w:ilvl w:val="0"/>
          <w:numId w:val="1"/>
        </w:numPr>
        <w:ind w:left="0" w:hanging="361"/>
        <w:rPr>
          <w:sz w:val="24"/>
          <w:u w:val="none"/>
        </w:rPr>
      </w:pPr>
      <w:r>
        <w:rPr>
          <w:sz w:val="24"/>
        </w:rPr>
        <w:t>Explanation</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Payment</w:t>
      </w:r>
      <w:r>
        <w:rPr>
          <w:spacing w:val="-2"/>
          <w:sz w:val="24"/>
        </w:rPr>
        <w:t xml:space="preserve"> </w:t>
      </w:r>
      <w:r>
        <w:rPr>
          <w:sz w:val="24"/>
        </w:rPr>
        <w:t>or</w:t>
      </w:r>
      <w:r>
        <w:rPr>
          <w:spacing w:val="-2"/>
          <w:sz w:val="24"/>
        </w:rPr>
        <w:t xml:space="preserve"> </w:t>
      </w:r>
      <w:r>
        <w:rPr>
          <w:sz w:val="24"/>
        </w:rPr>
        <w:t>Gift to</w:t>
      </w:r>
      <w:r>
        <w:rPr>
          <w:spacing w:val="-3"/>
          <w:sz w:val="24"/>
        </w:rPr>
        <w:t xml:space="preserve"> </w:t>
      </w:r>
      <w:r>
        <w:rPr>
          <w:spacing w:val="-2"/>
          <w:sz w:val="24"/>
        </w:rPr>
        <w:t>Respondents</w:t>
      </w:r>
    </w:p>
    <w:p w:rsidR="009F3E92" w:rsidP="008545C3" w14:paraId="6D6C45F2" w14:textId="77777777">
      <w:pPr>
        <w:pStyle w:val="BodyText"/>
        <w:rPr>
          <w:sz w:val="16"/>
        </w:rPr>
      </w:pPr>
    </w:p>
    <w:p w:rsidR="00613C79" w:rsidRPr="00F071E6" w:rsidP="008545C3" w14:paraId="6DC452F1" w14:textId="77777777">
      <w:pPr>
        <w:rPr>
          <w:sz w:val="24"/>
          <w:szCs w:val="24"/>
        </w:rPr>
      </w:pPr>
      <w:r w:rsidRPr="00F071E6">
        <w:rPr>
          <w:sz w:val="24"/>
          <w:szCs w:val="24"/>
        </w:rPr>
        <w:t>No remuneration is associated with the information collection.</w:t>
      </w:r>
    </w:p>
    <w:p w:rsidR="009F3E92" w:rsidP="008545C3" w14:paraId="1FAED579" w14:textId="77777777">
      <w:pPr>
        <w:pStyle w:val="BodyText"/>
      </w:pPr>
    </w:p>
    <w:p w:rsidR="009F3E92" w:rsidP="008545C3" w14:paraId="1140486B" w14:textId="77777777">
      <w:pPr>
        <w:pStyle w:val="ListParagraph"/>
        <w:numPr>
          <w:ilvl w:val="0"/>
          <w:numId w:val="1"/>
        </w:numPr>
        <w:ind w:left="0" w:hanging="361"/>
        <w:rPr>
          <w:sz w:val="24"/>
          <w:u w:val="none"/>
        </w:rPr>
      </w:pPr>
      <w:r>
        <w:rPr>
          <w:sz w:val="24"/>
        </w:rPr>
        <w:t>Assurance</w:t>
      </w:r>
      <w:r>
        <w:rPr>
          <w:spacing w:val="-8"/>
          <w:sz w:val="24"/>
        </w:rPr>
        <w:t xml:space="preserve"> </w:t>
      </w:r>
      <w:r>
        <w:rPr>
          <w:sz w:val="24"/>
        </w:rPr>
        <w:t>of</w:t>
      </w:r>
      <w:r>
        <w:rPr>
          <w:spacing w:val="-8"/>
          <w:sz w:val="24"/>
        </w:rPr>
        <w:t xml:space="preserve"> </w:t>
      </w:r>
      <w:r>
        <w:rPr>
          <w:sz w:val="24"/>
        </w:rPr>
        <w:t>Respondent</w:t>
      </w:r>
      <w:r>
        <w:rPr>
          <w:spacing w:val="-8"/>
          <w:sz w:val="24"/>
        </w:rPr>
        <w:t xml:space="preserve"> </w:t>
      </w:r>
      <w:r>
        <w:rPr>
          <w:sz w:val="24"/>
        </w:rPr>
        <w:t>Privacy</w:t>
      </w:r>
      <w:r>
        <w:rPr>
          <w:spacing w:val="-8"/>
          <w:sz w:val="24"/>
        </w:rPr>
        <w:t xml:space="preserve"> </w:t>
      </w:r>
      <w:r>
        <w:rPr>
          <w:sz w:val="24"/>
        </w:rPr>
        <w:t>and</w:t>
      </w:r>
      <w:r>
        <w:rPr>
          <w:spacing w:val="-8"/>
          <w:sz w:val="24"/>
        </w:rPr>
        <w:t xml:space="preserve"> </w:t>
      </w:r>
      <w:r>
        <w:rPr>
          <w:spacing w:val="-2"/>
          <w:sz w:val="24"/>
        </w:rPr>
        <w:t>Confidentiality</w:t>
      </w:r>
    </w:p>
    <w:p w:rsidR="009F3E92" w:rsidP="008545C3" w14:paraId="6A26F2F5" w14:textId="77777777">
      <w:pPr>
        <w:pStyle w:val="BodyText"/>
        <w:rPr>
          <w:sz w:val="16"/>
        </w:rPr>
      </w:pPr>
    </w:p>
    <w:p w:rsidR="00B87048" w:rsidRPr="00BC2B23" w:rsidP="008545C3" w14:paraId="0F5027FC" w14:textId="3524F722">
      <w:pPr>
        <w:pStyle w:val="BodyText"/>
      </w:pPr>
      <w:r w:rsidRPr="00BC2B23">
        <w:t xml:space="preserve">This ICR does not collect personally identifiable information (PII) or information of a personal nature. This information collection supports the development of a quality management system and reporting of this system to FDA-time estimates including the time to review instructions, search existing data sources, gather the data needed, and complete and review the information </w:t>
      </w:r>
      <w:r w:rsidRPr="00BC2B23">
        <w:t>collection.</w:t>
      </w:r>
      <w:r w:rsidR="008545C3">
        <w:t xml:space="preserve">  </w:t>
      </w:r>
      <w:r w:rsidRPr="00BC2B23">
        <w:t>Because neither FDA nor any party acting on behalf of the agency collects PII, the ICR is not subject to the Privacy Act of 1974 and the requirements of the Privacy Act such as displaying a Privacy Act Statement on a collection form do not apply.</w:t>
      </w:r>
    </w:p>
    <w:p w:rsidR="004E1A59" w:rsidP="008545C3" w14:paraId="3AAC2704" w14:textId="77777777">
      <w:pPr>
        <w:pStyle w:val="BodyText"/>
      </w:pPr>
    </w:p>
    <w:p w:rsidR="00B87048" w:rsidRPr="00BC2B23" w:rsidP="008545C3" w14:paraId="6228D6DD" w14:textId="1CC48843">
      <w:pPr>
        <w:pStyle w:val="BodyText"/>
      </w:pPr>
      <w:r w:rsidRPr="00BC2B23">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B87048" w:rsidP="008545C3" w14:paraId="6DD7E500" w14:textId="77777777">
      <w:pPr>
        <w:pStyle w:val="BodyText"/>
      </w:pPr>
    </w:p>
    <w:p w:rsidR="009F3E92" w:rsidP="008545C3" w14:paraId="26748E07" w14:textId="77777777">
      <w:pPr>
        <w:pStyle w:val="ListParagraph"/>
        <w:numPr>
          <w:ilvl w:val="0"/>
          <w:numId w:val="1"/>
        </w:numPr>
        <w:ind w:left="0"/>
        <w:rPr>
          <w:sz w:val="24"/>
          <w:u w:val="none"/>
        </w:rPr>
      </w:pPr>
      <w:r>
        <w:rPr>
          <w:sz w:val="24"/>
        </w:rPr>
        <w:t>Justification</w:t>
      </w:r>
      <w:r>
        <w:rPr>
          <w:spacing w:val="-6"/>
          <w:sz w:val="24"/>
        </w:rPr>
        <w:t xml:space="preserve"> </w:t>
      </w:r>
      <w:r>
        <w:rPr>
          <w:sz w:val="24"/>
        </w:rPr>
        <w:t>for</w:t>
      </w:r>
      <w:r>
        <w:rPr>
          <w:spacing w:val="-3"/>
          <w:sz w:val="24"/>
        </w:rPr>
        <w:t xml:space="preserve"> </w:t>
      </w:r>
      <w:r>
        <w:rPr>
          <w:sz w:val="24"/>
        </w:rPr>
        <w:t>Sensitive</w:t>
      </w:r>
      <w:r>
        <w:rPr>
          <w:spacing w:val="-4"/>
          <w:sz w:val="24"/>
        </w:rPr>
        <w:t xml:space="preserve"> </w:t>
      </w:r>
      <w:r>
        <w:rPr>
          <w:spacing w:val="-2"/>
          <w:sz w:val="24"/>
        </w:rPr>
        <w:t>Questions</w:t>
      </w:r>
    </w:p>
    <w:p w:rsidR="009F3E92" w:rsidP="008545C3" w14:paraId="60796CF2" w14:textId="77777777">
      <w:pPr>
        <w:pStyle w:val="BodyText"/>
        <w:rPr>
          <w:sz w:val="16"/>
        </w:rPr>
      </w:pPr>
    </w:p>
    <w:p w:rsidR="00BA2180" w:rsidRPr="00F071E6" w:rsidP="008545C3" w14:paraId="2D5567EA" w14:textId="77777777">
      <w:pPr>
        <w:rPr>
          <w:sz w:val="24"/>
          <w:szCs w:val="24"/>
        </w:rPr>
      </w:pPr>
      <w:r w:rsidRPr="00F071E6">
        <w:rPr>
          <w:sz w:val="24"/>
          <w:szCs w:val="24"/>
        </w:rPr>
        <w:t>There are no questions of a sensitive nature associated with the information collection.</w:t>
      </w:r>
    </w:p>
    <w:p w:rsidR="009F3E92" w:rsidP="008545C3" w14:paraId="40805A58" w14:textId="77777777">
      <w:pPr>
        <w:pStyle w:val="BodyText"/>
      </w:pPr>
    </w:p>
    <w:p w:rsidR="009F3E92" w:rsidP="008545C3" w14:paraId="1716AFBF" w14:textId="77777777">
      <w:pPr>
        <w:pStyle w:val="ListParagraph"/>
        <w:numPr>
          <w:ilvl w:val="0"/>
          <w:numId w:val="1"/>
        </w:numPr>
        <w:ind w:left="0" w:hanging="361"/>
        <w:rPr>
          <w:sz w:val="24"/>
          <w:u w:val="none"/>
        </w:rPr>
      </w:pPr>
      <w:r>
        <w:rPr>
          <w:sz w:val="24"/>
        </w:rPr>
        <w:t>Estimates</w:t>
      </w:r>
      <w:r>
        <w:rPr>
          <w:spacing w:val="-2"/>
          <w:sz w:val="24"/>
        </w:rPr>
        <w:t xml:space="preserve"> </w:t>
      </w:r>
      <w:r>
        <w:rPr>
          <w:sz w:val="24"/>
        </w:rPr>
        <w:t>of</w:t>
      </w:r>
      <w:r>
        <w:rPr>
          <w:spacing w:val="-2"/>
          <w:sz w:val="24"/>
        </w:rPr>
        <w:t xml:space="preserve"> </w:t>
      </w:r>
      <w:r>
        <w:rPr>
          <w:sz w:val="24"/>
        </w:rPr>
        <w:t>Annualized</w:t>
      </w:r>
      <w:r>
        <w:rPr>
          <w:spacing w:val="-1"/>
          <w:sz w:val="24"/>
        </w:rPr>
        <w:t xml:space="preserve"> </w:t>
      </w:r>
      <w:r>
        <w:rPr>
          <w:sz w:val="24"/>
        </w:rPr>
        <w:t>Burden</w:t>
      </w:r>
      <w:r>
        <w:rPr>
          <w:spacing w:val="-2"/>
          <w:sz w:val="24"/>
        </w:rPr>
        <w:t xml:space="preserve"> </w:t>
      </w:r>
      <w:r>
        <w:rPr>
          <w:sz w:val="24"/>
        </w:rPr>
        <w:t>Hours</w:t>
      </w:r>
      <w:r>
        <w:rPr>
          <w:spacing w:val="-2"/>
          <w:sz w:val="24"/>
        </w:rPr>
        <w:t xml:space="preserve"> </w:t>
      </w:r>
      <w:r>
        <w:rPr>
          <w:sz w:val="24"/>
        </w:rPr>
        <w:t>and</w:t>
      </w:r>
      <w:r>
        <w:rPr>
          <w:spacing w:val="-1"/>
          <w:sz w:val="24"/>
        </w:rPr>
        <w:t xml:space="preserve"> </w:t>
      </w:r>
      <w:r>
        <w:rPr>
          <w:spacing w:val="-4"/>
          <w:sz w:val="24"/>
        </w:rPr>
        <w:t>Costs</w:t>
      </w:r>
    </w:p>
    <w:p w:rsidR="009F3E92" w:rsidP="008545C3" w14:paraId="5C60FAB1" w14:textId="77777777">
      <w:pPr>
        <w:pStyle w:val="BodyText"/>
        <w:rPr>
          <w:sz w:val="16"/>
        </w:rPr>
      </w:pPr>
    </w:p>
    <w:p w:rsidR="009F3E92" w:rsidP="008545C3" w14:paraId="0F7E3D02" w14:textId="77777777">
      <w:pPr>
        <w:rPr>
          <w:i/>
          <w:sz w:val="24"/>
        </w:rPr>
      </w:pPr>
      <w:r>
        <w:rPr>
          <w:i/>
          <w:sz w:val="24"/>
        </w:rPr>
        <w:t>12a.</w:t>
      </w:r>
      <w:r>
        <w:rPr>
          <w:i/>
          <w:spacing w:val="-2"/>
          <w:sz w:val="24"/>
        </w:rPr>
        <w:t xml:space="preserve"> </w:t>
      </w:r>
      <w:r>
        <w:rPr>
          <w:i/>
          <w:sz w:val="24"/>
        </w:rPr>
        <w:t>Annualized</w:t>
      </w:r>
      <w:r>
        <w:rPr>
          <w:i/>
          <w:spacing w:val="-1"/>
          <w:sz w:val="24"/>
        </w:rPr>
        <w:t xml:space="preserve"> </w:t>
      </w:r>
      <w:r>
        <w:rPr>
          <w:i/>
          <w:sz w:val="24"/>
        </w:rPr>
        <w:t>Hour</w:t>
      </w:r>
      <w:r>
        <w:rPr>
          <w:i/>
          <w:spacing w:val="-1"/>
          <w:sz w:val="24"/>
        </w:rPr>
        <w:t xml:space="preserve"> </w:t>
      </w:r>
      <w:r>
        <w:rPr>
          <w:i/>
          <w:sz w:val="24"/>
        </w:rPr>
        <w:t>Burden</w:t>
      </w:r>
      <w:r>
        <w:rPr>
          <w:i/>
          <w:spacing w:val="-2"/>
          <w:sz w:val="24"/>
        </w:rPr>
        <w:t xml:space="preserve"> Estimate</w:t>
      </w:r>
    </w:p>
    <w:p w:rsidR="009F3E92" w:rsidP="008545C3" w14:paraId="78F72DFF" w14:textId="77777777">
      <w:pPr>
        <w:pStyle w:val="BodyText"/>
        <w:rPr>
          <w:i/>
        </w:rPr>
      </w:pPr>
    </w:p>
    <w:p w:rsidR="004F7A47" w:rsidRPr="00A24B85" w:rsidP="008545C3" w14:paraId="3DAC7949" w14:textId="77777777">
      <w:pPr>
        <w:contextualSpacing/>
        <w:jc w:val="center"/>
        <w:rPr>
          <w:sz w:val="24"/>
          <w:szCs w:val="24"/>
          <w:vertAlign w:val="superscript"/>
        </w:rPr>
      </w:pPr>
      <w:r w:rsidRPr="362012EE">
        <w:rPr>
          <w:sz w:val="24"/>
          <w:szCs w:val="24"/>
        </w:rPr>
        <w:t>Table 1 -- Estimated Annual Recordkeeping</w:t>
      </w:r>
      <w:r w:rsidRPr="362012EE">
        <w:rPr>
          <w:sz w:val="24"/>
          <w:szCs w:val="24"/>
          <w:vertAlign w:val="superscript"/>
        </w:rPr>
        <w:t>1</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6"/>
        <w:gridCol w:w="1625"/>
        <w:gridCol w:w="1443"/>
        <w:gridCol w:w="1104"/>
        <w:gridCol w:w="1318"/>
        <w:gridCol w:w="930"/>
      </w:tblGrid>
      <w:tr w14:paraId="38B681A6" w14:textId="77777777" w:rsidTr="00EB084E">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27"/>
        </w:trPr>
        <w:tc>
          <w:tcPr>
            <w:tcW w:w="1547" w:type="pct"/>
            <w:shd w:val="clear" w:color="auto" w:fill="auto"/>
          </w:tcPr>
          <w:p w:rsidR="00A83CDF" w:rsidRPr="008545C3" w:rsidP="008545C3" w14:paraId="1CB5C3DB" w14:textId="4EBA237B">
            <w:pPr>
              <w:jc w:val="center"/>
              <w:rPr>
                <w:sz w:val="20"/>
                <w:szCs w:val="20"/>
              </w:rPr>
            </w:pPr>
            <w:r w:rsidRPr="008545C3">
              <w:rPr>
                <w:rFonts w:eastAsia="Calibri"/>
                <w:sz w:val="20"/>
                <w:szCs w:val="20"/>
              </w:rPr>
              <w:t xml:space="preserve">§ </w:t>
            </w:r>
            <w:r w:rsidRPr="008545C3">
              <w:rPr>
                <w:sz w:val="20"/>
                <w:szCs w:val="20"/>
              </w:rPr>
              <w:t xml:space="preserve">312.145:  Guidance Documents; Recommendations in ICH E6(R2) </w:t>
            </w:r>
            <w:r w:rsidRPr="008545C3">
              <w:rPr>
                <w:i/>
                <w:iCs/>
                <w:sz w:val="20"/>
                <w:szCs w:val="20"/>
              </w:rPr>
              <w:t>Good Clinical Practice</w:t>
            </w:r>
          </w:p>
        </w:tc>
        <w:tc>
          <w:tcPr>
            <w:tcW w:w="874" w:type="pct"/>
            <w:shd w:val="clear" w:color="auto" w:fill="auto"/>
          </w:tcPr>
          <w:p w:rsidR="00A83CDF" w:rsidRPr="008545C3" w:rsidP="008545C3" w14:paraId="04277657" w14:textId="77777777">
            <w:pPr>
              <w:jc w:val="center"/>
              <w:rPr>
                <w:sz w:val="20"/>
                <w:szCs w:val="20"/>
              </w:rPr>
            </w:pPr>
            <w:r w:rsidRPr="008545C3">
              <w:rPr>
                <w:sz w:val="20"/>
                <w:szCs w:val="20"/>
              </w:rPr>
              <w:t>No. of Respondents</w:t>
            </w:r>
          </w:p>
        </w:tc>
        <w:tc>
          <w:tcPr>
            <w:tcW w:w="776" w:type="pct"/>
            <w:shd w:val="clear" w:color="auto" w:fill="auto"/>
          </w:tcPr>
          <w:p w:rsidR="00A83CDF" w:rsidRPr="008545C3" w:rsidP="008545C3" w14:paraId="78F3898B" w14:textId="77777777">
            <w:pPr>
              <w:jc w:val="center"/>
              <w:rPr>
                <w:sz w:val="20"/>
                <w:szCs w:val="20"/>
              </w:rPr>
            </w:pPr>
            <w:r w:rsidRPr="008545C3">
              <w:rPr>
                <w:bCs/>
                <w:sz w:val="20"/>
                <w:szCs w:val="20"/>
              </w:rPr>
              <w:t>No. of Responses per Respondent</w:t>
            </w:r>
          </w:p>
        </w:tc>
        <w:tc>
          <w:tcPr>
            <w:tcW w:w="594" w:type="pct"/>
            <w:shd w:val="clear" w:color="auto" w:fill="auto"/>
          </w:tcPr>
          <w:p w:rsidR="00A83CDF" w:rsidRPr="008545C3" w:rsidP="008545C3" w14:paraId="31F0A490" w14:textId="77777777">
            <w:pPr>
              <w:jc w:val="center"/>
              <w:rPr>
                <w:sz w:val="20"/>
                <w:szCs w:val="20"/>
              </w:rPr>
            </w:pPr>
            <w:r w:rsidRPr="008545C3">
              <w:rPr>
                <w:sz w:val="20"/>
                <w:szCs w:val="20"/>
              </w:rPr>
              <w:t>Total Annual Responses</w:t>
            </w:r>
          </w:p>
        </w:tc>
        <w:tc>
          <w:tcPr>
            <w:tcW w:w="709" w:type="pct"/>
            <w:shd w:val="clear" w:color="auto" w:fill="auto"/>
          </w:tcPr>
          <w:p w:rsidR="00A83CDF" w:rsidRPr="008545C3" w:rsidP="008545C3" w14:paraId="77E606F2" w14:textId="77777777">
            <w:pPr>
              <w:jc w:val="center"/>
              <w:rPr>
                <w:sz w:val="20"/>
                <w:szCs w:val="20"/>
              </w:rPr>
            </w:pPr>
            <w:r w:rsidRPr="008545C3">
              <w:rPr>
                <w:bCs/>
                <w:sz w:val="20"/>
                <w:szCs w:val="20"/>
              </w:rPr>
              <w:t>Average Burden per Response</w:t>
            </w:r>
          </w:p>
        </w:tc>
        <w:tc>
          <w:tcPr>
            <w:tcW w:w="500" w:type="pct"/>
            <w:shd w:val="clear" w:color="auto" w:fill="auto"/>
          </w:tcPr>
          <w:p w:rsidR="00A83CDF" w:rsidRPr="008545C3" w:rsidP="008545C3" w14:paraId="4EA55B90" w14:textId="77777777">
            <w:pPr>
              <w:jc w:val="center"/>
              <w:rPr>
                <w:sz w:val="20"/>
                <w:szCs w:val="20"/>
              </w:rPr>
            </w:pPr>
            <w:r w:rsidRPr="008545C3">
              <w:rPr>
                <w:sz w:val="20"/>
                <w:szCs w:val="20"/>
              </w:rPr>
              <w:t>Total Hours</w:t>
            </w:r>
          </w:p>
        </w:tc>
      </w:tr>
      <w:tr w14:paraId="0DF9853F" w14:textId="77777777" w:rsidTr="00EB084E">
        <w:tblPrEx>
          <w:tblW w:w="4971" w:type="pct"/>
          <w:tblLayout w:type="fixed"/>
          <w:tblLook w:val="01E0"/>
        </w:tblPrEx>
        <w:trPr>
          <w:cantSplit/>
          <w:trHeight w:val="20"/>
        </w:trPr>
        <w:tc>
          <w:tcPr>
            <w:tcW w:w="1547" w:type="pct"/>
            <w:shd w:val="clear" w:color="auto" w:fill="auto"/>
          </w:tcPr>
          <w:p w:rsidR="00A83CDF" w:rsidRPr="008545C3" w:rsidP="008545C3" w14:paraId="4C988B14" w14:textId="77777777">
            <w:pPr>
              <w:rPr>
                <w:sz w:val="20"/>
                <w:szCs w:val="20"/>
              </w:rPr>
            </w:pPr>
            <w:r w:rsidRPr="008545C3">
              <w:rPr>
                <w:sz w:val="20"/>
                <w:szCs w:val="20"/>
              </w:rPr>
              <w:t>Section 5.0.7. Risk Reporting--Describing the Quality Management Approach Implemented in a Clinical Trial and Summarizing Important Deviations From the</w:t>
            </w:r>
          </w:p>
          <w:p w:rsidR="00A83CDF" w:rsidRPr="008545C3" w:rsidP="008545C3" w14:paraId="131C6CF0" w14:textId="77777777">
            <w:pPr>
              <w:rPr>
                <w:sz w:val="20"/>
                <w:szCs w:val="20"/>
              </w:rPr>
            </w:pPr>
            <w:r w:rsidRPr="008545C3">
              <w:rPr>
                <w:sz w:val="20"/>
                <w:szCs w:val="20"/>
              </w:rPr>
              <w:t>Predefined Quality Tolerance Limits and Remedial Actions</w:t>
            </w:r>
          </w:p>
          <w:p w:rsidR="00A83CDF" w:rsidRPr="008545C3" w:rsidP="008545C3" w14:paraId="448BF187" w14:textId="77777777">
            <w:pPr>
              <w:rPr>
                <w:sz w:val="20"/>
                <w:szCs w:val="20"/>
              </w:rPr>
            </w:pPr>
            <w:r w:rsidRPr="008545C3">
              <w:rPr>
                <w:sz w:val="20"/>
                <w:szCs w:val="20"/>
              </w:rPr>
              <w:t>Taken in the Clinical Study Report</w:t>
            </w:r>
          </w:p>
        </w:tc>
        <w:tc>
          <w:tcPr>
            <w:tcW w:w="874" w:type="pct"/>
            <w:shd w:val="clear" w:color="auto" w:fill="auto"/>
          </w:tcPr>
          <w:p w:rsidR="00A83CDF" w:rsidRPr="008545C3" w:rsidP="008545C3" w14:paraId="47BDA6AD" w14:textId="77777777">
            <w:pPr>
              <w:jc w:val="right"/>
              <w:rPr>
                <w:sz w:val="20"/>
                <w:szCs w:val="20"/>
              </w:rPr>
            </w:pPr>
            <w:r w:rsidRPr="008545C3">
              <w:rPr>
                <w:sz w:val="20"/>
                <w:szCs w:val="20"/>
              </w:rPr>
              <w:t>1,880</w:t>
            </w:r>
          </w:p>
        </w:tc>
        <w:tc>
          <w:tcPr>
            <w:tcW w:w="776" w:type="pct"/>
            <w:shd w:val="clear" w:color="auto" w:fill="auto"/>
          </w:tcPr>
          <w:p w:rsidR="00A83CDF" w:rsidRPr="008545C3" w:rsidP="008545C3" w14:paraId="51B0247F" w14:textId="77777777">
            <w:pPr>
              <w:jc w:val="right"/>
              <w:rPr>
                <w:sz w:val="20"/>
                <w:szCs w:val="20"/>
              </w:rPr>
            </w:pPr>
            <w:r w:rsidRPr="008545C3">
              <w:rPr>
                <w:sz w:val="20"/>
                <w:szCs w:val="20"/>
              </w:rPr>
              <w:t>3.9</w:t>
            </w:r>
          </w:p>
        </w:tc>
        <w:tc>
          <w:tcPr>
            <w:tcW w:w="594" w:type="pct"/>
            <w:shd w:val="clear" w:color="auto" w:fill="auto"/>
          </w:tcPr>
          <w:p w:rsidR="00A83CDF" w:rsidRPr="008545C3" w:rsidP="008545C3" w14:paraId="6D74FA52" w14:textId="77777777">
            <w:pPr>
              <w:jc w:val="right"/>
              <w:rPr>
                <w:sz w:val="20"/>
                <w:szCs w:val="20"/>
              </w:rPr>
            </w:pPr>
            <w:r w:rsidRPr="008545C3">
              <w:rPr>
                <w:sz w:val="20"/>
                <w:szCs w:val="20"/>
              </w:rPr>
              <w:t>7,362</w:t>
            </w:r>
          </w:p>
        </w:tc>
        <w:tc>
          <w:tcPr>
            <w:tcW w:w="709" w:type="pct"/>
            <w:shd w:val="clear" w:color="auto" w:fill="auto"/>
          </w:tcPr>
          <w:p w:rsidR="00A83CDF" w:rsidRPr="008545C3" w:rsidP="008545C3" w14:paraId="3BB401FE" w14:textId="77777777">
            <w:pPr>
              <w:jc w:val="right"/>
              <w:rPr>
                <w:sz w:val="20"/>
                <w:szCs w:val="20"/>
              </w:rPr>
            </w:pPr>
            <w:r w:rsidRPr="008545C3">
              <w:rPr>
                <w:sz w:val="20"/>
                <w:szCs w:val="20"/>
              </w:rPr>
              <w:t>3</w:t>
            </w:r>
          </w:p>
        </w:tc>
        <w:tc>
          <w:tcPr>
            <w:tcW w:w="500" w:type="pct"/>
            <w:shd w:val="clear" w:color="auto" w:fill="auto"/>
          </w:tcPr>
          <w:p w:rsidR="00A83CDF" w:rsidRPr="008545C3" w:rsidP="008545C3" w14:paraId="03BD3DD3" w14:textId="77777777">
            <w:pPr>
              <w:jc w:val="right"/>
              <w:rPr>
                <w:sz w:val="20"/>
                <w:szCs w:val="20"/>
              </w:rPr>
            </w:pPr>
            <w:r w:rsidRPr="008545C3">
              <w:rPr>
                <w:sz w:val="20"/>
                <w:szCs w:val="20"/>
              </w:rPr>
              <w:t>22,082</w:t>
            </w:r>
          </w:p>
        </w:tc>
      </w:tr>
      <w:tr w14:paraId="6B2D869A" w14:textId="77777777" w:rsidTr="00EB084E">
        <w:tblPrEx>
          <w:tblW w:w="4971" w:type="pct"/>
          <w:tblLayout w:type="fixed"/>
          <w:tblLook w:val="01E0"/>
        </w:tblPrEx>
        <w:trPr>
          <w:trHeight w:val="1025"/>
        </w:trPr>
        <w:tc>
          <w:tcPr>
            <w:tcW w:w="1547" w:type="pct"/>
            <w:shd w:val="clear" w:color="auto" w:fill="auto"/>
          </w:tcPr>
          <w:p w:rsidR="00A83CDF" w:rsidRPr="008545C3" w:rsidP="008545C3" w14:paraId="38798134" w14:textId="77777777">
            <w:pPr>
              <w:keepNext/>
              <w:rPr>
                <w:sz w:val="20"/>
                <w:szCs w:val="20"/>
              </w:rPr>
            </w:pPr>
            <w:r w:rsidRPr="008545C3">
              <w:rPr>
                <w:sz w:val="20"/>
                <w:szCs w:val="20"/>
              </w:rPr>
              <w:t>Section 5 Quality Management (including sections 5.0.1 to 5.0.7) - Developing a Quality Management System</w:t>
            </w:r>
          </w:p>
        </w:tc>
        <w:tc>
          <w:tcPr>
            <w:tcW w:w="874" w:type="pct"/>
            <w:shd w:val="clear" w:color="auto" w:fill="auto"/>
          </w:tcPr>
          <w:p w:rsidR="00A83CDF" w:rsidRPr="008545C3" w:rsidP="008545C3" w14:paraId="285E6E06" w14:textId="77777777">
            <w:pPr>
              <w:keepNext/>
              <w:jc w:val="right"/>
              <w:rPr>
                <w:sz w:val="20"/>
                <w:szCs w:val="20"/>
              </w:rPr>
            </w:pPr>
            <w:r w:rsidRPr="008545C3">
              <w:rPr>
                <w:sz w:val="20"/>
                <w:szCs w:val="20"/>
              </w:rPr>
              <w:t>1,880</w:t>
            </w:r>
          </w:p>
        </w:tc>
        <w:tc>
          <w:tcPr>
            <w:tcW w:w="776" w:type="pct"/>
            <w:shd w:val="clear" w:color="auto" w:fill="auto"/>
          </w:tcPr>
          <w:p w:rsidR="00A83CDF" w:rsidRPr="008545C3" w:rsidP="008545C3" w14:paraId="49AFB69E" w14:textId="77777777">
            <w:pPr>
              <w:keepNext/>
              <w:jc w:val="right"/>
              <w:rPr>
                <w:sz w:val="20"/>
                <w:szCs w:val="20"/>
              </w:rPr>
            </w:pPr>
            <w:r w:rsidRPr="008545C3">
              <w:rPr>
                <w:sz w:val="20"/>
                <w:szCs w:val="20"/>
              </w:rPr>
              <w:t>1</w:t>
            </w:r>
          </w:p>
        </w:tc>
        <w:tc>
          <w:tcPr>
            <w:tcW w:w="594" w:type="pct"/>
            <w:shd w:val="clear" w:color="auto" w:fill="auto"/>
          </w:tcPr>
          <w:p w:rsidR="00A83CDF" w:rsidRPr="008545C3" w:rsidP="008545C3" w14:paraId="74FDAE73" w14:textId="77777777">
            <w:pPr>
              <w:keepNext/>
              <w:jc w:val="right"/>
              <w:rPr>
                <w:sz w:val="20"/>
                <w:szCs w:val="20"/>
              </w:rPr>
            </w:pPr>
            <w:r w:rsidRPr="008545C3">
              <w:rPr>
                <w:sz w:val="20"/>
                <w:szCs w:val="20"/>
              </w:rPr>
              <w:t>1,880</w:t>
            </w:r>
          </w:p>
        </w:tc>
        <w:tc>
          <w:tcPr>
            <w:tcW w:w="709" w:type="pct"/>
            <w:shd w:val="clear" w:color="auto" w:fill="auto"/>
          </w:tcPr>
          <w:p w:rsidR="00A83CDF" w:rsidRPr="008545C3" w:rsidP="008545C3" w14:paraId="431A76ED" w14:textId="77777777">
            <w:pPr>
              <w:keepNext/>
              <w:jc w:val="right"/>
              <w:rPr>
                <w:sz w:val="20"/>
                <w:szCs w:val="20"/>
              </w:rPr>
            </w:pPr>
            <w:r w:rsidRPr="008545C3">
              <w:rPr>
                <w:sz w:val="20"/>
                <w:szCs w:val="20"/>
              </w:rPr>
              <w:t>60</w:t>
            </w:r>
          </w:p>
        </w:tc>
        <w:tc>
          <w:tcPr>
            <w:tcW w:w="500" w:type="pct"/>
            <w:shd w:val="clear" w:color="auto" w:fill="auto"/>
          </w:tcPr>
          <w:p w:rsidR="00A83CDF" w:rsidRPr="008545C3" w:rsidP="008545C3" w14:paraId="69513365" w14:textId="77777777">
            <w:pPr>
              <w:keepNext/>
              <w:jc w:val="center"/>
              <w:rPr>
                <w:sz w:val="20"/>
                <w:szCs w:val="20"/>
              </w:rPr>
            </w:pPr>
            <w:r w:rsidRPr="008545C3">
              <w:rPr>
                <w:sz w:val="20"/>
                <w:szCs w:val="20"/>
              </w:rPr>
              <w:t>112,800</w:t>
            </w:r>
          </w:p>
        </w:tc>
      </w:tr>
      <w:tr w14:paraId="0A2BE452" w14:textId="77777777" w:rsidTr="00EB084E">
        <w:tblPrEx>
          <w:tblW w:w="4971" w:type="pct"/>
          <w:tblLayout w:type="fixed"/>
          <w:tblLook w:val="01E0"/>
        </w:tblPrEx>
        <w:trPr>
          <w:cantSplit/>
          <w:trHeight w:val="287"/>
          <w:tblHeader/>
        </w:trPr>
        <w:tc>
          <w:tcPr>
            <w:tcW w:w="1547" w:type="pct"/>
          </w:tcPr>
          <w:p w:rsidR="00A83CDF" w:rsidRPr="008545C3" w:rsidP="008545C3" w14:paraId="4C91A4C6" w14:textId="77777777">
            <w:pPr>
              <w:rPr>
                <w:sz w:val="20"/>
                <w:szCs w:val="20"/>
              </w:rPr>
            </w:pPr>
            <w:r w:rsidRPr="008545C3">
              <w:rPr>
                <w:sz w:val="20"/>
                <w:szCs w:val="20"/>
              </w:rPr>
              <w:t>TOTAL</w:t>
            </w:r>
          </w:p>
        </w:tc>
        <w:tc>
          <w:tcPr>
            <w:tcW w:w="874" w:type="pct"/>
          </w:tcPr>
          <w:p w:rsidR="00A83CDF" w:rsidRPr="008545C3" w:rsidP="008545C3" w14:paraId="0A6B3040" w14:textId="77777777">
            <w:pPr>
              <w:jc w:val="right"/>
              <w:rPr>
                <w:sz w:val="20"/>
                <w:szCs w:val="20"/>
              </w:rPr>
            </w:pPr>
          </w:p>
        </w:tc>
        <w:tc>
          <w:tcPr>
            <w:tcW w:w="776" w:type="pct"/>
          </w:tcPr>
          <w:p w:rsidR="00A83CDF" w:rsidRPr="008545C3" w:rsidP="008545C3" w14:paraId="4D26C571" w14:textId="77777777">
            <w:pPr>
              <w:jc w:val="right"/>
              <w:rPr>
                <w:bCs/>
                <w:sz w:val="20"/>
                <w:szCs w:val="20"/>
              </w:rPr>
            </w:pPr>
          </w:p>
        </w:tc>
        <w:tc>
          <w:tcPr>
            <w:tcW w:w="594" w:type="pct"/>
          </w:tcPr>
          <w:p w:rsidR="00A83CDF" w:rsidRPr="008545C3" w:rsidP="008545C3" w14:paraId="637150BF" w14:textId="77777777">
            <w:pPr>
              <w:jc w:val="right"/>
              <w:rPr>
                <w:sz w:val="20"/>
                <w:szCs w:val="20"/>
              </w:rPr>
            </w:pPr>
            <w:r w:rsidRPr="008545C3">
              <w:rPr>
                <w:sz w:val="20"/>
                <w:szCs w:val="20"/>
              </w:rPr>
              <w:fldChar w:fldCharType="begin"/>
            </w:r>
            <w:r w:rsidRPr="008545C3">
              <w:rPr>
                <w:sz w:val="20"/>
                <w:szCs w:val="20"/>
              </w:rPr>
              <w:instrText xml:space="preserve"> =SUM(ABOVE) </w:instrText>
            </w:r>
            <w:r w:rsidRPr="008545C3">
              <w:rPr>
                <w:sz w:val="20"/>
                <w:szCs w:val="20"/>
              </w:rPr>
              <w:fldChar w:fldCharType="separate"/>
            </w:r>
            <w:r w:rsidRPr="008545C3">
              <w:rPr>
                <w:noProof/>
                <w:sz w:val="20"/>
                <w:szCs w:val="20"/>
              </w:rPr>
              <w:t>9,242</w:t>
            </w:r>
            <w:r w:rsidRPr="008545C3">
              <w:rPr>
                <w:sz w:val="20"/>
                <w:szCs w:val="20"/>
              </w:rPr>
              <w:fldChar w:fldCharType="end"/>
            </w:r>
          </w:p>
        </w:tc>
        <w:tc>
          <w:tcPr>
            <w:tcW w:w="709" w:type="pct"/>
          </w:tcPr>
          <w:p w:rsidR="00A83CDF" w:rsidRPr="008545C3" w:rsidP="008545C3" w14:paraId="0D33A148" w14:textId="77777777">
            <w:pPr>
              <w:jc w:val="right"/>
              <w:rPr>
                <w:bCs/>
                <w:sz w:val="20"/>
                <w:szCs w:val="20"/>
              </w:rPr>
            </w:pPr>
          </w:p>
        </w:tc>
        <w:tc>
          <w:tcPr>
            <w:tcW w:w="500" w:type="pct"/>
          </w:tcPr>
          <w:p w:rsidR="00A83CDF" w:rsidRPr="008545C3" w:rsidP="008545C3" w14:paraId="10BEFE3B" w14:textId="77777777">
            <w:pPr>
              <w:jc w:val="right"/>
              <w:rPr>
                <w:sz w:val="20"/>
                <w:szCs w:val="20"/>
              </w:rPr>
            </w:pPr>
            <w:r w:rsidRPr="008545C3">
              <w:rPr>
                <w:sz w:val="20"/>
                <w:szCs w:val="20"/>
              </w:rPr>
              <w:fldChar w:fldCharType="begin"/>
            </w:r>
            <w:r w:rsidRPr="008545C3">
              <w:rPr>
                <w:sz w:val="20"/>
                <w:szCs w:val="20"/>
              </w:rPr>
              <w:instrText xml:space="preserve"> =SUM(ABOVE) </w:instrText>
            </w:r>
            <w:r w:rsidRPr="008545C3">
              <w:rPr>
                <w:sz w:val="20"/>
                <w:szCs w:val="20"/>
              </w:rPr>
              <w:fldChar w:fldCharType="separate"/>
            </w:r>
            <w:r w:rsidRPr="008545C3">
              <w:rPr>
                <w:noProof/>
                <w:sz w:val="20"/>
                <w:szCs w:val="20"/>
              </w:rPr>
              <w:t>13</w:t>
            </w:r>
            <w:r w:rsidRPr="008545C3" w:rsidR="00F5736C">
              <w:rPr>
                <w:noProof/>
                <w:sz w:val="20"/>
                <w:szCs w:val="20"/>
              </w:rPr>
              <w:t>8,744</w:t>
            </w:r>
            <w:r w:rsidRPr="008545C3">
              <w:rPr>
                <w:sz w:val="20"/>
                <w:szCs w:val="20"/>
              </w:rPr>
              <w:fldChar w:fldCharType="end"/>
            </w:r>
          </w:p>
        </w:tc>
      </w:tr>
    </w:tbl>
    <w:p w:rsidR="00494D35" w:rsidP="008545C3" w14:paraId="50E2CAD2" w14:textId="77777777">
      <w:r w:rsidRPr="00BC2B23">
        <w:rPr>
          <w:sz w:val="20"/>
          <w:szCs w:val="20"/>
          <w:vertAlign w:val="superscript"/>
        </w:rPr>
        <w:t>1</w:t>
      </w:r>
      <w:r w:rsidRPr="00BC2B23">
        <w:rPr>
          <w:sz w:val="20"/>
          <w:szCs w:val="20"/>
        </w:rPr>
        <w:t>There are no capital costs or operating and maintenance costs associated with this collection of information</w:t>
      </w:r>
      <w:r>
        <w:t>.</w:t>
      </w:r>
    </w:p>
    <w:p w:rsidR="00A83CDF" w:rsidP="008545C3" w14:paraId="278BBA80" w14:textId="77777777">
      <w:pPr>
        <w:pStyle w:val="BodyText"/>
        <w:rPr>
          <w:sz w:val="21"/>
        </w:rPr>
      </w:pPr>
    </w:p>
    <w:p w:rsidR="00FA67B0" w:rsidP="008545C3" w14:paraId="367E7CAB" w14:textId="3B2F23E9">
      <w:pPr>
        <w:rPr>
          <w:sz w:val="24"/>
          <w:szCs w:val="24"/>
        </w:rPr>
      </w:pPr>
      <w:r>
        <w:rPr>
          <w:sz w:val="24"/>
          <w:szCs w:val="24"/>
        </w:rPr>
        <w:t xml:space="preserve">Respondents </w:t>
      </w:r>
      <w:r w:rsidR="009732B2">
        <w:rPr>
          <w:sz w:val="24"/>
          <w:szCs w:val="24"/>
        </w:rPr>
        <w:t xml:space="preserve">to the collection of information are </w:t>
      </w:r>
      <w:r w:rsidR="006724B4">
        <w:rPr>
          <w:sz w:val="24"/>
          <w:szCs w:val="24"/>
        </w:rPr>
        <w:t xml:space="preserve">sponsors of clinical trials of human drugs.  </w:t>
      </w:r>
      <w:r>
        <w:rPr>
          <w:sz w:val="24"/>
          <w:szCs w:val="24"/>
        </w:rPr>
        <w:t xml:space="preserve">Based on IND and NDA submission data, </w:t>
      </w:r>
      <w:r w:rsidRPr="002C07E5">
        <w:rPr>
          <w:sz w:val="24"/>
          <w:szCs w:val="24"/>
        </w:rPr>
        <w:t>including submissions to both FDA’s Center for Drug Evaluation and Research and the Center for Biologics Evaluation and Research</w:t>
      </w:r>
      <w:r>
        <w:rPr>
          <w:sz w:val="24"/>
          <w:szCs w:val="24"/>
        </w:rPr>
        <w:t xml:space="preserve">, </w:t>
      </w:r>
      <w:r w:rsidRPr="00CF645F">
        <w:rPr>
          <w:sz w:val="24"/>
          <w:szCs w:val="24"/>
        </w:rPr>
        <w:t>we estimate</w:t>
      </w:r>
      <w:r>
        <w:rPr>
          <w:sz w:val="24"/>
          <w:szCs w:val="24"/>
        </w:rPr>
        <w:t xml:space="preserve"> there are</w:t>
      </w:r>
      <w:r w:rsidRPr="00CF645F">
        <w:rPr>
          <w:sz w:val="24"/>
          <w:szCs w:val="24"/>
        </w:rPr>
        <w:t xml:space="preserve"> </w:t>
      </w:r>
      <w:r>
        <w:rPr>
          <w:sz w:val="24"/>
          <w:szCs w:val="24"/>
        </w:rPr>
        <w:t>1,880 respondents</w:t>
      </w:r>
      <w:r w:rsidRPr="00CF645F">
        <w:rPr>
          <w:sz w:val="24"/>
          <w:szCs w:val="24"/>
        </w:rPr>
        <w:t xml:space="preserve"> </w:t>
      </w:r>
      <w:r>
        <w:rPr>
          <w:sz w:val="24"/>
          <w:szCs w:val="24"/>
        </w:rPr>
        <w:t xml:space="preserve">to the information collection. </w:t>
      </w:r>
      <w:r w:rsidRPr="007E3986">
        <w:rPr>
          <w:sz w:val="24"/>
          <w:szCs w:val="24"/>
        </w:rPr>
        <w:t xml:space="preserve">We assume the risk reporting recommendations </w:t>
      </w:r>
      <w:r>
        <w:rPr>
          <w:sz w:val="24"/>
          <w:szCs w:val="24"/>
        </w:rPr>
        <w:t xml:space="preserve">and associated records </w:t>
      </w:r>
      <w:r w:rsidRPr="007E3986">
        <w:rPr>
          <w:sz w:val="24"/>
          <w:szCs w:val="24"/>
        </w:rPr>
        <w:t xml:space="preserve">discussed in </w:t>
      </w:r>
      <w:r>
        <w:rPr>
          <w:sz w:val="24"/>
          <w:szCs w:val="24"/>
        </w:rPr>
        <w:t xml:space="preserve">section 5 of the guidance document </w:t>
      </w:r>
      <w:r w:rsidRPr="007E3986">
        <w:rPr>
          <w:sz w:val="24"/>
          <w:szCs w:val="24"/>
        </w:rPr>
        <w:t xml:space="preserve">requires 3 hours to complete, as reflected in table 1 row 1.  </w:t>
      </w:r>
      <w:r w:rsidRPr="362012EE">
        <w:rPr>
          <w:sz w:val="24"/>
          <w:szCs w:val="24"/>
        </w:rPr>
        <w:t xml:space="preserve">In table </w:t>
      </w:r>
      <w:r>
        <w:rPr>
          <w:sz w:val="24"/>
          <w:szCs w:val="24"/>
        </w:rPr>
        <w:t xml:space="preserve">1, row </w:t>
      </w:r>
      <w:r w:rsidRPr="362012EE">
        <w:rPr>
          <w:sz w:val="24"/>
          <w:szCs w:val="24"/>
        </w:rPr>
        <w:t xml:space="preserve">2, we </w:t>
      </w:r>
      <w:r>
        <w:rPr>
          <w:sz w:val="24"/>
          <w:szCs w:val="24"/>
        </w:rPr>
        <w:t xml:space="preserve">account for burden associated with the development of a quality management system and associated recordkeeping also discussed in section 5 of the guidance document. </w:t>
      </w:r>
      <w:r w:rsidRPr="362012EE">
        <w:rPr>
          <w:sz w:val="24"/>
          <w:szCs w:val="24"/>
        </w:rPr>
        <w:t xml:space="preserve">We assume it will take respondents 60 hours to develop and implement each quality management system, as </w:t>
      </w:r>
      <w:r>
        <w:rPr>
          <w:sz w:val="24"/>
          <w:szCs w:val="24"/>
        </w:rPr>
        <w:t>recommended.</w:t>
      </w:r>
      <w:r w:rsidR="007114E3">
        <w:rPr>
          <w:sz w:val="24"/>
          <w:szCs w:val="24"/>
        </w:rPr>
        <w:t xml:space="preserve"> </w:t>
      </w:r>
      <w:r w:rsidRPr="00CF645F" w:rsidR="007F156C">
        <w:rPr>
          <w:sz w:val="24"/>
          <w:szCs w:val="24"/>
        </w:rPr>
        <w:t xml:space="preserve">These estimates are based on </w:t>
      </w:r>
      <w:r w:rsidR="007F156C">
        <w:rPr>
          <w:sz w:val="24"/>
          <w:szCs w:val="24"/>
        </w:rPr>
        <w:t xml:space="preserve">our </w:t>
      </w:r>
      <w:r w:rsidRPr="00CF645F" w:rsidR="007F156C">
        <w:rPr>
          <w:sz w:val="24"/>
          <w:szCs w:val="24"/>
        </w:rPr>
        <w:t>past experiences with INDs</w:t>
      </w:r>
      <w:r w:rsidR="002D018A">
        <w:rPr>
          <w:sz w:val="24"/>
          <w:szCs w:val="24"/>
        </w:rPr>
        <w:t>, BLAs</w:t>
      </w:r>
      <w:r w:rsidRPr="00CF645F" w:rsidR="007F156C">
        <w:rPr>
          <w:sz w:val="24"/>
          <w:szCs w:val="24"/>
        </w:rPr>
        <w:t xml:space="preserve"> and NDAs</w:t>
      </w:r>
      <w:r w:rsidR="002D018A">
        <w:rPr>
          <w:sz w:val="24"/>
          <w:szCs w:val="24"/>
        </w:rPr>
        <w:t xml:space="preserve"> </w:t>
      </w:r>
      <w:r w:rsidR="002D018A">
        <w:rPr>
          <w:sz w:val="24"/>
          <w:szCs w:val="24"/>
        </w:rPr>
        <w:t xml:space="preserve">submitted to FDA. </w:t>
      </w:r>
    </w:p>
    <w:p w:rsidR="00FA67B0" w:rsidP="008545C3" w14:paraId="2D81807E" w14:textId="77777777">
      <w:pPr>
        <w:pStyle w:val="BodyText"/>
        <w:rPr>
          <w:sz w:val="21"/>
        </w:rPr>
      </w:pPr>
    </w:p>
    <w:p w:rsidR="009F3E92" w:rsidP="008545C3" w14:paraId="5C2B297A" w14:textId="77777777">
      <w:pPr>
        <w:ind w:hanging="231"/>
        <w:rPr>
          <w:i/>
          <w:sz w:val="24"/>
        </w:rPr>
      </w:pPr>
      <w:r>
        <w:rPr>
          <w:i/>
          <w:sz w:val="24"/>
        </w:rPr>
        <w:t>12b.</w:t>
      </w:r>
      <w:r>
        <w:rPr>
          <w:i/>
          <w:spacing w:val="-3"/>
          <w:sz w:val="24"/>
        </w:rPr>
        <w:t xml:space="preserve"> </w:t>
      </w:r>
      <w:r>
        <w:rPr>
          <w:i/>
          <w:sz w:val="24"/>
        </w:rPr>
        <w:t>Annualized</w:t>
      </w:r>
      <w:r>
        <w:rPr>
          <w:i/>
          <w:spacing w:val="-1"/>
          <w:sz w:val="24"/>
        </w:rPr>
        <w:t xml:space="preserve"> </w:t>
      </w:r>
      <w:r>
        <w:rPr>
          <w:i/>
          <w:sz w:val="24"/>
        </w:rPr>
        <w:t>Cost</w:t>
      </w:r>
      <w:r>
        <w:rPr>
          <w:i/>
          <w:spacing w:val="-3"/>
          <w:sz w:val="24"/>
        </w:rPr>
        <w:t xml:space="preserve"> </w:t>
      </w:r>
      <w:r>
        <w:rPr>
          <w:i/>
          <w:sz w:val="24"/>
        </w:rPr>
        <w:t>Burden</w:t>
      </w:r>
      <w:r>
        <w:rPr>
          <w:i/>
          <w:spacing w:val="-1"/>
          <w:sz w:val="24"/>
        </w:rPr>
        <w:t xml:space="preserve"> </w:t>
      </w:r>
      <w:r>
        <w:rPr>
          <w:i/>
          <w:spacing w:val="-2"/>
          <w:sz w:val="24"/>
        </w:rPr>
        <w:t>Estimate</w:t>
      </w:r>
    </w:p>
    <w:p w:rsidR="009F3E92" w:rsidP="008545C3" w14:paraId="7EE32700" w14:textId="77777777">
      <w:pPr>
        <w:pStyle w:val="BodyText"/>
        <w:rPr>
          <w:i/>
        </w:rPr>
      </w:pPr>
    </w:p>
    <w:p w:rsidR="009F3E92" w:rsidP="008545C3" w14:paraId="6B5C2A9A" w14:textId="77777777">
      <w:pPr>
        <w:pStyle w:val="BodyText"/>
      </w:pPr>
      <w:r>
        <w:t>Using</w:t>
      </w:r>
      <w:r>
        <w:rPr>
          <w:spacing w:val="-3"/>
        </w:rPr>
        <w:t xml:space="preserve"> </w:t>
      </w:r>
      <w:r>
        <w:t>a</w:t>
      </w:r>
      <w:r>
        <w:rPr>
          <w:spacing w:val="-3"/>
        </w:rPr>
        <w:t xml:space="preserve"> </w:t>
      </w:r>
      <w:r w:rsidR="00E45C16">
        <w:t>fully loaded</w:t>
      </w:r>
      <w:r>
        <w:rPr>
          <w:spacing w:val="-3"/>
        </w:rPr>
        <w:t xml:space="preserve"> </w:t>
      </w:r>
      <w:r>
        <w:t>wage</w:t>
      </w:r>
      <w:r>
        <w:rPr>
          <w:spacing w:val="-3"/>
        </w:rPr>
        <w:t xml:space="preserve"> </w:t>
      </w:r>
      <w:r>
        <w:t>rate</w:t>
      </w:r>
      <w:r>
        <w:rPr>
          <w:spacing w:val="-3"/>
        </w:rPr>
        <w:t xml:space="preserve"> </w:t>
      </w:r>
      <w:r>
        <w:t>of</w:t>
      </w:r>
      <w:r>
        <w:rPr>
          <w:spacing w:val="-3"/>
        </w:rPr>
        <w:t xml:space="preserve"> </w:t>
      </w:r>
      <w:r>
        <w:t>$</w:t>
      </w:r>
      <w:r w:rsidR="00697A41">
        <w:t>156</w:t>
      </w:r>
      <w:r>
        <w:rPr>
          <w:spacing w:val="-3"/>
        </w:rPr>
        <w:t xml:space="preserve"> </w:t>
      </w:r>
      <w:r>
        <w:t>per</w:t>
      </w:r>
      <w:r>
        <w:rPr>
          <w:spacing w:val="-4"/>
        </w:rPr>
        <w:t xml:space="preserve"> </w:t>
      </w:r>
      <w:r>
        <w:t>hour</w:t>
      </w:r>
      <w:r>
        <w:rPr>
          <w:spacing w:val="-4"/>
        </w:rPr>
        <w:t xml:space="preserve"> </w:t>
      </w:r>
      <w:r>
        <w:t>for</w:t>
      </w:r>
      <w:r>
        <w:rPr>
          <w:spacing w:val="-4"/>
        </w:rPr>
        <w:t xml:space="preserve"> </w:t>
      </w:r>
      <w:r>
        <w:t>regulatory</w:t>
      </w:r>
      <w:r>
        <w:rPr>
          <w:spacing w:val="-4"/>
        </w:rPr>
        <w:t xml:space="preserve"> </w:t>
      </w:r>
      <w:r>
        <w:t>personnel</w:t>
      </w:r>
      <w:r>
        <w:rPr>
          <w:spacing w:val="-4"/>
        </w:rPr>
        <w:t xml:space="preserve"> </w:t>
      </w:r>
      <w:r>
        <w:t>that</w:t>
      </w:r>
      <w:r>
        <w:rPr>
          <w:spacing w:val="-4"/>
        </w:rPr>
        <w:t xml:space="preserve"> </w:t>
      </w:r>
      <w:r>
        <w:t>would</w:t>
      </w:r>
      <w:r>
        <w:rPr>
          <w:spacing w:val="-4"/>
        </w:rPr>
        <w:t xml:space="preserve"> </w:t>
      </w:r>
      <w:r>
        <w:t>be engaged in the information collection and multiplying that by the total number of hours (13</w:t>
      </w:r>
      <w:r w:rsidR="00DE0AB3">
        <w:t>8,744</w:t>
      </w:r>
      <w:r>
        <w:t>), we calculate the annual cost to respondents for the information collection as</w:t>
      </w:r>
    </w:p>
    <w:p w:rsidR="009F3E92" w:rsidP="008545C3" w14:paraId="49DB3CAC" w14:textId="77777777">
      <w:pPr>
        <w:pStyle w:val="BodyText"/>
      </w:pPr>
      <w:r>
        <w:rPr>
          <w:spacing w:val="-2"/>
        </w:rPr>
        <w:t>$</w:t>
      </w:r>
      <w:r w:rsidR="00E45C16">
        <w:rPr>
          <w:spacing w:val="-2"/>
        </w:rPr>
        <w:t>21,</w:t>
      </w:r>
      <w:r w:rsidR="00DE0AB3">
        <w:rPr>
          <w:spacing w:val="-2"/>
        </w:rPr>
        <w:t>644,064</w:t>
      </w:r>
      <w:r>
        <w:rPr>
          <w:spacing w:val="-2"/>
        </w:rPr>
        <w:t>.</w:t>
      </w:r>
    </w:p>
    <w:p w:rsidR="009F3E92" w:rsidP="008545C3" w14:paraId="7AB36D85" w14:textId="77777777">
      <w:pPr>
        <w:pStyle w:val="BodyText"/>
        <w:rPr>
          <w:sz w:val="23"/>
        </w:rPr>
      </w:pPr>
    </w:p>
    <w:p w:rsidR="009F3E92" w:rsidP="008545C3" w14:paraId="507D7BC1" w14:textId="77777777">
      <w:pPr>
        <w:pStyle w:val="ListParagraph"/>
        <w:numPr>
          <w:ilvl w:val="0"/>
          <w:numId w:val="1"/>
        </w:numPr>
        <w:ind w:left="0"/>
        <w:rPr>
          <w:sz w:val="24"/>
          <w:u w:val="none"/>
        </w:rPr>
      </w:pPr>
      <w:r>
        <w:rPr>
          <w:sz w:val="24"/>
        </w:rPr>
        <w:t>Estimates</w:t>
      </w:r>
      <w:r>
        <w:rPr>
          <w:spacing w:val="-3"/>
          <w:sz w:val="24"/>
        </w:rPr>
        <w:t xml:space="preserve"> </w:t>
      </w:r>
      <w:r>
        <w:rPr>
          <w:sz w:val="24"/>
        </w:rPr>
        <w:t>of</w:t>
      </w:r>
      <w:r>
        <w:rPr>
          <w:spacing w:val="-2"/>
          <w:sz w:val="24"/>
        </w:rPr>
        <w:t xml:space="preserve"> </w:t>
      </w:r>
      <w:r>
        <w:rPr>
          <w:sz w:val="24"/>
        </w:rPr>
        <w:t>Other</w:t>
      </w:r>
      <w:r>
        <w:rPr>
          <w:spacing w:val="-2"/>
          <w:sz w:val="24"/>
        </w:rPr>
        <w:t xml:space="preserve"> </w:t>
      </w:r>
      <w:r>
        <w:rPr>
          <w:sz w:val="24"/>
        </w:rPr>
        <w:t>Total</w:t>
      </w:r>
      <w:r>
        <w:rPr>
          <w:spacing w:val="-2"/>
          <w:sz w:val="24"/>
        </w:rPr>
        <w:t xml:space="preserve"> </w:t>
      </w:r>
      <w:r>
        <w:rPr>
          <w:sz w:val="24"/>
        </w:rPr>
        <w:t>Annual</w:t>
      </w:r>
      <w:r>
        <w:rPr>
          <w:spacing w:val="-2"/>
          <w:sz w:val="24"/>
        </w:rPr>
        <w:t xml:space="preserve"> </w:t>
      </w:r>
      <w:r>
        <w:rPr>
          <w:sz w:val="24"/>
        </w:rPr>
        <w:t>Costs</w:t>
      </w:r>
      <w:r>
        <w:rPr>
          <w:spacing w:val="-2"/>
          <w:sz w:val="24"/>
        </w:rPr>
        <w:t xml:space="preserve"> </w:t>
      </w:r>
      <w:r>
        <w:rPr>
          <w:sz w:val="24"/>
        </w:rPr>
        <w:t>to</w:t>
      </w:r>
      <w:r>
        <w:rPr>
          <w:spacing w:val="-3"/>
          <w:sz w:val="24"/>
        </w:rPr>
        <w:t xml:space="preserve"> </w:t>
      </w:r>
      <w:r>
        <w:rPr>
          <w:sz w:val="24"/>
        </w:rPr>
        <w:t>Respondents</w:t>
      </w:r>
      <w:r>
        <w:rPr>
          <w:spacing w:val="-3"/>
          <w:sz w:val="24"/>
        </w:rPr>
        <w:t xml:space="preserve"> </w:t>
      </w:r>
      <w:r>
        <w:rPr>
          <w:sz w:val="24"/>
        </w:rPr>
        <w:t>and/or</w:t>
      </w:r>
      <w:r>
        <w:rPr>
          <w:spacing w:val="-2"/>
          <w:sz w:val="24"/>
        </w:rPr>
        <w:t xml:space="preserve"> </w:t>
      </w:r>
      <w:r>
        <w:rPr>
          <w:sz w:val="24"/>
        </w:rPr>
        <w:t>Recordkeepers/Capital</w:t>
      </w:r>
      <w:r>
        <w:rPr>
          <w:spacing w:val="-4"/>
          <w:sz w:val="24"/>
        </w:rPr>
        <w:t xml:space="preserve"> </w:t>
      </w:r>
      <w:r>
        <w:rPr>
          <w:spacing w:val="-2"/>
          <w:sz w:val="24"/>
        </w:rPr>
        <w:t>Costs</w:t>
      </w:r>
    </w:p>
    <w:p w:rsidR="009F3E92" w:rsidP="008545C3" w14:paraId="79017F70" w14:textId="77777777">
      <w:pPr>
        <w:pStyle w:val="BodyText"/>
        <w:rPr>
          <w:sz w:val="16"/>
        </w:rPr>
      </w:pPr>
    </w:p>
    <w:p w:rsidR="009F3E92" w:rsidP="008545C3" w14:paraId="4982F435" w14:textId="77777777">
      <w:pPr>
        <w:pStyle w:val="BodyText"/>
      </w:pPr>
      <w:r>
        <w:t>There</w:t>
      </w:r>
      <w:r>
        <w:rPr>
          <w:spacing w:val="-3"/>
        </w:rPr>
        <w:t xml:space="preserve"> </w:t>
      </w:r>
      <w:r>
        <w:t>are</w:t>
      </w:r>
      <w:r>
        <w:rPr>
          <w:spacing w:val="-3"/>
        </w:rPr>
        <w:t xml:space="preserve"> </w:t>
      </w:r>
      <w:r>
        <w:t>no</w:t>
      </w:r>
      <w:r>
        <w:rPr>
          <w:spacing w:val="-3"/>
        </w:rPr>
        <w:t xml:space="preserve"> </w:t>
      </w:r>
      <w:r>
        <w:t>capital</w:t>
      </w:r>
      <w:r>
        <w:rPr>
          <w:spacing w:val="-3"/>
        </w:rPr>
        <w:t xml:space="preserve"> </w:t>
      </w:r>
      <w:r>
        <w:t>expenditures</w:t>
      </w:r>
      <w:r>
        <w:rPr>
          <w:spacing w:val="-3"/>
        </w:rPr>
        <w:t xml:space="preserve"> </w:t>
      </w:r>
      <w:r>
        <w:t>or</w:t>
      </w:r>
      <w:r>
        <w:rPr>
          <w:spacing w:val="-3"/>
        </w:rPr>
        <w:t xml:space="preserve"> </w:t>
      </w:r>
      <w:r>
        <w:t>start-up,</w:t>
      </w:r>
      <w:r>
        <w:rPr>
          <w:spacing w:val="-3"/>
        </w:rPr>
        <w:t xml:space="preserve"> </w:t>
      </w:r>
      <w:r>
        <w:t>operating,</w:t>
      </w:r>
      <w:r>
        <w:rPr>
          <w:spacing w:val="-4"/>
        </w:rPr>
        <w:t xml:space="preserve"> </w:t>
      </w:r>
      <w:r>
        <w:t>or</w:t>
      </w:r>
      <w:r>
        <w:rPr>
          <w:spacing w:val="-4"/>
        </w:rPr>
        <w:t xml:space="preserve"> </w:t>
      </w:r>
      <w:r>
        <w:t>maintenance</w:t>
      </w:r>
      <w:r>
        <w:rPr>
          <w:spacing w:val="-4"/>
        </w:rPr>
        <w:t xml:space="preserve"> </w:t>
      </w:r>
      <w:r>
        <w:t>costs</w:t>
      </w:r>
      <w:r>
        <w:rPr>
          <w:spacing w:val="-4"/>
        </w:rPr>
        <w:t xml:space="preserve"> </w:t>
      </w:r>
      <w:r>
        <w:t>associated</w:t>
      </w:r>
      <w:r>
        <w:rPr>
          <w:spacing w:val="-4"/>
        </w:rPr>
        <w:t xml:space="preserve"> </w:t>
      </w:r>
      <w:r>
        <w:t>with this information collection.</w:t>
      </w:r>
    </w:p>
    <w:p w:rsidR="009F3E92" w:rsidP="008545C3" w14:paraId="3FDF6D4C" w14:textId="77777777">
      <w:pPr>
        <w:pStyle w:val="BodyText"/>
      </w:pPr>
    </w:p>
    <w:p w:rsidR="009F3E92" w:rsidP="008545C3" w14:paraId="7970C07E" w14:textId="77777777">
      <w:pPr>
        <w:pStyle w:val="ListParagraph"/>
        <w:numPr>
          <w:ilvl w:val="0"/>
          <w:numId w:val="1"/>
        </w:numPr>
        <w:ind w:left="0" w:hanging="361"/>
        <w:rPr>
          <w:sz w:val="24"/>
          <w:u w:val="none"/>
        </w:rPr>
      </w:pPr>
      <w:r>
        <w:rPr>
          <w:sz w:val="24"/>
        </w:rPr>
        <w:t>Annualized</w:t>
      </w:r>
      <w:r>
        <w:rPr>
          <w:spacing w:val="-2"/>
          <w:sz w:val="24"/>
        </w:rPr>
        <w:t xml:space="preserve"> </w:t>
      </w:r>
      <w:r>
        <w:rPr>
          <w:sz w:val="24"/>
        </w:rPr>
        <w:t>Cost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Federal</w:t>
      </w:r>
      <w:r>
        <w:rPr>
          <w:spacing w:val="-2"/>
          <w:sz w:val="24"/>
        </w:rPr>
        <w:t xml:space="preserve"> Government</w:t>
      </w:r>
    </w:p>
    <w:p w:rsidR="009F3E92" w:rsidP="008545C3" w14:paraId="75959157" w14:textId="77777777">
      <w:pPr>
        <w:pStyle w:val="BodyText"/>
        <w:rPr>
          <w:sz w:val="16"/>
        </w:rPr>
      </w:pPr>
    </w:p>
    <w:p w:rsidR="009F3E92" w:rsidP="008545C3" w14:paraId="05F5A248" w14:textId="504CB072">
      <w:pPr>
        <w:pStyle w:val="BodyText"/>
      </w:pPr>
      <w:r>
        <w:t>We estimate it takes approximately 30 minutes to review each submission recommended in the guidance.</w:t>
      </w:r>
      <w:r w:rsidR="007A412E">
        <w:t xml:space="preserve"> </w:t>
      </w:r>
      <w:r w:rsidR="00DC7E01">
        <w:t xml:space="preserve">Assuming a cost of $325,348 per one full time equivalents (salary plus overhead, full-time </w:t>
      </w:r>
      <w:r w:rsidR="00F81566">
        <w:t>40-hour</w:t>
      </w:r>
      <w:r w:rsidR="00DC7E01">
        <w:t xml:space="preserve"> week)</w:t>
      </w:r>
      <w:r w:rsidR="000E084F">
        <w:t xml:space="preserve"> divided by the total number of hours worked</w:t>
      </w:r>
      <w:r w:rsidR="00417144">
        <w:t xml:space="preserve"> (2080 hours)</w:t>
      </w:r>
      <w:r w:rsidR="00CC141A">
        <w:t xml:space="preserve"> per year</w:t>
      </w:r>
      <w:r w:rsidR="00417144">
        <w:t>,</w:t>
      </w:r>
      <w:r w:rsidR="00F81566">
        <w:t xml:space="preserve"> the fully loaded wage rate i</w:t>
      </w:r>
      <w:r w:rsidR="00534D94">
        <w:t xml:space="preserve">s </w:t>
      </w:r>
      <w:r w:rsidR="00F81566">
        <w:t xml:space="preserve">$156 per hour. </w:t>
      </w:r>
      <w:r>
        <w:t xml:space="preserve">Using a </w:t>
      </w:r>
      <w:r w:rsidR="003C15DE">
        <w:t>fully loaded</w:t>
      </w:r>
      <w:r>
        <w:t xml:space="preserve"> wage rate of $</w:t>
      </w:r>
      <w:r w:rsidR="003C15DE">
        <w:t>156</w:t>
      </w:r>
      <w:r>
        <w:t xml:space="preserve"> per hour for an FDA reviewer multiplied</w:t>
      </w:r>
      <w:r>
        <w:rPr>
          <w:spacing w:val="-3"/>
        </w:rPr>
        <w:t xml:space="preserve"> </w:t>
      </w:r>
      <w:r>
        <w:t>by</w:t>
      </w:r>
      <w:r>
        <w:rPr>
          <w:spacing w:val="-3"/>
        </w:rPr>
        <w:t xml:space="preserve"> </w:t>
      </w:r>
      <w:r>
        <w:t>the</w:t>
      </w:r>
      <w:r>
        <w:rPr>
          <w:spacing w:val="-3"/>
        </w:rPr>
        <w:t xml:space="preserve"> </w:t>
      </w:r>
      <w:r>
        <w:t>number</w:t>
      </w:r>
      <w:r>
        <w:rPr>
          <w:spacing w:val="-3"/>
        </w:rPr>
        <w:t xml:space="preserve"> </w:t>
      </w:r>
      <w:r>
        <w:t>of</w:t>
      </w:r>
      <w:r>
        <w:rPr>
          <w:spacing w:val="-3"/>
        </w:rPr>
        <w:t xml:space="preserve"> </w:t>
      </w:r>
      <w:r w:rsidRPr="008908C5">
        <w:t>submissions</w:t>
      </w:r>
      <w:r w:rsidRPr="008908C5">
        <w:rPr>
          <w:spacing w:val="-3"/>
        </w:rPr>
        <w:t xml:space="preserve"> </w:t>
      </w:r>
      <w:r w:rsidRPr="008908C5">
        <w:t>received</w:t>
      </w:r>
      <w:r w:rsidRPr="008908C5">
        <w:rPr>
          <w:spacing w:val="-4"/>
        </w:rPr>
        <w:t xml:space="preserve"> </w:t>
      </w:r>
      <w:r w:rsidRPr="008908C5">
        <w:t>annually</w:t>
      </w:r>
      <w:r w:rsidRPr="008908C5">
        <w:rPr>
          <w:spacing w:val="-4"/>
        </w:rPr>
        <w:t xml:space="preserve"> </w:t>
      </w:r>
      <w:r w:rsidRPr="008908C5">
        <w:t>(</w:t>
      </w:r>
      <w:r w:rsidRPr="008908C5" w:rsidR="00AB31E5">
        <w:t>10,528</w:t>
      </w:r>
      <w:r w:rsidRPr="008908C5">
        <w:t>),</w:t>
      </w:r>
      <w:r w:rsidRPr="008908C5">
        <w:rPr>
          <w:spacing w:val="-4"/>
        </w:rPr>
        <w:t xml:space="preserve"> </w:t>
      </w:r>
      <w:r w:rsidRPr="008908C5">
        <w:t>we</w:t>
      </w:r>
      <w:r w:rsidRPr="008908C5">
        <w:rPr>
          <w:spacing w:val="-4"/>
        </w:rPr>
        <w:t xml:space="preserve"> </w:t>
      </w:r>
      <w:r w:rsidRPr="008908C5">
        <w:t>calculate</w:t>
      </w:r>
      <w:r w:rsidRPr="008908C5">
        <w:rPr>
          <w:spacing w:val="-4"/>
        </w:rPr>
        <w:t xml:space="preserve"> </w:t>
      </w:r>
      <w:r w:rsidRPr="008908C5">
        <w:t>the</w:t>
      </w:r>
      <w:r w:rsidRPr="008908C5">
        <w:rPr>
          <w:spacing w:val="-4"/>
        </w:rPr>
        <w:t xml:space="preserve"> </w:t>
      </w:r>
      <w:r w:rsidRPr="008908C5">
        <w:t xml:space="preserve">annualized cost to the Federal </w:t>
      </w:r>
      <w:r w:rsidR="00704A10">
        <w:t>g</w:t>
      </w:r>
      <w:r w:rsidRPr="008908C5">
        <w:t>overnment is $</w:t>
      </w:r>
      <w:r w:rsidRPr="008908C5" w:rsidR="00523961">
        <w:t>821,184</w:t>
      </w:r>
      <w:r w:rsidRPr="008908C5">
        <w:t>.</w:t>
      </w:r>
    </w:p>
    <w:p w:rsidR="009F3E92" w:rsidP="008545C3" w14:paraId="3B5F5862" w14:textId="77777777">
      <w:pPr>
        <w:pStyle w:val="BodyText"/>
      </w:pPr>
    </w:p>
    <w:p w:rsidR="009F3E92" w:rsidP="008545C3" w14:paraId="53CE723B" w14:textId="77777777">
      <w:pPr>
        <w:pStyle w:val="ListParagraph"/>
        <w:numPr>
          <w:ilvl w:val="0"/>
          <w:numId w:val="1"/>
        </w:numPr>
        <w:ind w:left="0" w:hanging="361"/>
        <w:rPr>
          <w:sz w:val="24"/>
          <w:u w:val="none"/>
        </w:rPr>
      </w:pPr>
      <w:r>
        <w:rPr>
          <w:sz w:val="24"/>
        </w:rPr>
        <w:t>Explanation</w:t>
      </w:r>
      <w:r>
        <w:rPr>
          <w:spacing w:val="-2"/>
          <w:sz w:val="24"/>
        </w:rPr>
        <w:t xml:space="preserve"> </w:t>
      </w:r>
      <w:r>
        <w:rPr>
          <w:sz w:val="24"/>
        </w:rPr>
        <w:t>for</w:t>
      </w:r>
      <w:r>
        <w:rPr>
          <w:spacing w:val="-1"/>
          <w:sz w:val="24"/>
        </w:rPr>
        <w:t xml:space="preserve"> </w:t>
      </w:r>
      <w:r>
        <w:rPr>
          <w:sz w:val="24"/>
        </w:rPr>
        <w:t>Program</w:t>
      </w:r>
      <w:r>
        <w:rPr>
          <w:spacing w:val="-3"/>
          <w:sz w:val="24"/>
        </w:rPr>
        <w:t xml:space="preserve"> </w:t>
      </w:r>
      <w:r>
        <w:rPr>
          <w:sz w:val="24"/>
        </w:rPr>
        <w:t>Changes</w:t>
      </w:r>
      <w:r>
        <w:rPr>
          <w:spacing w:val="-1"/>
          <w:sz w:val="24"/>
        </w:rPr>
        <w:t xml:space="preserve"> </w:t>
      </w:r>
      <w:r>
        <w:rPr>
          <w:sz w:val="24"/>
        </w:rPr>
        <w:t>or</w:t>
      </w:r>
      <w:r>
        <w:rPr>
          <w:spacing w:val="-1"/>
          <w:sz w:val="24"/>
        </w:rPr>
        <w:t xml:space="preserve"> </w:t>
      </w:r>
      <w:r>
        <w:rPr>
          <w:spacing w:val="-2"/>
          <w:sz w:val="24"/>
        </w:rPr>
        <w:t>Adjustments</w:t>
      </w:r>
    </w:p>
    <w:p w:rsidR="001966CB" w:rsidP="008545C3" w14:paraId="320117FA" w14:textId="77777777">
      <w:pPr>
        <w:ind w:firstLine="231"/>
        <w:contextualSpacing/>
        <w:rPr>
          <w:sz w:val="24"/>
        </w:rPr>
      </w:pPr>
    </w:p>
    <w:p w:rsidR="00E8598C" w:rsidRPr="00A8348B" w:rsidP="008545C3" w14:paraId="6F01A3CA" w14:textId="7F6ABFAD">
      <w:pPr>
        <w:contextualSpacing/>
        <w:rPr>
          <w:sz w:val="24"/>
          <w:szCs w:val="24"/>
        </w:rPr>
      </w:pPr>
      <w:r>
        <w:rPr>
          <w:sz w:val="24"/>
        </w:rPr>
        <w:t>By including burden previously accounted for under control no. 0910-0843, we have adjusted our estimate to include</w:t>
      </w:r>
      <w:r w:rsidR="00A8348B">
        <w:rPr>
          <w:sz w:val="24"/>
        </w:rPr>
        <w:t xml:space="preserve"> an additional 9,242 responses and 138,744 hours annually.  This increase is reflected in the IC element entitled, “</w:t>
      </w:r>
      <w:r w:rsidRPr="00A8348B" w:rsidR="00A8348B">
        <w:rPr>
          <w:i/>
          <w:iCs/>
          <w:sz w:val="24"/>
        </w:rPr>
        <w:t>CDER: 312 Subpart F - Miscellaneous provisions including import &amp; export requirements and foreign clinical studies and issuance of guidance to help comply with regulatory requirements (312.145)</w:t>
      </w:r>
      <w:r w:rsidR="00A8348B">
        <w:rPr>
          <w:i/>
          <w:iCs/>
          <w:sz w:val="24"/>
        </w:rPr>
        <w:t>,”</w:t>
      </w:r>
      <w:r w:rsidR="00A8348B">
        <w:rPr>
          <w:sz w:val="24"/>
        </w:rPr>
        <w:t xml:space="preserve"> accompanied by the subject guidance.  </w:t>
      </w:r>
    </w:p>
    <w:p w:rsidR="009F3E92" w:rsidP="008545C3" w14:paraId="2CF571A6" w14:textId="77777777">
      <w:pPr>
        <w:pStyle w:val="BodyText"/>
      </w:pPr>
    </w:p>
    <w:p w:rsidR="009F3E92" w:rsidP="008545C3" w14:paraId="5F15AB1E" w14:textId="77777777">
      <w:pPr>
        <w:pStyle w:val="ListParagraph"/>
        <w:numPr>
          <w:ilvl w:val="0"/>
          <w:numId w:val="1"/>
        </w:numPr>
        <w:ind w:left="0"/>
        <w:rPr>
          <w:sz w:val="24"/>
          <w:u w:val="none"/>
        </w:rPr>
      </w:pPr>
      <w:r>
        <w:rPr>
          <w:sz w:val="24"/>
        </w:rPr>
        <w:t>Plans</w:t>
      </w:r>
      <w:r>
        <w:rPr>
          <w:spacing w:val="-1"/>
          <w:sz w:val="24"/>
        </w:rPr>
        <w:t xml:space="preserve"> </w:t>
      </w:r>
      <w:r>
        <w:rPr>
          <w:sz w:val="24"/>
        </w:rPr>
        <w:t>for Tabulation</w:t>
      </w:r>
      <w:r>
        <w:rPr>
          <w:spacing w:val="-1"/>
          <w:sz w:val="24"/>
        </w:rPr>
        <w:t xml:space="preserve"> </w:t>
      </w:r>
      <w:r>
        <w:rPr>
          <w:sz w:val="24"/>
        </w:rPr>
        <w:t>and Publication</w:t>
      </w:r>
      <w:r>
        <w:rPr>
          <w:spacing w:val="-1"/>
          <w:sz w:val="24"/>
        </w:rPr>
        <w:t xml:space="preserve"> </w:t>
      </w:r>
      <w:r>
        <w:rPr>
          <w:sz w:val="24"/>
        </w:rPr>
        <w:t>and</w:t>
      </w:r>
      <w:r>
        <w:rPr>
          <w:spacing w:val="-2"/>
          <w:sz w:val="24"/>
        </w:rPr>
        <w:t xml:space="preserve"> </w:t>
      </w:r>
      <w:r>
        <w:rPr>
          <w:sz w:val="24"/>
        </w:rPr>
        <w:t>Project</w:t>
      </w:r>
      <w:r>
        <w:rPr>
          <w:spacing w:val="-1"/>
          <w:sz w:val="24"/>
        </w:rPr>
        <w:t xml:space="preserve"> </w:t>
      </w:r>
      <w:r>
        <w:rPr>
          <w:sz w:val="24"/>
        </w:rPr>
        <w:t>Time</w:t>
      </w:r>
      <w:r>
        <w:rPr>
          <w:spacing w:val="-1"/>
          <w:sz w:val="24"/>
        </w:rPr>
        <w:t xml:space="preserve"> </w:t>
      </w:r>
      <w:r>
        <w:rPr>
          <w:spacing w:val="-2"/>
          <w:sz w:val="24"/>
        </w:rPr>
        <w:t>Schedule</w:t>
      </w:r>
    </w:p>
    <w:p w:rsidR="009F3E92" w:rsidP="008545C3" w14:paraId="5D52987B" w14:textId="77777777">
      <w:pPr>
        <w:pStyle w:val="BodyText"/>
        <w:rPr>
          <w:sz w:val="16"/>
        </w:rPr>
      </w:pPr>
    </w:p>
    <w:p w:rsidR="009F3E92" w:rsidP="008545C3" w14:paraId="44B086D1" w14:textId="77777777">
      <w:pPr>
        <w:pStyle w:val="BodyText"/>
      </w:pPr>
      <w:r>
        <w:t xml:space="preserve">There are no publications or other </w:t>
      </w:r>
      <w:r>
        <w:rPr>
          <w:spacing w:val="-2"/>
        </w:rPr>
        <w:t>schedules.</w:t>
      </w:r>
    </w:p>
    <w:p w:rsidR="000C739A" w:rsidRPr="000C739A" w:rsidP="008545C3" w14:paraId="4330DB7D" w14:textId="77777777">
      <w:pPr>
        <w:pStyle w:val="ListParagraph"/>
        <w:ind w:left="0" w:firstLine="0"/>
        <w:rPr>
          <w:sz w:val="24"/>
          <w:u w:val="none"/>
        </w:rPr>
      </w:pPr>
    </w:p>
    <w:p w:rsidR="009F3E92" w:rsidP="008545C3" w14:paraId="446122E7" w14:textId="39F9D2C3">
      <w:pPr>
        <w:pStyle w:val="ListParagraph"/>
        <w:numPr>
          <w:ilvl w:val="0"/>
          <w:numId w:val="1"/>
        </w:numPr>
        <w:ind w:left="0"/>
        <w:rPr>
          <w:sz w:val="24"/>
          <w:u w:val="none"/>
        </w:rPr>
      </w:pPr>
      <w:r>
        <w:rPr>
          <w:sz w:val="24"/>
        </w:rPr>
        <w:t>Reason(s)</w:t>
      </w:r>
      <w:r>
        <w:rPr>
          <w:spacing w:val="-2"/>
          <w:sz w:val="24"/>
        </w:rPr>
        <w:t xml:space="preserve"> </w:t>
      </w:r>
      <w:r>
        <w:rPr>
          <w:sz w:val="24"/>
        </w:rPr>
        <w:t>Display</w:t>
      </w:r>
      <w:r>
        <w:rPr>
          <w:spacing w:val="-2"/>
          <w:sz w:val="24"/>
        </w:rPr>
        <w:t xml:space="preserve"> </w:t>
      </w:r>
      <w:r>
        <w:rPr>
          <w:sz w:val="24"/>
        </w:rPr>
        <w:t>of</w:t>
      </w:r>
      <w:r>
        <w:rPr>
          <w:spacing w:val="-2"/>
          <w:sz w:val="24"/>
        </w:rPr>
        <w:t xml:space="preserve"> </w:t>
      </w:r>
      <w:r>
        <w:rPr>
          <w:sz w:val="24"/>
        </w:rPr>
        <w:t>OMB</w:t>
      </w:r>
      <w:r>
        <w:rPr>
          <w:spacing w:val="-1"/>
          <w:sz w:val="24"/>
        </w:rPr>
        <w:t xml:space="preserve"> </w:t>
      </w:r>
      <w:r>
        <w:rPr>
          <w:sz w:val="24"/>
        </w:rPr>
        <w:t>Expiration</w:t>
      </w:r>
      <w:r>
        <w:rPr>
          <w:spacing w:val="-2"/>
          <w:sz w:val="24"/>
        </w:rPr>
        <w:t xml:space="preserve"> </w:t>
      </w:r>
      <w:r>
        <w:rPr>
          <w:sz w:val="24"/>
        </w:rPr>
        <w:t>Date</w:t>
      </w:r>
      <w:r>
        <w:rPr>
          <w:spacing w:val="-2"/>
          <w:sz w:val="24"/>
        </w:rPr>
        <w:t xml:space="preserve"> </w:t>
      </w:r>
      <w:r>
        <w:rPr>
          <w:sz w:val="24"/>
        </w:rPr>
        <w:t>is</w:t>
      </w:r>
      <w:r>
        <w:rPr>
          <w:spacing w:val="-1"/>
          <w:sz w:val="24"/>
        </w:rPr>
        <w:t xml:space="preserve"> </w:t>
      </w:r>
      <w:r>
        <w:rPr>
          <w:spacing w:val="-2"/>
          <w:sz w:val="24"/>
        </w:rPr>
        <w:t>Inappropriate</w:t>
      </w:r>
    </w:p>
    <w:p w:rsidR="009F3E92" w:rsidP="008545C3" w14:paraId="5D84BF40" w14:textId="77777777">
      <w:pPr>
        <w:pStyle w:val="BodyText"/>
        <w:rPr>
          <w:sz w:val="16"/>
        </w:rPr>
      </w:pPr>
    </w:p>
    <w:p w:rsidR="009F3E92" w:rsidP="008545C3" w14:paraId="48A9D117" w14:textId="623B8539">
      <w:pPr>
        <w:pStyle w:val="BodyText"/>
      </w:pPr>
      <w:r>
        <w:t>We</w:t>
      </w:r>
      <w:r>
        <w:rPr>
          <w:spacing w:val="-2"/>
        </w:rPr>
        <w:t xml:space="preserve"> </w:t>
      </w:r>
      <w:r>
        <w:t>display</w:t>
      </w:r>
      <w:r>
        <w:rPr>
          <w:spacing w:val="-1"/>
        </w:rPr>
        <w:t xml:space="preserve"> </w:t>
      </w:r>
      <w:r>
        <w:t>the</w:t>
      </w:r>
      <w:r>
        <w:rPr>
          <w:spacing w:val="-1"/>
        </w:rPr>
        <w:t xml:space="preserve"> </w:t>
      </w:r>
      <w:r>
        <w:t>OMB</w:t>
      </w:r>
      <w:r>
        <w:rPr>
          <w:spacing w:val="-3"/>
        </w:rPr>
        <w:t xml:space="preserve"> </w:t>
      </w:r>
      <w:r>
        <w:t>expiration</w:t>
      </w:r>
      <w:r>
        <w:rPr>
          <w:spacing w:val="-3"/>
        </w:rPr>
        <w:t xml:space="preserve"> </w:t>
      </w:r>
      <w:r>
        <w:t>date</w:t>
      </w:r>
      <w:r>
        <w:rPr>
          <w:spacing w:val="-2"/>
        </w:rPr>
        <w:t xml:space="preserve"> </w:t>
      </w:r>
      <w:r>
        <w:t>as</w:t>
      </w:r>
      <w:r>
        <w:rPr>
          <w:spacing w:val="-1"/>
        </w:rPr>
        <w:t xml:space="preserve"> </w:t>
      </w:r>
      <w:r>
        <w:t>required</w:t>
      </w:r>
      <w:r>
        <w:rPr>
          <w:spacing w:val="-1"/>
        </w:rPr>
        <w:t xml:space="preserve"> </w:t>
      </w:r>
      <w:r>
        <w:t>by</w:t>
      </w:r>
      <w:r>
        <w:rPr>
          <w:spacing w:val="-3"/>
        </w:rPr>
        <w:t xml:space="preserve"> </w:t>
      </w:r>
      <w:r>
        <w:t>5</w:t>
      </w:r>
      <w:r>
        <w:rPr>
          <w:spacing w:val="-2"/>
        </w:rPr>
        <w:t xml:space="preserve"> </w:t>
      </w:r>
      <w:r>
        <w:t>CFR</w:t>
      </w:r>
      <w:r>
        <w:rPr>
          <w:spacing w:val="-2"/>
        </w:rPr>
        <w:t xml:space="preserve"> 1320.5.</w:t>
      </w:r>
      <w:r w:rsidR="00A8348B">
        <w:t xml:space="preserve">  </w:t>
      </w:r>
      <w:r w:rsidRPr="00A8348B" w:rsidR="00A8348B">
        <w:rPr>
          <w:spacing w:val="-2"/>
        </w:rPr>
        <w:t>Upon OMB approval we intend to discontinue ICR 0910-0843 and update the control number and expiration date</w:t>
      </w:r>
      <w:r w:rsidR="00A8348B">
        <w:rPr>
          <w:spacing w:val="-2"/>
        </w:rPr>
        <w:t xml:space="preserve"> accordingly</w:t>
      </w:r>
      <w:r w:rsidRPr="00A8348B" w:rsidR="00A8348B">
        <w:rPr>
          <w:spacing w:val="-2"/>
        </w:rPr>
        <w:t>.</w:t>
      </w:r>
    </w:p>
    <w:p w:rsidR="009F3E92" w:rsidP="008545C3" w14:paraId="35C74D34" w14:textId="77777777">
      <w:pPr>
        <w:pStyle w:val="BodyText"/>
      </w:pPr>
    </w:p>
    <w:p w:rsidR="009F3E92" w:rsidP="008545C3" w14:paraId="39E9824E" w14:textId="77777777">
      <w:pPr>
        <w:pStyle w:val="ListParagraph"/>
        <w:numPr>
          <w:ilvl w:val="0"/>
          <w:numId w:val="1"/>
        </w:numPr>
        <w:ind w:left="0" w:hanging="361"/>
        <w:rPr>
          <w:sz w:val="24"/>
          <w:u w:val="none"/>
        </w:rPr>
      </w:pPr>
      <w:r>
        <w:rPr>
          <w:sz w:val="24"/>
        </w:rPr>
        <w:t>Exceptions</w:t>
      </w:r>
      <w:r>
        <w:rPr>
          <w:spacing w:val="-4"/>
          <w:sz w:val="24"/>
        </w:rPr>
        <w:t xml:space="preserve"> </w:t>
      </w:r>
      <w:r>
        <w:rPr>
          <w:sz w:val="24"/>
        </w:rPr>
        <w:t>to</w:t>
      </w:r>
      <w:r>
        <w:rPr>
          <w:spacing w:val="-3"/>
          <w:sz w:val="24"/>
        </w:rPr>
        <w:t xml:space="preserve"> </w:t>
      </w:r>
      <w:r>
        <w:rPr>
          <w:sz w:val="24"/>
        </w:rPr>
        <w:t>Certification</w:t>
      </w:r>
      <w:r>
        <w:rPr>
          <w:spacing w:val="-4"/>
          <w:sz w:val="24"/>
        </w:rPr>
        <w:t xml:space="preserve"> </w:t>
      </w:r>
      <w:r>
        <w:rPr>
          <w:sz w:val="24"/>
        </w:rPr>
        <w:t>for</w:t>
      </w:r>
      <w:r>
        <w:rPr>
          <w:spacing w:val="-3"/>
          <w:sz w:val="24"/>
        </w:rPr>
        <w:t xml:space="preserve"> </w:t>
      </w:r>
      <w:r>
        <w:rPr>
          <w:sz w:val="24"/>
        </w:rPr>
        <w:t>Paperwork</w:t>
      </w:r>
      <w:r>
        <w:rPr>
          <w:spacing w:val="-3"/>
          <w:sz w:val="24"/>
        </w:rPr>
        <w:t xml:space="preserve"> </w:t>
      </w:r>
      <w:r>
        <w:rPr>
          <w:sz w:val="24"/>
        </w:rPr>
        <w:t>Reduction</w:t>
      </w:r>
      <w:r>
        <w:rPr>
          <w:spacing w:val="-2"/>
          <w:sz w:val="24"/>
        </w:rPr>
        <w:t xml:space="preserve"> </w:t>
      </w:r>
      <w:r>
        <w:rPr>
          <w:sz w:val="24"/>
        </w:rPr>
        <w:t>Act</w:t>
      </w:r>
      <w:r>
        <w:rPr>
          <w:spacing w:val="-2"/>
          <w:sz w:val="24"/>
        </w:rPr>
        <w:t xml:space="preserve"> Submissions</w:t>
      </w:r>
    </w:p>
    <w:p w:rsidR="009F3E92" w:rsidP="008545C3" w14:paraId="4E38CFF0" w14:textId="77777777">
      <w:pPr>
        <w:pStyle w:val="BodyText"/>
        <w:rPr>
          <w:sz w:val="16"/>
        </w:rPr>
      </w:pPr>
    </w:p>
    <w:p w:rsidR="009F3E92" w:rsidP="008545C3" w14:paraId="748E0FB6" w14:textId="77777777">
      <w:pPr>
        <w:pStyle w:val="BodyText"/>
      </w:pPr>
      <w:r>
        <w:t>There</w:t>
      </w:r>
      <w:r>
        <w:rPr>
          <w:spacing w:val="-1"/>
        </w:rPr>
        <w:t xml:space="preserve"> </w:t>
      </w:r>
      <w:r>
        <w:t>are no</w:t>
      </w:r>
      <w:r>
        <w:rPr>
          <w:spacing w:val="-2"/>
        </w:rPr>
        <w:t xml:space="preserve"> </w:t>
      </w:r>
      <w:r>
        <w:t>exceptions</w:t>
      </w:r>
      <w:r>
        <w:rPr>
          <w:spacing w:val="-1"/>
        </w:rPr>
        <w:t xml:space="preserve"> </w:t>
      </w:r>
      <w:r>
        <w:t xml:space="preserve">to the certification </w:t>
      </w:r>
      <w:r>
        <w:rPr>
          <w:spacing w:val="-2"/>
        </w:rPr>
        <w:t>statement.</w:t>
      </w:r>
    </w:p>
    <w:sectPr w:rsidSect="008545C3">
      <w:footerReference w:type="default" r:id="rId7"/>
      <w:pgSz w:w="12240" w:h="15840"/>
      <w:pgMar w:top="1440" w:right="1440" w:bottom="1440" w:left="1440" w:header="0" w:footer="7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E92" w14:paraId="57EC664F" w14:textId="212902C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3787140</wp:posOffset>
              </wp:positionH>
              <wp:positionV relativeFrom="page">
                <wp:posOffset>9420860</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3E92"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41.8pt;margin-left:29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F3E92" w14:paraId="6C83DE3F"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3D2C08"/>
    <w:multiLevelType w:val="hybridMultilevel"/>
    <w:tmpl w:val="FA40266C"/>
    <w:lvl w:ilvl="0">
      <w:start w:val="1"/>
      <w:numFmt w:val="decimal"/>
      <w:lvlText w:val="%1."/>
      <w:lvlJc w:val="left"/>
      <w:pPr>
        <w:ind w:left="592"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0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num w:numId="1" w16cid:durableId="2020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2"/>
    <w:rsid w:val="00000969"/>
    <w:rsid w:val="000074DF"/>
    <w:rsid w:val="00024E7E"/>
    <w:rsid w:val="000365B3"/>
    <w:rsid w:val="000368BA"/>
    <w:rsid w:val="00047D85"/>
    <w:rsid w:val="00055B0C"/>
    <w:rsid w:val="00056EE2"/>
    <w:rsid w:val="00072590"/>
    <w:rsid w:val="000A4047"/>
    <w:rsid w:val="000C739A"/>
    <w:rsid w:val="000C7AE4"/>
    <w:rsid w:val="000E084F"/>
    <w:rsid w:val="00130A42"/>
    <w:rsid w:val="00135D10"/>
    <w:rsid w:val="00182F8B"/>
    <w:rsid w:val="001966CB"/>
    <w:rsid w:val="001B1F20"/>
    <w:rsid w:val="001D4396"/>
    <w:rsid w:val="001F474F"/>
    <w:rsid w:val="002469C6"/>
    <w:rsid w:val="0027766D"/>
    <w:rsid w:val="00285C85"/>
    <w:rsid w:val="0029716C"/>
    <w:rsid w:val="002A4DAE"/>
    <w:rsid w:val="002A60F4"/>
    <w:rsid w:val="002B31FF"/>
    <w:rsid w:val="002C07E5"/>
    <w:rsid w:val="002D018A"/>
    <w:rsid w:val="002D0F64"/>
    <w:rsid w:val="002D3440"/>
    <w:rsid w:val="003130A1"/>
    <w:rsid w:val="003275A3"/>
    <w:rsid w:val="00327E80"/>
    <w:rsid w:val="00330B29"/>
    <w:rsid w:val="0034025D"/>
    <w:rsid w:val="00350A4A"/>
    <w:rsid w:val="0037437B"/>
    <w:rsid w:val="00383619"/>
    <w:rsid w:val="003A2DA6"/>
    <w:rsid w:val="003C15DE"/>
    <w:rsid w:val="00417144"/>
    <w:rsid w:val="004625E3"/>
    <w:rsid w:val="00494D35"/>
    <w:rsid w:val="004B1E06"/>
    <w:rsid w:val="004E1A59"/>
    <w:rsid w:val="004E5D53"/>
    <w:rsid w:val="004F7A47"/>
    <w:rsid w:val="005029FB"/>
    <w:rsid w:val="0051106B"/>
    <w:rsid w:val="0051255C"/>
    <w:rsid w:val="00523961"/>
    <w:rsid w:val="00532801"/>
    <w:rsid w:val="00534D94"/>
    <w:rsid w:val="005376AE"/>
    <w:rsid w:val="00542D21"/>
    <w:rsid w:val="00580AE1"/>
    <w:rsid w:val="005A1148"/>
    <w:rsid w:val="005C0CEC"/>
    <w:rsid w:val="005D3C8D"/>
    <w:rsid w:val="005D755B"/>
    <w:rsid w:val="005F3322"/>
    <w:rsid w:val="005F3876"/>
    <w:rsid w:val="00613C79"/>
    <w:rsid w:val="00620E4B"/>
    <w:rsid w:val="00630DBB"/>
    <w:rsid w:val="006351F2"/>
    <w:rsid w:val="00647D8B"/>
    <w:rsid w:val="006569E5"/>
    <w:rsid w:val="006724B4"/>
    <w:rsid w:val="00682CDA"/>
    <w:rsid w:val="0069253B"/>
    <w:rsid w:val="00697A41"/>
    <w:rsid w:val="006A22D8"/>
    <w:rsid w:val="006B4855"/>
    <w:rsid w:val="006C18AD"/>
    <w:rsid w:val="006C551F"/>
    <w:rsid w:val="006D18AA"/>
    <w:rsid w:val="006D1D30"/>
    <w:rsid w:val="006E37A0"/>
    <w:rsid w:val="00702F24"/>
    <w:rsid w:val="00704A10"/>
    <w:rsid w:val="007114E3"/>
    <w:rsid w:val="00766059"/>
    <w:rsid w:val="0079723B"/>
    <w:rsid w:val="007A412E"/>
    <w:rsid w:val="007B6672"/>
    <w:rsid w:val="007C29DE"/>
    <w:rsid w:val="007C7C1C"/>
    <w:rsid w:val="007D1901"/>
    <w:rsid w:val="007E3986"/>
    <w:rsid w:val="007F156C"/>
    <w:rsid w:val="008167FA"/>
    <w:rsid w:val="008545C3"/>
    <w:rsid w:val="00860EE6"/>
    <w:rsid w:val="008908C5"/>
    <w:rsid w:val="00891106"/>
    <w:rsid w:val="008A11B3"/>
    <w:rsid w:val="008A318F"/>
    <w:rsid w:val="008C5566"/>
    <w:rsid w:val="008E60B7"/>
    <w:rsid w:val="009148A7"/>
    <w:rsid w:val="00914C85"/>
    <w:rsid w:val="00924745"/>
    <w:rsid w:val="009732B2"/>
    <w:rsid w:val="009959A1"/>
    <w:rsid w:val="009B05EA"/>
    <w:rsid w:val="009C790D"/>
    <w:rsid w:val="009D6FCA"/>
    <w:rsid w:val="009E29B3"/>
    <w:rsid w:val="009F073E"/>
    <w:rsid w:val="009F3E92"/>
    <w:rsid w:val="00A0694D"/>
    <w:rsid w:val="00A07410"/>
    <w:rsid w:val="00A136A8"/>
    <w:rsid w:val="00A24B85"/>
    <w:rsid w:val="00A42899"/>
    <w:rsid w:val="00A64A87"/>
    <w:rsid w:val="00A8348B"/>
    <w:rsid w:val="00A83CDF"/>
    <w:rsid w:val="00A8589B"/>
    <w:rsid w:val="00AB31E5"/>
    <w:rsid w:val="00AB7E08"/>
    <w:rsid w:val="00AD7AB6"/>
    <w:rsid w:val="00AE568B"/>
    <w:rsid w:val="00AF14C3"/>
    <w:rsid w:val="00B03435"/>
    <w:rsid w:val="00B06C9A"/>
    <w:rsid w:val="00B347F5"/>
    <w:rsid w:val="00B403E9"/>
    <w:rsid w:val="00B418B0"/>
    <w:rsid w:val="00B45CC5"/>
    <w:rsid w:val="00B46E0B"/>
    <w:rsid w:val="00B669D2"/>
    <w:rsid w:val="00B86CB7"/>
    <w:rsid w:val="00B87048"/>
    <w:rsid w:val="00BA2180"/>
    <w:rsid w:val="00BA7C0B"/>
    <w:rsid w:val="00BC2B23"/>
    <w:rsid w:val="00BC5986"/>
    <w:rsid w:val="00BD3D0B"/>
    <w:rsid w:val="00BD6B89"/>
    <w:rsid w:val="00BE5042"/>
    <w:rsid w:val="00BF63F6"/>
    <w:rsid w:val="00BF6EA0"/>
    <w:rsid w:val="00C57950"/>
    <w:rsid w:val="00C74464"/>
    <w:rsid w:val="00C7587D"/>
    <w:rsid w:val="00C90011"/>
    <w:rsid w:val="00C91A0A"/>
    <w:rsid w:val="00C946FB"/>
    <w:rsid w:val="00CB6632"/>
    <w:rsid w:val="00CB6894"/>
    <w:rsid w:val="00CC141A"/>
    <w:rsid w:val="00CC3D68"/>
    <w:rsid w:val="00CF645F"/>
    <w:rsid w:val="00D108EC"/>
    <w:rsid w:val="00D157A3"/>
    <w:rsid w:val="00D21603"/>
    <w:rsid w:val="00D418AF"/>
    <w:rsid w:val="00D42B0F"/>
    <w:rsid w:val="00D90EE8"/>
    <w:rsid w:val="00DA211F"/>
    <w:rsid w:val="00DA2360"/>
    <w:rsid w:val="00DB019F"/>
    <w:rsid w:val="00DC12CF"/>
    <w:rsid w:val="00DC7E01"/>
    <w:rsid w:val="00DD4157"/>
    <w:rsid w:val="00DD62EA"/>
    <w:rsid w:val="00DE0AB3"/>
    <w:rsid w:val="00DE6667"/>
    <w:rsid w:val="00DE7D60"/>
    <w:rsid w:val="00E41EBA"/>
    <w:rsid w:val="00E45C16"/>
    <w:rsid w:val="00E46A18"/>
    <w:rsid w:val="00E8598C"/>
    <w:rsid w:val="00E90E59"/>
    <w:rsid w:val="00E93D08"/>
    <w:rsid w:val="00E951AF"/>
    <w:rsid w:val="00EA2DF5"/>
    <w:rsid w:val="00EA56F3"/>
    <w:rsid w:val="00EA697A"/>
    <w:rsid w:val="00EB084E"/>
    <w:rsid w:val="00EB5CDD"/>
    <w:rsid w:val="00F06572"/>
    <w:rsid w:val="00F071E6"/>
    <w:rsid w:val="00F33704"/>
    <w:rsid w:val="00F5736C"/>
    <w:rsid w:val="00F81566"/>
    <w:rsid w:val="00FA67B0"/>
    <w:rsid w:val="00FB2825"/>
    <w:rsid w:val="00FB5EB8"/>
    <w:rsid w:val="00FC48CA"/>
    <w:rsid w:val="00FD1B01"/>
    <w:rsid w:val="00FF34A9"/>
    <w:rsid w:val="362012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31"/>
    </w:pPr>
    <w:rPr>
      <w:b/>
      <w:bCs/>
      <w:sz w:val="24"/>
      <w:szCs w:val="24"/>
    </w:rPr>
  </w:style>
  <w:style w:type="paragraph" w:styleId="ListParagraph">
    <w:name w:val="List Paragraph"/>
    <w:basedOn w:val="Normal"/>
    <w:uiPriority w:val="1"/>
    <w:qFormat/>
    <w:pPr>
      <w:ind w:left="592" w:hanging="361"/>
    </w:pPr>
    <w:rPr>
      <w:u w:val="single" w:color="000000"/>
    </w:rPr>
  </w:style>
  <w:style w:type="paragraph" w:customStyle="1" w:styleId="TableParagraph">
    <w:name w:val="Table Paragraph"/>
    <w:basedOn w:val="Normal"/>
    <w:uiPriority w:val="1"/>
    <w:qFormat/>
    <w:pPr>
      <w:ind w:left="107"/>
    </w:pPr>
  </w:style>
  <w:style w:type="character" w:styleId="CommentReference">
    <w:name w:val="annotation reference"/>
    <w:uiPriority w:val="99"/>
    <w:semiHidden/>
    <w:unhideWhenUsed/>
    <w:rsid w:val="00BF6EA0"/>
    <w:rPr>
      <w:sz w:val="16"/>
      <w:szCs w:val="16"/>
    </w:rPr>
  </w:style>
  <w:style w:type="paragraph" w:styleId="CommentText">
    <w:name w:val="annotation text"/>
    <w:basedOn w:val="Normal"/>
    <w:link w:val="CommentTextChar"/>
    <w:uiPriority w:val="99"/>
    <w:semiHidden/>
    <w:unhideWhenUsed/>
    <w:rsid w:val="00BF6EA0"/>
    <w:rPr>
      <w:sz w:val="20"/>
      <w:szCs w:val="20"/>
    </w:rPr>
  </w:style>
  <w:style w:type="character" w:customStyle="1" w:styleId="CommentTextChar">
    <w:name w:val="Comment Text Char"/>
    <w:link w:val="CommentText"/>
    <w:uiPriority w:val="99"/>
    <w:semiHidden/>
    <w:rsid w:val="00BF6E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EA0"/>
    <w:rPr>
      <w:b/>
      <w:bCs/>
    </w:rPr>
  </w:style>
  <w:style w:type="character" w:customStyle="1" w:styleId="CommentSubjectChar">
    <w:name w:val="Comment Subject Char"/>
    <w:link w:val="CommentSubject"/>
    <w:uiPriority w:val="99"/>
    <w:semiHidden/>
    <w:rsid w:val="00BF6EA0"/>
    <w:rPr>
      <w:rFonts w:ascii="Times New Roman" w:eastAsia="Times New Roman" w:hAnsi="Times New Roman" w:cs="Times New Roman"/>
      <w:b/>
      <w:bCs/>
      <w:sz w:val="20"/>
      <w:szCs w:val="20"/>
    </w:rPr>
  </w:style>
  <w:style w:type="character" w:styleId="Hyperlink">
    <w:name w:val="Hyperlink"/>
    <w:uiPriority w:val="99"/>
    <w:unhideWhenUsed/>
    <w:rsid w:val="00BF6EA0"/>
    <w:rPr>
      <w:color w:val="0000FF"/>
      <w:u w:val="single"/>
    </w:rPr>
  </w:style>
  <w:style w:type="character" w:styleId="UnresolvedMention">
    <w:name w:val="Unresolved Mention"/>
    <w:uiPriority w:val="99"/>
    <w:semiHidden/>
    <w:unhideWhenUsed/>
    <w:rsid w:val="00BF6EA0"/>
    <w:rPr>
      <w:color w:val="605E5C"/>
      <w:shd w:val="clear" w:color="auto" w:fill="E1DFDD"/>
    </w:rPr>
  </w:style>
  <w:style w:type="paragraph" w:customStyle="1" w:styleId="Default">
    <w:name w:val="Default"/>
    <w:rsid w:val="00647D8B"/>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B6894"/>
    <w:rPr>
      <w:rFonts w:ascii="Times New Roman" w:eastAsia="Times New Roman" w:hAnsi="Times New Roman"/>
      <w:sz w:val="22"/>
      <w:szCs w:val="22"/>
    </w:rPr>
  </w:style>
  <w:style w:type="character" w:styleId="FollowedHyperlink">
    <w:name w:val="FollowedHyperlink"/>
    <w:uiPriority w:val="99"/>
    <w:semiHidden/>
    <w:unhideWhenUsed/>
    <w:rsid w:val="00AB7E08"/>
    <w:rPr>
      <w:color w:val="800080"/>
      <w:u w:val="single"/>
    </w:rPr>
  </w:style>
  <w:style w:type="paragraph" w:styleId="Header">
    <w:name w:val="header"/>
    <w:basedOn w:val="Normal"/>
    <w:link w:val="HeaderChar"/>
    <w:uiPriority w:val="99"/>
    <w:unhideWhenUsed/>
    <w:rsid w:val="00DA211F"/>
    <w:pPr>
      <w:tabs>
        <w:tab w:val="center" w:pos="4680"/>
        <w:tab w:val="right" w:pos="9360"/>
      </w:tabs>
    </w:pPr>
  </w:style>
  <w:style w:type="character" w:customStyle="1" w:styleId="HeaderChar">
    <w:name w:val="Header Char"/>
    <w:basedOn w:val="DefaultParagraphFont"/>
    <w:link w:val="Header"/>
    <w:uiPriority w:val="99"/>
    <w:rsid w:val="00DA211F"/>
    <w:rPr>
      <w:rFonts w:ascii="Times New Roman" w:eastAsia="Times New Roman" w:hAnsi="Times New Roman"/>
      <w:sz w:val="22"/>
      <w:szCs w:val="22"/>
    </w:rPr>
  </w:style>
  <w:style w:type="paragraph" w:styleId="Footer">
    <w:name w:val="footer"/>
    <w:basedOn w:val="Normal"/>
    <w:link w:val="FooterChar"/>
    <w:uiPriority w:val="99"/>
    <w:unhideWhenUsed/>
    <w:rsid w:val="00DA211F"/>
    <w:pPr>
      <w:tabs>
        <w:tab w:val="center" w:pos="4680"/>
        <w:tab w:val="right" w:pos="9360"/>
      </w:tabs>
    </w:pPr>
  </w:style>
  <w:style w:type="character" w:customStyle="1" w:styleId="FooterChar">
    <w:name w:val="Footer Char"/>
    <w:basedOn w:val="DefaultParagraphFont"/>
    <w:link w:val="Footer"/>
    <w:uiPriority w:val="99"/>
    <w:rsid w:val="00DA211F"/>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media/93884/download" TargetMode="External" /><Relationship Id="rId5" Type="http://schemas.openxmlformats.org/officeDocument/2006/relationships/hyperlink" Target="http://www.fda.gov/RegulatoryInformation/Guidances/default.htm" TargetMode="External" /><Relationship Id="rId6" Type="http://schemas.openxmlformats.org/officeDocument/2006/relationships/hyperlink" Target="https://www.fda.gov/industry/small-business-assistanc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2023-08-08T19:29:00Z</dcterms:created>
  <dcterms:modified xsi:type="dcterms:W3CDTF">2023-08-08T19:30:00Z</dcterms:modified>
</cp:coreProperties>
</file>