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769" w:rsidP="008D625B" w14:paraId="5344BFCA" w14:textId="71FC5395">
      <w:pPr>
        <w:jc w:val="center"/>
      </w:pPr>
      <w:r>
        <w:t>UNITED STATES FOOD &amp; DRUG ADMINISTRATION</w:t>
      </w:r>
      <w:r w:rsidR="0032398A">
        <w:t>-</w:t>
      </w:r>
    </w:p>
    <w:p w:rsidR="00174E21" w:rsidRPr="009A1674" w:rsidP="008D625B" w14:paraId="715E24EA" w14:textId="77777777">
      <w:pPr>
        <w:jc w:val="center"/>
      </w:pPr>
    </w:p>
    <w:p w:rsidR="00174E21" w:rsidRPr="006D24EB" w:rsidP="00174E21" w14:paraId="1E9E8419" w14:textId="6D448027">
      <w:pPr>
        <w:jc w:val="center"/>
      </w:pPr>
      <w:r w:rsidRPr="006D24EB">
        <w:rPr>
          <w:u w:val="single"/>
        </w:rPr>
        <w:t>OMB Control No. 0910-0</w:t>
      </w:r>
      <w:r w:rsidRPr="006D24EB" w:rsidR="00A5733C">
        <w:rPr>
          <w:u w:val="single"/>
        </w:rPr>
        <w:t>0</w:t>
      </w:r>
      <w:r w:rsidRPr="006D24EB" w:rsidR="00E51AD2">
        <w:rPr>
          <w:u w:val="single"/>
        </w:rPr>
        <w:t>14</w:t>
      </w:r>
      <w:r w:rsidR="006D24EB">
        <w:t xml:space="preserve"> – Investigational New Drug Requirements</w:t>
      </w:r>
    </w:p>
    <w:p w:rsidR="008B30AB" w:rsidP="00174E21" w14:paraId="5E647F94" w14:textId="664B1021">
      <w:pPr>
        <w:jc w:val="center"/>
      </w:pPr>
      <w:r w:rsidRPr="009A1674">
        <w:br/>
      </w:r>
    </w:p>
    <w:p w:rsidR="002E778A" w:rsidRPr="00A12332" w:rsidP="002E778A" w14:paraId="3F3A81B8" w14:textId="7A4D5CA7">
      <w:pPr>
        <w:rPr>
          <w:b/>
          <w:bCs/>
        </w:rPr>
      </w:pPr>
      <w:r w:rsidRPr="00A12332">
        <w:rPr>
          <w:b/>
          <w:bCs/>
          <w:u w:val="single"/>
        </w:rPr>
        <w:t>Request for Non-Substantive/Non-Material Change</w:t>
      </w:r>
      <w:r w:rsidR="00A12332">
        <w:rPr>
          <w:b/>
          <w:bCs/>
        </w:rPr>
        <w:t>:</w:t>
      </w:r>
    </w:p>
    <w:p w:rsidR="00C53B02" w:rsidRPr="00C53B02" w:rsidP="002E778A" w14:paraId="2AEF2887" w14:textId="33F27D6A"/>
    <w:p w:rsidR="0032398A" w:rsidP="00930E98" w14:paraId="40BFDABD" w14:textId="636662A4">
      <w:pPr>
        <w:rPr>
          <w:rFonts w:eastAsia="Calibri"/>
        </w:rPr>
      </w:pPr>
      <w:r>
        <w:rPr>
          <w:rFonts w:eastAsia="Calibri"/>
        </w:rPr>
        <w:t>This information collection supports implementation of section 505 of the Federal Food, Drug, and Cosmetic Act (FD&amp;C Act) (21 U.S.C. 355) and of the licensing provisions of the Public Health Service Act (42 U.S.C. 201 et seq.) that govern investigational new drugs and investigational new drug applications (INDs).  Implementing regulations are found in part 312 (21 CFR part 312), and provide for the issuance of guidance documents (see § 312.145 (21 CFR 312.145)) to assist persons in complying with the applicable requirements.  The information collection applies to all clinical investigations subject to section 505 of the FD&amp;C Act</w:t>
      </w:r>
      <w:r>
        <w:rPr>
          <w:rFonts w:eastAsia="Calibri"/>
        </w:rPr>
        <w:t>.</w:t>
      </w:r>
    </w:p>
    <w:p w:rsidR="0032398A" w:rsidP="00930E98" w14:paraId="4A1B68F2" w14:textId="77777777">
      <w:pPr>
        <w:rPr>
          <w:rFonts w:eastAsia="Calibri"/>
        </w:rPr>
      </w:pPr>
    </w:p>
    <w:p w:rsidR="008B3F59" w:rsidP="006D24EB" w14:paraId="08C591B4" w14:textId="648DD89D">
      <w:pPr>
        <w:rPr>
          <w:rFonts w:eastAsia="Calibri"/>
        </w:rPr>
      </w:pPr>
      <w:r>
        <w:rPr>
          <w:rFonts w:eastAsia="Calibri"/>
        </w:rPr>
        <w:t xml:space="preserve">For efficiency of agency operations, we are requesting to include burden </w:t>
      </w:r>
      <w:r w:rsidR="00FB2011">
        <w:rPr>
          <w:rFonts w:eastAsia="Calibri"/>
        </w:rPr>
        <w:t xml:space="preserve">we attribute to related activity, currently </w:t>
      </w:r>
      <w:r>
        <w:rPr>
          <w:rFonts w:eastAsia="Calibri"/>
        </w:rPr>
        <w:t xml:space="preserve">approved in OMB control no. 0910-0893, into this collection.  </w:t>
      </w:r>
      <w:r w:rsidR="00FB2011">
        <w:rPr>
          <w:rFonts w:eastAsia="Calibri"/>
        </w:rPr>
        <w:t xml:space="preserve">Specifically, 21 CFR part 300.200 requires the submission of an annual report by </w:t>
      </w:r>
      <w:r w:rsidRPr="00FB2011" w:rsidR="00FB2011">
        <w:rPr>
          <w:rFonts w:eastAsia="Calibri"/>
        </w:rPr>
        <w:t>sponsors and manufacturers who provide an “</w:t>
      </w:r>
      <w:r w:rsidRPr="00FB2011" w:rsidR="00FB2011">
        <w:rPr>
          <w:rFonts w:eastAsia="Calibri"/>
          <w:i/>
          <w:iCs/>
        </w:rPr>
        <w:t>eligible investigational drug</w:t>
      </w:r>
      <w:r w:rsidRPr="00FB2011" w:rsidR="00FB2011">
        <w:rPr>
          <w:rFonts w:eastAsia="Calibri"/>
        </w:rPr>
        <w:t>” under the Right to Try Act</w:t>
      </w:r>
      <w:r w:rsidR="00FB2011">
        <w:rPr>
          <w:rFonts w:eastAsia="Calibri"/>
        </w:rPr>
        <w:t>.  The regulation also establishes content and format elements and requires th</w:t>
      </w:r>
      <w:r w:rsidR="004F6947">
        <w:rPr>
          <w:rFonts w:eastAsia="Calibri"/>
        </w:rPr>
        <w:t xml:space="preserve">at </w:t>
      </w:r>
      <w:r w:rsidR="00FB2011">
        <w:rPr>
          <w:rFonts w:eastAsia="Calibri"/>
        </w:rPr>
        <w:t xml:space="preserve">information be submitted to </w:t>
      </w:r>
      <w:r w:rsidRPr="00FB2011" w:rsidR="00FB2011">
        <w:rPr>
          <w:rFonts w:eastAsia="Calibri"/>
        </w:rPr>
        <w:t>FDA no later than March 31 of each year, including data for the preceding calendar year</w:t>
      </w:r>
      <w:r w:rsidR="004F6947">
        <w:rPr>
          <w:rFonts w:eastAsia="Calibri"/>
        </w:rPr>
        <w:t>.</w:t>
      </w:r>
      <w:r w:rsidR="005B6726">
        <w:rPr>
          <w:rFonts w:eastAsia="Calibri"/>
        </w:rPr>
        <w:t xml:space="preserve">  Respondents use </w:t>
      </w:r>
      <w:r w:rsidRPr="00D4263A" w:rsidR="004F6947">
        <w:rPr>
          <w:rFonts w:eastAsia="Calibri"/>
          <w:b/>
          <w:bCs/>
        </w:rPr>
        <w:t>Form FDA 5023</w:t>
      </w:r>
      <w:r w:rsidRPr="00B37776" w:rsidR="004F6947">
        <w:rPr>
          <w:rFonts w:eastAsia="Calibri"/>
        </w:rPr>
        <w:t xml:space="preserve"> entitled “</w:t>
      </w:r>
      <w:r w:rsidRPr="00D4263A" w:rsidR="004F6947">
        <w:rPr>
          <w:rFonts w:eastAsia="Calibri"/>
          <w:i/>
          <w:iCs/>
        </w:rPr>
        <w:t>Right to Try Reporting Requirement:  Annual Summary</w:t>
      </w:r>
      <w:r w:rsidRPr="00B37776" w:rsidR="004F6947">
        <w:rPr>
          <w:rFonts w:eastAsia="Calibri"/>
        </w:rPr>
        <w:t xml:space="preserve">,” currently </w:t>
      </w:r>
      <w:r w:rsidR="005B6726">
        <w:rPr>
          <w:rFonts w:eastAsia="Calibri"/>
        </w:rPr>
        <w:t xml:space="preserve">available </w:t>
      </w:r>
      <w:r w:rsidR="003E0291">
        <w:rPr>
          <w:rFonts w:eastAsia="Calibri"/>
        </w:rPr>
        <w:t xml:space="preserve">for download from our website </w:t>
      </w:r>
      <w:r w:rsidR="005B6726">
        <w:rPr>
          <w:rFonts w:eastAsia="Calibri"/>
        </w:rPr>
        <w:t xml:space="preserve">at </w:t>
      </w:r>
      <w:hyperlink r:id="rId5" w:history="1">
        <w:r w:rsidRPr="00B84DDF" w:rsidR="003E0291">
          <w:rPr>
            <w:rStyle w:val="Hyperlink"/>
            <w:rFonts w:eastAsia="Calibri"/>
          </w:rPr>
          <w:t>https://www.fda.gov/patients/learn-about-expanded-access-and-other-treatment-options/right-try-annual-reporting-summary</w:t>
        </w:r>
      </w:hyperlink>
      <w:r w:rsidR="003F79B9">
        <w:rPr>
          <w:rFonts w:eastAsia="Calibri"/>
        </w:rPr>
        <w:t xml:space="preserve">.  </w:t>
      </w:r>
      <w:r w:rsidRPr="00B37776" w:rsidR="004F6947">
        <w:rPr>
          <w:rFonts w:eastAsia="Calibri"/>
        </w:rPr>
        <w:t xml:space="preserve">As required by the applicable statute, section 561B of the FD&amp;C Act (21 U.S.C. 360bbb-0a), the information is submitted to an FDA-designated point of contact, and in accordance with instructions to be posted at:  </w:t>
      </w:r>
      <w:hyperlink r:id="rId6" w:history="1">
        <w:r w:rsidRPr="00B84DDF" w:rsidR="003F79B9">
          <w:rPr>
            <w:rStyle w:val="Hyperlink"/>
            <w:rFonts w:eastAsia="Calibri"/>
          </w:rPr>
          <w:t>https://www.fda.gov/patients/learn-about-expanded-access-and-other-treatment-options/right-try</w:t>
        </w:r>
      </w:hyperlink>
      <w:r w:rsidR="003F79B9">
        <w:rPr>
          <w:rFonts w:eastAsia="Calibri"/>
        </w:rPr>
        <w:t>.  W</w:t>
      </w:r>
      <w:r>
        <w:rPr>
          <w:rFonts w:eastAsia="Calibri"/>
        </w:rPr>
        <w:t>e have added the IC element, “</w:t>
      </w:r>
      <w:r w:rsidRPr="003F79B9">
        <w:rPr>
          <w:rFonts w:eastAsia="Calibri"/>
          <w:i/>
          <w:iCs/>
        </w:rPr>
        <w:t>Right to try reporting requirements</w:t>
      </w:r>
      <w:r>
        <w:rPr>
          <w:rFonts w:eastAsia="Calibri"/>
        </w:rPr>
        <w:t>,” and have added 10 responses and 3 hours annually to reflect the burden we attribute to</w:t>
      </w:r>
      <w:r w:rsidR="006D24EB">
        <w:rPr>
          <w:rFonts w:eastAsia="Calibri"/>
        </w:rPr>
        <w:t xml:space="preserve"> required</w:t>
      </w:r>
      <w:r>
        <w:rPr>
          <w:rFonts w:eastAsia="Calibri"/>
        </w:rPr>
        <w:t xml:space="preserve"> activities.</w:t>
      </w:r>
    </w:p>
    <w:p w:rsidR="006D24EB" w:rsidP="006D24EB" w14:paraId="31B27897" w14:textId="77777777"/>
    <w:p w:rsidR="008B3F59" w:rsidRPr="008B3F59" w:rsidP="00E822E8" w14:paraId="4B50FF8D" w14:textId="30812020">
      <w:pPr>
        <w:rPr>
          <w:b/>
          <w:bCs/>
        </w:rPr>
      </w:pPr>
      <w:r w:rsidRPr="008B3F59">
        <w:rPr>
          <w:b/>
          <w:bCs/>
        </w:rPr>
        <w:t xml:space="preserve">Submitted:  </w:t>
      </w:r>
      <w:r w:rsidR="009A2E4C">
        <w:rPr>
          <w:b/>
          <w:bCs/>
        </w:rPr>
        <w:t>December 2025</w:t>
      </w:r>
    </w:p>
    <w:p w:rsidR="009E7A66" w:rsidRPr="002E778A" w:rsidP="002E778A" w14:paraId="4FA5625F" w14:textId="5FBE09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sz w:val="24"/>
          <w:szCs w:val="24"/>
        </w:rPr>
      </w:pPr>
    </w:p>
    <w:sectPr w:rsidSect="00EB7538">
      <w:footerReference w:type="even"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340" w:rsidP="003F3DF5" w14:paraId="16BBC376" w14:textId="0DE12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B02">
      <w:rPr>
        <w:rStyle w:val="PageNumber"/>
        <w:noProof/>
      </w:rPr>
      <w:t>1</w:t>
    </w:r>
    <w:r>
      <w:rPr>
        <w:rStyle w:val="PageNumber"/>
      </w:rPr>
      <w:fldChar w:fldCharType="end"/>
    </w:r>
  </w:p>
  <w:p w:rsidR="00D56340" w14:paraId="3C463D6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323DAF"/>
    <w:multiLevelType w:val="hybridMultilevel"/>
    <w:tmpl w:val="55A05246"/>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8F328F6"/>
    <w:multiLevelType w:val="hybridMultilevel"/>
    <w:tmpl w:val="8E945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93830577">
    <w:abstractNumId w:val="11"/>
  </w:num>
  <w:num w:numId="2" w16cid:durableId="2026906793">
    <w:abstractNumId w:val="16"/>
  </w:num>
  <w:num w:numId="3" w16cid:durableId="377779629">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856576156">
    <w:abstractNumId w:val="21"/>
  </w:num>
  <w:num w:numId="5" w16cid:durableId="1450591197">
    <w:abstractNumId w:val="8"/>
  </w:num>
  <w:num w:numId="6" w16cid:durableId="552155367">
    <w:abstractNumId w:val="24"/>
  </w:num>
  <w:num w:numId="7" w16cid:durableId="2145076233">
    <w:abstractNumId w:val="29"/>
  </w:num>
  <w:num w:numId="8" w16cid:durableId="218905699">
    <w:abstractNumId w:val="5"/>
  </w:num>
  <w:num w:numId="9" w16cid:durableId="124857488">
    <w:abstractNumId w:val="25"/>
  </w:num>
  <w:num w:numId="10" w16cid:durableId="1193227080">
    <w:abstractNumId w:val="20"/>
  </w:num>
  <w:num w:numId="11" w16cid:durableId="1950114519">
    <w:abstractNumId w:val="10"/>
  </w:num>
  <w:num w:numId="12" w16cid:durableId="1136022667">
    <w:abstractNumId w:val="32"/>
  </w:num>
  <w:num w:numId="13" w16cid:durableId="969092691">
    <w:abstractNumId w:val="19"/>
  </w:num>
  <w:num w:numId="14" w16cid:durableId="1691953708">
    <w:abstractNumId w:val="9"/>
  </w:num>
  <w:num w:numId="15" w16cid:durableId="1767723352">
    <w:abstractNumId w:val="15"/>
  </w:num>
  <w:num w:numId="16" w16cid:durableId="33045120">
    <w:abstractNumId w:val="14"/>
  </w:num>
  <w:num w:numId="17" w16cid:durableId="1135097605">
    <w:abstractNumId w:val="28"/>
  </w:num>
  <w:num w:numId="18" w16cid:durableId="93982778">
    <w:abstractNumId w:val="31"/>
  </w:num>
  <w:num w:numId="19" w16cid:durableId="891232859">
    <w:abstractNumId w:val="30"/>
  </w:num>
  <w:num w:numId="20" w16cid:durableId="737438704">
    <w:abstractNumId w:val="18"/>
  </w:num>
  <w:num w:numId="21" w16cid:durableId="1948079489">
    <w:abstractNumId w:val="13"/>
  </w:num>
  <w:num w:numId="22" w16cid:durableId="1599289418">
    <w:abstractNumId w:val="4"/>
  </w:num>
  <w:num w:numId="23" w16cid:durableId="1165705041">
    <w:abstractNumId w:val="26"/>
  </w:num>
  <w:num w:numId="24" w16cid:durableId="581373930">
    <w:abstractNumId w:val="22"/>
  </w:num>
  <w:num w:numId="25" w16cid:durableId="2132161381">
    <w:abstractNumId w:val="12"/>
  </w:num>
  <w:num w:numId="26" w16cid:durableId="957568440">
    <w:abstractNumId w:val="7"/>
  </w:num>
  <w:num w:numId="27" w16cid:durableId="1050689028">
    <w:abstractNumId w:val="33"/>
  </w:num>
  <w:num w:numId="28" w16cid:durableId="719404430">
    <w:abstractNumId w:val="27"/>
  </w:num>
  <w:num w:numId="29" w16cid:durableId="829296131">
    <w:abstractNumId w:val="6"/>
  </w:num>
  <w:num w:numId="30" w16cid:durableId="1484153404">
    <w:abstractNumId w:val="17"/>
  </w:num>
  <w:num w:numId="31" w16cid:durableId="426124278">
    <w:abstractNumId w:val="3"/>
  </w:num>
  <w:num w:numId="32" w16cid:durableId="1152794457">
    <w:abstractNumId w:val="2"/>
  </w:num>
  <w:num w:numId="33" w16cid:durableId="580257407">
    <w:abstractNumId w:val="1"/>
  </w:num>
  <w:num w:numId="34" w16cid:durableId="170393705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6A5"/>
    <w:rsid w:val="00025652"/>
    <w:rsid w:val="00044F6C"/>
    <w:rsid w:val="0006570F"/>
    <w:rsid w:val="00076F47"/>
    <w:rsid w:val="000832B0"/>
    <w:rsid w:val="0008731E"/>
    <w:rsid w:val="0009473F"/>
    <w:rsid w:val="000A7CA9"/>
    <w:rsid w:val="000D065D"/>
    <w:rsid w:val="000D48FD"/>
    <w:rsid w:val="000D4FD3"/>
    <w:rsid w:val="000E1C64"/>
    <w:rsid w:val="00100129"/>
    <w:rsid w:val="00100739"/>
    <w:rsid w:val="00107885"/>
    <w:rsid w:val="00114FC4"/>
    <w:rsid w:val="0012329C"/>
    <w:rsid w:val="00132E31"/>
    <w:rsid w:val="00134421"/>
    <w:rsid w:val="0013467A"/>
    <w:rsid w:val="00134FA7"/>
    <w:rsid w:val="0013758B"/>
    <w:rsid w:val="00137950"/>
    <w:rsid w:val="00144854"/>
    <w:rsid w:val="001512D5"/>
    <w:rsid w:val="00151394"/>
    <w:rsid w:val="00152F29"/>
    <w:rsid w:val="00155D1A"/>
    <w:rsid w:val="00156016"/>
    <w:rsid w:val="00166BAD"/>
    <w:rsid w:val="00174E21"/>
    <w:rsid w:val="00185270"/>
    <w:rsid w:val="00190B1F"/>
    <w:rsid w:val="00191159"/>
    <w:rsid w:val="001A1C5F"/>
    <w:rsid w:val="001A3B5A"/>
    <w:rsid w:val="001B0F1F"/>
    <w:rsid w:val="001B2186"/>
    <w:rsid w:val="001B6440"/>
    <w:rsid w:val="001B7CE9"/>
    <w:rsid w:val="001D495A"/>
    <w:rsid w:val="001D53AE"/>
    <w:rsid w:val="002110D2"/>
    <w:rsid w:val="00215009"/>
    <w:rsid w:val="0022309A"/>
    <w:rsid w:val="002259EF"/>
    <w:rsid w:val="002272A3"/>
    <w:rsid w:val="00241EB0"/>
    <w:rsid w:val="00242E29"/>
    <w:rsid w:val="00242ED1"/>
    <w:rsid w:val="00254069"/>
    <w:rsid w:val="00255704"/>
    <w:rsid w:val="00270297"/>
    <w:rsid w:val="002734E5"/>
    <w:rsid w:val="002746DB"/>
    <w:rsid w:val="00280CAF"/>
    <w:rsid w:val="00282F09"/>
    <w:rsid w:val="00287194"/>
    <w:rsid w:val="002905D2"/>
    <w:rsid w:val="00294B99"/>
    <w:rsid w:val="002A09E0"/>
    <w:rsid w:val="002A4916"/>
    <w:rsid w:val="002A4E1C"/>
    <w:rsid w:val="002A69AA"/>
    <w:rsid w:val="002B0CD2"/>
    <w:rsid w:val="002C24AB"/>
    <w:rsid w:val="002C44E4"/>
    <w:rsid w:val="002C6650"/>
    <w:rsid w:val="002C7D58"/>
    <w:rsid w:val="002D0FCD"/>
    <w:rsid w:val="002D14D8"/>
    <w:rsid w:val="002D4799"/>
    <w:rsid w:val="002D5E4B"/>
    <w:rsid w:val="002E3FA4"/>
    <w:rsid w:val="002E778A"/>
    <w:rsid w:val="00300976"/>
    <w:rsid w:val="00313517"/>
    <w:rsid w:val="0032277F"/>
    <w:rsid w:val="0032398A"/>
    <w:rsid w:val="00330926"/>
    <w:rsid w:val="00350523"/>
    <w:rsid w:val="0035306E"/>
    <w:rsid w:val="00353DBB"/>
    <w:rsid w:val="00366728"/>
    <w:rsid w:val="003740BC"/>
    <w:rsid w:val="00374C6C"/>
    <w:rsid w:val="003801A3"/>
    <w:rsid w:val="00380F97"/>
    <w:rsid w:val="0038326C"/>
    <w:rsid w:val="00383D90"/>
    <w:rsid w:val="0039161D"/>
    <w:rsid w:val="00391B67"/>
    <w:rsid w:val="003A72ED"/>
    <w:rsid w:val="003B1190"/>
    <w:rsid w:val="003B42B3"/>
    <w:rsid w:val="003B6384"/>
    <w:rsid w:val="003C4EBB"/>
    <w:rsid w:val="003D1345"/>
    <w:rsid w:val="003D1531"/>
    <w:rsid w:val="003D20E4"/>
    <w:rsid w:val="003D39FA"/>
    <w:rsid w:val="003E0291"/>
    <w:rsid w:val="003E4EC6"/>
    <w:rsid w:val="003E527E"/>
    <w:rsid w:val="003E553E"/>
    <w:rsid w:val="003E60F0"/>
    <w:rsid w:val="003E64B8"/>
    <w:rsid w:val="003E7078"/>
    <w:rsid w:val="003F3DF5"/>
    <w:rsid w:val="003F79B9"/>
    <w:rsid w:val="004068FC"/>
    <w:rsid w:val="00411D11"/>
    <w:rsid w:val="004125C7"/>
    <w:rsid w:val="004135DD"/>
    <w:rsid w:val="0041427F"/>
    <w:rsid w:val="00415E23"/>
    <w:rsid w:val="004175D3"/>
    <w:rsid w:val="00424061"/>
    <w:rsid w:val="004337C0"/>
    <w:rsid w:val="00433E16"/>
    <w:rsid w:val="00435135"/>
    <w:rsid w:val="00443969"/>
    <w:rsid w:val="00446B4D"/>
    <w:rsid w:val="00447D74"/>
    <w:rsid w:val="0045048A"/>
    <w:rsid w:val="00450A74"/>
    <w:rsid w:val="00455093"/>
    <w:rsid w:val="004556AE"/>
    <w:rsid w:val="00462D37"/>
    <w:rsid w:val="00462D3E"/>
    <w:rsid w:val="00465350"/>
    <w:rsid w:val="004772C4"/>
    <w:rsid w:val="00477F96"/>
    <w:rsid w:val="00481340"/>
    <w:rsid w:val="00483AB6"/>
    <w:rsid w:val="004846BF"/>
    <w:rsid w:val="00490FC9"/>
    <w:rsid w:val="004A05B7"/>
    <w:rsid w:val="004B48D3"/>
    <w:rsid w:val="004B6DB7"/>
    <w:rsid w:val="004C4A24"/>
    <w:rsid w:val="004C6979"/>
    <w:rsid w:val="004D3E7A"/>
    <w:rsid w:val="004E0224"/>
    <w:rsid w:val="004F32E9"/>
    <w:rsid w:val="004F3AB0"/>
    <w:rsid w:val="004F6383"/>
    <w:rsid w:val="004F6947"/>
    <w:rsid w:val="0050096E"/>
    <w:rsid w:val="00510D68"/>
    <w:rsid w:val="00526EF8"/>
    <w:rsid w:val="00536AC7"/>
    <w:rsid w:val="00544138"/>
    <w:rsid w:val="005533E9"/>
    <w:rsid w:val="00561AD4"/>
    <w:rsid w:val="00575DB3"/>
    <w:rsid w:val="00584583"/>
    <w:rsid w:val="00586AD1"/>
    <w:rsid w:val="005874CF"/>
    <w:rsid w:val="005915E3"/>
    <w:rsid w:val="005935E4"/>
    <w:rsid w:val="00593F11"/>
    <w:rsid w:val="00595394"/>
    <w:rsid w:val="005A0E6B"/>
    <w:rsid w:val="005A4099"/>
    <w:rsid w:val="005A726D"/>
    <w:rsid w:val="005B401B"/>
    <w:rsid w:val="005B55B6"/>
    <w:rsid w:val="005B6726"/>
    <w:rsid w:val="005C38B2"/>
    <w:rsid w:val="005C5029"/>
    <w:rsid w:val="005C55C2"/>
    <w:rsid w:val="005C5DBC"/>
    <w:rsid w:val="005D0842"/>
    <w:rsid w:val="005D2532"/>
    <w:rsid w:val="005D4DF5"/>
    <w:rsid w:val="0061057E"/>
    <w:rsid w:val="00610812"/>
    <w:rsid w:val="00611D6B"/>
    <w:rsid w:val="006311A3"/>
    <w:rsid w:val="006448BD"/>
    <w:rsid w:val="006472C5"/>
    <w:rsid w:val="00651B7D"/>
    <w:rsid w:val="0065359A"/>
    <w:rsid w:val="00655CE1"/>
    <w:rsid w:val="006635DF"/>
    <w:rsid w:val="006651DE"/>
    <w:rsid w:val="006719CA"/>
    <w:rsid w:val="00675FED"/>
    <w:rsid w:val="006766CC"/>
    <w:rsid w:val="0068383A"/>
    <w:rsid w:val="006937DB"/>
    <w:rsid w:val="00697E45"/>
    <w:rsid w:val="006A26C6"/>
    <w:rsid w:val="006A7D5D"/>
    <w:rsid w:val="006B1F83"/>
    <w:rsid w:val="006B3482"/>
    <w:rsid w:val="006C343C"/>
    <w:rsid w:val="006D24EB"/>
    <w:rsid w:val="006D30E9"/>
    <w:rsid w:val="006F4D6D"/>
    <w:rsid w:val="00705086"/>
    <w:rsid w:val="00716E75"/>
    <w:rsid w:val="00730A0E"/>
    <w:rsid w:val="00735252"/>
    <w:rsid w:val="00735302"/>
    <w:rsid w:val="007505FF"/>
    <w:rsid w:val="0075064C"/>
    <w:rsid w:val="00754497"/>
    <w:rsid w:val="0076083D"/>
    <w:rsid w:val="007618F5"/>
    <w:rsid w:val="0076498B"/>
    <w:rsid w:val="00785B60"/>
    <w:rsid w:val="00787C39"/>
    <w:rsid w:val="00795DF3"/>
    <w:rsid w:val="00796234"/>
    <w:rsid w:val="007A373C"/>
    <w:rsid w:val="007A7B7E"/>
    <w:rsid w:val="007B06DA"/>
    <w:rsid w:val="007C215A"/>
    <w:rsid w:val="007C5E64"/>
    <w:rsid w:val="007C75B1"/>
    <w:rsid w:val="007D1777"/>
    <w:rsid w:val="007D3DFC"/>
    <w:rsid w:val="007D7AAD"/>
    <w:rsid w:val="007F7D6B"/>
    <w:rsid w:val="00801C13"/>
    <w:rsid w:val="0080776D"/>
    <w:rsid w:val="00810145"/>
    <w:rsid w:val="008108FA"/>
    <w:rsid w:val="00810FF1"/>
    <w:rsid w:val="008114FF"/>
    <w:rsid w:val="00812399"/>
    <w:rsid w:val="00822336"/>
    <w:rsid w:val="00823DFA"/>
    <w:rsid w:val="008250E0"/>
    <w:rsid w:val="00830DAA"/>
    <w:rsid w:val="0083157A"/>
    <w:rsid w:val="00832981"/>
    <w:rsid w:val="00834B88"/>
    <w:rsid w:val="00843752"/>
    <w:rsid w:val="00854E54"/>
    <w:rsid w:val="00860CF5"/>
    <w:rsid w:val="00865AF2"/>
    <w:rsid w:val="00870464"/>
    <w:rsid w:val="00880C5D"/>
    <w:rsid w:val="00885B09"/>
    <w:rsid w:val="00892400"/>
    <w:rsid w:val="00892F0C"/>
    <w:rsid w:val="00895A23"/>
    <w:rsid w:val="008A007D"/>
    <w:rsid w:val="008A0DCE"/>
    <w:rsid w:val="008A1763"/>
    <w:rsid w:val="008A209D"/>
    <w:rsid w:val="008A4D6B"/>
    <w:rsid w:val="008B0E29"/>
    <w:rsid w:val="008B0EFA"/>
    <w:rsid w:val="008B30AB"/>
    <w:rsid w:val="008B3F59"/>
    <w:rsid w:val="008B56BC"/>
    <w:rsid w:val="008B5DBA"/>
    <w:rsid w:val="008C5955"/>
    <w:rsid w:val="008C68CD"/>
    <w:rsid w:val="008D2497"/>
    <w:rsid w:val="008D625B"/>
    <w:rsid w:val="008E1839"/>
    <w:rsid w:val="008E423D"/>
    <w:rsid w:val="00901561"/>
    <w:rsid w:val="00901A57"/>
    <w:rsid w:val="00905DEF"/>
    <w:rsid w:val="00913B43"/>
    <w:rsid w:val="0092504C"/>
    <w:rsid w:val="00930203"/>
    <w:rsid w:val="00930B70"/>
    <w:rsid w:val="00930E98"/>
    <w:rsid w:val="009311D2"/>
    <w:rsid w:val="00931275"/>
    <w:rsid w:val="00934467"/>
    <w:rsid w:val="00936AC7"/>
    <w:rsid w:val="00943F92"/>
    <w:rsid w:val="00961EBC"/>
    <w:rsid w:val="00964C5A"/>
    <w:rsid w:val="0096657C"/>
    <w:rsid w:val="00967943"/>
    <w:rsid w:val="00972102"/>
    <w:rsid w:val="0099002B"/>
    <w:rsid w:val="00991364"/>
    <w:rsid w:val="00994B78"/>
    <w:rsid w:val="009A1674"/>
    <w:rsid w:val="009A2E4C"/>
    <w:rsid w:val="009A5E45"/>
    <w:rsid w:val="009B2DEA"/>
    <w:rsid w:val="009B3CA6"/>
    <w:rsid w:val="009B7B40"/>
    <w:rsid w:val="009C2959"/>
    <w:rsid w:val="009D0001"/>
    <w:rsid w:val="009D074C"/>
    <w:rsid w:val="009D7088"/>
    <w:rsid w:val="009E289C"/>
    <w:rsid w:val="009E7A66"/>
    <w:rsid w:val="009F2B4F"/>
    <w:rsid w:val="009F66B5"/>
    <w:rsid w:val="009F7FBC"/>
    <w:rsid w:val="00A118DA"/>
    <w:rsid w:val="00A12332"/>
    <w:rsid w:val="00A20A7D"/>
    <w:rsid w:val="00A35D42"/>
    <w:rsid w:val="00A365FC"/>
    <w:rsid w:val="00A45A9E"/>
    <w:rsid w:val="00A45EB2"/>
    <w:rsid w:val="00A46CCF"/>
    <w:rsid w:val="00A5733C"/>
    <w:rsid w:val="00A653F6"/>
    <w:rsid w:val="00A70426"/>
    <w:rsid w:val="00A73496"/>
    <w:rsid w:val="00A81000"/>
    <w:rsid w:val="00A823AD"/>
    <w:rsid w:val="00A91E9A"/>
    <w:rsid w:val="00A9326F"/>
    <w:rsid w:val="00A93ED9"/>
    <w:rsid w:val="00A94876"/>
    <w:rsid w:val="00A97E1A"/>
    <w:rsid w:val="00AA6026"/>
    <w:rsid w:val="00AB06C8"/>
    <w:rsid w:val="00AB2D0D"/>
    <w:rsid w:val="00AC3D09"/>
    <w:rsid w:val="00AC6A99"/>
    <w:rsid w:val="00AD0028"/>
    <w:rsid w:val="00AD57D5"/>
    <w:rsid w:val="00AE0CEC"/>
    <w:rsid w:val="00AE3129"/>
    <w:rsid w:val="00AE339A"/>
    <w:rsid w:val="00AE79C9"/>
    <w:rsid w:val="00AE7C8C"/>
    <w:rsid w:val="00AF5582"/>
    <w:rsid w:val="00AF55D2"/>
    <w:rsid w:val="00B01505"/>
    <w:rsid w:val="00B055EF"/>
    <w:rsid w:val="00B23769"/>
    <w:rsid w:val="00B27978"/>
    <w:rsid w:val="00B27B2F"/>
    <w:rsid w:val="00B37776"/>
    <w:rsid w:val="00B45ED8"/>
    <w:rsid w:val="00B5081E"/>
    <w:rsid w:val="00B541E3"/>
    <w:rsid w:val="00B6576B"/>
    <w:rsid w:val="00B71F80"/>
    <w:rsid w:val="00B738DC"/>
    <w:rsid w:val="00B7401D"/>
    <w:rsid w:val="00B806C3"/>
    <w:rsid w:val="00B84DDF"/>
    <w:rsid w:val="00B936D0"/>
    <w:rsid w:val="00B945D6"/>
    <w:rsid w:val="00B959F9"/>
    <w:rsid w:val="00BA0D25"/>
    <w:rsid w:val="00BB1D4C"/>
    <w:rsid w:val="00BB3F58"/>
    <w:rsid w:val="00BB6A74"/>
    <w:rsid w:val="00BC20AD"/>
    <w:rsid w:val="00BD1107"/>
    <w:rsid w:val="00BD5E7B"/>
    <w:rsid w:val="00BE3600"/>
    <w:rsid w:val="00BE55CB"/>
    <w:rsid w:val="00BF6ABD"/>
    <w:rsid w:val="00C01F6F"/>
    <w:rsid w:val="00C06C4E"/>
    <w:rsid w:val="00C149AB"/>
    <w:rsid w:val="00C22AA5"/>
    <w:rsid w:val="00C40694"/>
    <w:rsid w:val="00C4138F"/>
    <w:rsid w:val="00C53B02"/>
    <w:rsid w:val="00C61647"/>
    <w:rsid w:val="00C70542"/>
    <w:rsid w:val="00C72A03"/>
    <w:rsid w:val="00C74D8B"/>
    <w:rsid w:val="00C75CBF"/>
    <w:rsid w:val="00C81333"/>
    <w:rsid w:val="00C87227"/>
    <w:rsid w:val="00C900C7"/>
    <w:rsid w:val="00C90834"/>
    <w:rsid w:val="00C93220"/>
    <w:rsid w:val="00CA7C10"/>
    <w:rsid w:val="00CB270D"/>
    <w:rsid w:val="00CC2894"/>
    <w:rsid w:val="00CD1BC5"/>
    <w:rsid w:val="00CD2BF4"/>
    <w:rsid w:val="00CD77C3"/>
    <w:rsid w:val="00CE112C"/>
    <w:rsid w:val="00CE1DC9"/>
    <w:rsid w:val="00D058F8"/>
    <w:rsid w:val="00D1396D"/>
    <w:rsid w:val="00D17DDC"/>
    <w:rsid w:val="00D377F4"/>
    <w:rsid w:val="00D4263A"/>
    <w:rsid w:val="00D45A2F"/>
    <w:rsid w:val="00D56340"/>
    <w:rsid w:val="00D608DA"/>
    <w:rsid w:val="00D637C1"/>
    <w:rsid w:val="00D730BF"/>
    <w:rsid w:val="00D74F00"/>
    <w:rsid w:val="00D868DD"/>
    <w:rsid w:val="00DA30AC"/>
    <w:rsid w:val="00DA48E7"/>
    <w:rsid w:val="00DA7467"/>
    <w:rsid w:val="00DC066A"/>
    <w:rsid w:val="00DC0CC0"/>
    <w:rsid w:val="00DC4E04"/>
    <w:rsid w:val="00DC6C02"/>
    <w:rsid w:val="00DC7275"/>
    <w:rsid w:val="00DC76C7"/>
    <w:rsid w:val="00DD09AB"/>
    <w:rsid w:val="00DD09F5"/>
    <w:rsid w:val="00DD4201"/>
    <w:rsid w:val="00DD712D"/>
    <w:rsid w:val="00DE1BA7"/>
    <w:rsid w:val="00DE3987"/>
    <w:rsid w:val="00DE5711"/>
    <w:rsid w:val="00DF3E18"/>
    <w:rsid w:val="00DF5963"/>
    <w:rsid w:val="00E00EA0"/>
    <w:rsid w:val="00E016A1"/>
    <w:rsid w:val="00E07150"/>
    <w:rsid w:val="00E162D6"/>
    <w:rsid w:val="00E1654B"/>
    <w:rsid w:val="00E21033"/>
    <w:rsid w:val="00E2657E"/>
    <w:rsid w:val="00E26758"/>
    <w:rsid w:val="00E34AD5"/>
    <w:rsid w:val="00E370E9"/>
    <w:rsid w:val="00E4357B"/>
    <w:rsid w:val="00E476BA"/>
    <w:rsid w:val="00E50F97"/>
    <w:rsid w:val="00E51AD2"/>
    <w:rsid w:val="00E62A7D"/>
    <w:rsid w:val="00E63B46"/>
    <w:rsid w:val="00E63DE5"/>
    <w:rsid w:val="00E65A37"/>
    <w:rsid w:val="00E740E3"/>
    <w:rsid w:val="00E77B48"/>
    <w:rsid w:val="00E822E8"/>
    <w:rsid w:val="00E82E70"/>
    <w:rsid w:val="00E9008D"/>
    <w:rsid w:val="00E91799"/>
    <w:rsid w:val="00E94742"/>
    <w:rsid w:val="00EA1B74"/>
    <w:rsid w:val="00EA34E3"/>
    <w:rsid w:val="00EB17BC"/>
    <w:rsid w:val="00EB7538"/>
    <w:rsid w:val="00EC377E"/>
    <w:rsid w:val="00EC559B"/>
    <w:rsid w:val="00ED1FA4"/>
    <w:rsid w:val="00EE0E01"/>
    <w:rsid w:val="00EF43BB"/>
    <w:rsid w:val="00EF5644"/>
    <w:rsid w:val="00F02C0B"/>
    <w:rsid w:val="00F040C7"/>
    <w:rsid w:val="00F06B16"/>
    <w:rsid w:val="00F16C29"/>
    <w:rsid w:val="00F207A4"/>
    <w:rsid w:val="00F355AC"/>
    <w:rsid w:val="00F57DC6"/>
    <w:rsid w:val="00F668EC"/>
    <w:rsid w:val="00F71A5A"/>
    <w:rsid w:val="00F769E0"/>
    <w:rsid w:val="00F81B1E"/>
    <w:rsid w:val="00F90938"/>
    <w:rsid w:val="00F93E03"/>
    <w:rsid w:val="00FA051A"/>
    <w:rsid w:val="00FB2011"/>
    <w:rsid w:val="00FC3517"/>
    <w:rsid w:val="00FC400A"/>
    <w:rsid w:val="00FC6243"/>
    <w:rsid w:val="00FC6BDE"/>
    <w:rsid w:val="00FD5303"/>
    <w:rsid w:val="00FD5A03"/>
    <w:rsid w:val="00FD63AC"/>
    <w:rsid w:val="00FE04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6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TMLPreformatted">
    <w:name w:val="HTML Preformatted"/>
    <w:basedOn w:val="Normal"/>
    <w:rsid w:val="0043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rsid w:val="004F3AB0"/>
    <w:rPr>
      <w:color w:val="0000FF"/>
      <w:u w:val="single"/>
    </w:rPr>
  </w:style>
  <w:style w:type="character" w:styleId="CommentReference">
    <w:name w:val="annotation reference"/>
    <w:semiHidden/>
    <w:rsid w:val="00675FED"/>
    <w:rPr>
      <w:sz w:val="16"/>
      <w:szCs w:val="16"/>
    </w:rPr>
  </w:style>
  <w:style w:type="paragraph" w:styleId="CommentText">
    <w:name w:val="annotation text"/>
    <w:basedOn w:val="Normal"/>
    <w:semiHidden/>
    <w:rsid w:val="00675FED"/>
    <w:rPr>
      <w:sz w:val="20"/>
      <w:szCs w:val="20"/>
    </w:rPr>
  </w:style>
  <w:style w:type="paragraph" w:styleId="CommentSubject">
    <w:name w:val="annotation subject"/>
    <w:basedOn w:val="CommentText"/>
    <w:next w:val="CommentText"/>
    <w:semiHidden/>
    <w:rsid w:val="00675FED"/>
    <w:rPr>
      <w:b/>
      <w:bCs/>
    </w:rPr>
  </w:style>
  <w:style w:type="character" w:styleId="FollowedHyperlink">
    <w:name w:val="FollowedHyperlink"/>
    <w:rsid w:val="00C93220"/>
    <w:rPr>
      <w:color w:val="800080"/>
      <w:u w:val="single"/>
    </w:rPr>
  </w:style>
  <w:style w:type="paragraph" w:styleId="Header">
    <w:name w:val="header"/>
    <w:basedOn w:val="Normal"/>
    <w:link w:val="HeaderChar"/>
    <w:rsid w:val="00E016A1"/>
    <w:pPr>
      <w:tabs>
        <w:tab w:val="center" w:pos="4680"/>
        <w:tab w:val="right" w:pos="9360"/>
      </w:tabs>
    </w:pPr>
  </w:style>
  <w:style w:type="character" w:customStyle="1" w:styleId="HeaderChar">
    <w:name w:val="Header Char"/>
    <w:basedOn w:val="DefaultParagraphFont"/>
    <w:link w:val="Header"/>
    <w:rsid w:val="00E016A1"/>
    <w:rPr>
      <w:sz w:val="24"/>
      <w:szCs w:val="24"/>
    </w:rPr>
  </w:style>
  <w:style w:type="character" w:customStyle="1" w:styleId="UnresolvedMention1">
    <w:name w:val="Unresolved Mention1"/>
    <w:basedOn w:val="DefaultParagraphFont"/>
    <w:uiPriority w:val="99"/>
    <w:semiHidden/>
    <w:unhideWhenUsed/>
    <w:rsid w:val="00D74F00"/>
    <w:rPr>
      <w:color w:val="605E5C"/>
      <w:shd w:val="clear" w:color="auto" w:fill="E1DFDD"/>
    </w:rPr>
  </w:style>
  <w:style w:type="character" w:styleId="UnresolvedMention">
    <w:name w:val="Unresolved Mention"/>
    <w:basedOn w:val="DefaultParagraphFont"/>
    <w:uiPriority w:val="99"/>
    <w:semiHidden/>
    <w:unhideWhenUsed/>
    <w:rsid w:val="001A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patients/learn-about-expanded-access-and-other-treatment-options/right-try-annual-reporting-summary" TargetMode="External" /><Relationship Id="rId6" Type="http://schemas.openxmlformats.org/officeDocument/2006/relationships/hyperlink" Target="https://www.fda.gov/patients/learn-about-expanded-access-and-other-treatment-options/right-try"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C761-5DB8-4097-BFFE-3BC43BCE5160}">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2025-12-02T17:39:00Z</dcterms:created>
  <dcterms:modified xsi:type="dcterms:W3CDTF">2025-12-02T18:15:00Z</dcterms:modified>
</cp:coreProperties>
</file>