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D72D93" w14:paraId="651256C6" w14:textId="76D2B82A">
      <w:pPr>
        <w:jc w:val="center"/>
        <w:rPr>
          <w:rFonts w:eastAsia="Calibri"/>
        </w:rPr>
      </w:pPr>
      <w:r w:rsidRPr="00357C8A">
        <w:rPr>
          <w:rFonts w:eastAsia="Calibri"/>
        </w:rPr>
        <w:t xml:space="preserve">UNITED STATES FOOD </w:t>
      </w:r>
      <w:r w:rsidR="00D72D93">
        <w:rPr>
          <w:rFonts w:eastAsia="Calibri"/>
        </w:rPr>
        <w:t xml:space="preserve">&amp; </w:t>
      </w:r>
      <w:r w:rsidRPr="00357C8A">
        <w:rPr>
          <w:rFonts w:eastAsia="Calibri"/>
        </w:rPr>
        <w:t>DRUG ADMINISTRATION</w:t>
      </w:r>
    </w:p>
    <w:p w:rsidR="00357C8A" w:rsidP="00D15EA0" w14:paraId="0B97C725" w14:textId="77777777">
      <w:pPr>
        <w:jc w:val="center"/>
        <w:rPr>
          <w:rFonts w:eastAsia="Calibri"/>
        </w:rPr>
      </w:pPr>
    </w:p>
    <w:p w:rsidR="00357C8A" w:rsidP="00D15EA0" w14:paraId="58BF886B" w14:textId="77777777">
      <w:pPr>
        <w:jc w:val="center"/>
        <w:rPr>
          <w:rFonts w:eastAsia="Calibri"/>
        </w:rPr>
      </w:pPr>
      <w:bookmarkStart w:id="0" w:name="_Hlk197455973"/>
      <w:r w:rsidRPr="0096739D">
        <w:rPr>
          <w:rFonts w:eastAsia="Calibri"/>
        </w:rPr>
        <w:t>Mitigation Strategies to Protect Food Against Intentional Adulteration</w:t>
      </w:r>
    </w:p>
    <w:bookmarkEnd w:id="0"/>
    <w:p w:rsidR="00136A60" w:rsidP="00D15EA0" w14:paraId="46E150A1" w14:textId="77777777">
      <w:pPr>
        <w:jc w:val="center"/>
        <w:rPr>
          <w:rFonts w:eastAsia="Calibri"/>
        </w:rPr>
      </w:pPr>
    </w:p>
    <w:p w:rsidR="00357C8A" w:rsidRPr="00D72D93" w:rsidP="00D15EA0" w14:paraId="4CDF0F92" w14:textId="4387F336">
      <w:pPr>
        <w:jc w:val="center"/>
        <w:rPr>
          <w:rFonts w:eastAsia="Calibri"/>
          <w:u w:val="single"/>
        </w:rPr>
      </w:pPr>
      <w:r w:rsidRPr="00D72D93">
        <w:rPr>
          <w:rFonts w:eastAsia="Calibri"/>
          <w:u w:val="single"/>
        </w:rPr>
        <w:t>OMB Control No. 0910-</w:t>
      </w:r>
      <w:r w:rsidRPr="00D72D93" w:rsidR="0096739D">
        <w:rPr>
          <w:rFonts w:eastAsia="Calibri"/>
          <w:u w:val="single"/>
        </w:rPr>
        <w:t>0812</w:t>
      </w:r>
      <w:r w:rsidRPr="00D72D93" w:rsidR="00D72D93">
        <w:rPr>
          <w:rFonts w:eastAsia="Calibri"/>
          <w:u w:val="single"/>
        </w:rPr>
        <w:t xml:space="preserve"> - Reinstatement</w:t>
      </w:r>
    </w:p>
    <w:p w:rsidR="00357C8A" w:rsidP="00D15EA0" w14:paraId="24654123" w14:textId="77777777">
      <w:pPr>
        <w:jc w:val="center"/>
        <w:rPr>
          <w:rFonts w:eastAsia="Calibri"/>
        </w:rPr>
      </w:pPr>
    </w:p>
    <w:p w:rsidR="009B4DF2" w:rsidP="00D15EA0" w14:paraId="70B3FD6F" w14:textId="6AAA0A3A">
      <w:pPr>
        <w:jc w:val="center"/>
        <w:rPr>
          <w:rFonts w:eastAsia="Calibri"/>
        </w:rPr>
      </w:pPr>
      <w:r w:rsidRPr="00357C8A">
        <w:rPr>
          <w:rFonts w:eastAsia="Calibri"/>
        </w:rPr>
        <w:t>SUPPORTING STATEMENT</w:t>
      </w:r>
    </w:p>
    <w:p w:rsidR="00B73995" w:rsidP="00D15EA0" w14:paraId="22E84E3F" w14:textId="77777777">
      <w:pPr>
        <w:jc w:val="center"/>
        <w:rPr>
          <w:rFonts w:eastAsia="Calibri"/>
        </w:rPr>
      </w:pPr>
    </w:p>
    <w:p w:rsidR="00357C8A" w:rsidP="00D15EA0" w14:paraId="440E6D1B" w14:textId="77777777">
      <w:pPr>
        <w:rPr>
          <w:rFonts w:eastAsia="Calibri"/>
        </w:rPr>
      </w:pPr>
      <w:r w:rsidRPr="00357C8A">
        <w:rPr>
          <w:rFonts w:eastAsia="Calibri"/>
          <w:b/>
        </w:rPr>
        <w:t>Part A:  Justification</w:t>
      </w:r>
      <w:r w:rsidRPr="00357C8A">
        <w:rPr>
          <w:rFonts w:eastAsia="Calibri"/>
        </w:rPr>
        <w:t>:</w:t>
      </w:r>
    </w:p>
    <w:p w:rsidR="000D79CC" w:rsidRPr="00357C8A" w:rsidP="00D15EA0" w14:paraId="787C804B" w14:textId="77777777">
      <w:pPr>
        <w:rPr>
          <w:rFonts w:eastAsia="Calibri"/>
        </w:rPr>
      </w:pPr>
    </w:p>
    <w:p w:rsidR="00357C8A" w:rsidRPr="00357C8A" w:rsidP="00D15EA0" w14:paraId="5B52B521"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96739D" w:rsidP="00D15EA0" w14:paraId="0EFBA4CF" w14:textId="77777777">
      <w:pPr>
        <w:rPr>
          <w:rFonts w:eastAsia="Calibri"/>
        </w:rPr>
      </w:pPr>
      <w:r w:rsidRPr="00D14F37">
        <w:rPr>
          <w:rFonts w:eastAsia="Calibri"/>
        </w:rPr>
        <w:t>This information collection supports Food and Drug Administration (FDA, the agency, us or we)</w:t>
      </w:r>
      <w:r>
        <w:rPr>
          <w:rFonts w:eastAsia="Calibri"/>
        </w:rPr>
        <w:t xml:space="preserve"> </w:t>
      </w:r>
      <w:r w:rsidRPr="00D14F37">
        <w:rPr>
          <w:rFonts w:eastAsia="Calibri"/>
        </w:rPr>
        <w:t xml:space="preserve">regulations. </w:t>
      </w:r>
      <w:r>
        <w:rPr>
          <w:rFonts w:eastAsia="Calibri"/>
        </w:rPr>
        <w:t xml:space="preserve"> Under t</w:t>
      </w:r>
      <w:r w:rsidRPr="00D14F37">
        <w:rPr>
          <w:rFonts w:eastAsia="Calibri"/>
        </w:rPr>
        <w:t>he Federal Food, Drug, and Cosmetic Act</w:t>
      </w:r>
      <w:r>
        <w:rPr>
          <w:rFonts w:eastAsia="Calibri"/>
        </w:rPr>
        <w:t xml:space="preserve"> </w:t>
      </w:r>
      <w:r w:rsidRPr="00591541">
        <w:rPr>
          <w:rFonts w:eastAsia="Calibri"/>
        </w:rPr>
        <w:t>(FD&amp;C</w:t>
      </w:r>
      <w:r>
        <w:rPr>
          <w:rFonts w:eastAsia="Calibri"/>
        </w:rPr>
        <w:t xml:space="preserve"> Act</w:t>
      </w:r>
      <w:r w:rsidRPr="00591541">
        <w:rPr>
          <w:rFonts w:eastAsia="Calibri"/>
        </w:rPr>
        <w:t>)</w:t>
      </w:r>
      <w:r w:rsidRPr="00D14F37">
        <w:rPr>
          <w:rFonts w:eastAsia="Calibri"/>
        </w:rPr>
        <w:t xml:space="preserve">, </w:t>
      </w:r>
      <w:r w:rsidR="003B18EC">
        <w:rPr>
          <w:rFonts w:eastAsia="Calibri"/>
        </w:rPr>
        <w:t xml:space="preserve">as amended by the FDA Food Safety Modernization Act (FSMA), </w:t>
      </w:r>
      <w:r>
        <w:rPr>
          <w:rFonts w:eastAsia="Calibri"/>
        </w:rPr>
        <w:t xml:space="preserve">certain provisions </w:t>
      </w:r>
      <w:r w:rsidRPr="00D14F37">
        <w:rPr>
          <w:rFonts w:eastAsia="Calibri"/>
        </w:rPr>
        <w:t>protect against the</w:t>
      </w:r>
      <w:r>
        <w:rPr>
          <w:rFonts w:eastAsia="Calibri"/>
        </w:rPr>
        <w:t xml:space="preserve"> </w:t>
      </w:r>
      <w:r w:rsidRPr="00D14F37">
        <w:rPr>
          <w:rFonts w:eastAsia="Calibri"/>
        </w:rPr>
        <w:t xml:space="preserve">intentional adulteration of food. </w:t>
      </w:r>
      <w:r>
        <w:rPr>
          <w:rFonts w:eastAsia="Calibri"/>
        </w:rPr>
        <w:t xml:space="preserve"> </w:t>
      </w:r>
      <w:r w:rsidRPr="00D14F37">
        <w:rPr>
          <w:rFonts w:eastAsia="Calibri"/>
        </w:rPr>
        <w:t>Section 418 of the FD&amp;C Act (21 U.S.C. 350g) addresses</w:t>
      </w:r>
      <w:r>
        <w:rPr>
          <w:rFonts w:eastAsia="Calibri"/>
        </w:rPr>
        <w:t xml:space="preserve"> </w:t>
      </w:r>
      <w:r w:rsidRPr="00D14F37">
        <w:rPr>
          <w:rFonts w:eastAsia="Calibri"/>
        </w:rPr>
        <w:t>intentional adulteration in the context of facilities that manufacture, process, pack, or hold food</w:t>
      </w:r>
      <w:r>
        <w:rPr>
          <w:rFonts w:eastAsia="Calibri"/>
        </w:rPr>
        <w:t xml:space="preserve"> </w:t>
      </w:r>
      <w:r w:rsidRPr="00D14F37">
        <w:rPr>
          <w:rFonts w:eastAsia="Calibri"/>
        </w:rPr>
        <w:t xml:space="preserve">and are required to register under section 415 of the FD&amp;C Act (21 U.S.C. 350d). </w:t>
      </w:r>
      <w:r>
        <w:rPr>
          <w:rFonts w:eastAsia="Calibri"/>
        </w:rPr>
        <w:t xml:space="preserve"> </w:t>
      </w:r>
      <w:r w:rsidRPr="00D14F37">
        <w:rPr>
          <w:rFonts w:eastAsia="Calibri"/>
        </w:rPr>
        <w:t>Section 419</w:t>
      </w:r>
      <w:r>
        <w:rPr>
          <w:rFonts w:eastAsia="Calibri"/>
        </w:rPr>
        <w:t xml:space="preserve"> </w:t>
      </w:r>
      <w:r w:rsidRPr="00D14F37">
        <w:rPr>
          <w:rFonts w:eastAsia="Calibri"/>
        </w:rPr>
        <w:t>of the FD&amp;C Act (21 U.S.C. 350h) addresses intentional adulteration in the context of fruits and</w:t>
      </w:r>
      <w:r>
        <w:rPr>
          <w:rFonts w:eastAsia="Calibri"/>
        </w:rPr>
        <w:t xml:space="preserve"> </w:t>
      </w:r>
      <w:r w:rsidRPr="00D14F37">
        <w:rPr>
          <w:rFonts w:eastAsia="Calibri"/>
        </w:rPr>
        <w:t xml:space="preserve">vegetables that are raw agricultural commodities. </w:t>
      </w:r>
      <w:r>
        <w:rPr>
          <w:rFonts w:eastAsia="Calibri"/>
        </w:rPr>
        <w:t xml:space="preserve"> </w:t>
      </w:r>
      <w:r w:rsidRPr="00D14F37">
        <w:rPr>
          <w:rFonts w:eastAsia="Calibri"/>
        </w:rPr>
        <w:t>Section 420 of the FD&amp;C Act (21 U.S.C.</w:t>
      </w:r>
      <w:r>
        <w:rPr>
          <w:rFonts w:eastAsia="Calibri"/>
        </w:rPr>
        <w:t xml:space="preserve"> </w:t>
      </w:r>
      <w:r w:rsidRPr="00D14F37">
        <w:rPr>
          <w:rFonts w:eastAsia="Calibri"/>
        </w:rPr>
        <w:t>350i) addresses intentional adulteration in the context of high-risk foods and exempts farms</w:t>
      </w:r>
      <w:r>
        <w:rPr>
          <w:rFonts w:eastAsia="Calibri"/>
        </w:rPr>
        <w:t xml:space="preserve"> </w:t>
      </w:r>
      <w:r w:rsidRPr="00D14F37">
        <w:rPr>
          <w:rFonts w:eastAsia="Calibri"/>
        </w:rPr>
        <w:t xml:space="preserve">except for farms that produce milk. </w:t>
      </w:r>
      <w:r>
        <w:rPr>
          <w:rFonts w:eastAsia="Calibri"/>
        </w:rPr>
        <w:t xml:space="preserve"> </w:t>
      </w:r>
      <w:r w:rsidRPr="00D14F37">
        <w:rPr>
          <w:rFonts w:eastAsia="Calibri"/>
        </w:rPr>
        <w:t>T</w:t>
      </w:r>
      <w:r>
        <w:rPr>
          <w:rFonts w:eastAsia="Calibri"/>
        </w:rPr>
        <w:t xml:space="preserve">hese provisions are </w:t>
      </w:r>
      <w:r w:rsidRPr="00D14F37">
        <w:rPr>
          <w:rFonts w:eastAsia="Calibri"/>
        </w:rPr>
        <w:t>codified at</w:t>
      </w:r>
      <w:r>
        <w:rPr>
          <w:rFonts w:eastAsia="Calibri"/>
        </w:rPr>
        <w:t xml:space="preserve"> </w:t>
      </w:r>
      <w:r w:rsidRPr="00D14F37">
        <w:rPr>
          <w:rFonts w:eastAsia="Calibri"/>
        </w:rPr>
        <w:t>21 CFR part 121</w:t>
      </w:r>
      <w:r>
        <w:rPr>
          <w:rFonts w:eastAsia="Calibri"/>
        </w:rPr>
        <w:t xml:space="preserve"> and include requirements that an owner, </w:t>
      </w:r>
      <w:r w:rsidRPr="00D14F37">
        <w:rPr>
          <w:rFonts w:eastAsia="Calibri"/>
        </w:rPr>
        <w:t>operator, or agent in charge</w:t>
      </w:r>
      <w:r>
        <w:rPr>
          <w:rFonts w:eastAsia="Calibri"/>
        </w:rPr>
        <w:t xml:space="preserve"> must</w:t>
      </w:r>
      <w:r w:rsidRPr="00D14F37">
        <w:rPr>
          <w:rFonts w:eastAsia="Calibri"/>
        </w:rPr>
        <w:t>:</w:t>
      </w:r>
      <w:r>
        <w:rPr>
          <w:rFonts w:eastAsia="Calibri"/>
        </w:rPr>
        <w:t xml:space="preserve"> </w:t>
      </w:r>
    </w:p>
    <w:p w:rsidR="0096739D" w:rsidRPr="0008008E" w:rsidP="00D15EA0" w14:paraId="66EE494D" w14:textId="77777777">
      <w:pPr>
        <w:rPr>
          <w:rFonts w:eastAsia="Calibri"/>
          <w:color w:val="000000"/>
        </w:rPr>
      </w:pPr>
    </w:p>
    <w:p w:rsidR="0096739D" w:rsidP="00D72D93" w14:paraId="5E7F0056" w14:textId="77777777">
      <w:pPr>
        <w:ind w:left="720" w:hanging="360"/>
        <w:rPr>
          <w:rFonts w:eastAsia="Calibri"/>
        </w:rPr>
      </w:pPr>
      <w:r w:rsidRPr="00D14F37">
        <w:rPr>
          <w:rFonts w:eastAsia="Calibri"/>
        </w:rPr>
        <w:t xml:space="preserve">o </w:t>
      </w:r>
      <w:r>
        <w:rPr>
          <w:rFonts w:eastAsia="Calibri"/>
        </w:rPr>
        <w:tab/>
      </w:r>
      <w:r w:rsidRPr="00D14F37">
        <w:rPr>
          <w:rFonts w:eastAsia="Calibri"/>
        </w:rPr>
        <w:t>prepare and implement a written food defense plan that includes a vulnerability</w:t>
      </w:r>
      <w:r>
        <w:rPr>
          <w:rFonts w:eastAsia="Calibri"/>
        </w:rPr>
        <w:t xml:space="preserve"> </w:t>
      </w:r>
      <w:r w:rsidRPr="00D14F37">
        <w:rPr>
          <w:rFonts w:eastAsia="Calibri"/>
        </w:rPr>
        <w:t>assessment to identify significant vulnerabilities and actionable process steps,</w:t>
      </w:r>
      <w:r>
        <w:rPr>
          <w:rFonts w:eastAsia="Calibri"/>
        </w:rPr>
        <w:t xml:space="preserve"> </w:t>
      </w:r>
      <w:r w:rsidRPr="00D14F37">
        <w:rPr>
          <w:rFonts w:eastAsia="Calibri"/>
        </w:rPr>
        <w:t>mitigation strategies, and procedures for food defense monitoring, corrective</w:t>
      </w:r>
      <w:r>
        <w:rPr>
          <w:rFonts w:eastAsia="Calibri"/>
        </w:rPr>
        <w:t xml:space="preserve"> </w:t>
      </w:r>
      <w:r w:rsidRPr="00D14F37">
        <w:rPr>
          <w:rFonts w:eastAsia="Calibri"/>
        </w:rPr>
        <w:t>actions, and verification (§ 121.126);</w:t>
      </w:r>
    </w:p>
    <w:p w:rsidR="0096739D" w:rsidRPr="00D14F37" w:rsidP="00D15EA0" w14:paraId="493CDCA0" w14:textId="77777777">
      <w:pPr>
        <w:ind w:left="360"/>
        <w:rPr>
          <w:rFonts w:eastAsia="Calibri"/>
        </w:rPr>
      </w:pPr>
    </w:p>
    <w:p w:rsidR="0096739D" w:rsidP="00D72D93" w14:paraId="3EE8C9DB" w14:textId="77777777">
      <w:pPr>
        <w:ind w:left="720" w:hanging="360"/>
        <w:rPr>
          <w:rFonts w:eastAsia="Calibri"/>
        </w:rPr>
      </w:pPr>
      <w:r w:rsidRPr="00D14F37">
        <w:rPr>
          <w:rFonts w:eastAsia="Calibri"/>
        </w:rPr>
        <w:t xml:space="preserve">o </w:t>
      </w:r>
      <w:r>
        <w:rPr>
          <w:rFonts w:eastAsia="Calibri"/>
        </w:rPr>
        <w:tab/>
      </w:r>
      <w:r w:rsidRPr="00D14F37">
        <w:rPr>
          <w:rFonts w:eastAsia="Calibri"/>
        </w:rPr>
        <w:t>identify any significant vulnerabilities and actionable process steps by conducting</w:t>
      </w:r>
      <w:r>
        <w:rPr>
          <w:rFonts w:eastAsia="Calibri"/>
        </w:rPr>
        <w:t xml:space="preserve"> </w:t>
      </w:r>
      <w:r w:rsidRPr="00D14F37">
        <w:rPr>
          <w:rFonts w:eastAsia="Calibri"/>
        </w:rPr>
        <w:t>a vulnerability assessment for each type of food manufactured, processed, packed,</w:t>
      </w:r>
      <w:r>
        <w:rPr>
          <w:rFonts w:eastAsia="Calibri"/>
        </w:rPr>
        <w:t xml:space="preserve"> </w:t>
      </w:r>
      <w:r w:rsidRPr="00D14F37">
        <w:rPr>
          <w:rFonts w:eastAsia="Calibri"/>
        </w:rPr>
        <w:t>or held at the facility using appropriate methods to evaluate each point, step, or</w:t>
      </w:r>
      <w:r>
        <w:rPr>
          <w:rFonts w:eastAsia="Calibri"/>
        </w:rPr>
        <w:t xml:space="preserve"> </w:t>
      </w:r>
      <w:r w:rsidRPr="00D14F37">
        <w:rPr>
          <w:rFonts w:eastAsia="Calibri"/>
        </w:rPr>
        <w:t>procedure in a food operation (§ 121.130);</w:t>
      </w:r>
    </w:p>
    <w:p w:rsidR="0096739D" w:rsidRPr="00D14F37" w:rsidP="00D15EA0" w14:paraId="0394A756" w14:textId="77777777">
      <w:pPr>
        <w:ind w:left="360"/>
        <w:rPr>
          <w:rFonts w:eastAsia="Calibri"/>
        </w:rPr>
      </w:pPr>
    </w:p>
    <w:p w:rsidR="0096739D" w:rsidP="00D72D93" w14:paraId="78E43A5F" w14:textId="77777777">
      <w:pPr>
        <w:ind w:left="720" w:hanging="360"/>
        <w:rPr>
          <w:rFonts w:eastAsia="Calibri"/>
        </w:rPr>
      </w:pPr>
      <w:r w:rsidRPr="00D14F37">
        <w:rPr>
          <w:rFonts w:eastAsia="Calibri"/>
        </w:rPr>
        <w:t xml:space="preserve">o </w:t>
      </w:r>
      <w:r>
        <w:rPr>
          <w:rFonts w:eastAsia="Calibri"/>
        </w:rPr>
        <w:tab/>
      </w:r>
      <w:r w:rsidRPr="00D14F37">
        <w:rPr>
          <w:rFonts w:eastAsia="Calibri"/>
        </w:rPr>
        <w:t>identify and implement mitigation strategies at each actionable process step to</w:t>
      </w:r>
      <w:r>
        <w:rPr>
          <w:rFonts w:eastAsia="Calibri"/>
        </w:rPr>
        <w:t xml:space="preserve"> </w:t>
      </w:r>
      <w:r w:rsidRPr="00D14F37">
        <w:rPr>
          <w:rFonts w:eastAsia="Calibri"/>
        </w:rPr>
        <w:t>provide assurances that the significant vulnerability at each step will be</w:t>
      </w:r>
      <w:r>
        <w:rPr>
          <w:rFonts w:eastAsia="Calibri"/>
        </w:rPr>
        <w:t xml:space="preserve"> </w:t>
      </w:r>
      <w:r w:rsidRPr="00D14F37">
        <w:rPr>
          <w:rFonts w:eastAsia="Calibri"/>
        </w:rPr>
        <w:t>significantly minimized or prevented and the food manufactured, processed,</w:t>
      </w:r>
      <w:r>
        <w:rPr>
          <w:rFonts w:eastAsia="Calibri"/>
        </w:rPr>
        <w:t xml:space="preserve"> </w:t>
      </w:r>
      <w:r w:rsidRPr="00D14F37">
        <w:rPr>
          <w:rFonts w:eastAsia="Calibri"/>
        </w:rPr>
        <w:t xml:space="preserve">packed, or held by the facility will not be adulterated. </w:t>
      </w:r>
      <w:r>
        <w:rPr>
          <w:rFonts w:eastAsia="Calibri"/>
        </w:rPr>
        <w:t xml:space="preserve"> </w:t>
      </w:r>
      <w:r w:rsidRPr="00D14F37">
        <w:rPr>
          <w:rFonts w:eastAsia="Calibri"/>
        </w:rPr>
        <w:t>For each mitigation</w:t>
      </w:r>
      <w:r>
        <w:rPr>
          <w:rFonts w:eastAsia="Calibri"/>
        </w:rPr>
        <w:t xml:space="preserve"> </w:t>
      </w:r>
      <w:r w:rsidRPr="00D14F37">
        <w:rPr>
          <w:rFonts w:eastAsia="Calibri"/>
        </w:rPr>
        <w:t>strategy implemented at each actionable process step, include a written</w:t>
      </w:r>
      <w:r>
        <w:rPr>
          <w:rFonts w:eastAsia="Calibri"/>
        </w:rPr>
        <w:t xml:space="preserve"> </w:t>
      </w:r>
      <w:r w:rsidRPr="00D14F37">
        <w:rPr>
          <w:rFonts w:eastAsia="Calibri"/>
        </w:rPr>
        <w:t>explanation of how the mitigation strategy sufficiently minimizes or prevents the</w:t>
      </w:r>
      <w:r>
        <w:rPr>
          <w:rFonts w:eastAsia="Calibri"/>
        </w:rPr>
        <w:t xml:space="preserve"> </w:t>
      </w:r>
      <w:r w:rsidRPr="00D14F37">
        <w:rPr>
          <w:rFonts w:eastAsia="Calibri"/>
        </w:rPr>
        <w:t>significant vulnerability associated with the actionable process step (§ 121.135);</w:t>
      </w:r>
    </w:p>
    <w:p w:rsidR="0096739D" w:rsidRPr="00D14F37" w:rsidP="00D15EA0" w14:paraId="66A04E30" w14:textId="77777777">
      <w:pPr>
        <w:ind w:left="360"/>
        <w:rPr>
          <w:rFonts w:eastAsia="Calibri"/>
        </w:rPr>
      </w:pPr>
    </w:p>
    <w:p w:rsidR="0096739D" w:rsidP="00D72D93" w14:paraId="2EE4750F" w14:textId="77777777">
      <w:pPr>
        <w:ind w:left="720" w:hanging="360"/>
        <w:rPr>
          <w:rFonts w:eastAsia="Calibri"/>
        </w:rPr>
      </w:pPr>
      <w:r w:rsidRPr="00D14F37">
        <w:rPr>
          <w:rFonts w:eastAsia="Calibri"/>
        </w:rPr>
        <w:t xml:space="preserve">o </w:t>
      </w:r>
      <w:r>
        <w:rPr>
          <w:rFonts w:eastAsia="Calibri"/>
        </w:rPr>
        <w:tab/>
      </w:r>
      <w:r w:rsidRPr="00D14F37">
        <w:rPr>
          <w:rFonts w:eastAsia="Calibri"/>
        </w:rPr>
        <w:t>establish and implement mitigation strategies management components, as</w:t>
      </w:r>
      <w:r>
        <w:rPr>
          <w:rFonts w:eastAsia="Calibri"/>
        </w:rPr>
        <w:t xml:space="preserve"> </w:t>
      </w:r>
      <w:r w:rsidRPr="00D14F37">
        <w:rPr>
          <w:rFonts w:eastAsia="Calibri"/>
        </w:rPr>
        <w:t>appropriate to ensure the proper implementation of each such mitigation strategy,</w:t>
      </w:r>
      <w:r>
        <w:rPr>
          <w:rFonts w:eastAsia="Calibri"/>
        </w:rPr>
        <w:t xml:space="preserve"> </w:t>
      </w:r>
      <w:r w:rsidRPr="00D14F37">
        <w:rPr>
          <w:rFonts w:eastAsia="Calibri"/>
        </w:rPr>
        <w:t>taking into account the nature of the mitigation strategy and its role in the</w:t>
      </w:r>
      <w:r>
        <w:rPr>
          <w:rFonts w:eastAsia="Calibri"/>
        </w:rPr>
        <w:t xml:space="preserve"> </w:t>
      </w:r>
      <w:r w:rsidRPr="00D14F37">
        <w:rPr>
          <w:rFonts w:eastAsia="Calibri"/>
        </w:rPr>
        <w:t>facility’s food defense system (§ 121.138);</w:t>
      </w:r>
    </w:p>
    <w:p w:rsidR="0096739D" w:rsidRPr="00D14F37" w:rsidP="00D72D93" w14:paraId="0D6B9054" w14:textId="77777777">
      <w:pPr>
        <w:ind w:left="720" w:hanging="360"/>
        <w:rPr>
          <w:rFonts w:eastAsia="Calibri"/>
        </w:rPr>
      </w:pPr>
    </w:p>
    <w:p w:rsidR="0096739D" w:rsidP="00D72D93" w14:paraId="728C8BC1" w14:textId="77777777">
      <w:pPr>
        <w:ind w:left="720" w:hanging="360"/>
        <w:rPr>
          <w:rFonts w:eastAsia="Calibri"/>
        </w:rPr>
      </w:pPr>
      <w:r w:rsidRPr="00D14F37">
        <w:rPr>
          <w:rFonts w:eastAsia="Calibri"/>
        </w:rPr>
        <w:t xml:space="preserve">o </w:t>
      </w:r>
      <w:r>
        <w:rPr>
          <w:rFonts w:eastAsia="Calibri"/>
        </w:rPr>
        <w:tab/>
      </w:r>
      <w:r w:rsidRPr="00D14F37">
        <w:rPr>
          <w:rFonts w:eastAsia="Calibri"/>
        </w:rPr>
        <w:t>establish and implement food defense monitoring procedures, for monitoring the</w:t>
      </w:r>
      <w:r>
        <w:rPr>
          <w:rFonts w:eastAsia="Calibri"/>
        </w:rPr>
        <w:t xml:space="preserve"> </w:t>
      </w:r>
      <w:r w:rsidRPr="00D14F37">
        <w:rPr>
          <w:rFonts w:eastAsia="Calibri"/>
        </w:rPr>
        <w:t>mitigation strategies, as appropriate to the nature of the mitigation strategy and its</w:t>
      </w:r>
      <w:r>
        <w:rPr>
          <w:rFonts w:eastAsia="Calibri"/>
        </w:rPr>
        <w:t xml:space="preserve"> </w:t>
      </w:r>
      <w:r w:rsidRPr="00D14F37">
        <w:rPr>
          <w:rFonts w:eastAsia="Calibri"/>
        </w:rPr>
        <w:t>role in the facility’s food defense system (§ 121.140);</w:t>
      </w:r>
    </w:p>
    <w:p w:rsidR="0096739D" w:rsidRPr="00D14F37" w:rsidP="00D72D93" w14:paraId="14DA4F85" w14:textId="77777777">
      <w:pPr>
        <w:ind w:left="720" w:hanging="360"/>
        <w:rPr>
          <w:rFonts w:eastAsia="Calibri"/>
        </w:rPr>
      </w:pPr>
    </w:p>
    <w:p w:rsidR="0096739D" w:rsidP="00D72D93" w14:paraId="16296415" w14:textId="77777777">
      <w:pPr>
        <w:ind w:left="720" w:hanging="360"/>
        <w:rPr>
          <w:rFonts w:eastAsia="Calibri"/>
        </w:rPr>
      </w:pPr>
      <w:r w:rsidRPr="00D14F37">
        <w:rPr>
          <w:rFonts w:eastAsia="Calibri"/>
        </w:rPr>
        <w:t xml:space="preserve">o </w:t>
      </w:r>
      <w:r>
        <w:rPr>
          <w:rFonts w:eastAsia="Calibri"/>
        </w:rPr>
        <w:tab/>
      </w:r>
      <w:r w:rsidRPr="00D14F37">
        <w:rPr>
          <w:rFonts w:eastAsia="Calibri"/>
        </w:rPr>
        <w:t>establish and implement food defense corrective action procedures that must be</w:t>
      </w:r>
      <w:r>
        <w:rPr>
          <w:rFonts w:eastAsia="Calibri"/>
        </w:rPr>
        <w:t xml:space="preserve"> </w:t>
      </w:r>
      <w:r w:rsidRPr="00D14F37">
        <w:rPr>
          <w:rFonts w:eastAsia="Calibri"/>
        </w:rPr>
        <w:t>taken if mitigation strategies are not properly implemented, as appropriate to the</w:t>
      </w:r>
      <w:r>
        <w:rPr>
          <w:rFonts w:eastAsia="Calibri"/>
        </w:rPr>
        <w:t xml:space="preserve"> </w:t>
      </w:r>
      <w:r w:rsidRPr="00D14F37">
        <w:rPr>
          <w:rFonts w:eastAsia="Calibri"/>
        </w:rPr>
        <w:t>nature of the actionable process step and the nature of the mitigation strategy (§</w:t>
      </w:r>
      <w:r>
        <w:rPr>
          <w:rFonts w:eastAsia="Calibri"/>
        </w:rPr>
        <w:t xml:space="preserve"> </w:t>
      </w:r>
      <w:r w:rsidRPr="00D14F37">
        <w:rPr>
          <w:rFonts w:eastAsia="Calibri"/>
        </w:rPr>
        <w:t>121.145);</w:t>
      </w:r>
    </w:p>
    <w:p w:rsidR="0096739D" w:rsidRPr="00D14F37" w:rsidP="00D72D93" w14:paraId="4CF12709" w14:textId="77777777">
      <w:pPr>
        <w:ind w:left="720" w:hanging="360"/>
        <w:rPr>
          <w:rFonts w:eastAsia="Calibri"/>
        </w:rPr>
      </w:pPr>
    </w:p>
    <w:p w:rsidR="0096739D" w:rsidP="00D72D93" w14:paraId="5A7360F4" w14:textId="77777777">
      <w:pPr>
        <w:ind w:left="720" w:hanging="360"/>
        <w:rPr>
          <w:rFonts w:eastAsia="Calibri"/>
        </w:rPr>
      </w:pPr>
      <w:r w:rsidRPr="00D14F37">
        <w:rPr>
          <w:rFonts w:eastAsia="Calibri"/>
        </w:rPr>
        <w:t xml:space="preserve">o </w:t>
      </w:r>
      <w:r>
        <w:rPr>
          <w:rFonts w:eastAsia="Calibri"/>
        </w:rPr>
        <w:tab/>
      </w:r>
      <w:r w:rsidRPr="00D14F37">
        <w:rPr>
          <w:rFonts w:eastAsia="Calibri"/>
        </w:rPr>
        <w:t>establish and implement specified food defense verification activities, as</w:t>
      </w:r>
      <w:r>
        <w:rPr>
          <w:rFonts w:eastAsia="Calibri"/>
        </w:rPr>
        <w:t xml:space="preserve"> </w:t>
      </w:r>
      <w:r w:rsidRPr="00D14F37">
        <w:rPr>
          <w:rFonts w:eastAsia="Calibri"/>
        </w:rPr>
        <w:t>appropriate to the nature of the mitigation strategy and its role in the facility’s</w:t>
      </w:r>
      <w:r>
        <w:rPr>
          <w:rFonts w:eastAsia="Calibri"/>
        </w:rPr>
        <w:t xml:space="preserve"> </w:t>
      </w:r>
      <w:r w:rsidRPr="00D14F37">
        <w:rPr>
          <w:rFonts w:eastAsia="Calibri"/>
        </w:rPr>
        <w:t>food defense system (§ 121.150);</w:t>
      </w:r>
    </w:p>
    <w:p w:rsidR="0096739D" w:rsidRPr="00D14F37" w:rsidP="00D72D93" w14:paraId="175B64EF" w14:textId="77777777">
      <w:pPr>
        <w:ind w:left="720" w:hanging="360"/>
        <w:rPr>
          <w:rFonts w:eastAsia="Calibri"/>
        </w:rPr>
      </w:pPr>
    </w:p>
    <w:p w:rsidR="0096739D" w:rsidP="00D72D93" w14:paraId="283BD4B5" w14:textId="77777777">
      <w:pPr>
        <w:ind w:left="720" w:hanging="360"/>
        <w:rPr>
          <w:rFonts w:eastAsia="Calibri"/>
        </w:rPr>
      </w:pPr>
      <w:r w:rsidRPr="00D14F37">
        <w:rPr>
          <w:rFonts w:eastAsia="Calibri"/>
        </w:rPr>
        <w:t xml:space="preserve">o </w:t>
      </w:r>
      <w:r>
        <w:rPr>
          <w:rFonts w:eastAsia="Calibri"/>
        </w:rPr>
        <w:tab/>
      </w:r>
      <w:r w:rsidRPr="00D14F37">
        <w:rPr>
          <w:rFonts w:eastAsia="Calibri"/>
        </w:rPr>
        <w:t>conduct a reanalysis of the food defense plan (§ 121.157);</w:t>
      </w:r>
    </w:p>
    <w:p w:rsidR="0096739D" w:rsidRPr="00D14F37" w:rsidP="00D72D93" w14:paraId="1A5BD9DB" w14:textId="77777777">
      <w:pPr>
        <w:ind w:left="720" w:hanging="360"/>
        <w:rPr>
          <w:rFonts w:eastAsia="Calibri"/>
        </w:rPr>
      </w:pPr>
    </w:p>
    <w:p w:rsidR="0096739D" w:rsidP="00D72D93" w14:paraId="50C15F94" w14:textId="77777777">
      <w:pPr>
        <w:ind w:left="720" w:hanging="360"/>
        <w:rPr>
          <w:rFonts w:eastAsia="Calibri"/>
        </w:rPr>
      </w:pPr>
      <w:r w:rsidRPr="00D14F37">
        <w:rPr>
          <w:rFonts w:eastAsia="Calibri"/>
        </w:rPr>
        <w:t xml:space="preserve">o </w:t>
      </w:r>
      <w:r>
        <w:rPr>
          <w:rFonts w:eastAsia="Calibri"/>
        </w:rPr>
        <w:tab/>
      </w:r>
      <w:r w:rsidRPr="00D14F37">
        <w:rPr>
          <w:rFonts w:eastAsia="Calibri"/>
        </w:rPr>
        <w:t>ensure that all individuals who perform required food defense activities are</w:t>
      </w:r>
      <w:r>
        <w:rPr>
          <w:rFonts w:eastAsia="Calibri"/>
        </w:rPr>
        <w:t xml:space="preserve"> </w:t>
      </w:r>
      <w:r w:rsidRPr="00D14F37">
        <w:rPr>
          <w:rFonts w:eastAsia="Calibri"/>
        </w:rPr>
        <w:t>qualified to perform their assigned duties (§ 121.4); and</w:t>
      </w:r>
    </w:p>
    <w:p w:rsidR="0096739D" w:rsidRPr="00D14F37" w:rsidP="00D72D93" w14:paraId="257C9360" w14:textId="77777777">
      <w:pPr>
        <w:ind w:left="720" w:hanging="360"/>
        <w:rPr>
          <w:rFonts w:eastAsia="Calibri"/>
        </w:rPr>
      </w:pPr>
    </w:p>
    <w:p w:rsidR="0096739D" w:rsidP="00D72D93" w14:paraId="372E7EDA" w14:textId="77777777">
      <w:pPr>
        <w:ind w:left="720" w:hanging="360"/>
        <w:rPr>
          <w:rFonts w:eastAsia="Calibri"/>
        </w:rPr>
      </w:pPr>
      <w:r w:rsidRPr="00D14F37">
        <w:rPr>
          <w:rFonts w:eastAsia="Calibri"/>
        </w:rPr>
        <w:t xml:space="preserve">o </w:t>
      </w:r>
      <w:r>
        <w:rPr>
          <w:rFonts w:eastAsia="Calibri"/>
        </w:rPr>
        <w:tab/>
      </w:r>
      <w:r w:rsidRPr="00D14F37">
        <w:rPr>
          <w:rFonts w:eastAsia="Calibri"/>
        </w:rPr>
        <w:t>establish and maintain certain records, including the written food defense plan</w:t>
      </w:r>
      <w:r>
        <w:rPr>
          <w:rFonts w:eastAsia="Calibri"/>
        </w:rPr>
        <w:t xml:space="preserve"> </w:t>
      </w:r>
      <w:r w:rsidRPr="00D14F37">
        <w:rPr>
          <w:rFonts w:eastAsia="Calibri"/>
        </w:rPr>
        <w:t>(vulnerability assessment, mitigation strategies and procedures for food defense</w:t>
      </w:r>
      <w:r>
        <w:rPr>
          <w:rFonts w:eastAsia="Calibri"/>
        </w:rPr>
        <w:t xml:space="preserve"> </w:t>
      </w:r>
      <w:r w:rsidRPr="00D14F37">
        <w:rPr>
          <w:rFonts w:eastAsia="Calibri"/>
        </w:rPr>
        <w:t>monitoring, corrective actions, and verification) and documentation related to</w:t>
      </w:r>
      <w:r>
        <w:rPr>
          <w:rFonts w:eastAsia="Calibri"/>
        </w:rPr>
        <w:t xml:space="preserve"> </w:t>
      </w:r>
      <w:r w:rsidRPr="00D14F37">
        <w:rPr>
          <w:rFonts w:eastAsia="Calibri"/>
        </w:rPr>
        <w:t xml:space="preserve">training of personnel. </w:t>
      </w:r>
      <w:r>
        <w:rPr>
          <w:rFonts w:eastAsia="Calibri"/>
        </w:rPr>
        <w:t xml:space="preserve"> </w:t>
      </w:r>
      <w:r w:rsidRPr="00D14F37">
        <w:rPr>
          <w:rFonts w:eastAsia="Calibri"/>
        </w:rPr>
        <w:t>All records are subject to certain general recordkeeping and</w:t>
      </w:r>
      <w:r>
        <w:rPr>
          <w:rFonts w:eastAsia="Calibri"/>
        </w:rPr>
        <w:t xml:space="preserve"> r</w:t>
      </w:r>
      <w:r w:rsidRPr="00D14F37">
        <w:rPr>
          <w:rFonts w:eastAsia="Calibri"/>
        </w:rPr>
        <w:t>ecord retention requirements (§§ 121.301 t</w:t>
      </w:r>
      <w:r>
        <w:rPr>
          <w:rFonts w:eastAsia="Calibri"/>
        </w:rPr>
        <w:t>hr</w:t>
      </w:r>
      <w:r w:rsidRPr="00D14F37">
        <w:rPr>
          <w:rFonts w:eastAsia="Calibri"/>
        </w:rPr>
        <w:t>o</w:t>
      </w:r>
      <w:r>
        <w:rPr>
          <w:rFonts w:eastAsia="Calibri"/>
        </w:rPr>
        <w:t>ugh</w:t>
      </w:r>
      <w:r w:rsidRPr="00D14F37">
        <w:rPr>
          <w:rFonts w:eastAsia="Calibri"/>
        </w:rPr>
        <w:t xml:space="preserve"> 121.330).</w:t>
      </w:r>
    </w:p>
    <w:p w:rsidR="0092034D" w:rsidP="00D72D93" w14:paraId="0DC534C9" w14:textId="77777777">
      <w:pPr>
        <w:ind w:left="720" w:hanging="360"/>
        <w:rPr>
          <w:rFonts w:eastAsia="Calibri"/>
        </w:rPr>
      </w:pPr>
    </w:p>
    <w:p w:rsidR="0096739D" w:rsidP="00D15EA0" w14:paraId="2E88AE8E" w14:textId="29EFDFAA">
      <w:pPr>
        <w:rPr>
          <w:rFonts w:eastAsia="Calibri"/>
        </w:rPr>
      </w:pPr>
      <w:r w:rsidRPr="009F4849">
        <w:rPr>
          <w:rFonts w:eastAsia="Calibri"/>
        </w:rPr>
        <w:t>Under the regulations, an owner, operator, or agent in charge of a facility must prepare, or have prepared, and implement a written food defense plan, including written identification of actionable process steps, written mitigation strategies, written procedures for defense monitoring, written food defense corrective actions, and written food defense verification procedures.</w:t>
      </w:r>
      <w:r w:rsidR="00726BC1">
        <w:rPr>
          <w:rFonts w:eastAsia="Calibri"/>
        </w:rPr>
        <w:t xml:space="preserve">  </w:t>
      </w:r>
      <w:r>
        <w:rPr>
          <w:rFonts w:eastAsia="Calibri"/>
        </w:rPr>
        <w:t xml:space="preserve">We </w:t>
      </w:r>
      <w:r w:rsidR="00645FBF">
        <w:rPr>
          <w:rFonts w:eastAsia="Calibri"/>
        </w:rPr>
        <w:t xml:space="preserve">are </w:t>
      </w:r>
      <w:r>
        <w:rPr>
          <w:rFonts w:eastAsia="Calibri"/>
        </w:rPr>
        <w:t>therefore request</w:t>
      </w:r>
      <w:r w:rsidR="00645FBF">
        <w:rPr>
          <w:rFonts w:eastAsia="Calibri"/>
        </w:rPr>
        <w:t>ing reinstatement without change</w:t>
      </w:r>
      <w:r>
        <w:rPr>
          <w:rFonts w:eastAsia="Calibri"/>
        </w:rPr>
        <w:t xml:space="preserve"> </w:t>
      </w:r>
      <w:r w:rsidR="00F93438">
        <w:rPr>
          <w:rFonts w:eastAsia="Calibri"/>
        </w:rPr>
        <w:t xml:space="preserve">of OMB approval for </w:t>
      </w:r>
      <w:r w:rsidRPr="00D14F37">
        <w:rPr>
          <w:rFonts w:eastAsia="Calibri"/>
        </w:rPr>
        <w:t xml:space="preserve">the information collection provisions </w:t>
      </w:r>
      <w:r w:rsidR="00091564">
        <w:rPr>
          <w:rFonts w:eastAsia="Calibri"/>
        </w:rPr>
        <w:t xml:space="preserve">established in </w:t>
      </w:r>
      <w:r w:rsidRPr="00D14F37">
        <w:rPr>
          <w:rFonts w:eastAsia="Calibri"/>
        </w:rPr>
        <w:t>21 CFR part 121</w:t>
      </w:r>
      <w:r w:rsidR="00682DDB">
        <w:rPr>
          <w:rFonts w:eastAsia="Calibri"/>
        </w:rPr>
        <w:t xml:space="preserve">, as </w:t>
      </w:r>
      <w:r w:rsidRPr="00D14F37">
        <w:rPr>
          <w:rFonts w:eastAsia="Calibri"/>
        </w:rPr>
        <w:t>discussed in this supporting statement.</w:t>
      </w:r>
    </w:p>
    <w:p w:rsidR="00357C8A" w:rsidRPr="0008008E" w:rsidP="00D15EA0" w14:paraId="4C9D5374" w14:textId="77777777">
      <w:pPr>
        <w:rPr>
          <w:rFonts w:eastAsia="Calibri"/>
          <w:color w:val="000000"/>
        </w:rPr>
      </w:pPr>
    </w:p>
    <w:p w:rsidR="00357C8A" w:rsidRPr="00357C8A" w:rsidP="00D15EA0" w14:paraId="4A976920" w14:textId="77777777">
      <w:pPr>
        <w:numPr>
          <w:ilvl w:val="0"/>
          <w:numId w:val="6"/>
        </w:numPr>
        <w:spacing w:line="276" w:lineRule="auto"/>
        <w:rPr>
          <w:rFonts w:eastAsia="Calibri"/>
          <w:u w:val="single"/>
        </w:rPr>
      </w:pPr>
      <w:r w:rsidRPr="00357C8A">
        <w:rPr>
          <w:rFonts w:eastAsia="Calibri"/>
          <w:u w:val="single"/>
        </w:rPr>
        <w:t xml:space="preserve">Purpose and Use of the Information Collection </w:t>
      </w:r>
    </w:p>
    <w:p w:rsidR="00D74521" w:rsidP="00D15EA0" w14:paraId="2DA8BE41" w14:textId="77777777">
      <w:pPr>
        <w:autoSpaceDE w:val="0"/>
        <w:autoSpaceDN w:val="0"/>
        <w:adjustRightInd w:val="0"/>
        <w:rPr>
          <w:rFonts w:ascii="TimesNewRomanPSMT" w:hAnsi="TimesNewRomanPSMT" w:cs="TimesNewRomanPSMT"/>
        </w:rPr>
      </w:pPr>
    </w:p>
    <w:p w:rsidR="00141E5D" w:rsidP="00D15EA0" w14:paraId="3D977DFC" w14:textId="77777777">
      <w:pPr>
        <w:autoSpaceDE w:val="0"/>
        <w:autoSpaceDN w:val="0"/>
        <w:adjustRightInd w:val="0"/>
        <w:rPr>
          <w:rFonts w:ascii="TimesNewRomanPSMT" w:hAnsi="TimesNewRomanPSMT" w:cs="TimesNewRomanPSMT"/>
        </w:rPr>
      </w:pPr>
      <w:r>
        <w:rPr>
          <w:rFonts w:ascii="TimesNewRomanPSMT" w:hAnsi="TimesNewRomanPSMT" w:cs="TimesNewRomanPSMT"/>
        </w:rPr>
        <w:t>The purpose of the information collection is to ensure compliance with the provisions under 21 CFR part 121</w:t>
      </w:r>
      <w:r w:rsidR="009F4849">
        <w:rPr>
          <w:rFonts w:ascii="TimesNewRomanPSMT" w:hAnsi="TimesNewRomanPSMT" w:cs="TimesNewRomanPSMT"/>
        </w:rPr>
        <w:t xml:space="preserve"> related to protecting</w:t>
      </w:r>
      <w:r w:rsidRPr="00D84A74">
        <w:rPr>
          <w:rFonts w:ascii="TimesNewRomanPSMT" w:hAnsi="TimesNewRomanPSMT" w:cs="TimesNewRomanPSMT"/>
        </w:rPr>
        <w:t xml:space="preserve"> food from</w:t>
      </w:r>
      <w:r>
        <w:rPr>
          <w:rFonts w:ascii="TimesNewRomanPSMT" w:hAnsi="TimesNewRomanPSMT" w:cs="TimesNewRomanPSMT"/>
        </w:rPr>
        <w:t xml:space="preserve"> </w:t>
      </w:r>
      <w:r w:rsidRPr="00D84A74">
        <w:rPr>
          <w:rFonts w:ascii="TimesNewRomanPSMT" w:hAnsi="TimesNewRomanPSMT" w:cs="TimesNewRomanPSMT"/>
        </w:rPr>
        <w:t>intentional adulteration</w:t>
      </w:r>
      <w:r w:rsidR="009F4849">
        <w:rPr>
          <w:rFonts w:ascii="TimesNewRomanPSMT" w:hAnsi="TimesNewRomanPSMT" w:cs="TimesNewRomanPSMT"/>
        </w:rPr>
        <w:t xml:space="preserve">.  The regulations are intended to address hazards that may be intentionally introduced to foods, including by </w:t>
      </w:r>
      <w:r w:rsidRPr="00D84A74">
        <w:rPr>
          <w:rFonts w:ascii="TimesNewRomanPSMT" w:hAnsi="TimesNewRomanPSMT" w:cs="TimesNewRomanPSMT"/>
        </w:rPr>
        <w:t>acts of terrorism</w:t>
      </w:r>
      <w:r w:rsidR="009F4849">
        <w:rPr>
          <w:rFonts w:ascii="TimesNewRomanPSMT" w:hAnsi="TimesNewRomanPSMT" w:cs="TimesNewRomanPSMT"/>
        </w:rPr>
        <w:t xml:space="preserve">, with the intent to cause widespread harm to the public health.  Under the regulations, </w:t>
      </w:r>
      <w:r w:rsidRPr="00D84A74">
        <w:rPr>
          <w:rFonts w:ascii="TimesNewRomanPSMT" w:hAnsi="TimesNewRomanPSMT" w:cs="TimesNewRomanPSMT"/>
        </w:rPr>
        <w:t>domestic and foreign food facilities</w:t>
      </w:r>
      <w:r>
        <w:rPr>
          <w:rFonts w:ascii="TimesNewRomanPSMT" w:hAnsi="TimesNewRomanPSMT" w:cs="TimesNewRomanPSMT"/>
        </w:rPr>
        <w:t xml:space="preserve"> </w:t>
      </w:r>
      <w:r w:rsidRPr="00D84A74">
        <w:rPr>
          <w:rFonts w:ascii="TimesNewRomanPSMT" w:hAnsi="TimesNewRomanPSMT" w:cs="TimesNewRomanPSMT"/>
        </w:rPr>
        <w:t>that are required to register under the FD&amp;C Act are required to identify and implement</w:t>
      </w:r>
      <w:r>
        <w:rPr>
          <w:rFonts w:ascii="TimesNewRomanPSMT" w:hAnsi="TimesNewRomanPSMT" w:cs="TimesNewRomanPSMT"/>
        </w:rPr>
        <w:t xml:space="preserve"> </w:t>
      </w:r>
      <w:r w:rsidRPr="00D84A74">
        <w:rPr>
          <w:rFonts w:ascii="TimesNewRomanPSMT" w:hAnsi="TimesNewRomanPSMT" w:cs="TimesNewRomanPSMT"/>
        </w:rPr>
        <w:t>mitigation strategies to significantly minimize or prevent significant vulnerabilities identified at</w:t>
      </w:r>
      <w:r>
        <w:rPr>
          <w:rFonts w:ascii="TimesNewRomanPSMT" w:hAnsi="TimesNewRomanPSMT" w:cs="TimesNewRomanPSMT"/>
        </w:rPr>
        <w:t xml:space="preserve"> </w:t>
      </w:r>
      <w:r w:rsidRPr="00D84A74">
        <w:rPr>
          <w:rFonts w:ascii="TimesNewRomanPSMT" w:hAnsi="TimesNewRomanPSMT" w:cs="TimesNewRomanPSMT"/>
        </w:rPr>
        <w:t>actionable process steps in a food operation</w:t>
      </w:r>
      <w:r>
        <w:rPr>
          <w:rFonts w:ascii="TimesNewRomanPSMT" w:hAnsi="TimesNewRomanPSMT" w:cs="TimesNewRomanPSMT"/>
        </w:rPr>
        <w:t>.</w:t>
      </w:r>
    </w:p>
    <w:p w:rsidR="00141E5D" w:rsidP="00D15EA0" w14:paraId="77C8F320" w14:textId="77777777">
      <w:pPr>
        <w:autoSpaceDE w:val="0"/>
        <w:autoSpaceDN w:val="0"/>
        <w:adjustRightInd w:val="0"/>
        <w:rPr>
          <w:rFonts w:ascii="TimesNewRomanPSMT" w:hAnsi="TimesNewRomanPSMT" w:cs="TimesNewRomanPSMT"/>
        </w:rPr>
      </w:pPr>
    </w:p>
    <w:p w:rsidR="00141E5D" w:rsidP="00D15EA0" w14:paraId="732416DF" w14:textId="48274C37">
      <w:pPr>
        <w:autoSpaceDE w:val="0"/>
        <w:autoSpaceDN w:val="0"/>
        <w:adjustRightInd w:val="0"/>
        <w:rPr>
          <w:rFonts w:ascii="TimesNewRomanPSMT" w:hAnsi="TimesNewRomanPSMT" w:cs="TimesNewRomanPSMT"/>
        </w:rPr>
      </w:pPr>
      <w:r w:rsidRPr="00BE6116">
        <w:rPr>
          <w:rFonts w:ascii="TimesNewRomanPSMT" w:hAnsi="TimesNewRomanPSMT" w:cs="TimesNewRomanPSMT"/>
        </w:rPr>
        <w:t>In an effort to reduce burden and</w:t>
      </w:r>
      <w:r>
        <w:rPr>
          <w:rFonts w:ascii="TimesNewRomanPSMT" w:hAnsi="TimesNewRomanPSMT" w:cs="TimesNewRomanPSMT"/>
        </w:rPr>
        <w:t xml:space="preserve"> </w:t>
      </w:r>
      <w:r w:rsidRPr="00BE6116">
        <w:rPr>
          <w:rFonts w:ascii="TimesNewRomanPSMT" w:hAnsi="TimesNewRomanPSMT" w:cs="TimesNewRomanPSMT"/>
        </w:rPr>
        <w:t>assist respondents, FDA offers tools and</w:t>
      </w:r>
      <w:r>
        <w:rPr>
          <w:rFonts w:ascii="TimesNewRomanPSMT" w:hAnsi="TimesNewRomanPSMT" w:cs="TimesNewRomanPSMT"/>
        </w:rPr>
        <w:t xml:space="preserve"> </w:t>
      </w:r>
      <w:r w:rsidRPr="00BE6116">
        <w:rPr>
          <w:rFonts w:ascii="TimesNewRomanPSMT" w:hAnsi="TimesNewRomanPSMT" w:cs="TimesNewRomanPSMT"/>
        </w:rPr>
        <w:t>educational materials related to</w:t>
      </w:r>
      <w:r>
        <w:rPr>
          <w:rFonts w:ascii="TimesNewRomanPSMT" w:hAnsi="TimesNewRomanPSMT" w:cs="TimesNewRomanPSMT"/>
        </w:rPr>
        <w:t xml:space="preserve"> </w:t>
      </w:r>
      <w:r w:rsidRPr="00BE6116">
        <w:rPr>
          <w:rFonts w:ascii="TimesNewRomanPSMT" w:hAnsi="TimesNewRomanPSMT" w:cs="TimesNewRomanPSMT"/>
        </w:rPr>
        <w:t>protecting food from intentional</w:t>
      </w:r>
      <w:r>
        <w:rPr>
          <w:rFonts w:ascii="TimesNewRomanPSMT" w:hAnsi="TimesNewRomanPSMT" w:cs="TimesNewRomanPSMT"/>
        </w:rPr>
        <w:t xml:space="preserve"> </w:t>
      </w:r>
      <w:r w:rsidRPr="00BE6116">
        <w:rPr>
          <w:rFonts w:ascii="TimesNewRomanPSMT" w:hAnsi="TimesNewRomanPSMT" w:cs="TimesNewRomanPSMT"/>
        </w:rPr>
        <w:t>adulteration, including the FDA Food</w:t>
      </w:r>
      <w:r>
        <w:rPr>
          <w:rFonts w:ascii="TimesNewRomanPSMT" w:hAnsi="TimesNewRomanPSMT" w:cs="TimesNewRomanPSMT"/>
        </w:rPr>
        <w:t xml:space="preserve"> </w:t>
      </w:r>
      <w:r w:rsidRPr="00BE6116">
        <w:rPr>
          <w:rFonts w:ascii="TimesNewRomanPSMT" w:hAnsi="TimesNewRomanPSMT" w:cs="TimesNewRomanPSMT"/>
        </w:rPr>
        <w:t>Defense Plan Builder, a user-friendly</w:t>
      </w:r>
      <w:r>
        <w:rPr>
          <w:rFonts w:ascii="TimesNewRomanPSMT" w:hAnsi="TimesNewRomanPSMT" w:cs="TimesNewRomanPSMT"/>
        </w:rPr>
        <w:t xml:space="preserve"> </w:t>
      </w:r>
      <w:r w:rsidRPr="00BE6116">
        <w:rPr>
          <w:rFonts w:ascii="TimesNewRomanPSMT" w:hAnsi="TimesNewRomanPSMT" w:cs="TimesNewRomanPSMT"/>
        </w:rPr>
        <w:t>tool designed to help owners and</w:t>
      </w:r>
      <w:r>
        <w:rPr>
          <w:rFonts w:ascii="TimesNewRomanPSMT" w:hAnsi="TimesNewRomanPSMT" w:cs="TimesNewRomanPSMT"/>
        </w:rPr>
        <w:t xml:space="preserve"> </w:t>
      </w:r>
      <w:r w:rsidRPr="00BE6116">
        <w:rPr>
          <w:rFonts w:ascii="TimesNewRomanPSMT" w:hAnsi="TimesNewRomanPSMT" w:cs="TimesNewRomanPSMT"/>
        </w:rPr>
        <w:t>operators of food facilities develop a</w:t>
      </w:r>
      <w:r>
        <w:rPr>
          <w:rFonts w:ascii="TimesNewRomanPSMT" w:hAnsi="TimesNewRomanPSMT" w:cs="TimesNewRomanPSMT"/>
        </w:rPr>
        <w:t xml:space="preserve"> </w:t>
      </w:r>
      <w:r w:rsidRPr="00BE6116">
        <w:rPr>
          <w:rFonts w:ascii="TimesNewRomanPSMT" w:hAnsi="TimesNewRomanPSMT" w:cs="TimesNewRomanPSMT"/>
        </w:rPr>
        <w:t>personalized food defense plan, and the</w:t>
      </w:r>
      <w:r>
        <w:rPr>
          <w:rFonts w:ascii="TimesNewRomanPSMT" w:hAnsi="TimesNewRomanPSMT" w:cs="TimesNewRomanPSMT"/>
        </w:rPr>
        <w:t xml:space="preserve"> </w:t>
      </w:r>
      <w:r w:rsidRPr="00BE6116">
        <w:rPr>
          <w:rFonts w:ascii="TimesNewRomanPSMT" w:hAnsi="TimesNewRomanPSMT" w:cs="TimesNewRomanPSMT"/>
        </w:rPr>
        <w:t>Mitigation Strategies Database, a</w:t>
      </w:r>
      <w:r>
        <w:rPr>
          <w:rFonts w:ascii="TimesNewRomanPSMT" w:hAnsi="TimesNewRomanPSMT" w:cs="TimesNewRomanPSMT"/>
        </w:rPr>
        <w:t xml:space="preserve"> </w:t>
      </w:r>
      <w:r w:rsidRPr="00BE6116">
        <w:rPr>
          <w:rFonts w:ascii="TimesNewRomanPSMT" w:hAnsi="TimesNewRomanPSMT" w:cs="TimesNewRomanPSMT"/>
        </w:rPr>
        <w:t>database for the food industry providing</w:t>
      </w:r>
      <w:r>
        <w:rPr>
          <w:rFonts w:ascii="TimesNewRomanPSMT" w:hAnsi="TimesNewRomanPSMT" w:cs="TimesNewRomanPSMT"/>
        </w:rPr>
        <w:t xml:space="preserve"> </w:t>
      </w:r>
      <w:r w:rsidRPr="00BE6116">
        <w:rPr>
          <w:rFonts w:ascii="TimesNewRomanPSMT" w:hAnsi="TimesNewRomanPSMT" w:cs="TimesNewRomanPSMT"/>
        </w:rPr>
        <w:t>a range of preventative measures that</w:t>
      </w:r>
      <w:r>
        <w:rPr>
          <w:rFonts w:ascii="TimesNewRomanPSMT" w:hAnsi="TimesNewRomanPSMT" w:cs="TimesNewRomanPSMT"/>
        </w:rPr>
        <w:t xml:space="preserve"> </w:t>
      </w:r>
      <w:r w:rsidRPr="00BE6116">
        <w:rPr>
          <w:rFonts w:ascii="TimesNewRomanPSMT" w:hAnsi="TimesNewRomanPSMT" w:cs="TimesNewRomanPSMT"/>
        </w:rPr>
        <w:t xml:space="preserve">firms may choose to implement. </w:t>
      </w:r>
      <w:r>
        <w:rPr>
          <w:rFonts w:ascii="TimesNewRomanPSMT" w:hAnsi="TimesNewRomanPSMT" w:cs="TimesNewRomanPSMT"/>
        </w:rPr>
        <w:t xml:space="preserve"> </w:t>
      </w:r>
      <w:r w:rsidRPr="00BE6116">
        <w:rPr>
          <w:rFonts w:ascii="TimesNewRomanPSMT" w:hAnsi="TimesNewRomanPSMT" w:cs="TimesNewRomanPSMT"/>
        </w:rPr>
        <w:t>These</w:t>
      </w:r>
      <w:r>
        <w:rPr>
          <w:rFonts w:ascii="TimesNewRomanPSMT" w:hAnsi="TimesNewRomanPSMT" w:cs="TimesNewRomanPSMT"/>
        </w:rPr>
        <w:t xml:space="preserve"> </w:t>
      </w:r>
      <w:r w:rsidRPr="00BE6116">
        <w:rPr>
          <w:rFonts w:ascii="TimesNewRomanPSMT" w:hAnsi="TimesNewRomanPSMT" w:cs="TimesNewRomanPSMT"/>
        </w:rPr>
        <w:t>and other informational resources are</w:t>
      </w:r>
      <w:r>
        <w:rPr>
          <w:rFonts w:ascii="TimesNewRomanPSMT" w:hAnsi="TimesNewRomanPSMT" w:cs="TimesNewRomanPSMT"/>
        </w:rPr>
        <w:t xml:space="preserve"> </w:t>
      </w:r>
      <w:r w:rsidRPr="00BE6116">
        <w:rPr>
          <w:rFonts w:ascii="TimesNewRomanPSMT" w:hAnsi="TimesNewRomanPSMT" w:cs="TimesNewRomanPSMT"/>
        </w:rPr>
        <w:t xml:space="preserve">available at </w:t>
      </w:r>
      <w:hyperlink r:id="rId4" w:history="1">
        <w:r w:rsidRPr="004B400C">
          <w:rPr>
            <w:rStyle w:val="Hyperlink"/>
            <w:rFonts w:ascii="TimesNewRomanPSMT" w:hAnsi="TimesNewRomanPSMT" w:cs="TimesNewRomanPSMT"/>
          </w:rPr>
          <w:t>https://www.fda.gov/food/food-defense/food-defense-tools-educational-materials</w:t>
        </w:r>
      </w:hyperlink>
      <w:r w:rsidRPr="0037390D">
        <w:rPr>
          <w:rFonts w:ascii="TimesNewRomanPSMT" w:hAnsi="TimesNewRomanPSMT" w:cs="TimesNewRomanPSMT"/>
        </w:rPr>
        <w:t xml:space="preserve">.  </w:t>
      </w:r>
      <w:r w:rsidRPr="00BE6116">
        <w:rPr>
          <w:rFonts w:ascii="TimesNewRomanPSMT" w:hAnsi="TimesNewRomanPSMT" w:cs="TimesNewRomanPSMT"/>
        </w:rPr>
        <w:t>FDA also offers a</w:t>
      </w:r>
      <w:r>
        <w:rPr>
          <w:rFonts w:ascii="TimesNewRomanPSMT" w:hAnsi="TimesNewRomanPSMT" w:cs="TimesNewRomanPSMT"/>
        </w:rPr>
        <w:t xml:space="preserve"> </w:t>
      </w:r>
      <w:r w:rsidRPr="00BE6116">
        <w:rPr>
          <w:rFonts w:ascii="TimesNewRomanPSMT" w:hAnsi="TimesNewRomanPSMT" w:cs="TimesNewRomanPSMT"/>
        </w:rPr>
        <w:t>small entity compliance guide titled</w:t>
      </w:r>
      <w:r>
        <w:rPr>
          <w:rFonts w:ascii="TimesNewRomanPSMT" w:hAnsi="TimesNewRomanPSMT" w:cs="TimesNewRomanPSMT"/>
        </w:rPr>
        <w:t xml:space="preserve"> </w:t>
      </w:r>
      <w:r>
        <w:rPr>
          <w:rFonts w:ascii="TimesNewRomanPSMT" w:hAnsi="TimesNewRomanPSMT" w:cs="TimesNewRomanPSMT"/>
        </w:rPr>
        <w:t>“</w:t>
      </w:r>
      <w:r w:rsidRPr="004B400C">
        <w:rPr>
          <w:rFonts w:ascii="TimesNewRomanPSMT" w:hAnsi="TimesNewRomanPSMT" w:cs="TimesNewRomanPSMT"/>
          <w:i/>
          <w:iCs/>
        </w:rPr>
        <w:t>Mitigation Strategies to Protect Food Against Intentional Adulteration</w:t>
      </w:r>
      <w:r>
        <w:rPr>
          <w:rFonts w:ascii="TimesNewRomanPSMT" w:hAnsi="TimesNewRomanPSMT" w:cs="TimesNewRomanPSMT"/>
        </w:rPr>
        <w:t xml:space="preserve">” </w:t>
      </w:r>
      <w:r w:rsidRPr="00BE6116">
        <w:rPr>
          <w:rFonts w:ascii="TimesNewRomanPSMT" w:hAnsi="TimesNewRomanPSMT" w:cs="TimesNewRomanPSMT"/>
        </w:rPr>
        <w:t>(August 2017) to inform domestic and</w:t>
      </w:r>
      <w:r>
        <w:rPr>
          <w:rFonts w:ascii="TimesNewRomanPSMT" w:hAnsi="TimesNewRomanPSMT" w:cs="TimesNewRomanPSMT"/>
        </w:rPr>
        <w:t xml:space="preserve"> </w:t>
      </w:r>
      <w:r w:rsidRPr="00BE6116">
        <w:rPr>
          <w:rFonts w:ascii="TimesNewRomanPSMT" w:hAnsi="TimesNewRomanPSMT" w:cs="TimesNewRomanPSMT"/>
        </w:rPr>
        <w:t>foreign food facilities about compliance</w:t>
      </w:r>
      <w:r>
        <w:rPr>
          <w:rFonts w:ascii="TimesNewRomanPSMT" w:hAnsi="TimesNewRomanPSMT" w:cs="TimesNewRomanPSMT"/>
        </w:rPr>
        <w:t xml:space="preserve"> </w:t>
      </w:r>
      <w:r w:rsidRPr="00BE6116">
        <w:rPr>
          <w:rFonts w:ascii="TimesNewRomanPSMT" w:hAnsi="TimesNewRomanPSMT" w:cs="TimesNewRomanPSMT"/>
        </w:rPr>
        <w:t>with regulations to protect against</w:t>
      </w:r>
      <w:r>
        <w:rPr>
          <w:rFonts w:ascii="TimesNewRomanPSMT" w:hAnsi="TimesNewRomanPSMT" w:cs="TimesNewRomanPSMT"/>
        </w:rPr>
        <w:t xml:space="preserve"> </w:t>
      </w:r>
      <w:r w:rsidRPr="00BE6116">
        <w:rPr>
          <w:rFonts w:ascii="TimesNewRomanPSMT" w:hAnsi="TimesNewRomanPSMT" w:cs="TimesNewRomanPSMT"/>
        </w:rPr>
        <w:t xml:space="preserve">intentional adulteration. </w:t>
      </w:r>
      <w:r>
        <w:rPr>
          <w:rFonts w:ascii="TimesNewRomanPSMT" w:hAnsi="TimesNewRomanPSMT" w:cs="TimesNewRomanPSMT"/>
        </w:rPr>
        <w:t xml:space="preserve"> </w:t>
      </w:r>
      <w:r w:rsidRPr="00BE6116">
        <w:rPr>
          <w:rFonts w:ascii="TimesNewRomanPSMT" w:hAnsi="TimesNewRomanPSMT" w:cs="TimesNewRomanPSMT"/>
        </w:rPr>
        <w:t>Further, FDA</w:t>
      </w:r>
      <w:r>
        <w:rPr>
          <w:rFonts w:ascii="TimesNewRomanPSMT" w:hAnsi="TimesNewRomanPSMT" w:cs="TimesNewRomanPSMT"/>
        </w:rPr>
        <w:t xml:space="preserve"> </w:t>
      </w:r>
      <w:r w:rsidRPr="00BE6116">
        <w:rPr>
          <w:rFonts w:ascii="TimesNewRomanPSMT" w:hAnsi="TimesNewRomanPSMT" w:cs="TimesNewRomanPSMT"/>
        </w:rPr>
        <w:t>developed two draft guidance</w:t>
      </w:r>
      <w:r>
        <w:rPr>
          <w:rFonts w:ascii="TimesNewRomanPSMT" w:hAnsi="TimesNewRomanPSMT" w:cs="TimesNewRomanPSMT"/>
        </w:rPr>
        <w:t xml:space="preserve"> </w:t>
      </w:r>
      <w:r w:rsidRPr="00BE6116">
        <w:rPr>
          <w:rFonts w:ascii="TimesNewRomanPSMT" w:hAnsi="TimesNewRomanPSMT" w:cs="TimesNewRomanPSMT"/>
        </w:rPr>
        <w:t xml:space="preserve">documents titled </w:t>
      </w:r>
      <w:r>
        <w:rPr>
          <w:rFonts w:ascii="TimesNewRomanPSMT" w:hAnsi="TimesNewRomanPSMT" w:cs="TimesNewRomanPSMT"/>
        </w:rPr>
        <w:t>“</w:t>
      </w:r>
      <w:r w:rsidRPr="004B400C">
        <w:rPr>
          <w:rFonts w:ascii="TimesNewRomanPSMT" w:hAnsi="TimesNewRomanPSMT" w:cs="TimesNewRomanPSMT"/>
          <w:i/>
          <w:iCs/>
        </w:rPr>
        <w:t>Mitigation Strategies to Protect Food Against Intentional Adulteration: Draft Guidance for Industry</w:t>
      </w:r>
      <w:r>
        <w:rPr>
          <w:rFonts w:ascii="TimesNewRomanPSMT" w:hAnsi="TimesNewRomanPSMT" w:cs="TimesNewRomanPSMT"/>
        </w:rPr>
        <w:t>”</w:t>
      </w:r>
      <w:r w:rsidRPr="00BE6116">
        <w:rPr>
          <w:rFonts w:ascii="TimesNewRomanPSMT" w:hAnsi="TimesNewRomanPSMT" w:cs="TimesNewRomanPSMT"/>
        </w:rPr>
        <w:t xml:space="preserve"> (March 2019) and</w:t>
      </w:r>
      <w:r>
        <w:rPr>
          <w:rFonts w:ascii="TimesNewRomanPSMT" w:hAnsi="TimesNewRomanPSMT" w:cs="TimesNewRomanPSMT"/>
        </w:rPr>
        <w:t xml:space="preserve"> “</w:t>
      </w:r>
      <w:r w:rsidRPr="004B400C">
        <w:rPr>
          <w:rFonts w:ascii="TimesNewRomanPSMT" w:hAnsi="TimesNewRomanPSMT" w:cs="TimesNewRomanPSMT"/>
          <w:i/>
          <w:iCs/>
        </w:rPr>
        <w:t>Supplemental Draft Guidance for Industry: Mitigation Strategies to Protect Food Against Intentional Adulteration</w:t>
      </w:r>
      <w:r>
        <w:rPr>
          <w:rFonts w:ascii="TimesNewRomanPSMT" w:hAnsi="TimesNewRomanPSMT" w:cs="TimesNewRomanPSMT"/>
        </w:rPr>
        <w:t xml:space="preserve">” </w:t>
      </w:r>
      <w:r w:rsidRPr="00BE6116">
        <w:rPr>
          <w:rFonts w:ascii="TimesNewRomanPSMT" w:hAnsi="TimesNewRomanPSMT" w:cs="TimesNewRomanPSMT"/>
        </w:rPr>
        <w:t>(February 2020).</w:t>
      </w:r>
      <w:r>
        <w:rPr>
          <w:rFonts w:ascii="TimesNewRomanPSMT" w:hAnsi="TimesNewRomanPSMT" w:cs="TimesNewRomanPSMT"/>
        </w:rPr>
        <w:t xml:space="preserve"> </w:t>
      </w:r>
      <w:r w:rsidRPr="00BE6116">
        <w:rPr>
          <w:rFonts w:ascii="TimesNewRomanPSMT" w:hAnsi="TimesNewRomanPSMT" w:cs="TimesNewRomanPSMT"/>
        </w:rPr>
        <w:t xml:space="preserve"> Once finalized, the</w:t>
      </w:r>
      <w:r>
        <w:rPr>
          <w:rFonts w:ascii="TimesNewRomanPSMT" w:hAnsi="TimesNewRomanPSMT" w:cs="TimesNewRomanPSMT"/>
        </w:rPr>
        <w:t xml:space="preserve"> </w:t>
      </w:r>
      <w:r w:rsidRPr="00BE6116">
        <w:rPr>
          <w:rFonts w:ascii="TimesNewRomanPSMT" w:hAnsi="TimesNewRomanPSMT" w:cs="TimesNewRomanPSMT"/>
        </w:rPr>
        <w:t>draft guidance documents would assist</w:t>
      </w:r>
      <w:r>
        <w:rPr>
          <w:rFonts w:ascii="TimesNewRomanPSMT" w:hAnsi="TimesNewRomanPSMT" w:cs="TimesNewRomanPSMT"/>
        </w:rPr>
        <w:t xml:space="preserve"> </w:t>
      </w:r>
      <w:r w:rsidRPr="00BE6116">
        <w:rPr>
          <w:rFonts w:ascii="TimesNewRomanPSMT" w:hAnsi="TimesNewRomanPSMT" w:cs="TimesNewRomanPSMT"/>
        </w:rPr>
        <w:t>the food industry in developing and</w:t>
      </w:r>
      <w:r>
        <w:rPr>
          <w:rFonts w:ascii="TimesNewRomanPSMT" w:hAnsi="TimesNewRomanPSMT" w:cs="TimesNewRomanPSMT"/>
        </w:rPr>
        <w:t xml:space="preserve"> </w:t>
      </w:r>
      <w:r w:rsidRPr="00BE6116">
        <w:rPr>
          <w:rFonts w:ascii="TimesNewRomanPSMT" w:hAnsi="TimesNewRomanPSMT" w:cs="TimesNewRomanPSMT"/>
        </w:rPr>
        <w:t>implementing the elements of a food</w:t>
      </w:r>
      <w:r>
        <w:rPr>
          <w:rFonts w:ascii="TimesNewRomanPSMT" w:hAnsi="TimesNewRomanPSMT" w:cs="TimesNewRomanPSMT"/>
        </w:rPr>
        <w:t xml:space="preserve"> </w:t>
      </w:r>
      <w:r w:rsidRPr="00BE6116">
        <w:rPr>
          <w:rFonts w:ascii="TimesNewRomanPSMT" w:hAnsi="TimesNewRomanPSMT" w:cs="TimesNewRomanPSMT"/>
        </w:rPr>
        <w:t xml:space="preserve">defense plan. </w:t>
      </w:r>
      <w:r>
        <w:rPr>
          <w:rFonts w:ascii="TimesNewRomanPSMT" w:hAnsi="TimesNewRomanPSMT" w:cs="TimesNewRomanPSMT"/>
        </w:rPr>
        <w:t xml:space="preserve"> </w:t>
      </w:r>
      <w:r w:rsidRPr="00BE6116">
        <w:rPr>
          <w:rFonts w:ascii="TimesNewRomanPSMT" w:hAnsi="TimesNewRomanPSMT" w:cs="TimesNewRomanPSMT"/>
        </w:rPr>
        <w:t>These guidance</w:t>
      </w:r>
      <w:r>
        <w:rPr>
          <w:rFonts w:ascii="TimesNewRomanPSMT" w:hAnsi="TimesNewRomanPSMT" w:cs="TimesNewRomanPSMT"/>
        </w:rPr>
        <w:t xml:space="preserve"> </w:t>
      </w:r>
      <w:r w:rsidRPr="00BE6116">
        <w:rPr>
          <w:rFonts w:ascii="TimesNewRomanPSMT" w:hAnsi="TimesNewRomanPSMT" w:cs="TimesNewRomanPSMT"/>
        </w:rPr>
        <w:t xml:space="preserve">documents are available at </w:t>
      </w:r>
      <w:hyperlink r:id="rId5" w:history="1">
        <w:r w:rsidRPr="004B400C">
          <w:rPr>
            <w:rStyle w:val="Hyperlink"/>
            <w:rFonts w:ascii="TimesNewRomanPSMT" w:hAnsi="TimesNewRomanPSMT" w:cs="TimesNewRomanPSMT"/>
          </w:rPr>
          <w:t>https://www.fda.gov/food/food-defense</w:t>
        </w:r>
      </w:hyperlink>
      <w:r w:rsidRPr="00BE6116">
        <w:rPr>
          <w:rFonts w:ascii="TimesNewRomanPSMT" w:hAnsi="TimesNewRomanPSMT" w:cs="TimesNewRomanPSMT"/>
          <w:i/>
          <w:iCs/>
        </w:rPr>
        <w:t xml:space="preserve">. </w:t>
      </w:r>
      <w:r>
        <w:rPr>
          <w:rFonts w:ascii="TimesNewRomanPSMT" w:hAnsi="TimesNewRomanPSMT" w:cs="TimesNewRomanPSMT"/>
          <w:i/>
          <w:iCs/>
        </w:rPr>
        <w:t xml:space="preserve"> </w:t>
      </w:r>
      <w:r w:rsidRPr="00BE6116">
        <w:rPr>
          <w:rFonts w:ascii="TimesNewRomanPSMT" w:hAnsi="TimesNewRomanPSMT" w:cs="TimesNewRomanPSMT"/>
        </w:rPr>
        <w:t>All</w:t>
      </w:r>
      <w:r>
        <w:rPr>
          <w:rFonts w:ascii="TimesNewRomanPSMT" w:hAnsi="TimesNewRomanPSMT" w:cs="TimesNewRomanPSMT"/>
        </w:rPr>
        <w:t xml:space="preserve"> </w:t>
      </w:r>
      <w:r w:rsidR="00491F39">
        <w:rPr>
          <w:rFonts w:ascii="TimesNewRomanPSMT" w:hAnsi="TimesNewRomanPSMT" w:cs="TimesNewRomanPSMT"/>
        </w:rPr>
        <w:t>a</w:t>
      </w:r>
      <w:r w:rsidRPr="00BE6116">
        <w:rPr>
          <w:rFonts w:ascii="TimesNewRomanPSMT" w:hAnsi="TimesNewRomanPSMT" w:cs="TimesNewRomanPSMT"/>
        </w:rPr>
        <w:t>gency guidance documents are issued</w:t>
      </w:r>
      <w:r>
        <w:rPr>
          <w:rFonts w:ascii="TimesNewRomanPSMT" w:hAnsi="TimesNewRomanPSMT" w:cs="TimesNewRomanPSMT"/>
        </w:rPr>
        <w:t xml:space="preserve"> </w:t>
      </w:r>
      <w:r w:rsidRPr="00BE6116">
        <w:rPr>
          <w:rFonts w:ascii="TimesNewRomanPSMT" w:hAnsi="TimesNewRomanPSMT" w:cs="TimesNewRomanPSMT"/>
        </w:rPr>
        <w:t>in accordance with our good guidance</w:t>
      </w:r>
      <w:r>
        <w:rPr>
          <w:rFonts w:ascii="TimesNewRomanPSMT" w:hAnsi="TimesNewRomanPSMT" w:cs="TimesNewRomanPSMT"/>
        </w:rPr>
        <w:t xml:space="preserve"> </w:t>
      </w:r>
      <w:r w:rsidRPr="00BE6116">
        <w:rPr>
          <w:rFonts w:ascii="TimesNewRomanPSMT" w:hAnsi="TimesNewRomanPSMT" w:cs="TimesNewRomanPSMT"/>
        </w:rPr>
        <w:t>practice regulations in 21 CFR 10.115,</w:t>
      </w:r>
      <w:r>
        <w:rPr>
          <w:rFonts w:ascii="TimesNewRomanPSMT" w:hAnsi="TimesNewRomanPSMT" w:cs="TimesNewRomanPSMT"/>
        </w:rPr>
        <w:t xml:space="preserve"> </w:t>
      </w:r>
      <w:r w:rsidRPr="00BE6116">
        <w:rPr>
          <w:rFonts w:ascii="TimesNewRomanPSMT" w:hAnsi="TimesNewRomanPSMT" w:cs="TimesNewRomanPSMT"/>
        </w:rPr>
        <w:t>which provide for public comment at</w:t>
      </w:r>
      <w:r>
        <w:rPr>
          <w:rFonts w:ascii="TimesNewRomanPSMT" w:hAnsi="TimesNewRomanPSMT" w:cs="TimesNewRomanPSMT"/>
        </w:rPr>
        <w:t xml:space="preserve"> </w:t>
      </w:r>
      <w:r w:rsidRPr="00BE6116">
        <w:rPr>
          <w:rFonts w:ascii="TimesNewRomanPSMT" w:hAnsi="TimesNewRomanPSMT" w:cs="TimesNewRomanPSMT"/>
        </w:rPr>
        <w:t>any time.</w:t>
      </w:r>
    </w:p>
    <w:p w:rsidR="00141E5D" w:rsidP="00D15EA0" w14:paraId="4A8E59C7" w14:textId="77777777">
      <w:pPr>
        <w:autoSpaceDE w:val="0"/>
        <w:autoSpaceDN w:val="0"/>
        <w:adjustRightInd w:val="0"/>
        <w:rPr>
          <w:rFonts w:ascii="TimesNewRomanPSMT" w:hAnsi="TimesNewRomanPSMT" w:cs="TimesNewRomanPSMT"/>
        </w:rPr>
      </w:pPr>
    </w:p>
    <w:p w:rsidR="00141E5D" w:rsidP="00D15EA0" w14:paraId="52170F5E" w14:textId="726458C4">
      <w:pPr>
        <w:autoSpaceDE w:val="0"/>
        <w:autoSpaceDN w:val="0"/>
        <w:adjustRightInd w:val="0"/>
        <w:rPr>
          <w:rFonts w:ascii="TimesNewRomanPSMT" w:hAnsi="TimesNewRomanPSMT" w:cs="TimesNewRomanPSMT"/>
        </w:rPr>
      </w:pPr>
      <w:r>
        <w:rPr>
          <w:i/>
          <w:iCs/>
        </w:rPr>
        <w:t>Description of Respondents</w:t>
      </w:r>
      <w:r>
        <w:rPr>
          <w:rFonts w:ascii="TimesNewRomanPSMT" w:hAnsi="TimesNewRomanPSMT" w:cs="TimesNewRomanPSMT"/>
        </w:rPr>
        <w:t xml:space="preserve">: </w:t>
      </w:r>
      <w:r w:rsidR="00682DDB">
        <w:rPr>
          <w:rFonts w:ascii="TimesNewRomanPSMT" w:hAnsi="TimesNewRomanPSMT" w:cs="TimesNewRomanPSMT"/>
        </w:rPr>
        <w:t xml:space="preserve"> </w:t>
      </w:r>
      <w:r>
        <w:rPr>
          <w:rFonts w:ascii="TimesNewRomanPSMT" w:hAnsi="TimesNewRomanPSMT" w:cs="TimesNewRomanPSMT"/>
        </w:rPr>
        <w:t xml:space="preserve">Respondents to this information collection are manufacturers, processors, packers, and holders of retail food products marketed in the United States. </w:t>
      </w:r>
      <w:r w:rsidRPr="00A07A3C">
        <w:t xml:space="preserve"> </w:t>
      </w:r>
      <w:r w:rsidRPr="00A07A3C">
        <w:rPr>
          <w:rFonts w:ascii="TimesNewRomanPSMT" w:hAnsi="TimesNewRomanPSMT" w:cs="TimesNewRomanPSMT"/>
        </w:rPr>
        <w:t>Respondents are from the private sector (for-profit businesses).</w:t>
      </w:r>
    </w:p>
    <w:p w:rsidR="00357C8A" w:rsidRPr="0008008E" w:rsidP="00D15EA0" w14:paraId="59B56E73" w14:textId="77777777">
      <w:pPr>
        <w:rPr>
          <w:rFonts w:eastAsia="Calibri"/>
          <w:color w:val="000000"/>
        </w:rPr>
      </w:pPr>
    </w:p>
    <w:p w:rsidR="00357C8A" w:rsidRPr="00357C8A" w:rsidP="00D15EA0" w14:paraId="205B21CC" w14:textId="77777777">
      <w:pPr>
        <w:numPr>
          <w:ilvl w:val="0"/>
          <w:numId w:val="6"/>
        </w:numPr>
        <w:spacing w:line="276" w:lineRule="auto"/>
        <w:rPr>
          <w:rFonts w:eastAsia="Calibri"/>
          <w:u w:val="single"/>
        </w:rPr>
      </w:pPr>
      <w:r w:rsidRPr="00357C8A">
        <w:rPr>
          <w:rFonts w:eastAsia="Calibri"/>
          <w:u w:val="single"/>
        </w:rPr>
        <w:t>Use of Improved Information Technology and Burden Reduction</w:t>
      </w:r>
    </w:p>
    <w:p w:rsidR="00D74521" w:rsidP="00D15EA0" w14:paraId="632C57CA" w14:textId="77777777">
      <w:pPr>
        <w:autoSpaceDE w:val="0"/>
        <w:autoSpaceDN w:val="0"/>
        <w:adjustRightInd w:val="0"/>
        <w:rPr>
          <w:rFonts w:ascii="TimesNewRomanPSMT" w:hAnsi="TimesNewRomanPSMT" w:cs="TimesNewRomanPSMT"/>
        </w:rPr>
      </w:pPr>
    </w:p>
    <w:p w:rsidR="00141E5D" w:rsidP="00D15EA0" w14:paraId="3730C191" w14:textId="77777777">
      <w:pPr>
        <w:autoSpaceDE w:val="0"/>
        <w:autoSpaceDN w:val="0"/>
        <w:adjustRightInd w:val="0"/>
        <w:rPr>
          <w:rFonts w:ascii="TimesNewRomanPSMT" w:hAnsi="TimesNewRomanPSMT" w:cs="TimesNewRomanPSMT"/>
        </w:rPr>
      </w:pPr>
      <w:r>
        <w:rPr>
          <w:rFonts w:ascii="TimesNewRomanPSMT" w:hAnsi="TimesNewRomanPSMT" w:cs="TimesNewRomanPSMT"/>
        </w:rPr>
        <w:t>The information collection does not require the use of information technology, but we encourage this approach.  We expect most respondents will fulfill the information collection in electronic format, as records must be made available upon FDA request (for inspection or to review a food defense incident).</w:t>
      </w:r>
    </w:p>
    <w:p w:rsidR="00357C8A" w:rsidRPr="0008008E" w:rsidP="00D15EA0" w14:paraId="647EA1B4" w14:textId="77777777">
      <w:pPr>
        <w:rPr>
          <w:rFonts w:eastAsia="Calibri"/>
          <w:color w:val="000000"/>
        </w:rPr>
      </w:pPr>
    </w:p>
    <w:p w:rsidR="00357C8A" w:rsidRPr="00357C8A" w:rsidP="00D15EA0" w14:paraId="690E61E9" w14:textId="77777777">
      <w:pPr>
        <w:numPr>
          <w:ilvl w:val="0"/>
          <w:numId w:val="6"/>
        </w:numPr>
        <w:spacing w:line="276" w:lineRule="auto"/>
        <w:rPr>
          <w:rFonts w:eastAsia="Calibri"/>
        </w:rPr>
      </w:pPr>
      <w:r w:rsidRPr="00357C8A">
        <w:rPr>
          <w:rFonts w:eastAsia="Calibri"/>
          <w:u w:val="single"/>
        </w:rPr>
        <w:t xml:space="preserve">Efforts to Identify Duplication and Use of Similar Information </w:t>
      </w:r>
    </w:p>
    <w:p w:rsidR="00D74521" w:rsidP="00D15EA0" w14:paraId="67CF1A95" w14:textId="77777777">
      <w:pPr>
        <w:autoSpaceDE w:val="0"/>
        <w:autoSpaceDN w:val="0"/>
        <w:adjustRightInd w:val="0"/>
      </w:pPr>
    </w:p>
    <w:p w:rsidR="000C1260" w:rsidP="00682DDB" w14:paraId="011DD49C" w14:textId="0FF5BF45">
      <w:pPr>
        <w:autoSpaceDE w:val="0"/>
        <w:autoSpaceDN w:val="0"/>
        <w:adjustRightInd w:val="0"/>
        <w:rPr>
          <w:rFonts w:ascii="TimesNewRomanPSMT" w:hAnsi="TimesNewRomanPSMT" w:cs="TimesNewRomanPSMT"/>
        </w:rPr>
      </w:pPr>
      <w:r w:rsidRPr="005C71CA">
        <w:t>We are unaware of duplicative information collection.</w:t>
      </w:r>
      <w:r>
        <w:t xml:space="preserve">  </w:t>
      </w:r>
      <w:r>
        <w:rPr>
          <w:rFonts w:ascii="TimesNewRomanPSMT" w:hAnsi="TimesNewRomanPSMT" w:cs="TimesNewRomanPSMT"/>
        </w:rPr>
        <w:t xml:space="preserve">This information collection involves requirements for food facilities regarding mitigation strategies to protect food against intentional adulteration not otherwise established elsewhere.  The information compliments, but does not duplicate, other information collection provisions </w:t>
      </w:r>
      <w:r w:rsidR="00682DDB">
        <w:rPr>
          <w:rFonts w:ascii="TimesNewRomanPSMT" w:hAnsi="TimesNewRomanPSMT" w:cs="TimesNewRomanPSMT"/>
        </w:rPr>
        <w:t>intended to ensure the safety of food products.</w:t>
      </w:r>
    </w:p>
    <w:p w:rsidR="00682DDB" w:rsidRPr="0008008E" w:rsidP="00682DDB" w14:paraId="5878D68F" w14:textId="77777777">
      <w:pPr>
        <w:autoSpaceDE w:val="0"/>
        <w:autoSpaceDN w:val="0"/>
        <w:adjustRightInd w:val="0"/>
        <w:rPr>
          <w:rFonts w:eastAsia="Calibri"/>
          <w:color w:val="000000"/>
        </w:rPr>
      </w:pPr>
    </w:p>
    <w:p w:rsidR="00357C8A" w:rsidRPr="00357C8A" w:rsidP="00D15EA0" w14:paraId="707216F2" w14:textId="77777777">
      <w:pPr>
        <w:numPr>
          <w:ilvl w:val="0"/>
          <w:numId w:val="6"/>
        </w:numPr>
        <w:spacing w:line="276" w:lineRule="auto"/>
        <w:rPr>
          <w:rFonts w:eastAsia="Calibri"/>
        </w:rPr>
      </w:pPr>
      <w:r w:rsidRPr="00357C8A">
        <w:rPr>
          <w:rFonts w:eastAsia="Calibri"/>
          <w:u w:val="single"/>
        </w:rPr>
        <w:t>Impact on Small Businesses or Other Small Entities</w:t>
      </w:r>
    </w:p>
    <w:p w:rsidR="00D74521" w:rsidP="00D15EA0" w14:paraId="63E73D8C" w14:textId="77777777">
      <w:pPr>
        <w:autoSpaceDE w:val="0"/>
        <w:autoSpaceDN w:val="0"/>
        <w:adjustRightInd w:val="0"/>
        <w:rPr>
          <w:rFonts w:ascii="TimesNewRomanPSMT" w:hAnsi="TimesNewRomanPSMT" w:cs="TimesNewRomanPSMT"/>
        </w:rPr>
      </w:pPr>
    </w:p>
    <w:p w:rsidR="00141E5D" w:rsidP="00D15EA0" w14:paraId="693F8CFA" w14:textId="7318CD5C">
      <w:pPr>
        <w:autoSpaceDE w:val="0"/>
        <w:autoSpaceDN w:val="0"/>
        <w:adjustRightInd w:val="0"/>
        <w:rPr>
          <w:rFonts w:ascii="TimesNewRomanPSMT" w:hAnsi="TimesNewRomanPSMT" w:cs="TimesNewRomanPSMT"/>
        </w:rPr>
      </w:pPr>
      <w:r>
        <w:rPr>
          <w:rFonts w:ascii="TimesNewRomanPSMT" w:hAnsi="TimesNewRomanPSMT" w:cs="TimesNewRomanPSMT"/>
        </w:rPr>
        <w:t>The regulations provide for exemptions to a “</w:t>
      </w:r>
      <w:r>
        <w:rPr>
          <w:i/>
          <w:iCs/>
        </w:rPr>
        <w:t>very small business</w:t>
      </w:r>
      <w:r>
        <w:rPr>
          <w:rFonts w:ascii="TimesNewRomanPSMT" w:hAnsi="TimesNewRomanPSMT" w:cs="TimesNewRomanPSMT"/>
        </w:rPr>
        <w:t>,” except that the facility would be required to provide for official review documentation that was relied upon to assert the exemption.  To assist small businesses, we provided for a staggered effective date to minimize the impact of the new requirements.</w:t>
      </w:r>
      <w:r w:rsidR="00682DDB">
        <w:rPr>
          <w:rFonts w:ascii="TimesNewRomanPSMT" w:hAnsi="TimesNewRomanPSMT" w:cs="TimesNewRomanPSMT"/>
        </w:rPr>
        <w:t xml:space="preserve">  </w:t>
      </w:r>
      <w:r w:rsidRPr="002D5D41">
        <w:rPr>
          <w:rFonts w:ascii="TimesNewRomanPSMT" w:hAnsi="TimesNewRomanPSMT" w:cs="TimesNewRomanPSMT"/>
        </w:rPr>
        <w:t xml:space="preserve">We </w:t>
      </w:r>
      <w:r>
        <w:rPr>
          <w:rFonts w:ascii="TimesNewRomanPSMT" w:hAnsi="TimesNewRomanPSMT" w:cs="TimesNewRomanPSMT"/>
        </w:rPr>
        <w:t xml:space="preserve">also </w:t>
      </w:r>
      <w:r w:rsidRPr="002D5D41">
        <w:rPr>
          <w:rFonts w:ascii="TimesNewRomanPSMT" w:hAnsi="TimesNewRomanPSMT" w:cs="TimesNewRomanPSMT"/>
        </w:rPr>
        <w:t xml:space="preserve">assist small businesses in complying with our requirements through Regional Small Business Representatives and through scientific and administrative staffs within the agency.  Assistance is also available for small businesses via the agency’s website at </w:t>
      </w:r>
      <w:hyperlink r:id="rId6" w:history="1">
        <w:r w:rsidRPr="00B4392A">
          <w:rPr>
            <w:rStyle w:val="Hyperlink"/>
            <w:rFonts w:ascii="TimesNewRomanPSMT" w:hAnsi="TimesNewRomanPSMT" w:cs="TimesNewRomanPSMT"/>
          </w:rPr>
          <w:t>https://www.fda.gov/industry/small-business-assistance</w:t>
        </w:r>
      </w:hyperlink>
      <w:r w:rsidRPr="002D5D41">
        <w:rPr>
          <w:rFonts w:ascii="TimesNewRomanPSMT" w:hAnsi="TimesNewRomanPSMT" w:cs="TimesNewRomanPSMT"/>
        </w:rPr>
        <w:t>.</w:t>
      </w:r>
    </w:p>
    <w:p w:rsidR="00357C8A" w:rsidRPr="00357C8A" w:rsidP="00D15EA0" w14:paraId="461048E8" w14:textId="77777777">
      <w:pPr>
        <w:rPr>
          <w:rFonts w:eastAsia="Calibri"/>
        </w:rPr>
      </w:pPr>
    </w:p>
    <w:p w:rsidR="00357C8A" w:rsidRPr="00357C8A" w:rsidP="00D15EA0" w14:paraId="79C9D04F" w14:textId="77777777">
      <w:pPr>
        <w:numPr>
          <w:ilvl w:val="0"/>
          <w:numId w:val="6"/>
        </w:numPr>
        <w:spacing w:line="276" w:lineRule="auto"/>
        <w:rPr>
          <w:rFonts w:eastAsia="Calibri"/>
          <w:u w:val="single"/>
        </w:rPr>
      </w:pPr>
      <w:r w:rsidRPr="00357C8A">
        <w:rPr>
          <w:rFonts w:eastAsia="Calibri"/>
          <w:u w:val="single"/>
        </w:rPr>
        <w:t>Consequences of Collecting the Information Less Frequently</w:t>
      </w:r>
    </w:p>
    <w:p w:rsidR="00D74521" w:rsidP="00D15EA0" w14:paraId="4E495358" w14:textId="77777777">
      <w:pPr>
        <w:autoSpaceDE w:val="0"/>
        <w:autoSpaceDN w:val="0"/>
        <w:adjustRightInd w:val="0"/>
        <w:rPr>
          <w:rFonts w:ascii="TimesNewRomanPSMT" w:hAnsi="TimesNewRomanPSMT" w:cs="TimesNewRomanPSMT"/>
        </w:rPr>
      </w:pPr>
    </w:p>
    <w:p w:rsidR="00141E5D" w:rsidRPr="00141E5D" w:rsidP="00D15EA0" w14:paraId="6E0F3F7E" w14:textId="77777777">
      <w:pPr>
        <w:autoSpaceDE w:val="0"/>
        <w:autoSpaceDN w:val="0"/>
        <w:adjustRightInd w:val="0"/>
        <w:rPr>
          <w:rFonts w:eastAsia="Calibri"/>
          <w:color w:val="000000"/>
        </w:rPr>
      </w:pPr>
      <w:r>
        <w:rPr>
          <w:rFonts w:ascii="TimesNewRomanPSMT" w:hAnsi="TimesNewRomanPSMT" w:cs="TimesNewRomanPSMT"/>
        </w:rPr>
        <w:t>The information collection schedule is consistent with statutory and regulatory requirements.  Respondents must create and maintain records with appropriate frequency (e.g., hourly, weekly, monthly, quarterly or yearly basis) to demonstrate compliance.</w:t>
      </w:r>
    </w:p>
    <w:p w:rsidR="00357C8A" w:rsidRPr="0008008E" w:rsidP="00D15EA0" w14:paraId="5A03AD86" w14:textId="77777777">
      <w:pPr>
        <w:rPr>
          <w:rFonts w:eastAsia="Calibri"/>
          <w:color w:val="000000"/>
        </w:rPr>
      </w:pPr>
    </w:p>
    <w:p w:rsidR="00357C8A" w:rsidRPr="00357C8A" w:rsidP="00D15EA0" w14:paraId="5A24C51F" w14:textId="5223107E">
      <w:pPr>
        <w:numPr>
          <w:ilvl w:val="0"/>
          <w:numId w:val="6"/>
        </w:numPr>
        <w:spacing w:line="276" w:lineRule="auto"/>
        <w:rPr>
          <w:rFonts w:eastAsia="Calibri"/>
        </w:rPr>
      </w:pPr>
      <w:r>
        <w:rPr>
          <w:rFonts w:eastAsia="Calibri"/>
          <w:u w:val="single"/>
        </w:rPr>
        <w:br w:type="page"/>
      </w:r>
      <w:r w:rsidRPr="00357C8A">
        <w:rPr>
          <w:rFonts w:eastAsia="Calibri"/>
          <w:u w:val="single"/>
        </w:rPr>
        <w:t>Special Circumstances Relating to the Guidelines of 5 CFR 1320.5</w:t>
      </w:r>
    </w:p>
    <w:p w:rsidR="00D74521" w:rsidP="00D15EA0" w14:paraId="4FAB0F20" w14:textId="77777777">
      <w:pPr>
        <w:rPr>
          <w:rFonts w:eastAsia="Calibri"/>
        </w:rPr>
      </w:pPr>
    </w:p>
    <w:p w:rsidR="00141E5D" w:rsidRPr="00141E5D" w:rsidP="00D15EA0" w14:paraId="707028CC" w14:textId="77777777">
      <w:pPr>
        <w:rPr>
          <w:rFonts w:eastAsia="Calibri"/>
          <w:color w:val="000000"/>
        </w:rPr>
      </w:pPr>
      <w:r w:rsidRPr="00E40FFD">
        <w:rPr>
          <w:rFonts w:eastAsia="Calibri"/>
        </w:rPr>
        <w:t>There are no special circumstances for this collection of information.</w:t>
      </w:r>
    </w:p>
    <w:p w:rsidR="00357C8A" w:rsidRPr="00357C8A" w:rsidP="00D15EA0" w14:paraId="19DA02B6" w14:textId="77777777">
      <w:pPr>
        <w:rPr>
          <w:rFonts w:eastAsia="Calibri"/>
        </w:rPr>
      </w:pPr>
    </w:p>
    <w:p w:rsidR="00357C8A" w:rsidRPr="00357C8A" w:rsidP="00D15EA0" w14:paraId="5BA6C978" w14:textId="77777777">
      <w:pPr>
        <w:numPr>
          <w:ilvl w:val="0"/>
          <w:numId w:val="6"/>
        </w:numPr>
        <w:spacing w:line="276" w:lineRule="auto"/>
        <w:rPr>
          <w:rFonts w:eastAsia="Calibri"/>
        </w:rPr>
      </w:pPr>
      <w:r w:rsidRPr="00357C8A">
        <w:rPr>
          <w:rFonts w:eastAsia="Calibri"/>
          <w:u w:val="single"/>
        </w:rPr>
        <w:t>Comments in Response to the Federal Register Notice and Efforts to Consult Outside the Agency</w:t>
      </w:r>
    </w:p>
    <w:p w:rsidR="00D74521" w:rsidP="00D15EA0" w14:paraId="288BFA21" w14:textId="77777777">
      <w:pPr>
        <w:autoSpaceDE w:val="0"/>
        <w:autoSpaceDN w:val="0"/>
        <w:adjustRightInd w:val="0"/>
        <w:rPr>
          <w:rFonts w:ascii="TimesNewRomanPSMT" w:hAnsi="TimesNewRomanPSMT" w:cs="TimesNewRomanPSMT"/>
        </w:rPr>
      </w:pPr>
    </w:p>
    <w:p w:rsidR="00141E5D" w:rsidRPr="00141E5D" w:rsidP="00D15EA0" w14:paraId="1D078F4B" w14:textId="34524DED">
      <w:pPr>
        <w:autoSpaceDE w:val="0"/>
        <w:autoSpaceDN w:val="0"/>
        <w:adjustRightInd w:val="0"/>
        <w:rPr>
          <w:rFonts w:eastAsia="Calibri"/>
          <w:color w:val="000000"/>
        </w:rPr>
      </w:pPr>
      <w:r>
        <w:rPr>
          <w:rFonts w:ascii="TimesNewRomanPSMT" w:hAnsi="TimesNewRomanPSMT" w:cs="TimesNewRomanPSMT"/>
        </w:rPr>
        <w:t xml:space="preserve">In accordance with 5 CFR 1320.8(d), FDA published a 60-day notice for public comment in the </w:t>
      </w:r>
      <w:r w:rsidRPr="004B400C">
        <w:rPr>
          <w:rFonts w:ascii="TimesNewRomanPSMT" w:hAnsi="TimesNewRomanPSMT" w:cs="TimesNewRomanPSMT"/>
          <w:i/>
          <w:iCs/>
        </w:rPr>
        <w:t>Federal Register</w:t>
      </w:r>
      <w:r>
        <w:rPr>
          <w:rFonts w:ascii="TimesNewRomanPSMT" w:hAnsi="TimesNewRomanPSMT" w:cs="TimesNewRomanPSMT"/>
        </w:rPr>
        <w:t xml:space="preserve"> of</w:t>
      </w:r>
      <w:r w:rsidR="00433A71">
        <w:rPr>
          <w:rFonts w:ascii="TimesNewRomanPSMT" w:hAnsi="TimesNewRomanPSMT" w:cs="TimesNewRomanPSMT"/>
        </w:rPr>
        <w:t xml:space="preserve"> </w:t>
      </w:r>
      <w:r w:rsidR="008F3CD9">
        <w:rPr>
          <w:rFonts w:ascii="TimesNewRomanPSMT" w:hAnsi="TimesNewRomanPSMT" w:cs="TimesNewRomanPSMT"/>
        </w:rPr>
        <w:t>July 2, 2025 (90 FR 29025).</w:t>
      </w:r>
      <w:r>
        <w:rPr>
          <w:rFonts w:ascii="TimesNewRomanPSMT" w:hAnsi="TimesNewRomanPSMT" w:cs="TimesNewRomanPSMT"/>
        </w:rPr>
        <w:t xml:space="preserve">  No comments were received.</w:t>
      </w:r>
    </w:p>
    <w:p w:rsidR="00357C8A" w:rsidRPr="0008008E" w:rsidP="00D15EA0" w14:paraId="4610F8C7" w14:textId="77777777">
      <w:pPr>
        <w:rPr>
          <w:rFonts w:eastAsia="Calibri"/>
          <w:color w:val="000000"/>
        </w:rPr>
      </w:pPr>
    </w:p>
    <w:p w:rsidR="00357C8A" w:rsidRPr="00357C8A" w:rsidP="00D15EA0" w14:paraId="1424BD8B" w14:textId="77777777">
      <w:pPr>
        <w:numPr>
          <w:ilvl w:val="0"/>
          <w:numId w:val="6"/>
        </w:numPr>
        <w:spacing w:line="276" w:lineRule="auto"/>
        <w:rPr>
          <w:rFonts w:eastAsia="Calibri"/>
        </w:rPr>
      </w:pPr>
      <w:r w:rsidRPr="00357C8A">
        <w:rPr>
          <w:rFonts w:eastAsia="Calibri"/>
          <w:u w:val="single"/>
        </w:rPr>
        <w:t>Explanation of Any Payment or Gift to Respondents</w:t>
      </w:r>
    </w:p>
    <w:p w:rsidR="00D74521" w:rsidP="00D15EA0" w14:paraId="60882967" w14:textId="77777777">
      <w:pPr>
        <w:rPr>
          <w:rFonts w:eastAsia="Calibri"/>
        </w:rPr>
      </w:pPr>
    </w:p>
    <w:p w:rsidR="00357C8A" w:rsidP="00D15EA0" w14:paraId="62A93F30" w14:textId="77777777">
      <w:pPr>
        <w:rPr>
          <w:rFonts w:eastAsia="Calibri"/>
        </w:rPr>
      </w:pPr>
      <w:r w:rsidRPr="002074FE">
        <w:rPr>
          <w:rFonts w:eastAsia="Calibri"/>
        </w:rPr>
        <w:t>There are no incentives, payments or gifts associated with this information collection.</w:t>
      </w:r>
    </w:p>
    <w:p w:rsidR="00D74521" w:rsidRPr="00357C8A" w:rsidP="00D15EA0" w14:paraId="11EA0E6D" w14:textId="77777777">
      <w:pPr>
        <w:rPr>
          <w:rFonts w:eastAsia="Calibri"/>
          <w:color w:val="FF0000"/>
        </w:rPr>
      </w:pPr>
    </w:p>
    <w:p w:rsidR="00357C8A" w:rsidRPr="00357C8A" w:rsidP="00D15EA0" w14:paraId="5B3813FC" w14:textId="77777777">
      <w:pPr>
        <w:numPr>
          <w:ilvl w:val="0"/>
          <w:numId w:val="6"/>
        </w:numPr>
        <w:spacing w:line="276" w:lineRule="auto"/>
        <w:rPr>
          <w:rFonts w:eastAsia="Calibri"/>
        </w:rPr>
      </w:pPr>
      <w:r w:rsidRPr="00357C8A">
        <w:rPr>
          <w:rFonts w:eastAsia="Calibri"/>
          <w:u w:val="single"/>
        </w:rPr>
        <w:t>Assurance of Confidentiality Provided to Respondents</w:t>
      </w:r>
    </w:p>
    <w:p w:rsidR="00141E5D" w:rsidP="00D15EA0" w14:paraId="0F1750F7" w14:textId="77777777">
      <w:pPr>
        <w:autoSpaceDE w:val="0"/>
        <w:autoSpaceDN w:val="0"/>
        <w:adjustRightInd w:val="0"/>
        <w:rPr>
          <w:rFonts w:ascii="TimesNewRomanPSMT" w:hAnsi="TimesNewRomanPSMT" w:cs="TimesNewRomanPSMT"/>
        </w:rPr>
      </w:pPr>
    </w:p>
    <w:p w:rsidR="00141E5D" w:rsidRPr="00E86ABB" w:rsidP="00D15EA0" w14:paraId="0C89CF9A" w14:textId="49BAAB39">
      <w:pPr>
        <w:autoSpaceDE w:val="0"/>
        <w:autoSpaceDN w:val="0"/>
        <w:adjustRightInd w:val="0"/>
        <w:rPr>
          <w:rFonts w:ascii="TimesNewRomanPSMT" w:hAnsi="TimesNewRomanPSMT" w:cs="TimesNewRomanPSMT"/>
          <w:i/>
          <w:iCs/>
        </w:rPr>
      </w:pPr>
      <w:r>
        <w:rPr>
          <w:rFonts w:ascii="TimesNewRomanPSMT" w:hAnsi="TimesNewRomanPSMT" w:cs="TimesNewRomanPSMT"/>
          <w:i/>
          <w:iCs/>
        </w:rPr>
        <w:t xml:space="preserve">The </w:t>
      </w:r>
      <w:r w:rsidRPr="00E86ABB">
        <w:rPr>
          <w:rFonts w:ascii="TimesNewRomanPSMT" w:hAnsi="TimesNewRomanPSMT" w:cs="TimesNewRomanPSMT"/>
          <w:i/>
          <w:iCs/>
        </w:rPr>
        <w:t>Privacy Act</w:t>
      </w:r>
      <w:r>
        <w:rPr>
          <w:rFonts w:ascii="TimesNewRomanPSMT" w:hAnsi="TimesNewRomanPSMT" w:cs="TimesNewRomanPSMT"/>
          <w:i/>
          <w:iCs/>
        </w:rPr>
        <w:t xml:space="preserve"> of 1974</w:t>
      </w:r>
    </w:p>
    <w:p w:rsidR="00141E5D" w:rsidP="00D15EA0" w14:paraId="1DEDFF72" w14:textId="77777777">
      <w:pPr>
        <w:autoSpaceDE w:val="0"/>
        <w:autoSpaceDN w:val="0"/>
        <w:adjustRightInd w:val="0"/>
        <w:rPr>
          <w:rFonts w:ascii="TimesNewRomanPSMT" w:hAnsi="TimesNewRomanPSMT" w:cs="TimesNewRomanPSMT"/>
        </w:rPr>
      </w:pPr>
    </w:p>
    <w:p w:rsidR="00141E5D" w:rsidP="00D15EA0" w14:paraId="2B747D4C" w14:textId="666C8889">
      <w:r w:rsidRPr="00C33858">
        <w:t xml:space="preserve">In preparing this </w:t>
      </w:r>
      <w:r>
        <w:t>s</w:t>
      </w:r>
      <w:r w:rsidRPr="00C33858">
        <w:t xml:space="preserve">upporting </w:t>
      </w:r>
      <w:r>
        <w:t>s</w:t>
      </w:r>
      <w:r w:rsidRPr="00C33858">
        <w:t xml:space="preserve">tatement, </w:t>
      </w:r>
      <w:r>
        <w:t xml:space="preserve">we </w:t>
      </w:r>
      <w:r w:rsidRPr="00C33858">
        <w:t xml:space="preserve">consulted </w:t>
      </w:r>
      <w:r>
        <w:t xml:space="preserve">our </w:t>
      </w:r>
      <w:r w:rsidRPr="00C33858">
        <w:t xml:space="preserve">Privacy Office to ensure appropriate </w:t>
      </w:r>
      <w:r>
        <w:t xml:space="preserve">identification and </w:t>
      </w:r>
      <w:r w:rsidRPr="00C33858">
        <w:t>handling of information collected.</w:t>
      </w:r>
      <w:r w:rsidR="008F3CD9">
        <w:t xml:space="preserve">  Although t</w:t>
      </w:r>
      <w:r>
        <w:t>his ICR collects personally identifiable information (PII)</w:t>
      </w:r>
      <w:r w:rsidR="008F3CD9">
        <w:t xml:space="preserve">, it </w:t>
      </w:r>
      <w:r w:rsidRPr="00D66147">
        <w:t>is collected in the context of the subject individuals’ professional capacity and the FDA-related work perform</w:t>
      </w:r>
      <w:r w:rsidR="008F3CD9">
        <w:t>ed</w:t>
      </w:r>
      <w:r w:rsidRPr="00D66147">
        <w:t xml:space="preserve"> for their employer (e.g., point of contact at a regulated entity). </w:t>
      </w:r>
      <w:r>
        <w:t xml:space="preserve"> The PII submitted </w:t>
      </w:r>
      <w:r>
        <w:rPr>
          <w:rFonts w:eastAsia="Calibri"/>
        </w:rPr>
        <w:t>with the</w:t>
      </w:r>
      <w:r w:rsidRPr="002808D1">
        <w:rPr>
          <w:rFonts w:eastAsia="Calibri"/>
        </w:rPr>
        <w:t xml:space="preserve"> food defense plan </w:t>
      </w:r>
      <w:r>
        <w:rPr>
          <w:rFonts w:eastAsia="Calibri"/>
        </w:rPr>
        <w:t>is name.</w:t>
      </w:r>
      <w:r>
        <w:rPr>
          <w:b/>
        </w:rPr>
        <w:t xml:space="preserve">  </w:t>
      </w:r>
      <w:r>
        <w:rPr>
          <w:bCs/>
        </w:rPr>
        <w:t>R</w:t>
      </w:r>
      <w:r w:rsidRPr="002808D1">
        <w:rPr>
          <w:bCs/>
        </w:rPr>
        <w:t>ecordkeeping is maintained by the facility to comply with the regulation.</w:t>
      </w:r>
      <w:r w:rsidR="00B73995">
        <w:rPr>
          <w:bCs/>
        </w:rPr>
        <w:t xml:space="preserve">  We have </w:t>
      </w:r>
      <w:r>
        <w:t xml:space="preserve">determined that although PII is collected, it is not subject to the Privacy Act of 1974, and the particular notice and other requirements of the </w:t>
      </w:r>
      <w:r w:rsidR="00B73995">
        <w:t xml:space="preserve">Privacy </w:t>
      </w:r>
      <w:r>
        <w:t>Act do not apply.  Specifically, the facility or FDA</w:t>
      </w:r>
      <w:r w:rsidR="00D74521">
        <w:t xml:space="preserve"> </w:t>
      </w:r>
      <w:r>
        <w:t xml:space="preserve">do not use name or any other personal identifier to retrieve records from the information collected.  Through appropriate instruction, </w:t>
      </w:r>
      <w:r w:rsidRPr="00D66147">
        <w:t xml:space="preserve">FDA </w:t>
      </w:r>
      <w:r>
        <w:t xml:space="preserve">limited submission fields and </w:t>
      </w:r>
      <w:r w:rsidRPr="00D66147">
        <w:t>minimized the PII collected to protect the privacy of the individuals.</w:t>
      </w:r>
    </w:p>
    <w:p w:rsidR="00141E5D" w:rsidP="00D15EA0" w14:paraId="2EF79298" w14:textId="77777777">
      <w:pPr>
        <w:ind w:left="720"/>
      </w:pPr>
    </w:p>
    <w:p w:rsidR="00B73995" w:rsidRPr="00B73995" w:rsidP="00D15EA0" w14:paraId="108F37DB" w14:textId="77777777">
      <w:pPr>
        <w:rPr>
          <w:i/>
          <w:iCs/>
        </w:rPr>
      </w:pPr>
      <w:bookmarkStart w:id="1" w:name="_Hlk94771711"/>
      <w:r w:rsidRPr="00B73995">
        <w:rPr>
          <w:i/>
          <w:iCs/>
        </w:rPr>
        <w:t>Freedom of Information Act (FOIA)</w:t>
      </w:r>
    </w:p>
    <w:p w:rsidR="00B73995" w:rsidP="00D15EA0" w14:paraId="00FB2F9A" w14:textId="77777777"/>
    <w:p w:rsidR="008F3CD9" w:rsidP="00D15EA0" w14:paraId="1E0E4A4A" w14:textId="6198D1E8">
      <w:r>
        <w:t xml:space="preserve">Under FOIA </w:t>
      </w:r>
      <w:r w:rsidRPr="00C61647" w:rsidR="00141E5D">
        <w:t xml:space="preserve">(5 U.S.C. 552), the public has broad access to government documents. </w:t>
      </w:r>
      <w:r w:rsidR="00141E5D">
        <w:t xml:space="preserve"> </w:t>
      </w:r>
      <w:r w:rsidRPr="00C61647" w:rsidR="00141E5D">
        <w:t>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bookmarkEnd w:id="1"/>
      <w:r>
        <w:t xml:space="preserve">  Additionally, u</w:t>
      </w:r>
      <w:r w:rsidRPr="008F3CD9">
        <w:t xml:space="preserve">nder § 121.325, records are protected from public disclosure to the extent allowable under 21 CFR part 20.  Our general policies, procedures, and practices relating to the protection of confidential or otherwise protected information received from third parties would apply to information collected in accordance with the regulations.  </w:t>
      </w:r>
    </w:p>
    <w:p w:rsidR="001075D3" w:rsidRPr="001075D3" w:rsidP="00B73995" w14:paraId="54128724" w14:textId="77777777"/>
    <w:p w:rsidR="00357C8A" w:rsidRPr="00357C8A" w:rsidP="00D15EA0" w14:paraId="65D74E1C"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08008E" w:rsidP="00D15EA0" w14:paraId="0FDC86CE" w14:textId="77777777">
      <w:pPr>
        <w:spacing w:after="200"/>
        <w:rPr>
          <w:rFonts w:eastAsia="Calibri"/>
          <w:color w:val="000000"/>
        </w:rPr>
      </w:pPr>
      <w:r w:rsidRPr="00136A60">
        <w:rPr>
          <w:rFonts w:eastAsia="Calibri"/>
          <w:iCs/>
        </w:rPr>
        <w:t>The collection of information does not involve sensitive questions.</w:t>
      </w:r>
    </w:p>
    <w:p w:rsidR="00357C8A" w:rsidRPr="00357C8A" w:rsidP="00D15EA0" w14:paraId="1A2C3F44" w14:textId="50DA7CA7">
      <w:pPr>
        <w:numPr>
          <w:ilvl w:val="0"/>
          <w:numId w:val="6"/>
        </w:numPr>
        <w:spacing w:after="200" w:line="276" w:lineRule="auto"/>
        <w:rPr>
          <w:rFonts w:eastAsia="Calibri"/>
          <w:u w:val="single"/>
        </w:rPr>
      </w:pPr>
      <w:r>
        <w:rPr>
          <w:rFonts w:eastAsia="Calibri"/>
          <w:u w:val="single"/>
        </w:rPr>
        <w:br w:type="page"/>
      </w:r>
      <w:r w:rsidRPr="00357C8A">
        <w:rPr>
          <w:rFonts w:eastAsia="Calibri"/>
          <w:u w:val="single"/>
        </w:rPr>
        <w:t>Estimates of Annualized Burden Hours and Cost</w:t>
      </w:r>
    </w:p>
    <w:p w:rsidR="00141E5D" w:rsidRPr="00B73995" w:rsidP="00B73995" w14:paraId="11E45138" w14:textId="57753D2B">
      <w:pPr>
        <w:spacing w:after="200"/>
        <w:ind w:left="360"/>
        <w:rPr>
          <w:rFonts w:eastAsia="Calibri"/>
          <w:i/>
          <w:iCs/>
        </w:rPr>
      </w:pPr>
      <w:r w:rsidRPr="00B73995">
        <w:rPr>
          <w:rFonts w:eastAsia="Calibri"/>
          <w:i/>
          <w:iCs/>
        </w:rPr>
        <w:t>12a.  Annualized Hour Burden Estimate</w:t>
      </w:r>
    </w:p>
    <w:tbl>
      <w:tblPr>
        <w:tblW w:w="4898"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1320"/>
        <w:gridCol w:w="1410"/>
        <w:gridCol w:w="1143"/>
        <w:gridCol w:w="1408"/>
        <w:gridCol w:w="862"/>
      </w:tblGrid>
      <w:tr w14:paraId="218938D9" w14:textId="77777777" w:rsidTr="00B73995">
        <w:tblPrEx>
          <w:tblW w:w="4898"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blHeader/>
        </w:trPr>
        <w:tc>
          <w:tcPr>
            <w:tcW w:w="5000" w:type="pct"/>
            <w:gridSpan w:val="6"/>
            <w:tcBorders>
              <w:top w:val="nil"/>
              <w:left w:val="nil"/>
              <w:bottom w:val="single" w:sz="4" w:space="0" w:color="auto"/>
              <w:right w:val="nil"/>
            </w:tcBorders>
            <w:hideMark/>
          </w:tcPr>
          <w:p w:rsidR="00141E5D" w:rsidRPr="004B400C" w:rsidP="00D15EA0" w14:paraId="7F0C9A52" w14:textId="77777777">
            <w:pPr>
              <w:jc w:val="center"/>
              <w:rPr>
                <w:sz w:val="20"/>
                <w:szCs w:val="20"/>
              </w:rPr>
            </w:pPr>
            <w:r w:rsidRPr="004B400C">
              <w:rPr>
                <w:sz w:val="20"/>
                <w:szCs w:val="20"/>
              </w:rPr>
              <w:t>Table 1.--Estimated Annual Reporting Burden</w:t>
            </w:r>
            <w:r w:rsidRPr="004B400C">
              <w:rPr>
                <w:sz w:val="20"/>
                <w:szCs w:val="20"/>
                <w:vertAlign w:val="superscript"/>
              </w:rPr>
              <w:t>1</w:t>
            </w:r>
          </w:p>
        </w:tc>
      </w:tr>
      <w:tr w14:paraId="2DF6D2E1" w14:textId="77777777" w:rsidTr="00B73995">
        <w:tblPrEx>
          <w:tblW w:w="4898" w:type="pct"/>
          <w:tblInd w:w="198" w:type="dxa"/>
          <w:tblLook w:val="01E0"/>
        </w:tblPrEx>
        <w:trPr>
          <w:cantSplit/>
          <w:trHeight w:val="20"/>
        </w:trPr>
        <w:tc>
          <w:tcPr>
            <w:tcW w:w="1701" w:type="pct"/>
            <w:tcBorders>
              <w:top w:val="single" w:sz="4" w:space="0" w:color="auto"/>
              <w:left w:val="single" w:sz="4" w:space="0" w:color="auto"/>
              <w:bottom w:val="single" w:sz="4" w:space="0" w:color="auto"/>
              <w:right w:val="single" w:sz="4" w:space="0" w:color="auto"/>
            </w:tcBorders>
            <w:hideMark/>
          </w:tcPr>
          <w:p w:rsidR="00141E5D" w:rsidRPr="004B400C" w:rsidP="00D15EA0" w14:paraId="28569674" w14:textId="77777777">
            <w:pPr>
              <w:jc w:val="center"/>
              <w:rPr>
                <w:sz w:val="20"/>
                <w:szCs w:val="20"/>
              </w:rPr>
            </w:pPr>
            <w:r w:rsidRPr="004B400C">
              <w:rPr>
                <w:sz w:val="20"/>
                <w:szCs w:val="20"/>
              </w:rPr>
              <w:t xml:space="preserve">Activity; </w:t>
            </w:r>
          </w:p>
          <w:p w:rsidR="00141E5D" w:rsidRPr="004B400C" w:rsidP="00D15EA0" w14:paraId="1CD6ADC5" w14:textId="77777777">
            <w:pPr>
              <w:jc w:val="center"/>
              <w:rPr>
                <w:sz w:val="20"/>
                <w:szCs w:val="20"/>
              </w:rPr>
            </w:pPr>
            <w:r w:rsidRPr="004B400C">
              <w:rPr>
                <w:sz w:val="20"/>
                <w:szCs w:val="20"/>
              </w:rPr>
              <w:t xml:space="preserve">21 CFR Section </w:t>
            </w:r>
          </w:p>
        </w:tc>
        <w:tc>
          <w:tcPr>
            <w:tcW w:w="709" w:type="pct"/>
            <w:tcBorders>
              <w:top w:val="single" w:sz="4" w:space="0" w:color="auto"/>
              <w:left w:val="single" w:sz="4" w:space="0" w:color="auto"/>
              <w:bottom w:val="single" w:sz="4" w:space="0" w:color="auto"/>
              <w:right w:val="single" w:sz="4" w:space="0" w:color="auto"/>
            </w:tcBorders>
            <w:hideMark/>
          </w:tcPr>
          <w:p w:rsidR="00141E5D" w:rsidRPr="004B400C" w:rsidP="00D15EA0" w14:paraId="72D518EF" w14:textId="77777777">
            <w:pPr>
              <w:jc w:val="center"/>
              <w:rPr>
                <w:sz w:val="20"/>
                <w:szCs w:val="20"/>
              </w:rPr>
            </w:pPr>
            <w:r w:rsidRPr="004B400C">
              <w:rPr>
                <w:sz w:val="20"/>
                <w:szCs w:val="20"/>
              </w:rPr>
              <w:t>No. of Respondents</w:t>
            </w:r>
          </w:p>
        </w:tc>
        <w:tc>
          <w:tcPr>
            <w:tcW w:w="757" w:type="pct"/>
            <w:tcBorders>
              <w:top w:val="single" w:sz="4" w:space="0" w:color="auto"/>
              <w:left w:val="single" w:sz="4" w:space="0" w:color="auto"/>
              <w:bottom w:val="single" w:sz="4" w:space="0" w:color="auto"/>
              <w:right w:val="single" w:sz="4" w:space="0" w:color="auto"/>
            </w:tcBorders>
            <w:hideMark/>
          </w:tcPr>
          <w:p w:rsidR="00141E5D" w:rsidRPr="004B400C" w:rsidP="00D15EA0" w14:paraId="742A75C4" w14:textId="77777777">
            <w:pPr>
              <w:jc w:val="center"/>
              <w:rPr>
                <w:sz w:val="20"/>
                <w:szCs w:val="20"/>
              </w:rPr>
            </w:pPr>
            <w:r w:rsidRPr="004B400C">
              <w:rPr>
                <w:bCs/>
                <w:sz w:val="20"/>
                <w:szCs w:val="20"/>
              </w:rPr>
              <w:t>No. of Responses per Respondent</w:t>
            </w:r>
          </w:p>
        </w:tc>
        <w:tc>
          <w:tcPr>
            <w:tcW w:w="614" w:type="pct"/>
            <w:tcBorders>
              <w:top w:val="single" w:sz="4" w:space="0" w:color="auto"/>
              <w:left w:val="single" w:sz="4" w:space="0" w:color="auto"/>
              <w:bottom w:val="single" w:sz="4" w:space="0" w:color="auto"/>
              <w:right w:val="single" w:sz="4" w:space="0" w:color="auto"/>
            </w:tcBorders>
            <w:hideMark/>
          </w:tcPr>
          <w:p w:rsidR="00141E5D" w:rsidRPr="004B400C" w:rsidP="00D15EA0" w14:paraId="1BF4E49B" w14:textId="77777777">
            <w:pPr>
              <w:jc w:val="center"/>
              <w:rPr>
                <w:sz w:val="20"/>
                <w:szCs w:val="20"/>
              </w:rPr>
            </w:pPr>
            <w:r w:rsidRPr="004B400C">
              <w:rPr>
                <w:sz w:val="20"/>
                <w:szCs w:val="20"/>
              </w:rPr>
              <w:t>Total Annual Responses</w:t>
            </w:r>
          </w:p>
        </w:tc>
        <w:tc>
          <w:tcPr>
            <w:tcW w:w="756" w:type="pct"/>
            <w:tcBorders>
              <w:top w:val="single" w:sz="4" w:space="0" w:color="auto"/>
              <w:left w:val="single" w:sz="4" w:space="0" w:color="auto"/>
              <w:bottom w:val="single" w:sz="4" w:space="0" w:color="auto"/>
              <w:right w:val="single" w:sz="4" w:space="0" w:color="auto"/>
            </w:tcBorders>
            <w:hideMark/>
          </w:tcPr>
          <w:p w:rsidR="00141E5D" w:rsidRPr="004B400C" w:rsidP="00D15EA0" w14:paraId="1CF2C04A" w14:textId="77777777">
            <w:pPr>
              <w:jc w:val="center"/>
              <w:rPr>
                <w:sz w:val="20"/>
                <w:szCs w:val="20"/>
              </w:rPr>
            </w:pPr>
            <w:r w:rsidRPr="004B400C">
              <w:rPr>
                <w:bCs/>
                <w:sz w:val="20"/>
                <w:szCs w:val="20"/>
              </w:rPr>
              <w:t>Average Burden per Response</w:t>
            </w:r>
          </w:p>
        </w:tc>
        <w:tc>
          <w:tcPr>
            <w:tcW w:w="462" w:type="pct"/>
            <w:tcBorders>
              <w:top w:val="single" w:sz="4" w:space="0" w:color="auto"/>
              <w:left w:val="single" w:sz="4" w:space="0" w:color="auto"/>
              <w:bottom w:val="single" w:sz="4" w:space="0" w:color="auto"/>
              <w:right w:val="single" w:sz="4" w:space="0" w:color="auto"/>
            </w:tcBorders>
            <w:hideMark/>
          </w:tcPr>
          <w:p w:rsidR="00141E5D" w:rsidRPr="004B400C" w:rsidP="00D15EA0" w14:paraId="27C79048" w14:textId="77777777">
            <w:pPr>
              <w:jc w:val="center"/>
              <w:rPr>
                <w:sz w:val="20"/>
                <w:szCs w:val="20"/>
              </w:rPr>
            </w:pPr>
            <w:r w:rsidRPr="004B400C">
              <w:rPr>
                <w:sz w:val="20"/>
                <w:szCs w:val="20"/>
              </w:rPr>
              <w:t>Total Hours</w:t>
            </w:r>
          </w:p>
        </w:tc>
      </w:tr>
      <w:tr w14:paraId="17A9E66B" w14:textId="77777777" w:rsidTr="00B73995">
        <w:tblPrEx>
          <w:tblW w:w="4898" w:type="pct"/>
          <w:tblInd w:w="198" w:type="dxa"/>
          <w:tblLook w:val="01E0"/>
        </w:tblPrEx>
        <w:trPr>
          <w:cantSplit/>
          <w:trHeight w:val="20"/>
        </w:trPr>
        <w:tc>
          <w:tcPr>
            <w:tcW w:w="1701" w:type="pct"/>
            <w:tcBorders>
              <w:top w:val="single" w:sz="4" w:space="0" w:color="auto"/>
              <w:left w:val="single" w:sz="4" w:space="0" w:color="auto"/>
              <w:bottom w:val="single" w:sz="4" w:space="0" w:color="auto"/>
              <w:right w:val="single" w:sz="4" w:space="0" w:color="auto"/>
            </w:tcBorders>
            <w:hideMark/>
          </w:tcPr>
          <w:p w:rsidR="00141E5D" w:rsidRPr="004B400C" w:rsidP="00D15EA0" w14:paraId="5F8B8F6A" w14:textId="267FD63C">
            <w:pPr>
              <w:rPr>
                <w:sz w:val="20"/>
                <w:szCs w:val="20"/>
              </w:rPr>
            </w:pPr>
            <w:r w:rsidRPr="004B400C">
              <w:rPr>
                <w:sz w:val="20"/>
                <w:szCs w:val="20"/>
              </w:rPr>
              <w:t>Exemption for food from very small businesses; § 121.5</w:t>
            </w:r>
          </w:p>
        </w:tc>
        <w:tc>
          <w:tcPr>
            <w:tcW w:w="709" w:type="pct"/>
            <w:tcBorders>
              <w:top w:val="single" w:sz="4" w:space="0" w:color="auto"/>
              <w:left w:val="single" w:sz="4" w:space="0" w:color="auto"/>
              <w:bottom w:val="single" w:sz="4" w:space="0" w:color="auto"/>
              <w:right w:val="single" w:sz="4" w:space="0" w:color="auto"/>
            </w:tcBorders>
            <w:hideMark/>
          </w:tcPr>
          <w:p w:rsidR="00141E5D" w:rsidRPr="004B400C" w:rsidP="00D15EA0" w14:paraId="0809BE09" w14:textId="77777777">
            <w:pPr>
              <w:jc w:val="right"/>
              <w:rPr>
                <w:sz w:val="20"/>
                <w:szCs w:val="20"/>
              </w:rPr>
            </w:pPr>
            <w:r w:rsidRPr="004B400C">
              <w:rPr>
                <w:sz w:val="20"/>
                <w:szCs w:val="20"/>
              </w:rPr>
              <w:t>18,080</w:t>
            </w:r>
          </w:p>
        </w:tc>
        <w:tc>
          <w:tcPr>
            <w:tcW w:w="757" w:type="pct"/>
            <w:tcBorders>
              <w:top w:val="single" w:sz="4" w:space="0" w:color="auto"/>
              <w:left w:val="single" w:sz="4" w:space="0" w:color="auto"/>
              <w:bottom w:val="single" w:sz="4" w:space="0" w:color="auto"/>
              <w:right w:val="single" w:sz="4" w:space="0" w:color="auto"/>
            </w:tcBorders>
            <w:hideMark/>
          </w:tcPr>
          <w:p w:rsidR="00141E5D" w:rsidRPr="004B400C" w:rsidP="00D15EA0" w14:paraId="78CC21A7" w14:textId="77777777">
            <w:pPr>
              <w:jc w:val="right"/>
              <w:rPr>
                <w:sz w:val="20"/>
                <w:szCs w:val="20"/>
              </w:rPr>
            </w:pPr>
            <w:r w:rsidRPr="004B400C">
              <w:rPr>
                <w:sz w:val="20"/>
                <w:szCs w:val="20"/>
              </w:rPr>
              <w:t>1</w:t>
            </w:r>
          </w:p>
        </w:tc>
        <w:tc>
          <w:tcPr>
            <w:tcW w:w="614" w:type="pct"/>
            <w:tcBorders>
              <w:top w:val="single" w:sz="4" w:space="0" w:color="auto"/>
              <w:left w:val="single" w:sz="4" w:space="0" w:color="auto"/>
              <w:bottom w:val="single" w:sz="4" w:space="0" w:color="auto"/>
              <w:right w:val="single" w:sz="4" w:space="0" w:color="auto"/>
            </w:tcBorders>
            <w:hideMark/>
          </w:tcPr>
          <w:p w:rsidR="00141E5D" w:rsidRPr="004B400C" w:rsidP="00D15EA0" w14:paraId="4A340153" w14:textId="77777777">
            <w:pPr>
              <w:jc w:val="right"/>
              <w:rPr>
                <w:sz w:val="20"/>
                <w:szCs w:val="20"/>
              </w:rPr>
            </w:pPr>
            <w:r w:rsidRPr="004B400C">
              <w:rPr>
                <w:sz w:val="20"/>
                <w:szCs w:val="20"/>
              </w:rPr>
              <w:t>18,080</w:t>
            </w:r>
          </w:p>
        </w:tc>
        <w:tc>
          <w:tcPr>
            <w:tcW w:w="756" w:type="pct"/>
            <w:tcBorders>
              <w:top w:val="single" w:sz="4" w:space="0" w:color="auto"/>
              <w:left w:val="single" w:sz="4" w:space="0" w:color="auto"/>
              <w:bottom w:val="single" w:sz="4" w:space="0" w:color="auto"/>
              <w:right w:val="single" w:sz="4" w:space="0" w:color="auto"/>
            </w:tcBorders>
            <w:hideMark/>
          </w:tcPr>
          <w:p w:rsidR="00141E5D" w:rsidP="00D15EA0" w14:paraId="48239828" w14:textId="77777777">
            <w:pPr>
              <w:jc w:val="right"/>
              <w:rPr>
                <w:sz w:val="20"/>
                <w:szCs w:val="20"/>
              </w:rPr>
            </w:pPr>
            <w:r w:rsidRPr="004B400C">
              <w:rPr>
                <w:sz w:val="20"/>
                <w:szCs w:val="20"/>
              </w:rPr>
              <w:t>0.5</w:t>
            </w:r>
          </w:p>
          <w:p w:rsidR="00141E5D" w:rsidRPr="004B400C" w:rsidP="00D15EA0" w14:paraId="1891098E" w14:textId="77777777">
            <w:pPr>
              <w:jc w:val="right"/>
              <w:rPr>
                <w:sz w:val="20"/>
                <w:szCs w:val="20"/>
              </w:rPr>
            </w:pPr>
            <w:r>
              <w:rPr>
                <w:sz w:val="20"/>
                <w:szCs w:val="20"/>
              </w:rPr>
              <w:t>(30 minutes)</w:t>
            </w:r>
          </w:p>
        </w:tc>
        <w:tc>
          <w:tcPr>
            <w:tcW w:w="462" w:type="pct"/>
            <w:tcBorders>
              <w:top w:val="single" w:sz="4" w:space="0" w:color="auto"/>
              <w:left w:val="single" w:sz="4" w:space="0" w:color="auto"/>
              <w:bottom w:val="single" w:sz="4" w:space="0" w:color="auto"/>
              <w:right w:val="single" w:sz="4" w:space="0" w:color="auto"/>
            </w:tcBorders>
            <w:hideMark/>
          </w:tcPr>
          <w:p w:rsidR="00141E5D" w:rsidRPr="004B400C" w:rsidP="00D15EA0" w14:paraId="0F2849F5" w14:textId="77777777">
            <w:pPr>
              <w:jc w:val="right"/>
              <w:rPr>
                <w:sz w:val="20"/>
                <w:szCs w:val="20"/>
              </w:rPr>
            </w:pPr>
            <w:r w:rsidRPr="004B400C">
              <w:rPr>
                <w:sz w:val="20"/>
                <w:szCs w:val="20"/>
              </w:rPr>
              <w:t>9,040</w:t>
            </w:r>
          </w:p>
        </w:tc>
      </w:tr>
    </w:tbl>
    <w:p w:rsidR="00141E5D" w:rsidRPr="004B400C" w:rsidP="00D15EA0" w14:paraId="6BF94300" w14:textId="1193F74B">
      <w:pPr>
        <w:rPr>
          <w:sz w:val="20"/>
          <w:szCs w:val="20"/>
        </w:rPr>
      </w:pPr>
      <w:r>
        <w:rPr>
          <w:sz w:val="20"/>
          <w:szCs w:val="20"/>
          <w:vertAlign w:val="superscript"/>
        </w:rPr>
        <w:t xml:space="preserve">     </w:t>
      </w:r>
      <w:r w:rsidRPr="004B400C">
        <w:rPr>
          <w:sz w:val="20"/>
          <w:szCs w:val="20"/>
          <w:vertAlign w:val="superscript"/>
        </w:rPr>
        <w:t>1</w:t>
      </w:r>
      <w:r w:rsidRPr="004B400C">
        <w:rPr>
          <w:sz w:val="20"/>
          <w:szCs w:val="20"/>
        </w:rPr>
        <w:t xml:space="preserve"> There are no capital costs or operating and maintenance costs associated with this collection of information.</w:t>
      </w:r>
    </w:p>
    <w:p w:rsidR="00141E5D" w:rsidP="00D15EA0" w14:paraId="548C56AD" w14:textId="77777777">
      <w:pPr>
        <w:ind w:left="360"/>
        <w:contextualSpacing/>
      </w:pPr>
    </w:p>
    <w:p w:rsidR="00141E5D" w:rsidP="0068443D" w14:paraId="26E61878" w14:textId="77777777">
      <w:pPr>
        <w:ind w:left="90"/>
        <w:contextualSpacing/>
      </w:pPr>
      <w:r w:rsidRPr="00D5699C">
        <w:t>Certain facilities may qualify for an</w:t>
      </w:r>
      <w:r>
        <w:t xml:space="preserve"> </w:t>
      </w:r>
      <w:r w:rsidRPr="00D5699C">
        <w:t>exemption under the regulations.</w:t>
      </w:r>
      <w:r>
        <w:t xml:space="preserve">  </w:t>
      </w:r>
      <w:r w:rsidRPr="00D5699C">
        <w:t>Because these facilities must provide</w:t>
      </w:r>
      <w:r>
        <w:t xml:space="preserve"> </w:t>
      </w:r>
      <w:r w:rsidRPr="00D5699C">
        <w:t>documentation upon request to verify</w:t>
      </w:r>
      <w:r>
        <w:t xml:space="preserve"> </w:t>
      </w:r>
      <w:r w:rsidRPr="00D5699C">
        <w:t>their exempt status, we have</w:t>
      </w:r>
      <w:r>
        <w:t xml:space="preserve"> </w:t>
      </w:r>
      <w:r w:rsidRPr="00D5699C">
        <w:t>characterized this as a reporting burden.</w:t>
      </w:r>
    </w:p>
    <w:p w:rsidR="00141E5D" w:rsidP="00D15EA0" w14:paraId="64458377" w14:textId="77777777">
      <w:pPr>
        <w:ind w:left="360"/>
        <w:contextualSpacing/>
      </w:pPr>
      <w:r>
        <w:t xml:space="preserve"> </w:t>
      </w:r>
    </w:p>
    <w:tbl>
      <w:tblPr>
        <w:tblW w:w="495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1"/>
        <w:gridCol w:w="1405"/>
        <w:gridCol w:w="1327"/>
        <w:gridCol w:w="1011"/>
        <w:gridCol w:w="1428"/>
        <w:gridCol w:w="1016"/>
      </w:tblGrid>
      <w:tr w14:paraId="50178891" w14:textId="77777777" w:rsidTr="009B72C4">
        <w:tblPrEx>
          <w:tblW w:w="495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5000" w:type="pct"/>
            <w:gridSpan w:val="6"/>
            <w:tcBorders>
              <w:top w:val="nil"/>
              <w:left w:val="nil"/>
              <w:bottom w:val="single" w:sz="4" w:space="0" w:color="auto"/>
              <w:right w:val="nil"/>
            </w:tcBorders>
            <w:hideMark/>
          </w:tcPr>
          <w:p w:rsidR="00141E5D" w:rsidRPr="00977021" w:rsidP="00D15EA0" w14:paraId="59D15E32" w14:textId="77777777">
            <w:pPr>
              <w:keepNext/>
              <w:jc w:val="center"/>
              <w:rPr>
                <w:sz w:val="20"/>
                <w:szCs w:val="20"/>
              </w:rPr>
            </w:pPr>
            <w:r w:rsidRPr="00977021">
              <w:rPr>
                <w:sz w:val="20"/>
                <w:szCs w:val="20"/>
              </w:rPr>
              <w:t>Table 2.--Estimated Annual Recordkeeping Burden</w:t>
            </w:r>
            <w:r w:rsidRPr="00977021">
              <w:rPr>
                <w:sz w:val="20"/>
                <w:szCs w:val="20"/>
                <w:vertAlign w:val="superscript"/>
              </w:rPr>
              <w:t>1</w:t>
            </w:r>
          </w:p>
        </w:tc>
      </w:tr>
      <w:tr w14:paraId="65EBD670" w14:textId="77777777" w:rsidTr="009B72C4">
        <w:tblPrEx>
          <w:tblW w:w="4955" w:type="pct"/>
          <w:tblInd w:w="90" w:type="dxa"/>
          <w:tblLook w:val="01E0"/>
        </w:tblPrEx>
        <w:trPr>
          <w:trHeight w:val="611"/>
          <w:tblHeader/>
        </w:trPr>
        <w:tc>
          <w:tcPr>
            <w:tcW w:w="1716" w:type="pct"/>
            <w:tcBorders>
              <w:top w:val="single" w:sz="4" w:space="0" w:color="auto"/>
              <w:left w:val="single" w:sz="4" w:space="0" w:color="auto"/>
              <w:bottom w:val="single" w:sz="4" w:space="0" w:color="auto"/>
              <w:right w:val="single" w:sz="4" w:space="0" w:color="auto"/>
            </w:tcBorders>
            <w:hideMark/>
          </w:tcPr>
          <w:p w:rsidR="00141E5D" w:rsidRPr="00977021" w:rsidP="00D15EA0" w14:paraId="31DF0BCD" w14:textId="77777777">
            <w:pPr>
              <w:keepNext/>
              <w:jc w:val="center"/>
              <w:rPr>
                <w:sz w:val="20"/>
                <w:szCs w:val="20"/>
              </w:rPr>
            </w:pPr>
            <w:r w:rsidRPr="00977021">
              <w:rPr>
                <w:sz w:val="20"/>
                <w:szCs w:val="20"/>
              </w:rPr>
              <w:t xml:space="preserve">Activity; </w:t>
            </w:r>
          </w:p>
          <w:p w:rsidR="00141E5D" w:rsidRPr="00977021" w:rsidP="00D15EA0" w14:paraId="54D48B3E" w14:textId="77777777">
            <w:pPr>
              <w:keepNext/>
              <w:jc w:val="center"/>
              <w:rPr>
                <w:sz w:val="20"/>
                <w:szCs w:val="20"/>
              </w:rPr>
            </w:pPr>
            <w:r w:rsidRPr="00977021">
              <w:rPr>
                <w:sz w:val="20"/>
                <w:szCs w:val="20"/>
              </w:rPr>
              <w:t>21 CFR Section</w:t>
            </w:r>
          </w:p>
        </w:tc>
        <w:tc>
          <w:tcPr>
            <w:tcW w:w="746" w:type="pct"/>
            <w:tcBorders>
              <w:top w:val="single" w:sz="4" w:space="0" w:color="auto"/>
              <w:left w:val="single" w:sz="4" w:space="0" w:color="auto"/>
              <w:bottom w:val="single" w:sz="4" w:space="0" w:color="auto"/>
              <w:right w:val="single" w:sz="4" w:space="0" w:color="auto"/>
            </w:tcBorders>
            <w:hideMark/>
          </w:tcPr>
          <w:p w:rsidR="00141E5D" w:rsidRPr="00977021" w:rsidP="00D15EA0" w14:paraId="78EEA635" w14:textId="77777777">
            <w:pPr>
              <w:keepNext/>
              <w:jc w:val="center"/>
              <w:rPr>
                <w:sz w:val="20"/>
                <w:szCs w:val="20"/>
              </w:rPr>
            </w:pPr>
            <w:r w:rsidRPr="00977021">
              <w:rPr>
                <w:sz w:val="20"/>
                <w:szCs w:val="20"/>
              </w:rPr>
              <w:t>No. of Recordkeepers</w:t>
            </w:r>
          </w:p>
        </w:tc>
        <w:tc>
          <w:tcPr>
            <w:tcW w:w="705" w:type="pct"/>
            <w:tcBorders>
              <w:top w:val="single" w:sz="4" w:space="0" w:color="auto"/>
              <w:left w:val="single" w:sz="4" w:space="0" w:color="auto"/>
              <w:bottom w:val="single" w:sz="4" w:space="0" w:color="auto"/>
              <w:right w:val="single" w:sz="4" w:space="0" w:color="auto"/>
            </w:tcBorders>
            <w:hideMark/>
          </w:tcPr>
          <w:p w:rsidR="00141E5D" w:rsidRPr="00977021" w:rsidP="00D15EA0" w14:paraId="766B338A" w14:textId="77777777">
            <w:pPr>
              <w:keepNext/>
              <w:jc w:val="center"/>
              <w:rPr>
                <w:sz w:val="20"/>
                <w:szCs w:val="20"/>
              </w:rPr>
            </w:pPr>
            <w:r w:rsidRPr="00977021">
              <w:rPr>
                <w:bCs/>
                <w:sz w:val="20"/>
                <w:szCs w:val="20"/>
              </w:rPr>
              <w:t>No. of Records per Recordkeeper</w:t>
            </w:r>
          </w:p>
        </w:tc>
        <w:tc>
          <w:tcPr>
            <w:tcW w:w="537" w:type="pct"/>
            <w:tcBorders>
              <w:top w:val="single" w:sz="4" w:space="0" w:color="auto"/>
              <w:left w:val="single" w:sz="4" w:space="0" w:color="auto"/>
              <w:bottom w:val="single" w:sz="4" w:space="0" w:color="auto"/>
              <w:right w:val="single" w:sz="4" w:space="0" w:color="auto"/>
            </w:tcBorders>
            <w:hideMark/>
          </w:tcPr>
          <w:p w:rsidR="00141E5D" w:rsidRPr="00977021" w:rsidP="00D15EA0" w14:paraId="09A531BE" w14:textId="77777777">
            <w:pPr>
              <w:keepNext/>
              <w:jc w:val="center"/>
              <w:rPr>
                <w:sz w:val="20"/>
                <w:szCs w:val="20"/>
              </w:rPr>
            </w:pPr>
            <w:r w:rsidRPr="00977021">
              <w:rPr>
                <w:sz w:val="20"/>
                <w:szCs w:val="20"/>
              </w:rPr>
              <w:t>Total Annual Records</w:t>
            </w:r>
          </w:p>
        </w:tc>
        <w:tc>
          <w:tcPr>
            <w:tcW w:w="758" w:type="pct"/>
            <w:tcBorders>
              <w:top w:val="single" w:sz="4" w:space="0" w:color="auto"/>
              <w:left w:val="single" w:sz="4" w:space="0" w:color="auto"/>
              <w:bottom w:val="single" w:sz="4" w:space="0" w:color="auto"/>
              <w:right w:val="single" w:sz="4" w:space="0" w:color="auto"/>
            </w:tcBorders>
            <w:hideMark/>
          </w:tcPr>
          <w:p w:rsidR="00141E5D" w:rsidRPr="00977021" w:rsidP="00D15EA0" w14:paraId="2171FC33" w14:textId="77777777">
            <w:pPr>
              <w:keepNext/>
              <w:jc w:val="center"/>
              <w:rPr>
                <w:sz w:val="20"/>
                <w:szCs w:val="20"/>
              </w:rPr>
            </w:pPr>
            <w:r w:rsidRPr="00977021">
              <w:rPr>
                <w:bCs/>
                <w:sz w:val="20"/>
                <w:szCs w:val="20"/>
              </w:rPr>
              <w:t xml:space="preserve">Average Burden per Recordkeeping </w:t>
            </w:r>
          </w:p>
        </w:tc>
        <w:tc>
          <w:tcPr>
            <w:tcW w:w="539" w:type="pct"/>
            <w:tcBorders>
              <w:top w:val="single" w:sz="4" w:space="0" w:color="auto"/>
              <w:left w:val="single" w:sz="4" w:space="0" w:color="auto"/>
              <w:bottom w:val="single" w:sz="4" w:space="0" w:color="auto"/>
              <w:right w:val="single" w:sz="4" w:space="0" w:color="auto"/>
            </w:tcBorders>
            <w:hideMark/>
          </w:tcPr>
          <w:p w:rsidR="00141E5D" w:rsidRPr="00977021" w:rsidP="00D15EA0" w14:paraId="2CE4F085" w14:textId="77777777">
            <w:pPr>
              <w:keepNext/>
              <w:jc w:val="center"/>
              <w:rPr>
                <w:sz w:val="20"/>
                <w:szCs w:val="20"/>
              </w:rPr>
            </w:pPr>
            <w:r w:rsidRPr="00977021">
              <w:rPr>
                <w:sz w:val="20"/>
                <w:szCs w:val="20"/>
              </w:rPr>
              <w:t>Total Hours</w:t>
            </w:r>
          </w:p>
        </w:tc>
      </w:tr>
      <w:tr w14:paraId="1251E94B" w14:textId="77777777" w:rsidTr="009B72C4">
        <w:tblPrEx>
          <w:tblW w:w="4955" w:type="pct"/>
          <w:tblInd w:w="90" w:type="dxa"/>
          <w:tblLook w:val="01E0"/>
        </w:tblPrEx>
        <w:trPr>
          <w:trHeight w:val="278"/>
        </w:trPr>
        <w:tc>
          <w:tcPr>
            <w:tcW w:w="1716" w:type="pct"/>
            <w:tcBorders>
              <w:top w:val="single" w:sz="4" w:space="0" w:color="auto"/>
              <w:left w:val="single" w:sz="4" w:space="0" w:color="auto"/>
              <w:bottom w:val="single" w:sz="4" w:space="0" w:color="auto"/>
              <w:right w:val="single" w:sz="4" w:space="0" w:color="auto"/>
            </w:tcBorders>
            <w:hideMark/>
          </w:tcPr>
          <w:p w:rsidR="00141E5D" w:rsidRPr="00977021" w:rsidP="00D15EA0" w14:paraId="238E6267" w14:textId="77777777">
            <w:pPr>
              <w:keepNext/>
              <w:rPr>
                <w:sz w:val="20"/>
                <w:szCs w:val="20"/>
              </w:rPr>
            </w:pPr>
            <w:r w:rsidRPr="00977021">
              <w:rPr>
                <w:sz w:val="20"/>
                <w:szCs w:val="20"/>
              </w:rPr>
              <w:t>Food Defense Plan; § 121.126</w:t>
            </w:r>
          </w:p>
        </w:tc>
        <w:tc>
          <w:tcPr>
            <w:tcW w:w="746" w:type="pct"/>
            <w:tcBorders>
              <w:top w:val="single" w:sz="4" w:space="0" w:color="auto"/>
              <w:left w:val="single" w:sz="4" w:space="0" w:color="auto"/>
              <w:bottom w:val="single" w:sz="4" w:space="0" w:color="auto"/>
              <w:right w:val="single" w:sz="4" w:space="0" w:color="auto"/>
            </w:tcBorders>
            <w:hideMark/>
          </w:tcPr>
          <w:p w:rsidR="00141E5D" w:rsidRPr="00977021" w:rsidP="00D15EA0" w14:paraId="2861C97C" w14:textId="77777777">
            <w:pPr>
              <w:keepNext/>
              <w:jc w:val="right"/>
              <w:rPr>
                <w:sz w:val="20"/>
                <w:szCs w:val="20"/>
              </w:rPr>
            </w:pPr>
            <w:r w:rsidRPr="00977021">
              <w:rPr>
                <w:sz w:val="20"/>
                <w:szCs w:val="20"/>
              </w:rPr>
              <w:t>3,247</w:t>
            </w:r>
          </w:p>
        </w:tc>
        <w:tc>
          <w:tcPr>
            <w:tcW w:w="705" w:type="pct"/>
            <w:tcBorders>
              <w:top w:val="single" w:sz="4" w:space="0" w:color="auto"/>
              <w:left w:val="single" w:sz="4" w:space="0" w:color="auto"/>
              <w:bottom w:val="single" w:sz="4" w:space="0" w:color="auto"/>
              <w:right w:val="single" w:sz="4" w:space="0" w:color="auto"/>
            </w:tcBorders>
            <w:hideMark/>
          </w:tcPr>
          <w:p w:rsidR="00141E5D" w:rsidRPr="00977021" w:rsidP="00D15EA0" w14:paraId="4A7B5923" w14:textId="77777777">
            <w:pPr>
              <w:keepNext/>
              <w:jc w:val="right"/>
              <w:rPr>
                <w:sz w:val="20"/>
                <w:szCs w:val="20"/>
              </w:rPr>
            </w:pPr>
            <w:r w:rsidRPr="00977021">
              <w:rPr>
                <w:sz w:val="20"/>
                <w:szCs w:val="20"/>
              </w:rPr>
              <w:t>1</w:t>
            </w:r>
          </w:p>
        </w:tc>
        <w:tc>
          <w:tcPr>
            <w:tcW w:w="537" w:type="pct"/>
            <w:tcBorders>
              <w:top w:val="single" w:sz="4" w:space="0" w:color="auto"/>
              <w:left w:val="single" w:sz="4" w:space="0" w:color="auto"/>
              <w:bottom w:val="single" w:sz="4" w:space="0" w:color="auto"/>
              <w:right w:val="single" w:sz="4" w:space="0" w:color="auto"/>
            </w:tcBorders>
            <w:hideMark/>
          </w:tcPr>
          <w:p w:rsidR="00141E5D" w:rsidRPr="00977021" w:rsidP="00D15EA0" w14:paraId="79176B4E" w14:textId="77777777">
            <w:pPr>
              <w:keepNext/>
              <w:jc w:val="right"/>
              <w:rPr>
                <w:sz w:val="20"/>
                <w:szCs w:val="20"/>
              </w:rPr>
            </w:pPr>
            <w:r w:rsidRPr="00977021">
              <w:rPr>
                <w:sz w:val="20"/>
                <w:szCs w:val="20"/>
              </w:rPr>
              <w:t>3,247</w:t>
            </w:r>
          </w:p>
        </w:tc>
        <w:tc>
          <w:tcPr>
            <w:tcW w:w="758" w:type="pct"/>
            <w:tcBorders>
              <w:top w:val="single" w:sz="4" w:space="0" w:color="auto"/>
              <w:left w:val="single" w:sz="4" w:space="0" w:color="auto"/>
              <w:bottom w:val="single" w:sz="4" w:space="0" w:color="auto"/>
              <w:right w:val="single" w:sz="4" w:space="0" w:color="auto"/>
            </w:tcBorders>
            <w:hideMark/>
          </w:tcPr>
          <w:p w:rsidR="00141E5D" w:rsidRPr="00977021" w:rsidP="00D15EA0" w14:paraId="127C7624" w14:textId="77777777">
            <w:pPr>
              <w:keepNext/>
              <w:jc w:val="right"/>
              <w:rPr>
                <w:sz w:val="20"/>
                <w:szCs w:val="20"/>
              </w:rPr>
            </w:pPr>
            <w:r w:rsidRPr="00977021">
              <w:rPr>
                <w:sz w:val="20"/>
                <w:szCs w:val="20"/>
              </w:rPr>
              <w:t>23</w:t>
            </w:r>
          </w:p>
        </w:tc>
        <w:tc>
          <w:tcPr>
            <w:tcW w:w="539" w:type="pct"/>
            <w:tcBorders>
              <w:top w:val="single" w:sz="4" w:space="0" w:color="auto"/>
              <w:left w:val="single" w:sz="4" w:space="0" w:color="auto"/>
              <w:bottom w:val="single" w:sz="4" w:space="0" w:color="auto"/>
              <w:right w:val="single" w:sz="4" w:space="0" w:color="auto"/>
            </w:tcBorders>
            <w:hideMark/>
          </w:tcPr>
          <w:p w:rsidR="00141E5D" w:rsidRPr="00977021" w:rsidP="00D15EA0" w14:paraId="4BCCFEA5" w14:textId="77777777">
            <w:pPr>
              <w:keepNext/>
              <w:jc w:val="right"/>
              <w:rPr>
                <w:sz w:val="20"/>
                <w:szCs w:val="20"/>
              </w:rPr>
            </w:pPr>
            <w:r w:rsidRPr="00977021">
              <w:rPr>
                <w:sz w:val="20"/>
                <w:szCs w:val="20"/>
              </w:rPr>
              <w:t>74,681</w:t>
            </w:r>
          </w:p>
        </w:tc>
      </w:tr>
      <w:tr w14:paraId="24EB4B5C" w14:textId="77777777" w:rsidTr="009B72C4">
        <w:tblPrEx>
          <w:tblW w:w="4955" w:type="pct"/>
          <w:tblInd w:w="90" w:type="dxa"/>
          <w:tblLook w:val="01E0"/>
        </w:tblPrEx>
        <w:trPr>
          <w:trHeight w:val="260"/>
        </w:trPr>
        <w:tc>
          <w:tcPr>
            <w:tcW w:w="1716" w:type="pct"/>
            <w:tcBorders>
              <w:top w:val="single" w:sz="4" w:space="0" w:color="auto"/>
              <w:left w:val="single" w:sz="4" w:space="0" w:color="auto"/>
              <w:bottom w:val="single" w:sz="4" w:space="0" w:color="auto"/>
              <w:right w:val="single" w:sz="4" w:space="0" w:color="auto"/>
            </w:tcBorders>
            <w:hideMark/>
          </w:tcPr>
          <w:p w:rsidR="00141E5D" w:rsidRPr="00977021" w:rsidP="00D15EA0" w14:paraId="3508D246" w14:textId="4B58B711">
            <w:pPr>
              <w:keepNext/>
              <w:rPr>
                <w:sz w:val="20"/>
                <w:szCs w:val="20"/>
              </w:rPr>
            </w:pPr>
            <w:r w:rsidRPr="00977021">
              <w:rPr>
                <w:sz w:val="20"/>
                <w:szCs w:val="20"/>
              </w:rPr>
              <w:t>Actionable Process Steps; § 121.130</w:t>
            </w:r>
          </w:p>
        </w:tc>
        <w:tc>
          <w:tcPr>
            <w:tcW w:w="746" w:type="pct"/>
            <w:tcBorders>
              <w:top w:val="single" w:sz="4" w:space="0" w:color="auto"/>
              <w:left w:val="single" w:sz="4" w:space="0" w:color="auto"/>
              <w:bottom w:val="single" w:sz="4" w:space="0" w:color="auto"/>
              <w:right w:val="single" w:sz="4" w:space="0" w:color="auto"/>
            </w:tcBorders>
            <w:hideMark/>
          </w:tcPr>
          <w:p w:rsidR="00141E5D" w:rsidRPr="00977021" w:rsidP="00D15EA0" w14:paraId="2E77967B" w14:textId="77777777">
            <w:pPr>
              <w:keepNext/>
              <w:jc w:val="right"/>
              <w:rPr>
                <w:sz w:val="20"/>
                <w:szCs w:val="20"/>
              </w:rPr>
            </w:pPr>
            <w:r w:rsidRPr="00977021">
              <w:rPr>
                <w:sz w:val="20"/>
                <w:szCs w:val="20"/>
              </w:rPr>
              <w:t>9,759</w:t>
            </w:r>
          </w:p>
        </w:tc>
        <w:tc>
          <w:tcPr>
            <w:tcW w:w="705" w:type="pct"/>
            <w:tcBorders>
              <w:top w:val="single" w:sz="4" w:space="0" w:color="auto"/>
              <w:left w:val="single" w:sz="4" w:space="0" w:color="auto"/>
              <w:bottom w:val="single" w:sz="4" w:space="0" w:color="auto"/>
              <w:right w:val="single" w:sz="4" w:space="0" w:color="auto"/>
            </w:tcBorders>
            <w:hideMark/>
          </w:tcPr>
          <w:p w:rsidR="00141E5D" w:rsidRPr="00977021" w:rsidP="00D15EA0" w14:paraId="3CD4B85D" w14:textId="77777777">
            <w:pPr>
              <w:keepNext/>
              <w:jc w:val="right"/>
              <w:rPr>
                <w:sz w:val="20"/>
                <w:szCs w:val="20"/>
              </w:rPr>
            </w:pPr>
            <w:r w:rsidRPr="00977021">
              <w:rPr>
                <w:sz w:val="20"/>
                <w:szCs w:val="20"/>
              </w:rPr>
              <w:t>1</w:t>
            </w:r>
          </w:p>
        </w:tc>
        <w:tc>
          <w:tcPr>
            <w:tcW w:w="537" w:type="pct"/>
            <w:tcBorders>
              <w:top w:val="single" w:sz="4" w:space="0" w:color="auto"/>
              <w:left w:val="single" w:sz="4" w:space="0" w:color="auto"/>
              <w:bottom w:val="single" w:sz="4" w:space="0" w:color="auto"/>
              <w:right w:val="single" w:sz="4" w:space="0" w:color="auto"/>
            </w:tcBorders>
            <w:hideMark/>
          </w:tcPr>
          <w:p w:rsidR="00141E5D" w:rsidRPr="00977021" w:rsidP="00D15EA0" w14:paraId="47B18CCB" w14:textId="77777777">
            <w:pPr>
              <w:keepNext/>
              <w:jc w:val="right"/>
              <w:rPr>
                <w:sz w:val="20"/>
                <w:szCs w:val="20"/>
              </w:rPr>
            </w:pPr>
            <w:r w:rsidRPr="00977021">
              <w:rPr>
                <w:sz w:val="20"/>
                <w:szCs w:val="20"/>
              </w:rPr>
              <w:t>9,759</w:t>
            </w:r>
          </w:p>
        </w:tc>
        <w:tc>
          <w:tcPr>
            <w:tcW w:w="758" w:type="pct"/>
            <w:tcBorders>
              <w:top w:val="single" w:sz="4" w:space="0" w:color="auto"/>
              <w:left w:val="single" w:sz="4" w:space="0" w:color="auto"/>
              <w:bottom w:val="single" w:sz="4" w:space="0" w:color="auto"/>
              <w:right w:val="single" w:sz="4" w:space="0" w:color="auto"/>
            </w:tcBorders>
            <w:hideMark/>
          </w:tcPr>
          <w:p w:rsidR="00141E5D" w:rsidRPr="00977021" w:rsidP="00D15EA0" w14:paraId="01732CC1" w14:textId="77777777">
            <w:pPr>
              <w:jc w:val="right"/>
              <w:rPr>
                <w:sz w:val="20"/>
                <w:szCs w:val="20"/>
              </w:rPr>
            </w:pPr>
            <w:r w:rsidRPr="00977021">
              <w:rPr>
                <w:sz w:val="20"/>
                <w:szCs w:val="20"/>
              </w:rPr>
              <w:t>20</w:t>
            </w:r>
          </w:p>
        </w:tc>
        <w:tc>
          <w:tcPr>
            <w:tcW w:w="539" w:type="pct"/>
            <w:tcBorders>
              <w:top w:val="single" w:sz="4" w:space="0" w:color="auto"/>
              <w:left w:val="single" w:sz="4" w:space="0" w:color="auto"/>
              <w:bottom w:val="single" w:sz="4" w:space="0" w:color="auto"/>
              <w:right w:val="single" w:sz="4" w:space="0" w:color="auto"/>
            </w:tcBorders>
            <w:hideMark/>
          </w:tcPr>
          <w:p w:rsidR="00141E5D" w:rsidRPr="00977021" w:rsidP="00D15EA0" w14:paraId="3A8895E5" w14:textId="77777777">
            <w:pPr>
              <w:keepNext/>
              <w:jc w:val="right"/>
              <w:rPr>
                <w:sz w:val="20"/>
                <w:szCs w:val="20"/>
              </w:rPr>
            </w:pPr>
            <w:r w:rsidRPr="00977021">
              <w:rPr>
                <w:sz w:val="20"/>
                <w:szCs w:val="20"/>
              </w:rPr>
              <w:t>195,180</w:t>
            </w:r>
          </w:p>
        </w:tc>
      </w:tr>
      <w:tr w14:paraId="4CBB474E" w14:textId="77777777" w:rsidTr="009B72C4">
        <w:tblPrEx>
          <w:tblW w:w="4955" w:type="pct"/>
          <w:tblInd w:w="90" w:type="dxa"/>
          <w:tblLook w:val="01E0"/>
        </w:tblPrEx>
        <w:trPr>
          <w:trHeight w:val="251"/>
        </w:trPr>
        <w:tc>
          <w:tcPr>
            <w:tcW w:w="1716" w:type="pct"/>
            <w:tcBorders>
              <w:top w:val="single" w:sz="4" w:space="0" w:color="auto"/>
              <w:left w:val="single" w:sz="4" w:space="0" w:color="auto"/>
              <w:bottom w:val="single" w:sz="4" w:space="0" w:color="auto"/>
              <w:right w:val="single" w:sz="4" w:space="0" w:color="auto"/>
            </w:tcBorders>
            <w:hideMark/>
          </w:tcPr>
          <w:p w:rsidR="00141E5D" w:rsidRPr="00977021" w:rsidP="00D15EA0" w14:paraId="0CEB3A5B" w14:textId="2D57E76E">
            <w:pPr>
              <w:keepNext/>
              <w:rPr>
                <w:sz w:val="20"/>
                <w:szCs w:val="20"/>
              </w:rPr>
            </w:pPr>
            <w:r w:rsidRPr="00977021">
              <w:rPr>
                <w:sz w:val="20"/>
                <w:szCs w:val="20"/>
              </w:rPr>
              <w:t>Mitigation Strategies; § 121.135(b)</w:t>
            </w:r>
          </w:p>
        </w:tc>
        <w:tc>
          <w:tcPr>
            <w:tcW w:w="746" w:type="pct"/>
            <w:tcBorders>
              <w:top w:val="single" w:sz="4" w:space="0" w:color="auto"/>
              <w:left w:val="single" w:sz="4" w:space="0" w:color="auto"/>
              <w:bottom w:val="single" w:sz="4" w:space="0" w:color="auto"/>
              <w:right w:val="single" w:sz="4" w:space="0" w:color="auto"/>
            </w:tcBorders>
            <w:hideMark/>
          </w:tcPr>
          <w:p w:rsidR="00141E5D" w:rsidRPr="00977021" w:rsidP="00D15EA0" w14:paraId="372A6F47" w14:textId="77777777">
            <w:pPr>
              <w:keepNext/>
              <w:jc w:val="right"/>
              <w:rPr>
                <w:sz w:val="20"/>
                <w:szCs w:val="20"/>
              </w:rPr>
            </w:pPr>
            <w:r w:rsidRPr="00977021">
              <w:rPr>
                <w:sz w:val="20"/>
                <w:szCs w:val="20"/>
              </w:rPr>
              <w:t>9,759</w:t>
            </w:r>
          </w:p>
        </w:tc>
        <w:tc>
          <w:tcPr>
            <w:tcW w:w="705" w:type="pct"/>
            <w:tcBorders>
              <w:top w:val="single" w:sz="4" w:space="0" w:color="auto"/>
              <w:left w:val="single" w:sz="4" w:space="0" w:color="auto"/>
              <w:bottom w:val="single" w:sz="4" w:space="0" w:color="auto"/>
              <w:right w:val="single" w:sz="4" w:space="0" w:color="auto"/>
            </w:tcBorders>
            <w:hideMark/>
          </w:tcPr>
          <w:p w:rsidR="00141E5D" w:rsidRPr="00977021" w:rsidP="00D15EA0" w14:paraId="71FBD5CD" w14:textId="77777777">
            <w:pPr>
              <w:keepNext/>
              <w:jc w:val="right"/>
              <w:rPr>
                <w:sz w:val="20"/>
                <w:szCs w:val="20"/>
              </w:rPr>
            </w:pPr>
            <w:r w:rsidRPr="00977021">
              <w:rPr>
                <w:sz w:val="20"/>
                <w:szCs w:val="20"/>
              </w:rPr>
              <w:t>1</w:t>
            </w:r>
          </w:p>
        </w:tc>
        <w:tc>
          <w:tcPr>
            <w:tcW w:w="537" w:type="pct"/>
            <w:tcBorders>
              <w:top w:val="single" w:sz="4" w:space="0" w:color="auto"/>
              <w:left w:val="single" w:sz="4" w:space="0" w:color="auto"/>
              <w:bottom w:val="single" w:sz="4" w:space="0" w:color="auto"/>
              <w:right w:val="single" w:sz="4" w:space="0" w:color="auto"/>
            </w:tcBorders>
            <w:hideMark/>
          </w:tcPr>
          <w:p w:rsidR="00141E5D" w:rsidRPr="00977021" w:rsidP="00D15EA0" w14:paraId="6545FF99" w14:textId="77777777">
            <w:pPr>
              <w:keepNext/>
              <w:jc w:val="right"/>
              <w:rPr>
                <w:sz w:val="20"/>
                <w:szCs w:val="20"/>
              </w:rPr>
            </w:pPr>
            <w:r w:rsidRPr="00977021">
              <w:rPr>
                <w:sz w:val="20"/>
                <w:szCs w:val="20"/>
              </w:rPr>
              <w:t>9,759</w:t>
            </w:r>
          </w:p>
        </w:tc>
        <w:tc>
          <w:tcPr>
            <w:tcW w:w="758" w:type="pct"/>
            <w:tcBorders>
              <w:top w:val="single" w:sz="4" w:space="0" w:color="auto"/>
              <w:left w:val="single" w:sz="4" w:space="0" w:color="auto"/>
              <w:bottom w:val="single" w:sz="4" w:space="0" w:color="auto"/>
              <w:right w:val="single" w:sz="4" w:space="0" w:color="auto"/>
            </w:tcBorders>
            <w:hideMark/>
          </w:tcPr>
          <w:p w:rsidR="00141E5D" w:rsidRPr="00977021" w:rsidP="00D15EA0" w14:paraId="496B8099" w14:textId="77777777">
            <w:pPr>
              <w:jc w:val="right"/>
              <w:rPr>
                <w:sz w:val="20"/>
                <w:szCs w:val="20"/>
              </w:rPr>
            </w:pPr>
            <w:r w:rsidRPr="00977021">
              <w:rPr>
                <w:sz w:val="20"/>
                <w:szCs w:val="20"/>
              </w:rPr>
              <w:t>20</w:t>
            </w:r>
          </w:p>
        </w:tc>
        <w:tc>
          <w:tcPr>
            <w:tcW w:w="539" w:type="pct"/>
            <w:tcBorders>
              <w:top w:val="single" w:sz="4" w:space="0" w:color="auto"/>
              <w:left w:val="single" w:sz="4" w:space="0" w:color="auto"/>
              <w:bottom w:val="single" w:sz="4" w:space="0" w:color="auto"/>
              <w:right w:val="single" w:sz="4" w:space="0" w:color="auto"/>
            </w:tcBorders>
            <w:hideMark/>
          </w:tcPr>
          <w:p w:rsidR="00141E5D" w:rsidRPr="00977021" w:rsidP="00D15EA0" w14:paraId="3C315CA0" w14:textId="77777777">
            <w:pPr>
              <w:keepNext/>
              <w:jc w:val="right"/>
              <w:rPr>
                <w:sz w:val="20"/>
                <w:szCs w:val="20"/>
              </w:rPr>
            </w:pPr>
            <w:r w:rsidRPr="00977021">
              <w:rPr>
                <w:sz w:val="20"/>
                <w:szCs w:val="20"/>
              </w:rPr>
              <w:t>195,180</w:t>
            </w:r>
          </w:p>
        </w:tc>
      </w:tr>
      <w:tr w14:paraId="458E3E9D" w14:textId="77777777" w:rsidTr="009B72C4">
        <w:tblPrEx>
          <w:tblW w:w="4955" w:type="pct"/>
          <w:tblInd w:w="90" w:type="dxa"/>
          <w:tblLook w:val="01E0"/>
        </w:tblPrEx>
        <w:trPr>
          <w:trHeight w:val="521"/>
        </w:trPr>
        <w:tc>
          <w:tcPr>
            <w:tcW w:w="1716" w:type="pct"/>
            <w:tcBorders>
              <w:top w:val="single" w:sz="4" w:space="0" w:color="auto"/>
              <w:left w:val="single" w:sz="4" w:space="0" w:color="auto"/>
              <w:bottom w:val="single" w:sz="4" w:space="0" w:color="auto"/>
              <w:right w:val="single" w:sz="4" w:space="0" w:color="auto"/>
            </w:tcBorders>
            <w:hideMark/>
          </w:tcPr>
          <w:p w:rsidR="00141E5D" w:rsidRPr="00977021" w:rsidP="00D15EA0" w14:paraId="2F9A274C" w14:textId="6059491C">
            <w:pPr>
              <w:keepNext/>
              <w:rPr>
                <w:sz w:val="20"/>
                <w:szCs w:val="20"/>
              </w:rPr>
            </w:pPr>
            <w:r w:rsidRPr="00977021">
              <w:rPr>
                <w:sz w:val="20"/>
                <w:szCs w:val="20"/>
              </w:rPr>
              <w:t>Monitoring</w:t>
            </w:r>
            <w:r>
              <w:rPr>
                <w:sz w:val="20"/>
                <w:szCs w:val="20"/>
              </w:rPr>
              <w:t>,</w:t>
            </w:r>
            <w:r w:rsidRPr="00977021">
              <w:rPr>
                <w:sz w:val="20"/>
                <w:szCs w:val="20"/>
              </w:rPr>
              <w:t xml:space="preserve"> Corrective Actions, Verification;</w:t>
            </w:r>
            <w:r w:rsidR="00B73995">
              <w:rPr>
                <w:sz w:val="20"/>
                <w:szCs w:val="20"/>
              </w:rPr>
              <w:t xml:space="preserve"> </w:t>
            </w:r>
            <w:r w:rsidRPr="00977021">
              <w:rPr>
                <w:sz w:val="20"/>
                <w:szCs w:val="20"/>
              </w:rPr>
              <w:t>§</w:t>
            </w:r>
            <w:r w:rsidRPr="00276F64">
              <w:rPr>
                <w:sz w:val="20"/>
                <w:szCs w:val="20"/>
              </w:rPr>
              <w:t>§</w:t>
            </w:r>
            <w:r w:rsidRPr="00977021">
              <w:rPr>
                <w:sz w:val="20"/>
                <w:szCs w:val="20"/>
              </w:rPr>
              <w:t xml:space="preserve"> 121.140(a),</w:t>
            </w:r>
            <w:r w:rsidR="00B73995">
              <w:rPr>
                <w:sz w:val="20"/>
                <w:szCs w:val="20"/>
              </w:rPr>
              <w:t xml:space="preserve"> </w:t>
            </w:r>
            <w:r w:rsidRPr="00977021">
              <w:rPr>
                <w:sz w:val="20"/>
                <w:szCs w:val="20"/>
              </w:rPr>
              <w:t>121.145(a)(1)</w:t>
            </w:r>
            <w:r>
              <w:rPr>
                <w:sz w:val="20"/>
                <w:szCs w:val="20"/>
              </w:rPr>
              <w:t>,</w:t>
            </w:r>
            <w:r w:rsidR="00B73995">
              <w:rPr>
                <w:sz w:val="20"/>
                <w:szCs w:val="20"/>
              </w:rPr>
              <w:t xml:space="preserve"> </w:t>
            </w:r>
            <w:r>
              <w:rPr>
                <w:sz w:val="20"/>
                <w:szCs w:val="20"/>
              </w:rPr>
              <w:t>121.150(b)</w:t>
            </w:r>
          </w:p>
        </w:tc>
        <w:tc>
          <w:tcPr>
            <w:tcW w:w="746" w:type="pct"/>
            <w:tcBorders>
              <w:top w:val="single" w:sz="4" w:space="0" w:color="auto"/>
              <w:left w:val="single" w:sz="4" w:space="0" w:color="auto"/>
              <w:bottom w:val="single" w:sz="4" w:space="0" w:color="auto"/>
              <w:right w:val="single" w:sz="4" w:space="0" w:color="auto"/>
            </w:tcBorders>
            <w:hideMark/>
          </w:tcPr>
          <w:p w:rsidR="00141E5D" w:rsidRPr="00977021" w:rsidP="00D15EA0" w14:paraId="47E25A83" w14:textId="77777777">
            <w:pPr>
              <w:keepNext/>
              <w:jc w:val="right"/>
              <w:rPr>
                <w:sz w:val="20"/>
                <w:szCs w:val="20"/>
              </w:rPr>
            </w:pPr>
            <w:r w:rsidRPr="00977021">
              <w:rPr>
                <w:sz w:val="20"/>
                <w:szCs w:val="20"/>
              </w:rPr>
              <w:t>9,759</w:t>
            </w:r>
          </w:p>
        </w:tc>
        <w:tc>
          <w:tcPr>
            <w:tcW w:w="705" w:type="pct"/>
            <w:tcBorders>
              <w:top w:val="single" w:sz="4" w:space="0" w:color="auto"/>
              <w:left w:val="single" w:sz="4" w:space="0" w:color="auto"/>
              <w:bottom w:val="single" w:sz="4" w:space="0" w:color="auto"/>
              <w:right w:val="single" w:sz="4" w:space="0" w:color="auto"/>
            </w:tcBorders>
            <w:hideMark/>
          </w:tcPr>
          <w:p w:rsidR="00141E5D" w:rsidRPr="00977021" w:rsidP="00D15EA0" w14:paraId="51B72D81" w14:textId="77777777">
            <w:pPr>
              <w:keepNext/>
              <w:jc w:val="right"/>
              <w:rPr>
                <w:sz w:val="20"/>
                <w:szCs w:val="20"/>
              </w:rPr>
            </w:pPr>
            <w:r w:rsidRPr="00977021">
              <w:rPr>
                <w:sz w:val="20"/>
                <w:szCs w:val="20"/>
              </w:rPr>
              <w:t>1</w:t>
            </w:r>
          </w:p>
        </w:tc>
        <w:tc>
          <w:tcPr>
            <w:tcW w:w="537" w:type="pct"/>
            <w:tcBorders>
              <w:top w:val="single" w:sz="4" w:space="0" w:color="auto"/>
              <w:left w:val="single" w:sz="4" w:space="0" w:color="auto"/>
              <w:bottom w:val="single" w:sz="4" w:space="0" w:color="auto"/>
              <w:right w:val="single" w:sz="4" w:space="0" w:color="auto"/>
            </w:tcBorders>
            <w:hideMark/>
          </w:tcPr>
          <w:p w:rsidR="00141E5D" w:rsidRPr="00977021" w:rsidP="00D15EA0" w14:paraId="7B598680" w14:textId="77777777">
            <w:pPr>
              <w:keepNext/>
              <w:jc w:val="right"/>
              <w:rPr>
                <w:sz w:val="20"/>
                <w:szCs w:val="20"/>
              </w:rPr>
            </w:pPr>
            <w:r w:rsidRPr="00977021">
              <w:rPr>
                <w:sz w:val="20"/>
                <w:szCs w:val="20"/>
              </w:rPr>
              <w:t>9,759</w:t>
            </w:r>
          </w:p>
        </w:tc>
        <w:tc>
          <w:tcPr>
            <w:tcW w:w="758" w:type="pct"/>
            <w:tcBorders>
              <w:top w:val="single" w:sz="4" w:space="0" w:color="auto"/>
              <w:left w:val="single" w:sz="4" w:space="0" w:color="auto"/>
              <w:bottom w:val="single" w:sz="4" w:space="0" w:color="auto"/>
              <w:right w:val="single" w:sz="4" w:space="0" w:color="auto"/>
            </w:tcBorders>
            <w:hideMark/>
          </w:tcPr>
          <w:p w:rsidR="00141E5D" w:rsidRPr="00977021" w:rsidP="00D15EA0" w14:paraId="3489D822" w14:textId="77777777">
            <w:pPr>
              <w:jc w:val="right"/>
              <w:rPr>
                <w:sz w:val="20"/>
                <w:szCs w:val="20"/>
              </w:rPr>
            </w:pPr>
            <w:r w:rsidRPr="00977021">
              <w:rPr>
                <w:sz w:val="20"/>
                <w:szCs w:val="20"/>
              </w:rPr>
              <w:t>175</w:t>
            </w:r>
          </w:p>
        </w:tc>
        <w:tc>
          <w:tcPr>
            <w:tcW w:w="539" w:type="pct"/>
            <w:tcBorders>
              <w:top w:val="single" w:sz="4" w:space="0" w:color="auto"/>
              <w:left w:val="single" w:sz="4" w:space="0" w:color="auto"/>
              <w:bottom w:val="single" w:sz="4" w:space="0" w:color="auto"/>
              <w:right w:val="single" w:sz="4" w:space="0" w:color="auto"/>
            </w:tcBorders>
            <w:hideMark/>
          </w:tcPr>
          <w:p w:rsidR="00141E5D" w:rsidRPr="00977021" w:rsidP="00D15EA0" w14:paraId="27355F1A" w14:textId="77777777">
            <w:pPr>
              <w:keepNext/>
              <w:jc w:val="right"/>
              <w:rPr>
                <w:sz w:val="20"/>
                <w:szCs w:val="20"/>
              </w:rPr>
            </w:pPr>
            <w:r w:rsidRPr="00977021">
              <w:rPr>
                <w:sz w:val="20"/>
                <w:szCs w:val="20"/>
              </w:rPr>
              <w:t>1,707,825</w:t>
            </w:r>
          </w:p>
        </w:tc>
      </w:tr>
      <w:tr w14:paraId="0FC0E72E" w14:textId="77777777" w:rsidTr="009B72C4">
        <w:tblPrEx>
          <w:tblW w:w="4955" w:type="pct"/>
          <w:tblInd w:w="90" w:type="dxa"/>
          <w:tblLook w:val="01E0"/>
        </w:tblPrEx>
        <w:trPr>
          <w:trHeight w:val="521"/>
        </w:trPr>
        <w:tc>
          <w:tcPr>
            <w:tcW w:w="1716" w:type="pct"/>
            <w:tcBorders>
              <w:top w:val="single" w:sz="4" w:space="0" w:color="auto"/>
              <w:left w:val="single" w:sz="4" w:space="0" w:color="auto"/>
              <w:bottom w:val="single" w:sz="4" w:space="0" w:color="auto"/>
              <w:right w:val="single" w:sz="4" w:space="0" w:color="auto"/>
            </w:tcBorders>
            <w:hideMark/>
          </w:tcPr>
          <w:p w:rsidR="00141E5D" w:rsidRPr="00977021" w:rsidP="00D15EA0" w14:paraId="3F73388C" w14:textId="757EB5C1">
            <w:pPr>
              <w:keepNext/>
              <w:rPr>
                <w:sz w:val="20"/>
                <w:szCs w:val="20"/>
              </w:rPr>
            </w:pPr>
            <w:r w:rsidRPr="00977021">
              <w:rPr>
                <w:sz w:val="20"/>
                <w:szCs w:val="20"/>
              </w:rPr>
              <w:t>Training;§ 121.</w:t>
            </w:r>
            <w:r>
              <w:rPr>
                <w:sz w:val="20"/>
                <w:szCs w:val="20"/>
              </w:rPr>
              <w:t>4</w:t>
            </w:r>
          </w:p>
        </w:tc>
        <w:tc>
          <w:tcPr>
            <w:tcW w:w="746" w:type="pct"/>
            <w:tcBorders>
              <w:top w:val="single" w:sz="4" w:space="0" w:color="auto"/>
              <w:left w:val="single" w:sz="4" w:space="0" w:color="auto"/>
              <w:bottom w:val="single" w:sz="4" w:space="0" w:color="auto"/>
              <w:right w:val="single" w:sz="4" w:space="0" w:color="auto"/>
            </w:tcBorders>
            <w:hideMark/>
          </w:tcPr>
          <w:p w:rsidR="00141E5D" w:rsidRPr="00977021" w:rsidP="00D15EA0" w14:paraId="424D3517" w14:textId="77777777">
            <w:pPr>
              <w:keepNext/>
              <w:jc w:val="right"/>
              <w:rPr>
                <w:sz w:val="20"/>
                <w:szCs w:val="20"/>
              </w:rPr>
            </w:pPr>
            <w:r w:rsidRPr="00977021">
              <w:rPr>
                <w:sz w:val="20"/>
                <w:szCs w:val="20"/>
              </w:rPr>
              <w:t>367,203</w:t>
            </w:r>
          </w:p>
        </w:tc>
        <w:tc>
          <w:tcPr>
            <w:tcW w:w="705" w:type="pct"/>
            <w:tcBorders>
              <w:top w:val="single" w:sz="4" w:space="0" w:color="auto"/>
              <w:left w:val="single" w:sz="4" w:space="0" w:color="auto"/>
              <w:bottom w:val="single" w:sz="4" w:space="0" w:color="auto"/>
              <w:right w:val="single" w:sz="4" w:space="0" w:color="auto"/>
            </w:tcBorders>
            <w:hideMark/>
          </w:tcPr>
          <w:p w:rsidR="00141E5D" w:rsidRPr="00977021" w:rsidP="00D15EA0" w14:paraId="26FA9237" w14:textId="77777777">
            <w:pPr>
              <w:keepNext/>
              <w:jc w:val="right"/>
              <w:rPr>
                <w:sz w:val="20"/>
                <w:szCs w:val="20"/>
              </w:rPr>
            </w:pPr>
            <w:r w:rsidRPr="00977021">
              <w:rPr>
                <w:sz w:val="20"/>
                <w:szCs w:val="20"/>
              </w:rPr>
              <w:t>1</w:t>
            </w:r>
          </w:p>
        </w:tc>
        <w:tc>
          <w:tcPr>
            <w:tcW w:w="537" w:type="pct"/>
            <w:tcBorders>
              <w:top w:val="single" w:sz="4" w:space="0" w:color="auto"/>
              <w:left w:val="single" w:sz="4" w:space="0" w:color="auto"/>
              <w:bottom w:val="single" w:sz="4" w:space="0" w:color="auto"/>
              <w:right w:val="single" w:sz="4" w:space="0" w:color="auto"/>
            </w:tcBorders>
            <w:hideMark/>
          </w:tcPr>
          <w:p w:rsidR="00141E5D" w:rsidRPr="00977021" w:rsidP="00D15EA0" w14:paraId="75C8202B" w14:textId="77777777">
            <w:pPr>
              <w:keepNext/>
              <w:jc w:val="right"/>
              <w:rPr>
                <w:sz w:val="20"/>
                <w:szCs w:val="20"/>
              </w:rPr>
            </w:pPr>
            <w:r w:rsidRPr="00977021">
              <w:rPr>
                <w:sz w:val="20"/>
                <w:szCs w:val="20"/>
              </w:rPr>
              <w:t>367,203</w:t>
            </w:r>
          </w:p>
        </w:tc>
        <w:tc>
          <w:tcPr>
            <w:tcW w:w="758" w:type="pct"/>
            <w:tcBorders>
              <w:top w:val="single" w:sz="4" w:space="0" w:color="auto"/>
              <w:left w:val="single" w:sz="4" w:space="0" w:color="auto"/>
              <w:bottom w:val="single" w:sz="4" w:space="0" w:color="auto"/>
              <w:right w:val="single" w:sz="4" w:space="0" w:color="auto"/>
            </w:tcBorders>
            <w:hideMark/>
          </w:tcPr>
          <w:p w:rsidR="00141E5D" w:rsidP="00D15EA0" w14:paraId="198709CF" w14:textId="77777777">
            <w:pPr>
              <w:jc w:val="right"/>
              <w:rPr>
                <w:sz w:val="20"/>
                <w:szCs w:val="20"/>
              </w:rPr>
            </w:pPr>
            <w:r w:rsidRPr="00977021">
              <w:rPr>
                <w:sz w:val="20"/>
                <w:szCs w:val="20"/>
              </w:rPr>
              <w:t>0.67</w:t>
            </w:r>
          </w:p>
          <w:p w:rsidR="00141E5D" w:rsidRPr="00977021" w:rsidP="00D15EA0" w14:paraId="6C900B29" w14:textId="77777777">
            <w:pPr>
              <w:jc w:val="right"/>
              <w:rPr>
                <w:sz w:val="20"/>
                <w:szCs w:val="20"/>
              </w:rPr>
            </w:pPr>
            <w:r>
              <w:rPr>
                <w:sz w:val="20"/>
                <w:szCs w:val="20"/>
              </w:rPr>
              <w:t>(40 minutes)</w:t>
            </w:r>
          </w:p>
        </w:tc>
        <w:tc>
          <w:tcPr>
            <w:tcW w:w="539" w:type="pct"/>
            <w:tcBorders>
              <w:top w:val="single" w:sz="4" w:space="0" w:color="auto"/>
              <w:left w:val="single" w:sz="4" w:space="0" w:color="auto"/>
              <w:bottom w:val="single" w:sz="4" w:space="0" w:color="auto"/>
              <w:right w:val="single" w:sz="4" w:space="0" w:color="auto"/>
            </w:tcBorders>
            <w:hideMark/>
          </w:tcPr>
          <w:p w:rsidR="00141E5D" w:rsidRPr="00977021" w:rsidP="00D15EA0" w14:paraId="6D09103D" w14:textId="77777777">
            <w:pPr>
              <w:keepNext/>
              <w:jc w:val="right"/>
              <w:rPr>
                <w:sz w:val="20"/>
                <w:szCs w:val="20"/>
              </w:rPr>
            </w:pPr>
            <w:r w:rsidRPr="00977021">
              <w:rPr>
                <w:sz w:val="20"/>
                <w:szCs w:val="20"/>
              </w:rPr>
              <w:t>24</w:t>
            </w:r>
            <w:r>
              <w:rPr>
                <w:sz w:val="20"/>
                <w:szCs w:val="20"/>
              </w:rPr>
              <w:t>6</w:t>
            </w:r>
            <w:r w:rsidRPr="00977021">
              <w:rPr>
                <w:sz w:val="20"/>
                <w:szCs w:val="20"/>
              </w:rPr>
              <w:t>,</w:t>
            </w:r>
            <w:r>
              <w:rPr>
                <w:sz w:val="20"/>
                <w:szCs w:val="20"/>
              </w:rPr>
              <w:t>026</w:t>
            </w:r>
          </w:p>
        </w:tc>
      </w:tr>
      <w:tr w14:paraId="7E89D878" w14:textId="77777777" w:rsidTr="009B72C4">
        <w:tblPrEx>
          <w:tblW w:w="4955" w:type="pct"/>
          <w:tblInd w:w="90" w:type="dxa"/>
          <w:tblLook w:val="01E0"/>
        </w:tblPrEx>
        <w:trPr>
          <w:trHeight w:val="206"/>
        </w:trPr>
        <w:tc>
          <w:tcPr>
            <w:tcW w:w="1716" w:type="pct"/>
            <w:tcBorders>
              <w:top w:val="single" w:sz="4" w:space="0" w:color="auto"/>
              <w:left w:val="single" w:sz="4" w:space="0" w:color="auto"/>
              <w:bottom w:val="single" w:sz="4" w:space="0" w:color="auto"/>
              <w:right w:val="single" w:sz="4" w:space="0" w:color="auto"/>
            </w:tcBorders>
            <w:hideMark/>
          </w:tcPr>
          <w:p w:rsidR="00141E5D" w:rsidRPr="00977021" w:rsidP="00D15EA0" w14:paraId="7ABA2601" w14:textId="1497437B">
            <w:pPr>
              <w:keepNext/>
              <w:rPr>
                <w:sz w:val="20"/>
                <w:szCs w:val="20"/>
              </w:rPr>
            </w:pPr>
            <w:r w:rsidRPr="00977021">
              <w:rPr>
                <w:sz w:val="20"/>
                <w:szCs w:val="20"/>
              </w:rPr>
              <w:t>Records; §</w:t>
            </w:r>
            <w:r w:rsidRPr="00276F64">
              <w:rPr>
                <w:sz w:val="20"/>
                <w:szCs w:val="20"/>
              </w:rPr>
              <w:t>§</w:t>
            </w:r>
            <w:r w:rsidRPr="00977021">
              <w:rPr>
                <w:sz w:val="20"/>
                <w:szCs w:val="20"/>
              </w:rPr>
              <w:t xml:space="preserve"> 121.305,</w:t>
            </w:r>
            <w:r>
              <w:rPr>
                <w:sz w:val="20"/>
                <w:szCs w:val="20"/>
              </w:rPr>
              <w:t xml:space="preserve"> </w:t>
            </w:r>
            <w:r w:rsidRPr="00977021">
              <w:rPr>
                <w:sz w:val="20"/>
                <w:szCs w:val="20"/>
              </w:rPr>
              <w:t>121.310</w:t>
            </w:r>
          </w:p>
        </w:tc>
        <w:tc>
          <w:tcPr>
            <w:tcW w:w="746" w:type="pct"/>
            <w:tcBorders>
              <w:top w:val="single" w:sz="4" w:space="0" w:color="auto"/>
              <w:left w:val="single" w:sz="4" w:space="0" w:color="auto"/>
              <w:bottom w:val="single" w:sz="4" w:space="0" w:color="auto"/>
              <w:right w:val="single" w:sz="4" w:space="0" w:color="auto"/>
            </w:tcBorders>
            <w:hideMark/>
          </w:tcPr>
          <w:p w:rsidR="00141E5D" w:rsidRPr="00977021" w:rsidP="00D15EA0" w14:paraId="5250EFC5" w14:textId="77777777">
            <w:pPr>
              <w:keepNext/>
              <w:jc w:val="right"/>
              <w:rPr>
                <w:sz w:val="20"/>
                <w:szCs w:val="20"/>
              </w:rPr>
            </w:pPr>
            <w:r w:rsidRPr="00977021">
              <w:rPr>
                <w:sz w:val="20"/>
                <w:szCs w:val="20"/>
              </w:rPr>
              <w:t>9,759</w:t>
            </w:r>
          </w:p>
        </w:tc>
        <w:tc>
          <w:tcPr>
            <w:tcW w:w="705" w:type="pct"/>
            <w:tcBorders>
              <w:top w:val="single" w:sz="4" w:space="0" w:color="auto"/>
              <w:left w:val="single" w:sz="4" w:space="0" w:color="auto"/>
              <w:bottom w:val="single" w:sz="4" w:space="0" w:color="auto"/>
              <w:right w:val="single" w:sz="4" w:space="0" w:color="auto"/>
            </w:tcBorders>
            <w:hideMark/>
          </w:tcPr>
          <w:p w:rsidR="00141E5D" w:rsidRPr="00977021" w:rsidP="00D15EA0" w14:paraId="060B38B4" w14:textId="77777777">
            <w:pPr>
              <w:keepNext/>
              <w:jc w:val="right"/>
              <w:rPr>
                <w:sz w:val="20"/>
                <w:szCs w:val="20"/>
              </w:rPr>
            </w:pPr>
            <w:r w:rsidRPr="00977021">
              <w:rPr>
                <w:sz w:val="20"/>
                <w:szCs w:val="20"/>
              </w:rPr>
              <w:t>1</w:t>
            </w:r>
          </w:p>
        </w:tc>
        <w:tc>
          <w:tcPr>
            <w:tcW w:w="537" w:type="pct"/>
            <w:tcBorders>
              <w:top w:val="single" w:sz="4" w:space="0" w:color="auto"/>
              <w:left w:val="single" w:sz="4" w:space="0" w:color="auto"/>
              <w:bottom w:val="single" w:sz="4" w:space="0" w:color="auto"/>
              <w:right w:val="single" w:sz="4" w:space="0" w:color="auto"/>
            </w:tcBorders>
            <w:hideMark/>
          </w:tcPr>
          <w:p w:rsidR="00141E5D" w:rsidRPr="00977021" w:rsidP="00D15EA0" w14:paraId="778B0696" w14:textId="77777777">
            <w:pPr>
              <w:keepNext/>
              <w:jc w:val="right"/>
              <w:rPr>
                <w:sz w:val="20"/>
                <w:szCs w:val="20"/>
              </w:rPr>
            </w:pPr>
            <w:r w:rsidRPr="00977021">
              <w:rPr>
                <w:sz w:val="20"/>
                <w:szCs w:val="20"/>
              </w:rPr>
              <w:t>9,759</w:t>
            </w:r>
          </w:p>
        </w:tc>
        <w:tc>
          <w:tcPr>
            <w:tcW w:w="758" w:type="pct"/>
            <w:tcBorders>
              <w:top w:val="single" w:sz="4" w:space="0" w:color="auto"/>
              <w:left w:val="single" w:sz="4" w:space="0" w:color="auto"/>
              <w:bottom w:val="single" w:sz="4" w:space="0" w:color="auto"/>
              <w:right w:val="single" w:sz="4" w:space="0" w:color="auto"/>
            </w:tcBorders>
            <w:hideMark/>
          </w:tcPr>
          <w:p w:rsidR="00141E5D" w:rsidRPr="00977021" w:rsidP="00D15EA0" w14:paraId="2B88A759" w14:textId="77777777">
            <w:pPr>
              <w:jc w:val="right"/>
              <w:rPr>
                <w:sz w:val="20"/>
                <w:szCs w:val="20"/>
              </w:rPr>
            </w:pPr>
            <w:r w:rsidRPr="00977021">
              <w:rPr>
                <w:sz w:val="20"/>
                <w:szCs w:val="20"/>
              </w:rPr>
              <w:t>10</w:t>
            </w:r>
          </w:p>
        </w:tc>
        <w:tc>
          <w:tcPr>
            <w:tcW w:w="539" w:type="pct"/>
            <w:tcBorders>
              <w:top w:val="single" w:sz="4" w:space="0" w:color="auto"/>
              <w:left w:val="single" w:sz="4" w:space="0" w:color="auto"/>
              <w:bottom w:val="single" w:sz="4" w:space="0" w:color="auto"/>
              <w:right w:val="single" w:sz="4" w:space="0" w:color="auto"/>
            </w:tcBorders>
            <w:hideMark/>
          </w:tcPr>
          <w:p w:rsidR="00141E5D" w:rsidRPr="00977021" w:rsidP="00D15EA0" w14:paraId="3488C8BD" w14:textId="77777777">
            <w:pPr>
              <w:keepNext/>
              <w:jc w:val="right"/>
              <w:rPr>
                <w:sz w:val="20"/>
                <w:szCs w:val="20"/>
              </w:rPr>
            </w:pPr>
            <w:r w:rsidRPr="00977021">
              <w:rPr>
                <w:sz w:val="20"/>
                <w:szCs w:val="20"/>
              </w:rPr>
              <w:t>97,590</w:t>
            </w:r>
          </w:p>
        </w:tc>
      </w:tr>
      <w:tr w14:paraId="48175C05" w14:textId="77777777" w:rsidTr="009B72C4">
        <w:tblPrEx>
          <w:tblW w:w="4955" w:type="pct"/>
          <w:tblInd w:w="90" w:type="dxa"/>
          <w:tblLook w:val="01E0"/>
        </w:tblPrEx>
        <w:trPr>
          <w:trHeight w:val="368"/>
        </w:trPr>
        <w:tc>
          <w:tcPr>
            <w:tcW w:w="1716" w:type="pct"/>
            <w:tcBorders>
              <w:top w:val="single" w:sz="4" w:space="0" w:color="auto"/>
              <w:left w:val="single" w:sz="4" w:space="0" w:color="auto"/>
              <w:bottom w:val="single" w:sz="4" w:space="0" w:color="auto"/>
              <w:right w:val="single" w:sz="4" w:space="0" w:color="auto"/>
            </w:tcBorders>
          </w:tcPr>
          <w:p w:rsidR="00B73995" w:rsidRPr="00977021" w:rsidP="00D15EA0" w14:paraId="74F06BBB" w14:textId="301DF385">
            <w:pPr>
              <w:keepNext/>
              <w:rPr>
                <w:sz w:val="20"/>
                <w:szCs w:val="20"/>
              </w:rPr>
            </w:pPr>
            <w:r>
              <w:rPr>
                <w:sz w:val="20"/>
                <w:szCs w:val="20"/>
              </w:rPr>
              <w:t>TOTAL</w:t>
            </w:r>
          </w:p>
        </w:tc>
        <w:tc>
          <w:tcPr>
            <w:tcW w:w="746" w:type="pct"/>
            <w:tcBorders>
              <w:top w:val="single" w:sz="4" w:space="0" w:color="auto"/>
              <w:left w:val="single" w:sz="4" w:space="0" w:color="auto"/>
              <w:bottom w:val="single" w:sz="4" w:space="0" w:color="auto"/>
              <w:right w:val="single" w:sz="4" w:space="0" w:color="auto"/>
            </w:tcBorders>
          </w:tcPr>
          <w:p w:rsidR="00B73995" w:rsidRPr="00977021" w:rsidP="00D15EA0" w14:paraId="4661E356" w14:textId="77777777">
            <w:pPr>
              <w:keepNext/>
              <w:jc w:val="right"/>
              <w:rPr>
                <w:sz w:val="20"/>
                <w:szCs w:val="20"/>
              </w:rPr>
            </w:pPr>
          </w:p>
        </w:tc>
        <w:tc>
          <w:tcPr>
            <w:tcW w:w="705" w:type="pct"/>
            <w:tcBorders>
              <w:top w:val="single" w:sz="4" w:space="0" w:color="auto"/>
              <w:left w:val="single" w:sz="4" w:space="0" w:color="auto"/>
              <w:bottom w:val="single" w:sz="4" w:space="0" w:color="auto"/>
              <w:right w:val="single" w:sz="4" w:space="0" w:color="auto"/>
            </w:tcBorders>
          </w:tcPr>
          <w:p w:rsidR="00B73995" w:rsidRPr="00977021" w:rsidP="00D15EA0" w14:paraId="345B4491" w14:textId="77777777">
            <w:pPr>
              <w:keepNext/>
              <w:jc w:val="right"/>
              <w:rPr>
                <w:sz w:val="20"/>
                <w:szCs w:val="20"/>
              </w:rPr>
            </w:pPr>
          </w:p>
        </w:tc>
        <w:tc>
          <w:tcPr>
            <w:tcW w:w="537" w:type="pct"/>
            <w:tcBorders>
              <w:top w:val="single" w:sz="4" w:space="0" w:color="auto"/>
              <w:left w:val="single" w:sz="4" w:space="0" w:color="auto"/>
              <w:bottom w:val="single" w:sz="4" w:space="0" w:color="auto"/>
              <w:right w:val="single" w:sz="4" w:space="0" w:color="auto"/>
            </w:tcBorders>
          </w:tcPr>
          <w:p w:rsidR="00B73995" w:rsidRPr="00977021" w:rsidP="00D15EA0" w14:paraId="2C623EDA" w14:textId="1103913D">
            <w:pPr>
              <w:keepNext/>
              <w:jc w:val="right"/>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409,486</w:t>
            </w:r>
            <w:r>
              <w:rPr>
                <w:sz w:val="20"/>
                <w:szCs w:val="20"/>
              </w:rPr>
              <w:fldChar w:fldCharType="end"/>
            </w:r>
          </w:p>
        </w:tc>
        <w:tc>
          <w:tcPr>
            <w:tcW w:w="758" w:type="pct"/>
            <w:tcBorders>
              <w:top w:val="single" w:sz="4" w:space="0" w:color="auto"/>
              <w:left w:val="single" w:sz="4" w:space="0" w:color="auto"/>
              <w:bottom w:val="single" w:sz="4" w:space="0" w:color="auto"/>
              <w:right w:val="single" w:sz="4" w:space="0" w:color="auto"/>
            </w:tcBorders>
          </w:tcPr>
          <w:p w:rsidR="00B73995" w:rsidRPr="00977021" w:rsidP="00D15EA0" w14:paraId="5011F24F" w14:textId="77777777">
            <w:pPr>
              <w:jc w:val="right"/>
              <w:rPr>
                <w:sz w:val="20"/>
                <w:szCs w:val="20"/>
              </w:rPr>
            </w:pPr>
          </w:p>
        </w:tc>
        <w:tc>
          <w:tcPr>
            <w:tcW w:w="539" w:type="pct"/>
            <w:tcBorders>
              <w:top w:val="single" w:sz="4" w:space="0" w:color="auto"/>
              <w:left w:val="single" w:sz="4" w:space="0" w:color="auto"/>
              <w:bottom w:val="single" w:sz="4" w:space="0" w:color="auto"/>
              <w:right w:val="single" w:sz="4" w:space="0" w:color="auto"/>
            </w:tcBorders>
          </w:tcPr>
          <w:p w:rsidR="00B73995" w:rsidRPr="00977021" w:rsidP="00D15EA0" w14:paraId="5B89949E" w14:textId="5E07ADCD">
            <w:pPr>
              <w:keepNext/>
              <w:jc w:val="right"/>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2,516,482</w:t>
            </w:r>
            <w:r>
              <w:rPr>
                <w:sz w:val="20"/>
                <w:szCs w:val="20"/>
              </w:rPr>
              <w:fldChar w:fldCharType="end"/>
            </w:r>
          </w:p>
        </w:tc>
      </w:tr>
    </w:tbl>
    <w:p w:rsidR="00141E5D" w:rsidRPr="00977021" w:rsidP="00D15EA0" w14:paraId="00ED4BA6" w14:textId="3DF708D5">
      <w:pPr>
        <w:rPr>
          <w:sz w:val="20"/>
          <w:szCs w:val="20"/>
        </w:rPr>
      </w:pPr>
      <w:r>
        <w:rPr>
          <w:sz w:val="20"/>
          <w:szCs w:val="20"/>
          <w:vertAlign w:val="superscript"/>
        </w:rPr>
        <w:t xml:space="preserve">    </w:t>
      </w:r>
      <w:r w:rsidRPr="00977021">
        <w:rPr>
          <w:sz w:val="20"/>
          <w:szCs w:val="20"/>
          <w:vertAlign w:val="superscript"/>
        </w:rPr>
        <w:t>1</w:t>
      </w:r>
      <w:r w:rsidRPr="00977021">
        <w:rPr>
          <w:sz w:val="20"/>
          <w:szCs w:val="20"/>
        </w:rPr>
        <w:t xml:space="preserve"> There are no capital costs or operating and maintenance costs associated with this collection of information.</w:t>
      </w:r>
    </w:p>
    <w:p w:rsidR="00141E5D" w:rsidP="00D15EA0" w14:paraId="2A7BD9C0" w14:textId="77777777">
      <w:pPr>
        <w:ind w:left="450"/>
        <w:rPr>
          <w:szCs w:val="20"/>
        </w:rPr>
      </w:pPr>
    </w:p>
    <w:p w:rsidR="00141E5D" w:rsidP="00B73995" w14:paraId="6C5D684D" w14:textId="77777777">
      <w:pPr>
        <w:rPr>
          <w:szCs w:val="20"/>
        </w:rPr>
      </w:pPr>
      <w:r w:rsidRPr="00977021">
        <w:rPr>
          <w:szCs w:val="20"/>
        </w:rPr>
        <w:t xml:space="preserve">Under the regulations, an owner, operator, or agent in charge of a facility must prepare, or have prepared, and implement a written food defense plan, including written identification of actionable process steps, written mitigation strategies, written procedures for defense monitoring, written food defense corrective actions, and written food defense verification procedures. </w:t>
      </w:r>
    </w:p>
    <w:p w:rsidR="00D74521" w:rsidRPr="00977021" w:rsidP="00B73995" w14:paraId="5677373D" w14:textId="77777777">
      <w:pPr>
        <w:rPr>
          <w:szCs w:val="20"/>
        </w:rPr>
      </w:pPr>
    </w:p>
    <w:p w:rsidR="00357C8A" w:rsidRPr="00B73995" w:rsidP="0068443D" w14:paraId="368EF88D" w14:textId="77777777">
      <w:pPr>
        <w:spacing w:after="200"/>
        <w:ind w:firstLine="360"/>
        <w:rPr>
          <w:rFonts w:eastAsia="Calibri"/>
          <w:i/>
          <w:iCs/>
        </w:rPr>
      </w:pPr>
      <w:r w:rsidRPr="00B73995">
        <w:rPr>
          <w:rFonts w:eastAsia="Calibri"/>
          <w:i/>
          <w:iCs/>
        </w:rPr>
        <w:t>12b.  Annualized Cost Burden Estimate</w:t>
      </w:r>
    </w:p>
    <w:p w:rsidR="00141E5D" w:rsidRPr="00141E5D" w:rsidP="0068443D" w14:paraId="25E20773" w14:textId="77777777">
      <w:pPr>
        <w:autoSpaceDE w:val="0"/>
        <w:autoSpaceDN w:val="0"/>
        <w:adjustRightInd w:val="0"/>
        <w:ind w:firstLine="360"/>
        <w:rPr>
          <w:rFonts w:ascii="TimesNewRomanPSMT" w:hAnsi="TimesNewRomanPSMT" w:cs="TimesNewRomanPSMT"/>
          <w:color w:val="000000"/>
        </w:rPr>
      </w:pPr>
      <w:r w:rsidRPr="00141E5D">
        <w:rPr>
          <w:rFonts w:ascii="TimesNewRomanPSMT" w:hAnsi="TimesNewRomanPSMT" w:cs="TimesNewRomanPSMT"/>
          <w:color w:val="000000"/>
        </w:rPr>
        <w:t>The mean hourly wage of an operations manager in the food manufacturing industry is $</w:t>
      </w:r>
      <w:r w:rsidR="0092034D">
        <w:rPr>
          <w:rFonts w:ascii="TimesNewRomanPSMT" w:hAnsi="TimesNewRomanPSMT" w:cs="TimesNewRomanPSMT"/>
          <w:color w:val="000000"/>
        </w:rPr>
        <w:t>62.42</w:t>
      </w:r>
      <w:r w:rsidRPr="00141E5D">
        <w:rPr>
          <w:rFonts w:ascii="TimesNewRomanPSMT" w:hAnsi="TimesNewRomanPSMT" w:cs="TimesNewRomanPSMT"/>
          <w:color w:val="000000"/>
        </w:rPr>
        <w:t xml:space="preserve"> (Bureau of Labor Statistics. May 202</w:t>
      </w:r>
      <w:r w:rsidR="0092034D">
        <w:rPr>
          <w:rFonts w:ascii="TimesNewRomanPSMT" w:hAnsi="TimesNewRomanPSMT" w:cs="TimesNewRomanPSMT"/>
          <w:color w:val="000000"/>
        </w:rPr>
        <w:t>3</w:t>
      </w:r>
      <w:r w:rsidRPr="00141E5D">
        <w:rPr>
          <w:rFonts w:ascii="TimesNewRomanPSMT" w:hAnsi="TimesNewRomanPSMT" w:cs="TimesNewRomanPSMT"/>
          <w:color w:val="000000"/>
        </w:rPr>
        <w:t xml:space="preserve"> National Industry-Specific Occupational Employment and Wage Estimates.  NAICS 311000 - Food Manufacturing, available at Occupation Code 11-1021, General and Operations Managers, </w:t>
      </w:r>
      <w:hyperlink r:id="rId7" w:history="1">
        <w:r w:rsidRPr="00141E5D">
          <w:rPr>
            <w:rFonts w:ascii="TimesNewRomanPSMT" w:hAnsi="TimesNewRomanPSMT" w:cs="TimesNewRomanPSMT"/>
            <w:color w:val="0563C1"/>
            <w:u w:val="single"/>
          </w:rPr>
          <w:t>http://www.bls.gov/oes/current/naics3_311000.htm</w:t>
        </w:r>
      </w:hyperlink>
      <w:r w:rsidRPr="00141E5D">
        <w:rPr>
          <w:rFonts w:ascii="TimesNewRomanPSMT" w:hAnsi="TimesNewRomanPSMT" w:cs="TimesNewRomanPSMT"/>
          <w:color w:val="000000"/>
        </w:rPr>
        <w:t>).  We increase this cost by 50 percent to account for benefits and overhead, making the total cost per hour $</w:t>
      </w:r>
      <w:r w:rsidR="0092034D">
        <w:rPr>
          <w:rFonts w:ascii="TimesNewRomanPSMT" w:hAnsi="TimesNewRomanPSMT" w:cs="TimesNewRomanPSMT"/>
          <w:color w:val="000000"/>
        </w:rPr>
        <w:t>93.63</w:t>
      </w:r>
      <w:r w:rsidRPr="00141E5D">
        <w:rPr>
          <w:rFonts w:ascii="TimesNewRomanPSMT" w:hAnsi="TimesNewRomanPSMT" w:cs="TimesNewRomanPSMT"/>
          <w:color w:val="000000"/>
        </w:rPr>
        <w:t xml:space="preserve"> ($</w:t>
      </w:r>
      <w:r w:rsidR="0092034D">
        <w:rPr>
          <w:rFonts w:ascii="TimesNewRomanPSMT" w:hAnsi="TimesNewRomanPSMT" w:cs="TimesNewRomanPSMT"/>
          <w:color w:val="000000"/>
        </w:rPr>
        <w:t>62.42</w:t>
      </w:r>
      <w:r w:rsidRPr="00141E5D">
        <w:rPr>
          <w:rFonts w:ascii="TimesNewRomanPSMT" w:hAnsi="TimesNewRomanPSMT" w:cs="TimesNewRomanPSMT"/>
          <w:color w:val="000000"/>
        </w:rPr>
        <w:t xml:space="preserve"> </w:t>
      </w:r>
      <w:bookmarkStart w:id="2" w:name="_Hlk100150617"/>
      <w:r w:rsidRPr="00141E5D">
        <w:rPr>
          <w:color w:val="000000"/>
        </w:rPr>
        <w:t>×</w:t>
      </w:r>
      <w:bookmarkEnd w:id="2"/>
      <w:r w:rsidRPr="00141E5D">
        <w:rPr>
          <w:rFonts w:ascii="TimesNewRomanPSMT" w:hAnsi="TimesNewRomanPSMT" w:cs="TimesNewRomanPSMT"/>
          <w:color w:val="000000"/>
        </w:rPr>
        <w:t xml:space="preserve"> 1.5).  The overall estimated cost incurred by respondents is $2</w:t>
      </w:r>
      <w:r w:rsidR="0092034D">
        <w:rPr>
          <w:rFonts w:ascii="TimesNewRomanPSMT" w:hAnsi="TimesNewRomanPSMT" w:cs="TimesNewRomanPSMT"/>
          <w:color w:val="000000"/>
        </w:rPr>
        <w:t>36</w:t>
      </w:r>
      <w:r w:rsidRPr="00141E5D">
        <w:rPr>
          <w:rFonts w:ascii="TimesNewRomanPSMT" w:hAnsi="TimesNewRomanPSMT" w:cs="TimesNewRomanPSMT"/>
          <w:color w:val="000000"/>
        </w:rPr>
        <w:t>,</w:t>
      </w:r>
      <w:r w:rsidR="0092034D">
        <w:rPr>
          <w:rFonts w:ascii="TimesNewRomanPSMT" w:hAnsi="TimesNewRomanPSMT" w:cs="TimesNewRomanPSMT"/>
          <w:color w:val="000000"/>
        </w:rPr>
        <w:t>464</w:t>
      </w:r>
      <w:r w:rsidRPr="00141E5D">
        <w:rPr>
          <w:rFonts w:ascii="TimesNewRomanPSMT" w:hAnsi="TimesNewRomanPSMT" w:cs="TimesNewRomanPSMT"/>
          <w:color w:val="000000"/>
        </w:rPr>
        <w:t>,</w:t>
      </w:r>
      <w:r w:rsidR="0092034D">
        <w:rPr>
          <w:rFonts w:ascii="TimesNewRomanPSMT" w:hAnsi="TimesNewRomanPSMT" w:cs="TimesNewRomanPSMT"/>
          <w:color w:val="000000"/>
        </w:rPr>
        <w:t>625</w:t>
      </w:r>
      <w:r w:rsidRPr="00141E5D">
        <w:rPr>
          <w:rFonts w:ascii="TimesNewRomanPSMT" w:hAnsi="TimesNewRomanPSMT" w:cs="TimesNewRomanPSMT"/>
          <w:color w:val="000000"/>
        </w:rPr>
        <w:t xml:space="preserve"> (2,525,522 burden hours × $</w:t>
      </w:r>
      <w:r w:rsidR="0092034D">
        <w:rPr>
          <w:rFonts w:ascii="TimesNewRomanPSMT" w:hAnsi="TimesNewRomanPSMT" w:cs="TimesNewRomanPSMT"/>
          <w:color w:val="000000"/>
        </w:rPr>
        <w:t>93.63</w:t>
      </w:r>
      <w:r w:rsidRPr="00141E5D">
        <w:rPr>
          <w:rFonts w:ascii="TimesNewRomanPSMT" w:hAnsi="TimesNewRomanPSMT" w:cs="TimesNewRomanPSMT"/>
          <w:color w:val="000000"/>
        </w:rPr>
        <w:t>/hr).</w:t>
      </w:r>
    </w:p>
    <w:p w:rsidR="00141E5D" w:rsidRPr="00141E5D" w:rsidP="00D15EA0" w14:paraId="6B449287" w14:textId="77777777">
      <w:pPr>
        <w:autoSpaceDE w:val="0"/>
        <w:autoSpaceDN w:val="0"/>
        <w:adjustRightInd w:val="0"/>
        <w:ind w:left="360"/>
        <w:rPr>
          <w:rFonts w:ascii="TimesNewRomanPSMT" w:eastAsia="Calibri" w:hAnsi="TimesNewRomanPSMT" w:cs="TimesNewRomanPSMT"/>
          <w:color w:val="000000"/>
        </w:rPr>
      </w:pPr>
    </w:p>
    <w:p w:rsidR="00141E5D" w:rsidRPr="00141E5D" w:rsidP="00D15EA0" w14:paraId="40B63762" w14:textId="18F344D1">
      <w:pPr>
        <w:autoSpaceDE w:val="0"/>
        <w:autoSpaceDN w:val="0"/>
        <w:adjustRightInd w:val="0"/>
        <w:ind w:left="360"/>
        <w:jc w:val="center"/>
        <w:rPr>
          <w:rFonts w:eastAsia="Calibri"/>
          <w:sz w:val="20"/>
          <w:szCs w:val="20"/>
        </w:rPr>
      </w:pPr>
      <w:r>
        <w:rPr>
          <w:rFonts w:eastAsia="Calibri"/>
          <w:sz w:val="20"/>
          <w:szCs w:val="20"/>
        </w:rPr>
        <w:br w:type="page"/>
      </w:r>
      <w:r w:rsidRPr="00141E5D">
        <w:rPr>
          <w:rFonts w:eastAsia="Calibri"/>
          <w:sz w:val="20"/>
          <w:szCs w:val="20"/>
        </w:rPr>
        <w:t>Table 3.--Estimated Annual Cost Burden</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3"/>
        <w:gridCol w:w="1890"/>
        <w:gridCol w:w="1944"/>
        <w:gridCol w:w="2556"/>
      </w:tblGrid>
      <w:tr w14:paraId="6C21A960" w14:textId="77777777" w:rsidTr="009B72C4">
        <w:tblPrEx>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5"/>
        </w:trPr>
        <w:tc>
          <w:tcPr>
            <w:tcW w:w="3353" w:type="dxa"/>
            <w:shd w:val="clear" w:color="auto" w:fill="auto"/>
          </w:tcPr>
          <w:p w:rsidR="00141E5D" w:rsidRPr="00141E5D" w:rsidP="00D15EA0" w14:paraId="29778BA3" w14:textId="77777777">
            <w:pPr>
              <w:jc w:val="center"/>
              <w:rPr>
                <w:sz w:val="20"/>
                <w:szCs w:val="20"/>
              </w:rPr>
            </w:pPr>
            <w:r w:rsidRPr="00141E5D">
              <w:rPr>
                <w:sz w:val="20"/>
                <w:szCs w:val="20"/>
              </w:rPr>
              <w:t>Type of Respondent</w:t>
            </w:r>
          </w:p>
        </w:tc>
        <w:tc>
          <w:tcPr>
            <w:tcW w:w="1890" w:type="dxa"/>
            <w:shd w:val="clear" w:color="auto" w:fill="auto"/>
          </w:tcPr>
          <w:p w:rsidR="00141E5D" w:rsidRPr="00141E5D" w:rsidP="00D15EA0" w14:paraId="6A34A84E" w14:textId="77777777">
            <w:pPr>
              <w:jc w:val="center"/>
              <w:rPr>
                <w:sz w:val="20"/>
                <w:szCs w:val="20"/>
              </w:rPr>
            </w:pPr>
            <w:r w:rsidRPr="00141E5D">
              <w:rPr>
                <w:sz w:val="20"/>
                <w:szCs w:val="20"/>
              </w:rPr>
              <w:t>Total Burden Hours</w:t>
            </w:r>
          </w:p>
        </w:tc>
        <w:tc>
          <w:tcPr>
            <w:tcW w:w="1944" w:type="dxa"/>
            <w:shd w:val="clear" w:color="auto" w:fill="auto"/>
          </w:tcPr>
          <w:p w:rsidR="00141E5D" w:rsidRPr="00141E5D" w:rsidP="00D15EA0" w14:paraId="0129AC1B" w14:textId="77777777">
            <w:pPr>
              <w:jc w:val="center"/>
              <w:rPr>
                <w:sz w:val="20"/>
                <w:szCs w:val="20"/>
              </w:rPr>
            </w:pPr>
            <w:r w:rsidRPr="00141E5D">
              <w:rPr>
                <w:sz w:val="20"/>
                <w:szCs w:val="20"/>
              </w:rPr>
              <w:t>Hourly Wage Rate</w:t>
            </w:r>
          </w:p>
        </w:tc>
        <w:tc>
          <w:tcPr>
            <w:tcW w:w="2556" w:type="dxa"/>
            <w:shd w:val="clear" w:color="auto" w:fill="auto"/>
          </w:tcPr>
          <w:p w:rsidR="00141E5D" w:rsidRPr="00141E5D" w:rsidP="00D15EA0" w14:paraId="36BC2D46" w14:textId="77777777">
            <w:pPr>
              <w:jc w:val="center"/>
              <w:rPr>
                <w:sz w:val="20"/>
                <w:szCs w:val="20"/>
              </w:rPr>
            </w:pPr>
            <w:r w:rsidRPr="00141E5D">
              <w:rPr>
                <w:sz w:val="20"/>
                <w:szCs w:val="20"/>
              </w:rPr>
              <w:t>Total Respondent Costs</w:t>
            </w:r>
          </w:p>
        </w:tc>
      </w:tr>
      <w:tr w14:paraId="7E91CD26" w14:textId="77777777" w:rsidTr="009B72C4">
        <w:tblPrEx>
          <w:tblW w:w="9743" w:type="dxa"/>
          <w:tblInd w:w="-5" w:type="dxa"/>
          <w:tblLook w:val="01E0"/>
        </w:tblPrEx>
        <w:trPr>
          <w:trHeight w:val="404"/>
        </w:trPr>
        <w:tc>
          <w:tcPr>
            <w:tcW w:w="3353" w:type="dxa"/>
            <w:shd w:val="clear" w:color="auto" w:fill="auto"/>
          </w:tcPr>
          <w:p w:rsidR="00141E5D" w:rsidRPr="00141E5D" w:rsidP="00D15EA0" w14:paraId="626BB019" w14:textId="77777777">
            <w:pPr>
              <w:rPr>
                <w:sz w:val="20"/>
                <w:szCs w:val="20"/>
              </w:rPr>
            </w:pPr>
            <w:r w:rsidRPr="00141E5D">
              <w:rPr>
                <w:sz w:val="20"/>
                <w:szCs w:val="20"/>
              </w:rPr>
              <w:t>Operations Manager</w:t>
            </w:r>
          </w:p>
        </w:tc>
        <w:tc>
          <w:tcPr>
            <w:tcW w:w="1890" w:type="dxa"/>
            <w:shd w:val="clear" w:color="auto" w:fill="auto"/>
          </w:tcPr>
          <w:p w:rsidR="00141E5D" w:rsidRPr="00141E5D" w:rsidP="00D15EA0" w14:paraId="584FA265" w14:textId="77777777">
            <w:pPr>
              <w:jc w:val="right"/>
              <w:rPr>
                <w:sz w:val="20"/>
                <w:szCs w:val="20"/>
              </w:rPr>
            </w:pPr>
            <w:r w:rsidRPr="00141E5D">
              <w:rPr>
                <w:sz w:val="20"/>
                <w:szCs w:val="20"/>
              </w:rPr>
              <w:t>2,525,522</w:t>
            </w:r>
          </w:p>
        </w:tc>
        <w:tc>
          <w:tcPr>
            <w:tcW w:w="1944" w:type="dxa"/>
            <w:shd w:val="clear" w:color="auto" w:fill="auto"/>
          </w:tcPr>
          <w:p w:rsidR="00141E5D" w:rsidRPr="00141E5D" w:rsidP="00D15EA0" w14:paraId="0215EB71" w14:textId="77777777">
            <w:pPr>
              <w:jc w:val="right"/>
              <w:rPr>
                <w:sz w:val="20"/>
                <w:szCs w:val="20"/>
              </w:rPr>
            </w:pPr>
            <w:r w:rsidRPr="00141E5D">
              <w:rPr>
                <w:sz w:val="20"/>
                <w:szCs w:val="20"/>
              </w:rPr>
              <w:t>$</w:t>
            </w:r>
            <w:r w:rsidR="0092034D">
              <w:rPr>
                <w:sz w:val="20"/>
                <w:szCs w:val="20"/>
              </w:rPr>
              <w:t>93.63</w:t>
            </w:r>
          </w:p>
        </w:tc>
        <w:tc>
          <w:tcPr>
            <w:tcW w:w="2556" w:type="dxa"/>
            <w:shd w:val="clear" w:color="auto" w:fill="auto"/>
          </w:tcPr>
          <w:p w:rsidR="00141E5D" w:rsidRPr="00141E5D" w:rsidP="00D15EA0" w14:paraId="1DF5ED00" w14:textId="77777777">
            <w:pPr>
              <w:jc w:val="right"/>
              <w:rPr>
                <w:sz w:val="20"/>
                <w:szCs w:val="20"/>
              </w:rPr>
            </w:pPr>
            <w:r w:rsidRPr="00141E5D">
              <w:rPr>
                <w:sz w:val="20"/>
                <w:szCs w:val="20"/>
              </w:rPr>
              <w:t>$</w:t>
            </w:r>
            <w:r w:rsidR="0092034D">
              <w:rPr>
                <w:sz w:val="20"/>
                <w:szCs w:val="20"/>
              </w:rPr>
              <w:t>236</w:t>
            </w:r>
            <w:r w:rsidRPr="00141E5D">
              <w:rPr>
                <w:sz w:val="20"/>
                <w:szCs w:val="20"/>
              </w:rPr>
              <w:t>,</w:t>
            </w:r>
            <w:r w:rsidR="0092034D">
              <w:rPr>
                <w:sz w:val="20"/>
                <w:szCs w:val="20"/>
              </w:rPr>
              <w:t>464</w:t>
            </w:r>
            <w:r w:rsidRPr="00141E5D">
              <w:rPr>
                <w:sz w:val="20"/>
                <w:szCs w:val="20"/>
              </w:rPr>
              <w:t>,</w:t>
            </w:r>
            <w:r w:rsidR="0092034D">
              <w:rPr>
                <w:sz w:val="20"/>
                <w:szCs w:val="20"/>
              </w:rPr>
              <w:t>625</w:t>
            </w:r>
          </w:p>
        </w:tc>
      </w:tr>
    </w:tbl>
    <w:p w:rsidR="00357C8A" w:rsidRPr="00357C8A" w:rsidP="00D15EA0" w14:paraId="537917FB" w14:textId="77777777">
      <w:pPr>
        <w:rPr>
          <w:rFonts w:eastAsia="Calibri"/>
        </w:rPr>
      </w:pPr>
    </w:p>
    <w:p w:rsidR="00357C8A" w:rsidRPr="00357C8A" w:rsidP="00D15EA0" w14:paraId="6799E8A6" w14:textId="77777777">
      <w:pPr>
        <w:numPr>
          <w:ilvl w:val="0"/>
          <w:numId w:val="6"/>
        </w:numPr>
        <w:spacing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D74521" w:rsidP="00D15EA0" w14:paraId="167F1ACC" w14:textId="77777777">
      <w:pPr>
        <w:autoSpaceDE w:val="0"/>
        <w:autoSpaceDN w:val="0"/>
        <w:adjustRightInd w:val="0"/>
        <w:rPr>
          <w:rFonts w:ascii="TimesNewRomanPSMT" w:hAnsi="TimesNewRomanPSMT" w:cs="TimesNewRomanPSMT"/>
        </w:rPr>
      </w:pPr>
    </w:p>
    <w:p w:rsidR="00141E5D" w:rsidP="00D15EA0" w14:paraId="2533CC91" w14:textId="77777777">
      <w:pPr>
        <w:autoSpaceDE w:val="0"/>
        <w:autoSpaceDN w:val="0"/>
        <w:adjustRightInd w:val="0"/>
        <w:rPr>
          <w:rFonts w:ascii="TimesNewRomanPSMT" w:hAnsi="TimesNewRomanPSMT" w:cs="TimesNewRomanPSMT"/>
        </w:rPr>
      </w:pPr>
      <w:r>
        <w:rPr>
          <w:rFonts w:ascii="TimesNewRomanPSMT" w:hAnsi="TimesNewRomanPSMT" w:cs="TimesNewRomanPSMT"/>
        </w:rPr>
        <w:t>There are no capital, start-up, operating or maintenance costs associated with this information</w:t>
      </w:r>
    </w:p>
    <w:p w:rsidR="00141E5D" w:rsidP="00D15EA0" w14:paraId="4F3BA2F4" w14:textId="77777777">
      <w:pPr>
        <w:spacing w:line="276" w:lineRule="auto"/>
        <w:rPr>
          <w:rFonts w:eastAsia="Calibri"/>
          <w:u w:val="single"/>
        </w:rPr>
      </w:pPr>
      <w:r>
        <w:rPr>
          <w:rFonts w:ascii="TimesNewRomanPSMT" w:hAnsi="TimesNewRomanPSMT" w:cs="TimesNewRomanPSMT"/>
        </w:rPr>
        <w:t>collection.</w:t>
      </w:r>
    </w:p>
    <w:p w:rsidR="0022425B" w:rsidP="00D15EA0" w14:paraId="3DE74109" w14:textId="77777777">
      <w:pPr>
        <w:spacing w:line="276" w:lineRule="auto"/>
        <w:rPr>
          <w:rFonts w:eastAsia="Calibri"/>
          <w:u w:val="single"/>
        </w:rPr>
      </w:pPr>
    </w:p>
    <w:p w:rsidR="00357C8A" w:rsidRPr="00357C8A" w:rsidP="00D15EA0" w14:paraId="6BB6BA4D" w14:textId="77777777">
      <w:pPr>
        <w:numPr>
          <w:ilvl w:val="0"/>
          <w:numId w:val="6"/>
        </w:numPr>
        <w:spacing w:line="276" w:lineRule="auto"/>
        <w:rPr>
          <w:rFonts w:eastAsia="Calibri"/>
          <w:u w:val="single"/>
        </w:rPr>
      </w:pPr>
      <w:r w:rsidRPr="00357C8A">
        <w:rPr>
          <w:rFonts w:eastAsia="Calibri"/>
          <w:u w:val="single"/>
        </w:rPr>
        <w:t>Annualized Cost to the Federal Government</w:t>
      </w:r>
    </w:p>
    <w:p w:rsidR="00D74521" w:rsidP="00D15EA0" w14:paraId="5C16197A" w14:textId="77777777">
      <w:pPr>
        <w:autoSpaceDE w:val="0"/>
        <w:autoSpaceDN w:val="0"/>
        <w:adjustRightInd w:val="0"/>
        <w:rPr>
          <w:rFonts w:ascii="TimesNewRomanPSMT" w:hAnsi="TimesNewRomanPSMT" w:cs="TimesNewRomanPSMT"/>
        </w:rPr>
      </w:pPr>
    </w:p>
    <w:p w:rsidR="00141E5D" w:rsidP="00D15EA0" w14:paraId="56DC40C0" w14:textId="77777777">
      <w:pPr>
        <w:autoSpaceDE w:val="0"/>
        <w:autoSpaceDN w:val="0"/>
        <w:adjustRightInd w:val="0"/>
        <w:rPr>
          <w:rFonts w:eastAsia="Calibri"/>
        </w:rPr>
      </w:pPr>
      <w:r>
        <w:rPr>
          <w:rFonts w:ascii="TimesNewRomanPSMT" w:hAnsi="TimesNewRomanPSMT" w:cs="TimesNewRomanPSMT"/>
        </w:rPr>
        <w:t>Our review of retained records generally occurs as part of routine or for-cause establishment inspection activities.  We estimate that our review of the retained records takes approximately five hours per inspection.  We estimate the hourly cost for review and evaluation is $</w:t>
      </w:r>
      <w:r w:rsidR="003D563A">
        <w:rPr>
          <w:rFonts w:ascii="TimesNewRomanPSMT" w:hAnsi="TimesNewRomanPSMT" w:cs="TimesNewRomanPSMT"/>
        </w:rPr>
        <w:t>22.11</w:t>
      </w:r>
      <w:r>
        <w:rPr>
          <w:rFonts w:ascii="TimesNewRomanPSMT" w:hAnsi="TimesNewRomanPSMT" w:cs="TimesNewRomanPSMT"/>
        </w:rPr>
        <w:t xml:space="preserve"> to $</w:t>
      </w:r>
      <w:r w:rsidR="003D563A">
        <w:rPr>
          <w:rFonts w:ascii="TimesNewRomanPSMT" w:hAnsi="TimesNewRomanPSMT" w:cs="TimesNewRomanPSMT"/>
        </w:rPr>
        <w:t>75.11</w:t>
      </w:r>
      <w:r>
        <w:rPr>
          <w:rFonts w:ascii="TimesNewRomanPSMT" w:hAnsi="TimesNewRomanPSMT" w:cs="TimesNewRomanPSMT"/>
        </w:rPr>
        <w:t xml:space="preserve"> per hour, the GS-5/Step 1 to the GS 13/Step 10 rates for the Washington-Baltimore locality pay area for the year 202</w:t>
      </w:r>
      <w:r w:rsidR="003D563A">
        <w:rPr>
          <w:rFonts w:ascii="TimesNewRomanPSMT" w:hAnsi="TimesNewRomanPSMT" w:cs="TimesNewRomanPSMT"/>
        </w:rPr>
        <w:t>5</w:t>
      </w:r>
      <w:r>
        <w:rPr>
          <w:rFonts w:ascii="TimesNewRomanPSMT" w:hAnsi="TimesNewRomanPSMT" w:cs="TimesNewRomanPSMT"/>
        </w:rPr>
        <w:t>.  To account for overhead, we increased our estimate by 50 percent, making the total cost $</w:t>
      </w:r>
      <w:r w:rsidR="007925F4">
        <w:rPr>
          <w:rFonts w:ascii="TimesNewRomanPSMT" w:hAnsi="TimesNewRomanPSMT" w:cs="TimesNewRomanPSMT"/>
        </w:rPr>
        <w:t>33.17</w:t>
      </w:r>
      <w:r>
        <w:rPr>
          <w:rFonts w:ascii="TimesNewRomanPSMT" w:hAnsi="TimesNewRomanPSMT" w:cs="TimesNewRomanPSMT"/>
        </w:rPr>
        <w:t xml:space="preserve"> to $</w:t>
      </w:r>
      <w:r w:rsidR="007925F4">
        <w:rPr>
          <w:rFonts w:ascii="TimesNewRomanPSMT" w:hAnsi="TimesNewRomanPSMT" w:cs="TimesNewRomanPSMT"/>
        </w:rPr>
        <w:t>112.67</w:t>
      </w:r>
      <w:r>
        <w:rPr>
          <w:rFonts w:ascii="TimesNewRomanPSMT" w:hAnsi="TimesNewRomanPSMT" w:cs="TimesNewRomanPSMT"/>
        </w:rPr>
        <w:t xml:space="preserve"> per hour.  The midpoint of this range is $</w:t>
      </w:r>
      <w:r w:rsidR="007925F4">
        <w:rPr>
          <w:rFonts w:ascii="TimesNewRomanPSMT" w:hAnsi="TimesNewRomanPSMT" w:cs="TimesNewRomanPSMT"/>
        </w:rPr>
        <w:t>72.92</w:t>
      </w:r>
      <w:r>
        <w:rPr>
          <w:rFonts w:ascii="TimesNewRomanPSMT" w:hAnsi="TimesNewRomanPSMT" w:cs="TimesNewRomanPSMT"/>
        </w:rPr>
        <w:t xml:space="preserve"> per hour.  Thus, we estimate the cost to the Federal Government for the review of records to be $</w:t>
      </w:r>
      <w:r w:rsidR="007925F4">
        <w:rPr>
          <w:rFonts w:ascii="TimesNewRomanPSMT" w:hAnsi="TimesNewRomanPSMT" w:cs="TimesNewRomanPSMT"/>
        </w:rPr>
        <w:t xml:space="preserve">365 </w:t>
      </w:r>
      <w:r>
        <w:rPr>
          <w:rFonts w:ascii="TimesNewRomanPSMT" w:hAnsi="TimesNewRomanPSMT" w:cs="TimesNewRomanPSMT"/>
        </w:rPr>
        <w:t>per review ($</w:t>
      </w:r>
      <w:r w:rsidR="007925F4">
        <w:rPr>
          <w:rFonts w:ascii="TimesNewRomanPSMT" w:hAnsi="TimesNewRomanPSMT" w:cs="TimesNewRomanPSMT"/>
        </w:rPr>
        <w:t>72.92</w:t>
      </w:r>
      <w:r>
        <w:rPr>
          <w:rFonts w:ascii="TimesNewRomanPSMT" w:hAnsi="TimesNewRomanPSMT" w:cs="TimesNewRomanPSMT"/>
        </w:rPr>
        <w:t xml:space="preserve">/hour </w:t>
      </w:r>
      <w:r w:rsidRPr="00867BD9">
        <w:rPr>
          <w:rFonts w:ascii="TimesNewRomanPSMT" w:hAnsi="TimesNewRomanPSMT" w:cs="TimesNewRomanPSMT"/>
        </w:rPr>
        <w:t>×</w:t>
      </w:r>
      <w:r>
        <w:rPr>
          <w:rFonts w:ascii="TimesNewRomanPSMT" w:hAnsi="TimesNewRomanPSMT" w:cs="TimesNewRomanPSMT"/>
        </w:rPr>
        <w:t xml:space="preserve"> 5 hours).  We estimate that we will review records for an average of 500 inspections per year.  Thus, we estimate that the total annual cost to the Federal Government for reviewing records during inspections would be $</w:t>
      </w:r>
      <w:r w:rsidR="007925F4">
        <w:rPr>
          <w:rFonts w:ascii="TimesNewRomanPSMT" w:hAnsi="TimesNewRomanPSMT" w:cs="TimesNewRomanPSMT"/>
        </w:rPr>
        <w:t>182,500</w:t>
      </w:r>
      <w:r>
        <w:rPr>
          <w:rFonts w:ascii="TimesNewRomanPSMT" w:hAnsi="TimesNewRomanPSMT" w:cs="TimesNewRomanPSMT"/>
        </w:rPr>
        <w:t xml:space="preserve"> ($</w:t>
      </w:r>
      <w:r w:rsidR="007925F4">
        <w:rPr>
          <w:rFonts w:ascii="TimesNewRomanPSMT" w:hAnsi="TimesNewRomanPSMT" w:cs="TimesNewRomanPSMT"/>
        </w:rPr>
        <w:t xml:space="preserve">365 </w:t>
      </w:r>
      <w:r w:rsidRPr="00867BD9">
        <w:rPr>
          <w:rFonts w:ascii="TimesNewRomanPSMT" w:hAnsi="TimesNewRomanPSMT" w:cs="TimesNewRomanPSMT"/>
        </w:rPr>
        <w:t>×</w:t>
      </w:r>
      <w:r>
        <w:rPr>
          <w:rFonts w:ascii="TimesNewRomanPSMT" w:hAnsi="TimesNewRomanPSMT" w:cs="TimesNewRomanPSMT"/>
        </w:rPr>
        <w:t xml:space="preserve"> 500 inspections).</w:t>
      </w:r>
    </w:p>
    <w:p w:rsidR="00357C8A" w:rsidRPr="00357C8A" w:rsidP="00D15EA0" w14:paraId="5AACE103" w14:textId="77777777">
      <w:pPr>
        <w:rPr>
          <w:rFonts w:eastAsia="Calibri"/>
        </w:rPr>
      </w:pPr>
    </w:p>
    <w:p w:rsidR="00357C8A" w:rsidP="00D15EA0" w14:paraId="35411312" w14:textId="47A3C265">
      <w:pPr>
        <w:numPr>
          <w:ilvl w:val="0"/>
          <w:numId w:val="6"/>
        </w:numPr>
        <w:spacing w:line="276" w:lineRule="auto"/>
        <w:rPr>
          <w:rFonts w:eastAsia="Calibri"/>
          <w:u w:val="single"/>
        </w:rPr>
      </w:pPr>
      <w:r w:rsidRPr="00357C8A">
        <w:rPr>
          <w:rFonts w:eastAsia="Calibri"/>
          <w:u w:val="single"/>
        </w:rPr>
        <w:t>Explanation for Program Changes or Adjustments</w:t>
      </w:r>
    </w:p>
    <w:p w:rsidR="00D74521" w:rsidP="00D15EA0" w14:paraId="1C85715C" w14:textId="77777777"/>
    <w:p w:rsidR="00357C8A" w:rsidP="00D15EA0" w14:paraId="465A8567" w14:textId="77777777">
      <w:r w:rsidRPr="00961D64">
        <w:t>Based on a review of the information</w:t>
      </w:r>
      <w:r>
        <w:t xml:space="preserve"> </w:t>
      </w:r>
      <w:r w:rsidRPr="00961D64">
        <w:t>collection since our last request for</w:t>
      </w:r>
      <w:r>
        <w:t xml:space="preserve"> </w:t>
      </w:r>
      <w:r w:rsidRPr="00961D64">
        <w:t>OMB approval, we have made no</w:t>
      </w:r>
      <w:r>
        <w:t xml:space="preserve"> </w:t>
      </w:r>
      <w:r w:rsidRPr="00961D64">
        <w:t xml:space="preserve">adjustments </w:t>
      </w:r>
      <w:r>
        <w:t>to this collection of information.</w:t>
      </w:r>
    </w:p>
    <w:p w:rsidR="007925F4" w:rsidRPr="0008008E" w:rsidP="00D15EA0" w14:paraId="19BC95FD" w14:textId="77777777">
      <w:pPr>
        <w:rPr>
          <w:rFonts w:eastAsia="Calibri"/>
          <w:color w:val="000000"/>
        </w:rPr>
      </w:pPr>
    </w:p>
    <w:p w:rsidR="00357C8A" w:rsidRPr="00357C8A" w:rsidP="00D15EA0" w14:paraId="72D2CF04" w14:textId="77777777">
      <w:pPr>
        <w:numPr>
          <w:ilvl w:val="0"/>
          <w:numId w:val="6"/>
        </w:numPr>
        <w:spacing w:line="276" w:lineRule="auto"/>
        <w:rPr>
          <w:rFonts w:eastAsia="Calibri"/>
          <w:u w:val="single"/>
        </w:rPr>
      </w:pPr>
      <w:r w:rsidRPr="00357C8A">
        <w:rPr>
          <w:rFonts w:eastAsia="Calibri"/>
          <w:u w:val="single"/>
        </w:rPr>
        <w:t>Plans for Tabulation and Publication and Project Time Schedule</w:t>
      </w:r>
    </w:p>
    <w:p w:rsidR="00D74521" w:rsidP="00D15EA0" w14:paraId="1C5CD0EE" w14:textId="77777777"/>
    <w:p w:rsidR="00141E5D" w:rsidRPr="00141E5D" w:rsidP="00D15EA0" w14:paraId="2FC7F355" w14:textId="77777777">
      <w:pPr>
        <w:rPr>
          <w:rFonts w:eastAsia="Calibri"/>
          <w:color w:val="000000"/>
        </w:rPr>
      </w:pPr>
      <w:r w:rsidRPr="009B6FC9">
        <w:t>These information collection requirements will not be published, tabulated or manipulated.</w:t>
      </w:r>
    </w:p>
    <w:p w:rsidR="00357C8A" w:rsidRPr="0008008E" w:rsidP="00D15EA0" w14:paraId="24CED88D" w14:textId="77777777">
      <w:pPr>
        <w:rPr>
          <w:rFonts w:eastAsia="Calibri"/>
          <w:color w:val="000000"/>
        </w:rPr>
      </w:pPr>
    </w:p>
    <w:p w:rsidR="00357C8A" w:rsidRPr="00357C8A" w:rsidP="00D15EA0" w14:paraId="2E565671" w14:textId="77777777">
      <w:pPr>
        <w:numPr>
          <w:ilvl w:val="0"/>
          <w:numId w:val="6"/>
        </w:numPr>
        <w:spacing w:line="276" w:lineRule="auto"/>
        <w:rPr>
          <w:rFonts w:eastAsia="Calibri"/>
          <w:u w:val="single"/>
        </w:rPr>
      </w:pPr>
      <w:r w:rsidRPr="00357C8A">
        <w:rPr>
          <w:rFonts w:eastAsia="Calibri"/>
          <w:u w:val="single"/>
        </w:rPr>
        <w:t>Reason(s) Display of OMB Expiration Date is Inappropriate</w:t>
      </w:r>
    </w:p>
    <w:p w:rsidR="00D74521" w:rsidP="00D15EA0" w14:paraId="413EEFE3" w14:textId="77777777">
      <w:pPr>
        <w:rPr>
          <w:rFonts w:ascii="TimesNewRomanPSMT" w:hAnsi="TimesNewRomanPSMT" w:cs="TimesNewRomanPSMT"/>
        </w:rPr>
      </w:pPr>
    </w:p>
    <w:p w:rsidR="00141E5D" w:rsidRPr="00141E5D" w:rsidP="00D15EA0" w14:paraId="2685B234" w14:textId="77777777">
      <w:pPr>
        <w:rPr>
          <w:rFonts w:eastAsia="Calibri"/>
          <w:color w:val="000000"/>
        </w:rPr>
      </w:pPr>
      <w:r>
        <w:rPr>
          <w:rFonts w:ascii="TimesNewRomanPSMT" w:hAnsi="TimesNewRomanPSMT" w:cs="TimesNewRomanPSMT"/>
        </w:rPr>
        <w:t>The OMB expiration date will be displayed as required</w:t>
      </w:r>
      <w:r w:rsidRPr="004B400C">
        <w:rPr>
          <w:rFonts w:eastAsia="Calibri"/>
        </w:rPr>
        <w:t>.</w:t>
      </w:r>
    </w:p>
    <w:p w:rsidR="00357C8A" w:rsidRPr="0008008E" w:rsidP="00D15EA0" w14:paraId="72124D74" w14:textId="77777777">
      <w:pPr>
        <w:rPr>
          <w:rFonts w:eastAsia="Calibri"/>
          <w:color w:val="000000"/>
        </w:rPr>
      </w:pPr>
    </w:p>
    <w:p w:rsidR="00357C8A" w:rsidRPr="00357C8A" w:rsidP="00D15EA0" w14:paraId="43324FCE" w14:textId="77777777">
      <w:pPr>
        <w:numPr>
          <w:ilvl w:val="0"/>
          <w:numId w:val="6"/>
        </w:numPr>
        <w:spacing w:line="276" w:lineRule="auto"/>
        <w:rPr>
          <w:rFonts w:eastAsia="Calibri"/>
          <w:u w:val="single"/>
        </w:rPr>
      </w:pPr>
      <w:r w:rsidRPr="00357C8A">
        <w:rPr>
          <w:rFonts w:eastAsia="Calibri"/>
          <w:u w:val="single"/>
        </w:rPr>
        <w:t>Exceptions to Certification for Paperwork Reduction Act Submissions</w:t>
      </w:r>
    </w:p>
    <w:p w:rsidR="00D74521" w:rsidP="00D15EA0" w14:paraId="7C2C64A1" w14:textId="77777777">
      <w:pPr>
        <w:rPr>
          <w:rFonts w:ascii="TimesNewRomanPSMT" w:hAnsi="TimesNewRomanPSMT" w:cs="TimesNewRomanPSMT"/>
        </w:rPr>
      </w:pPr>
    </w:p>
    <w:p w:rsidR="00136A60" w:rsidRPr="00C20690" w:rsidP="00D15EA0" w14:paraId="4E1D69AD" w14:textId="77777777">
      <w:pPr>
        <w:rPr>
          <w:rFonts w:eastAsia="Calibri"/>
        </w:rPr>
      </w:pPr>
      <w:r>
        <w:rPr>
          <w:rFonts w:ascii="TimesNewRomanPSMT" w:hAnsi="TimesNewRomanPSMT" w:cs="TimesNewRomanPSMT"/>
        </w:rPr>
        <w:t>There are no exceptions to the certification.</w:t>
      </w:r>
    </w:p>
    <w:p w:rsidR="00544138" w:rsidRPr="00C20690" w:rsidP="00D15EA0" w14:paraId="596BEEFB" w14:textId="77777777">
      <w:pPr>
        <w:spacing w:after="200"/>
        <w:rPr>
          <w:rFonts w:eastAsia="Calibri"/>
        </w:rPr>
      </w:pPr>
    </w:p>
    <w:sectPr w:rsidSect="00726BC1">
      <w:footerReference w:type="even" r:id="rId8"/>
      <w:footerReference w:type="default" r:id="rId9"/>
      <w:pgSz w:w="12240" w:h="15840" w:code="1"/>
      <w:pgMar w:top="1440" w:right="1440" w:bottom="1152" w:left="129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2386405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705F91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0AB4854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4A69D5C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65049976">
    <w:abstractNumId w:val="5"/>
  </w:num>
  <w:num w:numId="2" w16cid:durableId="743645870">
    <w:abstractNumId w:val="1"/>
  </w:num>
  <w:num w:numId="3" w16cid:durableId="646785751">
    <w:abstractNumId w:val="6"/>
  </w:num>
  <w:num w:numId="4" w16cid:durableId="776410577">
    <w:abstractNumId w:val="3"/>
  </w:num>
  <w:num w:numId="5" w16cid:durableId="799805483">
    <w:abstractNumId w:val="7"/>
  </w:num>
  <w:num w:numId="6" w16cid:durableId="1753618898">
    <w:abstractNumId w:val="0"/>
  </w:num>
  <w:num w:numId="7" w16cid:durableId="1020624813">
    <w:abstractNumId w:val="2"/>
  </w:num>
  <w:num w:numId="8" w16cid:durableId="192999627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2790F"/>
    <w:rsid w:val="00031A2C"/>
    <w:rsid w:val="00042B93"/>
    <w:rsid w:val="00043C7F"/>
    <w:rsid w:val="000467A8"/>
    <w:rsid w:val="0006570F"/>
    <w:rsid w:val="00075DE8"/>
    <w:rsid w:val="0008008E"/>
    <w:rsid w:val="00087439"/>
    <w:rsid w:val="00091564"/>
    <w:rsid w:val="000C1260"/>
    <w:rsid w:val="000C560C"/>
    <w:rsid w:val="000D080B"/>
    <w:rsid w:val="000D48FD"/>
    <w:rsid w:val="000D79CC"/>
    <w:rsid w:val="000E1C64"/>
    <w:rsid w:val="000F7119"/>
    <w:rsid w:val="00100739"/>
    <w:rsid w:val="0010493E"/>
    <w:rsid w:val="001075D3"/>
    <w:rsid w:val="00107885"/>
    <w:rsid w:val="00114FC4"/>
    <w:rsid w:val="0012329C"/>
    <w:rsid w:val="00134FA7"/>
    <w:rsid w:val="00136A60"/>
    <w:rsid w:val="00137950"/>
    <w:rsid w:val="00141E5D"/>
    <w:rsid w:val="00152F29"/>
    <w:rsid w:val="00174D54"/>
    <w:rsid w:val="0017702C"/>
    <w:rsid w:val="00185270"/>
    <w:rsid w:val="001A1956"/>
    <w:rsid w:val="001A3B5A"/>
    <w:rsid w:val="001A458C"/>
    <w:rsid w:val="001B7CE9"/>
    <w:rsid w:val="001D495A"/>
    <w:rsid w:val="001E244C"/>
    <w:rsid w:val="001F1437"/>
    <w:rsid w:val="00206799"/>
    <w:rsid w:val="002074FE"/>
    <w:rsid w:val="0022425B"/>
    <w:rsid w:val="002259EF"/>
    <w:rsid w:val="00242ED1"/>
    <w:rsid w:val="002444BB"/>
    <w:rsid w:val="00254069"/>
    <w:rsid w:val="00270748"/>
    <w:rsid w:val="002734E5"/>
    <w:rsid w:val="002746DB"/>
    <w:rsid w:val="00276F64"/>
    <w:rsid w:val="002808D1"/>
    <w:rsid w:val="00280CAF"/>
    <w:rsid w:val="00282F09"/>
    <w:rsid w:val="00291810"/>
    <w:rsid w:val="00294D62"/>
    <w:rsid w:val="00297532"/>
    <w:rsid w:val="00297FFD"/>
    <w:rsid w:val="002A1210"/>
    <w:rsid w:val="002A47D2"/>
    <w:rsid w:val="002A7FB5"/>
    <w:rsid w:val="002B2074"/>
    <w:rsid w:val="002D14D8"/>
    <w:rsid w:val="002D4799"/>
    <w:rsid w:val="002D5D41"/>
    <w:rsid w:val="002E3FA4"/>
    <w:rsid w:val="002E53A5"/>
    <w:rsid w:val="002E64B8"/>
    <w:rsid w:val="002E6834"/>
    <w:rsid w:val="003113FF"/>
    <w:rsid w:val="00312622"/>
    <w:rsid w:val="0032277F"/>
    <w:rsid w:val="00336B69"/>
    <w:rsid w:val="0034302B"/>
    <w:rsid w:val="00350523"/>
    <w:rsid w:val="0035189D"/>
    <w:rsid w:val="00355B62"/>
    <w:rsid w:val="00357C8A"/>
    <w:rsid w:val="0037390D"/>
    <w:rsid w:val="003740BC"/>
    <w:rsid w:val="0037456B"/>
    <w:rsid w:val="003801A3"/>
    <w:rsid w:val="00383D90"/>
    <w:rsid w:val="003870AE"/>
    <w:rsid w:val="003A1A27"/>
    <w:rsid w:val="003A50CC"/>
    <w:rsid w:val="003B18EC"/>
    <w:rsid w:val="003B42B3"/>
    <w:rsid w:val="003B6384"/>
    <w:rsid w:val="003C0FE2"/>
    <w:rsid w:val="003C1C87"/>
    <w:rsid w:val="003C4EBB"/>
    <w:rsid w:val="003D1531"/>
    <w:rsid w:val="003D563A"/>
    <w:rsid w:val="003E4EC6"/>
    <w:rsid w:val="003E527E"/>
    <w:rsid w:val="003E553E"/>
    <w:rsid w:val="003E7078"/>
    <w:rsid w:val="003F3DF5"/>
    <w:rsid w:val="003F73B8"/>
    <w:rsid w:val="00402878"/>
    <w:rsid w:val="0040297E"/>
    <w:rsid w:val="00411D11"/>
    <w:rsid w:val="00414494"/>
    <w:rsid w:val="00415E23"/>
    <w:rsid w:val="0041670D"/>
    <w:rsid w:val="00423272"/>
    <w:rsid w:val="00424061"/>
    <w:rsid w:val="00433A71"/>
    <w:rsid w:val="00442A3C"/>
    <w:rsid w:val="00443969"/>
    <w:rsid w:val="00447D74"/>
    <w:rsid w:val="00450A74"/>
    <w:rsid w:val="004546BF"/>
    <w:rsid w:val="00465350"/>
    <w:rsid w:val="00476B91"/>
    <w:rsid w:val="004846BF"/>
    <w:rsid w:val="00491F39"/>
    <w:rsid w:val="00494912"/>
    <w:rsid w:val="004A5323"/>
    <w:rsid w:val="004A5A99"/>
    <w:rsid w:val="004B400C"/>
    <w:rsid w:val="004C6979"/>
    <w:rsid w:val="004D13A2"/>
    <w:rsid w:val="004D3E7A"/>
    <w:rsid w:val="004F594B"/>
    <w:rsid w:val="004F61E1"/>
    <w:rsid w:val="00516A33"/>
    <w:rsid w:val="0053380B"/>
    <w:rsid w:val="00543194"/>
    <w:rsid w:val="00544138"/>
    <w:rsid w:val="00554E34"/>
    <w:rsid w:val="00584583"/>
    <w:rsid w:val="00590E90"/>
    <w:rsid w:val="00590EEB"/>
    <w:rsid w:val="00591541"/>
    <w:rsid w:val="005A4099"/>
    <w:rsid w:val="005C38B2"/>
    <w:rsid w:val="005C5029"/>
    <w:rsid w:val="005C55C2"/>
    <w:rsid w:val="005C71CA"/>
    <w:rsid w:val="005C745C"/>
    <w:rsid w:val="005D1E8E"/>
    <w:rsid w:val="005D4DF5"/>
    <w:rsid w:val="005E42BA"/>
    <w:rsid w:val="00611D6B"/>
    <w:rsid w:val="00625CFD"/>
    <w:rsid w:val="006326EC"/>
    <w:rsid w:val="00645FBF"/>
    <w:rsid w:val="00663A42"/>
    <w:rsid w:val="006641C7"/>
    <w:rsid w:val="006705EA"/>
    <w:rsid w:val="00670BE2"/>
    <w:rsid w:val="00682DDB"/>
    <w:rsid w:val="0068443D"/>
    <w:rsid w:val="006916D9"/>
    <w:rsid w:val="006A0E05"/>
    <w:rsid w:val="006A26C6"/>
    <w:rsid w:val="006A465A"/>
    <w:rsid w:val="006A7D5D"/>
    <w:rsid w:val="006D0C12"/>
    <w:rsid w:val="006D5D57"/>
    <w:rsid w:val="006E2538"/>
    <w:rsid w:val="006E302F"/>
    <w:rsid w:val="006F4D6D"/>
    <w:rsid w:val="00705086"/>
    <w:rsid w:val="00722001"/>
    <w:rsid w:val="00726BC1"/>
    <w:rsid w:val="00744525"/>
    <w:rsid w:val="00751E66"/>
    <w:rsid w:val="00754497"/>
    <w:rsid w:val="00773201"/>
    <w:rsid w:val="00787C39"/>
    <w:rsid w:val="007925F4"/>
    <w:rsid w:val="00792947"/>
    <w:rsid w:val="00795DF3"/>
    <w:rsid w:val="007A373C"/>
    <w:rsid w:val="007B225C"/>
    <w:rsid w:val="007C75B1"/>
    <w:rsid w:val="007D3DFC"/>
    <w:rsid w:val="007E2F07"/>
    <w:rsid w:val="007E59A8"/>
    <w:rsid w:val="0080776D"/>
    <w:rsid w:val="00810145"/>
    <w:rsid w:val="008108FA"/>
    <w:rsid w:val="00810FF1"/>
    <w:rsid w:val="00822336"/>
    <w:rsid w:val="00823DFA"/>
    <w:rsid w:val="00842DB7"/>
    <w:rsid w:val="00843752"/>
    <w:rsid w:val="0084479F"/>
    <w:rsid w:val="0085725E"/>
    <w:rsid w:val="00867BD9"/>
    <w:rsid w:val="00873D4F"/>
    <w:rsid w:val="0087509F"/>
    <w:rsid w:val="00885B09"/>
    <w:rsid w:val="00892400"/>
    <w:rsid w:val="008A209D"/>
    <w:rsid w:val="008A22BB"/>
    <w:rsid w:val="008B035D"/>
    <w:rsid w:val="008B0E29"/>
    <w:rsid w:val="008B0EFA"/>
    <w:rsid w:val="008B30AB"/>
    <w:rsid w:val="008C3BB8"/>
    <w:rsid w:val="008C4B65"/>
    <w:rsid w:val="008E5F55"/>
    <w:rsid w:val="008F3CD9"/>
    <w:rsid w:val="009009E7"/>
    <w:rsid w:val="00905DEF"/>
    <w:rsid w:val="00906056"/>
    <w:rsid w:val="009122AE"/>
    <w:rsid w:val="00913B43"/>
    <w:rsid w:val="0092034D"/>
    <w:rsid w:val="00930203"/>
    <w:rsid w:val="009311D2"/>
    <w:rsid w:val="009311E6"/>
    <w:rsid w:val="00931275"/>
    <w:rsid w:val="00936AC7"/>
    <w:rsid w:val="00953B64"/>
    <w:rsid w:val="00961D64"/>
    <w:rsid w:val="009646A7"/>
    <w:rsid w:val="0096739D"/>
    <w:rsid w:val="00970A88"/>
    <w:rsid w:val="00977021"/>
    <w:rsid w:val="009818A1"/>
    <w:rsid w:val="009A1674"/>
    <w:rsid w:val="009B38BE"/>
    <w:rsid w:val="009B4DF2"/>
    <w:rsid w:val="009B5C27"/>
    <w:rsid w:val="009B6FC9"/>
    <w:rsid w:val="009B72C4"/>
    <w:rsid w:val="009C684F"/>
    <w:rsid w:val="009D074C"/>
    <w:rsid w:val="009D6E73"/>
    <w:rsid w:val="009F1F1D"/>
    <w:rsid w:val="009F2B4F"/>
    <w:rsid w:val="009F3C63"/>
    <w:rsid w:val="009F4849"/>
    <w:rsid w:val="009F66B5"/>
    <w:rsid w:val="00A02F10"/>
    <w:rsid w:val="00A07A3C"/>
    <w:rsid w:val="00A1060C"/>
    <w:rsid w:val="00A16221"/>
    <w:rsid w:val="00A20A7D"/>
    <w:rsid w:val="00A35D42"/>
    <w:rsid w:val="00A46CCF"/>
    <w:rsid w:val="00A506DE"/>
    <w:rsid w:val="00A53451"/>
    <w:rsid w:val="00A70426"/>
    <w:rsid w:val="00A707CC"/>
    <w:rsid w:val="00A71410"/>
    <w:rsid w:val="00A91E9A"/>
    <w:rsid w:val="00A93ED9"/>
    <w:rsid w:val="00A96221"/>
    <w:rsid w:val="00AA505F"/>
    <w:rsid w:val="00AB3301"/>
    <w:rsid w:val="00AC2DBB"/>
    <w:rsid w:val="00AC6A99"/>
    <w:rsid w:val="00AD6048"/>
    <w:rsid w:val="00B055EF"/>
    <w:rsid w:val="00B06B5B"/>
    <w:rsid w:val="00B06F94"/>
    <w:rsid w:val="00B22347"/>
    <w:rsid w:val="00B23769"/>
    <w:rsid w:val="00B41789"/>
    <w:rsid w:val="00B4392A"/>
    <w:rsid w:val="00B73995"/>
    <w:rsid w:val="00B81808"/>
    <w:rsid w:val="00B86DFA"/>
    <w:rsid w:val="00B936D0"/>
    <w:rsid w:val="00BB15FB"/>
    <w:rsid w:val="00BD3D5B"/>
    <w:rsid w:val="00BE09C7"/>
    <w:rsid w:val="00BE3600"/>
    <w:rsid w:val="00BE6116"/>
    <w:rsid w:val="00C01F6F"/>
    <w:rsid w:val="00C041EA"/>
    <w:rsid w:val="00C13BBD"/>
    <w:rsid w:val="00C149AB"/>
    <w:rsid w:val="00C16929"/>
    <w:rsid w:val="00C20690"/>
    <w:rsid w:val="00C33858"/>
    <w:rsid w:val="00C36020"/>
    <w:rsid w:val="00C40694"/>
    <w:rsid w:val="00C479BF"/>
    <w:rsid w:val="00C5124B"/>
    <w:rsid w:val="00C61647"/>
    <w:rsid w:val="00C70542"/>
    <w:rsid w:val="00C74C03"/>
    <w:rsid w:val="00C75CBF"/>
    <w:rsid w:val="00CC2894"/>
    <w:rsid w:val="00CD77C3"/>
    <w:rsid w:val="00CE112C"/>
    <w:rsid w:val="00CF55D4"/>
    <w:rsid w:val="00D14F37"/>
    <w:rsid w:val="00D15EA0"/>
    <w:rsid w:val="00D5699C"/>
    <w:rsid w:val="00D608DA"/>
    <w:rsid w:val="00D66147"/>
    <w:rsid w:val="00D72D93"/>
    <w:rsid w:val="00D730BF"/>
    <w:rsid w:val="00D74521"/>
    <w:rsid w:val="00D84A74"/>
    <w:rsid w:val="00D852F4"/>
    <w:rsid w:val="00DB1110"/>
    <w:rsid w:val="00DB3730"/>
    <w:rsid w:val="00DC371B"/>
    <w:rsid w:val="00DC3788"/>
    <w:rsid w:val="00DC76C7"/>
    <w:rsid w:val="00DD09F5"/>
    <w:rsid w:val="00DD0E02"/>
    <w:rsid w:val="00DD4201"/>
    <w:rsid w:val="00DD5E9F"/>
    <w:rsid w:val="00DE5711"/>
    <w:rsid w:val="00E00EA0"/>
    <w:rsid w:val="00E021CB"/>
    <w:rsid w:val="00E138F1"/>
    <w:rsid w:val="00E215D1"/>
    <w:rsid w:val="00E2309D"/>
    <w:rsid w:val="00E26758"/>
    <w:rsid w:val="00E40FFD"/>
    <w:rsid w:val="00E4357B"/>
    <w:rsid w:val="00E44029"/>
    <w:rsid w:val="00E443A7"/>
    <w:rsid w:val="00E45904"/>
    <w:rsid w:val="00E63DE5"/>
    <w:rsid w:val="00E647AF"/>
    <w:rsid w:val="00E647C7"/>
    <w:rsid w:val="00E65A37"/>
    <w:rsid w:val="00E65EF7"/>
    <w:rsid w:val="00E77B48"/>
    <w:rsid w:val="00E857FB"/>
    <w:rsid w:val="00E86ABB"/>
    <w:rsid w:val="00E91799"/>
    <w:rsid w:val="00E97DF8"/>
    <w:rsid w:val="00EA21FE"/>
    <w:rsid w:val="00EA34E3"/>
    <w:rsid w:val="00EB7538"/>
    <w:rsid w:val="00EC1868"/>
    <w:rsid w:val="00EE6468"/>
    <w:rsid w:val="00F1299B"/>
    <w:rsid w:val="00F207A4"/>
    <w:rsid w:val="00F25173"/>
    <w:rsid w:val="00F355AC"/>
    <w:rsid w:val="00F40CF7"/>
    <w:rsid w:val="00F44194"/>
    <w:rsid w:val="00F71A5A"/>
    <w:rsid w:val="00F73A1A"/>
    <w:rsid w:val="00F769E0"/>
    <w:rsid w:val="00F93438"/>
    <w:rsid w:val="00FA4A46"/>
    <w:rsid w:val="00FA75FE"/>
    <w:rsid w:val="00FB1032"/>
    <w:rsid w:val="00FB39BC"/>
    <w:rsid w:val="00FB6022"/>
    <w:rsid w:val="00FB6A53"/>
    <w:rsid w:val="00FC11CA"/>
    <w:rsid w:val="00FC6BDE"/>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C91B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9673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da.gov/food/food-defense/food-defense-tools-educational-materials" TargetMode="External" /><Relationship Id="rId5" Type="http://schemas.openxmlformats.org/officeDocument/2006/relationships/hyperlink" Target="https://www.fda.gov/food/food-defense" TargetMode="External" /><Relationship Id="rId6" Type="http://schemas.openxmlformats.org/officeDocument/2006/relationships/hyperlink" Target="https://www.fda.gov/industry/small-business-assistance" TargetMode="External" /><Relationship Id="rId7" Type="http://schemas.openxmlformats.org/officeDocument/2006/relationships/hyperlink" Target="http://www.bls.gov/oes/current/naics3_311000.ht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2254</Words>
  <Characters>13864</Characters>
  <Application>Microsoft Office Word</Application>
  <DocSecurity>0</DocSecurity>
  <Lines>115</Lines>
  <Paragraphs>32</Paragraphs>
  <ScaleCrop>false</ScaleCrop>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2025-09-29T23:50:00Z</dcterms:created>
  <dcterms:modified xsi:type="dcterms:W3CDTF">2025-09-29T23:50:00Z</dcterms:modified>
</cp:coreProperties>
</file>