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143D1A" w14:paraId="0DCD2832" w14:textId="6E736BF6">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143D1A" w14:paraId="128BC688" w14:textId="77777777">
      <w:pPr>
        <w:jc w:val="center"/>
        <w:rPr>
          <w:rFonts w:eastAsia="Calibri"/>
        </w:rPr>
      </w:pPr>
    </w:p>
    <w:p w:rsidR="007B14E4" w:rsidP="00143D1A" w14:paraId="7FE27DF9" w14:textId="73A24DB8">
      <w:pPr>
        <w:jc w:val="center"/>
      </w:pPr>
      <w:r w:rsidRPr="006F1025">
        <w:t>Substances Prohibited from Use in Animal Food or Feed</w:t>
      </w:r>
    </w:p>
    <w:p w:rsidR="00357C8A" w:rsidP="00143D1A" w14:paraId="5A4287D5" w14:textId="77777777">
      <w:pPr>
        <w:jc w:val="center"/>
        <w:rPr>
          <w:rFonts w:eastAsia="Calibri"/>
        </w:rPr>
      </w:pPr>
    </w:p>
    <w:p w:rsidR="00357C8A" w:rsidRPr="00143D1A" w:rsidP="00143D1A" w14:paraId="4561DEAE" w14:textId="0D08FD1A">
      <w:pPr>
        <w:jc w:val="center"/>
        <w:rPr>
          <w:rFonts w:eastAsia="Calibri"/>
          <w:u w:val="single"/>
        </w:rPr>
      </w:pPr>
      <w:r w:rsidRPr="00143D1A">
        <w:rPr>
          <w:rFonts w:eastAsia="Calibri"/>
          <w:u w:val="single"/>
        </w:rPr>
        <w:t>OMB Control No. 0910-</w:t>
      </w:r>
      <w:r w:rsidRPr="00143D1A" w:rsidR="007B14E4">
        <w:rPr>
          <w:rFonts w:eastAsia="Calibri"/>
          <w:u w:val="single"/>
        </w:rPr>
        <w:t>0339</w:t>
      </w:r>
      <w:r w:rsidRPr="00143D1A" w:rsidR="00727CDF">
        <w:rPr>
          <w:rFonts w:eastAsia="Calibri"/>
          <w:u w:val="single"/>
        </w:rPr>
        <w:t xml:space="preserve"> -- </w:t>
      </w:r>
      <w:r w:rsidR="0038684D">
        <w:rPr>
          <w:rFonts w:eastAsia="Calibri"/>
          <w:u w:val="single"/>
        </w:rPr>
        <w:t>Revision</w:t>
      </w:r>
    </w:p>
    <w:p w:rsidR="00357C8A" w:rsidP="00143D1A" w14:paraId="56A88D0E" w14:textId="77777777">
      <w:pPr>
        <w:jc w:val="center"/>
        <w:rPr>
          <w:rFonts w:eastAsia="Calibri"/>
        </w:rPr>
      </w:pPr>
    </w:p>
    <w:p w:rsidR="00357C8A" w:rsidP="00143D1A" w14:paraId="1B3835BE" w14:textId="77777777">
      <w:pPr>
        <w:jc w:val="center"/>
        <w:rPr>
          <w:rFonts w:eastAsia="Calibri"/>
        </w:rPr>
      </w:pPr>
      <w:r w:rsidRPr="00357C8A">
        <w:rPr>
          <w:rFonts w:eastAsia="Calibri"/>
        </w:rPr>
        <w:t>SUPPORTING STATEMENT</w:t>
      </w:r>
    </w:p>
    <w:p w:rsidR="009B4DF2" w:rsidP="0038684D" w14:paraId="567283D4" w14:textId="0D100E9D">
      <w:pPr>
        <w:rPr>
          <w:rFonts w:eastAsia="Calibri"/>
        </w:rPr>
      </w:pPr>
    </w:p>
    <w:p w:rsidR="00357C8A" w:rsidP="00143D1A" w14:paraId="034ABB88" w14:textId="77777777">
      <w:pPr>
        <w:rPr>
          <w:rFonts w:eastAsia="Calibri"/>
        </w:rPr>
      </w:pPr>
      <w:r w:rsidRPr="00357C8A">
        <w:rPr>
          <w:rFonts w:eastAsia="Calibri"/>
          <w:b/>
        </w:rPr>
        <w:t>Part A:  Justification</w:t>
      </w:r>
      <w:r w:rsidRPr="00357C8A">
        <w:rPr>
          <w:rFonts w:eastAsia="Calibri"/>
        </w:rPr>
        <w:t>:</w:t>
      </w:r>
    </w:p>
    <w:p w:rsidR="000D79CC" w:rsidRPr="00357C8A" w:rsidP="00143D1A" w14:paraId="6508FF29" w14:textId="77777777">
      <w:pPr>
        <w:rPr>
          <w:rFonts w:eastAsia="Calibri"/>
        </w:rPr>
      </w:pPr>
    </w:p>
    <w:p w:rsidR="00357C8A" w:rsidRPr="00357C8A" w:rsidP="00143D1A" w14:paraId="2531AEED"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DB26E0" w:rsidP="00143D1A" w14:paraId="01A5E671" w14:textId="77777777">
      <w:pPr>
        <w:rPr>
          <w:rFonts w:eastAsia="Calibri"/>
        </w:rPr>
      </w:pPr>
      <w:r w:rsidRPr="005C71CA">
        <w:rPr>
          <w:rFonts w:eastAsia="Calibri"/>
        </w:rPr>
        <w:t xml:space="preserve">This information collection </w:t>
      </w:r>
      <w:r w:rsidR="00EE452A">
        <w:rPr>
          <w:rFonts w:eastAsia="Calibri"/>
        </w:rPr>
        <w:t xml:space="preserve">helps </w:t>
      </w:r>
      <w:r w:rsidRPr="005C71CA">
        <w:rPr>
          <w:rFonts w:eastAsia="Calibri"/>
        </w:rPr>
        <w:t>support</w:t>
      </w:r>
      <w:r w:rsidR="00EE452A">
        <w:rPr>
          <w:rFonts w:eastAsia="Calibri"/>
        </w:rPr>
        <w:t xml:space="preserve"> implementation of statutory and regulatory requirements.  </w:t>
      </w:r>
      <w:r w:rsidRPr="007B14E4" w:rsidR="007B14E4">
        <w:rPr>
          <w:rFonts w:eastAsia="Calibri"/>
        </w:rPr>
        <w:t>Section 701(a) (21 U.S.C. 371(a)) of the Federal Food, Drug, and Cosmetic Act (FD&amp;C Act) gives us the authority to issue regulations for the efficient enforcement of the FD&amp;C Act. Our regulation at 21 CFR 589.2000 provides that animal protein derived from mammalian tissue (with some exclusions) is not generally recognized as safe (GRAS) for use in ruminant feed and is a food additive subject to certain provisions of the FD&amp;C Act (62 FR 30936, June 5, 1997).</w:t>
      </w:r>
      <w:r w:rsidR="00EE452A">
        <w:rPr>
          <w:rFonts w:eastAsia="Calibri"/>
        </w:rPr>
        <w:t xml:space="preserve">  E</w:t>
      </w:r>
      <w:r w:rsidRPr="007B14E4" w:rsidR="007B14E4">
        <w:rPr>
          <w:rFonts w:eastAsia="Calibri"/>
        </w:rPr>
        <w:t xml:space="preserve">pidemiological evidence gathered in the United Kingdom </w:t>
      </w:r>
      <w:r w:rsidR="00EE452A">
        <w:rPr>
          <w:rFonts w:eastAsia="Calibri"/>
        </w:rPr>
        <w:t xml:space="preserve">has </w:t>
      </w:r>
      <w:r w:rsidRPr="007B14E4" w:rsidR="007B14E4">
        <w:rPr>
          <w:rFonts w:eastAsia="Calibri"/>
        </w:rPr>
        <w:t>suggested that bovine spongiform encephalopathy (BSE), a progressively degenerative central nervous system disease, is spread to ruminant animals by feeding protein derived from ruminants infected with BSE.</w:t>
      </w:r>
      <w:r>
        <w:rPr>
          <w:rFonts w:eastAsia="Calibri"/>
        </w:rPr>
        <w:t xml:space="preserve">  </w:t>
      </w:r>
    </w:p>
    <w:p w:rsidR="00DB26E0" w:rsidP="00143D1A" w14:paraId="396B2EF4" w14:textId="77777777">
      <w:pPr>
        <w:rPr>
          <w:rFonts w:eastAsia="Calibri"/>
        </w:rPr>
      </w:pPr>
    </w:p>
    <w:p w:rsidR="007B14E4" w:rsidP="00143D1A" w14:paraId="4C8C2E76" w14:textId="4A5CF1F9">
      <w:pPr>
        <w:rPr>
          <w:rFonts w:eastAsia="Calibri"/>
        </w:rPr>
      </w:pPr>
      <w:r>
        <w:rPr>
          <w:rFonts w:eastAsia="Calibri"/>
        </w:rPr>
        <w:t xml:space="preserve">FDA regulation in 21 CFR 589.2000 </w:t>
      </w:r>
      <w:r w:rsidRPr="007B14E4">
        <w:rPr>
          <w:rFonts w:eastAsia="Calibri"/>
        </w:rPr>
        <w:t>general requirements on persons that manufacture, blend, process, and distribute products that contain, or may contain, protein derived from mammalian tissue, and feeds made from such products.</w:t>
      </w:r>
      <w:r>
        <w:rPr>
          <w:rFonts w:eastAsia="Calibri"/>
        </w:rPr>
        <w:t xml:space="preserve">  </w:t>
      </w:r>
      <w:r w:rsidRPr="007B14E4">
        <w:rPr>
          <w:rFonts w:eastAsia="Calibri"/>
        </w:rPr>
        <w:t>Specifically, this regulation requires renderers, feed manufacturers, and others involved in feed and feed ingredient manufacturing and distribution to maintain written procedures specifying the cleanout procedures or other means and specifying the procedures for separating products that contain or may contain protein derived from mammalian tissue from all other protein products from the time of receipt until the time of shipment. These written procedures are intended to help the firm formalize consistent processes, and then to help inspection personnel confirm that the firm is conducting these processes in compliance with the regulation. Inspection personnel will evaluate the written procedure and confirm it is being followed when they are conducting an inspection.</w:t>
      </w:r>
      <w:r>
        <w:rPr>
          <w:rFonts w:eastAsia="Calibri"/>
        </w:rPr>
        <w:t xml:space="preserve">  </w:t>
      </w:r>
      <w:r w:rsidRPr="007B14E4">
        <w:rPr>
          <w:rFonts w:eastAsia="Calibri"/>
        </w:rPr>
        <w:t>These written procedures must be maintained if the facility is operating in a manner that necessitates the record, and if the facility makes changes to an applicable procedure or process the record must be updated. Written procedures required by this section shall be made available for inspection and copying by FDA.</w:t>
      </w:r>
    </w:p>
    <w:p w:rsidR="008562CC" w:rsidP="00143D1A" w14:paraId="2B5A3BAB" w14:textId="77777777">
      <w:pPr>
        <w:rPr>
          <w:rFonts w:eastAsia="Calibri"/>
        </w:rPr>
      </w:pPr>
    </w:p>
    <w:p w:rsidR="008562CC" w:rsidRPr="008562CC" w:rsidP="008562CC" w14:paraId="03303E5B" w14:textId="14CE8E02">
      <w:pPr>
        <w:rPr>
          <w:rFonts w:eastAsia="Calibri"/>
        </w:rPr>
      </w:pPr>
      <w:r>
        <w:rPr>
          <w:rFonts w:eastAsia="Calibri"/>
        </w:rPr>
        <w:t>W</w:t>
      </w:r>
      <w:r w:rsidRPr="008562CC">
        <w:rPr>
          <w:rFonts w:eastAsia="Calibri"/>
        </w:rPr>
        <w:t xml:space="preserve">e are revising the information collection to include related activity currently approved and account for in OMB control no. 0910-0627.  Specifically, our regulation at 21 CFR 589.2001 is designed to safeguard against the establishment and amplification of BSE in the United States through animal feed.  The regulation prohibits the use of certain cattle origin materials in the food or feed of all animals.  These materials are referred to as “cattle materials prohibited in animal feed” or CMPAF.  Under § 589.2001, no animal feed or feed ingredient can contain CMPAF.  As a result, we impose requirements to maintain adequate written procedures and recordkeeping on renderers that receive, manufacture, process, blend, or distribute raw material </w:t>
      </w:r>
      <w:r w:rsidRPr="008562CC">
        <w:rPr>
          <w:rFonts w:eastAsia="Calibri"/>
        </w:rPr>
        <w:t xml:space="preserve">from cattle and to make these records available for inspection and copying by FDA to demonstrate they are taking measures to ensure that CMPAF is not introduced into animal feed. </w:t>
      </w:r>
    </w:p>
    <w:p w:rsidR="008562CC" w:rsidRPr="007B14E4" w:rsidP="008562CC" w14:paraId="55E2EC94" w14:textId="6CD4D0D8">
      <w:pPr>
        <w:rPr>
          <w:rFonts w:eastAsia="Calibri"/>
        </w:rPr>
      </w:pPr>
      <w:r w:rsidRPr="008562CC">
        <w:rPr>
          <w:rFonts w:eastAsia="Calibri"/>
        </w:rPr>
        <w:t>Additionally, under § 589.2001(f), we may designate a country from which cattle materials are not considered CMPAF.  A country seeking to be so designated must send a written request to the Director of the Center for Veterinary Medicine, including certain required information.  We use the information provided to determine whether to grant a request for designation and to impose conditions if a request is granted.  Designated countries will be subject to our future review to determine whether their designations remain appropriate. As part of this process, we may ask designated countries at any time to confirm that their BSE situation and the information submitted by them in support of their original application remains unchanged.  We may revoke a country’s designation if we determine that it is no longer appropriate.  Therefore, designated countries may respond to our periodic requests by submitting information to confirm their designations remain appropriate.</w:t>
      </w:r>
    </w:p>
    <w:p w:rsidR="00423272" w:rsidRPr="005C71CA" w:rsidP="00143D1A" w14:paraId="59539A89" w14:textId="38DF37AA">
      <w:pPr>
        <w:rPr>
          <w:rFonts w:eastAsia="Calibri"/>
        </w:rPr>
      </w:pPr>
      <w:r>
        <w:rPr>
          <w:rFonts w:eastAsia="Calibri"/>
        </w:rPr>
        <w:t xml:space="preserve"> </w:t>
      </w:r>
    </w:p>
    <w:p w:rsidR="00423272" w:rsidRPr="00423272" w:rsidP="00143D1A" w14:paraId="2E843C60" w14:textId="48BBE77E">
      <w:pPr>
        <w:rPr>
          <w:rFonts w:eastAsia="Calibri"/>
          <w:i/>
        </w:rPr>
      </w:pPr>
      <w:r w:rsidRPr="005C71CA">
        <w:rPr>
          <w:rFonts w:eastAsia="Calibri"/>
        </w:rPr>
        <w:t>We therefore request OMB approval</w:t>
      </w:r>
      <w:r w:rsidR="00DB26E0">
        <w:rPr>
          <w:rFonts w:eastAsia="Calibri"/>
        </w:rPr>
        <w:t xml:space="preserve"> for</w:t>
      </w:r>
      <w:r w:rsidRPr="005C71CA" w:rsidR="007B14E4">
        <w:rPr>
          <w:rFonts w:eastAsia="Calibri"/>
        </w:rPr>
        <w:t xml:space="preserve"> </w:t>
      </w:r>
      <w:r w:rsidR="007B14E4">
        <w:rPr>
          <w:rFonts w:eastAsia="Calibri"/>
        </w:rPr>
        <w:t xml:space="preserve">the information collection </w:t>
      </w:r>
      <w:r w:rsidRPr="005C71CA" w:rsidR="007B14E4">
        <w:rPr>
          <w:rFonts w:eastAsia="Calibri"/>
        </w:rPr>
        <w:t xml:space="preserve">provisions found in </w:t>
      </w:r>
      <w:r w:rsidRPr="00C36853" w:rsidR="007B14E4">
        <w:t>21 CFR 589.2000</w:t>
      </w:r>
      <w:r w:rsidR="00496313">
        <w:t xml:space="preserve"> and 589.2001</w:t>
      </w:r>
      <w:r w:rsidR="00DB26E0">
        <w:t xml:space="preserve">, </w:t>
      </w:r>
      <w:r w:rsidRPr="005C71CA" w:rsidR="007B14E4">
        <w:rPr>
          <w:rFonts w:eastAsia="Calibri"/>
        </w:rPr>
        <w:t>as discussed in this supporting statement</w:t>
      </w:r>
      <w:r w:rsidR="007B14E4">
        <w:rPr>
          <w:rFonts w:eastAsia="Calibri"/>
        </w:rPr>
        <w:t>.</w:t>
      </w:r>
    </w:p>
    <w:p w:rsidR="00357C8A" w:rsidRPr="00357C8A" w:rsidP="00143D1A" w14:paraId="220D0605" w14:textId="3A1A5542">
      <w:pPr>
        <w:spacing w:after="200"/>
        <w:rPr>
          <w:rFonts w:eastAsia="Calibri"/>
          <w:color w:val="FF0000"/>
        </w:rPr>
      </w:pPr>
    </w:p>
    <w:p w:rsidR="00357C8A" w:rsidRPr="00357C8A" w:rsidP="00143D1A" w14:paraId="68ACAAC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RPr="008577F3" w:rsidP="00143D1A" w14:paraId="7B5717DF" w14:textId="69CE07ED">
      <w:pPr>
        <w:spacing w:after="200"/>
        <w:rPr>
          <w:rFonts w:eastAsia="Calibri"/>
        </w:rPr>
      </w:pPr>
      <w:r w:rsidRPr="008577F3">
        <w:t>These written procedures are intended to help the firm formalize consistent processes, and then to help inspection personnel confirm that the firm is conducting these processes in compliance with the regulation. Inspection personnel will evaluate the written procedure and confirm it is being followed when they are conducting an inspection. These written procedures must be maintained as long as the facility is operating in a manner that necessitates the record, and if the facility makes changes to an applicable procedure or process the record must be updated. Written procedures required by 21 CFR 589.2000(e)(1)(iv) shall be made available for inspection and copying by FDA.</w:t>
      </w:r>
    </w:p>
    <w:p w:rsidR="00357C8A" w:rsidRPr="00357C8A" w:rsidP="00143D1A" w14:paraId="573BC3D1"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8577F3" w:rsidP="00143D1A" w14:paraId="22586C6E" w14:textId="79389435">
      <w:pPr>
        <w:spacing w:after="200"/>
        <w:rPr>
          <w:rFonts w:eastAsia="Calibri"/>
        </w:rPr>
      </w:pPr>
      <w:r w:rsidRPr="008577F3">
        <w:rPr>
          <w:rFonts w:eastAsia="Calibri"/>
        </w:rPr>
        <w:t>The regulation does not specifically prescribe the use of automated, electronic, mechanical, or other technological techniques or other forms of information technology as necessary for use by firms.  Firms are free to use whatever forms of information technology may best assist them in retaining the appropriate records and making them available to regulatory officials.  We estimate that 95% of the recordkeepers will use electronic means to keep the required records.</w:t>
      </w:r>
    </w:p>
    <w:p w:rsidR="00357C8A" w:rsidRPr="00357C8A" w:rsidP="00143D1A" w14:paraId="3544761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8577F3" w:rsidP="00143D1A" w14:paraId="2F7D5449" w14:textId="33094EC5">
      <w:pPr>
        <w:spacing w:after="200"/>
      </w:pPr>
      <w:r w:rsidRPr="005C71CA">
        <w:t>We are unaware of duplicative information collection.</w:t>
      </w:r>
    </w:p>
    <w:p w:rsidR="00357C8A" w:rsidRPr="00357C8A" w:rsidP="00143D1A" w14:paraId="7617519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143D1A" w14:paraId="0B72C87C" w14:textId="0C700C54">
      <w:pPr>
        <w:spacing w:after="200"/>
        <w:rPr>
          <w:rFonts w:eastAsia="Calibri"/>
        </w:rPr>
      </w:pPr>
      <w:r w:rsidRPr="00E4588C">
        <w:rPr>
          <w:rFonts w:eastAsia="Calibri"/>
        </w:rPr>
        <w:t xml:space="preserve">Assuming that about ten percent of the respondents are small businesses, </w:t>
      </w:r>
      <w:r w:rsidRPr="00E4588C">
        <w:rPr>
          <w:rFonts w:eastAsia="Calibri"/>
          <w:bCs/>
        </w:rPr>
        <w:t>we estimate that approximat</w:t>
      </w:r>
      <w:r w:rsidRPr="00604247">
        <w:rPr>
          <w:rFonts w:eastAsia="Calibri"/>
          <w:bCs/>
        </w:rPr>
        <w:t xml:space="preserve">ely </w:t>
      </w:r>
      <w:r w:rsidR="00FD6652">
        <w:rPr>
          <w:rFonts w:eastAsia="Calibri"/>
          <w:bCs/>
        </w:rPr>
        <w:t>15</w:t>
      </w:r>
      <w:r w:rsidRPr="00604247" w:rsidR="00FD6652">
        <w:rPr>
          <w:rFonts w:eastAsia="Calibri"/>
          <w:bCs/>
        </w:rPr>
        <w:t xml:space="preserve"> </w:t>
      </w:r>
      <w:r w:rsidRPr="00604247">
        <w:rPr>
          <w:rFonts w:eastAsia="Calibri"/>
          <w:bCs/>
        </w:rPr>
        <w:t xml:space="preserve">of the </w:t>
      </w:r>
      <w:r w:rsidR="00FD6652">
        <w:rPr>
          <w:rFonts w:eastAsia="Calibri"/>
          <w:bCs/>
        </w:rPr>
        <w:t xml:space="preserve">150 </w:t>
      </w:r>
      <w:r w:rsidRPr="00E4588C">
        <w:rPr>
          <w:rFonts w:eastAsia="Calibri"/>
          <w:bCs/>
        </w:rPr>
        <w:t xml:space="preserve">respondents reported in table 1 are small businesses.  </w:t>
      </w:r>
      <w:r w:rsidRPr="00E4588C">
        <w:rPr>
          <w:rFonts w:eastAsia="Calibri"/>
        </w:rPr>
        <w:t xml:space="preserve">The recordkeeping provisions are no more burdensome for small firms than for large.  The regulations require all affected parties to maintain the same records.  The recordkeeping </w:t>
      </w:r>
      <w:r w:rsidRPr="00E4588C">
        <w:rPr>
          <w:rFonts w:eastAsia="Calibri"/>
        </w:rPr>
        <w:t xml:space="preserve">requirements are based on the risk associated with the product.  </w:t>
      </w:r>
      <w:r w:rsidR="000A3DA5">
        <w:rPr>
          <w:rFonts w:eastAsia="Calibri"/>
        </w:rPr>
        <w:t xml:space="preserve">Additionally, we provide </w:t>
      </w:r>
      <w:r w:rsidRPr="005F3902">
        <w:rPr>
          <w:rFonts w:eastAsia="Calibri"/>
        </w:rPr>
        <w:t xml:space="preserve">a Small Business Guide on </w:t>
      </w:r>
      <w:r w:rsidR="000A3DA5">
        <w:rPr>
          <w:rFonts w:eastAsia="Calibri"/>
        </w:rPr>
        <w:t xml:space="preserve">our </w:t>
      </w:r>
      <w:r w:rsidRPr="005F3902">
        <w:rPr>
          <w:rFonts w:eastAsia="Calibri"/>
        </w:rPr>
        <w:t xml:space="preserve">website at </w:t>
      </w:r>
      <w:hyperlink r:id="rId4" w:history="1">
        <w:r w:rsidRPr="000A3DA5">
          <w:rPr>
            <w:rStyle w:val="Hyperlink"/>
            <w:rFonts w:eastAsia="Calibri"/>
            <w:sz w:val="20"/>
            <w:szCs w:val="20"/>
          </w:rPr>
          <w:t>http://www.fda.gov/ForIndustry/SmallBusinessAssistance/default.htm</w:t>
        </w:r>
      </w:hyperlink>
      <w:r w:rsidRPr="000A3DA5">
        <w:rPr>
          <w:rFonts w:eastAsia="Calibri"/>
          <w:sz w:val="20"/>
          <w:szCs w:val="20"/>
        </w:rPr>
        <w:t>.</w:t>
      </w:r>
    </w:p>
    <w:p w:rsidR="00357C8A" w:rsidRPr="00357C8A" w:rsidP="00143D1A" w14:paraId="4D81FC10"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767035" w14:paraId="0EAFC270" w14:textId="3ED0730B">
      <w:pPr>
        <w:spacing w:after="200"/>
        <w:rPr>
          <w:rFonts w:eastAsia="Calibri"/>
        </w:rPr>
      </w:pPr>
      <w:r>
        <w:rPr>
          <w:rFonts w:eastAsia="Calibri"/>
        </w:rPr>
        <w:t>The information collection schedule is consistent with statutory and regulatory requirements</w:t>
      </w:r>
      <w:r w:rsidR="0010493E">
        <w:rPr>
          <w:rFonts w:eastAsia="Calibri"/>
        </w:rPr>
        <w:t>.</w:t>
      </w:r>
    </w:p>
    <w:p w:rsidR="00357C8A" w:rsidRPr="00357C8A" w:rsidP="00143D1A" w14:paraId="5FF9DD71"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0260D2" w:rsidP="00143D1A" w14:paraId="0FB124ED" w14:textId="6D27633A">
      <w:pPr>
        <w:spacing w:after="200"/>
        <w:rPr>
          <w:rFonts w:eastAsia="Calibri"/>
        </w:rPr>
      </w:pPr>
      <w:r>
        <w:rPr>
          <w:rFonts w:eastAsia="Calibri"/>
        </w:rPr>
        <w:t>There are no special circumstances associated with this collection of information.</w:t>
      </w:r>
      <w:r w:rsidRPr="000260D2" w:rsidR="0010493E">
        <w:rPr>
          <w:rFonts w:eastAsia="Calibri"/>
          <w:color w:val="FF0000"/>
        </w:rPr>
        <w:t xml:space="preserve"> </w:t>
      </w:r>
    </w:p>
    <w:p w:rsidR="00357C8A" w:rsidRPr="00357C8A" w:rsidP="00143D1A" w14:paraId="19E248A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357C8A" w:rsidP="00143D1A" w14:paraId="4FDB5751" w14:textId="3BCE5459">
      <w:pPr>
        <w:spacing w:after="200"/>
        <w:rPr>
          <w:rFonts w:eastAsia="Calibri"/>
          <w:color w:val="FF0000"/>
        </w:rPr>
      </w:pPr>
      <w:r>
        <w:rPr>
          <w:rFonts w:eastAsia="Calibri"/>
        </w:rPr>
        <w:t xml:space="preserve">In the </w:t>
      </w:r>
      <w:r w:rsidRPr="00FC3D30">
        <w:rPr>
          <w:rFonts w:eastAsia="Calibri"/>
          <w:i/>
          <w:iCs/>
        </w:rPr>
        <w:t>Federal Register</w:t>
      </w:r>
      <w:r w:rsidRPr="00FC3D30">
        <w:rPr>
          <w:rFonts w:eastAsia="Calibri"/>
        </w:rPr>
        <w:t xml:space="preserve"> of </w:t>
      </w:r>
      <w:r w:rsidR="00913D46">
        <w:rPr>
          <w:rFonts w:eastAsia="Calibri"/>
        </w:rPr>
        <w:t>June 27</w:t>
      </w:r>
      <w:r w:rsidRPr="00FC3D30">
        <w:rPr>
          <w:rFonts w:eastAsia="Calibri"/>
        </w:rPr>
        <w:t xml:space="preserve">, 90 FR 27630, we published a 60-day notice soliciting public comment on the proposed collection of information.  Two comments were received but did not respond to the information collection topics solicited under 5 CFR 1320.8(d)(2).  At the same time, on our own initiative we </w:t>
      </w:r>
      <w:r>
        <w:rPr>
          <w:rFonts w:eastAsia="Calibri"/>
        </w:rPr>
        <w:t xml:space="preserve">also </w:t>
      </w:r>
      <w:r w:rsidRPr="00FC3D30">
        <w:rPr>
          <w:rFonts w:eastAsia="Calibri"/>
        </w:rPr>
        <w:t>correct</w:t>
      </w:r>
      <w:r>
        <w:rPr>
          <w:rFonts w:eastAsia="Calibri"/>
        </w:rPr>
        <w:t>ed</w:t>
      </w:r>
      <w:r w:rsidRPr="00FC3D30">
        <w:rPr>
          <w:rFonts w:eastAsia="Calibri"/>
        </w:rPr>
        <w:t xml:space="preserve"> an inadvertent error appearing in our 60-day notice</w:t>
      </w:r>
      <w:r>
        <w:rPr>
          <w:rFonts w:eastAsia="Calibri"/>
        </w:rPr>
        <w:t xml:space="preserve"> regarding our burden adjustment found at Q-12.</w:t>
      </w:r>
    </w:p>
    <w:p w:rsidR="00357C8A" w:rsidRPr="00357C8A" w:rsidP="00143D1A" w14:paraId="2CB1AEB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F241E4" w:rsidP="00143D1A" w14:paraId="33EF6577" w14:textId="2E320E67">
      <w:pPr>
        <w:spacing w:after="200"/>
        <w:rPr>
          <w:rFonts w:eastAsia="Calibri"/>
          <w:iCs/>
        </w:rPr>
      </w:pPr>
      <w:r w:rsidRPr="002074FE">
        <w:rPr>
          <w:rFonts w:eastAsia="Calibri"/>
        </w:rPr>
        <w:t>There are no incentives, payments or gifts associated with this information collection.</w:t>
      </w:r>
    </w:p>
    <w:p w:rsidR="00357C8A" w:rsidRPr="00357C8A" w:rsidP="00143D1A" w14:paraId="021451C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FC3D30" w:rsidRPr="000A3DA5" w:rsidP="00143D1A" w14:paraId="7FA15595" w14:textId="77777777">
      <w:pPr>
        <w:spacing w:after="200"/>
        <w:rPr>
          <w:rFonts w:eastAsia="Calibri"/>
          <w:i/>
          <w:iCs/>
        </w:rPr>
      </w:pPr>
      <w:r w:rsidRPr="000A3DA5">
        <w:rPr>
          <w:rFonts w:eastAsia="Calibri"/>
          <w:i/>
          <w:iCs/>
        </w:rPr>
        <w:t>The Privacy Act of 1974</w:t>
      </w:r>
    </w:p>
    <w:p w:rsidR="00F241E4" w:rsidRPr="00F241E4" w:rsidP="00143D1A" w14:paraId="6D4D166D" w14:textId="49E88C47">
      <w:pPr>
        <w:spacing w:after="200"/>
        <w:rPr>
          <w:rFonts w:eastAsia="Calibri"/>
        </w:rPr>
      </w:pPr>
      <w:r w:rsidRPr="00F241E4">
        <w:rPr>
          <w:rFonts w:eastAsia="Calibri"/>
        </w:rPr>
        <w:t xml:space="preserve">In preparing this </w:t>
      </w:r>
      <w:r w:rsidR="00FC3D30">
        <w:rPr>
          <w:rFonts w:eastAsia="Calibri"/>
        </w:rPr>
        <w:t>s</w:t>
      </w:r>
      <w:r w:rsidRPr="00F241E4">
        <w:rPr>
          <w:rFonts w:eastAsia="Calibri"/>
        </w:rPr>
        <w:t xml:space="preserve">upporting </w:t>
      </w:r>
      <w:r w:rsidR="00FC3D30">
        <w:rPr>
          <w:rFonts w:eastAsia="Calibri"/>
        </w:rPr>
        <w:t>s</w:t>
      </w:r>
      <w:r w:rsidRPr="00F241E4">
        <w:rPr>
          <w:rFonts w:eastAsia="Calibri"/>
        </w:rPr>
        <w:t>tatement, we consulted our Privacy Office to ensure appropriate identification and handling of information collected.</w:t>
      </w:r>
      <w:r w:rsidR="00FC3D30">
        <w:rPr>
          <w:rFonts w:eastAsia="Calibri"/>
        </w:rPr>
        <w:t xml:space="preserve">  </w:t>
      </w:r>
      <w:r w:rsidRPr="00F241E4">
        <w:rPr>
          <w:rFonts w:eastAsia="Calibri"/>
        </w:rPr>
        <w:t>This ICR does not collect personally identifiable information (PII) or information of a personal nature.</w:t>
      </w:r>
      <w:r w:rsidR="00FC3D30">
        <w:rPr>
          <w:rFonts w:eastAsia="Calibri"/>
        </w:rPr>
        <w:t xml:space="preserve">  </w:t>
      </w:r>
      <w:r w:rsidRPr="00F241E4">
        <w:rPr>
          <w:rFonts w:eastAsia="Calibri"/>
        </w:rPr>
        <w:t>The regulation requires firms involved in feed and feed ingredient manufacturing and distribution to prepare written standard operating procedures for handling protein derived from mammalian tissue.</w:t>
      </w:r>
      <w:r w:rsidR="00FC3D30">
        <w:rPr>
          <w:rFonts w:eastAsia="Calibri"/>
        </w:rPr>
        <w:t xml:space="preserve">  </w:t>
      </w:r>
      <w:r w:rsidRPr="00F241E4">
        <w:rPr>
          <w:rFonts w:eastAsia="Calibri"/>
        </w:rPr>
        <w:t>Because the FDA does not collect PII, the ICR is not subject to the Privacy Act of 1974 and the requirements of the Privacy Act such as displaying a Privacy Act Statement on a collection form do not apply.</w:t>
      </w:r>
    </w:p>
    <w:p w:rsidR="00FC3D30" w:rsidRPr="000A3DA5" w:rsidP="00143D1A" w14:paraId="1B4C4779" w14:textId="77777777">
      <w:pPr>
        <w:spacing w:after="200"/>
        <w:rPr>
          <w:rFonts w:eastAsia="Calibri"/>
          <w:i/>
          <w:iCs/>
        </w:rPr>
      </w:pPr>
      <w:r w:rsidRPr="000A3DA5">
        <w:rPr>
          <w:rFonts w:eastAsia="Calibri"/>
          <w:i/>
          <w:iCs/>
        </w:rPr>
        <w:t>Freedom of Information Act (FOIA)</w:t>
      </w:r>
    </w:p>
    <w:p w:rsidR="001075D3" w:rsidRPr="000A3DA5" w:rsidP="000A3DA5" w14:paraId="524FC436" w14:textId="4BA99318">
      <w:pPr>
        <w:spacing w:after="200"/>
        <w:rPr>
          <w:rFonts w:eastAsia="Calibri"/>
          <w:color w:val="FF0000"/>
        </w:rPr>
      </w:pPr>
      <w:r>
        <w:rPr>
          <w:rFonts w:eastAsia="Calibri"/>
        </w:rPr>
        <w:t>Under FOIA, 5 U.S.C. 552, i</w:t>
      </w:r>
      <w:r w:rsidRPr="00F241E4" w:rsidR="00F241E4">
        <w:rPr>
          <w:rFonts w:eastAsia="Calibri"/>
        </w:rPr>
        <w:t xml:space="preserve">nformation submitted to FDA may contain trade secret and commercial confidential information.  Only information that is releasable under the </w:t>
      </w:r>
      <w:r w:rsidR="000A3DA5">
        <w:rPr>
          <w:rFonts w:eastAsia="Calibri"/>
        </w:rPr>
        <w:t>a</w:t>
      </w:r>
      <w:r w:rsidRPr="00F241E4" w:rsidR="00F241E4">
        <w:rPr>
          <w:rFonts w:eastAsia="Calibri"/>
        </w:rPr>
        <w:t>gency’s regulations in 21 CFR part 20 would be released to the public.  This information is also safeguarded by Section 301(j) of the FD&amp;C Act and would be protected from disclosure under the Freedom of Information Act (FOIA) under sections 552(a) and (b) (5 U.S.C. 552(a) and (b)).</w:t>
      </w:r>
    </w:p>
    <w:p w:rsidR="00357C8A" w:rsidRPr="00357C8A" w:rsidP="00143D1A" w14:paraId="59272EF9"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F241E4" w:rsidP="00143D1A" w14:paraId="2C71DEDA" w14:textId="2703F5C6">
      <w:pPr>
        <w:spacing w:after="200"/>
        <w:rPr>
          <w:rFonts w:eastAsia="Calibri"/>
          <w:iCs/>
        </w:rPr>
      </w:pPr>
      <w:r w:rsidRPr="00F241E4">
        <w:rPr>
          <w:rFonts w:eastAsia="Calibri"/>
          <w:iCs/>
        </w:rPr>
        <w:t>The collection of information does not involve sensitive questions.</w:t>
      </w:r>
    </w:p>
    <w:p w:rsidR="0083606B" w14:paraId="027A5449" w14:textId="77777777">
      <w:pPr>
        <w:rPr>
          <w:rFonts w:eastAsia="Calibri"/>
          <w:u w:val="single"/>
        </w:rPr>
      </w:pPr>
      <w:r>
        <w:rPr>
          <w:rFonts w:eastAsia="Calibri"/>
          <w:u w:val="single"/>
        </w:rPr>
        <w:br w:type="page"/>
      </w:r>
    </w:p>
    <w:p w:rsidR="00357C8A" w:rsidRPr="00357C8A" w:rsidP="00143D1A" w14:paraId="277F28A3" w14:textId="1F9A6DFD">
      <w:pPr>
        <w:numPr>
          <w:ilvl w:val="0"/>
          <w:numId w:val="6"/>
        </w:numPr>
        <w:spacing w:after="200" w:line="276" w:lineRule="auto"/>
        <w:rPr>
          <w:rFonts w:eastAsia="Calibri"/>
          <w:u w:val="single"/>
        </w:rPr>
      </w:pPr>
      <w:r w:rsidRPr="00357C8A">
        <w:rPr>
          <w:rFonts w:eastAsia="Calibri"/>
          <w:u w:val="single"/>
        </w:rPr>
        <w:t>Estimates of Annualized Burden Hours and Cost</w:t>
      </w:r>
    </w:p>
    <w:p w:rsidR="00C40A0D" w:rsidRPr="00C62479" w:rsidP="00C62479" w14:paraId="72FC243C" w14:textId="5860804E">
      <w:pPr>
        <w:spacing w:after="200"/>
        <w:ind w:left="360"/>
        <w:rPr>
          <w:rFonts w:eastAsia="Calibri"/>
          <w:i/>
          <w:iCs/>
        </w:rPr>
      </w:pPr>
      <w:r w:rsidRPr="00C62479">
        <w:rPr>
          <w:rFonts w:eastAsia="Calibri"/>
          <w:i/>
          <w:iCs/>
        </w:rPr>
        <w:t>12a.  Annualized Hour Burden Estimate</w:t>
      </w:r>
    </w:p>
    <w:p w:rsidR="0073086B" w:rsidRPr="0073086B" w:rsidP="0073086B" w14:paraId="12E4EAFC" w14:textId="77777777">
      <w:pPr>
        <w:ind w:firstLine="720"/>
        <w:contextualSpacing/>
        <w:jc w:val="center"/>
        <w:rPr>
          <w:vertAlign w:val="superscript"/>
        </w:rPr>
      </w:pPr>
      <w:r w:rsidRPr="0073086B">
        <w:rPr>
          <w:sz w:val="20"/>
          <w:szCs w:val="20"/>
        </w:rPr>
        <w:t>Table 1.--Estimated Annual Recordkeeping Burden</w:t>
      </w:r>
      <w:r w:rsidRPr="0073086B">
        <w:rPr>
          <w:sz w:val="20"/>
          <w:szCs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1412"/>
        <w:gridCol w:w="1328"/>
        <w:gridCol w:w="942"/>
        <w:gridCol w:w="1548"/>
        <w:gridCol w:w="705"/>
      </w:tblGrid>
      <w:tr w14:paraId="2EE5C904" w14:textId="77777777" w:rsidTr="00B567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826" w:type="pct"/>
            <w:shd w:val="clear" w:color="auto" w:fill="auto"/>
          </w:tcPr>
          <w:p w:rsidR="0073086B" w:rsidRPr="0073086B" w:rsidP="0073086B" w14:paraId="7317750C" w14:textId="77777777">
            <w:pPr>
              <w:jc w:val="center"/>
              <w:rPr>
                <w:sz w:val="20"/>
                <w:szCs w:val="20"/>
              </w:rPr>
            </w:pPr>
            <w:r w:rsidRPr="0073086B">
              <w:rPr>
                <w:sz w:val="20"/>
                <w:szCs w:val="20"/>
              </w:rPr>
              <w:t>21 CFR 589 - Substances Prohibited From Use in Animal Food or Feed</w:t>
            </w:r>
          </w:p>
        </w:tc>
        <w:tc>
          <w:tcPr>
            <w:tcW w:w="755" w:type="pct"/>
            <w:shd w:val="clear" w:color="auto" w:fill="auto"/>
          </w:tcPr>
          <w:p w:rsidR="0073086B" w:rsidRPr="0073086B" w:rsidP="0073086B" w14:paraId="65F253B4" w14:textId="77777777">
            <w:pPr>
              <w:jc w:val="center"/>
              <w:rPr>
                <w:sz w:val="20"/>
                <w:szCs w:val="20"/>
              </w:rPr>
            </w:pPr>
            <w:r w:rsidRPr="0073086B">
              <w:rPr>
                <w:sz w:val="20"/>
                <w:szCs w:val="20"/>
              </w:rPr>
              <w:t>No. of Recordkeepers</w:t>
            </w:r>
          </w:p>
        </w:tc>
        <w:tc>
          <w:tcPr>
            <w:tcW w:w="710" w:type="pct"/>
            <w:shd w:val="clear" w:color="auto" w:fill="auto"/>
          </w:tcPr>
          <w:p w:rsidR="0073086B" w:rsidRPr="0073086B" w:rsidP="0073086B" w14:paraId="1C821475" w14:textId="77777777">
            <w:pPr>
              <w:jc w:val="center"/>
              <w:rPr>
                <w:sz w:val="20"/>
                <w:szCs w:val="20"/>
              </w:rPr>
            </w:pPr>
            <w:r w:rsidRPr="0073086B">
              <w:rPr>
                <w:bCs/>
                <w:sz w:val="20"/>
                <w:szCs w:val="20"/>
              </w:rPr>
              <w:t>No. of Records per Recordkeeper</w:t>
            </w:r>
          </w:p>
        </w:tc>
        <w:tc>
          <w:tcPr>
            <w:tcW w:w="504" w:type="pct"/>
            <w:shd w:val="clear" w:color="auto" w:fill="auto"/>
          </w:tcPr>
          <w:p w:rsidR="0073086B" w:rsidRPr="0073086B" w:rsidP="0073086B" w14:paraId="45578DD7" w14:textId="77777777">
            <w:pPr>
              <w:jc w:val="center"/>
              <w:rPr>
                <w:sz w:val="20"/>
                <w:szCs w:val="20"/>
              </w:rPr>
            </w:pPr>
            <w:r w:rsidRPr="0073086B">
              <w:rPr>
                <w:sz w:val="20"/>
                <w:szCs w:val="20"/>
              </w:rPr>
              <w:t>Total Annual Records</w:t>
            </w:r>
          </w:p>
        </w:tc>
        <w:tc>
          <w:tcPr>
            <w:tcW w:w="828" w:type="pct"/>
            <w:shd w:val="clear" w:color="auto" w:fill="auto"/>
          </w:tcPr>
          <w:p w:rsidR="0073086B" w:rsidRPr="0073086B" w:rsidP="0073086B" w14:paraId="4AE959EE" w14:textId="77777777">
            <w:pPr>
              <w:jc w:val="center"/>
              <w:rPr>
                <w:sz w:val="20"/>
                <w:szCs w:val="20"/>
              </w:rPr>
            </w:pPr>
            <w:r w:rsidRPr="0073086B">
              <w:rPr>
                <w:bCs/>
                <w:sz w:val="20"/>
                <w:szCs w:val="20"/>
              </w:rPr>
              <w:t>Average Burden per Recordkeeping</w:t>
            </w:r>
          </w:p>
        </w:tc>
        <w:tc>
          <w:tcPr>
            <w:tcW w:w="377" w:type="pct"/>
            <w:shd w:val="clear" w:color="auto" w:fill="auto"/>
          </w:tcPr>
          <w:p w:rsidR="0073086B" w:rsidRPr="0073086B" w:rsidP="0073086B" w14:paraId="752BDDB8" w14:textId="77777777">
            <w:pPr>
              <w:jc w:val="center"/>
              <w:rPr>
                <w:sz w:val="20"/>
                <w:szCs w:val="20"/>
              </w:rPr>
            </w:pPr>
            <w:r w:rsidRPr="0073086B">
              <w:rPr>
                <w:sz w:val="20"/>
                <w:szCs w:val="20"/>
              </w:rPr>
              <w:t>Total Hours</w:t>
            </w:r>
          </w:p>
        </w:tc>
      </w:tr>
      <w:tr w14:paraId="71C9CFBA" w14:textId="77777777" w:rsidTr="00B567FA">
        <w:tblPrEx>
          <w:tblW w:w="5000" w:type="pct"/>
          <w:tblLook w:val="01E0"/>
        </w:tblPrEx>
        <w:trPr>
          <w:cantSplit/>
          <w:trHeight w:val="20"/>
        </w:trPr>
        <w:tc>
          <w:tcPr>
            <w:tcW w:w="1826" w:type="pct"/>
            <w:shd w:val="clear" w:color="auto" w:fill="auto"/>
          </w:tcPr>
          <w:p w:rsidR="0073086B" w:rsidRPr="0073086B" w:rsidP="0073086B" w14:paraId="405D6AF5" w14:textId="77777777">
            <w:pPr>
              <w:rPr>
                <w:sz w:val="20"/>
                <w:szCs w:val="20"/>
              </w:rPr>
            </w:pPr>
            <w:r w:rsidRPr="0073086B">
              <w:rPr>
                <w:sz w:val="20"/>
                <w:szCs w:val="20"/>
              </w:rPr>
              <w:t>Written procedures (prohibited animal proteins); 589.2000(e)(1)(iv)</w:t>
            </w:r>
          </w:p>
        </w:tc>
        <w:tc>
          <w:tcPr>
            <w:tcW w:w="755" w:type="pct"/>
            <w:shd w:val="clear" w:color="auto" w:fill="auto"/>
          </w:tcPr>
          <w:p w:rsidR="0073086B" w:rsidRPr="0073086B" w:rsidP="0073086B" w14:paraId="5ADCFDF0" w14:textId="77777777">
            <w:pPr>
              <w:jc w:val="right"/>
              <w:rPr>
                <w:sz w:val="20"/>
                <w:szCs w:val="20"/>
              </w:rPr>
            </w:pPr>
            <w:r w:rsidRPr="0073086B">
              <w:rPr>
                <w:sz w:val="20"/>
                <w:szCs w:val="20"/>
              </w:rPr>
              <w:t>150</w:t>
            </w:r>
          </w:p>
        </w:tc>
        <w:tc>
          <w:tcPr>
            <w:tcW w:w="710" w:type="pct"/>
            <w:shd w:val="clear" w:color="auto" w:fill="auto"/>
          </w:tcPr>
          <w:p w:rsidR="0073086B" w:rsidRPr="0073086B" w:rsidP="0073086B" w14:paraId="6B06BE38" w14:textId="77777777">
            <w:pPr>
              <w:jc w:val="right"/>
              <w:rPr>
                <w:sz w:val="20"/>
                <w:szCs w:val="20"/>
              </w:rPr>
            </w:pPr>
            <w:r w:rsidRPr="0073086B">
              <w:rPr>
                <w:sz w:val="20"/>
                <w:szCs w:val="20"/>
              </w:rPr>
              <w:t>1</w:t>
            </w:r>
          </w:p>
        </w:tc>
        <w:tc>
          <w:tcPr>
            <w:tcW w:w="504" w:type="pct"/>
            <w:shd w:val="clear" w:color="auto" w:fill="auto"/>
          </w:tcPr>
          <w:p w:rsidR="0073086B" w:rsidRPr="0073086B" w:rsidP="0073086B" w14:paraId="7CBC68F8" w14:textId="77777777">
            <w:pPr>
              <w:jc w:val="right"/>
              <w:rPr>
                <w:sz w:val="20"/>
                <w:szCs w:val="20"/>
              </w:rPr>
            </w:pPr>
            <w:r w:rsidRPr="0073086B">
              <w:rPr>
                <w:sz w:val="20"/>
                <w:szCs w:val="20"/>
              </w:rPr>
              <w:t>150</w:t>
            </w:r>
          </w:p>
        </w:tc>
        <w:tc>
          <w:tcPr>
            <w:tcW w:w="828" w:type="pct"/>
            <w:shd w:val="clear" w:color="auto" w:fill="auto"/>
          </w:tcPr>
          <w:p w:rsidR="0073086B" w:rsidRPr="0073086B" w:rsidP="0073086B" w14:paraId="6313F165" w14:textId="77777777">
            <w:pPr>
              <w:jc w:val="right"/>
              <w:rPr>
                <w:sz w:val="20"/>
                <w:szCs w:val="20"/>
              </w:rPr>
            </w:pPr>
            <w:r w:rsidRPr="0073086B">
              <w:rPr>
                <w:sz w:val="20"/>
                <w:szCs w:val="20"/>
              </w:rPr>
              <w:t>12</w:t>
            </w:r>
          </w:p>
        </w:tc>
        <w:tc>
          <w:tcPr>
            <w:tcW w:w="377" w:type="pct"/>
            <w:shd w:val="clear" w:color="auto" w:fill="auto"/>
          </w:tcPr>
          <w:p w:rsidR="0073086B" w:rsidRPr="0073086B" w:rsidP="0073086B" w14:paraId="0F20A0E9" w14:textId="77777777">
            <w:pPr>
              <w:jc w:val="right"/>
              <w:rPr>
                <w:sz w:val="20"/>
                <w:szCs w:val="20"/>
              </w:rPr>
            </w:pPr>
            <w:r w:rsidRPr="0073086B">
              <w:rPr>
                <w:sz w:val="20"/>
                <w:szCs w:val="20"/>
              </w:rPr>
              <w:t>1,800</w:t>
            </w:r>
          </w:p>
        </w:tc>
      </w:tr>
      <w:tr w14:paraId="2778169A" w14:textId="77777777" w:rsidTr="00B567FA">
        <w:tblPrEx>
          <w:tblW w:w="5000" w:type="pct"/>
          <w:tblLook w:val="01E0"/>
        </w:tblPrEx>
        <w:trPr>
          <w:cantSplit/>
          <w:trHeight w:val="20"/>
        </w:trPr>
        <w:tc>
          <w:tcPr>
            <w:tcW w:w="1826" w:type="pct"/>
            <w:shd w:val="clear" w:color="auto" w:fill="auto"/>
          </w:tcPr>
          <w:p w:rsidR="0073086B" w:rsidRPr="0073086B" w:rsidP="0073086B" w14:paraId="6632FE8A" w14:textId="77777777">
            <w:pPr>
              <w:rPr>
                <w:sz w:val="20"/>
                <w:szCs w:val="20"/>
              </w:rPr>
            </w:pPr>
            <w:r w:rsidRPr="0073086B">
              <w:rPr>
                <w:sz w:val="20"/>
                <w:szCs w:val="20"/>
              </w:rPr>
              <w:t>Exemption designation requests &amp; response to FDA; 589.2001(f)</w:t>
            </w:r>
          </w:p>
        </w:tc>
        <w:tc>
          <w:tcPr>
            <w:tcW w:w="755" w:type="pct"/>
            <w:shd w:val="clear" w:color="auto" w:fill="auto"/>
          </w:tcPr>
          <w:p w:rsidR="0073086B" w:rsidRPr="0073086B" w:rsidP="0073086B" w14:paraId="4D5BEA98" w14:textId="77777777">
            <w:pPr>
              <w:jc w:val="right"/>
              <w:rPr>
                <w:sz w:val="20"/>
                <w:szCs w:val="20"/>
              </w:rPr>
            </w:pPr>
            <w:r w:rsidRPr="0073086B">
              <w:rPr>
                <w:sz w:val="20"/>
                <w:szCs w:val="20"/>
              </w:rPr>
              <w:t>1</w:t>
            </w:r>
          </w:p>
        </w:tc>
        <w:tc>
          <w:tcPr>
            <w:tcW w:w="710" w:type="pct"/>
            <w:shd w:val="clear" w:color="auto" w:fill="auto"/>
          </w:tcPr>
          <w:p w:rsidR="0073086B" w:rsidRPr="0073086B" w:rsidP="0073086B" w14:paraId="5A43A9BA" w14:textId="77777777">
            <w:pPr>
              <w:jc w:val="right"/>
              <w:rPr>
                <w:sz w:val="20"/>
                <w:szCs w:val="20"/>
              </w:rPr>
            </w:pPr>
            <w:r w:rsidRPr="0073086B">
              <w:rPr>
                <w:sz w:val="20"/>
                <w:szCs w:val="20"/>
              </w:rPr>
              <w:t>2</w:t>
            </w:r>
          </w:p>
        </w:tc>
        <w:tc>
          <w:tcPr>
            <w:tcW w:w="504" w:type="pct"/>
            <w:shd w:val="clear" w:color="auto" w:fill="auto"/>
          </w:tcPr>
          <w:p w:rsidR="0073086B" w:rsidRPr="0073086B" w:rsidP="0073086B" w14:paraId="70D31C9C" w14:textId="77777777">
            <w:pPr>
              <w:jc w:val="right"/>
              <w:rPr>
                <w:sz w:val="20"/>
                <w:szCs w:val="20"/>
              </w:rPr>
            </w:pPr>
            <w:r w:rsidRPr="0073086B">
              <w:rPr>
                <w:sz w:val="20"/>
                <w:szCs w:val="20"/>
              </w:rPr>
              <w:t>2</w:t>
            </w:r>
          </w:p>
        </w:tc>
        <w:tc>
          <w:tcPr>
            <w:tcW w:w="828" w:type="pct"/>
            <w:shd w:val="clear" w:color="auto" w:fill="auto"/>
          </w:tcPr>
          <w:p w:rsidR="0073086B" w:rsidRPr="0073086B" w:rsidP="0073086B" w14:paraId="6DFD76EB" w14:textId="77777777">
            <w:pPr>
              <w:jc w:val="right"/>
              <w:rPr>
                <w:sz w:val="20"/>
                <w:szCs w:val="20"/>
              </w:rPr>
            </w:pPr>
            <w:r w:rsidRPr="0073086B">
              <w:rPr>
                <w:sz w:val="20"/>
                <w:szCs w:val="20"/>
              </w:rPr>
              <w:t>33</w:t>
            </w:r>
          </w:p>
        </w:tc>
        <w:tc>
          <w:tcPr>
            <w:tcW w:w="377" w:type="pct"/>
            <w:shd w:val="clear" w:color="auto" w:fill="auto"/>
          </w:tcPr>
          <w:p w:rsidR="0073086B" w:rsidRPr="0073086B" w:rsidP="0073086B" w14:paraId="2FC80517" w14:textId="77777777">
            <w:pPr>
              <w:jc w:val="right"/>
              <w:rPr>
                <w:sz w:val="20"/>
                <w:szCs w:val="20"/>
              </w:rPr>
            </w:pPr>
            <w:r w:rsidRPr="0073086B">
              <w:rPr>
                <w:sz w:val="20"/>
                <w:szCs w:val="20"/>
              </w:rPr>
              <w:t>66</w:t>
            </w:r>
          </w:p>
        </w:tc>
      </w:tr>
      <w:tr w14:paraId="75698F45" w14:textId="77777777" w:rsidTr="00B567FA">
        <w:tblPrEx>
          <w:tblW w:w="5000" w:type="pct"/>
          <w:tblLook w:val="01E0"/>
        </w:tblPrEx>
        <w:trPr>
          <w:cantSplit/>
          <w:trHeight w:val="20"/>
        </w:trPr>
        <w:tc>
          <w:tcPr>
            <w:tcW w:w="1826" w:type="pct"/>
            <w:shd w:val="clear" w:color="auto" w:fill="auto"/>
          </w:tcPr>
          <w:p w:rsidR="0073086B" w:rsidRPr="0073086B" w:rsidP="0073086B" w14:paraId="4507E437" w14:textId="77777777">
            <w:pPr>
              <w:rPr>
                <w:sz w:val="20"/>
                <w:szCs w:val="20"/>
              </w:rPr>
            </w:pPr>
            <w:r w:rsidRPr="0073086B">
              <w:rPr>
                <w:sz w:val="20"/>
                <w:szCs w:val="20"/>
              </w:rPr>
              <w:t>Written procedures (prohibited materials to prevent BSE) &amp; maintenance of records</w:t>
            </w:r>
          </w:p>
        </w:tc>
        <w:tc>
          <w:tcPr>
            <w:tcW w:w="755" w:type="pct"/>
            <w:shd w:val="clear" w:color="auto" w:fill="auto"/>
          </w:tcPr>
          <w:p w:rsidR="0073086B" w:rsidRPr="0073086B" w:rsidP="0073086B" w14:paraId="5ACAFCC1" w14:textId="77777777">
            <w:pPr>
              <w:jc w:val="right"/>
              <w:rPr>
                <w:sz w:val="20"/>
                <w:szCs w:val="20"/>
              </w:rPr>
            </w:pPr>
            <w:r w:rsidRPr="0073086B">
              <w:rPr>
                <w:sz w:val="20"/>
                <w:szCs w:val="20"/>
              </w:rPr>
              <w:t>145</w:t>
            </w:r>
          </w:p>
        </w:tc>
        <w:tc>
          <w:tcPr>
            <w:tcW w:w="710" w:type="pct"/>
            <w:shd w:val="clear" w:color="auto" w:fill="auto"/>
          </w:tcPr>
          <w:p w:rsidR="0073086B" w:rsidRPr="0073086B" w:rsidP="0073086B" w14:paraId="384F4BBC" w14:textId="77777777">
            <w:pPr>
              <w:jc w:val="right"/>
              <w:rPr>
                <w:sz w:val="20"/>
                <w:szCs w:val="20"/>
              </w:rPr>
            </w:pPr>
            <w:r w:rsidRPr="0073086B">
              <w:rPr>
                <w:sz w:val="20"/>
                <w:szCs w:val="20"/>
              </w:rPr>
              <w:t>1</w:t>
            </w:r>
          </w:p>
        </w:tc>
        <w:tc>
          <w:tcPr>
            <w:tcW w:w="504" w:type="pct"/>
            <w:shd w:val="clear" w:color="auto" w:fill="auto"/>
          </w:tcPr>
          <w:p w:rsidR="0073086B" w:rsidRPr="0073086B" w:rsidP="0073086B" w14:paraId="55193A0C" w14:textId="77777777">
            <w:pPr>
              <w:jc w:val="right"/>
              <w:rPr>
                <w:sz w:val="20"/>
                <w:szCs w:val="20"/>
              </w:rPr>
            </w:pPr>
            <w:r w:rsidRPr="0073086B">
              <w:rPr>
                <w:sz w:val="20"/>
                <w:szCs w:val="20"/>
              </w:rPr>
              <w:t>145</w:t>
            </w:r>
          </w:p>
        </w:tc>
        <w:tc>
          <w:tcPr>
            <w:tcW w:w="828" w:type="pct"/>
            <w:shd w:val="clear" w:color="auto" w:fill="auto"/>
          </w:tcPr>
          <w:p w:rsidR="0073086B" w:rsidRPr="0073086B" w:rsidP="0073086B" w14:paraId="43D4B487" w14:textId="77777777">
            <w:pPr>
              <w:jc w:val="right"/>
              <w:rPr>
                <w:sz w:val="20"/>
                <w:szCs w:val="20"/>
              </w:rPr>
            </w:pPr>
            <w:r w:rsidRPr="0073086B">
              <w:rPr>
                <w:sz w:val="20"/>
                <w:szCs w:val="20"/>
              </w:rPr>
              <w:t>45</w:t>
            </w:r>
          </w:p>
        </w:tc>
        <w:tc>
          <w:tcPr>
            <w:tcW w:w="377" w:type="pct"/>
            <w:shd w:val="clear" w:color="auto" w:fill="auto"/>
          </w:tcPr>
          <w:p w:rsidR="0073086B" w:rsidRPr="0073086B" w:rsidP="0073086B" w14:paraId="521E7489" w14:textId="77777777">
            <w:pPr>
              <w:jc w:val="right"/>
              <w:rPr>
                <w:sz w:val="20"/>
                <w:szCs w:val="20"/>
              </w:rPr>
            </w:pPr>
            <w:r w:rsidRPr="0073086B">
              <w:rPr>
                <w:sz w:val="20"/>
                <w:szCs w:val="20"/>
              </w:rPr>
              <w:t>6,525</w:t>
            </w:r>
          </w:p>
        </w:tc>
      </w:tr>
      <w:tr w14:paraId="77C0848E" w14:textId="77777777" w:rsidTr="00B567FA">
        <w:tblPrEx>
          <w:tblW w:w="5000" w:type="pct"/>
          <w:tblLook w:val="01E0"/>
        </w:tblPrEx>
        <w:trPr>
          <w:cantSplit/>
          <w:trHeight w:val="20"/>
        </w:trPr>
        <w:tc>
          <w:tcPr>
            <w:tcW w:w="1826" w:type="pct"/>
            <w:shd w:val="clear" w:color="auto" w:fill="auto"/>
          </w:tcPr>
          <w:p w:rsidR="0073086B" w:rsidRPr="0073086B" w:rsidP="0073086B" w14:paraId="6DAA52A9" w14:textId="77777777">
            <w:pPr>
              <w:rPr>
                <w:sz w:val="20"/>
                <w:szCs w:val="20"/>
              </w:rPr>
            </w:pPr>
            <w:r w:rsidRPr="0073086B">
              <w:rPr>
                <w:sz w:val="20"/>
                <w:szCs w:val="20"/>
              </w:rPr>
              <w:t>TOTAL</w:t>
            </w:r>
          </w:p>
        </w:tc>
        <w:tc>
          <w:tcPr>
            <w:tcW w:w="755" w:type="pct"/>
            <w:shd w:val="clear" w:color="auto" w:fill="auto"/>
          </w:tcPr>
          <w:p w:rsidR="0073086B" w:rsidRPr="0073086B" w:rsidP="0073086B" w14:paraId="3A31FC54" w14:textId="77777777">
            <w:pPr>
              <w:jc w:val="right"/>
              <w:rPr>
                <w:sz w:val="20"/>
                <w:szCs w:val="20"/>
              </w:rPr>
            </w:pPr>
          </w:p>
        </w:tc>
        <w:tc>
          <w:tcPr>
            <w:tcW w:w="710" w:type="pct"/>
            <w:shd w:val="clear" w:color="auto" w:fill="auto"/>
          </w:tcPr>
          <w:p w:rsidR="0073086B" w:rsidRPr="0073086B" w:rsidP="0073086B" w14:paraId="2AAA01C0" w14:textId="77777777">
            <w:pPr>
              <w:jc w:val="right"/>
              <w:rPr>
                <w:sz w:val="20"/>
                <w:szCs w:val="20"/>
              </w:rPr>
            </w:pPr>
          </w:p>
        </w:tc>
        <w:tc>
          <w:tcPr>
            <w:tcW w:w="504" w:type="pct"/>
            <w:shd w:val="clear" w:color="auto" w:fill="auto"/>
          </w:tcPr>
          <w:p w:rsidR="0073086B" w:rsidRPr="0073086B" w:rsidP="0073086B" w14:paraId="5711F76B" w14:textId="77777777">
            <w:pPr>
              <w:jc w:val="right"/>
              <w:rPr>
                <w:sz w:val="20"/>
                <w:szCs w:val="20"/>
              </w:rPr>
            </w:pPr>
            <w:r w:rsidRPr="0073086B">
              <w:rPr>
                <w:sz w:val="20"/>
                <w:szCs w:val="20"/>
              </w:rPr>
              <w:fldChar w:fldCharType="begin"/>
            </w:r>
            <w:r w:rsidRPr="0073086B">
              <w:rPr>
                <w:sz w:val="20"/>
                <w:szCs w:val="20"/>
              </w:rPr>
              <w:instrText xml:space="preserve"> =SUM(ABOVE) </w:instrText>
            </w:r>
            <w:r w:rsidRPr="0073086B">
              <w:rPr>
                <w:sz w:val="20"/>
                <w:szCs w:val="20"/>
              </w:rPr>
              <w:fldChar w:fldCharType="separate"/>
            </w:r>
            <w:r w:rsidRPr="0073086B">
              <w:rPr>
                <w:noProof/>
                <w:sz w:val="20"/>
                <w:szCs w:val="20"/>
              </w:rPr>
              <w:t>297</w:t>
            </w:r>
            <w:r w:rsidRPr="0073086B">
              <w:rPr>
                <w:sz w:val="20"/>
                <w:szCs w:val="20"/>
              </w:rPr>
              <w:fldChar w:fldCharType="end"/>
            </w:r>
          </w:p>
        </w:tc>
        <w:tc>
          <w:tcPr>
            <w:tcW w:w="828" w:type="pct"/>
            <w:shd w:val="clear" w:color="auto" w:fill="auto"/>
          </w:tcPr>
          <w:p w:rsidR="0073086B" w:rsidRPr="0073086B" w:rsidP="0073086B" w14:paraId="674DA773" w14:textId="77777777">
            <w:pPr>
              <w:jc w:val="right"/>
              <w:rPr>
                <w:sz w:val="20"/>
                <w:szCs w:val="20"/>
              </w:rPr>
            </w:pPr>
          </w:p>
        </w:tc>
        <w:tc>
          <w:tcPr>
            <w:tcW w:w="377" w:type="pct"/>
            <w:shd w:val="clear" w:color="auto" w:fill="auto"/>
          </w:tcPr>
          <w:p w:rsidR="0073086B" w:rsidRPr="0073086B" w:rsidP="0073086B" w14:paraId="291DCFFA" w14:textId="77777777">
            <w:pPr>
              <w:jc w:val="right"/>
              <w:rPr>
                <w:sz w:val="20"/>
                <w:szCs w:val="20"/>
              </w:rPr>
            </w:pPr>
            <w:r w:rsidRPr="0073086B">
              <w:rPr>
                <w:sz w:val="20"/>
                <w:szCs w:val="20"/>
              </w:rPr>
              <w:fldChar w:fldCharType="begin"/>
            </w:r>
            <w:r w:rsidRPr="0073086B">
              <w:rPr>
                <w:sz w:val="20"/>
                <w:szCs w:val="20"/>
              </w:rPr>
              <w:instrText xml:space="preserve"> =SUM(ABOVE) </w:instrText>
            </w:r>
            <w:r w:rsidRPr="0073086B">
              <w:rPr>
                <w:sz w:val="20"/>
                <w:szCs w:val="20"/>
              </w:rPr>
              <w:fldChar w:fldCharType="separate"/>
            </w:r>
            <w:r w:rsidRPr="0073086B">
              <w:rPr>
                <w:noProof/>
                <w:sz w:val="20"/>
                <w:szCs w:val="20"/>
              </w:rPr>
              <w:t>8,391</w:t>
            </w:r>
            <w:r w:rsidRPr="0073086B">
              <w:rPr>
                <w:sz w:val="20"/>
                <w:szCs w:val="20"/>
              </w:rPr>
              <w:fldChar w:fldCharType="end"/>
            </w:r>
          </w:p>
        </w:tc>
      </w:tr>
    </w:tbl>
    <w:p w:rsidR="0073086B" w:rsidRPr="0073086B" w:rsidP="0073086B" w14:paraId="2FAA3A84" w14:textId="77777777">
      <w:pPr>
        <w:rPr>
          <w:sz w:val="20"/>
          <w:szCs w:val="20"/>
        </w:rPr>
      </w:pPr>
      <w:r w:rsidRPr="0073086B">
        <w:rPr>
          <w:sz w:val="20"/>
          <w:szCs w:val="20"/>
          <w:vertAlign w:val="superscript"/>
        </w:rPr>
        <w:t>1</w:t>
      </w:r>
      <w:r w:rsidRPr="0073086B">
        <w:rPr>
          <w:sz w:val="20"/>
          <w:szCs w:val="20"/>
        </w:rPr>
        <w:t xml:space="preserve"> There are no capital costs or operating and maintenance costs associated with this collection of information.</w:t>
      </w:r>
    </w:p>
    <w:p w:rsidR="0073086B" w:rsidRPr="0073086B" w:rsidP="0073086B" w14:paraId="3093A868" w14:textId="77777777">
      <w:pPr>
        <w:rPr>
          <w:sz w:val="20"/>
          <w:szCs w:val="20"/>
        </w:rPr>
      </w:pPr>
    </w:p>
    <w:p w:rsidR="00357C8A" w:rsidRPr="00C62479" w:rsidP="00A002BF" w14:paraId="2947271F" w14:textId="77777777">
      <w:pPr>
        <w:spacing w:after="200"/>
        <w:ind w:firstLine="720"/>
        <w:rPr>
          <w:rFonts w:eastAsia="Calibri"/>
          <w:i/>
          <w:iCs/>
        </w:rPr>
      </w:pPr>
      <w:r w:rsidRPr="00C62479">
        <w:rPr>
          <w:rFonts w:eastAsia="Calibri"/>
          <w:i/>
          <w:iCs/>
        </w:rPr>
        <w:t>12b.  Annualized Cost Burden Estimate</w:t>
      </w:r>
    </w:p>
    <w:p w:rsidR="00A707CC" w:rsidP="00A002BF" w14:paraId="207C46CA" w14:textId="2D320FAE">
      <w:pPr>
        <w:ind w:firstLine="360"/>
        <w:rPr>
          <w:rFonts w:eastAsia="Calibri"/>
        </w:rPr>
      </w:pPr>
      <w:r>
        <w:t xml:space="preserve">We </w:t>
      </w:r>
      <w:r w:rsidR="00C62479">
        <w:t xml:space="preserve">assume an </w:t>
      </w:r>
      <w:r>
        <w:t>average hourly wage for respondents equivalent to a GS-1</w:t>
      </w:r>
      <w:r w:rsidR="00D42D16">
        <w:t>2</w:t>
      </w:r>
      <w:r>
        <w:t>-7 level in the locality pay area of Washington-Baltimore-Arlington, DC-MD-VA-WV-PA in 2025, $</w:t>
      </w:r>
      <w:r w:rsidR="00307688">
        <w:t>5</w:t>
      </w:r>
      <w:r w:rsidR="001674BB">
        <w:t>8</w:t>
      </w:r>
      <w:r w:rsidR="00307688">
        <w:t>.</w:t>
      </w:r>
      <w:r w:rsidR="001674BB">
        <w:t>31</w:t>
      </w:r>
      <w:r>
        <w:t>/hour. Increasing this wage by 30% to account for overhead costs ($</w:t>
      </w:r>
      <w:r w:rsidR="00BF358F">
        <w:t>17</w:t>
      </w:r>
      <w:r>
        <w:t>.</w:t>
      </w:r>
      <w:r w:rsidR="001674BB">
        <w:t>49</w:t>
      </w:r>
      <w:r>
        <w:t xml:space="preserve">), </w:t>
      </w:r>
      <w:r w:rsidR="004459AD">
        <w:t xml:space="preserve">we calculate </w:t>
      </w:r>
      <w:r>
        <w:t>average hourly cost to respondents to be $</w:t>
      </w:r>
      <w:r w:rsidR="00BF358F">
        <w:t>7</w:t>
      </w:r>
      <w:r w:rsidR="001674BB">
        <w:t>5</w:t>
      </w:r>
      <w:r w:rsidR="00BF358F">
        <w:t>.</w:t>
      </w:r>
      <w:r w:rsidR="001674BB">
        <w:t>80</w:t>
      </w:r>
      <w:r>
        <w:t>/hour.</w:t>
      </w:r>
      <w:r w:rsidR="004459AD">
        <w:t xml:space="preserve">  When factored by the total burden hours we calculate an annual cost to </w:t>
      </w:r>
      <w:r>
        <w:t xml:space="preserve">respondents </w:t>
      </w:r>
      <w:r w:rsidR="004459AD">
        <w:t xml:space="preserve">of </w:t>
      </w:r>
      <w:r>
        <w:t>$1</w:t>
      </w:r>
      <w:r w:rsidR="00163FE3">
        <w:t>3</w:t>
      </w:r>
      <w:r w:rsidR="001674BB">
        <w:t>6</w:t>
      </w:r>
      <w:r>
        <w:t>,</w:t>
      </w:r>
      <w:r w:rsidR="001674BB">
        <w:t xml:space="preserve">440 </w:t>
      </w:r>
      <w:r>
        <w:t>(</w:t>
      </w:r>
      <w:r w:rsidR="00BF358F">
        <w:t xml:space="preserve">1800 </w:t>
      </w:r>
      <w:r>
        <w:t>burden hours x $</w:t>
      </w:r>
      <w:r w:rsidR="00BF358F">
        <w:t>7</w:t>
      </w:r>
      <w:r w:rsidR="001674BB">
        <w:t>5</w:t>
      </w:r>
      <w:r w:rsidR="00BF358F">
        <w:t>.</w:t>
      </w:r>
      <w:r w:rsidR="001674BB">
        <w:t>80</w:t>
      </w:r>
      <w:r>
        <w:t>/hr = $</w:t>
      </w:r>
      <w:r w:rsidR="00BF358F">
        <w:t>13</w:t>
      </w:r>
      <w:r w:rsidR="001674BB">
        <w:t>6</w:t>
      </w:r>
      <w:r w:rsidR="00163FE3">
        <w:t>,</w:t>
      </w:r>
      <w:r w:rsidR="00BF358F">
        <w:t>4</w:t>
      </w:r>
      <w:r w:rsidR="001674BB">
        <w:t>40</w:t>
      </w:r>
      <w:r>
        <w:t>).</w:t>
      </w:r>
    </w:p>
    <w:p w:rsidR="00357C8A" w:rsidRPr="00357C8A" w:rsidP="00143D1A" w14:paraId="2497CE17" w14:textId="77777777">
      <w:pPr>
        <w:rPr>
          <w:rFonts w:eastAsia="Calibri"/>
        </w:rPr>
      </w:pPr>
    </w:p>
    <w:p w:rsidR="00357C8A" w:rsidRPr="00357C8A" w:rsidP="00143D1A" w14:paraId="6ECA2198"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143D1A" w14:paraId="18E30129" w14:textId="698B32B4">
      <w:pPr>
        <w:spacing w:after="200" w:line="276" w:lineRule="auto"/>
        <w:rPr>
          <w:rFonts w:eastAsia="Calibri"/>
          <w:u w:val="single"/>
        </w:rPr>
      </w:pPr>
      <w:r w:rsidRPr="00D602CF">
        <w:rPr>
          <w:rFonts w:eastAsia="Calibri"/>
        </w:rPr>
        <w:t>There are no capital, start-up, operating, or maintenance costs associated with this information collection</w:t>
      </w:r>
      <w:r>
        <w:rPr>
          <w:rFonts w:eastAsia="Calibri"/>
        </w:rPr>
        <w:t>.</w:t>
      </w:r>
    </w:p>
    <w:p w:rsidR="00357C8A" w:rsidRPr="00357C8A" w:rsidP="00143D1A" w14:paraId="57B034B2"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143D1A" w14:paraId="12FCDE73" w14:textId="0964DF7F">
      <w:pPr>
        <w:spacing w:after="200"/>
        <w:rPr>
          <w:rFonts w:eastAsia="Calibri"/>
        </w:rPr>
      </w:pPr>
      <w:r>
        <w:t>We estimate the annualized cost to the Federal government for the inspection of records to be $</w:t>
      </w:r>
      <w:r w:rsidR="001674BB">
        <w:t>22</w:t>
      </w:r>
      <w:r>
        <w:t>,</w:t>
      </w:r>
      <w:r w:rsidR="001674BB">
        <w:t>740</w:t>
      </w:r>
      <w:r>
        <w:t>.</w:t>
      </w:r>
      <w:r w:rsidR="004459AD">
        <w:t xml:space="preserve">  </w:t>
      </w:r>
      <w:r w:rsidR="006A5F21">
        <w:t xml:space="preserve">We assume </w:t>
      </w:r>
      <w:r>
        <w:t xml:space="preserve">300-person hours </w:t>
      </w:r>
      <w:r w:rsidR="004459AD">
        <w:t xml:space="preserve">are expended </w:t>
      </w:r>
      <w:r>
        <w:t>annually in inspections</w:t>
      </w:r>
      <w:r w:rsidR="00F9208B">
        <w:t xml:space="preserve">, an average of </w:t>
      </w:r>
      <w:r>
        <w:t xml:space="preserve">75 </w:t>
      </w:r>
      <w:r w:rsidR="00F9208B">
        <w:t xml:space="preserve">inspections annually, </w:t>
      </w:r>
      <w:r>
        <w:t>and</w:t>
      </w:r>
      <w:r w:rsidR="00F9208B">
        <w:t xml:space="preserve"> </w:t>
      </w:r>
      <w:r>
        <w:t>4 hours</w:t>
      </w:r>
      <w:r w:rsidR="00F9208B">
        <w:t xml:space="preserve"> for</w:t>
      </w:r>
      <w:r w:rsidR="006A5F21">
        <w:t xml:space="preserve"> review</w:t>
      </w:r>
      <w:r>
        <w:t xml:space="preserve"> (75 inspections x 4 hours = 300 hours annually). We </w:t>
      </w:r>
      <w:r w:rsidR="006A5F21">
        <w:t xml:space="preserve">further assume an </w:t>
      </w:r>
      <w:r>
        <w:t xml:space="preserve">average hourly wage for personnel to complete an inspection and review </w:t>
      </w:r>
      <w:r w:rsidR="006828EA">
        <w:t xml:space="preserve">commensurate with wages for a </w:t>
      </w:r>
      <w:r>
        <w:t>GS-12</w:t>
      </w:r>
      <w:r w:rsidR="00D42D16">
        <w:t>-7</w:t>
      </w:r>
      <w:r>
        <w:t xml:space="preserve"> level </w:t>
      </w:r>
      <w:r w:rsidR="006828EA">
        <w:t xml:space="preserve">employee </w:t>
      </w:r>
      <w:r>
        <w:t>in the locality pay area of Washington-Baltimore-Arlington, DC-MD-VA-WV-PA in 202</w:t>
      </w:r>
      <w:r w:rsidR="000372EA">
        <w:t>5</w:t>
      </w:r>
      <w:r>
        <w:t>, $</w:t>
      </w:r>
      <w:r w:rsidR="001674BB">
        <w:t>58</w:t>
      </w:r>
      <w:r w:rsidR="000372EA">
        <w:t>.</w:t>
      </w:r>
      <w:r w:rsidR="001674BB">
        <w:t>31</w:t>
      </w:r>
      <w:r>
        <w:t>/hour.  Increasing this wage by 30% to account for overhead costs ($</w:t>
      </w:r>
      <w:r w:rsidR="001674BB">
        <w:t>17</w:t>
      </w:r>
      <w:r w:rsidR="000372EA">
        <w:t>.</w:t>
      </w:r>
      <w:r w:rsidR="001674BB">
        <w:t>4</w:t>
      </w:r>
      <w:r w:rsidR="00D42D16">
        <w:t>9</w:t>
      </w:r>
      <w:r w:rsidR="001674BB">
        <w:t>)</w:t>
      </w:r>
      <w:r>
        <w:t xml:space="preserve">, we </w:t>
      </w:r>
      <w:r w:rsidR="00460AB6">
        <w:t xml:space="preserve">factor the </w:t>
      </w:r>
      <w:r>
        <w:t xml:space="preserve">average hourly wage </w:t>
      </w:r>
      <w:r w:rsidR="00460AB6">
        <w:t xml:space="preserve">of </w:t>
      </w:r>
      <w:r>
        <w:t>$</w:t>
      </w:r>
      <w:r w:rsidR="001674BB">
        <w:t>75.80</w:t>
      </w:r>
      <w:r w:rsidR="00460AB6">
        <w:t xml:space="preserve"> by the total annual hours to calculate an annual cost of </w:t>
      </w:r>
      <w:r>
        <w:t>$</w:t>
      </w:r>
      <w:r w:rsidR="001674BB">
        <w:t>22</w:t>
      </w:r>
      <w:r w:rsidR="000372EA">
        <w:t>,</w:t>
      </w:r>
      <w:r w:rsidR="001674BB">
        <w:t>740</w:t>
      </w:r>
      <w:r>
        <w:t xml:space="preserve"> (300 hours x $</w:t>
      </w:r>
      <w:r w:rsidR="001674BB">
        <w:t>75.80</w:t>
      </w:r>
      <w:r>
        <w:t xml:space="preserve"> = $</w:t>
      </w:r>
      <w:r w:rsidR="001674BB">
        <w:t>22</w:t>
      </w:r>
      <w:r w:rsidR="000372EA">
        <w:t>,</w:t>
      </w:r>
      <w:r w:rsidR="001674BB">
        <w:t>740</w:t>
      </w:r>
      <w:r>
        <w:t>).</w:t>
      </w:r>
      <w:r>
        <w:rPr>
          <w:rFonts w:eastAsia="Calibri"/>
        </w:rPr>
        <w:t xml:space="preserve"> </w:t>
      </w:r>
      <w:r w:rsidRPr="00357C8A">
        <w:rPr>
          <w:rFonts w:eastAsia="Calibri"/>
        </w:rPr>
        <w:t xml:space="preserve"> </w:t>
      </w:r>
    </w:p>
    <w:p w:rsidR="00357C8A" w:rsidP="00143D1A" w14:paraId="09EEACA2" w14:textId="7DDEC248">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143D1A" w14:paraId="2ECFCAE4" w14:textId="3C6636B8">
      <w:pPr>
        <w:spacing w:after="200"/>
        <w:rPr>
          <w:rFonts w:eastAsia="Calibri"/>
        </w:rPr>
      </w:pPr>
      <w:r>
        <w:rPr>
          <w:rFonts w:eastAsia="Calibri"/>
        </w:rPr>
        <w:t>The information collection reflects program c</w:t>
      </w:r>
      <w:r w:rsidR="0083413D">
        <w:rPr>
          <w:rFonts w:eastAsia="Calibri"/>
        </w:rPr>
        <w:t>hanges and adjustments.  We have decreased the number of respondents to provisions in 21 CFR 589.2000</w:t>
      </w:r>
      <w:r w:rsidR="00193055">
        <w:rPr>
          <w:rFonts w:eastAsia="Calibri"/>
        </w:rPr>
        <w:t>, however, in consolidating</w:t>
      </w:r>
      <w:r w:rsidR="0083413D">
        <w:rPr>
          <w:rFonts w:eastAsia="Calibri"/>
        </w:rPr>
        <w:t xml:space="preserve"> related activity currently approved in 0910-0627</w:t>
      </w:r>
      <w:r w:rsidR="00193055">
        <w:rPr>
          <w:rFonts w:eastAsia="Calibri"/>
        </w:rPr>
        <w:t xml:space="preserve"> there is an overall increase in </w:t>
      </w:r>
      <w:r w:rsidR="00D45CFA">
        <w:rPr>
          <w:rFonts w:eastAsia="Calibri"/>
        </w:rPr>
        <w:t xml:space="preserve">annual burden by 72 responses and </w:t>
      </w:r>
      <w:r w:rsidR="00DB7010">
        <w:rPr>
          <w:rFonts w:eastAsia="Calibri"/>
        </w:rPr>
        <w:t>5</w:t>
      </w:r>
      <w:r w:rsidR="00D45CFA">
        <w:rPr>
          <w:rFonts w:eastAsia="Calibri"/>
        </w:rPr>
        <w:t>,2</w:t>
      </w:r>
      <w:r w:rsidR="00DB7010">
        <w:rPr>
          <w:rFonts w:eastAsia="Calibri"/>
        </w:rPr>
        <w:t>4</w:t>
      </w:r>
      <w:r w:rsidR="00D45CFA">
        <w:rPr>
          <w:rFonts w:eastAsia="Calibri"/>
        </w:rPr>
        <w:t>1 hours.</w:t>
      </w:r>
      <w:r w:rsidR="0083413D">
        <w:rPr>
          <w:rFonts w:eastAsia="Calibri"/>
        </w:rPr>
        <w:t xml:space="preserve">.  Upon OMB review and approval we intend to discontinue control. </w:t>
      </w:r>
      <w:r w:rsidR="00F60DA4">
        <w:rPr>
          <w:rFonts w:eastAsia="Calibri"/>
        </w:rPr>
        <w:t>n</w:t>
      </w:r>
      <w:r w:rsidR="0083413D">
        <w:rPr>
          <w:rFonts w:eastAsia="Calibri"/>
        </w:rPr>
        <w:t>o.</w:t>
      </w:r>
      <w:r w:rsidR="00D45CFA">
        <w:rPr>
          <w:rFonts w:eastAsia="Calibri"/>
        </w:rPr>
        <w:t xml:space="preserve"> 0910-0627.</w:t>
      </w:r>
    </w:p>
    <w:p w:rsidR="00357C8A" w:rsidRPr="00357C8A" w:rsidP="00143D1A" w14:paraId="5573B2C9" w14:textId="7A085706">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0372EA" w:rsidP="00143D1A" w14:paraId="3639F5B2" w14:textId="455CC90C">
      <w:pPr>
        <w:spacing w:after="200"/>
        <w:rPr>
          <w:rFonts w:eastAsia="Calibri"/>
        </w:rPr>
      </w:pPr>
      <w:r w:rsidRPr="005C71CA">
        <w:rPr>
          <w:rFonts w:eastAsia="Calibri"/>
        </w:rPr>
        <w:t>This information collected will not be published or tabulated.</w:t>
      </w:r>
    </w:p>
    <w:p w:rsidR="00357C8A" w:rsidRPr="00357C8A" w:rsidP="00143D1A" w14:paraId="6893800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0372EA" w:rsidRPr="00357C8A" w:rsidP="00143D1A" w14:paraId="0ACAC3E0" w14:textId="77777777">
      <w:pPr>
        <w:spacing w:after="200"/>
        <w:rPr>
          <w:rFonts w:eastAsia="Calibri"/>
        </w:rPr>
      </w:pPr>
      <w:r>
        <w:t>FDA will display the OMB expiration date as required by 5 CFR 1320.5.</w:t>
      </w:r>
    </w:p>
    <w:p w:rsidR="00357C8A" w:rsidRPr="00357C8A" w:rsidP="00143D1A" w14:paraId="0E1994F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143D1A" w14:paraId="59116F07" w14:textId="54157239">
      <w:pPr>
        <w:spacing w:after="200"/>
        <w:rPr>
          <w:rFonts w:eastAsia="Calibri"/>
        </w:rPr>
      </w:pPr>
      <w:r w:rsidRPr="007E59A8">
        <w:rPr>
          <w:rFonts w:eastAsia="Calibri"/>
        </w:rPr>
        <w:t>There are no exceptions to the certification</w:t>
      </w:r>
      <w:r>
        <w:rPr>
          <w:rFonts w:eastAsia="Calibri"/>
        </w:rPr>
        <w:t>.</w:t>
      </w:r>
    </w:p>
    <w:sectPr w:rsidSect="00DB26E0">
      <w:footerReference w:type="defaul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957148"/>
      <w:docPartObj>
        <w:docPartGallery w:val="Page Numbers (Bottom of Page)"/>
        <w:docPartUnique/>
      </w:docPartObj>
    </w:sdtPr>
    <w:sdtEndPr>
      <w:rPr>
        <w:noProof/>
      </w:rPr>
    </w:sdtEndPr>
    <w:sdtContent>
      <w:p w:rsidR="0083606B" w14:paraId="2A54326C" w14:textId="24FCE3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606B" w14:paraId="689036D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5688987">
    <w:abstractNumId w:val="5"/>
  </w:num>
  <w:num w:numId="2" w16cid:durableId="318075311">
    <w:abstractNumId w:val="1"/>
  </w:num>
  <w:num w:numId="3" w16cid:durableId="662009162">
    <w:abstractNumId w:val="6"/>
  </w:num>
  <w:num w:numId="4" w16cid:durableId="1982035428">
    <w:abstractNumId w:val="3"/>
  </w:num>
  <w:num w:numId="5" w16cid:durableId="2102871202">
    <w:abstractNumId w:val="7"/>
  </w:num>
  <w:num w:numId="6" w16cid:durableId="1212381954">
    <w:abstractNumId w:val="0"/>
  </w:num>
  <w:num w:numId="7" w16cid:durableId="1044215464">
    <w:abstractNumId w:val="2"/>
  </w:num>
  <w:num w:numId="8" w16cid:durableId="13685292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260D2"/>
    <w:rsid w:val="00031A2C"/>
    <w:rsid w:val="000372EA"/>
    <w:rsid w:val="00042B93"/>
    <w:rsid w:val="00043C7F"/>
    <w:rsid w:val="000467A8"/>
    <w:rsid w:val="00064158"/>
    <w:rsid w:val="0006570F"/>
    <w:rsid w:val="00075DE8"/>
    <w:rsid w:val="00087439"/>
    <w:rsid w:val="000A3DA5"/>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762"/>
    <w:rsid w:val="00140FA8"/>
    <w:rsid w:val="00143D1A"/>
    <w:rsid w:val="00144749"/>
    <w:rsid w:val="00152F29"/>
    <w:rsid w:val="00163FE3"/>
    <w:rsid w:val="001674BB"/>
    <w:rsid w:val="00174D54"/>
    <w:rsid w:val="0017702C"/>
    <w:rsid w:val="00185270"/>
    <w:rsid w:val="00193055"/>
    <w:rsid w:val="001A3B5A"/>
    <w:rsid w:val="001A458C"/>
    <w:rsid w:val="001B7CE9"/>
    <w:rsid w:val="001D495A"/>
    <w:rsid w:val="001E244C"/>
    <w:rsid w:val="001F1437"/>
    <w:rsid w:val="00206799"/>
    <w:rsid w:val="002074FE"/>
    <w:rsid w:val="0020784A"/>
    <w:rsid w:val="0022425B"/>
    <w:rsid w:val="002259EF"/>
    <w:rsid w:val="00242ED1"/>
    <w:rsid w:val="002444BB"/>
    <w:rsid w:val="00254069"/>
    <w:rsid w:val="00260C57"/>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07688"/>
    <w:rsid w:val="003113FF"/>
    <w:rsid w:val="00312622"/>
    <w:rsid w:val="0032277F"/>
    <w:rsid w:val="00336B69"/>
    <w:rsid w:val="0034302B"/>
    <w:rsid w:val="00350523"/>
    <w:rsid w:val="0035189D"/>
    <w:rsid w:val="00355B62"/>
    <w:rsid w:val="00357C8A"/>
    <w:rsid w:val="003740BC"/>
    <w:rsid w:val="0037456B"/>
    <w:rsid w:val="003801A3"/>
    <w:rsid w:val="00383D90"/>
    <w:rsid w:val="0038684D"/>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59AD"/>
    <w:rsid w:val="00447D74"/>
    <w:rsid w:val="00450A74"/>
    <w:rsid w:val="004546BF"/>
    <w:rsid w:val="00460AB6"/>
    <w:rsid w:val="00465350"/>
    <w:rsid w:val="00476B91"/>
    <w:rsid w:val="004846BF"/>
    <w:rsid w:val="00494912"/>
    <w:rsid w:val="00496313"/>
    <w:rsid w:val="004A5323"/>
    <w:rsid w:val="004A5A99"/>
    <w:rsid w:val="004C6979"/>
    <w:rsid w:val="004D13A2"/>
    <w:rsid w:val="004D3E7A"/>
    <w:rsid w:val="004F594B"/>
    <w:rsid w:val="004F61E1"/>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5F3902"/>
    <w:rsid w:val="00604247"/>
    <w:rsid w:val="00611D6B"/>
    <w:rsid w:val="00625CFD"/>
    <w:rsid w:val="006326EC"/>
    <w:rsid w:val="00663A42"/>
    <w:rsid w:val="006641C7"/>
    <w:rsid w:val="006705EA"/>
    <w:rsid w:val="00670BE2"/>
    <w:rsid w:val="006828EA"/>
    <w:rsid w:val="006916D9"/>
    <w:rsid w:val="006A0E05"/>
    <w:rsid w:val="006A26C6"/>
    <w:rsid w:val="006A465A"/>
    <w:rsid w:val="006A5F21"/>
    <w:rsid w:val="006A7D5D"/>
    <w:rsid w:val="006D0C12"/>
    <w:rsid w:val="006D5D57"/>
    <w:rsid w:val="006E2538"/>
    <w:rsid w:val="006E302F"/>
    <w:rsid w:val="006F1025"/>
    <w:rsid w:val="006F4D6D"/>
    <w:rsid w:val="00705086"/>
    <w:rsid w:val="00722001"/>
    <w:rsid w:val="00727CDF"/>
    <w:rsid w:val="0073086B"/>
    <w:rsid w:val="00744525"/>
    <w:rsid w:val="00751E66"/>
    <w:rsid w:val="00754497"/>
    <w:rsid w:val="00767035"/>
    <w:rsid w:val="00773201"/>
    <w:rsid w:val="00787C39"/>
    <w:rsid w:val="00792947"/>
    <w:rsid w:val="00795DF3"/>
    <w:rsid w:val="007A373C"/>
    <w:rsid w:val="007B14E4"/>
    <w:rsid w:val="007B225C"/>
    <w:rsid w:val="007B455B"/>
    <w:rsid w:val="007C75B1"/>
    <w:rsid w:val="007D3DFC"/>
    <w:rsid w:val="007E2F07"/>
    <w:rsid w:val="007E59A8"/>
    <w:rsid w:val="0080776D"/>
    <w:rsid w:val="00810145"/>
    <w:rsid w:val="008108FA"/>
    <w:rsid w:val="00810FF1"/>
    <w:rsid w:val="00822336"/>
    <w:rsid w:val="00823DFA"/>
    <w:rsid w:val="00824DE0"/>
    <w:rsid w:val="0083413D"/>
    <w:rsid w:val="0083606B"/>
    <w:rsid w:val="00842DB7"/>
    <w:rsid w:val="00843752"/>
    <w:rsid w:val="0084479F"/>
    <w:rsid w:val="008562CC"/>
    <w:rsid w:val="0085725E"/>
    <w:rsid w:val="008577F3"/>
    <w:rsid w:val="00873D4F"/>
    <w:rsid w:val="0087427C"/>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13D46"/>
    <w:rsid w:val="00922A1A"/>
    <w:rsid w:val="00930203"/>
    <w:rsid w:val="009311D2"/>
    <w:rsid w:val="009311E6"/>
    <w:rsid w:val="00931275"/>
    <w:rsid w:val="00936AC7"/>
    <w:rsid w:val="00947761"/>
    <w:rsid w:val="00953B64"/>
    <w:rsid w:val="009646A7"/>
    <w:rsid w:val="00970A51"/>
    <w:rsid w:val="00970A88"/>
    <w:rsid w:val="009818A1"/>
    <w:rsid w:val="009A1674"/>
    <w:rsid w:val="009B38BE"/>
    <w:rsid w:val="009B4DF2"/>
    <w:rsid w:val="009C684F"/>
    <w:rsid w:val="009D074C"/>
    <w:rsid w:val="009D6E73"/>
    <w:rsid w:val="009F1F1D"/>
    <w:rsid w:val="009F26D2"/>
    <w:rsid w:val="009F2B4F"/>
    <w:rsid w:val="009F3C63"/>
    <w:rsid w:val="009F66B5"/>
    <w:rsid w:val="00A002BF"/>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09E8"/>
    <w:rsid w:val="00AC2DBB"/>
    <w:rsid w:val="00AC6A99"/>
    <w:rsid w:val="00AD113E"/>
    <w:rsid w:val="00AD6048"/>
    <w:rsid w:val="00AE798C"/>
    <w:rsid w:val="00AF0A45"/>
    <w:rsid w:val="00B055EF"/>
    <w:rsid w:val="00B06B5B"/>
    <w:rsid w:val="00B22347"/>
    <w:rsid w:val="00B23769"/>
    <w:rsid w:val="00B41789"/>
    <w:rsid w:val="00B53F88"/>
    <w:rsid w:val="00B81808"/>
    <w:rsid w:val="00B86DFA"/>
    <w:rsid w:val="00B936D0"/>
    <w:rsid w:val="00BB15FB"/>
    <w:rsid w:val="00BD3D5B"/>
    <w:rsid w:val="00BE3600"/>
    <w:rsid w:val="00BF358F"/>
    <w:rsid w:val="00C01F6F"/>
    <w:rsid w:val="00C041EA"/>
    <w:rsid w:val="00C13BBD"/>
    <w:rsid w:val="00C149AB"/>
    <w:rsid w:val="00C15ACC"/>
    <w:rsid w:val="00C16929"/>
    <w:rsid w:val="00C20690"/>
    <w:rsid w:val="00C36020"/>
    <w:rsid w:val="00C36853"/>
    <w:rsid w:val="00C40694"/>
    <w:rsid w:val="00C40A0D"/>
    <w:rsid w:val="00C479BF"/>
    <w:rsid w:val="00C5124B"/>
    <w:rsid w:val="00C62479"/>
    <w:rsid w:val="00C70542"/>
    <w:rsid w:val="00C71649"/>
    <w:rsid w:val="00C75CBF"/>
    <w:rsid w:val="00C929E5"/>
    <w:rsid w:val="00CC2894"/>
    <w:rsid w:val="00CD77C3"/>
    <w:rsid w:val="00CE112C"/>
    <w:rsid w:val="00CF55D4"/>
    <w:rsid w:val="00D0402C"/>
    <w:rsid w:val="00D42D16"/>
    <w:rsid w:val="00D45CFA"/>
    <w:rsid w:val="00D602CF"/>
    <w:rsid w:val="00D608DA"/>
    <w:rsid w:val="00D67D90"/>
    <w:rsid w:val="00D730BF"/>
    <w:rsid w:val="00D852F4"/>
    <w:rsid w:val="00DB1110"/>
    <w:rsid w:val="00DB26E0"/>
    <w:rsid w:val="00DB3730"/>
    <w:rsid w:val="00DB701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88C"/>
    <w:rsid w:val="00E45904"/>
    <w:rsid w:val="00E47CA9"/>
    <w:rsid w:val="00E63DE5"/>
    <w:rsid w:val="00E647AF"/>
    <w:rsid w:val="00E647C7"/>
    <w:rsid w:val="00E65A37"/>
    <w:rsid w:val="00E65EF7"/>
    <w:rsid w:val="00E77B48"/>
    <w:rsid w:val="00E857FB"/>
    <w:rsid w:val="00E91799"/>
    <w:rsid w:val="00E97DF8"/>
    <w:rsid w:val="00EA21FE"/>
    <w:rsid w:val="00EA34E3"/>
    <w:rsid w:val="00EB7538"/>
    <w:rsid w:val="00EC1868"/>
    <w:rsid w:val="00EC62DF"/>
    <w:rsid w:val="00EE452A"/>
    <w:rsid w:val="00EE6468"/>
    <w:rsid w:val="00F1299B"/>
    <w:rsid w:val="00F207A4"/>
    <w:rsid w:val="00F241E4"/>
    <w:rsid w:val="00F250A3"/>
    <w:rsid w:val="00F25173"/>
    <w:rsid w:val="00F355AC"/>
    <w:rsid w:val="00F40CF7"/>
    <w:rsid w:val="00F44194"/>
    <w:rsid w:val="00F60DA4"/>
    <w:rsid w:val="00F71A5A"/>
    <w:rsid w:val="00F73A1A"/>
    <w:rsid w:val="00F769E0"/>
    <w:rsid w:val="00F9208B"/>
    <w:rsid w:val="00FA4A46"/>
    <w:rsid w:val="00FA75FE"/>
    <w:rsid w:val="00FB1032"/>
    <w:rsid w:val="00FB39BC"/>
    <w:rsid w:val="00FB3C72"/>
    <w:rsid w:val="00FB6A53"/>
    <w:rsid w:val="00FC11CA"/>
    <w:rsid w:val="00FC3D30"/>
    <w:rsid w:val="00FC6BDE"/>
    <w:rsid w:val="00FD6652"/>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CB2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0260D2"/>
    <w:rPr>
      <w:sz w:val="16"/>
      <w:szCs w:val="16"/>
    </w:rPr>
  </w:style>
  <w:style w:type="paragraph" w:styleId="CommentText">
    <w:name w:val="annotation text"/>
    <w:basedOn w:val="Normal"/>
    <w:link w:val="CommentTextChar"/>
    <w:rsid w:val="000260D2"/>
    <w:rPr>
      <w:sz w:val="20"/>
      <w:szCs w:val="20"/>
    </w:rPr>
  </w:style>
  <w:style w:type="character" w:customStyle="1" w:styleId="CommentTextChar">
    <w:name w:val="Comment Text Char"/>
    <w:basedOn w:val="DefaultParagraphFont"/>
    <w:link w:val="CommentText"/>
    <w:rsid w:val="000260D2"/>
  </w:style>
  <w:style w:type="paragraph" w:styleId="CommentSubject">
    <w:name w:val="annotation subject"/>
    <w:basedOn w:val="CommentText"/>
    <w:next w:val="CommentText"/>
    <w:link w:val="CommentSubjectChar"/>
    <w:rsid w:val="000260D2"/>
    <w:rPr>
      <w:b/>
      <w:bCs/>
    </w:rPr>
  </w:style>
  <w:style w:type="character" w:customStyle="1" w:styleId="CommentSubjectChar">
    <w:name w:val="Comment Subject Char"/>
    <w:basedOn w:val="CommentTextChar"/>
    <w:link w:val="CommentSubject"/>
    <w:rsid w:val="000260D2"/>
    <w:rPr>
      <w:b/>
      <w:bCs/>
    </w:rPr>
  </w:style>
  <w:style w:type="paragraph" w:styleId="Revision">
    <w:name w:val="Revision"/>
    <w:hidden/>
    <w:uiPriority w:val="99"/>
    <w:semiHidden/>
    <w:rsid w:val="00AD113E"/>
    <w:rPr>
      <w:sz w:val="24"/>
      <w:szCs w:val="24"/>
    </w:rPr>
  </w:style>
  <w:style w:type="character" w:customStyle="1" w:styleId="FooterChar">
    <w:name w:val="Footer Char"/>
    <w:basedOn w:val="DefaultParagraphFont"/>
    <w:link w:val="Footer"/>
    <w:uiPriority w:val="99"/>
    <w:rsid w:val="008360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da.gov/ForIndustry/SmallBusinessAssistance/default.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2025-09-08T14:20:00Z</dcterms:created>
  <dcterms:modified xsi:type="dcterms:W3CDTF">2025-09-30T00:12:00Z</dcterms:modified>
</cp:coreProperties>
</file>