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D389B" w:rsidRPr="000E7360" w:rsidP="002D389B" w14:paraId="16BC1574" w14:textId="77777777">
      <w:pPr>
        <w:jc w:val="center"/>
        <w:rPr>
          <w:rFonts w:cs="Calibri"/>
          <w:b/>
          <w:sz w:val="28"/>
          <w:szCs w:val="28"/>
        </w:rPr>
      </w:pPr>
      <w:r w:rsidRPr="000E7360">
        <w:rPr>
          <w:rFonts w:cs="Calibri"/>
          <w:b/>
          <w:sz w:val="28"/>
          <w:szCs w:val="28"/>
        </w:rPr>
        <w:t>Supporting Statement</w:t>
      </w:r>
      <w:r w:rsidRPr="000E7360" w:rsidR="0003628E">
        <w:rPr>
          <w:rFonts w:cs="Calibri"/>
          <w:b/>
          <w:sz w:val="28"/>
          <w:szCs w:val="28"/>
        </w:rPr>
        <w:t xml:space="preserve"> A</w:t>
      </w:r>
    </w:p>
    <w:p w:rsidR="002D389B" w:rsidRPr="000E7360" w:rsidP="002D389B" w14:paraId="488FB737" w14:textId="77777777">
      <w:pPr>
        <w:jc w:val="center"/>
        <w:rPr>
          <w:rFonts w:cs="Calibri"/>
          <w:b/>
          <w:sz w:val="28"/>
          <w:szCs w:val="28"/>
        </w:rPr>
      </w:pPr>
    </w:p>
    <w:p w:rsidR="002D389B" w:rsidRPr="000E7360" w:rsidP="002D389B" w14:paraId="4C749C09" w14:textId="77777777">
      <w:pPr>
        <w:jc w:val="center"/>
        <w:rPr>
          <w:rFonts w:cs="Calibri"/>
          <w:b/>
          <w:sz w:val="28"/>
          <w:szCs w:val="28"/>
        </w:rPr>
      </w:pPr>
      <w:r w:rsidRPr="000E7360">
        <w:rPr>
          <w:rFonts w:cs="Calibri"/>
          <w:b/>
          <w:sz w:val="28"/>
          <w:szCs w:val="28"/>
        </w:rPr>
        <w:t>Teaching Health Center Graduate Medical Education (THCGME) Program Eligible Resident/</w:t>
      </w:r>
      <w:r w:rsidRPr="000E7360" w:rsidR="00EA3B3D">
        <w:rPr>
          <w:rFonts w:cs="Calibri"/>
          <w:b/>
          <w:sz w:val="28"/>
          <w:szCs w:val="28"/>
        </w:rPr>
        <w:t xml:space="preserve">Fellow </w:t>
      </w:r>
      <w:r w:rsidRPr="000E7360">
        <w:rPr>
          <w:rFonts w:cs="Calibri"/>
          <w:b/>
          <w:sz w:val="28"/>
          <w:szCs w:val="28"/>
        </w:rPr>
        <w:t xml:space="preserve">FTE Chart </w:t>
      </w:r>
    </w:p>
    <w:p w:rsidR="00347A4D" w:rsidRPr="00C01F21" w:rsidP="007D69E1" w14:paraId="3092E40E" w14:textId="77777777">
      <w:pPr>
        <w:autoSpaceDE w:val="0"/>
        <w:autoSpaceDN w:val="0"/>
        <w:adjustRightInd w:val="0"/>
        <w:spacing w:line="480" w:lineRule="auto"/>
        <w:jc w:val="center"/>
        <w:rPr>
          <w:rFonts w:cs="Calibri"/>
          <w:b/>
          <w:bCs/>
          <w:sz w:val="28"/>
          <w:szCs w:val="28"/>
        </w:rPr>
      </w:pPr>
      <w:r w:rsidRPr="00C01F21">
        <w:rPr>
          <w:rFonts w:cs="Calibri"/>
          <w:b/>
          <w:bCs/>
          <w:sz w:val="28"/>
          <w:szCs w:val="28"/>
        </w:rPr>
        <w:t>(OMB No. 0915–</w:t>
      </w:r>
      <w:r w:rsidRPr="00C01F21" w:rsidR="003111C1">
        <w:rPr>
          <w:rFonts w:cs="Calibri"/>
          <w:b/>
          <w:bCs/>
          <w:sz w:val="28"/>
          <w:szCs w:val="28"/>
        </w:rPr>
        <w:t>0367</w:t>
      </w:r>
      <w:r w:rsidRPr="00C01F21">
        <w:rPr>
          <w:rFonts w:cs="Calibri"/>
          <w:b/>
          <w:bCs/>
          <w:sz w:val="28"/>
          <w:szCs w:val="28"/>
        </w:rPr>
        <w:t xml:space="preserve">) </w:t>
      </w:r>
      <w:r w:rsidR="00FA123F">
        <w:rPr>
          <w:rFonts w:cs="Calibri"/>
          <w:b/>
          <w:bCs/>
          <w:sz w:val="28"/>
          <w:szCs w:val="28"/>
        </w:rPr>
        <w:t xml:space="preserve">- </w:t>
      </w:r>
      <w:r w:rsidRPr="00C01F21" w:rsidR="00866F95">
        <w:rPr>
          <w:rFonts w:cs="Calibri"/>
          <w:b/>
          <w:bCs/>
          <w:sz w:val="28"/>
          <w:szCs w:val="28"/>
        </w:rPr>
        <w:t>EXTENSION</w:t>
      </w:r>
    </w:p>
    <w:p w:rsidR="0003628E" w:rsidRPr="000E7360" w:rsidP="00347A4D" w14:paraId="0E43BE50" w14:textId="77777777">
      <w:pPr>
        <w:autoSpaceDE w:val="0"/>
        <w:autoSpaceDN w:val="0"/>
        <w:adjustRightInd w:val="0"/>
        <w:spacing w:line="480" w:lineRule="auto"/>
        <w:rPr>
          <w:rFonts w:cs="Calibri"/>
          <w:b/>
          <w:bCs/>
        </w:rPr>
      </w:pPr>
      <w:r w:rsidRPr="000E7360">
        <w:rPr>
          <w:rFonts w:cs="Calibri"/>
          <w:b/>
          <w:bCs/>
        </w:rPr>
        <w:t xml:space="preserve">Terms of Clearance: </w:t>
      </w:r>
      <w:r w:rsidRPr="000E7360" w:rsidR="002D389B">
        <w:rPr>
          <w:rFonts w:cs="Calibri"/>
          <w:b/>
          <w:bCs/>
        </w:rPr>
        <w:t xml:space="preserve"> </w:t>
      </w:r>
      <w:r w:rsidRPr="000E7360">
        <w:rPr>
          <w:rFonts w:cs="Calibri"/>
          <w:b/>
          <w:bCs/>
        </w:rPr>
        <w:t>None</w:t>
      </w:r>
    </w:p>
    <w:p w:rsidR="00347A4D" w:rsidRPr="000E7360" w:rsidP="00347A4D" w14:paraId="57E8B2A4" w14:textId="77777777">
      <w:pPr>
        <w:autoSpaceDE w:val="0"/>
        <w:autoSpaceDN w:val="0"/>
        <w:adjustRightInd w:val="0"/>
        <w:spacing w:line="480" w:lineRule="auto"/>
        <w:rPr>
          <w:rFonts w:cs="Calibri"/>
          <w:b/>
          <w:bCs/>
        </w:rPr>
      </w:pPr>
      <w:r w:rsidRPr="000E7360">
        <w:rPr>
          <w:rFonts w:cs="Calibri"/>
          <w:b/>
          <w:bCs/>
        </w:rPr>
        <w:t>A.</w:t>
      </w:r>
      <w:r w:rsidRPr="000E7360">
        <w:rPr>
          <w:rFonts w:cs="Calibri"/>
          <w:b/>
          <w:bCs/>
        </w:rPr>
        <w:tab/>
        <w:t xml:space="preserve">Justification </w:t>
      </w:r>
    </w:p>
    <w:p w:rsidR="00347A4D" w:rsidRPr="000E7360" w:rsidP="00252DF4" w14:paraId="151A2488" w14:textId="77777777">
      <w:pPr>
        <w:pStyle w:val="ListParagraph"/>
        <w:numPr>
          <w:ilvl w:val="0"/>
          <w:numId w:val="2"/>
        </w:numPr>
        <w:autoSpaceDE w:val="0"/>
        <w:autoSpaceDN w:val="0"/>
        <w:adjustRightInd w:val="0"/>
        <w:spacing w:line="480" w:lineRule="auto"/>
        <w:rPr>
          <w:rFonts w:cs="Calibri"/>
          <w:b/>
          <w:bCs/>
        </w:rPr>
      </w:pPr>
      <w:r w:rsidRPr="000E7360">
        <w:rPr>
          <w:rFonts w:cs="Calibri"/>
          <w:b/>
          <w:bCs/>
        </w:rPr>
        <w:t xml:space="preserve">Circumstances Making the Collection of Information Necessary </w:t>
      </w:r>
    </w:p>
    <w:p w:rsidR="00114BF4" w:rsidRPr="000E7360" w:rsidP="007D69E1" w14:paraId="26F83EEA" w14:textId="77777777">
      <w:pPr>
        <w:autoSpaceDE w:val="0"/>
        <w:autoSpaceDN w:val="0"/>
        <w:adjustRightInd w:val="0"/>
        <w:rPr>
          <w:rFonts w:cs="Calibri"/>
        </w:rPr>
      </w:pPr>
      <w:r w:rsidRPr="000E7360">
        <w:rPr>
          <w:rFonts w:cs="Calibri"/>
        </w:rPr>
        <w:t xml:space="preserve">This is a request for </w:t>
      </w:r>
      <w:r w:rsidRPr="000E7360">
        <w:rPr>
          <w:rFonts w:cs="Calibri"/>
        </w:rPr>
        <w:t>Office</w:t>
      </w:r>
      <w:r w:rsidRPr="000E7360">
        <w:rPr>
          <w:rFonts w:cs="Calibri"/>
        </w:rPr>
        <w:t xml:space="preserve"> of Management and </w:t>
      </w:r>
      <w:r w:rsidRPr="000E7360" w:rsidR="003E0405">
        <w:rPr>
          <w:rFonts w:cs="Calibri"/>
        </w:rPr>
        <w:t>Budget (</w:t>
      </w:r>
      <w:r w:rsidRPr="000E7360">
        <w:rPr>
          <w:rFonts w:cs="Calibri"/>
        </w:rPr>
        <w:t xml:space="preserve">OMB) </w:t>
      </w:r>
      <w:r w:rsidRPr="000E7360" w:rsidR="00F44C91">
        <w:rPr>
          <w:rFonts w:cs="Calibri"/>
        </w:rPr>
        <w:t xml:space="preserve">continued </w:t>
      </w:r>
      <w:r w:rsidRPr="000E7360">
        <w:rPr>
          <w:rFonts w:cs="Calibri"/>
        </w:rPr>
        <w:t xml:space="preserve">approval to utilize the </w:t>
      </w:r>
      <w:r w:rsidRPr="000E7360" w:rsidR="00434F64">
        <w:rPr>
          <w:rFonts w:cs="Calibri"/>
        </w:rPr>
        <w:t xml:space="preserve">Teaching Health Center Graduate Medical Education (THCGME) </w:t>
      </w:r>
      <w:r w:rsidRPr="000E7360" w:rsidR="009029FB">
        <w:rPr>
          <w:rFonts w:cs="Calibri"/>
        </w:rPr>
        <w:t xml:space="preserve">Program Eligible </w:t>
      </w:r>
      <w:r w:rsidRPr="000E7360">
        <w:rPr>
          <w:rFonts w:cs="Calibri"/>
        </w:rPr>
        <w:t>Resident/</w:t>
      </w:r>
      <w:r w:rsidRPr="000E7360" w:rsidR="00EA3B3D">
        <w:rPr>
          <w:rFonts w:cs="Calibri"/>
        </w:rPr>
        <w:t xml:space="preserve">Fellow </w:t>
      </w:r>
      <w:r w:rsidRPr="000E7360" w:rsidR="00D943CA">
        <w:rPr>
          <w:rFonts w:cs="Calibri"/>
        </w:rPr>
        <w:t>full-time equiv</w:t>
      </w:r>
      <w:r w:rsidRPr="000E7360" w:rsidR="00593FC8">
        <w:rPr>
          <w:rFonts w:cs="Calibri"/>
        </w:rPr>
        <w:t>alent</w:t>
      </w:r>
      <w:r w:rsidRPr="000E7360" w:rsidR="00D943CA">
        <w:rPr>
          <w:rFonts w:cs="Calibri"/>
        </w:rPr>
        <w:t xml:space="preserve"> (</w:t>
      </w:r>
      <w:r w:rsidRPr="000E7360">
        <w:rPr>
          <w:rFonts w:cs="Calibri"/>
        </w:rPr>
        <w:t>FTE</w:t>
      </w:r>
      <w:r w:rsidRPr="000E7360" w:rsidR="00D943CA">
        <w:rPr>
          <w:rFonts w:cs="Calibri"/>
        </w:rPr>
        <w:t>)</w:t>
      </w:r>
      <w:r w:rsidRPr="000E7360">
        <w:rPr>
          <w:rFonts w:cs="Calibri"/>
        </w:rPr>
        <w:t xml:space="preserve"> Chart </w:t>
      </w:r>
      <w:r w:rsidRPr="000E7360" w:rsidR="005440C4">
        <w:rPr>
          <w:rFonts w:cs="Calibri"/>
        </w:rPr>
        <w:t>to determine the number of eligible residents/</w:t>
      </w:r>
      <w:r w:rsidRPr="000E7360" w:rsidR="00EA3B3D">
        <w:rPr>
          <w:rFonts w:cs="Calibri"/>
        </w:rPr>
        <w:t xml:space="preserve">fellow </w:t>
      </w:r>
      <w:r w:rsidRPr="000E7360" w:rsidR="005440C4">
        <w:rPr>
          <w:rFonts w:cs="Calibri"/>
        </w:rPr>
        <w:t>FTEs in an applicant’s primary care residency program</w:t>
      </w:r>
      <w:r w:rsidR="00271D97">
        <w:rPr>
          <w:rFonts w:cs="Calibri"/>
        </w:rPr>
        <w:t xml:space="preserve">. </w:t>
      </w:r>
      <w:r w:rsidRPr="000E7360" w:rsidR="005440C4">
        <w:rPr>
          <w:rFonts w:cs="Calibri"/>
        </w:rPr>
        <w:t xml:space="preserve">The tool </w:t>
      </w:r>
      <w:r w:rsidRPr="000E7360" w:rsidR="00F44C91">
        <w:rPr>
          <w:rFonts w:cs="Calibri"/>
        </w:rPr>
        <w:t xml:space="preserve">is </w:t>
      </w:r>
      <w:r w:rsidRPr="000E7360" w:rsidR="005440C4">
        <w:rPr>
          <w:rFonts w:cs="Calibri"/>
        </w:rPr>
        <w:t xml:space="preserve">used to provide evidence of the </w:t>
      </w:r>
      <w:r w:rsidRPr="000E7360">
        <w:rPr>
          <w:rFonts w:cs="Calibri"/>
        </w:rPr>
        <w:t>expansion of the number of residency positions supported by the Teaching Health Centers Graduate Medical Education Program (THCGME)</w:t>
      </w:r>
      <w:r w:rsidRPr="000E7360" w:rsidR="009029FB">
        <w:rPr>
          <w:rFonts w:cs="Calibri"/>
        </w:rPr>
        <w:t>. The</w:t>
      </w:r>
      <w:r w:rsidRPr="000E7360" w:rsidR="00F44C91">
        <w:rPr>
          <w:rFonts w:cs="Calibri"/>
        </w:rPr>
        <w:t xml:space="preserve"> </w:t>
      </w:r>
      <w:r w:rsidRPr="000E7360" w:rsidR="009029FB">
        <w:rPr>
          <w:rFonts w:cs="Calibri"/>
        </w:rPr>
        <w:t>R</w:t>
      </w:r>
      <w:r w:rsidRPr="000E7360" w:rsidR="005440C4">
        <w:rPr>
          <w:rFonts w:cs="Calibri"/>
        </w:rPr>
        <w:t>esident/</w:t>
      </w:r>
      <w:r w:rsidRPr="000E7360" w:rsidR="00EA3B3D">
        <w:rPr>
          <w:rFonts w:cs="Calibri"/>
        </w:rPr>
        <w:t xml:space="preserve">Fellow </w:t>
      </w:r>
      <w:r w:rsidRPr="000E7360" w:rsidR="005440C4">
        <w:rPr>
          <w:rFonts w:cs="Calibri"/>
        </w:rPr>
        <w:t xml:space="preserve">FTE chart </w:t>
      </w:r>
      <w:r w:rsidRPr="000E7360" w:rsidR="009029FB">
        <w:rPr>
          <w:rFonts w:cs="Calibri"/>
        </w:rPr>
        <w:t xml:space="preserve"> </w:t>
      </w:r>
      <w:r w:rsidRPr="000E7360" w:rsidR="000509C4">
        <w:rPr>
          <w:rFonts w:cs="Calibri"/>
        </w:rPr>
        <w:t>is</w:t>
      </w:r>
      <w:r w:rsidRPr="000E7360" w:rsidR="005440C4">
        <w:rPr>
          <w:rFonts w:cs="Calibri"/>
        </w:rPr>
        <w:t xml:space="preserve"> published in the THCGME </w:t>
      </w:r>
      <w:r w:rsidRPr="000E7360" w:rsidR="00162AA0">
        <w:rPr>
          <w:rFonts w:cs="Calibri"/>
        </w:rPr>
        <w:t xml:space="preserve">Notice of </w:t>
      </w:r>
      <w:r w:rsidRPr="000E7360" w:rsidR="005440C4">
        <w:rPr>
          <w:rFonts w:cs="Calibri"/>
        </w:rPr>
        <w:t xml:space="preserve">Funding Opportunity </w:t>
      </w:r>
      <w:r w:rsidRPr="000E7360" w:rsidR="00162AA0">
        <w:rPr>
          <w:rFonts w:cs="Calibri"/>
        </w:rPr>
        <w:t>a</w:t>
      </w:r>
      <w:r w:rsidRPr="000E7360" w:rsidR="005440C4">
        <w:rPr>
          <w:rFonts w:cs="Calibri"/>
        </w:rPr>
        <w:t>nnouncement (</w:t>
      </w:r>
      <w:r w:rsidRPr="000E7360" w:rsidR="00162AA0">
        <w:rPr>
          <w:rFonts w:cs="Calibri"/>
        </w:rPr>
        <w:t>NOFO</w:t>
      </w:r>
      <w:r w:rsidRPr="000E7360" w:rsidR="005440C4">
        <w:rPr>
          <w:rFonts w:cs="Calibri"/>
        </w:rPr>
        <w:t>)</w:t>
      </w:r>
      <w:r w:rsidR="00271D97">
        <w:rPr>
          <w:rFonts w:cs="Calibri"/>
        </w:rPr>
        <w:t xml:space="preserve">. </w:t>
      </w:r>
      <w:r w:rsidRPr="000E7360" w:rsidR="00E90A5B">
        <w:rPr>
          <w:rFonts w:cs="Calibri"/>
        </w:rPr>
        <w:t xml:space="preserve">The THCGME Program, Section 340H of the Public Health Service (PHS) Act, was established by Section 5508 of Public Law 111–148. </w:t>
      </w:r>
      <w:r w:rsidRPr="00343922" w:rsidR="0085232E">
        <w:rPr>
          <w:rFonts w:cs="Calibri"/>
        </w:rPr>
        <w:t>The Consolidated Appropriations Act, 2021 (P.L. 116-260) and the American Rescue Plan Act of 2021 (P.L. 117-2)</w:t>
      </w:r>
      <w:r w:rsidRPr="000E7360" w:rsidR="00D137FD">
        <w:rPr>
          <w:rFonts w:cs="Calibri"/>
        </w:rPr>
        <w:t>,</w:t>
      </w:r>
      <w:r w:rsidRPr="000E7360" w:rsidR="00E90A5B">
        <w:rPr>
          <w:rFonts w:cs="Calibri"/>
        </w:rPr>
        <w:t xml:space="preserve"> provided continued funding for the </w:t>
      </w:r>
      <w:r w:rsidRPr="000E7360" w:rsidR="00C859DA">
        <w:rPr>
          <w:rFonts w:cs="Calibri"/>
        </w:rPr>
        <w:t>THCGME program</w:t>
      </w:r>
      <w:r w:rsidR="00271D97">
        <w:rPr>
          <w:rFonts w:cs="Calibri"/>
        </w:rPr>
        <w:t xml:space="preserve">. </w:t>
      </w:r>
    </w:p>
    <w:p w:rsidR="002D389B" w:rsidRPr="000E7360" w:rsidP="002D389B" w14:paraId="1C9251C1" w14:textId="77777777">
      <w:pPr>
        <w:pStyle w:val="ListParagraph"/>
        <w:autoSpaceDE w:val="0"/>
        <w:autoSpaceDN w:val="0"/>
        <w:adjustRightInd w:val="0"/>
        <w:ind w:left="0"/>
        <w:rPr>
          <w:rFonts w:cs="Calibri"/>
        </w:rPr>
      </w:pPr>
    </w:p>
    <w:p w:rsidR="00D96E07" w:rsidRPr="000E7360" w:rsidP="002D389B" w14:paraId="34571C2D" w14:textId="77777777">
      <w:pPr>
        <w:pStyle w:val="ListParagraph"/>
        <w:autoSpaceDE w:val="0"/>
        <w:autoSpaceDN w:val="0"/>
        <w:adjustRightInd w:val="0"/>
        <w:ind w:left="0"/>
        <w:rPr>
          <w:rFonts w:cs="Calibri"/>
        </w:rPr>
      </w:pPr>
      <w:r w:rsidRPr="000E7360">
        <w:rPr>
          <w:rFonts w:cs="Calibri"/>
        </w:rPr>
        <w:t xml:space="preserve">The </w:t>
      </w:r>
      <w:r w:rsidRPr="000E7360" w:rsidR="00114BF4">
        <w:rPr>
          <w:rFonts w:cs="Calibri"/>
        </w:rPr>
        <w:t xml:space="preserve">THCGME </w:t>
      </w:r>
      <w:r w:rsidRPr="000E7360">
        <w:rPr>
          <w:rFonts w:cs="Calibri"/>
        </w:rPr>
        <w:t xml:space="preserve">program </w:t>
      </w:r>
      <w:r w:rsidRPr="000E7360" w:rsidR="00114BF4">
        <w:rPr>
          <w:rFonts w:cs="Calibri"/>
        </w:rPr>
        <w:t>is an initiative to promote primary care residency training in community-based settings</w:t>
      </w:r>
      <w:r w:rsidR="00271D97">
        <w:rPr>
          <w:rFonts w:cs="Calibri"/>
        </w:rPr>
        <w:t xml:space="preserve">. </w:t>
      </w:r>
      <w:r w:rsidRPr="000E7360" w:rsidR="00114BF4">
        <w:rPr>
          <w:rFonts w:cs="Calibri"/>
        </w:rPr>
        <w:t>The THCGME model is one of many different training models to address the shortage in primary care health providers</w:t>
      </w:r>
      <w:r w:rsidR="00271D97">
        <w:rPr>
          <w:rFonts w:cs="Calibri"/>
        </w:rPr>
        <w:t xml:space="preserve">. </w:t>
      </w:r>
      <w:r w:rsidRPr="000E7360" w:rsidR="00114BF4">
        <w:rPr>
          <w:rFonts w:cs="Calibri"/>
        </w:rPr>
        <w:t>The majority of</w:t>
      </w:r>
      <w:r w:rsidRPr="000E7360" w:rsidR="00114BF4">
        <w:rPr>
          <w:rFonts w:cs="Calibri"/>
        </w:rPr>
        <w:t xml:space="preserve"> residency training in the United States is funded by Centers for Medicare and Medicaid (CMS) reimbursement payments to teaching hospitals</w:t>
      </w:r>
      <w:r w:rsidR="00271D97">
        <w:rPr>
          <w:rFonts w:cs="Calibri"/>
        </w:rPr>
        <w:t xml:space="preserve">. </w:t>
      </w:r>
      <w:r w:rsidRPr="000E7360" w:rsidR="00114BF4">
        <w:rPr>
          <w:rFonts w:cs="Calibri"/>
        </w:rPr>
        <w:t>In the THCGME model</w:t>
      </w:r>
      <w:r w:rsidR="00553FB6">
        <w:rPr>
          <w:rFonts w:cs="Calibri"/>
        </w:rPr>
        <w:t>,</w:t>
      </w:r>
      <w:r w:rsidRPr="000E7360" w:rsidR="00114BF4">
        <w:rPr>
          <w:rFonts w:cs="Calibri"/>
        </w:rPr>
        <w:t xml:space="preserve"> funding goes directly to eligible Health Centers, </w:t>
      </w:r>
      <w:r w:rsidRPr="000E7360" w:rsidR="005440C4">
        <w:rPr>
          <w:rStyle w:val="CommentReference"/>
          <w:rFonts w:cs="Calibri"/>
          <w:sz w:val="22"/>
          <w:szCs w:val="22"/>
        </w:rPr>
        <w:t>a</w:t>
      </w:r>
      <w:r w:rsidRPr="000E7360" w:rsidR="00114BF4">
        <w:rPr>
          <w:rFonts w:cs="Calibri"/>
        </w:rPr>
        <w:t>llowing the Health Center to sponsor primary care training directly in the community</w:t>
      </w:r>
      <w:r w:rsidR="00271D97">
        <w:rPr>
          <w:rFonts w:cs="Calibri"/>
        </w:rPr>
        <w:t xml:space="preserve">. </w:t>
      </w:r>
      <w:r w:rsidRPr="000E7360" w:rsidR="00114BF4">
        <w:rPr>
          <w:rFonts w:cs="Calibri"/>
        </w:rPr>
        <w:t>The program supports training for primary care residents (including residents in family medicine, internal medicine, pediatrics, internal medicine-pediatrics, obstetrics and gynecology, psychiatry, general dentistry, pediatric dentistry, and geriatrics) in community-based ambulatory patient care settings</w:t>
      </w:r>
      <w:r w:rsidR="00271D97">
        <w:rPr>
          <w:rFonts w:cs="Calibri"/>
        </w:rPr>
        <w:t xml:space="preserve">. </w:t>
      </w:r>
      <w:r w:rsidRPr="000E7360" w:rsidR="00114BF4">
        <w:rPr>
          <w:rFonts w:cs="Calibri"/>
        </w:rPr>
        <w:t>The statute allows Teaching Health Centers (THC) to receive payments for both direct and indirect costs associated with training residents in community-based ambulatory patient care centers</w:t>
      </w:r>
      <w:r w:rsidR="00271D97">
        <w:rPr>
          <w:rFonts w:cs="Calibri"/>
        </w:rPr>
        <w:t xml:space="preserve">. </w:t>
      </w:r>
    </w:p>
    <w:p w:rsidR="002D389B" w:rsidRPr="000E7360" w:rsidP="002D389B" w14:paraId="0CE0B3A2" w14:textId="77777777">
      <w:pPr>
        <w:pStyle w:val="ListParagraph"/>
        <w:autoSpaceDE w:val="0"/>
        <w:autoSpaceDN w:val="0"/>
        <w:adjustRightInd w:val="0"/>
        <w:ind w:left="0"/>
        <w:rPr>
          <w:rFonts w:cs="Calibri"/>
        </w:rPr>
      </w:pPr>
    </w:p>
    <w:p w:rsidR="00347A4D" w:rsidRPr="003E0405" w:rsidP="00D96E07" w14:paraId="2357F3B1" w14:textId="77777777">
      <w:pPr>
        <w:pStyle w:val="ListParagraph"/>
        <w:numPr>
          <w:ilvl w:val="0"/>
          <w:numId w:val="2"/>
        </w:numPr>
        <w:autoSpaceDE w:val="0"/>
        <w:autoSpaceDN w:val="0"/>
        <w:adjustRightInd w:val="0"/>
        <w:spacing w:line="480" w:lineRule="auto"/>
        <w:rPr>
          <w:rFonts w:cs="Calibri"/>
          <w:b/>
          <w:bCs/>
        </w:rPr>
      </w:pPr>
      <w:r w:rsidRPr="003E0405">
        <w:rPr>
          <w:rFonts w:cs="Calibri"/>
          <w:b/>
          <w:bCs/>
        </w:rPr>
        <w:t xml:space="preserve">Purpose and Use of Information Collection </w:t>
      </w:r>
    </w:p>
    <w:p w:rsidR="006740F9" w:rsidRPr="004A5B2A" w:rsidP="006740F9" w14:paraId="002C9CBB" w14:textId="77777777">
      <w:pPr>
        <w:pStyle w:val="BodyText"/>
        <w:rPr>
          <w:rFonts w:ascii="Calibri" w:hAnsi="Calibri" w:cs="Calibri"/>
          <w:sz w:val="22"/>
          <w:szCs w:val="22"/>
        </w:rPr>
      </w:pPr>
      <w:r w:rsidRPr="004A5B2A">
        <w:rPr>
          <w:rFonts w:ascii="Calibri" w:hAnsi="Calibri" w:cs="Calibri"/>
          <w:sz w:val="22"/>
          <w:szCs w:val="22"/>
        </w:rPr>
        <w:t xml:space="preserve">The </w:t>
      </w:r>
      <w:r w:rsidRPr="004A5B2A" w:rsidR="0092639F">
        <w:rPr>
          <w:rFonts w:ascii="Calibri" w:hAnsi="Calibri" w:cs="Calibri"/>
          <w:sz w:val="22"/>
          <w:szCs w:val="22"/>
        </w:rPr>
        <w:t xml:space="preserve">purpose of the </w:t>
      </w:r>
      <w:r w:rsidRPr="004A5B2A">
        <w:rPr>
          <w:rFonts w:ascii="Calibri" w:hAnsi="Calibri" w:cs="Calibri"/>
          <w:sz w:val="22"/>
          <w:szCs w:val="22"/>
        </w:rPr>
        <w:t>THCGME Program Eligible Resident/F</w:t>
      </w:r>
      <w:r w:rsidRPr="004A5B2A" w:rsidR="00584F51">
        <w:rPr>
          <w:rFonts w:ascii="Calibri" w:hAnsi="Calibri" w:cs="Calibri"/>
          <w:sz w:val="22"/>
          <w:szCs w:val="22"/>
        </w:rPr>
        <w:t xml:space="preserve">ellow FTE </w:t>
      </w:r>
      <w:r w:rsidR="00F710CC">
        <w:rPr>
          <w:rFonts w:ascii="Calibri" w:hAnsi="Calibri" w:cs="Calibri"/>
          <w:sz w:val="22"/>
          <w:szCs w:val="22"/>
        </w:rPr>
        <w:t>c</w:t>
      </w:r>
      <w:r w:rsidRPr="004A5B2A" w:rsidR="00F710CC">
        <w:rPr>
          <w:rFonts w:ascii="Calibri" w:hAnsi="Calibri" w:cs="Calibri"/>
          <w:sz w:val="22"/>
          <w:szCs w:val="22"/>
        </w:rPr>
        <w:t xml:space="preserve">hart </w:t>
      </w:r>
      <w:r w:rsidRPr="004A5B2A" w:rsidR="00584F51">
        <w:rPr>
          <w:rFonts w:ascii="Calibri" w:hAnsi="Calibri" w:cs="Calibri"/>
          <w:sz w:val="22"/>
          <w:szCs w:val="22"/>
        </w:rPr>
        <w:t>is to determine</w:t>
      </w:r>
      <w:r w:rsidRPr="004A5B2A">
        <w:rPr>
          <w:rFonts w:ascii="Calibri" w:hAnsi="Calibri" w:cs="Calibri"/>
          <w:sz w:val="22"/>
          <w:szCs w:val="22"/>
        </w:rPr>
        <w:t xml:space="preserve"> the number of eligible resident/fellow FTEs in an applicant’s primary care residency program. </w:t>
      </w:r>
      <w:r w:rsidRPr="004A5B2A" w:rsidR="0092639F">
        <w:rPr>
          <w:rFonts w:ascii="Calibri" w:hAnsi="Calibri" w:cs="Calibri"/>
          <w:sz w:val="22"/>
          <w:szCs w:val="22"/>
        </w:rPr>
        <w:t>It is imperative that applicants complete this chart and provide evidence of a planned expansion</w:t>
      </w:r>
      <w:r w:rsidRPr="00754A69" w:rsidR="00553FB6">
        <w:rPr>
          <w:rFonts w:ascii="Calibri" w:hAnsi="Calibri" w:cs="Calibri"/>
          <w:sz w:val="22"/>
          <w:szCs w:val="22"/>
        </w:rPr>
        <w:t>.</w:t>
      </w:r>
      <w:r w:rsidRPr="00754A69" w:rsidR="0092639F">
        <w:rPr>
          <w:rFonts w:ascii="Calibri" w:hAnsi="Calibri" w:cs="Calibri"/>
          <w:sz w:val="22"/>
          <w:szCs w:val="22"/>
        </w:rPr>
        <w:t xml:space="preserve"> </w:t>
      </w:r>
      <w:r w:rsidRPr="007943D3" w:rsidR="00754A69">
        <w:rPr>
          <w:rFonts w:ascii="Calibri" w:hAnsi="Calibri" w:cs="Calibri"/>
          <w:sz w:val="22"/>
          <w:szCs w:val="22"/>
        </w:rPr>
        <w:t>As per the authorizing statute, Section 340H(a)(1) of the Public Health Service Act (42 U.S.C. §256h), THCGME funding may only be used to support the maintenance of filled positions, expansion, and establishment of approved graduate medical residency training programs in qualified teaching health centers.</w:t>
      </w:r>
      <w:r w:rsidR="00754A69">
        <w:t xml:space="preserve"> </w:t>
      </w:r>
      <w:r w:rsidRPr="004A5B2A" w:rsidR="0092639F">
        <w:rPr>
          <w:rFonts w:ascii="Calibri" w:hAnsi="Calibri" w:cs="Calibri"/>
          <w:sz w:val="22"/>
          <w:szCs w:val="22"/>
        </w:rPr>
        <w:t xml:space="preserve"> </w:t>
      </w:r>
      <w:r w:rsidRPr="004A5B2A">
        <w:rPr>
          <w:rFonts w:ascii="Calibri" w:hAnsi="Calibri" w:cs="Calibri"/>
          <w:sz w:val="22"/>
          <w:szCs w:val="22"/>
        </w:rPr>
        <w:t xml:space="preserve">The FTE </w:t>
      </w:r>
      <w:r w:rsidR="00F710CC">
        <w:rPr>
          <w:rFonts w:ascii="Calibri" w:hAnsi="Calibri" w:cs="Calibri"/>
          <w:sz w:val="22"/>
          <w:szCs w:val="22"/>
        </w:rPr>
        <w:t>c</w:t>
      </w:r>
      <w:r w:rsidRPr="004A5B2A" w:rsidR="00F710CC">
        <w:rPr>
          <w:rFonts w:ascii="Calibri" w:hAnsi="Calibri" w:cs="Calibri"/>
          <w:sz w:val="22"/>
          <w:szCs w:val="22"/>
        </w:rPr>
        <w:t xml:space="preserve">hart </w:t>
      </w:r>
      <w:r w:rsidRPr="004A5B2A">
        <w:rPr>
          <w:rFonts w:ascii="Calibri" w:hAnsi="Calibri" w:cs="Calibri"/>
          <w:sz w:val="22"/>
          <w:szCs w:val="22"/>
        </w:rPr>
        <w:t xml:space="preserve">revisions will now collect the number of resident/fellow FTEs from previous academic years and will further clarify the number of resident/fellow FTEs positions requested with the </w:t>
      </w:r>
      <w:r w:rsidRPr="004A5B2A" w:rsidR="00E67243">
        <w:rPr>
          <w:rFonts w:ascii="Calibri" w:hAnsi="Calibri" w:cs="Calibri"/>
          <w:sz w:val="22"/>
          <w:szCs w:val="22"/>
        </w:rPr>
        <w:t>Notice of Funding Opportunity (</w:t>
      </w:r>
      <w:r w:rsidRPr="004A5B2A">
        <w:rPr>
          <w:rFonts w:ascii="Calibri" w:hAnsi="Calibri" w:cs="Calibri"/>
          <w:sz w:val="22"/>
          <w:szCs w:val="22"/>
        </w:rPr>
        <w:t>NOFO</w:t>
      </w:r>
      <w:r w:rsidRPr="004A5B2A" w:rsidR="00E67243">
        <w:rPr>
          <w:rFonts w:ascii="Calibri" w:hAnsi="Calibri" w:cs="Calibri"/>
          <w:sz w:val="22"/>
          <w:szCs w:val="22"/>
        </w:rPr>
        <w:t>)</w:t>
      </w:r>
      <w:r w:rsidRPr="004A5B2A">
        <w:rPr>
          <w:rFonts w:ascii="Calibri" w:hAnsi="Calibri" w:cs="Calibri"/>
          <w:sz w:val="22"/>
          <w:szCs w:val="22"/>
        </w:rPr>
        <w:t xml:space="preserve"> application. </w:t>
      </w:r>
    </w:p>
    <w:p w:rsidR="00593FC8" w:rsidRPr="004A5B2A" w:rsidP="002005EF" w14:paraId="4A8553BA" w14:textId="77777777">
      <w:pPr>
        <w:autoSpaceDE w:val="0"/>
        <w:autoSpaceDN w:val="0"/>
        <w:adjustRightInd w:val="0"/>
        <w:rPr>
          <w:rFonts w:cs="Calibri"/>
        </w:rPr>
      </w:pPr>
      <w:r w:rsidRPr="004A5B2A">
        <w:rPr>
          <w:rFonts w:cs="Calibri"/>
        </w:rPr>
        <w:t xml:space="preserve">Utilization </w:t>
      </w:r>
      <w:r w:rsidRPr="004A5B2A" w:rsidR="00584F51">
        <w:rPr>
          <w:rFonts w:cs="Calibri"/>
        </w:rPr>
        <w:t xml:space="preserve">of the </w:t>
      </w:r>
      <w:r w:rsidRPr="004A5B2A" w:rsidR="00374B2F">
        <w:rPr>
          <w:rFonts w:cs="Calibri"/>
        </w:rPr>
        <w:t xml:space="preserve">Resident/Fellow </w:t>
      </w:r>
      <w:r w:rsidRPr="004A5B2A" w:rsidR="00584F51">
        <w:rPr>
          <w:rFonts w:cs="Calibri"/>
        </w:rPr>
        <w:t>FTE</w:t>
      </w:r>
      <w:r w:rsidRPr="004A5B2A">
        <w:rPr>
          <w:rFonts w:cs="Calibri"/>
        </w:rPr>
        <w:t xml:space="preserve"> chart to gather this important information has decreased the number of errors in the eligibility review process resulting in a more accurate review and funding process.</w:t>
      </w:r>
      <w:r w:rsidRPr="004A5B2A" w:rsidR="00F528C2">
        <w:rPr>
          <w:rFonts w:cs="Calibri"/>
          <w:i/>
        </w:rPr>
        <w:t xml:space="preserve"> </w:t>
      </w:r>
      <w:r w:rsidRPr="004A5B2A" w:rsidR="00162AA0">
        <w:rPr>
          <w:rFonts w:cs="Calibri"/>
        </w:rPr>
        <w:t>T</w:t>
      </w:r>
      <w:r w:rsidRPr="004A5B2A" w:rsidR="00F528C2">
        <w:rPr>
          <w:rFonts w:cs="Calibri"/>
        </w:rPr>
        <w:t xml:space="preserve">he </w:t>
      </w:r>
      <w:r w:rsidRPr="004A5B2A" w:rsidR="00D349A4">
        <w:rPr>
          <w:rFonts w:cs="Calibri"/>
        </w:rPr>
        <w:t xml:space="preserve">THCGME </w:t>
      </w:r>
      <w:r w:rsidRPr="004A5B2A" w:rsidR="00962023">
        <w:rPr>
          <w:rFonts w:cs="Calibri"/>
        </w:rPr>
        <w:t xml:space="preserve">Resident/Fellow FTE </w:t>
      </w:r>
      <w:r w:rsidRPr="004A5B2A" w:rsidR="00F528C2">
        <w:rPr>
          <w:rFonts w:cs="Calibri"/>
        </w:rPr>
        <w:t xml:space="preserve">chart </w:t>
      </w:r>
      <w:r w:rsidRPr="004A5B2A" w:rsidR="00CB29C8">
        <w:rPr>
          <w:rFonts w:cs="Calibri"/>
        </w:rPr>
        <w:t>allow</w:t>
      </w:r>
      <w:r w:rsidRPr="004A5B2A" w:rsidR="005524C3">
        <w:rPr>
          <w:rFonts w:cs="Calibri"/>
        </w:rPr>
        <w:t>s</w:t>
      </w:r>
      <w:r w:rsidRPr="004A5B2A" w:rsidR="00CB29C8">
        <w:rPr>
          <w:rFonts w:cs="Calibri"/>
        </w:rPr>
        <w:t xml:space="preserve"> program</w:t>
      </w:r>
      <w:r w:rsidRPr="004A5B2A" w:rsidR="00A33BD2">
        <w:rPr>
          <w:rFonts w:cs="Calibri"/>
        </w:rPr>
        <w:t xml:space="preserve"> applicants</w:t>
      </w:r>
      <w:r w:rsidRPr="004A5B2A" w:rsidR="00CB29C8">
        <w:rPr>
          <w:rFonts w:cs="Calibri"/>
        </w:rPr>
        <w:t xml:space="preserve"> to project</w:t>
      </w:r>
      <w:r w:rsidR="00AF50B7">
        <w:rPr>
          <w:rFonts w:cs="Calibri"/>
        </w:rPr>
        <w:t xml:space="preserve"> the number of eligible FTE residents/fellows in the residency program over a 5-year period, showing</w:t>
      </w:r>
      <w:r w:rsidRPr="004A5B2A" w:rsidR="00CB29C8">
        <w:rPr>
          <w:rFonts w:cs="Calibri"/>
        </w:rPr>
        <w:t xml:space="preserve"> the variations that occur during the natural expansion and scaling up of residency programs. Th</w:t>
      </w:r>
      <w:r w:rsidRPr="004A5B2A" w:rsidR="00162AA0">
        <w:rPr>
          <w:rFonts w:cs="Calibri"/>
        </w:rPr>
        <w:t xml:space="preserve">e </w:t>
      </w:r>
      <w:r w:rsidRPr="004A5B2A" w:rsidR="00A33BD2">
        <w:rPr>
          <w:rFonts w:cs="Calibri"/>
        </w:rPr>
        <w:t xml:space="preserve">THCGME </w:t>
      </w:r>
      <w:r w:rsidRPr="004A5B2A" w:rsidR="0006564F">
        <w:rPr>
          <w:rFonts w:cs="Calibri"/>
        </w:rPr>
        <w:t xml:space="preserve">Resident/Fellow </w:t>
      </w:r>
      <w:r w:rsidRPr="004A5B2A" w:rsidR="00162AA0">
        <w:rPr>
          <w:rFonts w:cs="Calibri"/>
        </w:rPr>
        <w:t xml:space="preserve">FTE </w:t>
      </w:r>
      <w:r w:rsidR="00F710CC">
        <w:rPr>
          <w:rFonts w:cs="Calibri"/>
        </w:rPr>
        <w:t>c</w:t>
      </w:r>
      <w:r w:rsidRPr="004A5B2A" w:rsidR="00F710CC">
        <w:rPr>
          <w:rFonts w:cs="Calibri"/>
        </w:rPr>
        <w:t xml:space="preserve">hart </w:t>
      </w:r>
      <w:r w:rsidRPr="004A5B2A" w:rsidR="00CB29C8">
        <w:rPr>
          <w:rFonts w:cs="Calibri"/>
        </w:rPr>
        <w:t>equip</w:t>
      </w:r>
      <w:r w:rsidRPr="004A5B2A" w:rsidR="00162AA0">
        <w:rPr>
          <w:rFonts w:cs="Calibri"/>
        </w:rPr>
        <w:t>s</w:t>
      </w:r>
      <w:r w:rsidRPr="004A5B2A" w:rsidR="00CB29C8">
        <w:rPr>
          <w:rFonts w:cs="Calibri"/>
        </w:rPr>
        <w:t xml:space="preserve"> HRSA to make accurate future funding projections.</w:t>
      </w:r>
    </w:p>
    <w:p w:rsidR="00E22979" w:rsidRPr="000E7360" w:rsidP="002005EF" w14:paraId="77E9DD56" w14:textId="77777777">
      <w:pPr>
        <w:autoSpaceDE w:val="0"/>
        <w:autoSpaceDN w:val="0"/>
        <w:adjustRightInd w:val="0"/>
        <w:rPr>
          <w:rFonts w:cs="Calibri"/>
        </w:rPr>
      </w:pPr>
    </w:p>
    <w:p w:rsidR="000C4ED9" w:rsidRPr="000E7360" w:rsidP="002005EF" w14:paraId="61DD2181" w14:textId="77777777">
      <w:pPr>
        <w:autoSpaceDE w:val="0"/>
        <w:autoSpaceDN w:val="0"/>
        <w:adjustRightInd w:val="0"/>
        <w:rPr>
          <w:rFonts w:cs="Calibri"/>
        </w:rPr>
      </w:pPr>
      <w:r w:rsidRPr="000E7360">
        <w:rPr>
          <w:rFonts w:cs="Calibri"/>
        </w:rPr>
        <w:t>The</w:t>
      </w:r>
      <w:r w:rsidRPr="000E7360" w:rsidR="00D96E07">
        <w:rPr>
          <w:rFonts w:cs="Calibri"/>
        </w:rPr>
        <w:t xml:space="preserve"> </w:t>
      </w:r>
      <w:r w:rsidRPr="000E7360">
        <w:rPr>
          <w:rFonts w:cs="Calibri"/>
        </w:rPr>
        <w:t xml:space="preserve">chart </w:t>
      </w:r>
      <w:r w:rsidRPr="000E7360" w:rsidR="00D96E07">
        <w:rPr>
          <w:rFonts w:cs="Calibri"/>
        </w:rPr>
        <w:t>require</w:t>
      </w:r>
      <w:r w:rsidRPr="000E7360" w:rsidR="00E22979">
        <w:rPr>
          <w:rFonts w:cs="Calibri"/>
        </w:rPr>
        <w:t>s</w:t>
      </w:r>
      <w:r w:rsidRPr="000E7360">
        <w:rPr>
          <w:rFonts w:cs="Calibri"/>
        </w:rPr>
        <w:t xml:space="preserve"> applicants to provide data related to the size and/or growth of the residency program over previous academic years, the number of residents enrolled in the program during the baseline academic year, and a projection of the program’s proposed expansion over the next </w:t>
      </w:r>
      <w:r w:rsidRPr="000E7360" w:rsidR="008B03EF">
        <w:rPr>
          <w:rFonts w:cs="Calibri"/>
        </w:rPr>
        <w:t xml:space="preserve">five </w:t>
      </w:r>
      <w:r w:rsidRPr="000E7360">
        <w:rPr>
          <w:rFonts w:cs="Calibri"/>
        </w:rPr>
        <w:t>academic years</w:t>
      </w:r>
      <w:r w:rsidR="00271D97">
        <w:rPr>
          <w:rFonts w:cs="Calibri"/>
        </w:rPr>
        <w:t xml:space="preserve">. </w:t>
      </w:r>
      <w:r w:rsidRPr="000E7360">
        <w:rPr>
          <w:rFonts w:cs="Calibri"/>
        </w:rPr>
        <w:t xml:space="preserve">The request for this information collection has been </w:t>
      </w:r>
      <w:r w:rsidRPr="000E7360" w:rsidR="009029FB">
        <w:rPr>
          <w:rFonts w:cs="Calibri"/>
        </w:rPr>
        <w:t>previously approved</w:t>
      </w:r>
      <w:r w:rsidRPr="000E7360" w:rsidR="00E05DCB">
        <w:rPr>
          <w:rFonts w:cs="Calibri"/>
        </w:rPr>
        <w:t xml:space="preserve"> (OMB 0915-</w:t>
      </w:r>
      <w:r w:rsidRPr="000E7360" w:rsidR="003111C1">
        <w:rPr>
          <w:rFonts w:cs="Calibri"/>
        </w:rPr>
        <w:t>0367</w:t>
      </w:r>
      <w:r w:rsidRPr="000E7360" w:rsidR="002005EF">
        <w:rPr>
          <w:rFonts w:cs="Calibri"/>
        </w:rPr>
        <w:t>)</w:t>
      </w:r>
      <w:r w:rsidRPr="000E7360" w:rsidR="00E05DCB">
        <w:rPr>
          <w:rFonts w:cs="Calibri"/>
        </w:rPr>
        <w:t xml:space="preserve">. </w:t>
      </w:r>
    </w:p>
    <w:p w:rsidR="002D389B" w:rsidRPr="000E7360" w:rsidP="002D389B" w14:paraId="7B5B360A" w14:textId="77777777">
      <w:pPr>
        <w:autoSpaceDE w:val="0"/>
        <w:autoSpaceDN w:val="0"/>
        <w:adjustRightInd w:val="0"/>
        <w:rPr>
          <w:rFonts w:cs="Calibri"/>
        </w:rPr>
      </w:pPr>
    </w:p>
    <w:p w:rsidR="00FA7A18" w:rsidRPr="000E7360" w:rsidP="00184CB1" w14:paraId="75351836" w14:textId="77777777">
      <w:pPr>
        <w:pStyle w:val="ListParagraph"/>
        <w:numPr>
          <w:ilvl w:val="0"/>
          <w:numId w:val="2"/>
        </w:numPr>
        <w:autoSpaceDE w:val="0"/>
        <w:autoSpaceDN w:val="0"/>
        <w:adjustRightInd w:val="0"/>
        <w:spacing w:line="480" w:lineRule="auto"/>
        <w:rPr>
          <w:rFonts w:cs="Calibri"/>
          <w:b/>
        </w:rPr>
      </w:pPr>
      <w:r w:rsidRPr="000E7360">
        <w:rPr>
          <w:rFonts w:cs="Calibri"/>
          <w:b/>
        </w:rPr>
        <w:t xml:space="preserve">Use of Improved Information Technology and Burden Reduction </w:t>
      </w:r>
    </w:p>
    <w:p w:rsidR="002836EA" w:rsidRPr="000E7360" w:rsidP="002836EA" w14:paraId="10EED61E" w14:textId="77777777">
      <w:pPr>
        <w:rPr>
          <w:rFonts w:cs="Calibri"/>
        </w:rPr>
      </w:pPr>
      <w:r w:rsidRPr="000E7360">
        <w:rPr>
          <w:rFonts w:cs="Calibri"/>
        </w:rPr>
        <w:t>Every effort was taken to design the tool to collect the least, but appropriate,</w:t>
      </w:r>
      <w:r w:rsidRPr="000E7360" w:rsidR="00BB59CD">
        <w:rPr>
          <w:rFonts w:cs="Calibri"/>
        </w:rPr>
        <w:t xml:space="preserve"> amount of data needed to identify the </w:t>
      </w:r>
      <w:r w:rsidRPr="000E7360">
        <w:rPr>
          <w:rFonts w:cs="Calibri"/>
        </w:rPr>
        <w:t xml:space="preserve">number of </w:t>
      </w:r>
      <w:r w:rsidRPr="000E7360" w:rsidR="00BB59CD">
        <w:rPr>
          <w:rFonts w:cs="Calibri"/>
        </w:rPr>
        <w:t>Resident/</w:t>
      </w:r>
      <w:r w:rsidRPr="000E7360" w:rsidR="00D137FD">
        <w:rPr>
          <w:rFonts w:cs="Calibri"/>
        </w:rPr>
        <w:t xml:space="preserve">Fellow </w:t>
      </w:r>
      <w:r w:rsidRPr="000E7360">
        <w:rPr>
          <w:rFonts w:cs="Calibri"/>
        </w:rPr>
        <w:t>FTE positions</w:t>
      </w:r>
      <w:r w:rsidR="00271D97">
        <w:rPr>
          <w:rFonts w:cs="Calibri"/>
        </w:rPr>
        <w:t xml:space="preserve">. </w:t>
      </w:r>
      <w:r w:rsidRPr="000E7360">
        <w:rPr>
          <w:rFonts w:cs="Calibri"/>
        </w:rPr>
        <w:t xml:space="preserve">From discussions with THC awardees, the data requested </w:t>
      </w:r>
      <w:r w:rsidRPr="000E7360">
        <w:rPr>
          <w:rFonts w:cs="Calibri"/>
        </w:rPr>
        <w:t>are</w:t>
      </w:r>
      <w:r w:rsidRPr="000E7360">
        <w:rPr>
          <w:rFonts w:cs="Calibri"/>
        </w:rPr>
        <w:t xml:space="preserve"> not perceived to be burdensome and </w:t>
      </w:r>
      <w:r w:rsidRPr="000E7360">
        <w:rPr>
          <w:rFonts w:cs="Calibri"/>
        </w:rPr>
        <w:t>are</w:t>
      </w:r>
      <w:r w:rsidRPr="000E7360">
        <w:rPr>
          <w:rFonts w:cs="Calibri"/>
        </w:rPr>
        <w:t xml:space="preserve"> r</w:t>
      </w:r>
      <w:r w:rsidRPr="000E7360" w:rsidR="00BB59CD">
        <w:rPr>
          <w:rFonts w:cs="Calibri"/>
        </w:rPr>
        <w:t>eadily available to the respondents</w:t>
      </w:r>
      <w:r w:rsidR="00271D97">
        <w:rPr>
          <w:rFonts w:cs="Calibri"/>
        </w:rPr>
        <w:t xml:space="preserve">. </w:t>
      </w:r>
      <w:r w:rsidRPr="000E7360">
        <w:rPr>
          <w:rFonts w:cs="Calibri"/>
        </w:rPr>
        <w:t>All of</w:t>
      </w:r>
      <w:r w:rsidRPr="000E7360">
        <w:rPr>
          <w:rFonts w:cs="Calibri"/>
        </w:rPr>
        <w:t xml:space="preserve"> the respondents will be required</w:t>
      </w:r>
      <w:r w:rsidRPr="000E7360" w:rsidR="0008102A">
        <w:rPr>
          <w:rFonts w:cs="Calibri"/>
        </w:rPr>
        <w:t xml:space="preserve"> to submit a</w:t>
      </w:r>
      <w:r w:rsidRPr="000E7360" w:rsidR="00BB59CD">
        <w:rPr>
          <w:rFonts w:cs="Calibri"/>
        </w:rPr>
        <w:t xml:space="preserve"> R</w:t>
      </w:r>
      <w:r w:rsidRPr="000E7360">
        <w:rPr>
          <w:rFonts w:cs="Calibri"/>
        </w:rPr>
        <w:t>esident/</w:t>
      </w:r>
      <w:r w:rsidRPr="000E7360" w:rsidR="00E22979">
        <w:rPr>
          <w:rFonts w:cs="Calibri"/>
        </w:rPr>
        <w:t xml:space="preserve">Fellow </w:t>
      </w:r>
      <w:r w:rsidRPr="000E7360">
        <w:rPr>
          <w:rFonts w:cs="Calibri"/>
        </w:rPr>
        <w:t xml:space="preserve">FTE chart as part of their </w:t>
      </w:r>
      <w:r w:rsidRPr="000E7360" w:rsidR="005524C3">
        <w:rPr>
          <w:rFonts w:cs="Calibri"/>
        </w:rPr>
        <w:t xml:space="preserve">NOFO </w:t>
      </w:r>
      <w:r w:rsidRPr="000E7360">
        <w:rPr>
          <w:rFonts w:cs="Calibri"/>
        </w:rPr>
        <w:t>application</w:t>
      </w:r>
      <w:r w:rsidR="00271D97">
        <w:rPr>
          <w:rFonts w:cs="Calibri"/>
        </w:rPr>
        <w:t xml:space="preserve">. </w:t>
      </w:r>
    </w:p>
    <w:p w:rsidR="002836EA" w:rsidRPr="000E7360" w:rsidP="002836EA" w14:paraId="3598F22C" w14:textId="77777777">
      <w:pPr>
        <w:rPr>
          <w:rFonts w:cs="Calibri"/>
        </w:rPr>
      </w:pPr>
    </w:p>
    <w:p w:rsidR="001F44D5" w:rsidRPr="000E7360" w:rsidP="00184CB1" w14:paraId="478F6171" w14:textId="77777777">
      <w:pPr>
        <w:pStyle w:val="ListParagraph"/>
        <w:numPr>
          <w:ilvl w:val="0"/>
          <w:numId w:val="2"/>
        </w:numPr>
        <w:autoSpaceDE w:val="0"/>
        <w:autoSpaceDN w:val="0"/>
        <w:adjustRightInd w:val="0"/>
        <w:spacing w:line="480" w:lineRule="auto"/>
        <w:rPr>
          <w:rFonts w:cs="Calibri"/>
          <w:b/>
        </w:rPr>
      </w:pPr>
      <w:r w:rsidRPr="000E7360">
        <w:rPr>
          <w:rFonts w:cs="Calibri"/>
          <w:b/>
        </w:rPr>
        <w:t xml:space="preserve">Efforts to Identify Duplication and Use of Similar Information </w:t>
      </w:r>
    </w:p>
    <w:p w:rsidR="002836EA" w:rsidRPr="000E7360" w:rsidP="002836EA" w14:paraId="629A159F" w14:textId="77777777">
      <w:pPr>
        <w:rPr>
          <w:rFonts w:cs="Calibri"/>
        </w:rPr>
      </w:pPr>
      <w:r w:rsidRPr="000E7360">
        <w:rPr>
          <w:rFonts w:cs="Calibri"/>
        </w:rPr>
        <w:t xml:space="preserve">The information gathered </w:t>
      </w:r>
      <w:r w:rsidRPr="000E7360" w:rsidR="004B4D56">
        <w:rPr>
          <w:rFonts w:cs="Calibri"/>
        </w:rPr>
        <w:t>in the R</w:t>
      </w:r>
      <w:r w:rsidRPr="000E7360" w:rsidR="00903D2A">
        <w:rPr>
          <w:rFonts w:cs="Calibri"/>
        </w:rPr>
        <w:t>esident/</w:t>
      </w:r>
      <w:r w:rsidRPr="000E7360" w:rsidR="00D137FD">
        <w:rPr>
          <w:rFonts w:cs="Calibri"/>
        </w:rPr>
        <w:t xml:space="preserve">Fellow </w:t>
      </w:r>
      <w:r w:rsidRPr="000E7360" w:rsidR="00903D2A">
        <w:rPr>
          <w:rFonts w:cs="Calibri"/>
        </w:rPr>
        <w:t>FTE chart will be used to document expansion and i</w:t>
      </w:r>
      <w:r w:rsidRPr="000E7360">
        <w:rPr>
          <w:rFonts w:cs="Calibri"/>
        </w:rPr>
        <w:t>s not collected by other HHS agencies or data collection systems.</w:t>
      </w:r>
      <w:r w:rsidRPr="000E7360" w:rsidR="00095B7B">
        <w:rPr>
          <w:rFonts w:cs="Calibri"/>
        </w:rPr>
        <w:t xml:space="preserve"> T</w:t>
      </w:r>
      <w:r w:rsidRPr="000E7360">
        <w:rPr>
          <w:rFonts w:cs="Calibri"/>
        </w:rPr>
        <w:t xml:space="preserve">here is no similar information pertaining to the </w:t>
      </w:r>
      <w:r w:rsidRPr="000E7360" w:rsidR="004B4D56">
        <w:rPr>
          <w:rFonts w:cs="Calibri"/>
        </w:rPr>
        <w:t>Resident/</w:t>
      </w:r>
      <w:r w:rsidRPr="000E7360" w:rsidR="00D137FD">
        <w:rPr>
          <w:rFonts w:cs="Calibri"/>
        </w:rPr>
        <w:t xml:space="preserve">Fellow </w:t>
      </w:r>
      <w:r w:rsidRPr="000E7360">
        <w:rPr>
          <w:rFonts w:cs="Calibri"/>
        </w:rPr>
        <w:t>FTEs funded by the THCGME program</w:t>
      </w:r>
      <w:r w:rsidR="00271D97">
        <w:rPr>
          <w:rFonts w:cs="Calibri"/>
        </w:rPr>
        <w:t xml:space="preserve">. </w:t>
      </w:r>
      <w:r w:rsidRPr="000E7360">
        <w:rPr>
          <w:rFonts w:cs="Calibri"/>
        </w:rPr>
        <w:t xml:space="preserve">The data will be requested </w:t>
      </w:r>
      <w:r w:rsidRPr="000E7360" w:rsidR="00903D2A">
        <w:rPr>
          <w:rFonts w:cs="Calibri"/>
        </w:rPr>
        <w:t xml:space="preserve">from all applicants of the THCGME program. </w:t>
      </w:r>
    </w:p>
    <w:p w:rsidR="00714B4D" w:rsidRPr="000E7360" w:rsidP="002836EA" w14:paraId="4C3C7257" w14:textId="77777777">
      <w:pPr>
        <w:rPr>
          <w:rFonts w:cs="Calibri"/>
        </w:rPr>
      </w:pPr>
    </w:p>
    <w:p w:rsidR="001F44D5" w:rsidRPr="000E7360" w:rsidP="00DF7329" w14:paraId="45FB5DEE" w14:textId="77777777">
      <w:pPr>
        <w:pStyle w:val="ListParagraph"/>
        <w:numPr>
          <w:ilvl w:val="0"/>
          <w:numId w:val="2"/>
        </w:numPr>
        <w:autoSpaceDE w:val="0"/>
        <w:autoSpaceDN w:val="0"/>
        <w:adjustRightInd w:val="0"/>
        <w:spacing w:line="480" w:lineRule="auto"/>
        <w:rPr>
          <w:rFonts w:cs="Calibri"/>
          <w:b/>
        </w:rPr>
      </w:pPr>
      <w:r w:rsidRPr="000E7360">
        <w:rPr>
          <w:rFonts w:cs="Calibri"/>
          <w:b/>
        </w:rPr>
        <w:t xml:space="preserve">Impact on Small Business or Other Small Entities </w:t>
      </w:r>
    </w:p>
    <w:p w:rsidR="0051703E" w:rsidRPr="000E7360" w:rsidP="00DF7329" w14:paraId="574F43A2" w14:textId="77777777">
      <w:pPr>
        <w:autoSpaceDE w:val="0"/>
        <w:autoSpaceDN w:val="0"/>
        <w:adjustRightInd w:val="0"/>
        <w:spacing w:line="480" w:lineRule="auto"/>
        <w:rPr>
          <w:rFonts w:cs="Calibri"/>
        </w:rPr>
      </w:pPr>
      <w:r w:rsidRPr="000E7360">
        <w:rPr>
          <w:rFonts w:cs="Calibri"/>
        </w:rPr>
        <w:t xml:space="preserve">No small </w:t>
      </w:r>
      <w:r w:rsidRPr="000E7360" w:rsidR="00732DC4">
        <w:rPr>
          <w:rFonts w:cs="Calibri"/>
        </w:rPr>
        <w:t xml:space="preserve">businesses will be involved. </w:t>
      </w:r>
    </w:p>
    <w:p w:rsidR="0051703E" w:rsidRPr="000E7360" w:rsidP="00184CB1" w14:paraId="16E28555" w14:textId="77777777">
      <w:pPr>
        <w:pStyle w:val="ListParagraph"/>
        <w:numPr>
          <w:ilvl w:val="0"/>
          <w:numId w:val="2"/>
        </w:numPr>
        <w:autoSpaceDE w:val="0"/>
        <w:autoSpaceDN w:val="0"/>
        <w:adjustRightInd w:val="0"/>
        <w:spacing w:line="480" w:lineRule="auto"/>
        <w:rPr>
          <w:rFonts w:cs="Calibri"/>
          <w:b/>
        </w:rPr>
      </w:pPr>
      <w:r w:rsidRPr="000E7360">
        <w:rPr>
          <w:rFonts w:cs="Calibri"/>
          <w:b/>
        </w:rPr>
        <w:t xml:space="preserve">Consequences of Collecting the Information Less Frequently </w:t>
      </w:r>
    </w:p>
    <w:p w:rsidR="00134881" w:rsidRPr="000E7360" w:rsidP="00134881" w14:paraId="0B21BB70" w14:textId="77777777">
      <w:pPr>
        <w:rPr>
          <w:rFonts w:cs="Calibri"/>
        </w:rPr>
      </w:pPr>
      <w:r w:rsidRPr="000E7360">
        <w:rPr>
          <w:rFonts w:cs="Calibri"/>
        </w:rPr>
        <w:t>There are legal consequences to collecting the information less frequently</w:t>
      </w:r>
      <w:r w:rsidR="00271D97">
        <w:rPr>
          <w:rFonts w:cs="Calibri"/>
        </w:rPr>
        <w:t xml:space="preserve">. </w:t>
      </w:r>
      <w:r w:rsidRPr="000E7360" w:rsidR="00DE0341">
        <w:rPr>
          <w:rFonts w:cs="Calibri"/>
        </w:rPr>
        <w:t xml:space="preserve">Each applicant </w:t>
      </w:r>
      <w:r w:rsidRPr="000E7360">
        <w:rPr>
          <w:rFonts w:cs="Calibri"/>
        </w:rPr>
        <w:t xml:space="preserve">will complete the </w:t>
      </w:r>
      <w:r w:rsidRPr="000E7360" w:rsidR="004B4D56">
        <w:rPr>
          <w:rFonts w:cs="Calibri"/>
        </w:rPr>
        <w:t>R</w:t>
      </w:r>
      <w:r w:rsidRPr="000E7360" w:rsidR="00DE0341">
        <w:rPr>
          <w:rFonts w:cs="Calibri"/>
        </w:rPr>
        <w:t>esident/</w:t>
      </w:r>
      <w:r w:rsidRPr="000E7360" w:rsidR="00D137FD">
        <w:rPr>
          <w:rFonts w:cs="Calibri"/>
        </w:rPr>
        <w:t xml:space="preserve">Fellow </w:t>
      </w:r>
      <w:r w:rsidRPr="000E7360" w:rsidR="00DE0341">
        <w:rPr>
          <w:rFonts w:cs="Calibri"/>
        </w:rPr>
        <w:t xml:space="preserve">FTE </w:t>
      </w:r>
      <w:r w:rsidR="00F710CC">
        <w:rPr>
          <w:rFonts w:cs="Calibri"/>
        </w:rPr>
        <w:t>c</w:t>
      </w:r>
      <w:r w:rsidRPr="000E7360" w:rsidR="00F710CC">
        <w:rPr>
          <w:rFonts w:cs="Calibri"/>
        </w:rPr>
        <w:t xml:space="preserve">hart </w:t>
      </w:r>
      <w:r w:rsidRPr="000E7360">
        <w:rPr>
          <w:rFonts w:cs="Calibri"/>
        </w:rPr>
        <w:t>to satisfy the legislative requirement</w:t>
      </w:r>
      <w:r w:rsidRPr="000E7360" w:rsidR="00DE0341">
        <w:rPr>
          <w:rFonts w:cs="Calibri"/>
        </w:rPr>
        <w:t xml:space="preserve"> to document expansion of their residency programs</w:t>
      </w:r>
      <w:r w:rsidR="00271D97">
        <w:rPr>
          <w:rFonts w:cs="Calibri"/>
        </w:rPr>
        <w:t xml:space="preserve">. </w:t>
      </w:r>
      <w:r w:rsidRPr="000E7360">
        <w:rPr>
          <w:rFonts w:cs="Calibri"/>
        </w:rPr>
        <w:t>If collection</w:t>
      </w:r>
      <w:r w:rsidRPr="000E7360" w:rsidR="00DE0341">
        <w:rPr>
          <w:rFonts w:cs="Calibri"/>
        </w:rPr>
        <w:t xml:space="preserve"> of t</w:t>
      </w:r>
      <w:r w:rsidRPr="000E7360" w:rsidR="00E6526A">
        <w:rPr>
          <w:rFonts w:cs="Calibri"/>
        </w:rPr>
        <w:t>he data is not administered</w:t>
      </w:r>
      <w:r w:rsidRPr="000E7360" w:rsidR="00DE0341">
        <w:rPr>
          <w:rFonts w:cs="Calibri"/>
        </w:rPr>
        <w:t xml:space="preserve">, THCGME program will not be able to determine </w:t>
      </w:r>
      <w:r w:rsidRPr="000E7360" w:rsidR="00E6526A">
        <w:rPr>
          <w:rFonts w:cs="Calibri"/>
        </w:rPr>
        <w:t xml:space="preserve">the </w:t>
      </w:r>
      <w:r w:rsidRPr="000E7360" w:rsidR="00DE0341">
        <w:rPr>
          <w:rFonts w:cs="Calibri"/>
        </w:rPr>
        <w:t xml:space="preserve">applicants’ eligibility for THCGME funding. </w:t>
      </w:r>
    </w:p>
    <w:p w:rsidR="00E6526A" w:rsidRPr="000E7360" w:rsidP="00134881" w14:paraId="28207BF3" w14:textId="77777777">
      <w:pPr>
        <w:rPr>
          <w:rFonts w:cs="Calibri"/>
        </w:rPr>
      </w:pPr>
    </w:p>
    <w:p w:rsidR="00E11D8E" w:rsidRPr="000E7360" w:rsidP="00E6526A" w14:paraId="013FDEF7" w14:textId="77777777">
      <w:pPr>
        <w:pStyle w:val="ListParagraph"/>
        <w:numPr>
          <w:ilvl w:val="0"/>
          <w:numId w:val="3"/>
        </w:numPr>
        <w:autoSpaceDE w:val="0"/>
        <w:autoSpaceDN w:val="0"/>
        <w:adjustRightInd w:val="0"/>
        <w:spacing w:line="480" w:lineRule="auto"/>
        <w:rPr>
          <w:rFonts w:cs="Calibri"/>
          <w:b/>
        </w:rPr>
      </w:pPr>
      <w:r w:rsidRPr="000E7360">
        <w:rPr>
          <w:rFonts w:cs="Calibri"/>
          <w:b/>
        </w:rPr>
        <w:t xml:space="preserve">Special Circumstances Relating to the Guidelines of 5 CFR 1320.5 </w:t>
      </w:r>
    </w:p>
    <w:p w:rsidR="00E11D8E" w:rsidRPr="000E7360" w:rsidP="00E6526A" w14:paraId="0A595A5D" w14:textId="77777777">
      <w:pPr>
        <w:rPr>
          <w:rFonts w:cs="Calibri"/>
        </w:rPr>
      </w:pPr>
      <w:r w:rsidRPr="000E7360">
        <w:rPr>
          <w:rFonts w:cs="Calibri"/>
        </w:rPr>
        <w:t>All guidelines relating to 5 CFR 1320.5 are met</w:t>
      </w:r>
      <w:r w:rsidR="00271D97">
        <w:rPr>
          <w:rFonts w:cs="Calibri"/>
        </w:rPr>
        <w:t xml:space="preserve">. </w:t>
      </w:r>
      <w:r w:rsidRPr="000E7360">
        <w:rPr>
          <w:rFonts w:cs="Calibri"/>
        </w:rPr>
        <w:t>The request for Resident/</w:t>
      </w:r>
      <w:r w:rsidRPr="000E7360" w:rsidR="00D137FD">
        <w:rPr>
          <w:rFonts w:cs="Calibri"/>
        </w:rPr>
        <w:t xml:space="preserve">Fellow </w:t>
      </w:r>
      <w:r w:rsidRPr="000E7360">
        <w:rPr>
          <w:rFonts w:cs="Calibri"/>
        </w:rPr>
        <w:t>FTE chart fully complies with the regulation.</w:t>
      </w:r>
    </w:p>
    <w:p w:rsidR="00E6526A" w:rsidRPr="000E7360" w:rsidP="00E6526A" w14:paraId="20EC50D8" w14:textId="77777777">
      <w:pPr>
        <w:rPr>
          <w:rFonts w:cs="Calibri"/>
        </w:rPr>
      </w:pPr>
    </w:p>
    <w:p w:rsidR="00E11D8E" w:rsidRPr="000E7360" w:rsidP="00434F64" w14:paraId="24E63025" w14:textId="77777777">
      <w:pPr>
        <w:pStyle w:val="ListParagraph"/>
        <w:numPr>
          <w:ilvl w:val="0"/>
          <w:numId w:val="3"/>
        </w:numPr>
        <w:autoSpaceDE w:val="0"/>
        <w:autoSpaceDN w:val="0"/>
        <w:adjustRightInd w:val="0"/>
        <w:spacing w:line="480" w:lineRule="auto"/>
        <w:rPr>
          <w:rFonts w:cs="Calibri"/>
          <w:b/>
        </w:rPr>
      </w:pPr>
      <w:r w:rsidRPr="000E7360">
        <w:rPr>
          <w:rFonts w:cs="Calibri"/>
          <w:b/>
        </w:rPr>
        <w:t xml:space="preserve">Comments in Response to the Federal Register Notice/Outside Consultation </w:t>
      </w:r>
    </w:p>
    <w:p w:rsidR="00E6526A" w:rsidP="00E6526A" w14:paraId="2DD1CA15" w14:textId="2DCEBD57">
      <w:pPr>
        <w:rPr>
          <w:rFonts w:cs="Calibri"/>
        </w:rPr>
      </w:pPr>
      <w:r w:rsidRPr="006F1FB1">
        <w:rPr>
          <w:rFonts w:cs="Calibri"/>
          <w:b/>
          <w:bCs/>
        </w:rPr>
        <w:t>8A</w:t>
      </w:r>
      <w:r w:rsidR="00271D97">
        <w:rPr>
          <w:rFonts w:cs="Calibri"/>
        </w:rPr>
        <w:t xml:space="preserve">. </w:t>
      </w:r>
      <w:r w:rsidRPr="000E7360" w:rsidR="00E11D8E">
        <w:rPr>
          <w:rFonts w:cs="Calibri"/>
        </w:rPr>
        <w:t>A 60-day Federal Register Notice was published in the Federal Register on</w:t>
      </w:r>
      <w:r w:rsidRPr="000E7360" w:rsidR="008017F7">
        <w:rPr>
          <w:rFonts w:cs="Calibri"/>
        </w:rPr>
        <w:t xml:space="preserve"> </w:t>
      </w:r>
      <w:r w:rsidR="00866F95">
        <w:rPr>
          <w:rFonts w:cs="Calibri"/>
        </w:rPr>
        <w:t>May 28, 2025</w:t>
      </w:r>
      <w:r w:rsidRPr="000E7360">
        <w:rPr>
          <w:rFonts w:cs="Calibri"/>
        </w:rPr>
        <w:t xml:space="preserve">, </w:t>
      </w:r>
      <w:r w:rsidR="003E177E">
        <w:rPr>
          <w:rFonts w:cs="Calibri"/>
        </w:rPr>
        <w:t xml:space="preserve">Vol. 90, </w:t>
      </w:r>
      <w:r w:rsidRPr="000E7360">
        <w:rPr>
          <w:rFonts w:cs="Calibri"/>
        </w:rPr>
        <w:t xml:space="preserve">No. </w:t>
      </w:r>
      <w:r w:rsidRPr="000E7360" w:rsidR="008017F7">
        <w:rPr>
          <w:rFonts w:cs="Calibri"/>
        </w:rPr>
        <w:t>1</w:t>
      </w:r>
      <w:r w:rsidR="00866F95">
        <w:rPr>
          <w:rFonts w:cs="Calibri"/>
        </w:rPr>
        <w:t>0</w:t>
      </w:r>
      <w:r w:rsidR="00DA0970">
        <w:rPr>
          <w:rFonts w:cs="Calibri"/>
        </w:rPr>
        <w:t>1</w:t>
      </w:r>
      <w:r w:rsidRPr="000E7360">
        <w:rPr>
          <w:rFonts w:cs="Calibri"/>
        </w:rPr>
        <w:t xml:space="preserve">; pp. </w:t>
      </w:r>
      <w:r w:rsidR="00866F95">
        <w:rPr>
          <w:rFonts w:cs="Calibri"/>
        </w:rPr>
        <w:t>22495-96</w:t>
      </w:r>
      <w:r w:rsidR="00271D97">
        <w:rPr>
          <w:rFonts w:cs="Calibri"/>
        </w:rPr>
        <w:t xml:space="preserve">. </w:t>
      </w:r>
      <w:r w:rsidR="00740EEA">
        <w:rPr>
          <w:rFonts w:cs="Calibri"/>
        </w:rPr>
        <w:t xml:space="preserve">HRSA received </w:t>
      </w:r>
      <w:r w:rsidR="005B2CB5">
        <w:rPr>
          <w:rFonts w:cs="Calibri"/>
        </w:rPr>
        <w:t>two</w:t>
      </w:r>
      <w:r w:rsidRPr="000E7360" w:rsidR="00531A79">
        <w:rPr>
          <w:rFonts w:cs="Calibri"/>
        </w:rPr>
        <w:t xml:space="preserve"> public comments. </w:t>
      </w:r>
    </w:p>
    <w:p w:rsidR="007D1349" w:rsidP="00E6526A" w14:paraId="64424029" w14:textId="77777777">
      <w:pPr>
        <w:rPr>
          <w:rFonts w:cs="Calibri"/>
        </w:rPr>
      </w:pPr>
    </w:p>
    <w:p w:rsidR="007D1349" w:rsidRPr="007D1349" w:rsidP="007D1349" w14:paraId="5CA453C0" w14:textId="77777777">
      <w:pPr>
        <w:rPr>
          <w:rFonts w:cs="Calibri"/>
        </w:rPr>
      </w:pPr>
      <w:r w:rsidRPr="006F1FB1">
        <w:rPr>
          <w:rFonts w:cs="Calibri"/>
        </w:rPr>
        <w:t>Comments received from the 60-day FRN included</w:t>
      </w:r>
      <w:r w:rsidRPr="007D1349">
        <w:rPr>
          <w:rFonts w:cs="Calibri"/>
        </w:rPr>
        <w:t xml:space="preserve"> support</w:t>
      </w:r>
      <w:r w:rsidRPr="006F1FB1">
        <w:rPr>
          <w:rFonts w:cs="Calibri"/>
        </w:rPr>
        <w:t xml:space="preserve"> for</w:t>
      </w:r>
      <w:r w:rsidRPr="007D1349">
        <w:rPr>
          <w:rFonts w:cs="Calibri"/>
        </w:rPr>
        <w:t xml:space="preserve"> the collection of data necessary to</w:t>
      </w:r>
      <w:r>
        <w:rPr>
          <w:rFonts w:cs="Calibri"/>
        </w:rPr>
        <w:t xml:space="preserve"> inform </w:t>
      </w:r>
      <w:r w:rsidR="0072278D">
        <w:rPr>
          <w:rFonts w:cs="Calibri"/>
        </w:rPr>
        <w:t xml:space="preserve">government </w:t>
      </w:r>
      <w:r>
        <w:rPr>
          <w:rFonts w:cs="Calibri"/>
        </w:rPr>
        <w:t>stakeholders about the projected growth of community health center-based residency programs</w:t>
      </w:r>
      <w:r w:rsidRPr="007D1349">
        <w:rPr>
          <w:rFonts w:cs="Calibri"/>
        </w:rPr>
        <w:t xml:space="preserve">. </w:t>
      </w:r>
      <w:r>
        <w:rPr>
          <w:rFonts w:cs="Calibri"/>
        </w:rPr>
        <w:t>Commentators</w:t>
      </w:r>
      <w:r w:rsidRPr="007D1349">
        <w:rPr>
          <w:rFonts w:cs="Calibri"/>
        </w:rPr>
        <w:t xml:space="preserve"> mentioned </w:t>
      </w:r>
      <w:r>
        <w:rPr>
          <w:rFonts w:cs="Calibri"/>
        </w:rPr>
        <w:t xml:space="preserve">accurate data needed </w:t>
      </w:r>
      <w:r w:rsidR="001C7FD1">
        <w:rPr>
          <w:rFonts w:cs="Calibri"/>
        </w:rPr>
        <w:t xml:space="preserve">aside from funding opportunity applications, </w:t>
      </w:r>
      <w:r>
        <w:rPr>
          <w:rFonts w:cs="Calibri"/>
        </w:rPr>
        <w:t>to inform</w:t>
      </w:r>
      <w:r w:rsidR="0072278D">
        <w:rPr>
          <w:rFonts w:cs="Calibri"/>
        </w:rPr>
        <w:t xml:space="preserve"> future</w:t>
      </w:r>
      <w:r>
        <w:rPr>
          <w:rFonts w:cs="Calibri"/>
        </w:rPr>
        <w:t xml:space="preserve"> funding needs and allocation</w:t>
      </w:r>
      <w:r w:rsidRPr="007D1349">
        <w:rPr>
          <w:rFonts w:cs="Calibri"/>
        </w:rPr>
        <w:t xml:space="preserve">. </w:t>
      </w:r>
      <w:r>
        <w:rPr>
          <w:rFonts w:cs="Calibri"/>
        </w:rPr>
        <w:t>C</w:t>
      </w:r>
      <w:r w:rsidRPr="007D1349">
        <w:rPr>
          <w:rFonts w:cs="Calibri"/>
        </w:rPr>
        <w:t>ommenters addressed</w:t>
      </w:r>
      <w:r>
        <w:rPr>
          <w:rFonts w:cs="Calibri"/>
        </w:rPr>
        <w:t xml:space="preserve"> </w:t>
      </w:r>
      <w:r w:rsidRPr="007D1349">
        <w:rPr>
          <w:rFonts w:cs="Calibri"/>
        </w:rPr>
        <w:t>items outside the scope of this notice, including program expansion, and other program policies</w:t>
      </w:r>
      <w:r>
        <w:rPr>
          <w:rFonts w:cs="Calibri"/>
        </w:rPr>
        <w:t>.</w:t>
      </w:r>
    </w:p>
    <w:p w:rsidR="007D1349" w:rsidRPr="007D1349" w:rsidP="007D1349" w14:paraId="272DCFA8" w14:textId="77777777">
      <w:pPr>
        <w:rPr>
          <w:rFonts w:cs="Calibri"/>
        </w:rPr>
      </w:pPr>
      <w:r w:rsidRPr="007D1349">
        <w:rPr>
          <w:rFonts w:cs="Calibri"/>
        </w:rPr>
        <w:t>  </w:t>
      </w:r>
    </w:p>
    <w:p w:rsidR="003E177E" w:rsidP="007D1349" w14:paraId="229ADF11" w14:textId="77777777">
      <w:pPr>
        <w:rPr>
          <w:rFonts w:cs="Calibri"/>
        </w:rPr>
      </w:pPr>
      <w:r w:rsidRPr="007D1349">
        <w:rPr>
          <w:rFonts w:cs="Calibri"/>
        </w:rPr>
        <w:t xml:space="preserve">HRSA </w:t>
      </w:r>
      <w:r w:rsidRPr="006F1FB1">
        <w:rPr>
          <w:rFonts w:cs="Calibri"/>
        </w:rPr>
        <w:t xml:space="preserve">commends respondents </w:t>
      </w:r>
      <w:r w:rsidRPr="007D1349">
        <w:rPr>
          <w:rFonts w:cs="Calibri"/>
        </w:rPr>
        <w:t>for sharing their views and willingness to support HRSA’s administration of the THCGME program</w:t>
      </w:r>
      <w:r w:rsidR="00271D97">
        <w:rPr>
          <w:rFonts w:cs="Calibri"/>
        </w:rPr>
        <w:t xml:space="preserve">. </w:t>
      </w:r>
      <w:r w:rsidRPr="007D1349">
        <w:rPr>
          <w:rFonts w:cs="Calibri"/>
        </w:rPr>
        <w:t>While we are not responding to comments on topics outside the scope of this notice, HRSA will take these comments into consideration for future policy development</w:t>
      </w:r>
      <w:r w:rsidR="00271D97">
        <w:rPr>
          <w:rFonts w:cs="Calibri"/>
        </w:rPr>
        <w:t>.</w:t>
      </w:r>
    </w:p>
    <w:p w:rsidR="003E177E" w:rsidP="007D1349" w14:paraId="1AAC9FA6" w14:textId="77777777">
      <w:pPr>
        <w:rPr>
          <w:rFonts w:cs="Calibri"/>
        </w:rPr>
      </w:pPr>
    </w:p>
    <w:p w:rsidR="007D1349" w:rsidRPr="007D1349" w:rsidP="007D1349" w14:paraId="238430E2" w14:textId="779F49C1">
      <w:pPr>
        <w:rPr>
          <w:rFonts w:cs="Calibri"/>
        </w:rPr>
      </w:pPr>
      <w:r w:rsidRPr="000E7360">
        <w:rPr>
          <w:rFonts w:cs="Calibri"/>
        </w:rPr>
        <w:t xml:space="preserve">A </w:t>
      </w:r>
      <w:r>
        <w:rPr>
          <w:rFonts w:cs="Calibri"/>
        </w:rPr>
        <w:t>30</w:t>
      </w:r>
      <w:r w:rsidRPr="000E7360">
        <w:rPr>
          <w:rFonts w:cs="Calibri"/>
        </w:rPr>
        <w:t xml:space="preserve">-day Federal Register Notice was published in the Federal Register on </w:t>
      </w:r>
      <w:r>
        <w:rPr>
          <w:rFonts w:cs="Calibri"/>
        </w:rPr>
        <w:t>September 2, 2025</w:t>
      </w:r>
      <w:r w:rsidRPr="000E7360">
        <w:rPr>
          <w:rFonts w:cs="Calibri"/>
        </w:rPr>
        <w:t xml:space="preserve">, </w:t>
      </w:r>
      <w:r>
        <w:rPr>
          <w:rFonts w:cs="Calibri"/>
        </w:rPr>
        <w:t xml:space="preserve">Vol. 90, </w:t>
      </w:r>
      <w:r w:rsidRPr="000E7360">
        <w:rPr>
          <w:rFonts w:cs="Calibri"/>
        </w:rPr>
        <w:t xml:space="preserve">No. </w:t>
      </w:r>
      <w:r>
        <w:rPr>
          <w:rFonts w:cs="Calibri"/>
        </w:rPr>
        <w:t>167</w:t>
      </w:r>
      <w:r w:rsidRPr="000E7360">
        <w:rPr>
          <w:rFonts w:cs="Calibri"/>
        </w:rPr>
        <w:t>; pp</w:t>
      </w:r>
      <w:r w:rsidRPr="003E177E">
        <w:rPr>
          <w:rFonts w:cs="Calibri"/>
        </w:rPr>
        <w:t>. 42413-</w:t>
      </w:r>
      <w:r w:rsidRPr="003E177E">
        <w:rPr>
          <w:rFonts w:cs="Calibri"/>
        </w:rPr>
        <w:t>15</w:t>
      </w:r>
      <w:r w:rsidRPr="003E177E">
        <w:rPr>
          <w:rFonts w:cs="Calibri"/>
        </w:rPr>
        <w:t xml:space="preserve">. </w:t>
      </w:r>
    </w:p>
    <w:p w:rsidR="001375AB" w:rsidRPr="000E7360" w:rsidP="00FC5056" w14:paraId="21540134" w14:textId="77777777">
      <w:pPr>
        <w:rPr>
          <w:rFonts w:cs="Calibri"/>
        </w:rPr>
      </w:pPr>
    </w:p>
    <w:p w:rsidR="00343922" w:rsidRPr="00343922" w:rsidP="00343922" w14:paraId="2EBEFD16" w14:textId="77777777">
      <w:pPr>
        <w:rPr>
          <w:rFonts w:cs="Calibri"/>
        </w:rPr>
      </w:pPr>
      <w:r w:rsidRPr="006F1FB1">
        <w:rPr>
          <w:rFonts w:cs="Calibri"/>
          <w:b/>
          <w:bCs/>
        </w:rPr>
        <w:t>8B</w:t>
      </w:r>
      <w:r w:rsidRPr="000E7360">
        <w:rPr>
          <w:rFonts w:cs="Calibri"/>
        </w:rPr>
        <w:t xml:space="preserve">. </w:t>
      </w:r>
      <w:r w:rsidRPr="00343922">
        <w:rPr>
          <w:rFonts w:cs="Calibri"/>
        </w:rPr>
        <w:t>Seven (7) THC program awardees were contacted</w:t>
      </w:r>
      <w:r w:rsidR="00D91818">
        <w:rPr>
          <w:rFonts w:cs="Calibri"/>
        </w:rPr>
        <w:t xml:space="preserve"> in June 2025</w:t>
      </w:r>
      <w:r w:rsidRPr="00343922">
        <w:rPr>
          <w:rFonts w:cs="Calibri"/>
        </w:rPr>
        <w:t xml:space="preserve"> for consultation regarding the clarity and format of the THCGME Resident/FTE chart data collection instrument and the frequency of collection</w:t>
      </w:r>
      <w:r w:rsidR="00271D97">
        <w:rPr>
          <w:rFonts w:cs="Calibri"/>
        </w:rPr>
        <w:t xml:space="preserve">. </w:t>
      </w:r>
      <w:r w:rsidRPr="00343922">
        <w:rPr>
          <w:rFonts w:cs="Calibri"/>
        </w:rPr>
        <w:t>The individuals found the data collection instrument to be clear and straightforward</w:t>
      </w:r>
      <w:r w:rsidR="00271D97">
        <w:rPr>
          <w:rFonts w:cs="Calibri"/>
        </w:rPr>
        <w:t xml:space="preserve">. </w:t>
      </w:r>
      <w:r w:rsidRPr="00343922">
        <w:rPr>
          <w:rFonts w:cs="Calibri"/>
        </w:rPr>
        <w:t>There were no suggestions for improvement.</w:t>
      </w:r>
    </w:p>
    <w:p w:rsidR="00B21F7F" w:rsidRPr="000E7360" w:rsidP="00FC5056" w14:paraId="6FFFFC9F" w14:textId="77777777">
      <w:pPr>
        <w:rPr>
          <w:rFonts w:cs="Calibri"/>
        </w:rPr>
      </w:pPr>
    </w:p>
    <w:p w:rsidR="007471D8" w:rsidRPr="000E7360" w:rsidP="00DF7329" w14:paraId="4A8B527A" w14:textId="77777777">
      <w:pPr>
        <w:numPr>
          <w:ilvl w:val="0"/>
          <w:numId w:val="3"/>
        </w:numPr>
        <w:autoSpaceDE w:val="0"/>
        <w:autoSpaceDN w:val="0"/>
        <w:adjustRightInd w:val="0"/>
        <w:spacing w:line="480" w:lineRule="auto"/>
        <w:rPr>
          <w:rFonts w:cs="Calibri"/>
          <w:b/>
        </w:rPr>
      </w:pPr>
      <w:r w:rsidRPr="000E7360">
        <w:rPr>
          <w:rFonts w:cs="Calibri"/>
          <w:b/>
        </w:rPr>
        <w:t xml:space="preserve">Explanation of any Payment/Gift to Respondents </w:t>
      </w:r>
    </w:p>
    <w:p w:rsidR="00434F64" w:rsidRPr="000E7360" w:rsidP="00DF7329" w14:paraId="5DE7EFC1" w14:textId="77777777">
      <w:pPr>
        <w:rPr>
          <w:rFonts w:cs="Calibri"/>
        </w:rPr>
      </w:pPr>
      <w:r w:rsidRPr="000E7360">
        <w:rPr>
          <w:rFonts w:cs="Calibri"/>
        </w:rPr>
        <w:t xml:space="preserve">No remuneration </w:t>
      </w:r>
      <w:r w:rsidRPr="000E7360" w:rsidR="00F44C91">
        <w:rPr>
          <w:rFonts w:cs="Calibri"/>
        </w:rPr>
        <w:t>is</w:t>
      </w:r>
      <w:r w:rsidRPr="000E7360">
        <w:rPr>
          <w:rFonts w:cs="Calibri"/>
        </w:rPr>
        <w:t xml:space="preserve"> given to the respondents.</w:t>
      </w:r>
    </w:p>
    <w:p w:rsidR="004D5CC4" w:rsidRPr="000E7360" w:rsidP="00DF7329" w14:paraId="25E5AC5C" w14:textId="77777777">
      <w:pPr>
        <w:rPr>
          <w:rFonts w:cs="Calibri"/>
        </w:rPr>
      </w:pPr>
    </w:p>
    <w:p w:rsidR="00DF7748" w:rsidRPr="000E7360" w:rsidP="00DF7329" w14:paraId="771218D0" w14:textId="77777777">
      <w:pPr>
        <w:numPr>
          <w:ilvl w:val="0"/>
          <w:numId w:val="6"/>
        </w:numPr>
        <w:autoSpaceDE w:val="0"/>
        <w:autoSpaceDN w:val="0"/>
        <w:adjustRightInd w:val="0"/>
        <w:spacing w:line="480" w:lineRule="auto"/>
        <w:rPr>
          <w:rFonts w:cs="Calibri"/>
          <w:b/>
        </w:rPr>
      </w:pPr>
      <w:r w:rsidRPr="000E7360">
        <w:rPr>
          <w:rFonts w:cs="Calibri"/>
          <w:b/>
        </w:rPr>
        <w:t xml:space="preserve"> </w:t>
      </w:r>
      <w:r w:rsidRPr="000E7360">
        <w:rPr>
          <w:rFonts w:cs="Calibri"/>
          <w:b/>
        </w:rPr>
        <w:t xml:space="preserve">Assurance of Confidentiality Provided to Respondents </w:t>
      </w:r>
    </w:p>
    <w:p w:rsidR="00634484" w:rsidP="00634484" w14:paraId="0C4EEA23" w14:textId="77777777">
      <w:pPr>
        <w:autoSpaceDE w:val="0"/>
        <w:autoSpaceDN w:val="0"/>
        <w:adjustRightInd w:val="0"/>
        <w:rPr>
          <w:rFonts w:cs="Calibri"/>
        </w:rPr>
      </w:pPr>
      <w:r w:rsidRPr="000E7360">
        <w:rPr>
          <w:rFonts w:cs="Calibri"/>
        </w:rPr>
        <w:t>The information collected will be kept secure and protected</w:t>
      </w:r>
      <w:r w:rsidR="00271D97">
        <w:rPr>
          <w:rFonts w:cs="Calibri"/>
        </w:rPr>
        <w:t xml:space="preserve">. </w:t>
      </w:r>
      <w:r w:rsidRPr="000E7360">
        <w:rPr>
          <w:rFonts w:cs="Calibri"/>
        </w:rPr>
        <w:t>Information containing personal identifiers will not be requested</w:t>
      </w:r>
      <w:r w:rsidR="00271D97">
        <w:rPr>
          <w:rFonts w:cs="Calibri"/>
        </w:rPr>
        <w:t xml:space="preserve">. </w:t>
      </w:r>
      <w:r w:rsidR="009C1764">
        <w:rPr>
          <w:rFonts w:cs="Calibri"/>
        </w:rPr>
        <w:t xml:space="preserve">The information collected will be kept private to the extent allowed </w:t>
      </w:r>
      <w:r w:rsidR="007943D3">
        <w:rPr>
          <w:rFonts w:cs="Calibri"/>
        </w:rPr>
        <w:t xml:space="preserve">by </w:t>
      </w:r>
      <w:r w:rsidR="009C1764">
        <w:rPr>
          <w:rFonts w:cs="Calibri"/>
        </w:rPr>
        <w:t xml:space="preserve">law. </w:t>
      </w:r>
    </w:p>
    <w:p w:rsidR="003E0405" w:rsidRPr="000E7360" w:rsidP="00634484" w14:paraId="4A78FCE2" w14:textId="77777777">
      <w:pPr>
        <w:autoSpaceDE w:val="0"/>
        <w:autoSpaceDN w:val="0"/>
        <w:adjustRightInd w:val="0"/>
        <w:rPr>
          <w:rFonts w:cs="Calibri"/>
        </w:rPr>
      </w:pPr>
    </w:p>
    <w:p w:rsidR="00604669" w:rsidRPr="000E7360" w:rsidP="00560296" w14:paraId="1E8A3E79" w14:textId="77777777">
      <w:pPr>
        <w:numPr>
          <w:ilvl w:val="0"/>
          <w:numId w:val="6"/>
        </w:numPr>
        <w:autoSpaceDE w:val="0"/>
        <w:autoSpaceDN w:val="0"/>
        <w:adjustRightInd w:val="0"/>
        <w:spacing w:line="480" w:lineRule="auto"/>
        <w:rPr>
          <w:rFonts w:cs="Calibri"/>
          <w:b/>
        </w:rPr>
      </w:pPr>
      <w:r w:rsidRPr="000E7360">
        <w:rPr>
          <w:rFonts w:cs="Calibri"/>
          <w:b/>
        </w:rPr>
        <w:t xml:space="preserve">Justification for Sensitive Questions </w:t>
      </w:r>
    </w:p>
    <w:p w:rsidR="00604669" w:rsidRPr="000E7360" w:rsidP="007A6861" w14:paraId="388B6FAA" w14:textId="77777777">
      <w:pPr>
        <w:autoSpaceDE w:val="0"/>
        <w:autoSpaceDN w:val="0"/>
        <w:adjustRightInd w:val="0"/>
        <w:spacing w:line="480" w:lineRule="auto"/>
        <w:rPr>
          <w:rFonts w:cs="Calibri"/>
          <w:b/>
        </w:rPr>
      </w:pPr>
      <w:r w:rsidRPr="000E7360">
        <w:rPr>
          <w:rFonts w:cs="Calibri"/>
        </w:rPr>
        <w:t>There are no sensitive questions in the THCGME Program Eligible Resident/</w:t>
      </w:r>
      <w:r w:rsidRPr="000E7360" w:rsidR="00D137FD">
        <w:rPr>
          <w:rFonts w:cs="Calibri"/>
        </w:rPr>
        <w:t xml:space="preserve">Fellow </w:t>
      </w:r>
      <w:r w:rsidRPr="000E7360">
        <w:rPr>
          <w:rFonts w:cs="Calibri"/>
        </w:rPr>
        <w:t xml:space="preserve">FTE </w:t>
      </w:r>
      <w:r w:rsidR="00F710CC">
        <w:rPr>
          <w:rFonts w:cs="Calibri"/>
        </w:rPr>
        <w:t>c</w:t>
      </w:r>
      <w:r w:rsidRPr="000E7360" w:rsidR="00F710CC">
        <w:rPr>
          <w:rFonts w:cs="Calibri"/>
        </w:rPr>
        <w:t>hart</w:t>
      </w:r>
      <w:r w:rsidR="00271D97">
        <w:rPr>
          <w:rFonts w:cs="Calibri"/>
        </w:rPr>
        <w:t xml:space="preserve">. </w:t>
      </w:r>
    </w:p>
    <w:p w:rsidR="00604669" w:rsidRPr="000E7360" w:rsidP="00560296" w14:paraId="5847A014" w14:textId="77777777">
      <w:pPr>
        <w:numPr>
          <w:ilvl w:val="0"/>
          <w:numId w:val="6"/>
        </w:numPr>
        <w:autoSpaceDE w:val="0"/>
        <w:autoSpaceDN w:val="0"/>
        <w:adjustRightInd w:val="0"/>
        <w:spacing w:line="480" w:lineRule="auto"/>
        <w:rPr>
          <w:rFonts w:cs="Calibri"/>
          <w:b/>
        </w:rPr>
      </w:pPr>
      <w:r w:rsidRPr="000E7360">
        <w:rPr>
          <w:rFonts w:cs="Calibri"/>
          <w:b/>
        </w:rPr>
        <w:t xml:space="preserve">Estimates of Annualized Hour and Cost Burden </w:t>
      </w:r>
    </w:p>
    <w:p w:rsidR="006710D0" w:rsidRPr="000E7360" w:rsidP="00640E47" w14:paraId="4ED4F881" w14:textId="77777777">
      <w:pPr>
        <w:autoSpaceDE w:val="0"/>
        <w:autoSpaceDN w:val="0"/>
        <w:adjustRightInd w:val="0"/>
        <w:rPr>
          <w:rFonts w:cs="Calibri"/>
          <w:szCs w:val="24"/>
        </w:rPr>
      </w:pPr>
      <w:r w:rsidRPr="000E7360">
        <w:rPr>
          <w:rFonts w:cs="Calibri"/>
          <w:szCs w:val="24"/>
        </w:rPr>
        <w:t xml:space="preserve">The hour burden estimates were derived by </w:t>
      </w:r>
      <w:r w:rsidRPr="000E7360">
        <w:rPr>
          <w:rFonts w:cs="Calibri"/>
          <w:szCs w:val="24"/>
        </w:rPr>
        <w:t>survey</w:t>
      </w:r>
      <w:r w:rsidRPr="000E7360">
        <w:rPr>
          <w:rFonts w:cs="Calibri"/>
          <w:szCs w:val="24"/>
        </w:rPr>
        <w:t xml:space="preserve"> of THCGME award recipients</w:t>
      </w:r>
      <w:r w:rsidR="00271D97">
        <w:rPr>
          <w:rFonts w:cs="Calibri"/>
          <w:szCs w:val="24"/>
        </w:rPr>
        <w:t xml:space="preserve">. </w:t>
      </w:r>
      <w:r w:rsidRPr="000E7360">
        <w:rPr>
          <w:rFonts w:cs="Calibri"/>
          <w:szCs w:val="24"/>
        </w:rPr>
        <w:t xml:space="preserve">The </w:t>
      </w:r>
      <w:r w:rsidRPr="000E7360" w:rsidR="00DF7329">
        <w:rPr>
          <w:rFonts w:cs="Calibri"/>
          <w:szCs w:val="24"/>
        </w:rPr>
        <w:t>recipients were</w:t>
      </w:r>
      <w:r w:rsidRPr="000E7360">
        <w:rPr>
          <w:rFonts w:cs="Calibri"/>
          <w:szCs w:val="24"/>
        </w:rPr>
        <w:t xml:space="preserve"> asked to estimate the amount of time it took to complete the Resident/</w:t>
      </w:r>
      <w:r w:rsidRPr="000E7360" w:rsidR="00D137FD">
        <w:rPr>
          <w:rFonts w:cs="Calibri"/>
          <w:szCs w:val="24"/>
        </w:rPr>
        <w:t xml:space="preserve">Fellow </w:t>
      </w:r>
      <w:r w:rsidRPr="000E7360">
        <w:rPr>
          <w:rFonts w:cs="Calibri"/>
          <w:szCs w:val="24"/>
        </w:rPr>
        <w:t>FTE Chart within their institution</w:t>
      </w:r>
      <w:r w:rsidR="00271D97">
        <w:rPr>
          <w:rFonts w:cs="Calibri"/>
          <w:szCs w:val="24"/>
        </w:rPr>
        <w:t xml:space="preserve">. </w:t>
      </w:r>
      <w:r w:rsidRPr="000E7360">
        <w:rPr>
          <w:rFonts w:cs="Calibri"/>
          <w:szCs w:val="24"/>
        </w:rPr>
        <w:t xml:space="preserve">Respondents </w:t>
      </w:r>
      <w:r w:rsidRPr="000E7360" w:rsidR="00F44C91">
        <w:rPr>
          <w:rFonts w:cs="Calibri"/>
          <w:szCs w:val="24"/>
        </w:rPr>
        <w:t xml:space="preserve">indicated </w:t>
      </w:r>
      <w:r w:rsidRPr="000E7360">
        <w:rPr>
          <w:rFonts w:cs="Calibri"/>
          <w:szCs w:val="24"/>
        </w:rPr>
        <w:t>that an administrative assistant would typically perform the task</w:t>
      </w:r>
      <w:r w:rsidR="00271D97">
        <w:rPr>
          <w:rFonts w:cs="Calibri"/>
          <w:szCs w:val="24"/>
        </w:rPr>
        <w:t xml:space="preserve">. </w:t>
      </w:r>
    </w:p>
    <w:p w:rsidR="00896502" w:rsidRPr="000E7360" w:rsidP="00640E47" w14:paraId="5B4E5384" w14:textId="77777777">
      <w:pPr>
        <w:autoSpaceDE w:val="0"/>
        <w:autoSpaceDN w:val="0"/>
        <w:adjustRightInd w:val="0"/>
        <w:rPr>
          <w:rFonts w:cs="Calibri"/>
          <w:b/>
          <w:sz w:val="24"/>
          <w:szCs w:val="24"/>
        </w:rPr>
      </w:pPr>
    </w:p>
    <w:p w:rsidR="004B4D56" w:rsidRPr="000E7360" w:rsidP="001579CA" w14:paraId="66E6C2F2" w14:textId="77777777">
      <w:pPr>
        <w:autoSpaceDE w:val="0"/>
        <w:autoSpaceDN w:val="0"/>
        <w:adjustRightInd w:val="0"/>
        <w:spacing w:line="480" w:lineRule="auto"/>
        <w:rPr>
          <w:rFonts w:cs="Calibri"/>
          <w:b/>
        </w:rPr>
      </w:pPr>
      <w:r w:rsidRPr="000E7360">
        <w:rPr>
          <w:rFonts w:cs="Calibri"/>
          <w:b/>
        </w:rPr>
        <w:t xml:space="preserve">12A:  Estimated Annualized Burden Hours </w:t>
      </w:r>
    </w:p>
    <w:tbl>
      <w:tblPr>
        <w:tblW w:w="9180" w:type="dxa"/>
        <w:tblInd w:w="97" w:type="dxa"/>
        <w:tblLayout w:type="fixed"/>
        <w:tblCellMar>
          <w:left w:w="97" w:type="dxa"/>
          <w:right w:w="97" w:type="dxa"/>
        </w:tblCellMar>
        <w:tblLook w:val="0000"/>
      </w:tblPr>
      <w:tblGrid>
        <w:gridCol w:w="1800"/>
        <w:gridCol w:w="1440"/>
        <w:gridCol w:w="1800"/>
        <w:gridCol w:w="1350"/>
        <w:gridCol w:w="1350"/>
        <w:gridCol w:w="1440"/>
      </w:tblGrid>
      <w:tr w14:paraId="4C1ED6B1" w14:textId="77777777" w:rsidTr="008C6DA4">
        <w:tblPrEx>
          <w:tblW w:w="9180" w:type="dxa"/>
          <w:tblInd w:w="97" w:type="dxa"/>
          <w:tblLayout w:type="fixed"/>
          <w:tblCellMar>
            <w:left w:w="97" w:type="dxa"/>
            <w:right w:w="97" w:type="dxa"/>
          </w:tblCellMar>
          <w:tblLook w:val="0000"/>
        </w:tblPrEx>
        <w:trPr>
          <w:trHeight w:val="1030"/>
        </w:trPr>
        <w:tc>
          <w:tcPr>
            <w:tcW w:w="1800" w:type="dxa"/>
            <w:tcBorders>
              <w:top w:val="single" w:sz="2" w:space="0" w:color="auto"/>
              <w:left w:val="single" w:sz="2" w:space="0" w:color="auto"/>
              <w:bottom w:val="single" w:sz="2" w:space="0" w:color="auto"/>
              <w:right w:val="single" w:sz="2" w:space="0" w:color="auto"/>
            </w:tcBorders>
            <w:vAlign w:val="bottom"/>
          </w:tcPr>
          <w:p w:rsidR="00F44C91" w:rsidRPr="000E7360" w:rsidP="001A76FD" w14:paraId="3DD1AF81" w14:textId="77777777">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Calibri" w:hAnsi="Calibri" w:cs="Calibri"/>
                <w:highlight w:val="yellow"/>
              </w:rPr>
            </w:pPr>
          </w:p>
          <w:p w:rsidR="00F44C91" w:rsidRPr="000E7360" w:rsidP="001A76FD" w14:paraId="3046CFCA" w14:textId="77777777">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Calibri" w:hAnsi="Calibri" w:cs="Calibri"/>
                <w:b/>
                <w:sz w:val="22"/>
                <w:szCs w:val="22"/>
                <w:highlight w:val="yellow"/>
              </w:rPr>
            </w:pPr>
            <w:r w:rsidRPr="000E7360">
              <w:rPr>
                <w:rFonts w:ascii="Calibri" w:hAnsi="Calibri" w:cs="Calibri"/>
                <w:b/>
                <w:sz w:val="22"/>
                <w:szCs w:val="22"/>
              </w:rPr>
              <w:t>Form Name</w:t>
            </w:r>
          </w:p>
        </w:tc>
        <w:tc>
          <w:tcPr>
            <w:tcW w:w="1440" w:type="dxa"/>
            <w:tcBorders>
              <w:top w:val="single" w:sz="2" w:space="0" w:color="auto"/>
              <w:left w:val="single" w:sz="2" w:space="0" w:color="auto"/>
              <w:bottom w:val="single" w:sz="2" w:space="0" w:color="auto"/>
              <w:right w:val="single" w:sz="2" w:space="0" w:color="auto"/>
            </w:tcBorders>
            <w:vAlign w:val="bottom"/>
          </w:tcPr>
          <w:p w:rsidR="00F44C91" w:rsidRPr="000E7360" w:rsidP="001A76FD" w14:paraId="279E4FC0" w14:textId="77777777">
            <w:pPr>
              <w:pStyle w:val="BodyText"/>
              <w:widowControl/>
              <w:jc w:val="center"/>
              <w:rPr>
                <w:rFonts w:ascii="Calibri" w:hAnsi="Calibri" w:cs="Calibri"/>
                <w:b/>
                <w:sz w:val="22"/>
                <w:szCs w:val="22"/>
                <w:highlight w:val="yellow"/>
              </w:rPr>
            </w:pPr>
            <w:r w:rsidRPr="000E7360">
              <w:rPr>
                <w:rFonts w:ascii="Calibri" w:hAnsi="Calibri" w:cs="Calibri"/>
                <w:b/>
                <w:sz w:val="22"/>
                <w:szCs w:val="22"/>
              </w:rPr>
              <w:t>Number of Respondents</w:t>
            </w:r>
          </w:p>
        </w:tc>
        <w:tc>
          <w:tcPr>
            <w:tcW w:w="1800" w:type="dxa"/>
            <w:tcBorders>
              <w:top w:val="single" w:sz="2" w:space="0" w:color="auto"/>
              <w:left w:val="single" w:sz="2" w:space="0" w:color="auto"/>
              <w:bottom w:val="single" w:sz="2" w:space="0" w:color="auto"/>
              <w:right w:val="single" w:sz="2" w:space="0" w:color="auto"/>
            </w:tcBorders>
            <w:vAlign w:val="bottom"/>
          </w:tcPr>
          <w:p w:rsidR="00F44C91" w:rsidRPr="000E7360" w:rsidP="001A76FD" w14:paraId="7F664AA5" w14:textId="77777777">
            <w:pPr>
              <w:pStyle w:val="BodyText"/>
              <w:widowControl/>
              <w:jc w:val="center"/>
              <w:rPr>
                <w:rFonts w:ascii="Calibri" w:hAnsi="Calibri" w:cs="Calibri"/>
                <w:highlight w:val="yellow"/>
              </w:rPr>
            </w:pPr>
          </w:p>
          <w:p w:rsidR="00F44C91" w:rsidRPr="000E7360" w:rsidP="001A76FD" w14:paraId="124A8A3D" w14:textId="77777777">
            <w:pPr>
              <w:pStyle w:val="BodyText"/>
              <w:widowControl/>
              <w:jc w:val="center"/>
              <w:rPr>
                <w:rFonts w:ascii="Calibri" w:hAnsi="Calibri" w:cs="Calibri"/>
                <w:b/>
                <w:sz w:val="22"/>
                <w:szCs w:val="22"/>
                <w:highlight w:val="yellow"/>
              </w:rPr>
            </w:pPr>
            <w:r w:rsidRPr="000E7360">
              <w:rPr>
                <w:rFonts w:ascii="Calibri" w:hAnsi="Calibri" w:cs="Calibri"/>
                <w:b/>
                <w:sz w:val="22"/>
                <w:szCs w:val="22"/>
              </w:rPr>
              <w:t>Number of Responses per Respondent</w:t>
            </w:r>
          </w:p>
        </w:tc>
        <w:tc>
          <w:tcPr>
            <w:tcW w:w="1350" w:type="dxa"/>
            <w:tcBorders>
              <w:top w:val="single" w:sz="2" w:space="0" w:color="auto"/>
              <w:left w:val="single" w:sz="2" w:space="0" w:color="auto"/>
              <w:bottom w:val="single" w:sz="2" w:space="0" w:color="auto"/>
              <w:right w:val="single" w:sz="2" w:space="0" w:color="auto"/>
            </w:tcBorders>
          </w:tcPr>
          <w:p w:rsidR="00F44C91" w:rsidRPr="00780461" w:rsidP="001A76FD" w14:paraId="50A60805" w14:textId="77777777">
            <w:pPr>
              <w:pStyle w:val="BodyText"/>
              <w:widowControl/>
              <w:jc w:val="center"/>
              <w:rPr>
                <w:rFonts w:ascii="Calibri" w:hAnsi="Calibri" w:cs="Calibri"/>
                <w:sz w:val="22"/>
                <w:szCs w:val="22"/>
              </w:rPr>
            </w:pPr>
          </w:p>
          <w:p w:rsidR="00F44C91" w:rsidRPr="00780461" w:rsidP="001A76FD" w14:paraId="0C8E9B0F" w14:textId="77777777">
            <w:pPr>
              <w:pStyle w:val="BodyText"/>
              <w:widowControl/>
              <w:jc w:val="center"/>
              <w:rPr>
                <w:rFonts w:ascii="Calibri" w:hAnsi="Calibri" w:cs="Calibri"/>
                <w:sz w:val="22"/>
                <w:szCs w:val="22"/>
              </w:rPr>
            </w:pPr>
          </w:p>
          <w:p w:rsidR="00F44C91" w:rsidRPr="00780461" w:rsidP="001A76FD" w14:paraId="55DF4FDC" w14:textId="77777777">
            <w:pPr>
              <w:pStyle w:val="BodyText"/>
              <w:widowControl/>
              <w:jc w:val="center"/>
              <w:rPr>
                <w:rFonts w:ascii="Calibri" w:hAnsi="Calibri" w:cs="Calibri"/>
                <w:b/>
                <w:bCs/>
                <w:sz w:val="22"/>
                <w:szCs w:val="22"/>
                <w:highlight w:val="yellow"/>
              </w:rPr>
            </w:pPr>
            <w:r w:rsidRPr="00780461">
              <w:rPr>
                <w:rFonts w:ascii="Calibri" w:hAnsi="Calibri" w:cs="Calibri"/>
                <w:b/>
                <w:bCs/>
                <w:sz w:val="22"/>
                <w:szCs w:val="22"/>
              </w:rPr>
              <w:t>Total Responses</w:t>
            </w:r>
          </w:p>
        </w:tc>
        <w:tc>
          <w:tcPr>
            <w:tcW w:w="1350" w:type="dxa"/>
            <w:tcBorders>
              <w:top w:val="single" w:sz="2" w:space="0" w:color="auto"/>
              <w:left w:val="single" w:sz="2" w:space="0" w:color="auto"/>
              <w:bottom w:val="single" w:sz="2" w:space="0" w:color="auto"/>
              <w:right w:val="single" w:sz="2" w:space="0" w:color="auto"/>
            </w:tcBorders>
            <w:vAlign w:val="bottom"/>
          </w:tcPr>
          <w:p w:rsidR="00F44C91" w:rsidRPr="00780461" w:rsidP="001A76FD" w14:paraId="73079AB6" w14:textId="77777777">
            <w:pPr>
              <w:pStyle w:val="BodyText"/>
              <w:widowControl/>
              <w:jc w:val="center"/>
              <w:rPr>
                <w:rFonts w:ascii="Calibri" w:hAnsi="Calibri" w:cs="Calibri"/>
                <w:sz w:val="22"/>
                <w:szCs w:val="22"/>
                <w:highlight w:val="yellow"/>
              </w:rPr>
            </w:pPr>
          </w:p>
          <w:p w:rsidR="00F44C91" w:rsidRPr="00780461" w:rsidP="001A76FD" w14:paraId="05C738A0" w14:textId="77777777">
            <w:pPr>
              <w:pStyle w:val="BodyText"/>
              <w:widowControl/>
              <w:jc w:val="center"/>
              <w:rPr>
                <w:rFonts w:ascii="Calibri" w:hAnsi="Calibri" w:cs="Calibri"/>
                <w:b/>
                <w:sz w:val="22"/>
                <w:szCs w:val="22"/>
                <w:highlight w:val="yellow"/>
              </w:rPr>
            </w:pPr>
            <w:r w:rsidRPr="00780461">
              <w:rPr>
                <w:rFonts w:ascii="Calibri" w:hAnsi="Calibri" w:cs="Calibri"/>
                <w:b/>
                <w:sz w:val="22"/>
                <w:szCs w:val="22"/>
              </w:rPr>
              <w:t>Average Burden per Response (in hours)</w:t>
            </w:r>
          </w:p>
        </w:tc>
        <w:tc>
          <w:tcPr>
            <w:tcW w:w="1440" w:type="dxa"/>
            <w:tcBorders>
              <w:top w:val="single" w:sz="2" w:space="0" w:color="auto"/>
              <w:left w:val="single" w:sz="2" w:space="0" w:color="auto"/>
              <w:bottom w:val="single" w:sz="2" w:space="0" w:color="auto"/>
              <w:right w:val="single" w:sz="2" w:space="0" w:color="auto"/>
            </w:tcBorders>
            <w:vAlign w:val="bottom"/>
          </w:tcPr>
          <w:p w:rsidR="00F44C91" w:rsidRPr="00780461" w:rsidP="001A76FD" w14:paraId="46D3F305" w14:textId="3FB8D682">
            <w:pPr>
              <w:pStyle w:val="BodyText"/>
              <w:widowControl/>
              <w:jc w:val="center"/>
              <w:rPr>
                <w:rFonts w:ascii="Calibri" w:hAnsi="Calibri" w:cs="Calibri"/>
                <w:b/>
                <w:sz w:val="22"/>
                <w:szCs w:val="22"/>
                <w:highlight w:val="yellow"/>
              </w:rPr>
            </w:pPr>
            <w:r w:rsidRPr="00780461">
              <w:rPr>
                <w:rFonts w:ascii="Calibri" w:hAnsi="Calibri" w:cs="Calibri"/>
                <w:b/>
                <w:sz w:val="22"/>
                <w:szCs w:val="22"/>
              </w:rPr>
              <w:t>Total Burden Hours</w:t>
            </w:r>
            <w:r w:rsidR="00700867">
              <w:rPr>
                <w:rFonts w:ascii="Calibri" w:hAnsi="Calibri" w:cs="Calibri"/>
                <w:b/>
                <w:sz w:val="22"/>
                <w:szCs w:val="22"/>
              </w:rPr>
              <w:t>*</w:t>
            </w:r>
          </w:p>
        </w:tc>
      </w:tr>
      <w:tr w14:paraId="44BCE5B0" w14:textId="77777777" w:rsidTr="007943D3">
        <w:tblPrEx>
          <w:tblW w:w="9180" w:type="dxa"/>
          <w:tblInd w:w="97" w:type="dxa"/>
          <w:tblLayout w:type="fixed"/>
          <w:tblCellMar>
            <w:left w:w="97" w:type="dxa"/>
            <w:right w:w="97" w:type="dxa"/>
          </w:tblCellMar>
          <w:tblLook w:val="0000"/>
        </w:tblPrEx>
        <w:tc>
          <w:tcPr>
            <w:tcW w:w="1800" w:type="dxa"/>
            <w:tcBorders>
              <w:top w:val="single" w:sz="2" w:space="0" w:color="auto"/>
              <w:left w:val="single" w:sz="2" w:space="0" w:color="auto"/>
              <w:bottom w:val="single" w:sz="2" w:space="0" w:color="auto"/>
              <w:right w:val="single" w:sz="2" w:space="0" w:color="auto"/>
            </w:tcBorders>
          </w:tcPr>
          <w:p w:rsidR="00F44C91" w:rsidRPr="000E7360" w:rsidP="001A76FD" w14:paraId="561F0FE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alibri"/>
              </w:rPr>
            </w:pPr>
            <w:r w:rsidRPr="000E7360">
              <w:rPr>
                <w:rFonts w:cs="Calibri"/>
              </w:rPr>
              <w:t xml:space="preserve">THCGME Program Eligible Resident/Fellow  FTE Chart </w:t>
            </w:r>
          </w:p>
        </w:tc>
        <w:tc>
          <w:tcPr>
            <w:tcW w:w="1440" w:type="dxa"/>
            <w:tcBorders>
              <w:top w:val="single" w:sz="2" w:space="0" w:color="auto"/>
              <w:left w:val="single" w:sz="2" w:space="0" w:color="auto"/>
              <w:bottom w:val="single" w:sz="2" w:space="0" w:color="auto"/>
              <w:right w:val="single" w:sz="2" w:space="0" w:color="auto"/>
            </w:tcBorders>
          </w:tcPr>
          <w:p w:rsidR="00F44C91" w:rsidRPr="000E7360" w:rsidP="007943D3" w14:paraId="00B1F55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cs="Calibri"/>
                <w:lang w:val="fr-FR"/>
              </w:rPr>
            </w:pPr>
            <w:r w:rsidRPr="000E7360">
              <w:rPr>
                <w:rFonts w:cs="Calibri"/>
                <w:lang w:val="fr-FR"/>
              </w:rPr>
              <w:t>90</w:t>
            </w:r>
          </w:p>
        </w:tc>
        <w:tc>
          <w:tcPr>
            <w:tcW w:w="1800" w:type="dxa"/>
            <w:tcBorders>
              <w:top w:val="single" w:sz="2" w:space="0" w:color="auto"/>
              <w:left w:val="single" w:sz="2" w:space="0" w:color="auto"/>
              <w:bottom w:val="single" w:sz="2" w:space="0" w:color="auto"/>
              <w:right w:val="single" w:sz="2" w:space="0" w:color="auto"/>
            </w:tcBorders>
          </w:tcPr>
          <w:p w:rsidR="00F44C91" w:rsidRPr="000E7360" w:rsidP="007943D3" w14:paraId="461D33E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cs="Calibri"/>
                <w:lang w:val="fr-FR"/>
              </w:rPr>
            </w:pPr>
            <w:r w:rsidRPr="000E7360">
              <w:rPr>
                <w:rFonts w:cs="Calibri"/>
                <w:lang w:val="fr-FR"/>
              </w:rPr>
              <w:t>1</w:t>
            </w:r>
          </w:p>
        </w:tc>
        <w:tc>
          <w:tcPr>
            <w:tcW w:w="1350" w:type="dxa"/>
            <w:tcBorders>
              <w:top w:val="single" w:sz="2" w:space="0" w:color="auto"/>
              <w:left w:val="single" w:sz="2" w:space="0" w:color="auto"/>
              <w:bottom w:val="single" w:sz="2" w:space="0" w:color="auto"/>
              <w:right w:val="single" w:sz="2" w:space="0" w:color="auto"/>
            </w:tcBorders>
          </w:tcPr>
          <w:p w:rsidR="00F44C91" w:rsidRPr="000E7360" w:rsidP="007943D3" w14:paraId="695D6BC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cs="Calibri"/>
                <w:lang w:val="fr-FR"/>
              </w:rPr>
            </w:pPr>
            <w:r w:rsidRPr="000E7360">
              <w:rPr>
                <w:rFonts w:cs="Calibri"/>
                <w:lang w:val="fr-FR"/>
              </w:rPr>
              <w:t>90</w:t>
            </w:r>
          </w:p>
        </w:tc>
        <w:tc>
          <w:tcPr>
            <w:tcW w:w="1350" w:type="dxa"/>
            <w:tcBorders>
              <w:top w:val="single" w:sz="2" w:space="0" w:color="auto"/>
              <w:left w:val="single" w:sz="2" w:space="0" w:color="auto"/>
              <w:bottom w:val="single" w:sz="2" w:space="0" w:color="auto"/>
              <w:right w:val="single" w:sz="2" w:space="0" w:color="auto"/>
            </w:tcBorders>
          </w:tcPr>
          <w:p w:rsidR="00F44C91" w:rsidRPr="000E7360" w:rsidP="007943D3" w14:paraId="3FFC997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cs="Calibri"/>
                <w:lang w:val="fr-FR"/>
              </w:rPr>
            </w:pPr>
            <w:r w:rsidRPr="000E7360">
              <w:rPr>
                <w:rFonts w:cs="Calibri"/>
                <w:lang w:val="fr-FR"/>
              </w:rPr>
              <w:t>1</w:t>
            </w:r>
            <w:r w:rsidR="00EF6649">
              <w:rPr>
                <w:rFonts w:cs="Calibri"/>
                <w:lang w:val="fr-FR"/>
              </w:rPr>
              <w:t>.25</w:t>
            </w:r>
          </w:p>
        </w:tc>
        <w:tc>
          <w:tcPr>
            <w:tcW w:w="1440" w:type="dxa"/>
            <w:tcBorders>
              <w:top w:val="single" w:sz="2" w:space="0" w:color="auto"/>
              <w:left w:val="single" w:sz="2" w:space="0" w:color="auto"/>
              <w:bottom w:val="single" w:sz="2" w:space="0" w:color="auto"/>
              <w:right w:val="single" w:sz="2" w:space="0" w:color="auto"/>
            </w:tcBorders>
          </w:tcPr>
          <w:p w:rsidR="00F44C91" w:rsidRPr="000E7360" w:rsidP="007943D3" w14:paraId="5897705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cs="Calibri"/>
                <w:lang w:val="fr-FR"/>
              </w:rPr>
            </w:pPr>
            <w:r>
              <w:rPr>
                <w:rFonts w:cs="Calibri"/>
                <w:lang w:val="fr-FR"/>
              </w:rPr>
              <w:t>112.5</w:t>
            </w:r>
          </w:p>
        </w:tc>
      </w:tr>
      <w:tr w14:paraId="05FE0316" w14:textId="77777777" w:rsidTr="007943D3">
        <w:tblPrEx>
          <w:tblW w:w="9180" w:type="dxa"/>
          <w:tblInd w:w="97" w:type="dxa"/>
          <w:tblLayout w:type="fixed"/>
          <w:tblCellMar>
            <w:left w:w="97" w:type="dxa"/>
            <w:right w:w="97" w:type="dxa"/>
          </w:tblCellMar>
          <w:tblLook w:val="0000"/>
        </w:tblPrEx>
        <w:tc>
          <w:tcPr>
            <w:tcW w:w="1800" w:type="dxa"/>
            <w:tcBorders>
              <w:top w:val="single" w:sz="2" w:space="0" w:color="auto"/>
              <w:left w:val="single" w:sz="2" w:space="0" w:color="auto"/>
              <w:bottom w:val="single" w:sz="2" w:space="0" w:color="auto"/>
              <w:right w:val="single" w:sz="2" w:space="0" w:color="auto"/>
            </w:tcBorders>
          </w:tcPr>
          <w:p w:rsidR="00F44C91" w:rsidRPr="000E7360" w:rsidP="001A76FD" w14:paraId="1DC459F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alibri"/>
                <w:lang w:val="fr-FR"/>
              </w:rPr>
            </w:pPr>
            <w:r w:rsidRPr="000E7360">
              <w:rPr>
                <w:rFonts w:cs="Calibri"/>
                <w:lang w:val="fr-FR"/>
              </w:rPr>
              <w:t>Total</w:t>
            </w:r>
          </w:p>
        </w:tc>
        <w:tc>
          <w:tcPr>
            <w:tcW w:w="1440" w:type="dxa"/>
            <w:tcBorders>
              <w:top w:val="single" w:sz="2" w:space="0" w:color="auto"/>
              <w:left w:val="single" w:sz="2" w:space="0" w:color="auto"/>
              <w:bottom w:val="single" w:sz="2" w:space="0" w:color="auto"/>
              <w:right w:val="single" w:sz="2" w:space="0" w:color="auto"/>
            </w:tcBorders>
          </w:tcPr>
          <w:p w:rsidR="00F44C91" w:rsidRPr="000E7360" w:rsidP="007943D3" w14:paraId="10BD42F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cs="Calibri"/>
                <w:lang w:val="fr-FR"/>
              </w:rPr>
            </w:pPr>
            <w:r w:rsidRPr="000E7360">
              <w:rPr>
                <w:rFonts w:cs="Calibri"/>
                <w:lang w:val="fr-FR"/>
              </w:rPr>
              <w:t>90</w:t>
            </w:r>
          </w:p>
        </w:tc>
        <w:tc>
          <w:tcPr>
            <w:tcW w:w="1800" w:type="dxa"/>
            <w:tcBorders>
              <w:top w:val="single" w:sz="2" w:space="0" w:color="auto"/>
              <w:left w:val="single" w:sz="2" w:space="0" w:color="auto"/>
              <w:bottom w:val="single" w:sz="2" w:space="0" w:color="auto"/>
              <w:right w:val="single" w:sz="2" w:space="0" w:color="auto"/>
            </w:tcBorders>
          </w:tcPr>
          <w:p w:rsidR="00F44C91" w:rsidRPr="000E7360" w:rsidP="007943D3" w14:paraId="47BDA69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cs="Calibri"/>
                <w:lang w:val="fr-FR"/>
              </w:rPr>
            </w:pPr>
          </w:p>
        </w:tc>
        <w:tc>
          <w:tcPr>
            <w:tcW w:w="1350" w:type="dxa"/>
            <w:tcBorders>
              <w:top w:val="single" w:sz="2" w:space="0" w:color="auto"/>
              <w:left w:val="single" w:sz="2" w:space="0" w:color="auto"/>
              <w:bottom w:val="single" w:sz="2" w:space="0" w:color="auto"/>
              <w:right w:val="single" w:sz="2" w:space="0" w:color="auto"/>
            </w:tcBorders>
          </w:tcPr>
          <w:p w:rsidR="00F44C91" w:rsidRPr="000E7360" w:rsidP="007943D3" w14:paraId="51AD9C1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cs="Calibri"/>
                <w:lang w:val="fr-FR"/>
              </w:rPr>
            </w:pPr>
            <w:r w:rsidRPr="000E7360">
              <w:rPr>
                <w:rFonts w:cs="Calibri"/>
                <w:lang w:val="fr-FR"/>
              </w:rPr>
              <w:t>90</w:t>
            </w:r>
          </w:p>
        </w:tc>
        <w:tc>
          <w:tcPr>
            <w:tcW w:w="1350" w:type="dxa"/>
            <w:tcBorders>
              <w:top w:val="single" w:sz="2" w:space="0" w:color="auto"/>
              <w:left w:val="single" w:sz="2" w:space="0" w:color="auto"/>
              <w:bottom w:val="single" w:sz="2" w:space="0" w:color="auto"/>
              <w:right w:val="single" w:sz="2" w:space="0" w:color="auto"/>
            </w:tcBorders>
          </w:tcPr>
          <w:p w:rsidR="00F44C91" w:rsidRPr="000E7360" w:rsidP="007943D3" w14:paraId="0C49198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cs="Calibri"/>
                <w:lang w:val="fr-FR"/>
              </w:rPr>
            </w:pPr>
          </w:p>
        </w:tc>
        <w:tc>
          <w:tcPr>
            <w:tcW w:w="1440" w:type="dxa"/>
            <w:tcBorders>
              <w:top w:val="single" w:sz="2" w:space="0" w:color="auto"/>
              <w:left w:val="single" w:sz="2" w:space="0" w:color="auto"/>
              <w:bottom w:val="single" w:sz="2" w:space="0" w:color="auto"/>
              <w:right w:val="single" w:sz="2" w:space="0" w:color="auto"/>
            </w:tcBorders>
          </w:tcPr>
          <w:p w:rsidR="00F44C91" w:rsidRPr="000E7360" w:rsidP="007943D3" w14:paraId="6B64683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cs="Calibri"/>
              </w:rPr>
            </w:pPr>
            <w:r>
              <w:rPr>
                <w:rFonts w:cs="Calibri"/>
              </w:rPr>
              <w:t xml:space="preserve">112.5 </w:t>
            </w:r>
          </w:p>
        </w:tc>
      </w:tr>
    </w:tbl>
    <w:p w:rsidR="007B4344" w:rsidRPr="00700867" w:rsidP="00343922" w14:paraId="7CC90A07" w14:textId="1E7B1571">
      <w:pPr>
        <w:autoSpaceDE w:val="0"/>
        <w:autoSpaceDN w:val="0"/>
        <w:adjustRightInd w:val="0"/>
        <w:spacing w:line="480" w:lineRule="auto"/>
        <w:rPr>
          <w:rFonts w:cs="Calibri"/>
          <w:bCs/>
        </w:rPr>
      </w:pPr>
      <w:r w:rsidRPr="00700867">
        <w:rPr>
          <w:rFonts w:cs="Calibri"/>
          <w:bCs/>
        </w:rPr>
        <w:t xml:space="preserve">* Burden Hours in ROCIS have been rounded up to the nearest whole number (113). </w:t>
      </w:r>
    </w:p>
    <w:p w:rsidR="00487679" w:rsidP="00343922" w14:paraId="4792A0BC" w14:textId="77777777">
      <w:pPr>
        <w:autoSpaceDE w:val="0"/>
        <w:autoSpaceDN w:val="0"/>
        <w:adjustRightInd w:val="0"/>
        <w:spacing w:line="480" w:lineRule="auto"/>
        <w:rPr>
          <w:rFonts w:cs="Calibri"/>
          <w:b/>
        </w:rPr>
      </w:pPr>
    </w:p>
    <w:p w:rsidR="00487679" w:rsidP="00343922" w14:paraId="5F2D1F3E" w14:textId="77777777">
      <w:pPr>
        <w:autoSpaceDE w:val="0"/>
        <w:autoSpaceDN w:val="0"/>
        <w:adjustRightInd w:val="0"/>
        <w:spacing w:line="480" w:lineRule="auto"/>
        <w:rPr>
          <w:rFonts w:cs="Calibri"/>
          <w:b/>
        </w:rPr>
      </w:pPr>
    </w:p>
    <w:p w:rsidR="007471D8" w:rsidRPr="000E7360" w:rsidP="00343922" w14:paraId="61146A48" w14:textId="77777777">
      <w:pPr>
        <w:autoSpaceDE w:val="0"/>
        <w:autoSpaceDN w:val="0"/>
        <w:adjustRightInd w:val="0"/>
        <w:spacing w:line="480" w:lineRule="auto"/>
        <w:rPr>
          <w:rFonts w:cs="Calibri"/>
          <w:b/>
        </w:rPr>
      </w:pPr>
      <w:r w:rsidRPr="000E7360">
        <w:rPr>
          <w:rFonts w:cs="Calibri"/>
          <w:b/>
        </w:rPr>
        <w:t>12B</w:t>
      </w:r>
      <w:r w:rsidRPr="000E7360" w:rsidR="00D91D8E">
        <w:rPr>
          <w:rFonts w:cs="Calibri"/>
          <w:b/>
        </w:rPr>
        <w:t>: Estimated</w:t>
      </w:r>
      <w:r w:rsidRPr="000E7360">
        <w:rPr>
          <w:rFonts w:cs="Calibri"/>
          <w:b/>
        </w:rPr>
        <w:t xml:space="preserve"> Annualized Burden Costs </w:t>
      </w:r>
    </w:p>
    <w:tbl>
      <w:tblPr>
        <w:tblW w:w="7740" w:type="dxa"/>
        <w:tblInd w:w="97" w:type="dxa"/>
        <w:tblLayout w:type="fixed"/>
        <w:tblCellMar>
          <w:left w:w="97" w:type="dxa"/>
          <w:right w:w="97" w:type="dxa"/>
        </w:tblCellMar>
        <w:tblLook w:val="0000"/>
      </w:tblPr>
      <w:tblGrid>
        <w:gridCol w:w="2160"/>
        <w:gridCol w:w="1800"/>
        <w:gridCol w:w="1530"/>
        <w:gridCol w:w="2250"/>
      </w:tblGrid>
      <w:tr w14:paraId="09D8A9EC" w14:textId="77777777" w:rsidTr="00DA0970">
        <w:tblPrEx>
          <w:tblW w:w="7740" w:type="dxa"/>
          <w:tblInd w:w="97" w:type="dxa"/>
          <w:tblLayout w:type="fixed"/>
          <w:tblCellMar>
            <w:left w:w="97" w:type="dxa"/>
            <w:right w:w="97" w:type="dxa"/>
          </w:tblCellMar>
          <w:tblLook w:val="0000"/>
        </w:tblPrEx>
        <w:trPr>
          <w:trHeight w:val="1030"/>
        </w:trPr>
        <w:tc>
          <w:tcPr>
            <w:tcW w:w="2160" w:type="dxa"/>
            <w:tcBorders>
              <w:top w:val="single" w:sz="2" w:space="0" w:color="auto"/>
              <w:left w:val="single" w:sz="2" w:space="0" w:color="auto"/>
              <w:bottom w:val="single" w:sz="2" w:space="0" w:color="auto"/>
              <w:right w:val="single" w:sz="2" w:space="0" w:color="auto"/>
            </w:tcBorders>
            <w:vAlign w:val="bottom"/>
          </w:tcPr>
          <w:p w:rsidR="00413F6F" w:rsidRPr="000E7360" w:rsidP="000C645A" w14:paraId="673E4769" w14:textId="77777777">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Calibri" w:hAnsi="Calibri" w:cs="Calibri"/>
                <w:highlight w:val="yellow"/>
              </w:rPr>
            </w:pPr>
          </w:p>
          <w:p w:rsidR="00413F6F" w:rsidRPr="000E7360" w:rsidP="000C645A" w14:paraId="5B467FA1" w14:textId="77777777">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Calibri" w:hAnsi="Calibri" w:cs="Calibri"/>
                <w:b/>
                <w:highlight w:val="yellow"/>
              </w:rPr>
            </w:pPr>
            <w:r w:rsidRPr="000E7360">
              <w:rPr>
                <w:rFonts w:ascii="Calibri" w:hAnsi="Calibri" w:cs="Calibri"/>
                <w:b/>
              </w:rPr>
              <w:t xml:space="preserve">Type of Respondent </w:t>
            </w:r>
          </w:p>
        </w:tc>
        <w:tc>
          <w:tcPr>
            <w:tcW w:w="1800" w:type="dxa"/>
            <w:tcBorders>
              <w:top w:val="single" w:sz="2" w:space="0" w:color="auto"/>
              <w:left w:val="single" w:sz="2" w:space="0" w:color="auto"/>
              <w:bottom w:val="single" w:sz="2" w:space="0" w:color="auto"/>
              <w:right w:val="single" w:sz="2" w:space="0" w:color="auto"/>
            </w:tcBorders>
            <w:vAlign w:val="bottom"/>
          </w:tcPr>
          <w:p w:rsidR="00413F6F" w:rsidRPr="000E7360" w:rsidP="000C645A" w14:paraId="3A9B2053" w14:textId="77777777">
            <w:pPr>
              <w:pStyle w:val="BodyText"/>
              <w:widowControl/>
              <w:jc w:val="center"/>
              <w:rPr>
                <w:rFonts w:ascii="Calibri" w:hAnsi="Calibri" w:cs="Calibri"/>
                <w:b/>
                <w:sz w:val="22"/>
                <w:szCs w:val="22"/>
                <w:highlight w:val="yellow"/>
              </w:rPr>
            </w:pPr>
            <w:r w:rsidRPr="000E7360">
              <w:rPr>
                <w:rFonts w:ascii="Calibri" w:hAnsi="Calibri" w:cs="Calibri"/>
                <w:b/>
                <w:sz w:val="22"/>
                <w:szCs w:val="22"/>
              </w:rPr>
              <w:t xml:space="preserve">Total Burden Hours </w:t>
            </w:r>
          </w:p>
        </w:tc>
        <w:tc>
          <w:tcPr>
            <w:tcW w:w="1530" w:type="dxa"/>
            <w:tcBorders>
              <w:top w:val="single" w:sz="2" w:space="0" w:color="auto"/>
              <w:left w:val="single" w:sz="2" w:space="0" w:color="auto"/>
              <w:bottom w:val="single" w:sz="2" w:space="0" w:color="auto"/>
              <w:right w:val="single" w:sz="2" w:space="0" w:color="auto"/>
            </w:tcBorders>
            <w:vAlign w:val="bottom"/>
          </w:tcPr>
          <w:p w:rsidR="00413F6F" w:rsidRPr="000E7360" w:rsidP="000C645A" w14:paraId="6C33EC03" w14:textId="77777777">
            <w:pPr>
              <w:pStyle w:val="BodyText"/>
              <w:widowControl/>
              <w:jc w:val="center"/>
              <w:rPr>
                <w:rFonts w:ascii="Calibri" w:hAnsi="Calibri" w:cs="Calibri"/>
                <w:highlight w:val="yellow"/>
              </w:rPr>
            </w:pPr>
          </w:p>
          <w:p w:rsidR="00413F6F" w:rsidRPr="000E7360" w:rsidP="000C645A" w14:paraId="1EF22375" w14:textId="77777777">
            <w:pPr>
              <w:pStyle w:val="BodyText"/>
              <w:widowControl/>
              <w:jc w:val="center"/>
              <w:rPr>
                <w:rFonts w:ascii="Calibri" w:hAnsi="Calibri" w:cs="Calibri"/>
                <w:b/>
                <w:sz w:val="22"/>
                <w:szCs w:val="22"/>
                <w:highlight w:val="yellow"/>
              </w:rPr>
            </w:pPr>
            <w:r w:rsidRPr="000E7360">
              <w:rPr>
                <w:rFonts w:ascii="Calibri" w:hAnsi="Calibri" w:cs="Calibri"/>
                <w:b/>
                <w:sz w:val="22"/>
                <w:szCs w:val="22"/>
              </w:rPr>
              <w:t xml:space="preserve">Hourly Wage Rate </w:t>
            </w:r>
            <w:r w:rsidR="00981B26">
              <w:rPr>
                <w:rFonts w:ascii="Calibri" w:hAnsi="Calibri" w:cs="Calibri"/>
                <w:b/>
                <w:sz w:val="22"/>
                <w:szCs w:val="22"/>
              </w:rPr>
              <w:t>(x2) (adjusted for overhead costs)</w:t>
            </w:r>
          </w:p>
        </w:tc>
        <w:tc>
          <w:tcPr>
            <w:tcW w:w="2250" w:type="dxa"/>
            <w:tcBorders>
              <w:top w:val="single" w:sz="2" w:space="0" w:color="auto"/>
              <w:left w:val="single" w:sz="2" w:space="0" w:color="auto"/>
              <w:bottom w:val="single" w:sz="2" w:space="0" w:color="auto"/>
              <w:right w:val="single" w:sz="2" w:space="0" w:color="auto"/>
            </w:tcBorders>
            <w:vAlign w:val="bottom"/>
          </w:tcPr>
          <w:p w:rsidR="00413F6F" w:rsidRPr="000E7360" w:rsidP="000C645A" w14:paraId="4A46F66D" w14:textId="77777777">
            <w:pPr>
              <w:pStyle w:val="BodyText"/>
              <w:widowControl/>
              <w:jc w:val="center"/>
              <w:rPr>
                <w:rFonts w:ascii="Calibri" w:hAnsi="Calibri" w:cs="Calibri"/>
                <w:highlight w:val="yellow"/>
              </w:rPr>
            </w:pPr>
          </w:p>
          <w:p w:rsidR="00413F6F" w:rsidRPr="000E7360" w:rsidP="000C645A" w14:paraId="1F6892E9" w14:textId="77777777">
            <w:pPr>
              <w:pStyle w:val="BodyText"/>
              <w:widowControl/>
              <w:jc w:val="center"/>
              <w:rPr>
                <w:rFonts w:ascii="Calibri" w:hAnsi="Calibri" w:cs="Calibri"/>
                <w:b/>
                <w:sz w:val="22"/>
                <w:szCs w:val="22"/>
                <w:highlight w:val="yellow"/>
              </w:rPr>
            </w:pPr>
            <w:r w:rsidRPr="000E7360">
              <w:rPr>
                <w:rFonts w:ascii="Calibri" w:hAnsi="Calibri" w:cs="Calibri"/>
                <w:b/>
                <w:sz w:val="22"/>
                <w:szCs w:val="22"/>
              </w:rPr>
              <w:t xml:space="preserve">Total Respondent Costs </w:t>
            </w:r>
          </w:p>
        </w:tc>
      </w:tr>
      <w:tr w14:paraId="040EA376" w14:textId="77777777" w:rsidTr="00FE3FBE">
        <w:tblPrEx>
          <w:tblW w:w="7740" w:type="dxa"/>
          <w:tblInd w:w="97" w:type="dxa"/>
          <w:tblLayout w:type="fixed"/>
          <w:tblCellMar>
            <w:left w:w="97" w:type="dxa"/>
            <w:right w:w="97" w:type="dxa"/>
          </w:tblCellMar>
          <w:tblLook w:val="0000"/>
        </w:tblPrEx>
        <w:tc>
          <w:tcPr>
            <w:tcW w:w="2160" w:type="dxa"/>
            <w:tcBorders>
              <w:top w:val="single" w:sz="2" w:space="0" w:color="auto"/>
              <w:left w:val="single" w:sz="2" w:space="0" w:color="auto"/>
              <w:bottom w:val="single" w:sz="2" w:space="0" w:color="auto"/>
              <w:right w:val="single" w:sz="2" w:space="0" w:color="auto"/>
            </w:tcBorders>
          </w:tcPr>
          <w:p w:rsidR="00413F6F" w:rsidRPr="000E7360" w:rsidP="00FE3FBE" w14:paraId="57FB7BD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cs="Calibri"/>
              </w:rPr>
            </w:pPr>
            <w:r w:rsidRPr="000E7360">
              <w:rPr>
                <w:rFonts w:cs="Calibri"/>
              </w:rPr>
              <w:t xml:space="preserve"> Administrative </w:t>
            </w:r>
            <w:r w:rsidRPr="000E7360" w:rsidR="00AE2FD6">
              <w:rPr>
                <w:rFonts w:cs="Calibri"/>
              </w:rPr>
              <w:t xml:space="preserve">Representative </w:t>
            </w:r>
          </w:p>
        </w:tc>
        <w:tc>
          <w:tcPr>
            <w:tcW w:w="1800" w:type="dxa"/>
            <w:tcBorders>
              <w:top w:val="single" w:sz="2" w:space="0" w:color="auto"/>
              <w:left w:val="single" w:sz="2" w:space="0" w:color="auto"/>
              <w:bottom w:val="single" w:sz="2" w:space="0" w:color="auto"/>
              <w:right w:val="single" w:sz="2" w:space="0" w:color="auto"/>
            </w:tcBorders>
          </w:tcPr>
          <w:p w:rsidR="00413F6F" w:rsidRPr="000E7360" w:rsidP="00FE3FBE" w14:paraId="65CA5D9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cs="Calibri"/>
                <w:lang w:val="fr-FR"/>
              </w:rPr>
            </w:pPr>
            <w:r>
              <w:rPr>
                <w:rFonts w:cs="Calibri"/>
                <w:lang w:val="fr-FR"/>
              </w:rPr>
              <w:t>112.5</w:t>
            </w:r>
          </w:p>
        </w:tc>
        <w:tc>
          <w:tcPr>
            <w:tcW w:w="1530" w:type="dxa"/>
            <w:tcBorders>
              <w:top w:val="single" w:sz="2" w:space="0" w:color="auto"/>
              <w:left w:val="single" w:sz="2" w:space="0" w:color="auto"/>
              <w:bottom w:val="single" w:sz="2" w:space="0" w:color="auto"/>
              <w:right w:val="single" w:sz="2" w:space="0" w:color="auto"/>
            </w:tcBorders>
          </w:tcPr>
          <w:p w:rsidR="00413F6F" w:rsidRPr="000E7360" w:rsidP="00FE3FBE" w14:paraId="1F75411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cs="Calibri"/>
                <w:lang w:val="fr-FR"/>
              </w:rPr>
            </w:pPr>
            <w:r w:rsidRPr="000E7360">
              <w:rPr>
                <w:rFonts w:cs="Calibri"/>
              </w:rPr>
              <w:t>$</w:t>
            </w:r>
            <w:r w:rsidR="00981B26">
              <w:rPr>
                <w:rFonts w:cs="Calibri"/>
              </w:rPr>
              <w:t>45.64</w:t>
            </w:r>
            <w:r w:rsidRPr="000E7360">
              <w:rPr>
                <w:rFonts w:cs="Calibri"/>
              </w:rPr>
              <w:t>/h</w:t>
            </w:r>
            <w:r w:rsidRPr="000E7360" w:rsidR="00FE7920">
              <w:rPr>
                <w:rFonts w:cs="Calibri"/>
              </w:rPr>
              <w:t>our</w:t>
            </w:r>
            <w:r>
              <w:rPr>
                <w:rStyle w:val="FootnoteReference"/>
                <w:rFonts w:cs="Calibri"/>
              </w:rPr>
              <w:footnoteReference w:id="2"/>
            </w:r>
            <w:r w:rsidRPr="000E7360">
              <w:rPr>
                <w:rFonts w:cs="Calibri"/>
                <w:lang w:val="fr-FR"/>
              </w:rPr>
              <w:t xml:space="preserve"> </w:t>
            </w:r>
          </w:p>
        </w:tc>
        <w:tc>
          <w:tcPr>
            <w:tcW w:w="2250" w:type="dxa"/>
            <w:tcBorders>
              <w:top w:val="single" w:sz="2" w:space="0" w:color="auto"/>
              <w:left w:val="single" w:sz="2" w:space="0" w:color="auto"/>
              <w:bottom w:val="single" w:sz="2" w:space="0" w:color="auto"/>
              <w:right w:val="single" w:sz="2" w:space="0" w:color="auto"/>
            </w:tcBorders>
          </w:tcPr>
          <w:p w:rsidR="00413F6F" w:rsidRPr="000E7360" w:rsidP="00FE3FBE" w14:paraId="704E39D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cs="Calibri"/>
                <w:lang w:val="fr-FR"/>
              </w:rPr>
            </w:pPr>
            <w:r w:rsidRPr="000E7360">
              <w:rPr>
                <w:rFonts w:cs="Calibri"/>
                <w:lang w:val="fr-FR"/>
              </w:rPr>
              <w:t>$</w:t>
            </w:r>
            <w:r w:rsidR="00981B26">
              <w:rPr>
                <w:rFonts w:cs="Calibri"/>
                <w:lang w:val="fr-FR"/>
              </w:rPr>
              <w:t>5,134.50</w:t>
            </w:r>
          </w:p>
        </w:tc>
      </w:tr>
      <w:tr w14:paraId="438FB370" w14:textId="77777777" w:rsidTr="00FE3FBE">
        <w:tblPrEx>
          <w:tblW w:w="7740" w:type="dxa"/>
          <w:tblInd w:w="97" w:type="dxa"/>
          <w:tblLayout w:type="fixed"/>
          <w:tblCellMar>
            <w:left w:w="97" w:type="dxa"/>
            <w:right w:w="97" w:type="dxa"/>
          </w:tblCellMar>
          <w:tblLook w:val="0000"/>
        </w:tblPrEx>
        <w:tc>
          <w:tcPr>
            <w:tcW w:w="2160" w:type="dxa"/>
            <w:tcBorders>
              <w:top w:val="single" w:sz="2" w:space="0" w:color="auto"/>
              <w:left w:val="single" w:sz="2" w:space="0" w:color="auto"/>
              <w:bottom w:val="single" w:sz="2" w:space="0" w:color="auto"/>
              <w:right w:val="single" w:sz="2" w:space="0" w:color="auto"/>
            </w:tcBorders>
          </w:tcPr>
          <w:p w:rsidR="00413F6F" w:rsidRPr="000E7360" w:rsidP="00FE3FBE" w14:paraId="40A1A72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cs="Calibri"/>
                <w:lang w:val="fr-FR"/>
              </w:rPr>
            </w:pPr>
            <w:r w:rsidRPr="000E7360">
              <w:rPr>
                <w:rFonts w:cs="Calibri"/>
                <w:lang w:val="fr-FR"/>
              </w:rPr>
              <w:t>Total</w:t>
            </w:r>
          </w:p>
        </w:tc>
        <w:tc>
          <w:tcPr>
            <w:tcW w:w="1800" w:type="dxa"/>
            <w:tcBorders>
              <w:top w:val="single" w:sz="2" w:space="0" w:color="auto"/>
              <w:left w:val="single" w:sz="2" w:space="0" w:color="auto"/>
              <w:bottom w:val="single" w:sz="2" w:space="0" w:color="auto"/>
              <w:right w:val="single" w:sz="2" w:space="0" w:color="auto"/>
            </w:tcBorders>
          </w:tcPr>
          <w:p w:rsidR="00413F6F" w:rsidRPr="000E7360" w:rsidP="00FE3FBE" w14:paraId="14957ED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cs="Calibri"/>
                <w:lang w:val="fr-FR"/>
              </w:rPr>
            </w:pPr>
            <w:r>
              <w:rPr>
                <w:rFonts w:cs="Calibri"/>
                <w:lang w:val="fr-FR"/>
              </w:rPr>
              <w:t xml:space="preserve">112.5 </w:t>
            </w:r>
          </w:p>
        </w:tc>
        <w:tc>
          <w:tcPr>
            <w:tcW w:w="1530" w:type="dxa"/>
            <w:tcBorders>
              <w:top w:val="single" w:sz="2" w:space="0" w:color="auto"/>
              <w:left w:val="single" w:sz="2" w:space="0" w:color="auto"/>
              <w:bottom w:val="single" w:sz="2" w:space="0" w:color="auto"/>
              <w:right w:val="single" w:sz="2" w:space="0" w:color="auto"/>
            </w:tcBorders>
          </w:tcPr>
          <w:p w:rsidR="00413F6F" w:rsidRPr="000E7360" w:rsidP="00FE3FBE" w14:paraId="463006D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cs="Calibri"/>
                <w:lang w:val="fr-FR"/>
              </w:rPr>
            </w:pPr>
          </w:p>
        </w:tc>
        <w:tc>
          <w:tcPr>
            <w:tcW w:w="2250" w:type="dxa"/>
            <w:tcBorders>
              <w:top w:val="single" w:sz="2" w:space="0" w:color="auto"/>
              <w:left w:val="single" w:sz="2" w:space="0" w:color="auto"/>
              <w:bottom w:val="single" w:sz="2" w:space="0" w:color="auto"/>
              <w:right w:val="single" w:sz="2" w:space="0" w:color="auto"/>
            </w:tcBorders>
          </w:tcPr>
          <w:p w:rsidR="00413F6F" w:rsidRPr="000E7360" w:rsidP="00FE3FBE" w14:paraId="3B839FA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cs="Calibri"/>
                <w:lang w:val="fr-FR"/>
              </w:rPr>
            </w:pPr>
            <w:r w:rsidRPr="000E7360">
              <w:rPr>
                <w:rFonts w:cs="Calibri"/>
                <w:lang w:val="fr-FR"/>
              </w:rPr>
              <w:t>$</w:t>
            </w:r>
            <w:r w:rsidR="00981B26">
              <w:rPr>
                <w:rFonts w:cs="Calibri"/>
                <w:lang w:val="fr-FR"/>
              </w:rPr>
              <w:t>5,134.50</w:t>
            </w:r>
          </w:p>
        </w:tc>
      </w:tr>
    </w:tbl>
    <w:p w:rsidR="007471D8" w:rsidRPr="000E7360" w:rsidP="00E11D8E" w14:paraId="7AE3A241" w14:textId="77777777">
      <w:pPr>
        <w:autoSpaceDE w:val="0"/>
        <w:autoSpaceDN w:val="0"/>
        <w:adjustRightInd w:val="0"/>
        <w:spacing w:line="480" w:lineRule="auto"/>
        <w:ind w:left="360"/>
        <w:rPr>
          <w:rFonts w:cs="Calibri"/>
        </w:rPr>
      </w:pPr>
    </w:p>
    <w:p w:rsidR="00AE2FD6" w:rsidRPr="000E7360" w:rsidP="00506545" w14:paraId="09D49E43" w14:textId="77777777">
      <w:pPr>
        <w:pStyle w:val="ListParagraph"/>
        <w:numPr>
          <w:ilvl w:val="0"/>
          <w:numId w:val="6"/>
        </w:numPr>
        <w:rPr>
          <w:rFonts w:cs="Calibri"/>
          <w:b/>
        </w:rPr>
      </w:pPr>
      <w:r w:rsidRPr="000E7360">
        <w:rPr>
          <w:rFonts w:cs="Calibri"/>
          <w:b/>
        </w:rPr>
        <w:t xml:space="preserve"> </w:t>
      </w:r>
      <w:r w:rsidRPr="000E7360">
        <w:rPr>
          <w:rFonts w:cs="Calibri"/>
          <w:b/>
        </w:rPr>
        <w:t>Estimates of Other Total Annual Cost Burden to Respondents or Record Keepers/Capital</w:t>
      </w:r>
      <w:r w:rsidRPr="000E7360">
        <w:rPr>
          <w:rFonts w:cs="Calibri"/>
          <w:b/>
        </w:rPr>
        <w:t xml:space="preserve"> </w:t>
      </w:r>
      <w:r w:rsidRPr="000E7360">
        <w:rPr>
          <w:rFonts w:cs="Calibri"/>
          <w:b/>
        </w:rPr>
        <w:t>Costs</w:t>
      </w:r>
    </w:p>
    <w:p w:rsidR="00AE2FD6" w:rsidRPr="000E7360" w:rsidP="00AE2FD6" w14:paraId="3CC8338D" w14:textId="77777777">
      <w:pPr>
        <w:rPr>
          <w:rFonts w:cs="Calibri"/>
        </w:rPr>
      </w:pPr>
    </w:p>
    <w:p w:rsidR="00AE2FD6" w:rsidRPr="000E7360" w:rsidP="00AE2FD6" w14:paraId="676E7F70" w14:textId="77777777">
      <w:pPr>
        <w:rPr>
          <w:rFonts w:cs="Calibri"/>
        </w:rPr>
      </w:pPr>
      <w:r w:rsidRPr="000E7360">
        <w:rPr>
          <w:rFonts w:cs="Calibri"/>
        </w:rPr>
        <w:t>There are no costs outside of the customary and usual business practices</w:t>
      </w:r>
      <w:r w:rsidR="00271D97">
        <w:rPr>
          <w:rFonts w:cs="Calibri"/>
        </w:rPr>
        <w:t xml:space="preserve">. </w:t>
      </w:r>
      <w:r w:rsidRPr="000E7360">
        <w:rPr>
          <w:rFonts w:cs="Calibri"/>
        </w:rPr>
        <w:t xml:space="preserve">Residency programs are required to collect and maintain data on FTE status of all residents in the program to maintain academic accreditation. </w:t>
      </w:r>
    </w:p>
    <w:p w:rsidR="00AE2FD6" w:rsidRPr="000E7360" w:rsidP="00AE2FD6" w14:paraId="151BD604" w14:textId="77777777">
      <w:pPr>
        <w:rPr>
          <w:rFonts w:cs="Calibri"/>
          <w:b/>
          <w:u w:val="single"/>
        </w:rPr>
      </w:pPr>
    </w:p>
    <w:p w:rsidR="00AE2FD6" w:rsidRPr="000E7360" w:rsidP="00560296" w14:paraId="67EE0143" w14:textId="77777777">
      <w:pPr>
        <w:numPr>
          <w:ilvl w:val="0"/>
          <w:numId w:val="6"/>
        </w:numPr>
        <w:rPr>
          <w:rFonts w:cs="Calibri"/>
          <w:b/>
        </w:rPr>
      </w:pPr>
      <w:r w:rsidRPr="000E7360">
        <w:rPr>
          <w:rFonts w:cs="Calibri"/>
          <w:b/>
        </w:rPr>
        <w:t>Annualized Cost to the Government</w:t>
      </w:r>
    </w:p>
    <w:p w:rsidR="00AE2FD6" w:rsidRPr="000E7360" w:rsidP="00AE2FD6" w14:paraId="30B34ED1" w14:textId="77777777">
      <w:pPr>
        <w:rPr>
          <w:rFonts w:cs="Calibri"/>
        </w:rPr>
      </w:pPr>
    </w:p>
    <w:p w:rsidR="00AE2FD6" w:rsidRPr="000E7360" w:rsidP="00AE2FD6" w14:paraId="69E37BD8" w14:textId="77777777">
      <w:pPr>
        <w:rPr>
          <w:rFonts w:cs="Calibri"/>
        </w:rPr>
      </w:pPr>
      <w:r w:rsidRPr="000E7360">
        <w:rPr>
          <w:rFonts w:cs="Calibri"/>
        </w:rPr>
        <w:t xml:space="preserve">An estimated 0.1 FTE at the GS 11 </w:t>
      </w:r>
      <w:r w:rsidRPr="000E7360" w:rsidR="00EA1717">
        <w:rPr>
          <w:rFonts w:cs="Calibri"/>
        </w:rPr>
        <w:t xml:space="preserve">Step </w:t>
      </w:r>
      <w:r w:rsidRPr="000E7360" w:rsidR="00726578">
        <w:rPr>
          <w:rFonts w:cs="Calibri"/>
        </w:rPr>
        <w:t xml:space="preserve">9 </w:t>
      </w:r>
      <w:r w:rsidRPr="000E7360">
        <w:rPr>
          <w:rFonts w:cs="Calibri"/>
        </w:rPr>
        <w:t>level is needed to serve as the coordinator for data evaluation and to provide technical assistance to grantees regarding the data collection process and subsequent evaluation at an estimated cost of $</w:t>
      </w:r>
      <w:r w:rsidR="00981B26">
        <w:rPr>
          <w:rFonts w:cs="Calibri"/>
        </w:rPr>
        <w:t>16,073.40</w:t>
      </w:r>
      <w:r w:rsidRPr="000E7360">
        <w:rPr>
          <w:rFonts w:cs="Calibri"/>
        </w:rPr>
        <w:t xml:space="preserve"> annually.</w:t>
      </w:r>
      <w:r w:rsidR="00780461">
        <w:rPr>
          <w:rFonts w:cs="Calibri"/>
        </w:rPr>
        <w:t xml:space="preserve"> Wage has been multiplied by 1.5 to account for overhead costs.</w:t>
      </w:r>
    </w:p>
    <w:p w:rsidR="006215C0" w:rsidRPr="000E7360" w:rsidP="00AE2FD6" w14:paraId="5712F817" w14:textId="77777777">
      <w:pPr>
        <w:rPr>
          <w:rFonts w:cs="Calibri"/>
        </w:rPr>
      </w:pPr>
    </w:p>
    <w:p w:rsidR="005761B8" w:rsidRPr="000E7360" w:rsidP="00560296" w14:paraId="0DC47668" w14:textId="77777777">
      <w:pPr>
        <w:numPr>
          <w:ilvl w:val="0"/>
          <w:numId w:val="6"/>
        </w:numPr>
        <w:rPr>
          <w:rFonts w:cs="Calibri"/>
          <w:b/>
        </w:rPr>
      </w:pPr>
      <w:r w:rsidRPr="000E7360">
        <w:rPr>
          <w:rFonts w:cs="Calibri"/>
          <w:b/>
        </w:rPr>
        <w:t xml:space="preserve"> </w:t>
      </w:r>
      <w:r w:rsidRPr="000E7360">
        <w:rPr>
          <w:rFonts w:cs="Calibri"/>
          <w:b/>
        </w:rPr>
        <w:t>Explanation for Program Changes or Adjustments</w:t>
      </w:r>
    </w:p>
    <w:p w:rsidR="005761B8" w:rsidRPr="000E7360" w:rsidP="005761B8" w14:paraId="44FF2469" w14:textId="77777777">
      <w:pPr>
        <w:ind w:left="360"/>
        <w:rPr>
          <w:rFonts w:cs="Calibri"/>
        </w:rPr>
      </w:pPr>
    </w:p>
    <w:p w:rsidR="000411D8" w:rsidP="008C6DA4" w14:paraId="0B24A591" w14:textId="77777777">
      <w:pPr>
        <w:rPr>
          <w:rFonts w:cs="Calibri"/>
        </w:rPr>
      </w:pPr>
      <w:r w:rsidRPr="000E7360">
        <w:rPr>
          <w:rFonts w:cs="Calibri"/>
        </w:rPr>
        <w:t>The burden has not changed from the burden shown in the current inventory.</w:t>
      </w:r>
    </w:p>
    <w:p w:rsidR="000411D8" w:rsidRPr="000E7360" w:rsidP="008C6DA4" w14:paraId="17F061DA" w14:textId="77777777">
      <w:pPr>
        <w:pStyle w:val="ListParagraph"/>
        <w:rPr>
          <w:rFonts w:cs="Calibri"/>
        </w:rPr>
      </w:pPr>
    </w:p>
    <w:p w:rsidR="005761B8" w:rsidRPr="000E7360" w:rsidP="00506545" w14:paraId="7BE6A82E" w14:textId="77777777">
      <w:pPr>
        <w:numPr>
          <w:ilvl w:val="0"/>
          <w:numId w:val="6"/>
        </w:numPr>
        <w:rPr>
          <w:rFonts w:cs="Calibri"/>
          <w:b/>
        </w:rPr>
      </w:pPr>
      <w:r w:rsidRPr="000E7360">
        <w:rPr>
          <w:rFonts w:cs="Calibri"/>
          <w:b/>
        </w:rPr>
        <w:t xml:space="preserve">Plans for Tabulation, Publication and Project Time Schedule </w:t>
      </w:r>
    </w:p>
    <w:p w:rsidR="005761B8" w:rsidRPr="000E7360" w:rsidP="005761B8" w14:paraId="5ACEF18F" w14:textId="77777777">
      <w:pPr>
        <w:ind w:left="270"/>
        <w:rPr>
          <w:rFonts w:cs="Calibri"/>
          <w:b/>
          <w:u w:val="single"/>
        </w:rPr>
      </w:pPr>
    </w:p>
    <w:p w:rsidR="00307A97" w:rsidRPr="000E7360" w:rsidP="005761B8" w14:paraId="5015D6BC" w14:textId="77777777">
      <w:pPr>
        <w:rPr>
          <w:rFonts w:cs="Calibri"/>
        </w:rPr>
      </w:pPr>
      <w:r>
        <w:rPr>
          <w:rFonts w:cs="Calibri"/>
        </w:rPr>
        <w:t>HRSA currently publish</w:t>
      </w:r>
      <w:r w:rsidR="00A0582E">
        <w:rPr>
          <w:rFonts w:cs="Calibri"/>
        </w:rPr>
        <w:t>es</w:t>
      </w:r>
      <w:r>
        <w:rPr>
          <w:rFonts w:cs="Calibri"/>
        </w:rPr>
        <w:t xml:space="preserve"> aggregate THCGME Program Eligible Resident/Fellow FTE Chart data on awarded programs to demonstrate performance highlights and accomplishments, to meet the GPRA reporting requirements, inform Congressional Budget Justifications, and respond to Freedom of Information Act requests and inquiries from OMB and Congress. Additional publication of information </w:t>
      </w:r>
      <w:r>
        <w:rPr>
          <w:rFonts w:cs="Calibri"/>
        </w:rPr>
        <w:t xml:space="preserve">and data are not currently planned, however HRSA may want to publish additional aggregate highlights from our THCGME health centers in the future. Data will also be analyzed for internal administrative purposes and for tracking the performance indicators. </w:t>
      </w:r>
    </w:p>
    <w:p w:rsidR="00307A97" w:rsidRPr="000E7360" w:rsidP="005761B8" w14:paraId="70DBD7B1" w14:textId="77777777">
      <w:pPr>
        <w:rPr>
          <w:rFonts w:cs="Calibri"/>
        </w:rPr>
      </w:pPr>
    </w:p>
    <w:p w:rsidR="00307A97" w:rsidRPr="000E7360" w:rsidP="00307A97" w14:paraId="3CEE82A2" w14:textId="77777777">
      <w:pPr>
        <w:rPr>
          <w:rFonts w:cs="Calibri"/>
        </w:rPr>
      </w:pPr>
      <w:r w:rsidRPr="000E7360">
        <w:rPr>
          <w:rFonts w:cs="Calibri"/>
          <w:b/>
        </w:rPr>
        <w:t>17</w:t>
      </w:r>
      <w:r w:rsidR="00271D97">
        <w:rPr>
          <w:rFonts w:cs="Calibri"/>
          <w:b/>
        </w:rPr>
        <w:t xml:space="preserve">. </w:t>
      </w:r>
      <w:r w:rsidRPr="000E7360">
        <w:rPr>
          <w:rFonts w:cs="Calibri"/>
          <w:b/>
        </w:rPr>
        <w:t>Reason Display of OMB Expiration Date is Inappropriate</w:t>
      </w:r>
    </w:p>
    <w:p w:rsidR="00307A97" w:rsidRPr="000E7360" w:rsidP="00307A97" w14:paraId="251658E5" w14:textId="77777777">
      <w:pPr>
        <w:rPr>
          <w:rFonts w:cs="Calibri"/>
          <w:u w:val="single"/>
        </w:rPr>
      </w:pPr>
    </w:p>
    <w:p w:rsidR="000509C4" w:rsidRPr="000E7360" w:rsidP="00307A97" w14:paraId="655D0D13" w14:textId="77777777">
      <w:pPr>
        <w:rPr>
          <w:rFonts w:cs="Calibri"/>
        </w:rPr>
      </w:pPr>
      <w:r w:rsidRPr="000E7360">
        <w:rPr>
          <w:rFonts w:cs="Calibri"/>
        </w:rPr>
        <w:t>The OMB number and Expiration date will be displayed on every page of every form/instrument.</w:t>
      </w:r>
    </w:p>
    <w:p w:rsidR="00307A97" w:rsidRPr="000E7360" w:rsidP="00307A97" w14:paraId="3DCB8179" w14:textId="77777777">
      <w:pPr>
        <w:rPr>
          <w:rFonts w:cs="Calibri"/>
        </w:rPr>
      </w:pPr>
      <w:r w:rsidRPr="000E7360">
        <w:rPr>
          <w:rFonts w:cs="Calibri"/>
        </w:rPr>
        <w:t xml:space="preserve"> </w:t>
      </w:r>
    </w:p>
    <w:p w:rsidR="00307A97" w:rsidRPr="000E7360" w:rsidP="00307A97" w14:paraId="4332C431" w14:textId="77777777">
      <w:pPr>
        <w:rPr>
          <w:rFonts w:cs="Calibri"/>
          <w:u w:val="single"/>
        </w:rPr>
      </w:pPr>
      <w:r w:rsidRPr="000E7360">
        <w:rPr>
          <w:rFonts w:cs="Calibri"/>
          <w:b/>
        </w:rPr>
        <w:t>18</w:t>
      </w:r>
      <w:r w:rsidR="00271D97">
        <w:rPr>
          <w:rFonts w:cs="Calibri"/>
          <w:b/>
        </w:rPr>
        <w:t xml:space="preserve">. </w:t>
      </w:r>
      <w:r w:rsidRPr="000E7360">
        <w:rPr>
          <w:rFonts w:cs="Calibri"/>
          <w:b/>
        </w:rPr>
        <w:t>Exceptions to Certification for Paperwork Reduction Act Submissions</w:t>
      </w:r>
    </w:p>
    <w:p w:rsidR="00307A97" w:rsidRPr="000E7360" w:rsidP="00307A97" w14:paraId="0D9D5F59" w14:textId="77777777">
      <w:pPr>
        <w:rPr>
          <w:rFonts w:cs="Calibri"/>
        </w:rPr>
      </w:pPr>
    </w:p>
    <w:p w:rsidR="00347A4D" w:rsidRPr="00FB2CEA" w:rsidP="00FB2CEA" w14:paraId="695FA11C" w14:textId="77777777">
      <w:pPr>
        <w:rPr>
          <w:rFonts w:cs="Calibri"/>
        </w:rPr>
      </w:pPr>
      <w:r w:rsidRPr="000E7360">
        <w:rPr>
          <w:rFonts w:cs="Calibri"/>
        </w:rPr>
        <w:t>There are no exceptions to the certification.</w:t>
      </w:r>
    </w:p>
    <w:sectPr w:rsidSect="00277F39">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2786" w14:paraId="1F6CB0A3" w14:textId="77777777">
    <w:pPr>
      <w:pStyle w:val="Footer"/>
      <w:jc w:val="center"/>
    </w:pPr>
    <w:r>
      <w:fldChar w:fldCharType="begin"/>
    </w:r>
    <w:r>
      <w:instrText xml:space="preserve"> PAGE   \* MERGEFORMAT </w:instrText>
    </w:r>
    <w:r>
      <w:fldChar w:fldCharType="separate"/>
    </w:r>
    <w:r w:rsidR="00A9400D">
      <w:rPr>
        <w:noProof/>
      </w:rPr>
      <w:t>4</w:t>
    </w:r>
    <w:r>
      <w:fldChar w:fldCharType="end"/>
    </w:r>
  </w:p>
  <w:p w:rsidR="00B32786" w14:paraId="27C1315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56008" w:rsidP="00B32786" w14:paraId="06A189C5" w14:textId="77777777">
      <w:r>
        <w:separator/>
      </w:r>
    </w:p>
  </w:footnote>
  <w:footnote w:type="continuationSeparator" w:id="1">
    <w:p w:rsidR="00756008" w:rsidP="00B32786" w14:paraId="6D58CC35" w14:textId="77777777">
      <w:r>
        <w:continuationSeparator/>
      </w:r>
    </w:p>
  </w:footnote>
  <w:footnote w:id="2">
    <w:p w:rsidR="004D1D9F" w:rsidRPr="00B83C4C" w:rsidP="004D1D9F" w14:paraId="1DD86F77" w14:textId="77777777">
      <w:pPr>
        <w:pStyle w:val="FootnoteText"/>
        <w:rPr>
          <w:rFonts w:ascii="Arial" w:hAnsi="Arial" w:cs="Arial"/>
          <w:sz w:val="16"/>
          <w:szCs w:val="16"/>
        </w:rPr>
      </w:pPr>
      <w:r>
        <w:rPr>
          <w:rStyle w:val="FootnoteReference"/>
        </w:rPr>
        <w:footnoteRef/>
      </w:r>
      <w:r>
        <w:t xml:space="preserve"> </w:t>
      </w:r>
      <w:r w:rsidRPr="00B83C4C">
        <w:rPr>
          <w:rFonts w:ascii="Arial" w:hAnsi="Arial" w:cs="Arial"/>
          <w:sz w:val="16"/>
          <w:szCs w:val="16"/>
        </w:rPr>
        <w:t xml:space="preserve">The wage rate is based upon Bureau of Labor Statistics data for the mean hourly wage of a </w:t>
      </w:r>
      <w:r>
        <w:rPr>
          <w:rFonts w:ascii="Arial" w:hAnsi="Arial" w:cs="Arial"/>
          <w:sz w:val="16"/>
          <w:szCs w:val="16"/>
        </w:rPr>
        <w:t>Secretary/Administrative Assistant</w:t>
      </w:r>
      <w:r w:rsidRPr="00B83C4C">
        <w:rPr>
          <w:rFonts w:ascii="Arial" w:hAnsi="Arial" w:cs="Arial"/>
          <w:sz w:val="16"/>
          <w:szCs w:val="16"/>
        </w:rPr>
        <w:t xml:space="preserve">; </w:t>
      </w:r>
      <w:hyperlink r:id="rId1" w:anchor=":~:text=%2438%2C050-,The%20median%20annual%20wage%20for%20secretaries%20and%20administrative%20assistants%20was,percent%20earned%20more%20than%20%2463%2C100" w:history="1">
        <w:r w:rsidRPr="00627FB0" w:rsidR="00780461">
          <w:rPr>
            <w:rStyle w:val="Hyperlink"/>
            <w:rFonts w:ascii="Arial" w:hAnsi="Arial" w:cs="Arial"/>
            <w:sz w:val="16"/>
            <w:szCs w:val="16"/>
          </w:rPr>
          <w:t>https://www.bls.gov/ooh/office-and-administrative-support/secretaries-and-administrative-assistants.htm#:~:text=%2438%2C050-,The%20median%20annual%20wage%20for%20secretaries%20and%20administrative%20assistants%20was,percent%20earned%20more%20than%20%2463%2C100</w:t>
        </w:r>
      </w:hyperlink>
      <w:r w:rsidRPr="004D1D9F">
        <w:rPr>
          <w:rFonts w:ascii="Arial" w:hAnsi="Arial" w:cs="Arial"/>
          <w:sz w:val="16"/>
          <w:szCs w:val="16"/>
        </w:rPr>
        <w:t>.</w:t>
      </w:r>
      <w:r w:rsidR="00780461">
        <w:rPr>
          <w:rFonts w:ascii="Arial" w:hAnsi="Arial" w:cs="Arial"/>
          <w:sz w:val="16"/>
          <w:szCs w:val="16"/>
        </w:rPr>
        <w:t xml:space="preserve"> Hourly wage doubled to account for benefits.</w:t>
      </w:r>
    </w:p>
    <w:p w:rsidR="004D1D9F" w14:paraId="1338F316" w14:textId="7777777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B81A1C"/>
    <w:multiLevelType w:val="hybridMultilevel"/>
    <w:tmpl w:val="8C923EAC"/>
    <w:lvl w:ilvl="0">
      <w:start w:val="10"/>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B803712"/>
    <w:multiLevelType w:val="hybridMultilevel"/>
    <w:tmpl w:val="1A2436A4"/>
    <w:lvl w:ilvl="0">
      <w:start w:val="5"/>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20BD3A47"/>
    <w:multiLevelType w:val="hybridMultilevel"/>
    <w:tmpl w:val="686419E6"/>
    <w:lvl w:ilvl="0">
      <w:start w:val="1"/>
      <w:numFmt w:val="decimal"/>
      <w:lvlText w:val="%1."/>
      <w:lvlJc w:val="left"/>
      <w:pPr>
        <w:ind w:left="495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3EF3033"/>
    <w:multiLevelType w:val="hybridMultilevel"/>
    <w:tmpl w:val="46C08E4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4">
    <w:nsid w:val="25F72911"/>
    <w:multiLevelType w:val="hybridMultilevel"/>
    <w:tmpl w:val="3CC84C5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3B0E49B4"/>
    <w:multiLevelType w:val="hybridMultilevel"/>
    <w:tmpl w:val="7FC29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C9B700C"/>
    <w:multiLevelType w:val="hybridMultilevel"/>
    <w:tmpl w:val="8012A716"/>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7">
    <w:nsid w:val="64880AD1"/>
    <w:multiLevelType w:val="hybridMultilevel"/>
    <w:tmpl w:val="58AAEFA2"/>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8">
    <w:nsid w:val="6967553D"/>
    <w:multiLevelType w:val="hybridMultilevel"/>
    <w:tmpl w:val="9D94BBC2"/>
    <w:lvl w:ilvl="0">
      <w:start w:val="7"/>
      <w:numFmt w:val="decimal"/>
      <w:lvlText w:val="%1."/>
      <w:lvlJc w:val="left"/>
      <w:pPr>
        <w:ind w:left="360" w:hanging="360"/>
      </w:pPr>
      <w:rPr>
        <w:rFonts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9">
    <w:nsid w:val="728940C3"/>
    <w:multiLevelType w:val="hybridMultilevel"/>
    <w:tmpl w:val="09E2A374"/>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6B1247B"/>
    <w:multiLevelType w:val="hybridMultilevel"/>
    <w:tmpl w:val="F666663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96380613">
    <w:abstractNumId w:val="2"/>
  </w:num>
  <w:num w:numId="2" w16cid:durableId="329986589">
    <w:abstractNumId w:val="4"/>
  </w:num>
  <w:num w:numId="3" w16cid:durableId="1186481689">
    <w:abstractNumId w:val="8"/>
  </w:num>
  <w:num w:numId="4" w16cid:durableId="2003853358">
    <w:abstractNumId w:val="1"/>
  </w:num>
  <w:num w:numId="5" w16cid:durableId="16003398">
    <w:abstractNumId w:val="9"/>
  </w:num>
  <w:num w:numId="6" w16cid:durableId="249775595">
    <w:abstractNumId w:val="0"/>
  </w:num>
  <w:num w:numId="7" w16cid:durableId="2066636735">
    <w:abstractNumId w:val="10"/>
  </w:num>
  <w:num w:numId="8" w16cid:durableId="1653749287">
    <w:abstractNumId w:val="5"/>
  </w:num>
  <w:num w:numId="9" w16cid:durableId="841549850">
    <w:abstractNumId w:val="7"/>
  </w:num>
  <w:num w:numId="10" w16cid:durableId="48186512">
    <w:abstractNumId w:val="3"/>
  </w:num>
  <w:num w:numId="11" w16cid:durableId="1566549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A4D"/>
    <w:rsid w:val="00006A5B"/>
    <w:rsid w:val="0003628E"/>
    <w:rsid w:val="00037E71"/>
    <w:rsid w:val="000411D8"/>
    <w:rsid w:val="00045985"/>
    <w:rsid w:val="000509C4"/>
    <w:rsid w:val="0006564F"/>
    <w:rsid w:val="000776BF"/>
    <w:rsid w:val="0008102A"/>
    <w:rsid w:val="00081DBB"/>
    <w:rsid w:val="00084851"/>
    <w:rsid w:val="00087A02"/>
    <w:rsid w:val="00094795"/>
    <w:rsid w:val="00095ADD"/>
    <w:rsid w:val="00095B7B"/>
    <w:rsid w:val="000C0151"/>
    <w:rsid w:val="000C10DC"/>
    <w:rsid w:val="000C4ED9"/>
    <w:rsid w:val="000C645A"/>
    <w:rsid w:val="000D1D9B"/>
    <w:rsid w:val="000D51DC"/>
    <w:rsid w:val="000D6CA6"/>
    <w:rsid w:val="000E4EE6"/>
    <w:rsid w:val="000E7360"/>
    <w:rsid w:val="000F71D4"/>
    <w:rsid w:val="0010583D"/>
    <w:rsid w:val="00114BF4"/>
    <w:rsid w:val="001222FC"/>
    <w:rsid w:val="00123DFC"/>
    <w:rsid w:val="00126D46"/>
    <w:rsid w:val="00134881"/>
    <w:rsid w:val="001375AB"/>
    <w:rsid w:val="001579CA"/>
    <w:rsid w:val="00162AA0"/>
    <w:rsid w:val="001667BD"/>
    <w:rsid w:val="001708DC"/>
    <w:rsid w:val="00184CB1"/>
    <w:rsid w:val="001A5563"/>
    <w:rsid w:val="001A76FD"/>
    <w:rsid w:val="001B2643"/>
    <w:rsid w:val="001B34DA"/>
    <w:rsid w:val="001B5409"/>
    <w:rsid w:val="001C7FD1"/>
    <w:rsid w:val="001E4C12"/>
    <w:rsid w:val="001E4DB0"/>
    <w:rsid w:val="001E7395"/>
    <w:rsid w:val="001F046C"/>
    <w:rsid w:val="001F44D5"/>
    <w:rsid w:val="001F5F31"/>
    <w:rsid w:val="002005EF"/>
    <w:rsid w:val="00206AA4"/>
    <w:rsid w:val="00211F68"/>
    <w:rsid w:val="002426BF"/>
    <w:rsid w:val="00252DF4"/>
    <w:rsid w:val="00260720"/>
    <w:rsid w:val="00260C6D"/>
    <w:rsid w:val="0026354E"/>
    <w:rsid w:val="00271D97"/>
    <w:rsid w:val="00277F39"/>
    <w:rsid w:val="002811D3"/>
    <w:rsid w:val="00281E87"/>
    <w:rsid w:val="002835C6"/>
    <w:rsid w:val="002836EA"/>
    <w:rsid w:val="002909CC"/>
    <w:rsid w:val="00291CF5"/>
    <w:rsid w:val="002A1D6D"/>
    <w:rsid w:val="002B3470"/>
    <w:rsid w:val="002D1FCE"/>
    <w:rsid w:val="002D389B"/>
    <w:rsid w:val="002E0A52"/>
    <w:rsid w:val="003072BD"/>
    <w:rsid w:val="00307A97"/>
    <w:rsid w:val="003111C1"/>
    <w:rsid w:val="00317D2E"/>
    <w:rsid w:val="0033606D"/>
    <w:rsid w:val="00343922"/>
    <w:rsid w:val="00347A4D"/>
    <w:rsid w:val="00347FE0"/>
    <w:rsid w:val="003531EA"/>
    <w:rsid w:val="00353371"/>
    <w:rsid w:val="00356B72"/>
    <w:rsid w:val="003579B3"/>
    <w:rsid w:val="00374B2F"/>
    <w:rsid w:val="00377A7E"/>
    <w:rsid w:val="00385EA8"/>
    <w:rsid w:val="00386228"/>
    <w:rsid w:val="003A0CE7"/>
    <w:rsid w:val="003B1310"/>
    <w:rsid w:val="003C0104"/>
    <w:rsid w:val="003C412C"/>
    <w:rsid w:val="003C5831"/>
    <w:rsid w:val="003C6A6E"/>
    <w:rsid w:val="003E0405"/>
    <w:rsid w:val="003E177E"/>
    <w:rsid w:val="003F3BC3"/>
    <w:rsid w:val="00413F6F"/>
    <w:rsid w:val="004212B6"/>
    <w:rsid w:val="00424692"/>
    <w:rsid w:val="00434F64"/>
    <w:rsid w:val="004354B5"/>
    <w:rsid w:val="00446C41"/>
    <w:rsid w:val="00447EAC"/>
    <w:rsid w:val="00454530"/>
    <w:rsid w:val="00487679"/>
    <w:rsid w:val="00494882"/>
    <w:rsid w:val="004961EB"/>
    <w:rsid w:val="004A5B2A"/>
    <w:rsid w:val="004B4D56"/>
    <w:rsid w:val="004B622A"/>
    <w:rsid w:val="004B6F96"/>
    <w:rsid w:val="004C43EE"/>
    <w:rsid w:val="004C5AA0"/>
    <w:rsid w:val="004D1D9F"/>
    <w:rsid w:val="004D5CC4"/>
    <w:rsid w:val="004D67B4"/>
    <w:rsid w:val="004D7510"/>
    <w:rsid w:val="00501E71"/>
    <w:rsid w:val="0050550A"/>
    <w:rsid w:val="00506545"/>
    <w:rsid w:val="00507AD0"/>
    <w:rsid w:val="00512255"/>
    <w:rsid w:val="0051460E"/>
    <w:rsid w:val="0051703E"/>
    <w:rsid w:val="00531A79"/>
    <w:rsid w:val="00535287"/>
    <w:rsid w:val="005440C4"/>
    <w:rsid w:val="00551108"/>
    <w:rsid w:val="00551AF4"/>
    <w:rsid w:val="005524C3"/>
    <w:rsid w:val="00553FB6"/>
    <w:rsid w:val="0055658B"/>
    <w:rsid w:val="00560296"/>
    <w:rsid w:val="00561549"/>
    <w:rsid w:val="00571AFD"/>
    <w:rsid w:val="005761B8"/>
    <w:rsid w:val="00584F51"/>
    <w:rsid w:val="00593FC8"/>
    <w:rsid w:val="00597236"/>
    <w:rsid w:val="005A4336"/>
    <w:rsid w:val="005B2CB5"/>
    <w:rsid w:val="005B61C9"/>
    <w:rsid w:val="005B7DFD"/>
    <w:rsid w:val="005D0EE0"/>
    <w:rsid w:val="00604669"/>
    <w:rsid w:val="0060698C"/>
    <w:rsid w:val="006132A6"/>
    <w:rsid w:val="006215C0"/>
    <w:rsid w:val="00627618"/>
    <w:rsid w:val="00627FB0"/>
    <w:rsid w:val="00634484"/>
    <w:rsid w:val="00640E47"/>
    <w:rsid w:val="00655F89"/>
    <w:rsid w:val="006710D0"/>
    <w:rsid w:val="006730F9"/>
    <w:rsid w:val="006740F9"/>
    <w:rsid w:val="00676B6D"/>
    <w:rsid w:val="00686D31"/>
    <w:rsid w:val="006B0639"/>
    <w:rsid w:val="006B2B91"/>
    <w:rsid w:val="006D6B21"/>
    <w:rsid w:val="006F1FB1"/>
    <w:rsid w:val="007006FF"/>
    <w:rsid w:val="00700867"/>
    <w:rsid w:val="00703613"/>
    <w:rsid w:val="007041D4"/>
    <w:rsid w:val="00714B4D"/>
    <w:rsid w:val="0072278D"/>
    <w:rsid w:val="00726578"/>
    <w:rsid w:val="00732D53"/>
    <w:rsid w:val="00732DC4"/>
    <w:rsid w:val="00740EEA"/>
    <w:rsid w:val="00746440"/>
    <w:rsid w:val="007471D8"/>
    <w:rsid w:val="00751572"/>
    <w:rsid w:val="00751596"/>
    <w:rsid w:val="00754A69"/>
    <w:rsid w:val="00756008"/>
    <w:rsid w:val="00761661"/>
    <w:rsid w:val="00761BCA"/>
    <w:rsid w:val="007654CE"/>
    <w:rsid w:val="0077596E"/>
    <w:rsid w:val="00776A78"/>
    <w:rsid w:val="00780461"/>
    <w:rsid w:val="0078120E"/>
    <w:rsid w:val="00782344"/>
    <w:rsid w:val="007943D3"/>
    <w:rsid w:val="007A6861"/>
    <w:rsid w:val="007B10F6"/>
    <w:rsid w:val="007B4344"/>
    <w:rsid w:val="007B612A"/>
    <w:rsid w:val="007B754B"/>
    <w:rsid w:val="007D1349"/>
    <w:rsid w:val="007D3B40"/>
    <w:rsid w:val="007D69E1"/>
    <w:rsid w:val="007F30FA"/>
    <w:rsid w:val="008017F7"/>
    <w:rsid w:val="008473DA"/>
    <w:rsid w:val="00851924"/>
    <w:rsid w:val="0085232E"/>
    <w:rsid w:val="00862A75"/>
    <w:rsid w:val="00864EA1"/>
    <w:rsid w:val="00865639"/>
    <w:rsid w:val="00866DD1"/>
    <w:rsid w:val="00866F95"/>
    <w:rsid w:val="00867044"/>
    <w:rsid w:val="008836EC"/>
    <w:rsid w:val="00890082"/>
    <w:rsid w:val="00896502"/>
    <w:rsid w:val="008B0379"/>
    <w:rsid w:val="008B03EF"/>
    <w:rsid w:val="008B0AF4"/>
    <w:rsid w:val="008C6DA4"/>
    <w:rsid w:val="008D0AB9"/>
    <w:rsid w:val="008D114D"/>
    <w:rsid w:val="008D12DD"/>
    <w:rsid w:val="008D28D6"/>
    <w:rsid w:val="008E3FCF"/>
    <w:rsid w:val="008E7B4E"/>
    <w:rsid w:val="008F1746"/>
    <w:rsid w:val="008F5089"/>
    <w:rsid w:val="009029FB"/>
    <w:rsid w:val="00903D2A"/>
    <w:rsid w:val="00904CCA"/>
    <w:rsid w:val="009102FA"/>
    <w:rsid w:val="009114D1"/>
    <w:rsid w:val="0092639F"/>
    <w:rsid w:val="00931051"/>
    <w:rsid w:val="00940548"/>
    <w:rsid w:val="00956380"/>
    <w:rsid w:val="00961F77"/>
    <w:rsid w:val="00962023"/>
    <w:rsid w:val="00966588"/>
    <w:rsid w:val="00981B26"/>
    <w:rsid w:val="00984BEC"/>
    <w:rsid w:val="00993B5A"/>
    <w:rsid w:val="009A76AC"/>
    <w:rsid w:val="009B44CA"/>
    <w:rsid w:val="009C1764"/>
    <w:rsid w:val="009D25A3"/>
    <w:rsid w:val="009D59A0"/>
    <w:rsid w:val="009E743B"/>
    <w:rsid w:val="009F151D"/>
    <w:rsid w:val="00A05599"/>
    <w:rsid w:val="00A0582E"/>
    <w:rsid w:val="00A16E22"/>
    <w:rsid w:val="00A17A3A"/>
    <w:rsid w:val="00A259CD"/>
    <w:rsid w:val="00A26D16"/>
    <w:rsid w:val="00A31B14"/>
    <w:rsid w:val="00A33BD2"/>
    <w:rsid w:val="00A36727"/>
    <w:rsid w:val="00A41E54"/>
    <w:rsid w:val="00A43968"/>
    <w:rsid w:val="00A6677D"/>
    <w:rsid w:val="00A9400D"/>
    <w:rsid w:val="00AB6A7C"/>
    <w:rsid w:val="00AB6BB4"/>
    <w:rsid w:val="00AB6D36"/>
    <w:rsid w:val="00AD109F"/>
    <w:rsid w:val="00AD6EFD"/>
    <w:rsid w:val="00AD7A24"/>
    <w:rsid w:val="00AE2FD6"/>
    <w:rsid w:val="00AF50B7"/>
    <w:rsid w:val="00B0079D"/>
    <w:rsid w:val="00B061CE"/>
    <w:rsid w:val="00B067D7"/>
    <w:rsid w:val="00B119FB"/>
    <w:rsid w:val="00B21F7F"/>
    <w:rsid w:val="00B255E4"/>
    <w:rsid w:val="00B32786"/>
    <w:rsid w:val="00B3685C"/>
    <w:rsid w:val="00B44938"/>
    <w:rsid w:val="00B449FF"/>
    <w:rsid w:val="00B462C0"/>
    <w:rsid w:val="00B547EB"/>
    <w:rsid w:val="00B57511"/>
    <w:rsid w:val="00B72A9D"/>
    <w:rsid w:val="00B75ACC"/>
    <w:rsid w:val="00B83463"/>
    <w:rsid w:val="00B83C4C"/>
    <w:rsid w:val="00BB59CD"/>
    <w:rsid w:val="00BC3DC2"/>
    <w:rsid w:val="00BD2263"/>
    <w:rsid w:val="00C01F21"/>
    <w:rsid w:val="00C318FD"/>
    <w:rsid w:val="00C6191E"/>
    <w:rsid w:val="00C859DA"/>
    <w:rsid w:val="00C90E50"/>
    <w:rsid w:val="00C97820"/>
    <w:rsid w:val="00CA2072"/>
    <w:rsid w:val="00CB29C8"/>
    <w:rsid w:val="00CC1396"/>
    <w:rsid w:val="00D137FD"/>
    <w:rsid w:val="00D20231"/>
    <w:rsid w:val="00D213D0"/>
    <w:rsid w:val="00D23D4C"/>
    <w:rsid w:val="00D349A4"/>
    <w:rsid w:val="00D634D7"/>
    <w:rsid w:val="00D6704F"/>
    <w:rsid w:val="00D710DE"/>
    <w:rsid w:val="00D86AC4"/>
    <w:rsid w:val="00D91818"/>
    <w:rsid w:val="00D91D8E"/>
    <w:rsid w:val="00D943CA"/>
    <w:rsid w:val="00D96E07"/>
    <w:rsid w:val="00DA0970"/>
    <w:rsid w:val="00DC0A4D"/>
    <w:rsid w:val="00DE0341"/>
    <w:rsid w:val="00DF7329"/>
    <w:rsid w:val="00DF7748"/>
    <w:rsid w:val="00E0370D"/>
    <w:rsid w:val="00E05DCB"/>
    <w:rsid w:val="00E0689E"/>
    <w:rsid w:val="00E11D8E"/>
    <w:rsid w:val="00E22979"/>
    <w:rsid w:val="00E36CE5"/>
    <w:rsid w:val="00E41F3B"/>
    <w:rsid w:val="00E607AF"/>
    <w:rsid w:val="00E6526A"/>
    <w:rsid w:val="00E67243"/>
    <w:rsid w:val="00E67E85"/>
    <w:rsid w:val="00E731B0"/>
    <w:rsid w:val="00E73FEC"/>
    <w:rsid w:val="00E754F4"/>
    <w:rsid w:val="00E90A5B"/>
    <w:rsid w:val="00E97013"/>
    <w:rsid w:val="00EA1717"/>
    <w:rsid w:val="00EA19E3"/>
    <w:rsid w:val="00EA3B3D"/>
    <w:rsid w:val="00EA48B6"/>
    <w:rsid w:val="00EB4CE6"/>
    <w:rsid w:val="00EE2E45"/>
    <w:rsid w:val="00EE429F"/>
    <w:rsid w:val="00EF6649"/>
    <w:rsid w:val="00F108B8"/>
    <w:rsid w:val="00F44C91"/>
    <w:rsid w:val="00F528C2"/>
    <w:rsid w:val="00F60B02"/>
    <w:rsid w:val="00F62E6D"/>
    <w:rsid w:val="00F63010"/>
    <w:rsid w:val="00F710CC"/>
    <w:rsid w:val="00F800E1"/>
    <w:rsid w:val="00F85823"/>
    <w:rsid w:val="00F87BFD"/>
    <w:rsid w:val="00F901BF"/>
    <w:rsid w:val="00FA0B36"/>
    <w:rsid w:val="00FA123F"/>
    <w:rsid w:val="00FA7A18"/>
    <w:rsid w:val="00FB2CEA"/>
    <w:rsid w:val="00FB3FE1"/>
    <w:rsid w:val="00FB6C99"/>
    <w:rsid w:val="00FC0193"/>
    <w:rsid w:val="00FC4809"/>
    <w:rsid w:val="00FC5056"/>
    <w:rsid w:val="00FC7853"/>
    <w:rsid w:val="00FD4B8E"/>
    <w:rsid w:val="00FD7CDD"/>
    <w:rsid w:val="00FE3FBE"/>
    <w:rsid w:val="00FE792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C01CE56"/>
  <w15:chartTrackingRefBased/>
  <w15:docId w15:val="{10A25DD9-78C0-453A-B5AF-D7FBC30D6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7A4D"/>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7A4D"/>
    <w:pPr>
      <w:ind w:left="720"/>
      <w:contextualSpacing/>
    </w:pPr>
  </w:style>
  <w:style w:type="paragraph" w:styleId="BodyText">
    <w:name w:val="Body Text"/>
    <w:basedOn w:val="Normal"/>
    <w:link w:val="BodyTextChar"/>
    <w:rsid w:val="00751572"/>
    <w:pPr>
      <w:widowControl w:val="0"/>
      <w:autoSpaceDE w:val="0"/>
      <w:autoSpaceDN w:val="0"/>
      <w:adjustRightInd w:val="0"/>
    </w:pPr>
    <w:rPr>
      <w:rFonts w:ascii="Times New Roman" w:eastAsia="Times New Roman" w:hAnsi="Times New Roman"/>
      <w:sz w:val="24"/>
      <w:szCs w:val="24"/>
    </w:rPr>
  </w:style>
  <w:style w:type="character" w:customStyle="1" w:styleId="BodyTextChar">
    <w:name w:val="Body Text Char"/>
    <w:link w:val="BodyText"/>
    <w:rsid w:val="00751572"/>
    <w:rPr>
      <w:rFonts w:ascii="Times New Roman" w:eastAsia="Times New Roman" w:hAnsi="Times New Roman"/>
      <w:sz w:val="24"/>
      <w:szCs w:val="24"/>
    </w:rPr>
  </w:style>
  <w:style w:type="character" w:styleId="CommentReference">
    <w:name w:val="annotation reference"/>
    <w:uiPriority w:val="99"/>
    <w:unhideWhenUsed/>
    <w:rsid w:val="00114BF4"/>
    <w:rPr>
      <w:sz w:val="16"/>
      <w:szCs w:val="16"/>
    </w:rPr>
  </w:style>
  <w:style w:type="paragraph" w:styleId="CommentText">
    <w:name w:val="annotation text"/>
    <w:basedOn w:val="Normal"/>
    <w:link w:val="CommentTextChar"/>
    <w:uiPriority w:val="99"/>
    <w:unhideWhenUsed/>
    <w:rsid w:val="00114BF4"/>
    <w:rPr>
      <w:sz w:val="20"/>
      <w:szCs w:val="20"/>
    </w:rPr>
  </w:style>
  <w:style w:type="character" w:customStyle="1" w:styleId="CommentTextChar">
    <w:name w:val="Comment Text Char"/>
    <w:link w:val="CommentText"/>
    <w:uiPriority w:val="99"/>
    <w:rsid w:val="00114BF4"/>
    <w:rPr>
      <w:rFonts w:ascii="Calibri" w:eastAsia="Calibri" w:hAnsi="Calibri" w:cs="Times New Roman"/>
    </w:rPr>
  </w:style>
  <w:style w:type="paragraph" w:styleId="BalloonText">
    <w:name w:val="Balloon Text"/>
    <w:basedOn w:val="Normal"/>
    <w:link w:val="BalloonTextChar"/>
    <w:uiPriority w:val="99"/>
    <w:semiHidden/>
    <w:unhideWhenUsed/>
    <w:rsid w:val="00114BF4"/>
    <w:rPr>
      <w:rFonts w:ascii="Tahoma" w:hAnsi="Tahoma" w:cs="Tahoma"/>
      <w:sz w:val="16"/>
      <w:szCs w:val="16"/>
    </w:rPr>
  </w:style>
  <w:style w:type="character" w:customStyle="1" w:styleId="BalloonTextChar">
    <w:name w:val="Balloon Text Char"/>
    <w:link w:val="BalloonText"/>
    <w:uiPriority w:val="99"/>
    <w:semiHidden/>
    <w:rsid w:val="00114BF4"/>
    <w:rPr>
      <w:rFonts w:ascii="Tahoma" w:hAnsi="Tahoma" w:cs="Tahoma"/>
      <w:sz w:val="16"/>
      <w:szCs w:val="16"/>
    </w:rPr>
  </w:style>
  <w:style w:type="paragraph" w:styleId="Header">
    <w:name w:val="header"/>
    <w:basedOn w:val="Normal"/>
    <w:link w:val="HeaderChar"/>
    <w:uiPriority w:val="99"/>
    <w:semiHidden/>
    <w:unhideWhenUsed/>
    <w:rsid w:val="00B32786"/>
    <w:pPr>
      <w:tabs>
        <w:tab w:val="center" w:pos="4680"/>
        <w:tab w:val="right" w:pos="9360"/>
      </w:tabs>
    </w:pPr>
  </w:style>
  <w:style w:type="character" w:customStyle="1" w:styleId="HeaderChar">
    <w:name w:val="Header Char"/>
    <w:link w:val="Header"/>
    <w:uiPriority w:val="99"/>
    <w:semiHidden/>
    <w:rsid w:val="00B32786"/>
    <w:rPr>
      <w:sz w:val="22"/>
      <w:szCs w:val="22"/>
    </w:rPr>
  </w:style>
  <w:style w:type="paragraph" w:styleId="Footer">
    <w:name w:val="footer"/>
    <w:basedOn w:val="Normal"/>
    <w:link w:val="FooterChar"/>
    <w:uiPriority w:val="99"/>
    <w:unhideWhenUsed/>
    <w:rsid w:val="00B32786"/>
    <w:pPr>
      <w:tabs>
        <w:tab w:val="center" w:pos="4680"/>
        <w:tab w:val="right" w:pos="9360"/>
      </w:tabs>
    </w:pPr>
  </w:style>
  <w:style w:type="character" w:customStyle="1" w:styleId="FooterChar">
    <w:name w:val="Footer Char"/>
    <w:link w:val="Footer"/>
    <w:uiPriority w:val="99"/>
    <w:rsid w:val="00B32786"/>
    <w:rPr>
      <w:sz w:val="22"/>
      <w:szCs w:val="22"/>
    </w:rPr>
  </w:style>
  <w:style w:type="table" w:styleId="TableGrid">
    <w:name w:val="Table Grid"/>
    <w:basedOn w:val="TableNormal"/>
    <w:rsid w:val="00B21F7F"/>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B21F7F"/>
    <w:rPr>
      <w:color w:val="0000FF"/>
      <w:u w:val="single"/>
    </w:rPr>
  </w:style>
  <w:style w:type="character" w:styleId="Emphasis">
    <w:name w:val="Emphasis"/>
    <w:uiPriority w:val="20"/>
    <w:qFormat/>
    <w:rsid w:val="00B21F7F"/>
    <w:rPr>
      <w:b/>
      <w:bCs/>
      <w:i w:val="0"/>
      <w:iCs w:val="0"/>
    </w:rPr>
  </w:style>
  <w:style w:type="paragraph" w:styleId="HTMLPreformatted">
    <w:name w:val="HTML Preformatted"/>
    <w:basedOn w:val="Normal"/>
    <w:link w:val="HTMLPreformattedChar"/>
    <w:uiPriority w:val="99"/>
    <w:semiHidden/>
    <w:unhideWhenUsed/>
    <w:rsid w:val="00B21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semiHidden/>
    <w:rsid w:val="00B21F7F"/>
    <w:rPr>
      <w:rFonts w:ascii="Courier New" w:eastAsia="Calibri" w:hAnsi="Courier New" w:cs="Courier New"/>
    </w:rPr>
  </w:style>
  <w:style w:type="paragraph" w:styleId="CommentSubject">
    <w:name w:val="annotation subject"/>
    <w:basedOn w:val="CommentText"/>
    <w:next w:val="CommentText"/>
    <w:link w:val="CommentSubjectChar"/>
    <w:uiPriority w:val="99"/>
    <w:semiHidden/>
    <w:unhideWhenUsed/>
    <w:rsid w:val="008B0379"/>
    <w:rPr>
      <w:b/>
      <w:bCs/>
    </w:rPr>
  </w:style>
  <w:style w:type="character" w:customStyle="1" w:styleId="CommentSubjectChar">
    <w:name w:val="Comment Subject Char"/>
    <w:link w:val="CommentSubject"/>
    <w:uiPriority w:val="99"/>
    <w:semiHidden/>
    <w:rsid w:val="008B0379"/>
    <w:rPr>
      <w:rFonts w:ascii="Calibri" w:eastAsia="Calibri" w:hAnsi="Calibri" w:cs="Times New Roman"/>
      <w:b/>
      <w:bCs/>
    </w:rPr>
  </w:style>
  <w:style w:type="character" w:styleId="FollowedHyperlink">
    <w:name w:val="FollowedHyperlink"/>
    <w:uiPriority w:val="99"/>
    <w:semiHidden/>
    <w:unhideWhenUsed/>
    <w:rsid w:val="00896502"/>
    <w:rPr>
      <w:color w:val="954F72"/>
      <w:u w:val="single"/>
    </w:rPr>
  </w:style>
  <w:style w:type="paragraph" w:styleId="FootnoteText">
    <w:name w:val="footnote text"/>
    <w:basedOn w:val="Normal"/>
    <w:link w:val="FootnoteTextChar"/>
    <w:uiPriority w:val="99"/>
    <w:unhideWhenUsed/>
    <w:rsid w:val="004D1D9F"/>
    <w:rPr>
      <w:sz w:val="20"/>
      <w:szCs w:val="20"/>
    </w:rPr>
  </w:style>
  <w:style w:type="character" w:customStyle="1" w:styleId="FootnoteTextChar">
    <w:name w:val="Footnote Text Char"/>
    <w:basedOn w:val="DefaultParagraphFont"/>
    <w:link w:val="FootnoteText"/>
    <w:uiPriority w:val="99"/>
    <w:rsid w:val="004D1D9F"/>
  </w:style>
  <w:style w:type="character" w:styleId="FootnoteReference">
    <w:name w:val="footnote reference"/>
    <w:semiHidden/>
    <w:unhideWhenUsed/>
    <w:rsid w:val="004D1D9F"/>
    <w:rPr>
      <w:vertAlign w:val="superscript"/>
    </w:rPr>
  </w:style>
  <w:style w:type="character" w:styleId="UnresolvedMention">
    <w:name w:val="Unresolved Mention"/>
    <w:uiPriority w:val="99"/>
    <w:semiHidden/>
    <w:unhideWhenUsed/>
    <w:rsid w:val="00866F95"/>
    <w:rPr>
      <w:color w:val="605E5C"/>
      <w:shd w:val="clear" w:color="auto" w:fill="E1DFDD"/>
    </w:rPr>
  </w:style>
  <w:style w:type="paragraph" w:styleId="Revision">
    <w:name w:val="Revision"/>
    <w:hidden/>
    <w:uiPriority w:val="99"/>
    <w:semiHidden/>
    <w:rsid w:val="00866F9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oh/office-and-administrative-support/secretaries-and-administrative-assistants.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amReviewRequired_x003f_ xmlns="67db86a1-9af1-43d3-bfc7-627a4d2f08a0">false</SamReviewRequired_x003f_>
    <LDReviewComplete_x003f_ xmlns="67db86a1-9af1-43d3-bfc7-627a4d2f08a0">true</LDReviewComplete_x003f_>
    <SamReviewComplete xmlns="67db86a1-9af1-43d3-bfc7-627a4d2f08a0">false</SamReviewComplete>
    <CBReviewComplete_x003f_ xmlns="67db86a1-9af1-43d3-bfc7-627a4d2f08a0">false</CBReviewComplete_x003f_>
    <LCReview xmlns="67db86a1-9af1-43d3-bfc7-627a4d2f08a0">true</LCReview>
    <OAA_x002f_OGCReviewComplete xmlns="67db86a1-9af1-43d3-bfc7-627a4d2f08a0">true</OAA_x002f_OGCReviewComplete>
    <FolderStatus xmlns="67db86a1-9af1-43d3-bfc7-627a4d2f08a0" xsi:nil="true"/>
    <H_x003a_DriveLocation xmlns="67db86a1-9af1-43d3-bfc7-627a4d2f08a0"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12" ma:contentTypeDescription="Create a new document." ma:contentTypeScope="" ma:versionID="541caa06435ccad6c41015365ca9a490">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fc4834042d6b8b3e515dc4e1d9cc2279"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OAA_x002f_OGCReviewComplete" minOccurs="0"/>
                <xsd:element ref="ns3:H_x003a_DriveLocation" minOccurs="0"/>
                <xsd:element ref="ns3:SamReviewRequired_x003f_" minOccurs="0"/>
                <xsd:element ref="ns3:SamReviewComplete" minOccurs="0"/>
                <xsd:element ref="ns3:LCReview" minOccurs="0"/>
                <xsd:element ref="ns3:CBReviewComplete_x003f_" minOccurs="0"/>
                <xsd:element ref="ns3:LDReviewComplete_x003f_" minOccurs="0"/>
                <xsd:element ref="ns3:Folder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OAA_x002f_OGCReviewComplete" ma:index="11" nillable="true" ma:displayName="OAA/OGC Review Complete" ma:default="1" ma:format="Dropdown" ma:internalName="OAA_x002f_OGCReviewComplete">
      <xsd:simpleType>
        <xsd:restriction base="dms:Boolean"/>
      </xsd:simpleType>
    </xsd:element>
    <xsd:element name="H_x003a_DriveLocation" ma:index="12" nillable="true" ma:displayName="H: Drive Location" ma:format="Dropdown" ma:internalName="H_x003a_DriveLocation">
      <xsd:simpleType>
        <xsd:restriction base="dms:Note">
          <xsd:maxLength value="255"/>
        </xsd:restriction>
      </xsd:simpleType>
    </xsd:element>
    <xsd:element name="SamReviewRequired_x003f_" ma:index="13" nillable="true" ma:displayName="Sam Review Required?" ma:default="0" ma:format="Dropdown" ma:internalName="SamReviewRequired_x003f_">
      <xsd:simpleType>
        <xsd:restriction base="dms:Boolean"/>
      </xsd:simpleType>
    </xsd:element>
    <xsd:element name="SamReviewComplete" ma:index="14" nillable="true" ma:displayName="Sam Review Complete" ma:default="0" ma:format="Dropdown" ma:internalName="SamReviewComplete">
      <xsd:simpleType>
        <xsd:restriction base="dms:Boolean"/>
      </xsd:simpleType>
    </xsd:element>
    <xsd:element name="LCReview" ma:index="15" nillable="true" ma:displayName="LC Review Complete?" ma:default="0" ma:format="Dropdown" ma:internalName="LCReview">
      <xsd:simpleType>
        <xsd:restriction base="dms:Boolean"/>
      </xsd:simpleType>
    </xsd:element>
    <xsd:element name="CBReviewComplete_x003f_" ma:index="16" nillable="true" ma:displayName="CB Review Complete?" ma:default="0" ma:format="Dropdown" ma:internalName="CBReviewComplete_x003f_">
      <xsd:simpleType>
        <xsd:restriction base="dms:Boolean"/>
      </xsd:simpleType>
    </xsd:element>
    <xsd:element name="LDReviewComplete_x003f_" ma:index="17" nillable="true" ma:displayName="LD Review Complete?" ma:default="0" ma:format="Dropdown" ma:internalName="LDReviewComplete_x003f_">
      <xsd:simpleType>
        <xsd:restriction base="dms:Boolean"/>
      </xsd:simpleType>
    </xsd:element>
    <xsd:element name="FolderStatus" ma:index="18" nillable="true" ma:displayName="Review Status" ma:format="Dropdown" ma:internalName="FolderStatus">
      <xsd:simpleType>
        <xsd:restriction base="dms:Choice">
          <xsd:enumeration value="Complete"/>
          <xsd:enumeration value="In Proces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E2B36A2F-B282-4DB1-99C1-76DFABECF9F6}">
  <ds:schemaRefs>
    <ds:schemaRef ds:uri="http://schemas.microsoft.com/sharepoint/events"/>
  </ds:schemaRefs>
</ds:datastoreItem>
</file>

<file path=customXml/itemProps2.xml><?xml version="1.0" encoding="utf-8"?>
<ds:datastoreItem xmlns:ds="http://schemas.openxmlformats.org/officeDocument/2006/customXml" ds:itemID="{82EFFB28-B68A-4E40-B28E-D240AA4D2035}">
  <ds:schemaRefs>
    <ds:schemaRef ds:uri="http://schemas.microsoft.com/sharepoint/v3/contenttype/forms"/>
  </ds:schemaRefs>
</ds:datastoreItem>
</file>

<file path=customXml/itemProps3.xml><?xml version="1.0" encoding="utf-8"?>
<ds:datastoreItem xmlns:ds="http://schemas.openxmlformats.org/officeDocument/2006/customXml" ds:itemID="{62E76121-F64D-4A76-93F3-3A9951782C40}">
  <ds:schemaRefs>
    <ds:schemaRef ds:uri="http://schemas.openxmlformats.org/officeDocument/2006/bibliography"/>
  </ds:schemaRefs>
</ds:datastoreItem>
</file>

<file path=customXml/itemProps4.xml><?xml version="1.0" encoding="utf-8"?>
<ds:datastoreItem xmlns:ds="http://schemas.openxmlformats.org/officeDocument/2006/customXml" ds:itemID="{80C865D7-39D0-4172-B171-4FE0321B27C8}">
  <ds:schemaRefs>
    <ds:schemaRef ds:uri="http://schemas.microsoft.com/office/2006/metadata/properties"/>
    <ds:schemaRef ds:uri="http://schemas.microsoft.com/office/infopath/2007/PartnerControls"/>
    <ds:schemaRef ds:uri="67db86a1-9af1-43d3-bfc7-627a4d2f08a0"/>
  </ds:schemaRefs>
</ds:datastoreItem>
</file>

<file path=customXml/itemProps5.xml><?xml version="1.0" encoding="utf-8"?>
<ds:datastoreItem xmlns:ds="http://schemas.openxmlformats.org/officeDocument/2006/customXml" ds:itemID="{DE15B267-4204-48D8-8B0A-019C7D4835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c2e6f3-6ea4-42c3-835e-44e49d8f3a1e"/>
    <ds:schemaRef ds:uri="67db86a1-9af1-43d3-bfc7-627a4d2f08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F969350-E5D4-49EB-8969-4DA85696D709}">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1537</Words>
  <Characters>8764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THCGME FTE Chart - Supporting Statement F</vt:lpstr>
    </vt:vector>
  </TitlesOfParts>
  <Company>DHHS\HRSA\OIT</Company>
  <LinksUpToDate>false</LinksUpToDate>
  <CharactersWithSpaces>10281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THCGME FTE Chart - Supporting Statement F</dc:title>
  <dc:creator>HRSA</dc:creator>
  <cp:lastModifiedBy>HRSA</cp:lastModifiedBy>
  <cp:revision>3</cp:revision>
  <dcterms:created xsi:type="dcterms:W3CDTF">2025-09-03T16:13:00Z</dcterms:created>
  <dcterms:modified xsi:type="dcterms:W3CDTF">2025-09-03T16:16:00Z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0x0101003A22D19AF4C5A34B82B5356BD5048220</vt:lpwstr>
  </property>
  <property fmtid="{D5CDD505-2E9C-101B-9397-08002B2CF9AE}" pid="3" name="lcf76f155ced4ddcb4097134ff3c332f">
    <vt:lpwstr/>
  </property>
  <property fmtid="{D5CDD505-2E9C-101B-9397-08002B2CF9AE}" pid="4" name="Order">
    <vt:lpwstr>138800.000000000</vt:lpwstr>
  </property>
  <property fmtid="{D5CDD505-2E9C-101B-9397-08002B2CF9AE}" pid="5" name="TaxCatchAll">
    <vt:lpwstr/>
  </property>
  <property fmtid="{D5CDD505-2E9C-101B-9397-08002B2CF9AE}" pid="6" name="_dlc_DocId">
    <vt:lpwstr>YEJUMFDJ6KMC-483555117-513</vt:lpwstr>
  </property>
  <property fmtid="{D5CDD505-2E9C-101B-9397-08002B2CF9AE}" pid="7" name="_dlc_DocIdItemGuid">
    <vt:lpwstr>0c672028-a047-4b08-b288-55f6f8bed424</vt:lpwstr>
  </property>
  <property fmtid="{D5CDD505-2E9C-101B-9397-08002B2CF9AE}" pid="8" name="_dlc_DocIdUrl">
    <vt:lpwstr>https://nih.sharepoint.com/sites/HRSA-OA-OPAE/Teams/officeofexternalengagement/_layouts/15/DocIdRedir.aspx?ID=YEJUMFDJ6KMC-483555117-513, YEJUMFDJ6KMC-483555117-513</vt:lpwstr>
  </property>
</Properties>
</file>