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6F47B" w14:textId="65EB2F41" w:rsidR="00AB310A" w:rsidRDefault="00AB310A" w:rsidP="005159D0">
      <w:r>
        <w:t>September 9, 2025</w:t>
      </w:r>
    </w:p>
    <w:p w14:paraId="374C2E0D" w14:textId="222E9DFE" w:rsidR="007D3EA2" w:rsidRDefault="003F53B2" w:rsidP="00AB310A">
      <w:pPr>
        <w:spacing w:after="0" w:line="240" w:lineRule="auto"/>
      </w:pPr>
      <w:r>
        <w:t>Health Resources and Service Administration (HRSA)</w:t>
      </w:r>
    </w:p>
    <w:p w14:paraId="07E0D5BE" w14:textId="4C35640D" w:rsidR="00AB310A" w:rsidRDefault="00AB310A" w:rsidP="00AB310A">
      <w:pPr>
        <w:spacing w:after="0" w:line="240" w:lineRule="auto"/>
      </w:pPr>
      <w:r>
        <w:t>Information Collection Clearance Officer</w:t>
      </w:r>
    </w:p>
    <w:p w14:paraId="1224C7D3" w14:textId="345866E2" w:rsidR="00AB310A" w:rsidRDefault="00AB310A" w:rsidP="00AB310A">
      <w:pPr>
        <w:spacing w:after="0" w:line="240" w:lineRule="auto"/>
      </w:pPr>
      <w:r>
        <w:t>5600 Fisher Lane</w:t>
      </w:r>
    </w:p>
    <w:p w14:paraId="6159FC9A" w14:textId="563B3C0F" w:rsidR="00AB310A" w:rsidRDefault="00AB310A" w:rsidP="00AB310A">
      <w:pPr>
        <w:spacing w:after="0" w:line="240" w:lineRule="auto"/>
      </w:pPr>
      <w:r>
        <w:t>Rockville, MD 20857</w:t>
      </w:r>
    </w:p>
    <w:p w14:paraId="611259D0" w14:textId="77777777" w:rsidR="00AB310A" w:rsidRDefault="00AB310A" w:rsidP="00AB310A">
      <w:pPr>
        <w:spacing w:after="0" w:line="240" w:lineRule="auto"/>
      </w:pPr>
    </w:p>
    <w:p w14:paraId="2E1FE5A4" w14:textId="2B411068" w:rsidR="00AB310A" w:rsidRDefault="00AB310A" w:rsidP="00AB310A">
      <w:pPr>
        <w:spacing w:after="0" w:line="240" w:lineRule="auto"/>
      </w:pPr>
      <w:r>
        <w:rPr>
          <w:b/>
          <w:bCs/>
        </w:rPr>
        <w:t xml:space="preserve">RE: </w:t>
      </w:r>
      <w:r w:rsidRPr="00AB310A">
        <w:rPr>
          <w:b/>
          <w:bCs/>
        </w:rPr>
        <w:t>THCGME Program Eligible Resident or Fellow FTE Chart, OMB 0915-0367 Extension</w:t>
      </w:r>
      <w:r>
        <w:t xml:space="preserve"> </w:t>
      </w:r>
    </w:p>
    <w:p w14:paraId="1A62D940" w14:textId="77777777" w:rsidR="00AB310A" w:rsidRDefault="00AB310A" w:rsidP="00AB310A">
      <w:pPr>
        <w:spacing w:after="0" w:line="240" w:lineRule="auto"/>
      </w:pPr>
    </w:p>
    <w:p w14:paraId="59C9F758" w14:textId="772D24F8" w:rsidR="00AB310A" w:rsidRDefault="00AB310A" w:rsidP="00AB310A">
      <w:pPr>
        <w:spacing w:after="0" w:line="240" w:lineRule="auto"/>
      </w:pPr>
      <w:r>
        <w:t>Dear Director Button:</w:t>
      </w:r>
    </w:p>
    <w:p w14:paraId="6D97FF2C" w14:textId="77777777" w:rsidR="003F53B2" w:rsidRDefault="003F53B2" w:rsidP="00AB310A">
      <w:pPr>
        <w:spacing w:after="0" w:line="240" w:lineRule="auto"/>
      </w:pPr>
    </w:p>
    <w:p w14:paraId="5C068D15" w14:textId="697F7F8B" w:rsidR="003F53B2" w:rsidRDefault="003F53B2" w:rsidP="00AB310A">
      <w:pPr>
        <w:spacing w:after="0" w:line="240" w:lineRule="auto"/>
      </w:pPr>
      <w:r>
        <w:t xml:space="preserve">On behalf of Penn State Health and Penn State College of Medicine, I appreciate the opportunity to submit comments regarding Health Resources and Service Administration (HRSA)’s proposed extension of the Teaching Health Center Graduate Medical Education (THCGME) Program Eligible Resident or Fellow Full-Time Equivalent (FTE) Chart. We commend HRSA’s ongoing efforts to strengthen primary care training in community-based settings and to ensure the long-term sustainability of the THCGME program. </w:t>
      </w:r>
    </w:p>
    <w:p w14:paraId="6730454B" w14:textId="77777777" w:rsidR="003D78CC" w:rsidRDefault="003D78CC" w:rsidP="00AB310A">
      <w:pPr>
        <w:spacing w:after="0" w:line="240" w:lineRule="auto"/>
      </w:pPr>
    </w:p>
    <w:p w14:paraId="2C5BDFC6" w14:textId="06487BB3" w:rsidR="003D78CC" w:rsidRDefault="003D78CC" w:rsidP="00AB310A">
      <w:pPr>
        <w:spacing w:after="0" w:line="240" w:lineRule="auto"/>
      </w:pPr>
      <w:r>
        <w:t xml:space="preserve">Although Penn State Health and Penn State College of Medicine </w:t>
      </w:r>
      <w:r w:rsidR="00BB6E25">
        <w:t xml:space="preserve">do not currently receive THCGME funding, </w:t>
      </w:r>
      <w:r w:rsidR="00567980">
        <w:t xml:space="preserve">Penn State Health sponsors over 70 </w:t>
      </w:r>
      <w:r w:rsidR="008E1115">
        <w:t>Accreditation Council for Graduate Medical Education (ACGME)</w:t>
      </w:r>
      <w:r w:rsidR="00F9414B">
        <w:t xml:space="preserve">- accredited programs. </w:t>
      </w:r>
      <w:r w:rsidR="00865815">
        <w:t xml:space="preserve">This includes </w:t>
      </w:r>
      <w:r w:rsidR="00BB6E25">
        <w:t xml:space="preserve">multiple primary care residency </w:t>
      </w:r>
      <w:r w:rsidR="00B22CD8">
        <w:t>program, family</w:t>
      </w:r>
      <w:r w:rsidR="00BB6E25">
        <w:t xml:space="preserve"> medicine, internal medicine, and pediatrics</w:t>
      </w:r>
      <w:r w:rsidR="00B62059">
        <w:t xml:space="preserve"> serving </w:t>
      </w:r>
      <w:r w:rsidR="00F47367">
        <w:t>diverse patient populations across central Pennsylvania</w:t>
      </w:r>
      <w:r w:rsidR="00BB6E25">
        <w:t xml:space="preserve">. </w:t>
      </w:r>
      <w:r w:rsidR="00A12C69">
        <w:t xml:space="preserve">Our comments reflect the perspective of a large sponsoring institution committed to expanding primary care training opportunities in underserved communities. </w:t>
      </w:r>
    </w:p>
    <w:p w14:paraId="2DE4F7F5" w14:textId="77777777" w:rsidR="003F53B2" w:rsidRDefault="003F53B2" w:rsidP="00AB310A">
      <w:pPr>
        <w:spacing w:after="0" w:line="240" w:lineRule="auto"/>
      </w:pPr>
    </w:p>
    <w:p w14:paraId="320EA1E5" w14:textId="1B575B57" w:rsidR="003F53B2" w:rsidRDefault="003F53B2" w:rsidP="00AB310A">
      <w:pPr>
        <w:spacing w:after="0" w:line="240" w:lineRule="auto"/>
        <w:rPr>
          <w:b/>
          <w:bCs/>
          <w:i/>
          <w:iCs/>
        </w:rPr>
      </w:pPr>
      <w:r>
        <w:rPr>
          <w:b/>
          <w:bCs/>
          <w:i/>
          <w:iCs/>
        </w:rPr>
        <w:t>Necessity and Usefulness of the FTE Chart</w:t>
      </w:r>
    </w:p>
    <w:p w14:paraId="210EE9DD" w14:textId="335A8D65" w:rsidR="003F53B2" w:rsidRDefault="003F53B2" w:rsidP="00AB310A">
      <w:pPr>
        <w:spacing w:after="0" w:line="240" w:lineRule="auto"/>
      </w:pPr>
      <w:r>
        <w:t xml:space="preserve">We support HRSA’s continued use of the FTE Chart as a tool to track resident and fellow counts and project program needs. Accurate, consistent data collection is essential for equitable funding decisions and for advancing the program’s mission of addressing workforce shortages in underserved communities. </w:t>
      </w:r>
    </w:p>
    <w:p w14:paraId="486D245C" w14:textId="77777777" w:rsidR="00870225" w:rsidRDefault="00870225" w:rsidP="00AB310A">
      <w:pPr>
        <w:spacing w:after="0" w:line="240" w:lineRule="auto"/>
      </w:pPr>
    </w:p>
    <w:p w14:paraId="1461D914" w14:textId="77777777" w:rsidR="00C1694E" w:rsidRDefault="00C1694E" w:rsidP="00C1694E">
      <w:pPr>
        <w:spacing w:after="0" w:line="240" w:lineRule="auto"/>
      </w:pPr>
      <w:r>
        <w:t xml:space="preserve">We further recommend that HRSA publish aggregated benchmarks not only at the national level but also at regional and state levels. Access to these data would enable programs to better understand workforce trends in their immediate training environments and ensure alignment between institutional projections and national priorities. </w:t>
      </w:r>
    </w:p>
    <w:p w14:paraId="5B405318" w14:textId="77777777" w:rsidR="00870225" w:rsidRDefault="00870225" w:rsidP="00AB310A">
      <w:pPr>
        <w:spacing w:after="0" w:line="240" w:lineRule="auto"/>
      </w:pPr>
    </w:p>
    <w:p w14:paraId="71DB2897" w14:textId="26ED5B7B" w:rsidR="00870225" w:rsidRDefault="00870225" w:rsidP="00AB310A">
      <w:pPr>
        <w:spacing w:after="0" w:line="240" w:lineRule="auto"/>
      </w:pPr>
      <w:r>
        <w:rPr>
          <w:b/>
          <w:bCs/>
          <w:i/>
          <w:iCs/>
        </w:rPr>
        <w:t>Accuracy of Estimated Burden</w:t>
      </w:r>
    </w:p>
    <w:p w14:paraId="4AE7AACB" w14:textId="431072CE" w:rsidR="00870225" w:rsidRDefault="00870225" w:rsidP="00AB310A">
      <w:pPr>
        <w:spacing w:after="0" w:line="240" w:lineRule="auto"/>
      </w:pPr>
      <w:r>
        <w:t xml:space="preserve">HRSA’s estimate of 1.25 hours per response, 90 respondents, and 112.5 total annual hours appears generally reasonable. However, actual burden may vary significantly depending on institutional resources and technical capacity. We recommend that HRSA periodically survey program staff to verify whether the estimate accurately reflects the time required to complete submissions and to identify opportunities to reduce unnecessary administrative workload. </w:t>
      </w:r>
    </w:p>
    <w:p w14:paraId="0FE848F5" w14:textId="77777777" w:rsidR="00AD2F15" w:rsidRDefault="00AD2F15" w:rsidP="00AB310A">
      <w:pPr>
        <w:spacing w:after="0" w:line="240" w:lineRule="auto"/>
      </w:pPr>
    </w:p>
    <w:p w14:paraId="578669DC" w14:textId="2F08D5D9" w:rsidR="00B43BFC" w:rsidRDefault="00B43BFC" w:rsidP="00AB310A">
      <w:pPr>
        <w:spacing w:after="0" w:line="240" w:lineRule="auto"/>
      </w:pPr>
      <w:r>
        <w:lastRenderedPageBreak/>
        <w:t xml:space="preserve">We encourage </w:t>
      </w:r>
      <w:r w:rsidR="00ED7EFB">
        <w:t xml:space="preserve">HRSA to coordinate reporting requirements with Centers for Medicare and Medicaid Services (CMS) definitions of FTE counts where possible. Greater alignment would reduce reporting burden and help programs maintain </w:t>
      </w:r>
      <w:r w:rsidR="00FF1202">
        <w:t xml:space="preserve">consistency across federal funding streams. </w:t>
      </w:r>
    </w:p>
    <w:p w14:paraId="52382F56" w14:textId="77777777" w:rsidR="00870225" w:rsidRDefault="00870225" w:rsidP="00AB310A">
      <w:pPr>
        <w:spacing w:after="0" w:line="240" w:lineRule="auto"/>
      </w:pPr>
    </w:p>
    <w:p w14:paraId="615B4F60" w14:textId="7C25C85A" w:rsidR="00870225" w:rsidRDefault="00870225" w:rsidP="00AB310A">
      <w:pPr>
        <w:spacing w:after="0" w:line="240" w:lineRule="auto"/>
        <w:rPr>
          <w:b/>
          <w:bCs/>
          <w:i/>
          <w:iCs/>
        </w:rPr>
      </w:pPr>
      <w:r>
        <w:rPr>
          <w:b/>
          <w:bCs/>
          <w:i/>
          <w:iCs/>
        </w:rPr>
        <w:t>Enhancing Clarity, Quality, and Utility</w:t>
      </w:r>
    </w:p>
    <w:p w14:paraId="77044EAF" w14:textId="7F55CC2D" w:rsidR="00870225" w:rsidRDefault="00870225" w:rsidP="00AB310A">
      <w:pPr>
        <w:spacing w:after="0" w:line="240" w:lineRule="auto"/>
      </w:pPr>
      <w:r>
        <w:t xml:space="preserve">Improve guidance, supplementing written instructions with worked examples or a short training module would reduce errors and ensure more consistent reporting across programs. </w:t>
      </w:r>
    </w:p>
    <w:p w14:paraId="000CFA77" w14:textId="77777777" w:rsidR="00266634" w:rsidRDefault="00266634" w:rsidP="00AB310A">
      <w:pPr>
        <w:spacing w:after="0" w:line="240" w:lineRule="auto"/>
      </w:pPr>
    </w:p>
    <w:p w14:paraId="212EEF12" w14:textId="76ABE04F" w:rsidR="00266634" w:rsidRDefault="00266634" w:rsidP="00AB310A">
      <w:pPr>
        <w:spacing w:after="0" w:line="240" w:lineRule="auto"/>
      </w:pPr>
      <w:r>
        <w:t xml:space="preserve">System functionality, we encourage HRSA to strengthen the electronic submission platform by adding input validation (e.g. to flag unrealistic year-over-year changes) and by the allowing applicants to save partially completed forms. </w:t>
      </w:r>
    </w:p>
    <w:p w14:paraId="54350EB3" w14:textId="77777777" w:rsidR="00266634" w:rsidRDefault="00266634" w:rsidP="00AB310A">
      <w:pPr>
        <w:spacing w:after="0" w:line="240" w:lineRule="auto"/>
      </w:pPr>
    </w:p>
    <w:p w14:paraId="1748AE62" w14:textId="579111DC" w:rsidR="00266634" w:rsidRDefault="00266634" w:rsidP="00AB310A">
      <w:pPr>
        <w:spacing w:after="0" w:line="240" w:lineRule="auto"/>
      </w:pPr>
      <w:r>
        <w:rPr>
          <w:b/>
          <w:bCs/>
          <w:i/>
          <w:iCs/>
        </w:rPr>
        <w:t xml:space="preserve">Leveraging Technology and Automation </w:t>
      </w:r>
    </w:p>
    <w:p w14:paraId="18C1A2D9" w14:textId="530FD354" w:rsidR="00266634" w:rsidRDefault="00266634" w:rsidP="003A0A0F">
      <w:r>
        <w:t>We recommend exploring ways to integrate the FTE Chart with existing HRSA data systems so that prior-year information can be pre-populated for returning applicants. Autofill and carry-forward features would reduce manual entry, minimize transcription errors, and significantly lessen reporting burden.</w:t>
      </w:r>
    </w:p>
    <w:p w14:paraId="3D0A3244" w14:textId="77777777" w:rsidR="00266634" w:rsidRDefault="00266634" w:rsidP="00AB310A">
      <w:pPr>
        <w:spacing w:after="0" w:line="240" w:lineRule="auto"/>
      </w:pPr>
    </w:p>
    <w:p w14:paraId="20E19EEB" w14:textId="5DE8D160" w:rsidR="00266634" w:rsidRDefault="00266634" w:rsidP="00AB310A">
      <w:pPr>
        <w:spacing w:after="0" w:line="240" w:lineRule="auto"/>
      </w:pPr>
      <w:r>
        <w:rPr>
          <w:b/>
          <w:bCs/>
          <w:i/>
          <w:iCs/>
        </w:rPr>
        <w:t xml:space="preserve">Broader Program Considerations </w:t>
      </w:r>
    </w:p>
    <w:p w14:paraId="0C3F00F5" w14:textId="1D0A45DE" w:rsidR="00266634" w:rsidRDefault="00266634" w:rsidP="00AB310A">
      <w:pPr>
        <w:spacing w:after="0" w:line="240" w:lineRule="auto"/>
      </w:pPr>
      <w:r>
        <w:t xml:space="preserve">Although outside the scope of this specific information collection request, we echo stakeholder’s comments urging HRSA and Congress to: </w:t>
      </w:r>
    </w:p>
    <w:p w14:paraId="58B21C56" w14:textId="3BF1F176" w:rsidR="00266634" w:rsidRDefault="00266634" w:rsidP="00266634">
      <w:pPr>
        <w:pStyle w:val="ListParagraph"/>
        <w:numPr>
          <w:ilvl w:val="0"/>
          <w:numId w:val="8"/>
        </w:numPr>
        <w:spacing w:after="0" w:line="240" w:lineRule="auto"/>
      </w:pPr>
      <w:r>
        <w:t xml:space="preserve">Reevaluate the Per-Resident Amount (PRA): Current funding levels lag behind the actual cost of training, which studies estimate at over $200,000 annually. Aligning the PRA with true costs is critical for sustainability. </w:t>
      </w:r>
    </w:p>
    <w:p w14:paraId="2DF43B80" w14:textId="2ED6209D" w:rsidR="00266634" w:rsidRDefault="00266634" w:rsidP="00266634">
      <w:pPr>
        <w:pStyle w:val="ListParagraph"/>
        <w:numPr>
          <w:ilvl w:val="0"/>
          <w:numId w:val="8"/>
        </w:numPr>
        <w:spacing w:after="0" w:line="240" w:lineRule="auto"/>
      </w:pPr>
      <w:r>
        <w:t xml:space="preserve">Ensure Long-Term Stability: Making the THCGME program permanent and expanding the number of supported slots would help address persistent primary care shortages in underserved areas. </w:t>
      </w:r>
    </w:p>
    <w:p w14:paraId="2DC21B87" w14:textId="060EC9B6" w:rsidR="00266634" w:rsidRDefault="00266634" w:rsidP="00266634">
      <w:pPr>
        <w:spacing w:after="0" w:line="240" w:lineRule="auto"/>
      </w:pPr>
      <w:r>
        <w:t xml:space="preserve">We recognize that such considerations extend beyond the present OMB extension request but encourage HRSA to incorporate these perspectives into its </w:t>
      </w:r>
      <w:r w:rsidR="00441B7D">
        <w:t xml:space="preserve">ongoing policy development </w:t>
      </w:r>
    </w:p>
    <w:p w14:paraId="08B74289" w14:textId="77777777" w:rsidR="00441B7D" w:rsidRDefault="00441B7D" w:rsidP="00266634">
      <w:pPr>
        <w:spacing w:after="0" w:line="240" w:lineRule="auto"/>
      </w:pPr>
    </w:p>
    <w:p w14:paraId="4720A30C" w14:textId="6F442F47" w:rsidR="00441B7D" w:rsidRDefault="00FF1202" w:rsidP="00266634">
      <w:pPr>
        <w:spacing w:after="0" w:line="240" w:lineRule="auto"/>
      </w:pPr>
      <w:r>
        <w:t xml:space="preserve">As a sponsoring institution </w:t>
      </w:r>
      <w:r w:rsidR="00F1346D">
        <w:t xml:space="preserve">serving both rural and urban areas, we recognize the critical role of THCGME in building a sustainable primary care workforce and urge HRSA to ensure stable, predictable funding mechanisms. </w:t>
      </w:r>
      <w:r w:rsidR="00441B7D">
        <w:t xml:space="preserve"> </w:t>
      </w:r>
    </w:p>
    <w:p w14:paraId="24C5F1C6" w14:textId="77777777" w:rsidR="00441B7D" w:rsidRDefault="00441B7D" w:rsidP="00266634">
      <w:pPr>
        <w:spacing w:after="0" w:line="240" w:lineRule="auto"/>
      </w:pPr>
    </w:p>
    <w:p w14:paraId="161D1602" w14:textId="6D917A9A" w:rsidR="00441B7D" w:rsidRDefault="002F4320" w:rsidP="00266634">
      <w:pPr>
        <w:spacing w:after="0" w:line="240" w:lineRule="auto"/>
      </w:pPr>
      <w:r>
        <w:t xml:space="preserve">Penn State Health and Penn State College of Medicine are committed to advancing primary care training and addressing health </w:t>
      </w:r>
      <w:r w:rsidR="002D031F">
        <w:t>disparities</w:t>
      </w:r>
      <w:r>
        <w:t xml:space="preserve"> acr</w:t>
      </w:r>
      <w:r w:rsidR="002D031F">
        <w:t xml:space="preserve">oss Pennsylvania and beyond. We support HRSA’s efforts to sustain and strengthen the THCGME program and appreciate you consideration of our recommendation to improve clarity, reduce burden, and enhance the program’s impact. </w:t>
      </w:r>
    </w:p>
    <w:p w14:paraId="765E1895" w14:textId="77777777" w:rsidR="00441B7D" w:rsidRDefault="00441B7D" w:rsidP="00266634">
      <w:pPr>
        <w:spacing w:after="0" w:line="240" w:lineRule="auto"/>
      </w:pPr>
    </w:p>
    <w:p w14:paraId="194A8437" w14:textId="43B2E394" w:rsidR="00266634" w:rsidRDefault="00441B7D" w:rsidP="00AB310A">
      <w:pPr>
        <w:spacing w:after="0" w:line="240" w:lineRule="auto"/>
      </w:pPr>
      <w:r>
        <w:t>Respectfully</w:t>
      </w:r>
      <w:r w:rsidR="002D031F">
        <w:t xml:space="preserve">, </w:t>
      </w:r>
    </w:p>
    <w:p w14:paraId="3E77630D" w14:textId="77777777" w:rsidR="002D031F" w:rsidRDefault="002D031F" w:rsidP="00AB310A">
      <w:pPr>
        <w:spacing w:after="0" w:line="240" w:lineRule="auto"/>
      </w:pPr>
    </w:p>
    <w:p w14:paraId="2F9571DD" w14:textId="23E83E33" w:rsidR="002D031F" w:rsidRDefault="002D031F" w:rsidP="00AB310A">
      <w:pPr>
        <w:spacing w:after="0" w:line="240" w:lineRule="auto"/>
      </w:pPr>
      <w:r>
        <w:t>Sheilah Borne</w:t>
      </w:r>
    </w:p>
    <w:p w14:paraId="616E6936" w14:textId="23630EAF" w:rsidR="002D031F" w:rsidRDefault="002D031F" w:rsidP="00AB310A">
      <w:pPr>
        <w:spacing w:after="0" w:line="240" w:lineRule="auto"/>
      </w:pPr>
      <w:r>
        <w:t>Vice President Government Relations</w:t>
      </w:r>
    </w:p>
    <w:p w14:paraId="1B93DA5D" w14:textId="5B560080" w:rsidR="002D031F" w:rsidRPr="00266634" w:rsidRDefault="002D031F" w:rsidP="00AB310A">
      <w:pPr>
        <w:spacing w:after="0" w:line="240" w:lineRule="auto"/>
      </w:pPr>
      <w:r>
        <w:t>Penn State Health and Penn State College of Medicine</w:t>
      </w:r>
    </w:p>
    <w:p w14:paraId="2F482A28" w14:textId="77777777" w:rsidR="00AB310A" w:rsidRDefault="00AB310A" w:rsidP="00AB310A">
      <w:pPr>
        <w:spacing w:after="0" w:line="240" w:lineRule="auto"/>
      </w:pPr>
    </w:p>
    <w:sectPr w:rsidR="00AB310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245D7" w14:textId="77777777" w:rsidR="005C106E" w:rsidRDefault="005C106E" w:rsidP="00E53846">
      <w:pPr>
        <w:spacing w:after="0" w:line="240" w:lineRule="auto"/>
      </w:pPr>
      <w:r>
        <w:separator/>
      </w:r>
    </w:p>
  </w:endnote>
  <w:endnote w:type="continuationSeparator" w:id="0">
    <w:p w14:paraId="53531E9A" w14:textId="77777777" w:rsidR="005C106E" w:rsidRDefault="005C106E" w:rsidP="00E53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F0D77" w14:textId="77777777" w:rsidR="005C106E" w:rsidRDefault="005C106E" w:rsidP="00E53846">
      <w:pPr>
        <w:spacing w:after="0" w:line="240" w:lineRule="auto"/>
      </w:pPr>
      <w:r>
        <w:separator/>
      </w:r>
    </w:p>
  </w:footnote>
  <w:footnote w:type="continuationSeparator" w:id="0">
    <w:p w14:paraId="56422623" w14:textId="77777777" w:rsidR="005C106E" w:rsidRDefault="005C106E" w:rsidP="00E53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8FEE" w14:textId="77777777" w:rsidR="00E53846" w:rsidRDefault="00E53846">
    <w:pPr>
      <w:pStyle w:val="Header"/>
    </w:pPr>
    <w:r>
      <w:rPr>
        <w:noProof/>
      </w:rPr>
      <w:drawing>
        <wp:inline distT="0" distB="0" distL="0" distR="0" wp14:anchorId="656D552F" wp14:editId="2E69CC35">
          <wp:extent cx="5753100" cy="781050"/>
          <wp:effectExtent l="0" t="0" r="0" b="0"/>
          <wp:docPr id="2" name="Picture 2" descr="C:\Users\lbeck1\AppData\Local\Microsoft\Windows\INetCache\Content.MSO\B7B1A0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eck1\AppData\Local\Microsoft\Windows\INetCache\Content.MSO\B7B1A00D.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81050"/>
                  </a:xfrm>
                  <a:prstGeom prst="rect">
                    <a:avLst/>
                  </a:prstGeom>
                  <a:noFill/>
                  <a:ln>
                    <a:noFill/>
                  </a:ln>
                </pic:spPr>
              </pic:pic>
            </a:graphicData>
          </a:graphic>
        </wp:inline>
      </w:drawing>
    </w:r>
    <w:r>
      <w:rPr>
        <w:rFonts w:ascii="Cambria" w:hAnsi="Cambria"/>
        <w:color w:val="000000"/>
        <w:shd w:val="clear" w:color="auto" w:fill="FFFFFF"/>
      </w:rPr>
      <w:br/>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44F4"/>
    <w:multiLevelType w:val="hybridMultilevel"/>
    <w:tmpl w:val="02B421D6"/>
    <w:lvl w:ilvl="0" w:tplc="7B7EEF8A">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60D84"/>
    <w:multiLevelType w:val="hybridMultilevel"/>
    <w:tmpl w:val="4BBC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33770"/>
    <w:multiLevelType w:val="hybridMultilevel"/>
    <w:tmpl w:val="219E2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A3B60"/>
    <w:multiLevelType w:val="hybridMultilevel"/>
    <w:tmpl w:val="29CC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43639"/>
    <w:multiLevelType w:val="hybridMultilevel"/>
    <w:tmpl w:val="EC1C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B21194"/>
    <w:multiLevelType w:val="hybridMultilevel"/>
    <w:tmpl w:val="8022250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69574C"/>
    <w:multiLevelType w:val="hybridMultilevel"/>
    <w:tmpl w:val="63728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38DEFF"/>
    <w:multiLevelType w:val="hybridMultilevel"/>
    <w:tmpl w:val="57DC23F4"/>
    <w:lvl w:ilvl="0" w:tplc="C91A8E7C">
      <w:start w:val="1"/>
      <w:numFmt w:val="decimal"/>
      <w:lvlText w:val="%1."/>
      <w:lvlJc w:val="left"/>
      <w:pPr>
        <w:ind w:left="720" w:hanging="360"/>
      </w:pPr>
    </w:lvl>
    <w:lvl w:ilvl="1" w:tplc="95FECE66">
      <w:start w:val="1"/>
      <w:numFmt w:val="lowerLetter"/>
      <w:lvlText w:val="%2."/>
      <w:lvlJc w:val="left"/>
      <w:pPr>
        <w:ind w:left="1440" w:hanging="360"/>
      </w:pPr>
    </w:lvl>
    <w:lvl w:ilvl="2" w:tplc="9B301388">
      <w:start w:val="1"/>
      <w:numFmt w:val="lowerRoman"/>
      <w:lvlText w:val="%3."/>
      <w:lvlJc w:val="right"/>
      <w:pPr>
        <w:ind w:left="2160" w:hanging="180"/>
      </w:pPr>
    </w:lvl>
    <w:lvl w:ilvl="3" w:tplc="B41E8CCE">
      <w:start w:val="1"/>
      <w:numFmt w:val="decimal"/>
      <w:lvlText w:val="%4."/>
      <w:lvlJc w:val="left"/>
      <w:pPr>
        <w:ind w:left="2880" w:hanging="360"/>
      </w:pPr>
    </w:lvl>
    <w:lvl w:ilvl="4" w:tplc="3BF4789E">
      <w:start w:val="1"/>
      <w:numFmt w:val="lowerLetter"/>
      <w:lvlText w:val="%5."/>
      <w:lvlJc w:val="left"/>
      <w:pPr>
        <w:ind w:left="3600" w:hanging="360"/>
      </w:pPr>
    </w:lvl>
    <w:lvl w:ilvl="5" w:tplc="A9A23C7C">
      <w:start w:val="1"/>
      <w:numFmt w:val="lowerRoman"/>
      <w:lvlText w:val="%6."/>
      <w:lvlJc w:val="right"/>
      <w:pPr>
        <w:ind w:left="4320" w:hanging="180"/>
      </w:pPr>
    </w:lvl>
    <w:lvl w:ilvl="6" w:tplc="D65ACF54">
      <w:start w:val="1"/>
      <w:numFmt w:val="decimal"/>
      <w:lvlText w:val="%7."/>
      <w:lvlJc w:val="left"/>
      <w:pPr>
        <w:ind w:left="5040" w:hanging="360"/>
      </w:pPr>
    </w:lvl>
    <w:lvl w:ilvl="7" w:tplc="5A76C8F2">
      <w:start w:val="1"/>
      <w:numFmt w:val="lowerLetter"/>
      <w:lvlText w:val="%8."/>
      <w:lvlJc w:val="left"/>
      <w:pPr>
        <w:ind w:left="5760" w:hanging="360"/>
      </w:pPr>
    </w:lvl>
    <w:lvl w:ilvl="8" w:tplc="778EE85C">
      <w:start w:val="1"/>
      <w:numFmt w:val="lowerRoman"/>
      <w:lvlText w:val="%9."/>
      <w:lvlJc w:val="right"/>
      <w:pPr>
        <w:ind w:left="6480" w:hanging="180"/>
      </w:pPr>
    </w:lvl>
  </w:abstractNum>
  <w:num w:numId="1" w16cid:durableId="1329333272">
    <w:abstractNumId w:val="7"/>
  </w:num>
  <w:num w:numId="2" w16cid:durableId="1756702183">
    <w:abstractNumId w:val="0"/>
  </w:num>
  <w:num w:numId="3" w16cid:durableId="405962451">
    <w:abstractNumId w:val="6"/>
  </w:num>
  <w:num w:numId="4" w16cid:durableId="980692696">
    <w:abstractNumId w:val="5"/>
  </w:num>
  <w:num w:numId="5" w16cid:durableId="706414169">
    <w:abstractNumId w:val="3"/>
  </w:num>
  <w:num w:numId="6" w16cid:durableId="790365334">
    <w:abstractNumId w:val="2"/>
  </w:num>
  <w:num w:numId="7" w16cid:durableId="1883055730">
    <w:abstractNumId w:val="1"/>
  </w:num>
  <w:num w:numId="8" w16cid:durableId="285817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46"/>
    <w:rsid w:val="000F7ADA"/>
    <w:rsid w:val="00225F19"/>
    <w:rsid w:val="0023457C"/>
    <w:rsid w:val="00266634"/>
    <w:rsid w:val="002C6824"/>
    <w:rsid w:val="002D031F"/>
    <w:rsid w:val="002F4320"/>
    <w:rsid w:val="00300D10"/>
    <w:rsid w:val="003801E2"/>
    <w:rsid w:val="003A0A0F"/>
    <w:rsid w:val="003B7677"/>
    <w:rsid w:val="003D78CC"/>
    <w:rsid w:val="003F365F"/>
    <w:rsid w:val="003F53B2"/>
    <w:rsid w:val="00420A9A"/>
    <w:rsid w:val="00441B7D"/>
    <w:rsid w:val="004440BD"/>
    <w:rsid w:val="005159D0"/>
    <w:rsid w:val="00561C72"/>
    <w:rsid w:val="00567980"/>
    <w:rsid w:val="005C106E"/>
    <w:rsid w:val="005E34BC"/>
    <w:rsid w:val="005F6522"/>
    <w:rsid w:val="00636E40"/>
    <w:rsid w:val="006857D9"/>
    <w:rsid w:val="00742F77"/>
    <w:rsid w:val="007D3EA2"/>
    <w:rsid w:val="00865815"/>
    <w:rsid w:val="00870225"/>
    <w:rsid w:val="008A1850"/>
    <w:rsid w:val="008E1115"/>
    <w:rsid w:val="009552CD"/>
    <w:rsid w:val="00974F53"/>
    <w:rsid w:val="00A12C69"/>
    <w:rsid w:val="00A14623"/>
    <w:rsid w:val="00AB310A"/>
    <w:rsid w:val="00AD2F15"/>
    <w:rsid w:val="00B22CD8"/>
    <w:rsid w:val="00B43BFC"/>
    <w:rsid w:val="00B53A68"/>
    <w:rsid w:val="00B62059"/>
    <w:rsid w:val="00BB6E25"/>
    <w:rsid w:val="00BD3B65"/>
    <w:rsid w:val="00C1191C"/>
    <w:rsid w:val="00C1694E"/>
    <w:rsid w:val="00C43E4C"/>
    <w:rsid w:val="00C50DF8"/>
    <w:rsid w:val="00C571C9"/>
    <w:rsid w:val="00C67828"/>
    <w:rsid w:val="00C84D46"/>
    <w:rsid w:val="00CB5127"/>
    <w:rsid w:val="00E53846"/>
    <w:rsid w:val="00ED7EFB"/>
    <w:rsid w:val="00F1346D"/>
    <w:rsid w:val="00F47367"/>
    <w:rsid w:val="00F9414B"/>
    <w:rsid w:val="00FB6A56"/>
    <w:rsid w:val="00FF089B"/>
    <w:rsid w:val="00FF1202"/>
    <w:rsid w:val="013728C1"/>
    <w:rsid w:val="0251F104"/>
    <w:rsid w:val="04D2EF1B"/>
    <w:rsid w:val="06EA5473"/>
    <w:rsid w:val="08868456"/>
    <w:rsid w:val="08E1ABCA"/>
    <w:rsid w:val="0B5290ED"/>
    <w:rsid w:val="0BA02D57"/>
    <w:rsid w:val="0C451571"/>
    <w:rsid w:val="0C85BB67"/>
    <w:rsid w:val="0CAC2D5E"/>
    <w:rsid w:val="0CDCD5ED"/>
    <w:rsid w:val="0DB0B4C8"/>
    <w:rsid w:val="12292DB1"/>
    <w:rsid w:val="14226252"/>
    <w:rsid w:val="159683F0"/>
    <w:rsid w:val="1923B771"/>
    <w:rsid w:val="1A4C0298"/>
    <w:rsid w:val="1B4966FB"/>
    <w:rsid w:val="1C18AEB7"/>
    <w:rsid w:val="1CBD0EC5"/>
    <w:rsid w:val="1E66EA17"/>
    <w:rsid w:val="1EC3F951"/>
    <w:rsid w:val="20B43EE1"/>
    <w:rsid w:val="2248028C"/>
    <w:rsid w:val="24E91463"/>
    <w:rsid w:val="26149D08"/>
    <w:rsid w:val="282DECDE"/>
    <w:rsid w:val="2861994F"/>
    <w:rsid w:val="2B7501BE"/>
    <w:rsid w:val="2B8ED44B"/>
    <w:rsid w:val="2BAF8C6A"/>
    <w:rsid w:val="2CE0CE49"/>
    <w:rsid w:val="2D3F7A6F"/>
    <w:rsid w:val="2FABF072"/>
    <w:rsid w:val="308271AF"/>
    <w:rsid w:val="325C29EA"/>
    <w:rsid w:val="32768F18"/>
    <w:rsid w:val="32A18083"/>
    <w:rsid w:val="33B7B5FA"/>
    <w:rsid w:val="33E755FC"/>
    <w:rsid w:val="3600660E"/>
    <w:rsid w:val="36D68380"/>
    <w:rsid w:val="37491227"/>
    <w:rsid w:val="3751737E"/>
    <w:rsid w:val="37F2AE36"/>
    <w:rsid w:val="3B143E87"/>
    <w:rsid w:val="3B201BFD"/>
    <w:rsid w:val="3B334369"/>
    <w:rsid w:val="3C734F59"/>
    <w:rsid w:val="3E013263"/>
    <w:rsid w:val="3E83FE77"/>
    <w:rsid w:val="44EFEF24"/>
    <w:rsid w:val="45FF3166"/>
    <w:rsid w:val="46B6C08A"/>
    <w:rsid w:val="48CE1423"/>
    <w:rsid w:val="49316FF0"/>
    <w:rsid w:val="4942A6B0"/>
    <w:rsid w:val="4AFA1013"/>
    <w:rsid w:val="4D559EFE"/>
    <w:rsid w:val="50008784"/>
    <w:rsid w:val="52DA5C8A"/>
    <w:rsid w:val="54382CFC"/>
    <w:rsid w:val="54A61FBB"/>
    <w:rsid w:val="5642417C"/>
    <w:rsid w:val="56C8DECA"/>
    <w:rsid w:val="56F06BEE"/>
    <w:rsid w:val="57A34F75"/>
    <w:rsid w:val="59DC78E9"/>
    <w:rsid w:val="5A1D98D7"/>
    <w:rsid w:val="5A3C54E7"/>
    <w:rsid w:val="5ED93A6E"/>
    <w:rsid w:val="614E9756"/>
    <w:rsid w:val="63BBE740"/>
    <w:rsid w:val="64C2EAF5"/>
    <w:rsid w:val="64E6A17D"/>
    <w:rsid w:val="65753D93"/>
    <w:rsid w:val="67BDBB42"/>
    <w:rsid w:val="68CC4C43"/>
    <w:rsid w:val="6992313D"/>
    <w:rsid w:val="69F14F7C"/>
    <w:rsid w:val="6AE44EDB"/>
    <w:rsid w:val="6B011B57"/>
    <w:rsid w:val="6D65278F"/>
    <w:rsid w:val="6FA6A3F0"/>
    <w:rsid w:val="70A412CB"/>
    <w:rsid w:val="70CB6125"/>
    <w:rsid w:val="727FA9F1"/>
    <w:rsid w:val="749B5113"/>
    <w:rsid w:val="74ED880D"/>
    <w:rsid w:val="76F962EC"/>
    <w:rsid w:val="77C3C559"/>
    <w:rsid w:val="783501FF"/>
    <w:rsid w:val="78CA67E3"/>
    <w:rsid w:val="797A8467"/>
    <w:rsid w:val="7ADEE40A"/>
    <w:rsid w:val="7B04D04F"/>
    <w:rsid w:val="7C6A3923"/>
    <w:rsid w:val="7C91354A"/>
    <w:rsid w:val="7CEDEBD1"/>
    <w:rsid w:val="7F258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F726A"/>
  <w15:chartTrackingRefBased/>
  <w15:docId w15:val="{40DCD6EF-C18B-453A-8AC2-6990BB1D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846"/>
  </w:style>
  <w:style w:type="paragraph" w:styleId="Footer">
    <w:name w:val="footer"/>
    <w:basedOn w:val="Normal"/>
    <w:link w:val="FooterChar"/>
    <w:uiPriority w:val="99"/>
    <w:unhideWhenUsed/>
    <w:rsid w:val="00E53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846"/>
  </w:style>
  <w:style w:type="paragraph" w:styleId="ListParagraph">
    <w:name w:val="List Paragraph"/>
    <w:basedOn w:val="Normal"/>
    <w:uiPriority w:val="34"/>
    <w:qFormat/>
    <w:rsid w:val="59DC7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9b953a-217e-4fda-aaba-f80be6e97dde">
      <Terms xmlns="http://schemas.microsoft.com/office/infopath/2007/PartnerControls"/>
    </lcf76f155ced4ddcb4097134ff3c332f>
    <TaxCatchAll xmlns="16bb868e-ba25-4125-83e8-63547ef9fb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5478527BD05942B4DA240C284274D4" ma:contentTypeVersion="17" ma:contentTypeDescription="Create a new document." ma:contentTypeScope="" ma:versionID="a9af9bf27432806157522645dc47d4ad">
  <xsd:schema xmlns:xsd="http://www.w3.org/2001/XMLSchema" xmlns:xs="http://www.w3.org/2001/XMLSchema" xmlns:p="http://schemas.microsoft.com/office/2006/metadata/properties" xmlns:ns2="199b953a-217e-4fda-aaba-f80be6e97dde" xmlns:ns3="16bb868e-ba25-4125-83e8-63547ef9fb28" targetNamespace="http://schemas.microsoft.com/office/2006/metadata/properties" ma:root="true" ma:fieldsID="2ced0949cd3875f6503a7ddd5194e035" ns2:_="" ns3:_="">
    <xsd:import namespace="199b953a-217e-4fda-aaba-f80be6e97dde"/>
    <xsd:import namespace="16bb868e-ba25-4125-83e8-63547ef9fb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b953a-217e-4fda-aaba-f80be6e97d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3c77d9-3159-436e-ab42-28d8651d02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b868e-ba25-4125-83e8-63547ef9fb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e9d2a08-cc95-4f6f-88c9-2edcd4646124}" ma:internalName="TaxCatchAll" ma:showField="CatchAllData" ma:web="16bb868e-ba25-4125-83e8-63547ef9f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A979E-86DA-49CF-92D5-13BCEF659633}">
  <ds:schemaRefs>
    <ds:schemaRef ds:uri="http://schemas.microsoft.com/office/2006/metadata/properties"/>
    <ds:schemaRef ds:uri="http://schemas.microsoft.com/office/infopath/2007/PartnerControls"/>
    <ds:schemaRef ds:uri="199b953a-217e-4fda-aaba-f80be6e97dde"/>
    <ds:schemaRef ds:uri="16bb868e-ba25-4125-83e8-63547ef9fb28"/>
  </ds:schemaRefs>
</ds:datastoreItem>
</file>

<file path=customXml/itemProps2.xml><?xml version="1.0" encoding="utf-8"?>
<ds:datastoreItem xmlns:ds="http://schemas.openxmlformats.org/officeDocument/2006/customXml" ds:itemID="{12F31852-F30F-4789-9550-757299DCF9FC}">
  <ds:schemaRefs>
    <ds:schemaRef ds:uri="http://schemas.microsoft.com/sharepoint/v3/contenttype/forms"/>
  </ds:schemaRefs>
</ds:datastoreItem>
</file>

<file path=customXml/itemProps3.xml><?xml version="1.0" encoding="utf-8"?>
<ds:datastoreItem xmlns:ds="http://schemas.openxmlformats.org/officeDocument/2006/customXml" ds:itemID="{907741E7-1E3C-42B7-A6C5-C1A6831A1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b953a-217e-4fda-aaba-f80be6e97dde"/>
    <ds:schemaRef ds:uri="16bb868e-ba25-4125-83e8-63547ef9f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ac48a7-13dd-4a80-99f6-4ae26cf3edb3}" enabled="0" method="" siteId="{5dac48a7-13dd-4a80-99f6-4ae26cf3edb3}"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Penn State Health</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Lisa</dc:creator>
  <cp:keywords/>
  <dc:description/>
  <cp:lastModifiedBy>Mohr, Kate</cp:lastModifiedBy>
  <cp:revision>26</cp:revision>
  <dcterms:created xsi:type="dcterms:W3CDTF">2025-09-09T15:42:00Z</dcterms:created>
  <dcterms:modified xsi:type="dcterms:W3CDTF">2025-09-10T14:08:00Z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0x010100CF5478527BD05942B4DA240C284274D4</vt:lpwstr>
  </property>
  <property fmtid="{D5CDD505-2E9C-101B-9397-08002B2CF9AE}" pid="3" name="Order">
    <vt:r8>38500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