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1A0C" w:rsidRPr="00C45431" w:rsidP="00CE5AA9" w14:paraId="12DBC0A6" w14:textId="77777777">
      <w:pPr>
        <w:tabs>
          <w:tab w:val="center" w:pos="4680"/>
        </w:tabs>
        <w:spacing w:before="120"/>
        <w:jc w:val="center"/>
        <w:rPr>
          <w:rFonts w:ascii="Arial" w:hAnsi="Arial" w:cs="Arial"/>
          <w:b/>
          <w:bCs/>
          <w:sz w:val="32"/>
          <w:szCs w:val="32"/>
        </w:rPr>
      </w:pPr>
      <w:r w:rsidRPr="60BC6476">
        <w:rPr>
          <w:rFonts w:ascii="Arial" w:hAnsi="Arial" w:cs="Arial"/>
          <w:b/>
          <w:bCs/>
          <w:sz w:val="32"/>
          <w:szCs w:val="32"/>
        </w:rPr>
        <w:t xml:space="preserve">Supporting Statement </w:t>
      </w:r>
      <w:r w:rsidRPr="60BC6476">
        <w:rPr>
          <w:rFonts w:ascii="Arial" w:hAnsi="Arial" w:cs="Arial"/>
          <w:b/>
          <w:bCs/>
          <w:sz w:val="32"/>
          <w:szCs w:val="32"/>
        </w:rPr>
        <w:t>A</w:t>
      </w:r>
    </w:p>
    <w:p w:rsidR="00BA1A0C" w:rsidRPr="00C45431" w:rsidP="00CE5AA9" w14:paraId="12DBC0A7" w14:textId="77777777">
      <w:pPr>
        <w:tabs>
          <w:tab w:val="center" w:pos="4680"/>
        </w:tabs>
        <w:spacing w:before="120"/>
        <w:jc w:val="center"/>
        <w:rPr>
          <w:rFonts w:ascii="Arial" w:hAnsi="Arial" w:cs="Arial"/>
          <w:b/>
          <w:bCs/>
          <w:sz w:val="32"/>
          <w:szCs w:val="32"/>
        </w:rPr>
      </w:pPr>
    </w:p>
    <w:p w:rsidR="0093647C" w:rsidRPr="007B2038" w:rsidP="0093647C" w14:paraId="4BB332D3" w14:textId="77777777">
      <w:pPr>
        <w:jc w:val="center"/>
        <w:rPr>
          <w:rFonts w:ascii="Arial" w:hAnsi="Arial" w:cs="Arial"/>
          <w:b/>
          <w:bCs/>
          <w:sz w:val="32"/>
          <w:szCs w:val="32"/>
        </w:rPr>
      </w:pPr>
      <w:r w:rsidRPr="007B2038">
        <w:rPr>
          <w:rFonts w:ascii="Arial" w:hAnsi="Arial" w:cs="Arial"/>
          <w:b/>
          <w:bCs/>
          <w:sz w:val="32"/>
          <w:szCs w:val="32"/>
        </w:rPr>
        <w:t xml:space="preserve">Teaching Health Centers Graduate Medical Education (THCGME) Program Reconciliation Tool  </w:t>
      </w:r>
    </w:p>
    <w:p w:rsidR="000E135B" w:rsidP="00AE7D2D" w14:paraId="35A77528" w14:textId="0B514F33">
      <w:pPr>
        <w:tabs>
          <w:tab w:val="center" w:pos="4680"/>
        </w:tabs>
        <w:spacing w:before="120"/>
        <w:jc w:val="center"/>
        <w:rPr>
          <w:rFonts w:ascii="Arial" w:hAnsi="Arial" w:cs="Arial"/>
          <w:b/>
          <w:bCs/>
          <w:sz w:val="32"/>
          <w:szCs w:val="32"/>
        </w:rPr>
      </w:pPr>
      <w:r w:rsidRPr="00C45431">
        <w:rPr>
          <w:rFonts w:ascii="Arial" w:hAnsi="Arial" w:cs="Arial"/>
          <w:b/>
          <w:bCs/>
          <w:sz w:val="32"/>
          <w:szCs w:val="32"/>
        </w:rPr>
        <w:t>OMB Control No. 09</w:t>
      </w:r>
      <w:r w:rsidRPr="00C45431" w:rsidR="00E34A1F">
        <w:rPr>
          <w:rFonts w:ascii="Arial" w:hAnsi="Arial" w:cs="Arial"/>
          <w:b/>
          <w:bCs/>
          <w:sz w:val="32"/>
          <w:szCs w:val="32"/>
        </w:rPr>
        <w:t>15</w:t>
      </w:r>
      <w:r w:rsidRPr="00C45431">
        <w:rPr>
          <w:rFonts w:ascii="Arial" w:hAnsi="Arial" w:cs="Arial"/>
          <w:b/>
          <w:bCs/>
          <w:sz w:val="32"/>
          <w:szCs w:val="32"/>
        </w:rPr>
        <w:t>-</w:t>
      </w:r>
      <w:r w:rsidR="0093647C">
        <w:rPr>
          <w:rFonts w:ascii="Arial" w:hAnsi="Arial" w:cs="Arial"/>
          <w:b/>
          <w:bCs/>
          <w:sz w:val="32"/>
          <w:szCs w:val="32"/>
        </w:rPr>
        <w:t>0342</w:t>
      </w:r>
      <w:r>
        <w:rPr>
          <w:rFonts w:ascii="Arial" w:hAnsi="Arial" w:cs="Arial"/>
          <w:b/>
          <w:bCs/>
          <w:sz w:val="32"/>
          <w:szCs w:val="32"/>
        </w:rPr>
        <w:t xml:space="preserve"> </w:t>
      </w:r>
      <w:r w:rsidR="00D67B5F">
        <w:rPr>
          <w:rFonts w:ascii="Arial" w:hAnsi="Arial" w:cs="Arial"/>
          <w:b/>
          <w:bCs/>
          <w:sz w:val="32"/>
          <w:szCs w:val="32"/>
        </w:rPr>
        <w:t>- Revision</w:t>
      </w:r>
    </w:p>
    <w:p w:rsidR="009B3794" w:rsidRPr="00C45431" w:rsidP="00CE5AA9" w14:paraId="12DBC0AC" w14:textId="6EA663CA">
      <w:pPr>
        <w:tabs>
          <w:tab w:val="center" w:pos="4680"/>
        </w:tabs>
        <w:spacing w:before="120"/>
        <w:jc w:val="center"/>
        <w:rPr>
          <w:rFonts w:ascii="Arial" w:hAnsi="Arial" w:cs="Arial"/>
          <w:b/>
          <w:bCs/>
          <w:sz w:val="32"/>
          <w:szCs w:val="32"/>
        </w:rPr>
      </w:pPr>
    </w:p>
    <w:p w:rsidR="009B3794" w:rsidRPr="00C45431" w:rsidP="00CE5AA9" w14:paraId="12DBC0AD" w14:textId="0AAAF735">
      <w:pPr>
        <w:spacing w:before="120"/>
        <w:rPr>
          <w:rFonts w:ascii="Arial" w:hAnsi="Arial" w:cs="Arial"/>
          <w:b/>
          <w:sz w:val="24"/>
        </w:rPr>
      </w:pPr>
      <w:r w:rsidRPr="00C45431">
        <w:rPr>
          <w:rFonts w:ascii="Arial" w:hAnsi="Arial" w:cs="Arial"/>
          <w:b/>
          <w:sz w:val="24"/>
        </w:rPr>
        <w:t>Terms of Clearance</w:t>
      </w:r>
      <w:r w:rsidRPr="00C45431" w:rsidR="00BA1A0C">
        <w:rPr>
          <w:rFonts w:ascii="Arial" w:hAnsi="Arial" w:cs="Arial"/>
          <w:b/>
          <w:sz w:val="24"/>
        </w:rPr>
        <w:t>:</w:t>
      </w:r>
      <w:r w:rsidRPr="00C45431" w:rsidR="00BA1A0C">
        <w:rPr>
          <w:rFonts w:ascii="Arial" w:hAnsi="Arial" w:cs="Arial"/>
          <w:sz w:val="24"/>
        </w:rPr>
        <w:t xml:space="preserve">  </w:t>
      </w:r>
      <w:r w:rsidR="000004D0">
        <w:rPr>
          <w:rFonts w:ascii="Arial" w:hAnsi="Arial" w:cs="Arial"/>
          <w:sz w:val="24"/>
        </w:rPr>
        <w:t xml:space="preserve">None </w:t>
      </w:r>
    </w:p>
    <w:p w:rsidR="009B3794" w:rsidRPr="00C45431" w:rsidP="60BC6476" w14:paraId="12DBC0AE" w14:textId="2DA013FA">
      <w:pPr>
        <w:spacing w:before="120"/>
        <w:rPr>
          <w:rFonts w:ascii="Arial" w:hAnsi="Arial" w:cs="Arial"/>
          <w:b/>
          <w:bCs/>
          <w:sz w:val="24"/>
        </w:rPr>
      </w:pPr>
      <w:r w:rsidRPr="60BC6476">
        <w:rPr>
          <w:rFonts w:ascii="Arial" w:hAnsi="Arial" w:cs="Arial"/>
          <w:b/>
          <w:bCs/>
          <w:sz w:val="24"/>
        </w:rPr>
        <w:t>A.</w:t>
      </w:r>
      <w:r>
        <w:tab/>
      </w:r>
      <w:r w:rsidRPr="60BC6476">
        <w:rPr>
          <w:rFonts w:ascii="Arial" w:hAnsi="Arial" w:cs="Arial"/>
          <w:b/>
          <w:bCs/>
          <w:sz w:val="24"/>
        </w:rPr>
        <w:t>Justification</w:t>
      </w:r>
      <w:r w:rsidRPr="60BC6476" w:rsidR="000E135B">
        <w:rPr>
          <w:rFonts w:ascii="Arial" w:hAnsi="Arial" w:cs="Arial"/>
          <w:b/>
          <w:bCs/>
          <w:sz w:val="24"/>
        </w:rPr>
        <w:t xml:space="preserve">  </w:t>
      </w:r>
    </w:p>
    <w:p w:rsidR="009B3794" w:rsidRPr="00C45431" w:rsidP="00CA3DA6" w14:paraId="12DBC0AF"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Circumstances Making the Collection of Information Necessary</w:t>
      </w:r>
    </w:p>
    <w:p w:rsidR="00CE03B4" w:rsidP="0093647C" w14:paraId="5750E981" w14:textId="77777777">
      <w:pPr>
        <w:rPr>
          <w:rFonts w:ascii="Arial" w:hAnsi="Arial" w:cs="Arial"/>
          <w:sz w:val="24"/>
        </w:rPr>
      </w:pPr>
    </w:p>
    <w:p w:rsidR="0093647C" w:rsidRPr="00AE7D2D" w:rsidP="0093647C" w14:paraId="473B63D3" w14:textId="76198ACC">
      <w:pPr>
        <w:rPr>
          <w:rFonts w:ascii="Arial" w:eastAsia="Cambria" w:hAnsi="Arial" w:cs="Arial"/>
          <w:sz w:val="24"/>
        </w:rPr>
      </w:pPr>
      <w:r w:rsidRPr="00AE7D2D">
        <w:rPr>
          <w:rFonts w:ascii="Arial" w:hAnsi="Arial" w:cs="Arial"/>
          <w:sz w:val="24"/>
        </w:rPr>
        <w:t xml:space="preserve">This is a request for Office of Management and Budget (OMB) </w:t>
      </w:r>
      <w:r w:rsidR="00C83FA4">
        <w:rPr>
          <w:rFonts w:ascii="Arial" w:hAnsi="Arial" w:cs="Arial"/>
          <w:sz w:val="24"/>
        </w:rPr>
        <w:t xml:space="preserve">continued </w:t>
      </w:r>
      <w:r w:rsidRPr="00AE7D2D">
        <w:rPr>
          <w:rFonts w:ascii="Arial" w:hAnsi="Arial" w:cs="Arial"/>
          <w:sz w:val="24"/>
        </w:rPr>
        <w:t>approval to utilize the Teaching Health Center Graduate Medical Education (THCGME) Program Reconciliation Tool</w:t>
      </w:r>
      <w:r w:rsidR="00CE03B4">
        <w:rPr>
          <w:rFonts w:ascii="Arial" w:hAnsi="Arial" w:cs="Arial"/>
          <w:sz w:val="24"/>
        </w:rPr>
        <w:t xml:space="preserve"> which is </w:t>
      </w:r>
      <w:r w:rsidRPr="00AE7D2D">
        <w:rPr>
          <w:rFonts w:ascii="Arial" w:hAnsi="Arial" w:cs="Arial"/>
          <w:sz w:val="24"/>
        </w:rPr>
        <w:t xml:space="preserve">used </w:t>
      </w:r>
      <w:r w:rsidRPr="00AE7D2D">
        <w:rPr>
          <w:rFonts w:ascii="Arial" w:eastAsia="Cambria" w:hAnsi="Arial" w:cs="Arial"/>
          <w:sz w:val="24"/>
        </w:rPr>
        <w:t xml:space="preserve">to reconcile the number of residency positions supported by </w:t>
      </w:r>
      <w:r w:rsidR="003B0E22">
        <w:rPr>
          <w:rFonts w:ascii="Arial" w:eastAsia="Cambria" w:hAnsi="Arial" w:cs="Arial"/>
          <w:sz w:val="24"/>
        </w:rPr>
        <w:t xml:space="preserve">the </w:t>
      </w:r>
      <w:r w:rsidRPr="00AE7D2D">
        <w:rPr>
          <w:rFonts w:ascii="Arial" w:eastAsia="Cambria" w:hAnsi="Arial" w:cs="Arial"/>
          <w:sz w:val="24"/>
        </w:rPr>
        <w:t>Program</w:t>
      </w:r>
      <w:r w:rsidR="00EC5DA3">
        <w:rPr>
          <w:rFonts w:ascii="Arial" w:eastAsia="Cambria" w:hAnsi="Arial" w:cs="Arial"/>
          <w:sz w:val="24"/>
        </w:rPr>
        <w:t xml:space="preserve">. </w:t>
      </w:r>
      <w:r w:rsidRPr="00AE7D2D">
        <w:rPr>
          <w:rFonts w:ascii="Arial" w:eastAsia="Cambria" w:hAnsi="Arial" w:cs="Arial"/>
          <w:sz w:val="24"/>
        </w:rPr>
        <w:t>This payment program is</w:t>
      </w:r>
      <w:r w:rsidR="00CE03B4">
        <w:rPr>
          <w:rFonts w:ascii="Arial" w:eastAsia="Cambria" w:hAnsi="Arial" w:cs="Arial"/>
          <w:sz w:val="24"/>
        </w:rPr>
        <w:t xml:space="preserve"> </w:t>
      </w:r>
      <w:r w:rsidRPr="00AE7D2D">
        <w:rPr>
          <w:rFonts w:ascii="Arial" w:eastAsia="Cambria" w:hAnsi="Arial" w:cs="Arial"/>
          <w:sz w:val="24"/>
        </w:rPr>
        <w:t>authorized under section 340H of the Public Health Service Act</w:t>
      </w:r>
      <w:r w:rsidR="00EC5DA3">
        <w:rPr>
          <w:rFonts w:ascii="Arial" w:eastAsia="Cambria" w:hAnsi="Arial" w:cs="Arial"/>
          <w:sz w:val="24"/>
        </w:rPr>
        <w:t xml:space="preserve">. </w:t>
      </w:r>
    </w:p>
    <w:p w:rsidR="0093647C" w:rsidRPr="00AE7D2D" w:rsidP="0093647C" w14:paraId="4C7166B9" w14:textId="77777777">
      <w:pPr>
        <w:rPr>
          <w:rFonts w:ascii="Arial" w:hAnsi="Arial" w:cs="Arial"/>
          <w:sz w:val="24"/>
        </w:rPr>
      </w:pPr>
      <w:r w:rsidRPr="00AE7D2D">
        <w:rPr>
          <w:rFonts w:ascii="Arial" w:hAnsi="Arial" w:cs="Arial"/>
          <w:sz w:val="24"/>
        </w:rPr>
        <w:t xml:space="preserve"> </w:t>
      </w:r>
    </w:p>
    <w:p w:rsidR="00E55A65" w:rsidP="005F573B" w14:paraId="4B937599" w14:textId="30C4F124">
      <w:pPr>
        <w:pStyle w:val="ListParagraph"/>
        <w:ind w:left="0"/>
        <w:rPr>
          <w:rFonts w:ascii="Arial" w:hAnsi="Arial" w:cs="Arial"/>
          <w:sz w:val="24"/>
        </w:rPr>
      </w:pPr>
      <w:r w:rsidRPr="00B04321">
        <w:rPr>
          <w:rFonts w:ascii="Arial" w:hAnsi="Arial" w:cs="Arial"/>
          <w:sz w:val="24"/>
        </w:rPr>
        <w:t xml:space="preserve">The </w:t>
      </w:r>
      <w:r>
        <w:rPr>
          <w:rFonts w:ascii="Arial" w:hAnsi="Arial" w:cs="Arial"/>
          <w:sz w:val="24"/>
        </w:rPr>
        <w:t>THCGME</w:t>
      </w:r>
      <w:r w:rsidRPr="00B04321">
        <w:rPr>
          <w:rFonts w:ascii="Arial" w:hAnsi="Arial" w:cs="Arial"/>
          <w:sz w:val="24"/>
        </w:rPr>
        <w:t xml:space="preserve"> Program</w:t>
      </w:r>
      <w:r w:rsidR="009D413B">
        <w:rPr>
          <w:rFonts w:ascii="Arial" w:hAnsi="Arial" w:cs="Arial"/>
          <w:sz w:val="24"/>
        </w:rPr>
        <w:t xml:space="preserve"> </w:t>
      </w:r>
      <w:r w:rsidRPr="00B04321">
        <w:rPr>
          <w:rFonts w:ascii="Arial" w:hAnsi="Arial" w:cs="Arial"/>
          <w:sz w:val="24"/>
        </w:rPr>
        <w:t xml:space="preserve">increases the number of primary care </w:t>
      </w:r>
      <w:r w:rsidRPr="00B04321" w:rsidR="00A54D08">
        <w:rPr>
          <w:rFonts w:ascii="Arial" w:hAnsi="Arial" w:cs="Arial"/>
          <w:sz w:val="24"/>
        </w:rPr>
        <w:t>physicians</w:t>
      </w:r>
      <w:r w:rsidRPr="00B04321">
        <w:rPr>
          <w:rFonts w:ascii="Arial" w:hAnsi="Arial" w:cs="Arial"/>
          <w:sz w:val="24"/>
        </w:rPr>
        <w:t xml:space="preserve"> and dental residents, increasing the overall number of these primary care providers</w:t>
      </w:r>
      <w:r w:rsidR="00EC5DA3">
        <w:rPr>
          <w:rFonts w:ascii="Arial" w:hAnsi="Arial" w:cs="Arial"/>
          <w:sz w:val="24"/>
        </w:rPr>
        <w:t xml:space="preserve">. </w:t>
      </w:r>
      <w:r w:rsidRPr="00AE7D2D" w:rsidR="00EC5DA3">
        <w:rPr>
          <w:rFonts w:ascii="Arial" w:hAnsi="Arial" w:cs="Arial"/>
          <w:sz w:val="24"/>
        </w:rPr>
        <w:t>Most</w:t>
      </w:r>
      <w:r w:rsidRPr="00AE7D2D" w:rsidR="0093647C">
        <w:rPr>
          <w:rFonts w:ascii="Arial" w:hAnsi="Arial" w:cs="Arial"/>
          <w:sz w:val="24"/>
        </w:rPr>
        <w:t xml:space="preserve"> residency training in the United States is funded by Centers for Medicare </w:t>
      </w:r>
      <w:r w:rsidR="00795547">
        <w:rPr>
          <w:rFonts w:ascii="Arial" w:hAnsi="Arial" w:cs="Arial"/>
          <w:sz w:val="24"/>
        </w:rPr>
        <w:t>&amp;</w:t>
      </w:r>
      <w:r w:rsidRPr="00AE7D2D" w:rsidR="00795547">
        <w:rPr>
          <w:rFonts w:ascii="Arial" w:hAnsi="Arial" w:cs="Arial"/>
          <w:sz w:val="24"/>
        </w:rPr>
        <w:t xml:space="preserve"> </w:t>
      </w:r>
      <w:r w:rsidRPr="00AE7D2D" w:rsidR="0093647C">
        <w:rPr>
          <w:rFonts w:ascii="Arial" w:hAnsi="Arial" w:cs="Arial"/>
          <w:sz w:val="24"/>
        </w:rPr>
        <w:t>Medicaid (CMS) reimbursement payments to teaching hospitals</w:t>
      </w:r>
      <w:r w:rsidR="00EC5DA3">
        <w:rPr>
          <w:rFonts w:ascii="Arial" w:hAnsi="Arial" w:cs="Arial"/>
          <w:sz w:val="24"/>
        </w:rPr>
        <w:t xml:space="preserve">. </w:t>
      </w:r>
      <w:r w:rsidRPr="00AE7D2D" w:rsidR="0093647C">
        <w:rPr>
          <w:rFonts w:ascii="Arial" w:hAnsi="Arial" w:cs="Arial"/>
          <w:sz w:val="24"/>
        </w:rPr>
        <w:t xml:space="preserve">In the THCGME </w:t>
      </w:r>
      <w:r w:rsidRPr="00AE7D2D" w:rsidR="005F573B">
        <w:rPr>
          <w:rFonts w:ascii="Arial" w:hAnsi="Arial" w:cs="Arial"/>
          <w:sz w:val="24"/>
        </w:rPr>
        <w:t>model,</w:t>
      </w:r>
      <w:r w:rsidRPr="00AE7D2D" w:rsidR="0093647C">
        <w:rPr>
          <w:rFonts w:ascii="Arial" w:hAnsi="Arial" w:cs="Arial"/>
          <w:sz w:val="24"/>
        </w:rPr>
        <w:t xml:space="preserve"> funding goes directly to eligible </w:t>
      </w:r>
      <w:r w:rsidRPr="00B04321">
        <w:rPr>
          <w:rFonts w:ascii="Arial" w:hAnsi="Arial" w:cs="Arial"/>
          <w:sz w:val="24"/>
        </w:rPr>
        <w:t>community-based ambulatory care settings</w:t>
      </w:r>
      <w:r w:rsidRPr="00AE7D2D" w:rsidR="0093647C">
        <w:rPr>
          <w:rFonts w:ascii="Arial" w:hAnsi="Arial" w:cs="Arial"/>
          <w:sz w:val="24"/>
        </w:rPr>
        <w:t>,</w:t>
      </w:r>
      <w:r w:rsidRPr="00B04321">
        <w:t xml:space="preserve"> </w:t>
      </w:r>
      <w:r w:rsidRPr="00B04321">
        <w:rPr>
          <w:rFonts w:ascii="Arial" w:hAnsi="Arial" w:cs="Arial"/>
          <w:sz w:val="24"/>
        </w:rPr>
        <w:t>as opposed to in-patient care settings in hospitals</w:t>
      </w:r>
      <w:r w:rsidR="00EC5DA3">
        <w:rPr>
          <w:rFonts w:ascii="Arial" w:hAnsi="Arial" w:cs="Arial"/>
          <w:sz w:val="24"/>
        </w:rPr>
        <w:t xml:space="preserve">. </w:t>
      </w:r>
      <w:r w:rsidRPr="00AE7D2D" w:rsidR="0093647C">
        <w:rPr>
          <w:rFonts w:ascii="Arial" w:hAnsi="Arial" w:cs="Arial"/>
          <w:sz w:val="24"/>
        </w:rPr>
        <w:t>The program supports training for primary care residents including residents in family medicine, internal medicine, pediatrics, internal medicine-pediatrics, obstetrics and gynecology, psychiatry, general dentistry, pediatric dentistry, and geriatrics</w:t>
      </w:r>
      <w:r w:rsidR="00EC5DA3">
        <w:rPr>
          <w:rFonts w:ascii="Arial" w:hAnsi="Arial" w:cs="Arial"/>
          <w:sz w:val="24"/>
        </w:rPr>
        <w:t xml:space="preserve">. </w:t>
      </w:r>
    </w:p>
    <w:p w:rsidR="00E55A65" w:rsidP="005F573B" w14:paraId="4956DC81" w14:textId="77777777">
      <w:pPr>
        <w:pStyle w:val="ListParagraph"/>
        <w:ind w:left="0"/>
        <w:rPr>
          <w:rFonts w:ascii="Arial" w:hAnsi="Arial" w:cs="Arial"/>
          <w:sz w:val="24"/>
        </w:rPr>
      </w:pPr>
    </w:p>
    <w:p w:rsidR="0093647C" w:rsidP="005F573B" w14:paraId="5908B798" w14:textId="0271EF4C">
      <w:pPr>
        <w:pStyle w:val="ListParagraph"/>
        <w:ind w:left="0"/>
        <w:rPr>
          <w:rFonts w:ascii="Arial" w:hAnsi="Arial" w:cs="Arial"/>
          <w:sz w:val="24"/>
        </w:rPr>
      </w:pPr>
      <w:r w:rsidRPr="00AE7D2D">
        <w:rPr>
          <w:rFonts w:ascii="Arial" w:hAnsi="Arial" w:cs="Arial"/>
          <w:sz w:val="24"/>
        </w:rPr>
        <w:t>The statute allows Teaching Health Centers (THC) to receive payments for both direct and indirect costs associated with training residents in community-based ambulatory patient care centers</w:t>
      </w:r>
      <w:r w:rsidR="00EC5DA3">
        <w:rPr>
          <w:rFonts w:ascii="Arial" w:hAnsi="Arial" w:cs="Arial"/>
          <w:sz w:val="24"/>
        </w:rPr>
        <w:t xml:space="preserve">. </w:t>
      </w:r>
      <w:r w:rsidRPr="00AE7D2D">
        <w:rPr>
          <w:rFonts w:ascii="Arial" w:hAnsi="Arial" w:cs="Arial"/>
          <w:sz w:val="24"/>
        </w:rPr>
        <w:t>Direct payments are designed to compensate el</w:t>
      </w:r>
      <w:r w:rsidRPr="00AE7D2D" w:rsidR="00572DA1">
        <w:rPr>
          <w:rFonts w:ascii="Arial" w:hAnsi="Arial" w:cs="Arial"/>
          <w:sz w:val="24"/>
        </w:rPr>
        <w:t xml:space="preserve">igible </w:t>
      </w:r>
      <w:r w:rsidR="00572DA1">
        <w:rPr>
          <w:rFonts w:ascii="Arial" w:hAnsi="Arial" w:cs="Arial"/>
          <w:sz w:val="24"/>
        </w:rPr>
        <w:t>T</w:t>
      </w:r>
      <w:r w:rsidRPr="00AE7D2D" w:rsidR="00572DA1">
        <w:rPr>
          <w:rFonts w:ascii="Arial" w:hAnsi="Arial" w:cs="Arial"/>
          <w:sz w:val="24"/>
        </w:rPr>
        <w:t>H</w:t>
      </w:r>
      <w:r w:rsidR="00572DA1">
        <w:rPr>
          <w:rFonts w:ascii="Arial" w:hAnsi="Arial" w:cs="Arial"/>
          <w:sz w:val="24"/>
        </w:rPr>
        <w:t>C</w:t>
      </w:r>
      <w:r w:rsidRPr="00AE7D2D">
        <w:rPr>
          <w:rFonts w:ascii="Arial" w:hAnsi="Arial" w:cs="Arial"/>
          <w:sz w:val="24"/>
        </w:rPr>
        <w:t>s for those expenses directly associated with resident training, while indirect payments are intended to compensate for the additional costs of training residents in such programs</w:t>
      </w:r>
      <w:r w:rsidR="00EC5DA3">
        <w:rPr>
          <w:rFonts w:ascii="Arial" w:hAnsi="Arial" w:cs="Arial"/>
          <w:sz w:val="24"/>
        </w:rPr>
        <w:t xml:space="preserve">. </w:t>
      </w:r>
    </w:p>
    <w:p w:rsidR="00F765F4" w:rsidP="0093647C" w14:paraId="04C3AC39" w14:textId="07194AE6">
      <w:pPr>
        <w:rPr>
          <w:rFonts w:ascii="Arial" w:hAnsi="Arial" w:cs="Arial"/>
          <w:sz w:val="24"/>
        </w:rPr>
      </w:pPr>
    </w:p>
    <w:p w:rsidR="00F765F4" w:rsidRPr="00AE7D2D" w:rsidP="00AE7D2D" w14:paraId="705B1EA3" w14:textId="7AFF0D3E">
      <w:pPr>
        <w:pStyle w:val="ListParagraph"/>
        <w:ind w:left="0"/>
        <w:rPr>
          <w:rFonts w:ascii="Arial" w:hAnsi="Arial" w:cs="Arial"/>
          <w:sz w:val="24"/>
        </w:rPr>
      </w:pPr>
      <w:r w:rsidRPr="009344D0">
        <w:rPr>
          <w:rFonts w:ascii="Arial" w:hAnsi="Arial" w:cs="Arial"/>
          <w:sz w:val="24"/>
        </w:rPr>
        <w:t xml:space="preserve">THCGME </w:t>
      </w:r>
      <w:r w:rsidR="00B20AFD">
        <w:rPr>
          <w:rFonts w:ascii="Arial" w:hAnsi="Arial" w:cs="Arial"/>
          <w:sz w:val="24"/>
        </w:rPr>
        <w:t>p</w:t>
      </w:r>
      <w:r w:rsidRPr="009344D0">
        <w:rPr>
          <w:rFonts w:ascii="Arial" w:hAnsi="Arial" w:cs="Arial"/>
          <w:sz w:val="24"/>
        </w:rPr>
        <w:t xml:space="preserve">ayments are made at the beginning of the academic year; however, section 340E(f) of the Public Health Service </w:t>
      </w:r>
      <w:r w:rsidR="00B04321">
        <w:rPr>
          <w:rFonts w:ascii="Arial" w:hAnsi="Arial" w:cs="Arial"/>
          <w:sz w:val="24"/>
        </w:rPr>
        <w:t xml:space="preserve">(PHS) </w:t>
      </w:r>
      <w:r w:rsidRPr="009344D0">
        <w:rPr>
          <w:rFonts w:ascii="Arial" w:hAnsi="Arial" w:cs="Arial"/>
          <w:sz w:val="24"/>
        </w:rPr>
        <w:t xml:space="preserve">Act requires the Secretary to determine any changes to the number of residents reported by the THC </w:t>
      </w:r>
      <w:r w:rsidRPr="009344D0">
        <w:rPr>
          <w:rFonts w:ascii="Arial" w:hAnsi="Arial" w:cs="Arial"/>
          <w:sz w:val="24"/>
        </w:rPr>
        <w:t>in order to</w:t>
      </w:r>
      <w:r w:rsidRPr="009344D0">
        <w:rPr>
          <w:rFonts w:ascii="Arial" w:hAnsi="Arial" w:cs="Arial"/>
          <w:sz w:val="24"/>
        </w:rPr>
        <w:t xml:space="preserve"> determine the final amount payable to the THC for both direct expense and indirect expense amounts</w:t>
      </w:r>
      <w:r w:rsidR="00EC5DA3">
        <w:rPr>
          <w:rFonts w:ascii="Arial" w:hAnsi="Arial" w:cs="Arial"/>
          <w:sz w:val="24"/>
        </w:rPr>
        <w:t xml:space="preserve">. </w:t>
      </w:r>
      <w:r w:rsidRPr="009344D0">
        <w:rPr>
          <w:rFonts w:ascii="Arial" w:hAnsi="Arial" w:cs="Arial"/>
          <w:sz w:val="24"/>
        </w:rPr>
        <w:t>Based on such determination, the Secretary is also required to recoup any overpayments</w:t>
      </w:r>
      <w:r w:rsidR="00EC5DA3">
        <w:rPr>
          <w:rFonts w:ascii="Arial" w:hAnsi="Arial" w:cs="Arial"/>
          <w:sz w:val="24"/>
        </w:rPr>
        <w:t xml:space="preserve">. </w:t>
      </w:r>
      <w:r w:rsidRPr="009344D0">
        <w:rPr>
          <w:rFonts w:ascii="Arial" w:hAnsi="Arial" w:cs="Arial"/>
          <w:sz w:val="24"/>
        </w:rPr>
        <w:t>HRSA use</w:t>
      </w:r>
      <w:r w:rsidR="00B04321">
        <w:rPr>
          <w:rFonts w:ascii="Arial" w:hAnsi="Arial" w:cs="Arial"/>
          <w:sz w:val="24"/>
        </w:rPr>
        <w:t>s</w:t>
      </w:r>
      <w:r w:rsidRPr="009344D0">
        <w:rPr>
          <w:rFonts w:ascii="Arial" w:hAnsi="Arial" w:cs="Arial"/>
          <w:sz w:val="24"/>
        </w:rPr>
        <w:t xml:space="preserve"> the information gathered by </w:t>
      </w:r>
      <w:r w:rsidR="00B04321">
        <w:rPr>
          <w:rFonts w:ascii="Arial" w:hAnsi="Arial" w:cs="Arial"/>
          <w:sz w:val="24"/>
        </w:rPr>
        <w:t>this</w:t>
      </w:r>
      <w:r w:rsidRPr="009344D0" w:rsidR="00B04321">
        <w:rPr>
          <w:rFonts w:ascii="Arial" w:hAnsi="Arial" w:cs="Arial"/>
          <w:sz w:val="24"/>
        </w:rPr>
        <w:t xml:space="preserve"> </w:t>
      </w:r>
      <w:r w:rsidRPr="009344D0">
        <w:rPr>
          <w:rFonts w:ascii="Arial" w:hAnsi="Arial" w:cs="Arial"/>
          <w:sz w:val="24"/>
        </w:rPr>
        <w:t xml:space="preserve">instrument to inform the </w:t>
      </w:r>
      <w:r w:rsidRPr="009344D0">
        <w:rPr>
          <w:rFonts w:ascii="Arial" w:hAnsi="Arial" w:cs="Arial"/>
          <w:sz w:val="24"/>
        </w:rPr>
        <w:t>THCGME payment reconciliation process at the end of each academic year</w:t>
      </w:r>
      <w:r w:rsidR="00EC5DA3">
        <w:rPr>
          <w:rFonts w:ascii="Arial" w:hAnsi="Arial" w:cs="Arial"/>
          <w:sz w:val="24"/>
        </w:rPr>
        <w:t xml:space="preserve">. </w:t>
      </w:r>
      <w:r w:rsidRPr="009344D0">
        <w:rPr>
          <w:rFonts w:ascii="Arial" w:hAnsi="Arial" w:cs="Arial"/>
          <w:sz w:val="24"/>
        </w:rPr>
        <w:t xml:space="preserve">Without approval, there is no alternative method for the Program to collect this information and carry out the statutorily mandated reconciliation process. </w:t>
      </w:r>
    </w:p>
    <w:p w:rsidR="009B3794" w:rsidRPr="00C45431" w:rsidP="00CA3DA6" w14:paraId="12DBC0B4"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Purpose and Use of Information Collection</w:t>
      </w:r>
    </w:p>
    <w:p w:rsidR="00B04321" w:rsidP="00E55A65" w14:paraId="19A91533" w14:textId="77777777">
      <w:pPr>
        <w:rPr>
          <w:rFonts w:ascii="Arial" w:hAnsi="Arial" w:cs="Arial"/>
          <w:sz w:val="24"/>
        </w:rPr>
      </w:pPr>
    </w:p>
    <w:p w:rsidR="008563BD" w:rsidRPr="00AE7D2D" w:rsidP="00E55A65" w14:paraId="3B631733" w14:textId="0CDC42B7">
      <w:pPr>
        <w:rPr>
          <w:rFonts w:ascii="Arial" w:hAnsi="Arial" w:cs="Arial"/>
          <w:sz w:val="24"/>
        </w:rPr>
      </w:pPr>
      <w:r w:rsidRPr="00AE7D2D">
        <w:rPr>
          <w:rFonts w:ascii="Arial" w:hAnsi="Arial" w:cs="Arial"/>
          <w:sz w:val="24"/>
        </w:rPr>
        <w:t>There are two main purposes for this reco</w:t>
      </w:r>
      <w:r w:rsidRPr="00AE7D2D" w:rsidR="00572DA1">
        <w:rPr>
          <w:rFonts w:ascii="Arial" w:hAnsi="Arial" w:cs="Arial"/>
          <w:sz w:val="24"/>
        </w:rPr>
        <w:t>nciliation instrument</w:t>
      </w:r>
      <w:r w:rsidR="00EC5DA3">
        <w:rPr>
          <w:rFonts w:ascii="Arial" w:hAnsi="Arial" w:cs="Arial"/>
          <w:sz w:val="24"/>
        </w:rPr>
        <w:t xml:space="preserve">. </w:t>
      </w:r>
      <w:r w:rsidRPr="00AE7D2D" w:rsidR="00572DA1">
        <w:rPr>
          <w:rFonts w:ascii="Arial" w:hAnsi="Arial" w:cs="Arial"/>
          <w:sz w:val="24"/>
        </w:rPr>
        <w:t xml:space="preserve">First, to </w:t>
      </w:r>
      <w:r w:rsidRPr="00AE7D2D" w:rsidR="005800EE">
        <w:rPr>
          <w:rFonts w:ascii="Arial" w:hAnsi="Arial" w:cs="Arial"/>
          <w:sz w:val="24"/>
        </w:rPr>
        <w:t>confirm that</w:t>
      </w:r>
      <w:r w:rsidRPr="00AE7D2D" w:rsidR="00572DA1">
        <w:rPr>
          <w:rFonts w:ascii="Arial" w:hAnsi="Arial" w:cs="Arial"/>
          <w:sz w:val="24"/>
        </w:rPr>
        <w:t xml:space="preserve"> THCs</w:t>
      </w:r>
      <w:r w:rsidRPr="00AE7D2D">
        <w:rPr>
          <w:rFonts w:ascii="Arial" w:hAnsi="Arial" w:cs="Arial"/>
          <w:sz w:val="24"/>
        </w:rPr>
        <w:t xml:space="preserve"> are training the number and percentage of </w:t>
      </w:r>
      <w:r w:rsidR="00B04321">
        <w:rPr>
          <w:rFonts w:ascii="Arial" w:hAnsi="Arial" w:cs="Arial"/>
          <w:sz w:val="24"/>
        </w:rPr>
        <w:t>f</w:t>
      </w:r>
      <w:r w:rsidRPr="00AE7D2D" w:rsidR="00B04321">
        <w:rPr>
          <w:rFonts w:ascii="Arial" w:hAnsi="Arial" w:cs="Arial"/>
          <w:sz w:val="24"/>
        </w:rPr>
        <w:t>ull</w:t>
      </w:r>
      <w:r w:rsidR="00B04321">
        <w:rPr>
          <w:rFonts w:ascii="Arial" w:hAnsi="Arial" w:cs="Arial"/>
          <w:sz w:val="24"/>
        </w:rPr>
        <w:t>-t</w:t>
      </w:r>
      <w:r w:rsidRPr="00AE7D2D" w:rsidR="005800EE">
        <w:rPr>
          <w:rFonts w:ascii="Arial" w:hAnsi="Arial" w:cs="Arial"/>
          <w:sz w:val="24"/>
        </w:rPr>
        <w:t xml:space="preserve">ime </w:t>
      </w:r>
      <w:r w:rsidR="00B04321">
        <w:rPr>
          <w:rFonts w:ascii="Arial" w:hAnsi="Arial" w:cs="Arial"/>
          <w:sz w:val="24"/>
        </w:rPr>
        <w:t>e</w:t>
      </w:r>
      <w:r w:rsidRPr="00AE7D2D" w:rsidR="00B04321">
        <w:rPr>
          <w:rFonts w:ascii="Arial" w:hAnsi="Arial" w:cs="Arial"/>
          <w:sz w:val="24"/>
        </w:rPr>
        <w:t xml:space="preserve">quivalent </w:t>
      </w:r>
      <w:r w:rsidRPr="00AE7D2D" w:rsidR="005800EE">
        <w:rPr>
          <w:rFonts w:ascii="Arial" w:hAnsi="Arial" w:cs="Arial"/>
          <w:sz w:val="24"/>
        </w:rPr>
        <w:t>(FTE)</w:t>
      </w:r>
      <w:r w:rsidRPr="00AE7D2D">
        <w:rPr>
          <w:rFonts w:ascii="Arial" w:hAnsi="Arial" w:cs="Arial"/>
          <w:sz w:val="24"/>
        </w:rPr>
        <w:t xml:space="preserve"> primary care </w:t>
      </w:r>
      <w:r w:rsidRPr="00AE7D2D" w:rsidR="005800EE">
        <w:rPr>
          <w:rFonts w:ascii="Arial" w:hAnsi="Arial" w:cs="Arial"/>
          <w:sz w:val="24"/>
        </w:rPr>
        <w:t xml:space="preserve">and dentistry </w:t>
      </w:r>
      <w:r w:rsidRPr="00AE7D2D">
        <w:rPr>
          <w:rFonts w:ascii="Arial" w:hAnsi="Arial" w:cs="Arial"/>
          <w:sz w:val="24"/>
        </w:rPr>
        <w:t>resi</w:t>
      </w:r>
      <w:r w:rsidRPr="00AE7D2D" w:rsidR="005800EE">
        <w:rPr>
          <w:rFonts w:ascii="Arial" w:hAnsi="Arial" w:cs="Arial"/>
          <w:sz w:val="24"/>
        </w:rPr>
        <w:t>dents that they reported at</w:t>
      </w:r>
      <w:r w:rsidRPr="00AE7D2D" w:rsidR="00572DA1">
        <w:rPr>
          <w:rFonts w:ascii="Arial" w:hAnsi="Arial" w:cs="Arial"/>
          <w:sz w:val="24"/>
        </w:rPr>
        <w:t xml:space="preserve"> the beginning of the academic year</w:t>
      </w:r>
      <w:r w:rsidR="00EC5DA3">
        <w:rPr>
          <w:rFonts w:ascii="Arial" w:hAnsi="Arial" w:cs="Arial"/>
          <w:sz w:val="24"/>
        </w:rPr>
        <w:t xml:space="preserve">. </w:t>
      </w:r>
    </w:p>
    <w:p w:rsidR="00B04321" w:rsidP="00E55A65" w14:paraId="25875F7E" w14:textId="77777777">
      <w:pPr>
        <w:rPr>
          <w:rFonts w:ascii="Arial" w:hAnsi="Arial" w:cs="Arial"/>
          <w:sz w:val="24"/>
        </w:rPr>
      </w:pPr>
    </w:p>
    <w:p w:rsidR="008563BD" w:rsidP="00E55A65" w14:paraId="6E36BAC0" w14:textId="3CD492B7">
      <w:pPr>
        <w:rPr>
          <w:rFonts w:ascii="Arial" w:hAnsi="Arial" w:cs="Arial"/>
          <w:sz w:val="24"/>
        </w:rPr>
      </w:pPr>
      <w:r w:rsidRPr="00AE7D2D">
        <w:rPr>
          <w:rFonts w:ascii="Arial" w:hAnsi="Arial" w:cs="Arial"/>
          <w:sz w:val="24"/>
        </w:rPr>
        <w:t>Second, the reconciliat</w:t>
      </w:r>
      <w:r w:rsidRPr="00AE7D2D" w:rsidR="00572DA1">
        <w:rPr>
          <w:rFonts w:ascii="Arial" w:hAnsi="Arial" w:cs="Arial"/>
          <w:sz w:val="24"/>
        </w:rPr>
        <w:t>ion instrument requires THC</w:t>
      </w:r>
      <w:r w:rsidRPr="00AE7D2D">
        <w:rPr>
          <w:rFonts w:ascii="Arial" w:hAnsi="Arial" w:cs="Arial"/>
          <w:sz w:val="24"/>
        </w:rPr>
        <w:t>s to report the</w:t>
      </w:r>
      <w:r w:rsidRPr="00AE7D2D" w:rsidR="00BC051A">
        <w:rPr>
          <w:rFonts w:ascii="Arial" w:hAnsi="Arial" w:cs="Arial"/>
          <w:sz w:val="24"/>
        </w:rPr>
        <w:t xml:space="preserve"> percentage of any resident FTE</w:t>
      </w:r>
      <w:r w:rsidR="00BC051A">
        <w:rPr>
          <w:rFonts w:ascii="Arial" w:hAnsi="Arial" w:cs="Arial"/>
          <w:sz w:val="24"/>
        </w:rPr>
        <w:t xml:space="preserve">, </w:t>
      </w:r>
      <w:r w:rsidRPr="00AE7D2D">
        <w:rPr>
          <w:rFonts w:ascii="Arial" w:hAnsi="Arial" w:cs="Arial"/>
          <w:sz w:val="24"/>
        </w:rPr>
        <w:t>which is being claimed by other payment sources including</w:t>
      </w:r>
      <w:r w:rsidR="00B04321">
        <w:rPr>
          <w:rFonts w:ascii="Arial" w:hAnsi="Arial" w:cs="Arial"/>
          <w:sz w:val="24"/>
        </w:rPr>
        <w:t>,</w:t>
      </w:r>
      <w:r w:rsidRPr="00AE7D2D">
        <w:rPr>
          <w:rFonts w:ascii="Arial" w:hAnsi="Arial" w:cs="Arial"/>
          <w:sz w:val="24"/>
        </w:rPr>
        <w:t xml:space="preserve"> but not limited to</w:t>
      </w:r>
      <w:r w:rsidR="00B04321">
        <w:rPr>
          <w:rFonts w:ascii="Arial" w:hAnsi="Arial" w:cs="Arial"/>
          <w:sz w:val="24"/>
        </w:rPr>
        <w:t>,</w:t>
      </w:r>
      <w:r w:rsidRPr="00AE7D2D">
        <w:rPr>
          <w:rFonts w:ascii="Arial" w:hAnsi="Arial" w:cs="Arial"/>
          <w:sz w:val="24"/>
        </w:rPr>
        <w:t xml:space="preserve"> Medicare GME, Medicaid, and other federal payers</w:t>
      </w:r>
      <w:r w:rsidR="00EC5DA3">
        <w:rPr>
          <w:rFonts w:ascii="Arial" w:hAnsi="Arial" w:cs="Arial"/>
          <w:sz w:val="24"/>
        </w:rPr>
        <w:t xml:space="preserve">. </w:t>
      </w:r>
      <w:r w:rsidRPr="00AE7D2D">
        <w:rPr>
          <w:rFonts w:ascii="Arial" w:hAnsi="Arial" w:cs="Arial"/>
          <w:sz w:val="24"/>
        </w:rPr>
        <w:t>THCGME award recipients must also report, to the best of their knowledg</w:t>
      </w:r>
      <w:r w:rsidRPr="00AE7D2D" w:rsidR="00BC051A">
        <w:rPr>
          <w:rFonts w:ascii="Arial" w:hAnsi="Arial" w:cs="Arial"/>
          <w:sz w:val="24"/>
        </w:rPr>
        <w:t>e, the number of residents</w:t>
      </w:r>
      <w:r w:rsidRPr="00AE7D2D">
        <w:rPr>
          <w:rFonts w:ascii="Arial" w:hAnsi="Arial" w:cs="Arial"/>
          <w:sz w:val="24"/>
        </w:rPr>
        <w:t xml:space="preserve"> trained at hospitals below their Medicare reside</w:t>
      </w:r>
      <w:r w:rsidRPr="00AE7D2D" w:rsidR="00BC051A">
        <w:rPr>
          <w:rFonts w:ascii="Arial" w:hAnsi="Arial" w:cs="Arial"/>
          <w:sz w:val="24"/>
        </w:rPr>
        <w:t>nt cap</w:t>
      </w:r>
      <w:r w:rsidR="00EC5DA3">
        <w:rPr>
          <w:rFonts w:ascii="Arial" w:hAnsi="Arial" w:cs="Arial"/>
          <w:sz w:val="24"/>
        </w:rPr>
        <w:t xml:space="preserve">. </w:t>
      </w:r>
      <w:r w:rsidRPr="00AE7D2D" w:rsidR="00BC051A">
        <w:rPr>
          <w:rFonts w:ascii="Arial" w:hAnsi="Arial" w:cs="Arial"/>
          <w:sz w:val="24"/>
        </w:rPr>
        <w:t xml:space="preserve">This information </w:t>
      </w:r>
      <w:r w:rsidR="00BC051A">
        <w:rPr>
          <w:rFonts w:ascii="Arial" w:hAnsi="Arial" w:cs="Arial"/>
          <w:sz w:val="24"/>
        </w:rPr>
        <w:t>is</w:t>
      </w:r>
      <w:r w:rsidRPr="00AE7D2D">
        <w:rPr>
          <w:rFonts w:ascii="Arial" w:hAnsi="Arial" w:cs="Arial"/>
          <w:sz w:val="24"/>
        </w:rPr>
        <w:t xml:space="preserve"> used to ensure that there are no duplicate Federal payments for THC resident training</w:t>
      </w:r>
      <w:r w:rsidR="00EC5DA3">
        <w:rPr>
          <w:rFonts w:ascii="Arial" w:hAnsi="Arial" w:cs="Arial"/>
          <w:sz w:val="24"/>
        </w:rPr>
        <w:t xml:space="preserve">. </w:t>
      </w:r>
    </w:p>
    <w:p w:rsidR="00B04321" w:rsidRPr="00AE7D2D" w:rsidP="00E55A65" w14:paraId="7573B70C" w14:textId="77777777">
      <w:pPr>
        <w:rPr>
          <w:rFonts w:ascii="Arial" w:hAnsi="Arial" w:cs="Arial"/>
          <w:sz w:val="24"/>
        </w:rPr>
      </w:pPr>
    </w:p>
    <w:p w:rsidR="009B3794" w:rsidRPr="00C45431" w:rsidP="00E55A65" w14:paraId="12DBC0B9" w14:textId="77777777">
      <w:pPr>
        <w:numPr>
          <w:ilvl w:val="0"/>
          <w:numId w:val="2"/>
        </w:numPr>
        <w:tabs>
          <w:tab w:val="num" w:pos="360"/>
          <w:tab w:val="clear" w:pos="1080"/>
        </w:tabs>
        <w:ind w:left="360"/>
        <w:rPr>
          <w:rFonts w:ascii="Arial" w:hAnsi="Arial" w:cs="Arial"/>
          <w:sz w:val="24"/>
        </w:rPr>
      </w:pPr>
      <w:r w:rsidRPr="00C45431">
        <w:rPr>
          <w:rFonts w:ascii="Arial" w:hAnsi="Arial" w:cs="Arial"/>
          <w:b/>
          <w:sz w:val="24"/>
          <w:u w:val="single"/>
        </w:rPr>
        <w:t>Use of Improved Information Technology and Burden Reduction</w:t>
      </w:r>
    </w:p>
    <w:p w:rsidR="00B04321" w:rsidP="00E55A65" w14:paraId="0F89E586" w14:textId="77777777">
      <w:pPr>
        <w:rPr>
          <w:rFonts w:ascii="Arial" w:eastAsia="Calibri" w:hAnsi="Arial" w:cs="Arial"/>
          <w:sz w:val="24"/>
        </w:rPr>
      </w:pPr>
    </w:p>
    <w:p w:rsidR="008563BD" w:rsidRPr="00AE7D2D" w:rsidP="0BD5359D" w14:paraId="15453B84" w14:textId="4DF842EE">
      <w:pPr>
        <w:rPr>
          <w:rFonts w:ascii="Arial" w:hAnsi="Arial" w:cs="Arial"/>
          <w:sz w:val="24"/>
        </w:rPr>
      </w:pPr>
      <w:r w:rsidRPr="0BD5359D">
        <w:rPr>
          <w:rFonts w:ascii="Arial" w:eastAsia="Calibri" w:hAnsi="Arial" w:cs="Arial"/>
          <w:sz w:val="24"/>
        </w:rPr>
        <w:t xml:space="preserve">HRSA will collect reconciliation data via </w:t>
      </w:r>
      <w:r w:rsidRPr="0BD5359D" w:rsidR="3D1D9DA2">
        <w:rPr>
          <w:rFonts w:ascii="Arial" w:eastAsia="Calibri" w:hAnsi="Arial" w:cs="Arial"/>
          <w:sz w:val="24"/>
        </w:rPr>
        <w:t>a web-based grants management program</w:t>
      </w:r>
      <w:r w:rsidRPr="0BD5359D">
        <w:rPr>
          <w:rFonts w:ascii="Arial" w:eastAsia="Calibri" w:hAnsi="Arial" w:cs="Arial"/>
          <w:sz w:val="24"/>
        </w:rPr>
        <w:t xml:space="preserve"> to reduce grantee burden and improve data quality</w:t>
      </w:r>
      <w:r w:rsidR="00EC5DA3">
        <w:rPr>
          <w:rFonts w:ascii="Arial" w:eastAsia="Calibri" w:hAnsi="Arial" w:cs="Arial"/>
          <w:sz w:val="24"/>
        </w:rPr>
        <w:t xml:space="preserve">. </w:t>
      </w:r>
      <w:r w:rsidRPr="0BD5359D">
        <w:rPr>
          <w:rFonts w:ascii="Arial" w:eastAsia="Calibri" w:hAnsi="Arial" w:cs="Arial"/>
          <w:sz w:val="24"/>
        </w:rPr>
        <w:t>Every effort was taken to design the tool to collect the least, but appropriate, amount of data needed to reconcile number of FTE po</w:t>
      </w:r>
      <w:r w:rsidRPr="0BD5359D" w:rsidR="00F765F4">
        <w:rPr>
          <w:rFonts w:ascii="Arial" w:eastAsia="Calibri" w:hAnsi="Arial" w:cs="Arial"/>
          <w:sz w:val="24"/>
        </w:rPr>
        <w:t>sitions</w:t>
      </w:r>
      <w:r w:rsidR="00EC5DA3">
        <w:rPr>
          <w:rFonts w:ascii="Arial" w:eastAsia="Calibri" w:hAnsi="Arial" w:cs="Arial"/>
          <w:sz w:val="24"/>
        </w:rPr>
        <w:t xml:space="preserve">. </w:t>
      </w:r>
      <w:r w:rsidRPr="0BD5359D" w:rsidR="00F765F4">
        <w:rPr>
          <w:rFonts w:ascii="Arial" w:eastAsia="Calibri" w:hAnsi="Arial" w:cs="Arial"/>
          <w:sz w:val="24"/>
        </w:rPr>
        <w:t>According to</w:t>
      </w:r>
      <w:r w:rsidRPr="0BD5359D" w:rsidR="00B04321">
        <w:rPr>
          <w:rFonts w:ascii="Arial" w:eastAsia="Calibri" w:hAnsi="Arial" w:cs="Arial"/>
          <w:sz w:val="24"/>
        </w:rPr>
        <w:t xml:space="preserve"> </w:t>
      </w:r>
      <w:r w:rsidRPr="0BD5359D">
        <w:rPr>
          <w:rFonts w:ascii="Arial" w:eastAsia="Calibri" w:hAnsi="Arial" w:cs="Arial"/>
          <w:sz w:val="24"/>
        </w:rPr>
        <w:t>THCGME award recipients, the data r</w:t>
      </w:r>
      <w:r w:rsidRPr="0BD5359D" w:rsidR="00F765F4">
        <w:rPr>
          <w:rFonts w:ascii="Arial" w:eastAsia="Calibri" w:hAnsi="Arial" w:cs="Arial"/>
          <w:sz w:val="24"/>
        </w:rPr>
        <w:t>equested are not</w:t>
      </w:r>
      <w:r w:rsidRPr="0BD5359D">
        <w:rPr>
          <w:rFonts w:ascii="Arial" w:eastAsia="Calibri" w:hAnsi="Arial" w:cs="Arial"/>
          <w:sz w:val="24"/>
        </w:rPr>
        <w:t xml:space="preserve"> burdensome and are readily available</w:t>
      </w:r>
      <w:r w:rsidR="00EC5DA3">
        <w:rPr>
          <w:rFonts w:ascii="Arial" w:eastAsia="Calibri" w:hAnsi="Arial" w:cs="Arial"/>
          <w:sz w:val="24"/>
        </w:rPr>
        <w:t xml:space="preserve">. </w:t>
      </w:r>
      <w:r w:rsidRPr="0BD5359D">
        <w:rPr>
          <w:rFonts w:ascii="Arial" w:eastAsia="Calibri" w:hAnsi="Arial" w:cs="Arial"/>
          <w:sz w:val="24"/>
        </w:rPr>
        <w:t xml:space="preserve">All THCGME award recipients will be required </w:t>
      </w:r>
      <w:r w:rsidRPr="0BD5359D">
        <w:rPr>
          <w:rFonts w:ascii="Arial" w:eastAsia="Calibri" w:hAnsi="Arial" w:cs="Arial"/>
          <w:sz w:val="24"/>
        </w:rPr>
        <w:t>use</w:t>
      </w:r>
      <w:r w:rsidRPr="0BD5359D">
        <w:rPr>
          <w:rFonts w:ascii="Arial" w:eastAsia="Calibri" w:hAnsi="Arial" w:cs="Arial"/>
          <w:sz w:val="24"/>
        </w:rPr>
        <w:t xml:space="preserve"> the electronic Reconciliation Tool as part of their award requirements.</w:t>
      </w:r>
    </w:p>
    <w:p w:rsidR="009B3794" w:rsidRPr="00C45431" w:rsidP="00E55A65" w14:paraId="12DBC0BD" w14:textId="1C29DF12">
      <w:pPr>
        <w:widowControl/>
        <w:rPr>
          <w:rFonts w:ascii="Arial" w:hAnsi="Arial" w:cs="Arial"/>
          <w:sz w:val="24"/>
        </w:rPr>
      </w:pPr>
    </w:p>
    <w:p w:rsidR="009B3794" w:rsidRPr="00C45431" w:rsidP="00E55A65" w14:paraId="12DBC0BE" w14:textId="321A40AD">
      <w:pPr>
        <w:numPr>
          <w:ilvl w:val="0"/>
          <w:numId w:val="2"/>
        </w:numPr>
        <w:tabs>
          <w:tab w:val="num" w:pos="360"/>
          <w:tab w:val="clear" w:pos="1080"/>
        </w:tabs>
        <w:ind w:left="360"/>
        <w:rPr>
          <w:rFonts w:ascii="Arial" w:hAnsi="Arial" w:cs="Arial"/>
          <w:b/>
          <w:sz w:val="24"/>
        </w:rPr>
      </w:pPr>
      <w:r w:rsidRPr="00C45431">
        <w:rPr>
          <w:rFonts w:ascii="Arial" w:hAnsi="Arial" w:cs="Arial"/>
          <w:b/>
          <w:sz w:val="24"/>
          <w:u w:val="single"/>
        </w:rPr>
        <w:t>Efforts to Identify Duplication and Use of Similar Information</w:t>
      </w:r>
    </w:p>
    <w:p w:rsidR="00B04321" w:rsidP="00E55A65" w14:paraId="4ECE257B" w14:textId="77777777">
      <w:pPr>
        <w:rPr>
          <w:rFonts w:ascii="Arial" w:hAnsi="Arial" w:cs="Arial"/>
          <w:sz w:val="24"/>
        </w:rPr>
      </w:pPr>
    </w:p>
    <w:p w:rsidR="00B04321" w:rsidP="00E55A65" w14:paraId="23024024" w14:textId="46E0FB9F">
      <w:pPr>
        <w:rPr>
          <w:rFonts w:ascii="Arial" w:hAnsi="Arial" w:cs="Arial"/>
          <w:sz w:val="24"/>
        </w:rPr>
      </w:pPr>
      <w:r w:rsidRPr="008563BD">
        <w:rPr>
          <w:rFonts w:ascii="Arial" w:hAnsi="Arial" w:cs="Arial"/>
          <w:sz w:val="24"/>
        </w:rPr>
        <w:t xml:space="preserve">The information gathered </w:t>
      </w:r>
      <w:r w:rsidR="003B4081">
        <w:rPr>
          <w:rFonts w:ascii="Arial" w:hAnsi="Arial" w:cs="Arial"/>
          <w:sz w:val="24"/>
        </w:rPr>
        <w:t xml:space="preserve">in the Reconciliation Tool </w:t>
      </w:r>
      <w:r w:rsidR="00D263C3">
        <w:rPr>
          <w:rFonts w:ascii="Arial" w:hAnsi="Arial" w:cs="Arial"/>
          <w:sz w:val="24"/>
        </w:rPr>
        <w:t xml:space="preserve">is </w:t>
      </w:r>
      <w:r w:rsidR="003B4081">
        <w:rPr>
          <w:rFonts w:ascii="Arial" w:hAnsi="Arial" w:cs="Arial"/>
          <w:sz w:val="24"/>
        </w:rPr>
        <w:t xml:space="preserve">used </w:t>
      </w:r>
      <w:r w:rsidRPr="008563BD">
        <w:rPr>
          <w:rFonts w:ascii="Arial" w:hAnsi="Arial" w:cs="Arial"/>
          <w:sz w:val="24"/>
        </w:rPr>
        <w:t xml:space="preserve">to reconcile the number of </w:t>
      </w:r>
      <w:r w:rsidR="00626CE7">
        <w:rPr>
          <w:rFonts w:ascii="Arial" w:hAnsi="Arial" w:cs="Arial"/>
          <w:sz w:val="24"/>
        </w:rPr>
        <w:t xml:space="preserve">resident </w:t>
      </w:r>
      <w:r w:rsidRPr="008563BD">
        <w:rPr>
          <w:rFonts w:ascii="Arial" w:hAnsi="Arial" w:cs="Arial"/>
          <w:sz w:val="24"/>
        </w:rPr>
        <w:t xml:space="preserve">FTEs </w:t>
      </w:r>
      <w:r w:rsidR="00626CE7">
        <w:rPr>
          <w:rFonts w:ascii="Arial" w:hAnsi="Arial" w:cs="Arial"/>
          <w:sz w:val="24"/>
        </w:rPr>
        <w:t xml:space="preserve">reported by award </w:t>
      </w:r>
      <w:r w:rsidR="00D263C3">
        <w:rPr>
          <w:rFonts w:ascii="Arial" w:hAnsi="Arial" w:cs="Arial"/>
          <w:sz w:val="24"/>
        </w:rPr>
        <w:t>recipients</w:t>
      </w:r>
      <w:r w:rsidR="00626CE7">
        <w:rPr>
          <w:rFonts w:ascii="Arial" w:hAnsi="Arial" w:cs="Arial"/>
          <w:sz w:val="24"/>
        </w:rPr>
        <w:t xml:space="preserve"> </w:t>
      </w:r>
      <w:r w:rsidRPr="008563BD">
        <w:rPr>
          <w:rFonts w:ascii="Arial" w:hAnsi="Arial" w:cs="Arial"/>
          <w:sz w:val="24"/>
        </w:rPr>
        <w:t xml:space="preserve">funded </w:t>
      </w:r>
      <w:r w:rsidR="003B4081">
        <w:rPr>
          <w:rFonts w:ascii="Arial" w:hAnsi="Arial" w:cs="Arial"/>
          <w:sz w:val="24"/>
        </w:rPr>
        <w:t>by the THCGME program</w:t>
      </w:r>
      <w:r w:rsidR="00EC5DA3">
        <w:rPr>
          <w:rFonts w:ascii="Arial" w:hAnsi="Arial" w:cs="Arial"/>
          <w:sz w:val="24"/>
        </w:rPr>
        <w:t xml:space="preserve">. </w:t>
      </w:r>
      <w:r w:rsidR="00D263C3">
        <w:rPr>
          <w:rFonts w:ascii="Arial" w:hAnsi="Arial" w:cs="Arial"/>
          <w:sz w:val="24"/>
        </w:rPr>
        <w:t>The information</w:t>
      </w:r>
      <w:r w:rsidR="003B4081">
        <w:rPr>
          <w:rFonts w:ascii="Arial" w:hAnsi="Arial" w:cs="Arial"/>
          <w:sz w:val="24"/>
        </w:rPr>
        <w:t xml:space="preserve"> </w:t>
      </w:r>
      <w:r w:rsidRPr="008563BD">
        <w:rPr>
          <w:rFonts w:ascii="Arial" w:hAnsi="Arial" w:cs="Arial"/>
          <w:sz w:val="24"/>
        </w:rPr>
        <w:t>is not collected by other HHS agencie</w:t>
      </w:r>
      <w:r w:rsidR="00D263C3">
        <w:rPr>
          <w:rFonts w:ascii="Arial" w:hAnsi="Arial" w:cs="Arial"/>
          <w:sz w:val="24"/>
        </w:rPr>
        <w:t>s or data collection systems</w:t>
      </w:r>
      <w:r w:rsidR="00EC5DA3">
        <w:rPr>
          <w:rFonts w:ascii="Arial" w:hAnsi="Arial" w:cs="Arial"/>
          <w:sz w:val="24"/>
        </w:rPr>
        <w:t xml:space="preserve">. </w:t>
      </w:r>
      <w:r w:rsidR="00D263C3">
        <w:rPr>
          <w:rFonts w:ascii="Arial" w:hAnsi="Arial" w:cs="Arial"/>
          <w:sz w:val="24"/>
        </w:rPr>
        <w:t>The data is</w:t>
      </w:r>
      <w:r w:rsidRPr="008563BD">
        <w:rPr>
          <w:rFonts w:ascii="Arial" w:hAnsi="Arial" w:cs="Arial"/>
          <w:sz w:val="24"/>
        </w:rPr>
        <w:t xml:space="preserve"> requested annually in accordance with the statu</w:t>
      </w:r>
      <w:r w:rsidR="003B0E22">
        <w:rPr>
          <w:rFonts w:ascii="Arial" w:hAnsi="Arial" w:cs="Arial"/>
          <w:sz w:val="24"/>
        </w:rPr>
        <w:t>t</w:t>
      </w:r>
      <w:r w:rsidRPr="008563BD">
        <w:rPr>
          <w:rFonts w:ascii="Arial" w:hAnsi="Arial" w:cs="Arial"/>
          <w:sz w:val="24"/>
        </w:rPr>
        <w:t xml:space="preserve">e. </w:t>
      </w:r>
    </w:p>
    <w:p w:rsidR="00B04321" w:rsidRPr="00C45431" w:rsidP="00E55A65" w14:paraId="4C30C71D" w14:textId="77777777">
      <w:pPr>
        <w:rPr>
          <w:rFonts w:ascii="Arial" w:hAnsi="Arial" w:cs="Arial"/>
          <w:b/>
          <w:sz w:val="24"/>
        </w:rPr>
      </w:pPr>
    </w:p>
    <w:p w:rsidR="009B3794" w:rsidRPr="00C45431" w:rsidP="00E55A65" w14:paraId="12DBC0C0" w14:textId="77777777">
      <w:pPr>
        <w:numPr>
          <w:ilvl w:val="0"/>
          <w:numId w:val="2"/>
        </w:numPr>
        <w:tabs>
          <w:tab w:val="num" w:pos="360"/>
          <w:tab w:val="clear" w:pos="1080"/>
        </w:tabs>
        <w:ind w:left="360"/>
        <w:rPr>
          <w:rFonts w:ascii="Arial" w:hAnsi="Arial" w:cs="Arial"/>
          <w:color w:val="000000"/>
          <w:sz w:val="24"/>
        </w:rPr>
      </w:pPr>
      <w:r w:rsidRPr="00C45431">
        <w:rPr>
          <w:rFonts w:ascii="Arial" w:hAnsi="Arial" w:cs="Arial"/>
          <w:b/>
          <w:sz w:val="24"/>
          <w:u w:val="single"/>
        </w:rPr>
        <w:t>Impact on Small Businesses or Other Small Entities</w:t>
      </w:r>
    </w:p>
    <w:p w:rsidR="00B04321" w:rsidP="00E55A65" w14:paraId="3E7F1D11" w14:textId="77777777">
      <w:pPr>
        <w:rPr>
          <w:rFonts w:ascii="Arial" w:hAnsi="Arial" w:cs="Arial"/>
          <w:sz w:val="24"/>
        </w:rPr>
      </w:pPr>
    </w:p>
    <w:p w:rsidR="00B04321" w:rsidP="00E55A65" w14:paraId="734FCBCF" w14:textId="77777777">
      <w:pPr>
        <w:rPr>
          <w:rFonts w:ascii="Arial" w:hAnsi="Arial" w:cs="Arial"/>
          <w:sz w:val="24"/>
        </w:rPr>
      </w:pPr>
      <w:r w:rsidRPr="00AE7D2D">
        <w:rPr>
          <w:rFonts w:ascii="Arial" w:hAnsi="Arial" w:cs="Arial"/>
          <w:sz w:val="24"/>
        </w:rPr>
        <w:t>No small businesses will be involved.</w:t>
      </w:r>
    </w:p>
    <w:p w:rsidR="008563BD" w:rsidP="00E55A65" w14:paraId="6715BA67" w14:textId="192D20CB">
      <w:pPr>
        <w:rPr>
          <w:rFonts w:ascii="Arial" w:hAnsi="Arial" w:cs="Arial"/>
          <w:sz w:val="24"/>
        </w:rPr>
      </w:pPr>
      <w:r w:rsidRPr="00AE7D2D">
        <w:rPr>
          <w:rFonts w:ascii="Arial" w:hAnsi="Arial" w:cs="Arial"/>
          <w:sz w:val="24"/>
        </w:rPr>
        <w:t xml:space="preserve"> </w:t>
      </w:r>
    </w:p>
    <w:p w:rsidR="009B3794" w:rsidRPr="00C45431" w:rsidP="00E55A65" w14:paraId="12DBC0C6" w14:textId="2111B025">
      <w:pPr>
        <w:numPr>
          <w:ilvl w:val="0"/>
          <w:numId w:val="2"/>
        </w:numPr>
        <w:tabs>
          <w:tab w:val="num" w:pos="360"/>
          <w:tab w:val="clear" w:pos="1080"/>
        </w:tabs>
        <w:ind w:left="360"/>
        <w:rPr>
          <w:rFonts w:ascii="Arial" w:hAnsi="Arial" w:cs="Arial"/>
          <w:b/>
          <w:sz w:val="24"/>
        </w:rPr>
      </w:pPr>
      <w:r w:rsidRPr="00C45431">
        <w:rPr>
          <w:rFonts w:ascii="Arial" w:hAnsi="Arial" w:cs="Arial"/>
          <w:b/>
          <w:sz w:val="24"/>
          <w:u w:val="single"/>
        </w:rPr>
        <w:t>Consequences of Collecting the Information Less Frequent</w:t>
      </w:r>
      <w:r w:rsidRPr="00C45431" w:rsidR="001325B2">
        <w:rPr>
          <w:rFonts w:ascii="Arial" w:hAnsi="Arial" w:cs="Arial"/>
          <w:b/>
          <w:sz w:val="24"/>
          <w:u w:val="single"/>
        </w:rPr>
        <w:t>ly</w:t>
      </w:r>
    </w:p>
    <w:p w:rsidR="00B04321" w:rsidP="00E55A65" w14:paraId="6BE3C7BB" w14:textId="77777777">
      <w:pPr>
        <w:rPr>
          <w:rFonts w:ascii="Arial" w:hAnsi="Arial" w:cs="Arial"/>
          <w:sz w:val="24"/>
        </w:rPr>
      </w:pPr>
    </w:p>
    <w:p w:rsidR="00073073" w:rsidRPr="00AE7D2D" w:rsidP="00E55A65" w14:paraId="24453ED5" w14:textId="2AEE344C">
      <w:pPr>
        <w:rPr>
          <w:rFonts w:ascii="Arial" w:hAnsi="Arial" w:cs="Arial"/>
          <w:sz w:val="24"/>
        </w:rPr>
      </w:pPr>
      <w:r w:rsidRPr="00AE7D2D">
        <w:rPr>
          <w:rFonts w:ascii="Arial" w:hAnsi="Arial" w:cs="Arial"/>
          <w:sz w:val="24"/>
        </w:rPr>
        <w:t>There are legal consequences to collecting the information less frequently</w:t>
      </w:r>
      <w:r w:rsidR="00EC5DA3">
        <w:rPr>
          <w:rFonts w:ascii="Arial" w:hAnsi="Arial" w:cs="Arial"/>
          <w:sz w:val="24"/>
        </w:rPr>
        <w:t xml:space="preserve">. </w:t>
      </w:r>
      <w:r w:rsidRPr="00AE7D2D">
        <w:rPr>
          <w:rFonts w:ascii="Arial" w:hAnsi="Arial" w:cs="Arial"/>
          <w:sz w:val="24"/>
        </w:rPr>
        <w:t xml:space="preserve">Respondents will complete the Reconciliation Tool annually to satisfy the legislative requirement in Section 340H (f) of the </w:t>
      </w:r>
      <w:r w:rsidR="00B04321">
        <w:rPr>
          <w:rFonts w:ascii="Arial" w:hAnsi="Arial" w:cs="Arial"/>
          <w:sz w:val="24"/>
        </w:rPr>
        <w:t>PHS</w:t>
      </w:r>
      <w:r w:rsidRPr="00AE7D2D">
        <w:rPr>
          <w:rFonts w:ascii="Arial" w:hAnsi="Arial" w:cs="Arial"/>
          <w:sz w:val="24"/>
        </w:rPr>
        <w:t xml:space="preserve"> Act, which requires annual reconciliation of direct and indirect payments</w:t>
      </w:r>
      <w:r w:rsidR="00EC5DA3">
        <w:rPr>
          <w:rFonts w:ascii="Arial" w:hAnsi="Arial" w:cs="Arial"/>
          <w:sz w:val="24"/>
        </w:rPr>
        <w:t xml:space="preserve">. </w:t>
      </w:r>
      <w:r w:rsidRPr="00AE7D2D">
        <w:rPr>
          <w:rFonts w:ascii="Arial" w:hAnsi="Arial" w:cs="Arial"/>
          <w:sz w:val="24"/>
        </w:rPr>
        <w:t>If collection of the data is not conducted or is conducted less frequently than annually</w:t>
      </w:r>
      <w:r w:rsidR="002F076F">
        <w:rPr>
          <w:rFonts w:ascii="Arial" w:hAnsi="Arial" w:cs="Arial"/>
          <w:sz w:val="24"/>
        </w:rPr>
        <w:t>,</w:t>
      </w:r>
      <w:r w:rsidRPr="00AE7D2D">
        <w:rPr>
          <w:rFonts w:ascii="Arial" w:hAnsi="Arial" w:cs="Arial"/>
          <w:sz w:val="24"/>
        </w:rPr>
        <w:t xml:space="preserve"> the THCGME award recipients will not be in compliance </w:t>
      </w:r>
      <w:r w:rsidRPr="00AE7D2D">
        <w:rPr>
          <w:rFonts w:ascii="Arial" w:hAnsi="Arial" w:cs="Arial"/>
          <w:sz w:val="24"/>
        </w:rPr>
        <w:t>with the law.</w:t>
      </w:r>
    </w:p>
    <w:p w:rsidR="009B3794" w:rsidP="00E55A65" w14:paraId="12DBC0CA" w14:textId="368D7667">
      <w:pPr>
        <w:widowControl/>
        <w:autoSpaceDE/>
        <w:autoSpaceDN/>
        <w:adjustRightInd/>
        <w:ind w:left="360"/>
        <w:rPr>
          <w:rFonts w:ascii="Arial" w:hAnsi="Arial" w:cs="Arial"/>
          <w:sz w:val="24"/>
        </w:rPr>
      </w:pPr>
      <w:r w:rsidRPr="00C45431">
        <w:rPr>
          <w:rFonts w:ascii="Arial" w:hAnsi="Arial" w:cs="Arial"/>
          <w:sz w:val="24"/>
        </w:rPr>
        <w:tab/>
      </w:r>
    </w:p>
    <w:p w:rsidR="00A107B7" w:rsidRPr="00C45431" w:rsidP="00E55A65" w14:paraId="6C041F16" w14:textId="77777777">
      <w:pPr>
        <w:widowControl/>
        <w:autoSpaceDE/>
        <w:autoSpaceDN/>
        <w:adjustRightInd/>
        <w:ind w:left="360"/>
        <w:rPr>
          <w:rFonts w:ascii="Arial" w:hAnsi="Arial" w:cs="Arial"/>
          <w:sz w:val="24"/>
        </w:rPr>
      </w:pPr>
    </w:p>
    <w:p w:rsidR="009B3794" w:rsidRPr="00E55A65" w:rsidP="00E55A65" w14:paraId="12DBC0CB" w14:textId="77777777">
      <w:pPr>
        <w:numPr>
          <w:ilvl w:val="0"/>
          <w:numId w:val="2"/>
        </w:numPr>
        <w:tabs>
          <w:tab w:val="num" w:pos="360"/>
          <w:tab w:val="clear" w:pos="1080"/>
        </w:tabs>
        <w:ind w:left="360"/>
        <w:rPr>
          <w:rFonts w:ascii="Arial" w:hAnsi="Arial" w:cs="Arial"/>
          <w:b/>
          <w:sz w:val="24"/>
        </w:rPr>
      </w:pPr>
      <w:r w:rsidRPr="00E55A65">
        <w:rPr>
          <w:rFonts w:ascii="Arial" w:hAnsi="Arial" w:cs="Arial"/>
          <w:b/>
          <w:sz w:val="24"/>
          <w:u w:val="single"/>
        </w:rPr>
        <w:t>Special Circumstances Relating to the Guidelines of 5 CFR 1320.5</w:t>
      </w:r>
    </w:p>
    <w:p w:rsidR="00B04321" w:rsidRPr="00E55A65" w:rsidP="00E55A65" w14:paraId="19167E84" w14:textId="77777777">
      <w:pPr>
        <w:widowControl/>
        <w:rPr>
          <w:rFonts w:ascii="Arial" w:hAnsi="Arial" w:cs="Arial"/>
          <w:sz w:val="24"/>
        </w:rPr>
      </w:pPr>
    </w:p>
    <w:p w:rsidR="00B04321" w:rsidP="00E55A65" w14:paraId="7750F65C" w14:textId="5FCAA0E3">
      <w:pPr>
        <w:widowControl/>
        <w:rPr>
          <w:rFonts w:ascii="Arial" w:hAnsi="Arial" w:cs="Arial"/>
          <w:sz w:val="24"/>
        </w:rPr>
      </w:pPr>
      <w:r w:rsidRPr="00E55A65">
        <w:rPr>
          <w:rFonts w:ascii="Arial" w:hAnsi="Arial" w:cs="Arial"/>
          <w:sz w:val="24"/>
        </w:rPr>
        <w:t>T</w:t>
      </w:r>
      <w:r w:rsidRPr="00E55A65" w:rsidR="009B3794">
        <w:rPr>
          <w:rFonts w:ascii="Arial" w:hAnsi="Arial" w:cs="Arial"/>
          <w:sz w:val="24"/>
        </w:rPr>
        <w:t>he request fully complies with the regulation.</w:t>
      </w:r>
    </w:p>
    <w:p w:rsidR="00A107B7" w:rsidRPr="00E55A65" w:rsidP="00E55A65" w14:paraId="6135140C" w14:textId="77777777">
      <w:pPr>
        <w:widowControl/>
        <w:rPr>
          <w:rFonts w:ascii="Arial" w:hAnsi="Arial" w:cs="Arial"/>
          <w:sz w:val="24"/>
        </w:rPr>
      </w:pPr>
    </w:p>
    <w:p w:rsidR="009B3794" w:rsidRPr="00E55A65" w:rsidP="0FDABBAF" w14:paraId="12DBC0D5" w14:textId="77777777">
      <w:pPr>
        <w:numPr>
          <w:ilvl w:val="0"/>
          <w:numId w:val="2"/>
        </w:numPr>
        <w:tabs>
          <w:tab w:val="num" w:pos="360"/>
          <w:tab w:val="clear" w:pos="1080"/>
        </w:tabs>
        <w:ind w:left="360"/>
        <w:rPr>
          <w:rFonts w:ascii="Arial" w:hAnsi="Arial" w:cs="Arial"/>
          <w:b/>
          <w:bCs/>
          <w:sz w:val="24"/>
        </w:rPr>
      </w:pPr>
      <w:r w:rsidRPr="0FDABBAF">
        <w:rPr>
          <w:rFonts w:ascii="Arial" w:hAnsi="Arial" w:cs="Arial"/>
          <w:b/>
          <w:bCs/>
          <w:sz w:val="24"/>
          <w:u w:val="single"/>
        </w:rPr>
        <w:t>Comments in Response to the Federal Register Notice/Outside Consultation</w:t>
      </w:r>
    </w:p>
    <w:p w:rsidR="00DE3A45" w:rsidRPr="00E55A65" w:rsidP="60BC6476" w14:paraId="12DBC0D6" w14:textId="506F5CBF">
      <w:pPr>
        <w:rPr>
          <w:rFonts w:ascii="Arial" w:hAnsi="Arial" w:cs="Arial"/>
          <w:b/>
          <w:bCs/>
          <w:sz w:val="24"/>
        </w:rPr>
      </w:pPr>
      <w:r w:rsidRPr="60BC6476">
        <w:rPr>
          <w:rFonts w:ascii="Arial" w:hAnsi="Arial" w:cs="Arial"/>
          <w:b/>
          <w:bCs/>
          <w:sz w:val="24"/>
        </w:rPr>
        <w:t>Section 8A:</w:t>
      </w:r>
    </w:p>
    <w:p w:rsidR="00B04321" w:rsidRPr="00E55A65" w:rsidP="00E55A65" w14:paraId="5B45F350" w14:textId="77777777">
      <w:pPr>
        <w:rPr>
          <w:rFonts w:ascii="Arial" w:hAnsi="Arial" w:cs="Arial"/>
          <w:b/>
          <w:sz w:val="24"/>
        </w:rPr>
      </w:pPr>
    </w:p>
    <w:p w:rsidR="00073073" w:rsidRPr="00E55A65" w:rsidP="0FDABBAF" w14:paraId="0FB96699" w14:textId="5BC5AEFD">
      <w:pPr>
        <w:rPr>
          <w:rFonts w:ascii="Arial" w:eastAsia="Arial" w:hAnsi="Arial" w:cs="Arial"/>
          <w:sz w:val="24"/>
        </w:rPr>
      </w:pPr>
      <w:r w:rsidRPr="0FDABBAF">
        <w:rPr>
          <w:rFonts w:ascii="Arial" w:hAnsi="Arial" w:cs="Arial"/>
          <w:sz w:val="24"/>
        </w:rPr>
        <w:t xml:space="preserve">A 60-day Federal Register Notice was published in the Federal Register on </w:t>
      </w:r>
      <w:r w:rsidRPr="0FDABBAF" w:rsidR="00222968">
        <w:rPr>
          <w:rFonts w:ascii="Arial" w:hAnsi="Arial" w:cs="Arial"/>
          <w:sz w:val="24"/>
        </w:rPr>
        <w:t>May 16</w:t>
      </w:r>
      <w:r w:rsidRPr="0FDABBAF" w:rsidR="00E818D2">
        <w:rPr>
          <w:rFonts w:ascii="Arial" w:hAnsi="Arial" w:cs="Arial"/>
          <w:sz w:val="24"/>
        </w:rPr>
        <w:t>, 202</w:t>
      </w:r>
      <w:r w:rsidRPr="0FDABBAF" w:rsidR="00222968">
        <w:rPr>
          <w:rFonts w:ascii="Arial" w:hAnsi="Arial" w:cs="Arial"/>
          <w:sz w:val="24"/>
        </w:rPr>
        <w:t>5</w:t>
      </w:r>
      <w:r w:rsidRPr="0FDABBAF" w:rsidR="00E818D2">
        <w:rPr>
          <w:rFonts w:ascii="Arial" w:hAnsi="Arial" w:cs="Arial"/>
          <w:sz w:val="24"/>
        </w:rPr>
        <w:t xml:space="preserve">, Vol. </w:t>
      </w:r>
      <w:r w:rsidRPr="0FDABBAF" w:rsidR="00222968">
        <w:rPr>
          <w:rFonts w:ascii="Arial" w:hAnsi="Arial" w:cs="Arial"/>
          <w:sz w:val="24"/>
        </w:rPr>
        <w:t>90</w:t>
      </w:r>
      <w:r w:rsidRPr="0FDABBAF" w:rsidR="00E818D2">
        <w:rPr>
          <w:rFonts w:ascii="Arial" w:hAnsi="Arial" w:cs="Arial"/>
          <w:sz w:val="24"/>
        </w:rPr>
        <w:t xml:space="preserve">, No. </w:t>
      </w:r>
      <w:r w:rsidRPr="0FDABBAF" w:rsidR="00222968">
        <w:rPr>
          <w:rFonts w:ascii="Arial" w:hAnsi="Arial" w:cs="Arial"/>
          <w:sz w:val="24"/>
        </w:rPr>
        <w:t>94</w:t>
      </w:r>
      <w:r w:rsidRPr="0FDABBAF" w:rsidR="00E818D2">
        <w:rPr>
          <w:rFonts w:ascii="Arial" w:hAnsi="Arial" w:cs="Arial"/>
          <w:sz w:val="24"/>
        </w:rPr>
        <w:t>; pp.</w:t>
      </w:r>
      <w:r w:rsidRPr="0FDABBAF" w:rsidR="00222968">
        <w:rPr>
          <w:rFonts w:ascii="Arial" w:hAnsi="Arial" w:cs="Arial"/>
          <w:sz w:val="24"/>
        </w:rPr>
        <w:t>21051-52</w:t>
      </w:r>
      <w:r w:rsidRPr="0FDABBAF" w:rsidR="00E818D2">
        <w:rPr>
          <w:rFonts w:ascii="Arial" w:hAnsi="Arial" w:cs="Arial"/>
          <w:sz w:val="24"/>
        </w:rPr>
        <w:t xml:space="preserve">. </w:t>
      </w:r>
      <w:r w:rsidRPr="0FDABBAF" w:rsidR="00D263C3">
        <w:rPr>
          <w:rFonts w:ascii="Arial" w:hAnsi="Arial" w:cs="Arial"/>
          <w:sz w:val="24"/>
        </w:rPr>
        <w:t xml:space="preserve">There </w:t>
      </w:r>
      <w:r w:rsidRPr="0FDABBAF">
        <w:rPr>
          <w:rFonts w:ascii="Arial" w:hAnsi="Arial" w:cs="Arial"/>
          <w:sz w:val="24"/>
        </w:rPr>
        <w:t xml:space="preserve">were </w:t>
      </w:r>
      <w:r w:rsidRPr="0FDABBAF" w:rsidR="7457EE90">
        <w:rPr>
          <w:rFonts w:ascii="Arial" w:hAnsi="Arial" w:cs="Arial"/>
          <w:sz w:val="24"/>
        </w:rPr>
        <w:t xml:space="preserve">nine </w:t>
      </w:r>
      <w:r w:rsidRPr="0FDABBAF">
        <w:rPr>
          <w:rFonts w:ascii="Arial" w:hAnsi="Arial" w:cs="Arial"/>
          <w:sz w:val="24"/>
        </w:rPr>
        <w:t>public comments.</w:t>
      </w:r>
      <w:r w:rsidRPr="0FDABBAF" w:rsidR="3B8EEEA6">
        <w:rPr>
          <w:rFonts w:ascii="Arial" w:hAnsi="Arial" w:cs="Arial"/>
          <w:sz w:val="24"/>
        </w:rPr>
        <w:t xml:space="preserve"> </w:t>
      </w:r>
    </w:p>
    <w:p w:rsidR="00073073" w:rsidRPr="00E55A65" w:rsidP="111ABF4C" w14:paraId="51CF54B7" w14:textId="2EBE1133">
      <w:pPr>
        <w:rPr>
          <w:rFonts w:ascii="Arial" w:hAnsi="Arial" w:cs="Arial"/>
          <w:sz w:val="24"/>
        </w:rPr>
      </w:pPr>
    </w:p>
    <w:p w:rsidR="00073073" w:rsidRPr="00E55A65" w:rsidP="111ABF4C" w14:paraId="17F06019" w14:textId="662EF05B">
      <w:pPr>
        <w:rPr>
          <w:rFonts w:ascii="Arial" w:eastAsia="Arial" w:hAnsi="Arial" w:cs="Arial"/>
          <w:sz w:val="24"/>
        </w:rPr>
      </w:pPr>
      <w:r>
        <w:rPr>
          <w:rFonts w:ascii="Arial" w:hAnsi="Arial" w:cs="Arial"/>
          <w:sz w:val="24"/>
        </w:rPr>
        <w:t>Comments received from the 60</w:t>
      </w:r>
      <w:r w:rsidR="003822EF">
        <w:rPr>
          <w:rFonts w:ascii="Arial" w:hAnsi="Arial" w:cs="Arial"/>
          <w:sz w:val="24"/>
        </w:rPr>
        <w:t>-</w:t>
      </w:r>
      <w:r>
        <w:rPr>
          <w:rFonts w:ascii="Arial" w:hAnsi="Arial" w:cs="Arial"/>
          <w:sz w:val="24"/>
        </w:rPr>
        <w:t>day FRN included</w:t>
      </w:r>
      <w:r w:rsidRPr="111ABF4C" w:rsidR="0D5C63FF">
        <w:rPr>
          <w:rFonts w:ascii="Arial" w:hAnsi="Arial" w:cs="Arial"/>
          <w:sz w:val="24"/>
        </w:rPr>
        <w:t xml:space="preserve"> support</w:t>
      </w:r>
      <w:r>
        <w:rPr>
          <w:rFonts w:ascii="Arial" w:hAnsi="Arial" w:cs="Arial"/>
          <w:sz w:val="24"/>
        </w:rPr>
        <w:t xml:space="preserve"> </w:t>
      </w:r>
      <w:r w:rsidR="003822EF">
        <w:rPr>
          <w:rFonts w:ascii="Arial" w:hAnsi="Arial" w:cs="Arial"/>
          <w:sz w:val="24"/>
        </w:rPr>
        <w:t>for</w:t>
      </w:r>
      <w:r w:rsidRPr="111ABF4C" w:rsidR="0D5C63FF">
        <w:rPr>
          <w:rFonts w:ascii="Arial" w:hAnsi="Arial" w:cs="Arial"/>
          <w:sz w:val="24"/>
        </w:rPr>
        <w:t xml:space="preserve"> the collection of data </w:t>
      </w:r>
      <w:r w:rsidRPr="111ABF4C" w:rsidR="1EEDCB25">
        <w:rPr>
          <w:rFonts w:ascii="Arial" w:hAnsi="Arial" w:cs="Arial"/>
          <w:sz w:val="24"/>
        </w:rPr>
        <w:t>necessary to make accurate grant awards</w:t>
      </w:r>
      <w:r w:rsidRPr="111ABF4C" w:rsidR="5B794CC6">
        <w:rPr>
          <w:rFonts w:ascii="Arial" w:hAnsi="Arial" w:cs="Arial"/>
          <w:sz w:val="24"/>
        </w:rPr>
        <w:t>.</w:t>
      </w:r>
      <w:r w:rsidRPr="111ABF4C" w:rsidR="0D5C63FF">
        <w:rPr>
          <w:rFonts w:ascii="Arial" w:hAnsi="Arial" w:cs="Arial"/>
          <w:sz w:val="24"/>
        </w:rPr>
        <w:t xml:space="preserve"> </w:t>
      </w:r>
      <w:r w:rsidRPr="111ABF4C" w:rsidR="015276F9">
        <w:rPr>
          <w:rFonts w:ascii="Arial" w:hAnsi="Arial" w:cs="Arial"/>
          <w:sz w:val="24"/>
        </w:rPr>
        <w:t>One commenter mentioned</w:t>
      </w:r>
      <w:r w:rsidRPr="111ABF4C" w:rsidR="7C62A2A3">
        <w:rPr>
          <w:rFonts w:ascii="Arial" w:hAnsi="Arial" w:cs="Arial"/>
          <w:sz w:val="24"/>
        </w:rPr>
        <w:t xml:space="preserve"> that the burden hour estimate d</w:t>
      </w:r>
      <w:r w:rsidRPr="111ABF4C" w:rsidR="606167A7">
        <w:rPr>
          <w:rFonts w:ascii="Arial" w:hAnsi="Arial" w:cs="Arial"/>
          <w:sz w:val="24"/>
        </w:rPr>
        <w:t>id</w:t>
      </w:r>
      <w:r w:rsidRPr="111ABF4C" w:rsidR="7C62A2A3">
        <w:rPr>
          <w:rFonts w:ascii="Arial" w:hAnsi="Arial" w:cs="Arial"/>
          <w:sz w:val="24"/>
        </w:rPr>
        <w:t xml:space="preserve"> not </w:t>
      </w:r>
      <w:r w:rsidRPr="111ABF4C" w:rsidR="0CC2C010">
        <w:rPr>
          <w:rFonts w:ascii="Arial" w:hAnsi="Arial" w:cs="Arial"/>
          <w:sz w:val="24"/>
        </w:rPr>
        <w:t xml:space="preserve">accurately reflect the time needed to complete the Reconciliation Tool. </w:t>
      </w:r>
      <w:r w:rsidRPr="111ABF4C" w:rsidR="161987C6">
        <w:rPr>
          <w:rFonts w:ascii="Arial" w:hAnsi="Arial" w:cs="Arial"/>
          <w:sz w:val="24"/>
        </w:rPr>
        <w:t xml:space="preserve">Other commenters </w:t>
      </w:r>
      <w:r w:rsidRPr="111ABF4C" w:rsidR="77AE92EA">
        <w:rPr>
          <w:rFonts w:ascii="Arial" w:hAnsi="Arial" w:cs="Arial"/>
          <w:sz w:val="24"/>
        </w:rPr>
        <w:t xml:space="preserve">addressed items outside the scope of this notice, including a </w:t>
      </w:r>
      <w:r w:rsidRPr="111ABF4C" w:rsidR="77AE92EA">
        <w:rPr>
          <w:rFonts w:ascii="Arial" w:eastAsia="Arial" w:hAnsi="Arial" w:cs="Arial"/>
          <w:sz w:val="24"/>
        </w:rPr>
        <w:t>standardized funding framework across federal graduate medical education funding agencies, program expansion, recoupment methodology, and other program policies</w:t>
      </w:r>
    </w:p>
    <w:p w:rsidR="00073073" w:rsidRPr="00E55A65" w:rsidP="111ABF4C" w14:paraId="5ADB822D" w14:textId="5C8380F1">
      <w:pPr>
        <w:rPr>
          <w:rFonts w:ascii="Arial" w:hAnsi="Arial" w:cs="Arial"/>
          <w:sz w:val="24"/>
        </w:rPr>
      </w:pPr>
    </w:p>
    <w:p w:rsidR="00073073" w:rsidRPr="00E55A65" w:rsidP="0FDABBAF" w14:paraId="1C80E4F5" w14:textId="5C0FDB30">
      <w:pPr>
        <w:rPr>
          <w:rFonts w:ascii="Arial" w:hAnsi="Arial" w:cs="Arial"/>
          <w:sz w:val="24"/>
        </w:rPr>
      </w:pPr>
      <w:r w:rsidRPr="0FDABBAF">
        <w:rPr>
          <w:rFonts w:ascii="Arial" w:hAnsi="Arial" w:cs="Arial"/>
          <w:sz w:val="24"/>
        </w:rPr>
        <w:t xml:space="preserve">HRSA appreciates the time and effort </w:t>
      </w:r>
      <w:r w:rsidRPr="0FDABBAF" w:rsidR="0F29F7C0">
        <w:rPr>
          <w:rFonts w:ascii="Arial" w:hAnsi="Arial" w:cs="Arial"/>
          <w:sz w:val="24"/>
        </w:rPr>
        <w:t>taken by grantees</w:t>
      </w:r>
      <w:r w:rsidRPr="0FDABBAF">
        <w:rPr>
          <w:rFonts w:ascii="Arial" w:hAnsi="Arial" w:cs="Arial"/>
          <w:sz w:val="24"/>
        </w:rPr>
        <w:t xml:space="preserve"> </w:t>
      </w:r>
      <w:r w:rsidRPr="0FDABBAF" w:rsidR="0F29F7C0">
        <w:rPr>
          <w:rFonts w:ascii="Arial" w:hAnsi="Arial" w:cs="Arial"/>
          <w:sz w:val="24"/>
        </w:rPr>
        <w:t xml:space="preserve">to complete </w:t>
      </w:r>
      <w:r w:rsidRPr="0FDABBAF">
        <w:rPr>
          <w:rFonts w:ascii="Arial" w:hAnsi="Arial" w:cs="Arial"/>
          <w:sz w:val="24"/>
        </w:rPr>
        <w:t>the Annual Reconciliation Tool</w:t>
      </w:r>
      <w:r w:rsidRPr="0FDABBAF" w:rsidR="6C59C9E3">
        <w:rPr>
          <w:rFonts w:ascii="Arial" w:hAnsi="Arial" w:cs="Arial"/>
          <w:sz w:val="24"/>
        </w:rPr>
        <w:t xml:space="preserve">. </w:t>
      </w:r>
      <w:r w:rsidRPr="0FDABBAF" w:rsidR="66599E2B">
        <w:rPr>
          <w:rFonts w:ascii="Arial" w:hAnsi="Arial" w:cs="Arial"/>
          <w:sz w:val="24"/>
        </w:rPr>
        <w:t>Burden hours were estimated based on grant recipients’ responses, which can vary greatly based on the number of awarded resident Full Time Equivalents</w:t>
      </w:r>
      <w:r w:rsidRPr="0FDABBAF" w:rsidR="6C59C9E3">
        <w:rPr>
          <w:rFonts w:ascii="Arial" w:hAnsi="Arial" w:cs="Arial"/>
          <w:sz w:val="24"/>
        </w:rPr>
        <w:t xml:space="preserve">. </w:t>
      </w:r>
      <w:r w:rsidRPr="0FDABBAF" w:rsidR="66599E2B">
        <w:rPr>
          <w:rFonts w:ascii="Arial" w:hAnsi="Arial" w:cs="Arial"/>
          <w:sz w:val="24"/>
        </w:rPr>
        <w:t>Due to the signi</w:t>
      </w:r>
      <w:r w:rsidRPr="0FDABBAF" w:rsidR="4C8AFE4E">
        <w:rPr>
          <w:rFonts w:ascii="Arial" w:hAnsi="Arial" w:cs="Arial"/>
          <w:sz w:val="24"/>
        </w:rPr>
        <w:t xml:space="preserve">ficant </w:t>
      </w:r>
      <w:r w:rsidRPr="0FDABBAF" w:rsidR="37369AD6">
        <w:rPr>
          <w:rFonts w:ascii="Arial" w:hAnsi="Arial" w:cs="Arial"/>
          <w:sz w:val="24"/>
        </w:rPr>
        <w:t xml:space="preserve">differences </w:t>
      </w:r>
      <w:r w:rsidRPr="0FDABBAF" w:rsidR="4C8AFE4E">
        <w:rPr>
          <w:rFonts w:ascii="Arial" w:hAnsi="Arial" w:cs="Arial"/>
          <w:sz w:val="24"/>
        </w:rPr>
        <w:t xml:space="preserve">among the Teaching Health Centers, </w:t>
      </w:r>
      <w:r w:rsidRPr="0FDABBAF" w:rsidR="1EFFFEC1">
        <w:rPr>
          <w:rFonts w:ascii="Arial" w:hAnsi="Arial" w:cs="Arial"/>
          <w:sz w:val="24"/>
        </w:rPr>
        <w:t>HRSA</w:t>
      </w:r>
      <w:r w:rsidRPr="0FDABBAF" w:rsidR="4C8AFE4E">
        <w:rPr>
          <w:rFonts w:ascii="Arial" w:hAnsi="Arial" w:cs="Arial"/>
          <w:sz w:val="24"/>
        </w:rPr>
        <w:t xml:space="preserve"> will </w:t>
      </w:r>
      <w:r w:rsidRPr="0FDABBAF" w:rsidR="2AE360C0">
        <w:rPr>
          <w:rFonts w:ascii="Arial" w:hAnsi="Arial" w:cs="Arial"/>
          <w:sz w:val="24"/>
        </w:rPr>
        <w:t xml:space="preserve">adjust the burden hours to reflect </w:t>
      </w:r>
      <w:r w:rsidRPr="0FDABBAF" w:rsidR="7E9FCDF5">
        <w:rPr>
          <w:rFonts w:ascii="Arial" w:hAnsi="Arial" w:cs="Arial"/>
          <w:sz w:val="24"/>
        </w:rPr>
        <w:t>grant recipients with smallest and largest awarded resident FTEs within calculated</w:t>
      </w:r>
      <w:r w:rsidRPr="0FDABBAF" w:rsidR="2AE360C0">
        <w:rPr>
          <w:rFonts w:ascii="Arial" w:hAnsi="Arial" w:cs="Arial"/>
          <w:sz w:val="24"/>
        </w:rPr>
        <w:t xml:space="preserve"> </w:t>
      </w:r>
      <w:r w:rsidRPr="0FDABBAF" w:rsidR="5AF57AA3">
        <w:rPr>
          <w:rFonts w:ascii="Arial" w:hAnsi="Arial" w:cs="Arial"/>
          <w:sz w:val="24"/>
        </w:rPr>
        <w:t>average.</w:t>
      </w:r>
      <w:r w:rsidRPr="0FDABBAF" w:rsidR="2AE360C0">
        <w:rPr>
          <w:rFonts w:ascii="Arial" w:hAnsi="Arial" w:cs="Arial"/>
          <w:sz w:val="24"/>
        </w:rPr>
        <w:t xml:space="preserve"> HRSA will </w:t>
      </w:r>
      <w:r w:rsidRPr="0FDABBAF" w:rsidR="25FD45E3">
        <w:rPr>
          <w:rFonts w:ascii="Arial" w:hAnsi="Arial" w:cs="Arial"/>
          <w:sz w:val="24"/>
        </w:rPr>
        <w:t xml:space="preserve">survey each grant recipient and </w:t>
      </w:r>
      <w:r w:rsidRPr="0FDABBAF" w:rsidR="4C8AFE4E">
        <w:rPr>
          <w:rFonts w:ascii="Arial" w:hAnsi="Arial" w:cs="Arial"/>
          <w:sz w:val="24"/>
        </w:rPr>
        <w:t>provide a range of burden hours on future OMB documents to reflect this marked difference</w:t>
      </w:r>
      <w:r w:rsidRPr="0FDABBAF" w:rsidR="6C59C9E3">
        <w:rPr>
          <w:rFonts w:ascii="Arial" w:hAnsi="Arial" w:cs="Arial"/>
          <w:sz w:val="24"/>
        </w:rPr>
        <w:t xml:space="preserve">. </w:t>
      </w:r>
    </w:p>
    <w:p w:rsidR="0CA8F4DA" w:rsidP="111ABF4C" w14:paraId="28550763" w14:textId="71DFC3CA">
      <w:pPr>
        <w:rPr>
          <w:rFonts w:ascii="Arial" w:hAnsi="Arial" w:cs="Arial"/>
          <w:sz w:val="24"/>
        </w:rPr>
      </w:pPr>
    </w:p>
    <w:p w:rsidR="00C35DD6" w:rsidP="24405472" w14:paraId="15F8732E" w14:textId="4C9D43E4">
      <w:pPr>
        <w:rPr>
          <w:rFonts w:ascii="Arial" w:eastAsia="Arial" w:hAnsi="Arial" w:cs="Arial"/>
          <w:sz w:val="24"/>
        </w:rPr>
      </w:pPr>
      <w:r w:rsidRPr="24405472">
        <w:rPr>
          <w:rFonts w:ascii="Arial" w:hAnsi="Arial" w:cs="Arial"/>
          <w:sz w:val="24"/>
        </w:rPr>
        <w:t xml:space="preserve">HRSA </w:t>
      </w:r>
      <w:r w:rsidRPr="24405472" w:rsidR="00264286">
        <w:rPr>
          <w:rFonts w:ascii="Arial" w:hAnsi="Arial" w:cs="Arial"/>
          <w:sz w:val="24"/>
        </w:rPr>
        <w:t xml:space="preserve">commends respondents </w:t>
      </w:r>
      <w:r w:rsidRPr="24405472" w:rsidR="6F1CDF17">
        <w:rPr>
          <w:rFonts w:ascii="Arial" w:hAnsi="Arial" w:cs="Arial"/>
          <w:sz w:val="24"/>
        </w:rPr>
        <w:t>sharing their views and willingness to support HRSA’s administration of the THCGME program</w:t>
      </w:r>
      <w:r w:rsidR="00EC5DA3">
        <w:rPr>
          <w:rFonts w:ascii="Arial" w:hAnsi="Arial" w:cs="Arial"/>
          <w:sz w:val="24"/>
        </w:rPr>
        <w:t xml:space="preserve">. </w:t>
      </w:r>
      <w:r w:rsidRPr="24405472" w:rsidR="6F1CDF17">
        <w:rPr>
          <w:rFonts w:ascii="Arial" w:eastAsia="Arial" w:hAnsi="Arial" w:cs="Arial"/>
          <w:sz w:val="24"/>
        </w:rPr>
        <w:t>While we are not responding to</w:t>
      </w:r>
      <w:r w:rsidRPr="24405472" w:rsidR="0A63E16F">
        <w:rPr>
          <w:rFonts w:ascii="Arial" w:eastAsia="Arial" w:hAnsi="Arial" w:cs="Arial"/>
          <w:sz w:val="24"/>
        </w:rPr>
        <w:t xml:space="preserve"> comments </w:t>
      </w:r>
      <w:r w:rsidRPr="24405472" w:rsidR="730B97BD">
        <w:rPr>
          <w:rFonts w:ascii="Arial" w:eastAsia="Arial" w:hAnsi="Arial" w:cs="Arial"/>
          <w:sz w:val="24"/>
        </w:rPr>
        <w:t>for</w:t>
      </w:r>
      <w:r w:rsidRPr="24405472" w:rsidR="18A4B3DB">
        <w:rPr>
          <w:rFonts w:ascii="Arial" w:eastAsia="Arial" w:hAnsi="Arial" w:cs="Arial"/>
          <w:sz w:val="24"/>
        </w:rPr>
        <w:t xml:space="preserve"> </w:t>
      </w:r>
      <w:r w:rsidRPr="24405472" w:rsidR="2B8FD364">
        <w:rPr>
          <w:rFonts w:ascii="Arial" w:eastAsia="Arial" w:hAnsi="Arial" w:cs="Arial"/>
          <w:sz w:val="24"/>
        </w:rPr>
        <w:t xml:space="preserve">topics </w:t>
      </w:r>
      <w:r w:rsidRPr="24405472" w:rsidR="0A63E16F">
        <w:rPr>
          <w:rFonts w:ascii="Arial" w:eastAsia="Arial" w:hAnsi="Arial" w:cs="Arial"/>
          <w:sz w:val="24"/>
        </w:rPr>
        <w:t>outside the scope of th</w:t>
      </w:r>
      <w:r w:rsidRPr="24405472" w:rsidR="7E65832E">
        <w:rPr>
          <w:rFonts w:ascii="Arial" w:eastAsia="Arial" w:hAnsi="Arial" w:cs="Arial"/>
          <w:sz w:val="24"/>
        </w:rPr>
        <w:t>is</w:t>
      </w:r>
      <w:r w:rsidRPr="24405472" w:rsidR="0A63E16F">
        <w:rPr>
          <w:rFonts w:ascii="Arial" w:eastAsia="Arial" w:hAnsi="Arial" w:cs="Arial"/>
          <w:sz w:val="24"/>
        </w:rPr>
        <w:t xml:space="preserve"> notice,</w:t>
      </w:r>
      <w:r w:rsidR="00781179">
        <w:rPr>
          <w:rFonts w:ascii="Arial" w:eastAsia="Arial" w:hAnsi="Arial" w:cs="Arial"/>
          <w:sz w:val="24"/>
        </w:rPr>
        <w:t xml:space="preserve"> HRSA will take these comments into consideration for future policy development.</w:t>
      </w:r>
      <w:r w:rsidRPr="24405472" w:rsidR="23270019">
        <w:rPr>
          <w:rFonts w:ascii="Arial" w:eastAsia="Arial" w:hAnsi="Arial" w:cs="Arial"/>
          <w:sz w:val="24"/>
        </w:rPr>
        <w:t xml:space="preserve"> </w:t>
      </w:r>
    </w:p>
    <w:p w:rsidR="005E3C66" w:rsidP="24405472" w14:paraId="5E89F4E4" w14:textId="77777777">
      <w:pPr>
        <w:rPr>
          <w:rFonts w:ascii="Arial" w:eastAsia="Arial" w:hAnsi="Arial" w:cs="Arial"/>
          <w:sz w:val="24"/>
        </w:rPr>
      </w:pPr>
    </w:p>
    <w:p w:rsidR="005E3C66" w:rsidRPr="00062BC7" w:rsidP="24405472" w14:paraId="5C2E8A03" w14:textId="0CD6EB8C">
      <w:pPr>
        <w:rPr>
          <w:rFonts w:ascii="Arial" w:eastAsia="Arial" w:hAnsi="Arial" w:cs="Arial"/>
          <w:sz w:val="24"/>
        </w:rPr>
      </w:pPr>
      <w:r w:rsidRPr="0FDABBAF">
        <w:rPr>
          <w:rFonts w:ascii="Arial" w:hAnsi="Arial" w:cs="Arial"/>
          <w:sz w:val="24"/>
        </w:rPr>
        <w:t xml:space="preserve">A </w:t>
      </w:r>
      <w:r>
        <w:rPr>
          <w:rFonts w:ascii="Arial" w:hAnsi="Arial" w:cs="Arial"/>
          <w:sz w:val="24"/>
        </w:rPr>
        <w:t>30</w:t>
      </w:r>
      <w:r w:rsidRPr="0FDABBAF">
        <w:rPr>
          <w:rFonts w:ascii="Arial" w:hAnsi="Arial" w:cs="Arial"/>
          <w:sz w:val="24"/>
        </w:rPr>
        <w:t xml:space="preserve">-day Federal Register Notice was published in the Federal Register on </w:t>
      </w:r>
      <w:r>
        <w:rPr>
          <w:rFonts w:ascii="Arial" w:hAnsi="Arial" w:cs="Arial"/>
          <w:sz w:val="24"/>
        </w:rPr>
        <w:t>September 17</w:t>
      </w:r>
      <w:r w:rsidRPr="0FDABBAF">
        <w:rPr>
          <w:rFonts w:ascii="Arial" w:hAnsi="Arial" w:cs="Arial"/>
          <w:sz w:val="24"/>
        </w:rPr>
        <w:t xml:space="preserve">, 2025, Vol. 90, No. </w:t>
      </w:r>
      <w:r w:rsidR="00031629">
        <w:rPr>
          <w:rFonts w:ascii="Arial" w:hAnsi="Arial" w:cs="Arial"/>
          <w:sz w:val="24"/>
        </w:rPr>
        <w:t>178</w:t>
      </w:r>
      <w:r w:rsidRPr="0FDABBAF">
        <w:rPr>
          <w:rFonts w:ascii="Arial" w:hAnsi="Arial" w:cs="Arial"/>
          <w:sz w:val="24"/>
        </w:rPr>
        <w:t>; pp.</w:t>
      </w:r>
      <w:r w:rsidR="00031629">
        <w:rPr>
          <w:rFonts w:ascii="Arial" w:hAnsi="Arial" w:cs="Arial"/>
          <w:sz w:val="24"/>
        </w:rPr>
        <w:t>44829</w:t>
      </w:r>
      <w:r w:rsidRPr="0FDABBAF">
        <w:rPr>
          <w:rFonts w:ascii="Arial" w:hAnsi="Arial" w:cs="Arial"/>
          <w:sz w:val="24"/>
        </w:rPr>
        <w:t>-</w:t>
      </w:r>
      <w:r w:rsidR="00031629">
        <w:rPr>
          <w:rFonts w:ascii="Arial" w:hAnsi="Arial" w:cs="Arial"/>
          <w:sz w:val="24"/>
        </w:rPr>
        <w:t>30</w:t>
      </w:r>
      <w:r w:rsidRPr="0FDABBAF">
        <w:rPr>
          <w:rFonts w:ascii="Arial" w:hAnsi="Arial" w:cs="Arial"/>
          <w:sz w:val="24"/>
        </w:rPr>
        <w:t xml:space="preserve">. There were nine public comments. </w:t>
      </w:r>
    </w:p>
    <w:p w:rsidR="00EB1DE5" w:rsidRPr="00E55A65" w:rsidP="00E55A65" w14:paraId="555C0BC5" w14:textId="77777777">
      <w:pPr>
        <w:rPr>
          <w:rFonts w:ascii="Arial" w:hAnsi="Arial" w:cs="Arial"/>
          <w:b/>
          <w:sz w:val="24"/>
        </w:rPr>
      </w:pPr>
    </w:p>
    <w:p w:rsidR="0099170F" w:rsidP="0051390A" w14:paraId="2F12E6F1" w14:textId="492853D8">
      <w:pPr>
        <w:spacing w:line="259" w:lineRule="auto"/>
        <w:rPr>
          <w:rFonts w:ascii="Arial" w:hAnsi="Arial" w:cs="Arial"/>
          <w:sz w:val="24"/>
        </w:rPr>
      </w:pPr>
      <w:r w:rsidRPr="0FDABBAF">
        <w:rPr>
          <w:rFonts w:ascii="Arial" w:hAnsi="Arial" w:cs="Arial"/>
          <w:b/>
          <w:bCs/>
          <w:sz w:val="24"/>
        </w:rPr>
        <w:t>Section 8B:</w:t>
      </w:r>
      <w:r w:rsidRPr="0FDABBAF" w:rsidR="6C9F92F7">
        <w:rPr>
          <w:rFonts w:ascii="Arial" w:hAnsi="Arial" w:cs="Arial"/>
          <w:b/>
          <w:bCs/>
          <w:sz w:val="24"/>
        </w:rPr>
        <w:t xml:space="preserve"> </w:t>
      </w:r>
      <w:r w:rsidRPr="0FDABBAF" w:rsidR="667D7C46">
        <w:rPr>
          <w:rFonts w:ascii="Arial" w:hAnsi="Arial" w:cs="Arial"/>
          <w:b/>
          <w:bCs/>
          <w:sz w:val="24"/>
        </w:rPr>
        <w:t xml:space="preserve"> </w:t>
      </w:r>
      <w:r w:rsidRPr="0FDABBAF" w:rsidR="4FE2BE3A">
        <w:rPr>
          <w:rFonts w:ascii="Arial" w:eastAsia="Calibri" w:hAnsi="Arial" w:cs="Arial"/>
          <w:sz w:val="24"/>
        </w:rPr>
        <w:t xml:space="preserve">In </w:t>
      </w:r>
      <w:r w:rsidRPr="0FDABBAF" w:rsidR="2057BB0B">
        <w:rPr>
          <w:rFonts w:ascii="Arial" w:eastAsia="Calibri" w:hAnsi="Arial" w:cs="Arial"/>
          <w:sz w:val="24"/>
        </w:rPr>
        <w:t>June 2025</w:t>
      </w:r>
      <w:r w:rsidRPr="0FDABBAF" w:rsidR="4FE2BE3A">
        <w:rPr>
          <w:rFonts w:ascii="Arial" w:eastAsia="Calibri" w:hAnsi="Arial" w:cs="Arial"/>
          <w:sz w:val="24"/>
        </w:rPr>
        <w:t xml:space="preserve">, </w:t>
      </w:r>
      <w:r w:rsidRPr="0FDABBAF" w:rsidR="4FA78CF0">
        <w:rPr>
          <w:rFonts w:ascii="Arial" w:eastAsia="Calibri" w:hAnsi="Arial" w:cs="Arial"/>
          <w:sz w:val="24"/>
        </w:rPr>
        <w:t xml:space="preserve">nine </w:t>
      </w:r>
      <w:r w:rsidRPr="0FDABBAF" w:rsidR="1792CD62">
        <w:rPr>
          <w:rFonts w:ascii="Arial" w:eastAsia="Calibri" w:hAnsi="Arial" w:cs="Arial"/>
          <w:sz w:val="24"/>
        </w:rPr>
        <w:t>THCGME</w:t>
      </w:r>
      <w:r w:rsidRPr="0FDABBAF" w:rsidR="4FE2BE3A">
        <w:rPr>
          <w:rFonts w:ascii="Arial" w:eastAsia="Calibri" w:hAnsi="Arial" w:cs="Arial"/>
          <w:sz w:val="24"/>
        </w:rPr>
        <w:t xml:space="preserve"> Program participating </w:t>
      </w:r>
      <w:r w:rsidRPr="0FDABBAF" w:rsidR="7292F5F2">
        <w:rPr>
          <w:rFonts w:ascii="Arial" w:hAnsi="Arial" w:cs="Arial"/>
          <w:sz w:val="24"/>
        </w:rPr>
        <w:t>health centers</w:t>
      </w:r>
      <w:r w:rsidRPr="0FDABBAF" w:rsidR="4FE2BE3A">
        <w:rPr>
          <w:rFonts w:ascii="Arial" w:eastAsia="Calibri" w:hAnsi="Arial" w:cs="Arial"/>
          <w:sz w:val="24"/>
        </w:rPr>
        <w:t xml:space="preserve"> reviewed the </w:t>
      </w:r>
      <w:r w:rsidRPr="0FDABBAF" w:rsidR="69EA79D2">
        <w:rPr>
          <w:rFonts w:ascii="Arial" w:eastAsia="Calibri" w:hAnsi="Arial" w:cs="Arial"/>
          <w:sz w:val="24"/>
        </w:rPr>
        <w:t>reconciliation tool</w:t>
      </w:r>
      <w:r w:rsidRPr="0FDABBAF" w:rsidR="4FE2BE3A">
        <w:rPr>
          <w:rFonts w:ascii="Arial" w:eastAsia="Calibri" w:hAnsi="Arial" w:cs="Arial"/>
          <w:sz w:val="24"/>
        </w:rPr>
        <w:t xml:space="preserve"> </w:t>
      </w:r>
      <w:r w:rsidRPr="0FDABBAF" w:rsidR="00782A79">
        <w:rPr>
          <w:rFonts w:ascii="Arial" w:eastAsia="Calibri" w:hAnsi="Arial" w:cs="Arial"/>
          <w:sz w:val="24"/>
        </w:rPr>
        <w:t xml:space="preserve">to </w:t>
      </w:r>
      <w:r w:rsidRPr="0FDABBAF" w:rsidR="00C203BF">
        <w:rPr>
          <w:rFonts w:ascii="Arial" w:eastAsia="Calibri" w:hAnsi="Arial" w:cs="Arial"/>
          <w:sz w:val="24"/>
        </w:rPr>
        <w:t>determine</w:t>
      </w:r>
      <w:r w:rsidRPr="0FDABBAF" w:rsidR="4FE2BE3A">
        <w:rPr>
          <w:rFonts w:ascii="Arial" w:eastAsia="Calibri" w:hAnsi="Arial" w:cs="Arial"/>
          <w:sz w:val="24"/>
        </w:rPr>
        <w:t xml:space="preserve"> the burden estimate and for the clarity of </w:t>
      </w:r>
      <w:r w:rsidRPr="0FDABBAF" w:rsidR="5675771D">
        <w:rPr>
          <w:rFonts w:ascii="Arial" w:eastAsia="Calibri" w:hAnsi="Arial" w:cs="Arial"/>
          <w:sz w:val="24"/>
        </w:rPr>
        <w:t xml:space="preserve">the form and </w:t>
      </w:r>
      <w:r w:rsidRPr="0FDABBAF" w:rsidR="4FE2BE3A">
        <w:rPr>
          <w:rFonts w:ascii="Arial" w:eastAsia="Calibri" w:hAnsi="Arial" w:cs="Arial"/>
          <w:sz w:val="24"/>
        </w:rPr>
        <w:t xml:space="preserve">instructions. Based on their feedback, the </w:t>
      </w:r>
      <w:r w:rsidRPr="0FDABBAF" w:rsidR="004D1319">
        <w:rPr>
          <w:rFonts w:ascii="Arial" w:eastAsia="Calibri" w:hAnsi="Arial" w:cs="Arial"/>
          <w:sz w:val="24"/>
        </w:rPr>
        <w:t xml:space="preserve">total burden hours for the form have been </w:t>
      </w:r>
      <w:r w:rsidRPr="0FDABBAF" w:rsidR="28910532">
        <w:rPr>
          <w:rFonts w:ascii="Arial" w:eastAsia="Calibri" w:hAnsi="Arial" w:cs="Arial"/>
          <w:sz w:val="24"/>
        </w:rPr>
        <w:t xml:space="preserve">revised </w:t>
      </w:r>
      <w:r w:rsidRPr="0FDABBAF" w:rsidR="004D1319">
        <w:rPr>
          <w:rFonts w:ascii="Arial" w:eastAsia="Calibri" w:hAnsi="Arial" w:cs="Arial"/>
          <w:sz w:val="24"/>
        </w:rPr>
        <w:t xml:space="preserve">to reflect an increase from 174 hours as provided in the previously published </w:t>
      </w:r>
      <w:r w:rsidRPr="0FDABBAF" w:rsidR="00766B7E">
        <w:rPr>
          <w:rFonts w:ascii="Arial" w:eastAsia="Calibri" w:hAnsi="Arial" w:cs="Arial"/>
          <w:sz w:val="24"/>
        </w:rPr>
        <w:t>60-day</w:t>
      </w:r>
      <w:r w:rsidRPr="0FDABBAF" w:rsidR="004D1319">
        <w:rPr>
          <w:rFonts w:ascii="Arial" w:eastAsia="Calibri" w:hAnsi="Arial" w:cs="Arial"/>
          <w:sz w:val="24"/>
        </w:rPr>
        <w:t xml:space="preserve"> FRN to a </w:t>
      </w:r>
      <w:r w:rsidRPr="0FDABBAF" w:rsidR="4FE2BE3A">
        <w:rPr>
          <w:rFonts w:ascii="Arial" w:eastAsia="Calibri" w:hAnsi="Arial" w:cs="Arial"/>
          <w:sz w:val="24"/>
        </w:rPr>
        <w:t xml:space="preserve">total </w:t>
      </w:r>
      <w:r w:rsidRPr="0FDABBAF" w:rsidR="00F5731A">
        <w:rPr>
          <w:rFonts w:ascii="Arial" w:eastAsia="Calibri" w:hAnsi="Arial" w:cs="Arial"/>
          <w:sz w:val="24"/>
        </w:rPr>
        <w:t xml:space="preserve">of </w:t>
      </w:r>
      <w:r w:rsidRPr="00766B7E" w:rsidR="6A87CBEF">
        <w:rPr>
          <w:rFonts w:ascii="Arial" w:hAnsi="Arial" w:cs="Arial"/>
          <w:sz w:val="24"/>
        </w:rPr>
        <w:t>435</w:t>
      </w:r>
      <w:r w:rsidRPr="0FDABBAF" w:rsidR="14A4E3AC">
        <w:rPr>
          <w:rFonts w:ascii="Arial" w:eastAsia="Calibri" w:hAnsi="Arial" w:cs="Arial"/>
          <w:sz w:val="24"/>
        </w:rPr>
        <w:t xml:space="preserve"> </w:t>
      </w:r>
      <w:r w:rsidRPr="0FDABBAF" w:rsidR="4FE2BE3A">
        <w:rPr>
          <w:rFonts w:ascii="Arial" w:eastAsia="Calibri" w:hAnsi="Arial" w:cs="Arial"/>
          <w:sz w:val="24"/>
        </w:rPr>
        <w:t>burden hours</w:t>
      </w:r>
      <w:r w:rsidRPr="0FDABBAF" w:rsidR="004D1319">
        <w:rPr>
          <w:rFonts w:ascii="Arial" w:eastAsia="Calibri" w:hAnsi="Arial" w:cs="Arial"/>
          <w:sz w:val="24"/>
        </w:rPr>
        <w:t xml:space="preserve"> in the </w:t>
      </w:r>
      <w:r w:rsidRPr="0FDABBAF" w:rsidR="004D1319">
        <w:rPr>
          <w:rFonts w:ascii="Arial" w:eastAsia="Calibri" w:hAnsi="Arial" w:cs="Arial"/>
          <w:sz w:val="24"/>
        </w:rPr>
        <w:t>30 day</w:t>
      </w:r>
      <w:r w:rsidRPr="0FDABBAF" w:rsidR="004D1319">
        <w:rPr>
          <w:rFonts w:ascii="Arial" w:eastAsia="Calibri" w:hAnsi="Arial" w:cs="Arial"/>
          <w:sz w:val="24"/>
        </w:rPr>
        <w:t xml:space="preserve"> FRN.</w:t>
      </w:r>
    </w:p>
    <w:p w:rsidR="00A107B7" w:rsidP="00E55A65" w14:paraId="19D880A5" w14:textId="77777777">
      <w:pPr>
        <w:rPr>
          <w:rFonts w:ascii="Arial" w:hAnsi="Arial" w:cs="Arial"/>
          <w:sz w:val="24"/>
        </w:rPr>
      </w:pPr>
    </w:p>
    <w:p w:rsidR="009B3794" w:rsidRPr="00C45431" w:rsidP="00E55A65" w14:paraId="12DBC0E3" w14:textId="0E390CA4">
      <w:pPr>
        <w:numPr>
          <w:ilvl w:val="0"/>
          <w:numId w:val="2"/>
        </w:numPr>
        <w:tabs>
          <w:tab w:val="num" w:pos="360"/>
          <w:tab w:val="clear" w:pos="1080"/>
        </w:tabs>
        <w:ind w:left="360"/>
        <w:rPr>
          <w:rFonts w:ascii="Arial" w:hAnsi="Arial" w:cs="Arial"/>
          <w:b/>
          <w:sz w:val="24"/>
        </w:rPr>
      </w:pPr>
      <w:r w:rsidRPr="00C45431">
        <w:rPr>
          <w:rFonts w:ascii="Arial" w:hAnsi="Arial" w:cs="Arial"/>
          <w:b/>
          <w:sz w:val="24"/>
          <w:u w:val="single"/>
        </w:rPr>
        <w:t>Explanation of any Payment/Gift to Respondents</w:t>
      </w:r>
    </w:p>
    <w:p w:rsidR="00E55A65" w:rsidP="00E55A65" w14:paraId="7ED5BBA9" w14:textId="77777777">
      <w:pPr>
        <w:rPr>
          <w:rFonts w:ascii="Arial" w:hAnsi="Arial" w:cs="Arial"/>
          <w:sz w:val="24"/>
        </w:rPr>
      </w:pPr>
    </w:p>
    <w:p w:rsidR="00554093" w:rsidRPr="00AE7D2D" w:rsidP="00E55A65" w14:paraId="77E8B0D8" w14:textId="236F45CE">
      <w:pPr>
        <w:rPr>
          <w:rFonts w:ascii="Arial" w:hAnsi="Arial" w:cs="Arial"/>
          <w:sz w:val="24"/>
        </w:rPr>
      </w:pPr>
      <w:r w:rsidRPr="00AE7D2D">
        <w:rPr>
          <w:rFonts w:ascii="Arial" w:hAnsi="Arial" w:cs="Arial"/>
          <w:sz w:val="24"/>
        </w:rPr>
        <w:t>Respondents do</w:t>
      </w:r>
      <w:r w:rsidRPr="00AE7D2D">
        <w:rPr>
          <w:rFonts w:ascii="Arial" w:hAnsi="Arial" w:cs="Arial"/>
          <w:sz w:val="24"/>
        </w:rPr>
        <w:t xml:space="preserve"> not receive any payments or gifts.</w:t>
      </w:r>
    </w:p>
    <w:p w:rsidR="00554093" w:rsidP="00E55A65" w14:paraId="58258CFD" w14:textId="1AAA0DB7"/>
    <w:p w:rsidR="00A107B7" w:rsidP="00E55A65" w14:paraId="08DCEB3E" w14:textId="77777777"/>
    <w:p w:rsidR="009B3794" w:rsidRPr="00C45431" w:rsidP="00E55A65" w14:paraId="12DBC0E7" w14:textId="0DF242DC">
      <w:pPr>
        <w:numPr>
          <w:ilvl w:val="0"/>
          <w:numId w:val="2"/>
        </w:numPr>
        <w:tabs>
          <w:tab w:val="num" w:pos="360"/>
          <w:tab w:val="clear" w:pos="1080"/>
        </w:tabs>
        <w:ind w:left="360"/>
        <w:rPr>
          <w:rFonts w:ascii="Arial" w:hAnsi="Arial" w:cs="Arial"/>
          <w:b/>
          <w:sz w:val="24"/>
        </w:rPr>
      </w:pPr>
      <w:r w:rsidRPr="00C45431">
        <w:rPr>
          <w:rFonts w:ascii="Arial" w:hAnsi="Arial" w:cs="Arial"/>
          <w:b/>
          <w:sz w:val="24"/>
          <w:u w:val="single"/>
        </w:rPr>
        <w:t>Assurance of Confidentiality Provided to Respondents</w:t>
      </w:r>
    </w:p>
    <w:p w:rsidR="00E55A65" w:rsidP="00E55A65" w14:paraId="7EF29CF0" w14:textId="77777777">
      <w:pPr>
        <w:rPr>
          <w:rFonts w:ascii="Arial" w:hAnsi="Arial" w:cs="Arial"/>
          <w:sz w:val="24"/>
        </w:rPr>
      </w:pPr>
    </w:p>
    <w:p w:rsidR="00A76F1C" w:rsidRPr="00AE7D2D" w:rsidP="2C882304" w14:paraId="3B8473DC" w14:textId="73F5B47B">
      <w:pPr>
        <w:rPr>
          <w:rFonts w:ascii="Arial" w:hAnsi="Arial" w:cs="Arial"/>
          <w:sz w:val="24"/>
        </w:rPr>
      </w:pPr>
      <w:r w:rsidRPr="0FDABBAF">
        <w:rPr>
          <w:rFonts w:ascii="Arial" w:hAnsi="Arial" w:cs="Arial"/>
          <w:sz w:val="24"/>
        </w:rPr>
        <w:t xml:space="preserve">The information collected will be kept private to the extent allowed by </w:t>
      </w:r>
      <w:r w:rsidRPr="0FDABBAF" w:rsidR="134CF646">
        <w:rPr>
          <w:rFonts w:ascii="Arial" w:hAnsi="Arial" w:cs="Arial"/>
          <w:sz w:val="24"/>
        </w:rPr>
        <w:t>the</w:t>
      </w:r>
      <w:r w:rsidRPr="0FDABBAF">
        <w:rPr>
          <w:rFonts w:ascii="Arial" w:hAnsi="Arial" w:cs="Arial"/>
          <w:sz w:val="24"/>
        </w:rPr>
        <w:t xml:space="preserve"> law.</w:t>
      </w:r>
    </w:p>
    <w:p w:rsidR="00E55A65" w:rsidRPr="00E55A65" w:rsidP="00E55A65" w14:paraId="0A93396B" w14:textId="77777777">
      <w:pPr>
        <w:ind w:left="360"/>
        <w:rPr>
          <w:rFonts w:ascii="Arial" w:hAnsi="Arial" w:cs="Arial"/>
          <w:b/>
          <w:sz w:val="24"/>
        </w:rPr>
      </w:pPr>
    </w:p>
    <w:p w:rsidR="009B3794" w:rsidRPr="00E55A65" w:rsidP="00E55A65" w14:paraId="12DBC0EF" w14:textId="3C8D0391">
      <w:pPr>
        <w:numPr>
          <w:ilvl w:val="0"/>
          <w:numId w:val="2"/>
        </w:numPr>
        <w:tabs>
          <w:tab w:val="num" w:pos="360"/>
          <w:tab w:val="clear" w:pos="1080"/>
        </w:tabs>
        <w:ind w:left="360"/>
        <w:rPr>
          <w:rFonts w:ascii="Arial" w:hAnsi="Arial" w:cs="Arial"/>
          <w:b/>
          <w:sz w:val="24"/>
        </w:rPr>
      </w:pPr>
      <w:r w:rsidRPr="00C45431">
        <w:rPr>
          <w:rFonts w:ascii="Arial" w:hAnsi="Arial" w:cs="Arial"/>
          <w:b/>
          <w:sz w:val="24"/>
          <w:u w:val="single"/>
        </w:rPr>
        <w:t>Justification for Sensitive Questions</w:t>
      </w:r>
    </w:p>
    <w:p w:rsidR="00E55A65" w:rsidRPr="00C45431" w:rsidP="00E55A65" w14:paraId="08CE95F0" w14:textId="77777777">
      <w:pPr>
        <w:ind w:left="360"/>
        <w:rPr>
          <w:rFonts w:ascii="Arial" w:hAnsi="Arial" w:cs="Arial"/>
          <w:b/>
          <w:sz w:val="24"/>
        </w:rPr>
      </w:pPr>
    </w:p>
    <w:p w:rsidR="00E55A65" w:rsidP="0FDABBAF" w14:paraId="7B88552C" w14:textId="29F0AD30">
      <w:pPr>
        <w:rPr>
          <w:rFonts w:ascii="Arial" w:hAnsi="Arial" w:cs="Arial"/>
          <w:sz w:val="24"/>
        </w:rPr>
      </w:pPr>
      <w:r w:rsidRPr="0FDABBAF">
        <w:rPr>
          <w:rFonts w:ascii="Arial" w:hAnsi="Arial" w:cs="Arial"/>
          <w:sz w:val="24"/>
        </w:rPr>
        <w:t xml:space="preserve">There are no sensitive questions </w:t>
      </w:r>
      <w:r w:rsidRPr="0FDABBAF" w:rsidR="51DCC487">
        <w:rPr>
          <w:rFonts w:ascii="Arial" w:hAnsi="Arial" w:cs="Arial"/>
          <w:sz w:val="24"/>
        </w:rPr>
        <w:t>o</w:t>
      </w:r>
      <w:r w:rsidRPr="0FDABBAF">
        <w:rPr>
          <w:rFonts w:ascii="Arial" w:hAnsi="Arial" w:cs="Arial"/>
          <w:sz w:val="24"/>
        </w:rPr>
        <w:t xml:space="preserve">n the THCGME </w:t>
      </w:r>
      <w:r w:rsidRPr="0FDABBAF" w:rsidR="35C8FC79">
        <w:rPr>
          <w:rFonts w:ascii="Arial" w:hAnsi="Arial" w:cs="Arial"/>
          <w:sz w:val="24"/>
        </w:rPr>
        <w:t xml:space="preserve">Reconciliation </w:t>
      </w:r>
      <w:r w:rsidRPr="0FDABBAF" w:rsidR="35C8FC79">
        <w:rPr>
          <w:rFonts w:ascii="Arial" w:hAnsi="Arial" w:cs="Arial"/>
          <w:sz w:val="24"/>
        </w:rPr>
        <w:t>Tool</w:t>
      </w:r>
      <w:r w:rsidRPr="0FDABBAF" w:rsidR="35C8FC79">
        <w:rPr>
          <w:rFonts w:ascii="Arial" w:hAnsi="Arial" w:cs="Arial"/>
          <w:sz w:val="24"/>
        </w:rPr>
        <w:t xml:space="preserve"> and n</w:t>
      </w:r>
      <w:r w:rsidRPr="0FDABBAF" w:rsidR="4450F5B0">
        <w:rPr>
          <w:rFonts w:ascii="Arial" w:hAnsi="Arial" w:cs="Arial"/>
          <w:sz w:val="24"/>
        </w:rPr>
        <w:t>o</w:t>
      </w:r>
      <w:r w:rsidRPr="0FDABBAF">
        <w:rPr>
          <w:rFonts w:ascii="Arial" w:hAnsi="Arial" w:cs="Arial"/>
          <w:sz w:val="24"/>
        </w:rPr>
        <w:t xml:space="preserve"> personal identifiable information (PII)</w:t>
      </w:r>
      <w:r w:rsidRPr="0FDABBAF" w:rsidR="4450F5B0">
        <w:rPr>
          <w:rFonts w:ascii="Arial" w:hAnsi="Arial" w:cs="Arial"/>
          <w:sz w:val="24"/>
        </w:rPr>
        <w:t xml:space="preserve"> is </w:t>
      </w:r>
      <w:r w:rsidRPr="0FDABBAF">
        <w:rPr>
          <w:rFonts w:ascii="Arial" w:hAnsi="Arial" w:cs="Arial"/>
          <w:sz w:val="24"/>
        </w:rPr>
        <w:t>collected</w:t>
      </w:r>
      <w:r w:rsidRPr="0FDABBAF" w:rsidR="6C59C9E3">
        <w:rPr>
          <w:rFonts w:ascii="Arial" w:hAnsi="Arial" w:cs="Arial"/>
          <w:sz w:val="24"/>
        </w:rPr>
        <w:t xml:space="preserve">. </w:t>
      </w:r>
    </w:p>
    <w:p w:rsidR="00A107B7" w:rsidRPr="00AE7D2D" w:rsidP="00E55A65" w14:paraId="525BCB66" w14:textId="77777777">
      <w:pPr>
        <w:rPr>
          <w:rFonts w:ascii="Arial" w:hAnsi="Arial" w:cs="Arial"/>
          <w:sz w:val="24"/>
        </w:rPr>
      </w:pPr>
    </w:p>
    <w:p w:rsidR="009B3794" w:rsidRPr="00E55A65" w:rsidP="00E55A65" w14:paraId="12DBC0F5" w14:textId="468B734A">
      <w:pPr>
        <w:numPr>
          <w:ilvl w:val="0"/>
          <w:numId w:val="2"/>
        </w:numPr>
        <w:tabs>
          <w:tab w:val="num" w:pos="360"/>
          <w:tab w:val="clear" w:pos="1080"/>
        </w:tabs>
        <w:ind w:left="360"/>
        <w:rPr>
          <w:rFonts w:ascii="Arial" w:hAnsi="Arial" w:cs="Arial"/>
          <w:sz w:val="24"/>
        </w:rPr>
      </w:pPr>
      <w:r w:rsidRPr="00C45431">
        <w:rPr>
          <w:rFonts w:ascii="Arial" w:hAnsi="Arial" w:cs="Arial"/>
          <w:b/>
          <w:sz w:val="24"/>
          <w:u w:val="single"/>
        </w:rPr>
        <w:t xml:space="preserve">Estimates of Annualized Hour and Cost Burden  </w:t>
      </w:r>
    </w:p>
    <w:p w:rsidR="00E55A65" w:rsidRPr="00C45431" w:rsidP="00E55A65" w14:paraId="6ED2C881" w14:textId="77777777">
      <w:pPr>
        <w:ind w:left="360"/>
        <w:rPr>
          <w:rFonts w:ascii="Arial" w:hAnsi="Arial" w:cs="Arial"/>
          <w:sz w:val="24"/>
        </w:rPr>
      </w:pPr>
    </w:p>
    <w:p w:rsidR="005F573B" w:rsidP="7D7DC768" w14:paraId="3AE77576" w14:textId="159FA709">
      <w:pPr>
        <w:widowControl/>
        <w:tabs>
          <w:tab w:val="num" w:pos="720"/>
        </w:tabs>
        <w:rPr>
          <w:rFonts w:ascii="Arial" w:hAnsi="Arial" w:cs="Arial"/>
          <w:sz w:val="24"/>
        </w:rPr>
      </w:pPr>
      <w:r w:rsidRPr="7D7DC768">
        <w:rPr>
          <w:rFonts w:ascii="Arial" w:hAnsi="Arial" w:cs="Arial"/>
          <w:sz w:val="24"/>
        </w:rPr>
        <w:t xml:space="preserve">The number of respondents is based off the number of THCGME award recipients. </w:t>
      </w:r>
      <w:r w:rsidRPr="7D7DC768" w:rsidR="00C9640A">
        <w:rPr>
          <w:rFonts w:ascii="Arial" w:hAnsi="Arial" w:cs="Arial"/>
          <w:sz w:val="24"/>
        </w:rPr>
        <w:t>The hour burden estimates were</w:t>
      </w:r>
      <w:r w:rsidRPr="7D7DC768" w:rsidR="00A76F1C">
        <w:rPr>
          <w:rFonts w:ascii="Arial" w:hAnsi="Arial" w:cs="Arial"/>
          <w:sz w:val="24"/>
        </w:rPr>
        <w:t xml:space="preserve"> derived by </w:t>
      </w:r>
      <w:r w:rsidRPr="7D7DC768" w:rsidR="00A76F1C">
        <w:rPr>
          <w:rFonts w:ascii="Arial" w:hAnsi="Arial" w:cs="Arial"/>
          <w:sz w:val="24"/>
        </w:rPr>
        <w:t>survey</w:t>
      </w:r>
      <w:r w:rsidRPr="7D7DC768" w:rsidR="005E03FF">
        <w:rPr>
          <w:rFonts w:ascii="Arial" w:hAnsi="Arial" w:cs="Arial"/>
          <w:sz w:val="24"/>
        </w:rPr>
        <w:t xml:space="preserve"> of THCGME award recipients</w:t>
      </w:r>
      <w:r w:rsidRPr="7D7DC768" w:rsidR="00EC5DA3">
        <w:rPr>
          <w:rFonts w:ascii="Arial" w:hAnsi="Arial" w:cs="Arial"/>
          <w:sz w:val="24"/>
        </w:rPr>
        <w:t xml:space="preserve">. </w:t>
      </w:r>
      <w:r w:rsidRPr="7D7DC768" w:rsidR="00A76F1C">
        <w:rPr>
          <w:rFonts w:ascii="Arial" w:hAnsi="Arial" w:cs="Arial"/>
          <w:sz w:val="24"/>
        </w:rPr>
        <w:t>The recipients were asked to estimate the amount of time it took to complete the Reconciliation Tool within their institution</w:t>
      </w:r>
      <w:r w:rsidRPr="7D7DC768" w:rsidR="00EC5DA3">
        <w:rPr>
          <w:rFonts w:ascii="Arial" w:hAnsi="Arial" w:cs="Arial"/>
          <w:sz w:val="24"/>
        </w:rPr>
        <w:t xml:space="preserve">. </w:t>
      </w:r>
      <w:r w:rsidRPr="7D7DC768">
        <w:rPr>
          <w:rFonts w:ascii="Arial" w:hAnsi="Arial" w:cs="Arial"/>
          <w:sz w:val="24"/>
        </w:rPr>
        <w:t xml:space="preserve">However, because some commenters on the 60-day FRN indicated the average burden response was too low, the average burden was </w:t>
      </w:r>
      <w:r w:rsidRPr="7D7DC768" w:rsidR="2620C794">
        <w:rPr>
          <w:rFonts w:ascii="Arial" w:hAnsi="Arial" w:cs="Arial"/>
          <w:sz w:val="24"/>
        </w:rPr>
        <w:t xml:space="preserve">increased to </w:t>
      </w:r>
      <w:r w:rsidRPr="7D7DC768" w:rsidR="2620C794">
        <w:rPr>
          <w:rFonts w:ascii="Arial" w:hAnsi="Arial" w:cs="Arial"/>
          <w:sz w:val="24"/>
        </w:rPr>
        <w:t>take into account</w:t>
      </w:r>
      <w:r w:rsidRPr="7D7DC768" w:rsidR="2620C794">
        <w:rPr>
          <w:rFonts w:ascii="Arial" w:hAnsi="Arial" w:cs="Arial"/>
          <w:sz w:val="24"/>
        </w:rPr>
        <w:t xml:space="preserve"> larger award recipients</w:t>
      </w:r>
      <w:r w:rsidRPr="7D7DC768">
        <w:rPr>
          <w:rFonts w:ascii="Arial" w:hAnsi="Arial" w:cs="Arial"/>
          <w:sz w:val="24"/>
        </w:rPr>
        <w:t xml:space="preserve"> as described in section 8A.</w:t>
      </w:r>
    </w:p>
    <w:p w:rsidR="00A107B7" w:rsidP="00E55A65" w14:paraId="672F94AE" w14:textId="77777777">
      <w:pPr>
        <w:tabs>
          <w:tab w:val="num" w:pos="720"/>
        </w:tabs>
        <w:rPr>
          <w:rFonts w:ascii="Arial" w:hAnsi="Arial" w:cs="Arial"/>
          <w:b/>
          <w:sz w:val="24"/>
        </w:rPr>
      </w:pPr>
    </w:p>
    <w:p w:rsidR="00E55A65" w:rsidP="60BC6476" w14:paraId="2783BD00" w14:textId="54C36612">
      <w:pPr>
        <w:tabs>
          <w:tab w:val="num" w:pos="720"/>
        </w:tabs>
        <w:rPr>
          <w:rFonts w:ascii="Arial" w:hAnsi="Arial" w:cs="Arial"/>
          <w:sz w:val="22"/>
          <w:szCs w:val="22"/>
        </w:rPr>
      </w:pPr>
      <w:r w:rsidRPr="60BC6476">
        <w:rPr>
          <w:rFonts w:ascii="Arial" w:hAnsi="Arial" w:cs="Arial"/>
          <w:b/>
          <w:bCs/>
          <w:sz w:val="24"/>
        </w:rPr>
        <w:t>12A.</w:t>
      </w:r>
      <w:r w:rsidRPr="60BC6476">
        <w:rPr>
          <w:rFonts w:ascii="Arial" w:hAnsi="Arial" w:cs="Arial"/>
          <w:sz w:val="24"/>
        </w:rPr>
        <w:t xml:space="preserve"> </w:t>
      </w:r>
      <w:r w:rsidRPr="60BC6476">
        <w:rPr>
          <w:rFonts w:ascii="Arial" w:hAnsi="Arial" w:cs="Arial"/>
          <w:b/>
          <w:bCs/>
          <w:sz w:val="24"/>
        </w:rPr>
        <w:t>Estimated Annualized Burden Hours</w:t>
      </w:r>
    </w:p>
    <w:p w:rsidR="00A76F1C" w:rsidP="00E55A65" w14:paraId="6E0FD199" w14:textId="1D9CE484">
      <w:pPr>
        <w:widowControl/>
        <w:tabs>
          <w:tab w:val="num" w:pos="720"/>
        </w:tabs>
        <w:rPr>
          <w:rFonts w:ascii="Arial" w:hAnsi="Arial" w:cs="Arial"/>
          <w:sz w:val="24"/>
        </w:rPr>
      </w:pPr>
    </w:p>
    <w:tbl>
      <w:tblPr>
        <w:tblW w:w="8090" w:type="dxa"/>
        <w:tblInd w:w="97" w:type="dxa"/>
        <w:tblLayout w:type="fixed"/>
        <w:tblCellMar>
          <w:left w:w="97" w:type="dxa"/>
          <w:right w:w="97" w:type="dxa"/>
        </w:tblCellMar>
        <w:tblLook w:val="0000"/>
      </w:tblPr>
      <w:tblGrid>
        <w:gridCol w:w="1800"/>
        <w:gridCol w:w="1610"/>
        <w:gridCol w:w="1800"/>
        <w:gridCol w:w="1440"/>
        <w:gridCol w:w="1440"/>
      </w:tblGrid>
      <w:tr w14:paraId="2C8A3F90" w14:textId="77777777" w:rsidTr="7D7DC768">
        <w:tblPrEx>
          <w:tblW w:w="8090" w:type="dxa"/>
          <w:tblInd w:w="97" w:type="dxa"/>
          <w:tblLayout w:type="fixed"/>
          <w:tblCellMar>
            <w:left w:w="97" w:type="dxa"/>
            <w:right w:w="97" w:type="dxa"/>
          </w:tblCellMar>
          <w:tblLook w:val="0000"/>
        </w:tblPrEx>
        <w:trPr>
          <w:trHeight w:val="1030"/>
        </w:trPr>
        <w:tc>
          <w:tcPr>
            <w:tcW w:w="1800" w:type="dxa"/>
            <w:tcBorders>
              <w:top w:val="single" w:sz="2" w:space="0" w:color="auto"/>
              <w:left w:val="single" w:sz="2" w:space="0" w:color="auto"/>
              <w:bottom w:val="single" w:sz="2" w:space="0" w:color="auto"/>
              <w:right w:val="single" w:sz="2" w:space="0" w:color="auto"/>
            </w:tcBorders>
            <w:vAlign w:val="bottom"/>
          </w:tcPr>
          <w:p w:rsidR="00E55A65" w:rsidP="00E55A65" w14:paraId="39E50D28" w14:textId="77777777">
            <w:pPr>
              <w:widowControl/>
              <w:tabs>
                <w:tab w:val="num" w:pos="720"/>
              </w:tabs>
              <w:jc w:val="center"/>
              <w:rPr>
                <w:rFonts w:ascii="Arial" w:hAnsi="Arial" w:cs="Arial"/>
                <w:sz w:val="22"/>
              </w:rPr>
            </w:pPr>
          </w:p>
          <w:p w:rsidR="00E55A65" w:rsidP="00E55A65" w14:paraId="233688C1" w14:textId="77777777">
            <w:pPr>
              <w:tabs>
                <w:tab w:val="num" w:pos="720"/>
              </w:tabs>
              <w:jc w:val="center"/>
              <w:rPr>
                <w:rFonts w:ascii="Arial" w:hAnsi="Arial" w:cs="Arial"/>
                <w:sz w:val="22"/>
              </w:rPr>
            </w:pPr>
          </w:p>
          <w:p w:rsidR="00E55A65" w:rsidRPr="00742769" w:rsidP="00E55A65" w14:paraId="7E292A0D" w14:textId="77777777">
            <w:pPr>
              <w:tabs>
                <w:tab w:val="num" w:pos="720"/>
              </w:tabs>
              <w:jc w:val="center"/>
              <w:rPr>
                <w:rFonts w:ascii="Arial" w:hAnsi="Arial" w:cs="Arial"/>
                <w:sz w:val="22"/>
              </w:rPr>
            </w:pPr>
          </w:p>
          <w:p w:rsidR="00E55A65" w:rsidRPr="00742769" w:rsidP="00E55A65" w14:paraId="0C3F420A" w14:textId="77777777">
            <w:pPr>
              <w:widowControl/>
              <w:tabs>
                <w:tab w:val="num" w:pos="720"/>
              </w:tabs>
              <w:jc w:val="center"/>
              <w:rPr>
                <w:rFonts w:ascii="Arial" w:hAnsi="Arial" w:cs="Arial"/>
                <w:b/>
                <w:sz w:val="22"/>
              </w:rPr>
            </w:pPr>
            <w:r w:rsidRPr="00742769">
              <w:rPr>
                <w:rFonts w:ascii="Arial" w:hAnsi="Arial" w:cs="Arial"/>
                <w:b/>
                <w:sz w:val="22"/>
              </w:rPr>
              <w:t>Form Name</w:t>
            </w:r>
          </w:p>
        </w:tc>
        <w:tc>
          <w:tcPr>
            <w:tcW w:w="1610" w:type="dxa"/>
            <w:tcBorders>
              <w:top w:val="single" w:sz="2" w:space="0" w:color="auto"/>
              <w:left w:val="single" w:sz="2" w:space="0" w:color="auto"/>
              <w:bottom w:val="single" w:sz="2" w:space="0" w:color="auto"/>
              <w:right w:val="single" w:sz="2" w:space="0" w:color="auto"/>
            </w:tcBorders>
            <w:vAlign w:val="bottom"/>
          </w:tcPr>
          <w:p w:rsidR="00E55A65" w:rsidRPr="00742769" w:rsidP="00E55A65" w14:paraId="71D54349" w14:textId="77777777">
            <w:pPr>
              <w:widowControl/>
              <w:tabs>
                <w:tab w:val="num" w:pos="720"/>
              </w:tabs>
              <w:jc w:val="center"/>
              <w:rPr>
                <w:rFonts w:ascii="Arial" w:hAnsi="Arial" w:cs="Arial"/>
                <w:b/>
                <w:sz w:val="22"/>
              </w:rPr>
            </w:pPr>
            <w:r w:rsidRPr="00742769">
              <w:rPr>
                <w:rFonts w:ascii="Arial" w:hAnsi="Arial" w:cs="Arial"/>
                <w:b/>
                <w:sz w:val="22"/>
              </w:rPr>
              <w:t>Number of Respondents</w:t>
            </w:r>
          </w:p>
        </w:tc>
        <w:tc>
          <w:tcPr>
            <w:tcW w:w="1800" w:type="dxa"/>
            <w:tcBorders>
              <w:top w:val="single" w:sz="2" w:space="0" w:color="auto"/>
              <w:left w:val="single" w:sz="2" w:space="0" w:color="auto"/>
              <w:bottom w:val="single" w:sz="2" w:space="0" w:color="auto"/>
              <w:right w:val="single" w:sz="2" w:space="0" w:color="auto"/>
            </w:tcBorders>
            <w:vAlign w:val="bottom"/>
          </w:tcPr>
          <w:p w:rsidR="00E55A65" w:rsidRPr="00742769" w:rsidP="00E55A65" w14:paraId="1D833691" w14:textId="77777777">
            <w:pPr>
              <w:widowControl/>
              <w:tabs>
                <w:tab w:val="num" w:pos="720"/>
              </w:tabs>
              <w:jc w:val="center"/>
              <w:rPr>
                <w:rFonts w:ascii="Arial" w:hAnsi="Arial" w:cs="Arial"/>
                <w:b/>
                <w:sz w:val="22"/>
              </w:rPr>
            </w:pPr>
            <w:r w:rsidRPr="00742769">
              <w:rPr>
                <w:rFonts w:ascii="Arial" w:hAnsi="Arial" w:cs="Arial"/>
                <w:b/>
                <w:sz w:val="22"/>
              </w:rPr>
              <w:t>Number of Responses per Respondent</w:t>
            </w:r>
          </w:p>
        </w:tc>
        <w:tc>
          <w:tcPr>
            <w:tcW w:w="1440" w:type="dxa"/>
            <w:tcBorders>
              <w:top w:val="single" w:sz="2" w:space="0" w:color="auto"/>
              <w:left w:val="single" w:sz="2" w:space="0" w:color="auto"/>
              <w:bottom w:val="single" w:sz="2" w:space="0" w:color="auto"/>
              <w:right w:val="single" w:sz="2" w:space="0" w:color="auto"/>
            </w:tcBorders>
            <w:vAlign w:val="bottom"/>
          </w:tcPr>
          <w:p w:rsidR="00E55A65" w:rsidRPr="00742769" w:rsidP="00E55A65" w14:paraId="4DD113A5" w14:textId="77777777">
            <w:pPr>
              <w:widowControl/>
              <w:tabs>
                <w:tab w:val="num" w:pos="720"/>
              </w:tabs>
              <w:jc w:val="center"/>
              <w:rPr>
                <w:rFonts w:ascii="Arial" w:hAnsi="Arial" w:cs="Arial"/>
                <w:b/>
                <w:sz w:val="22"/>
              </w:rPr>
            </w:pPr>
            <w:r w:rsidRPr="00742769">
              <w:rPr>
                <w:rFonts w:ascii="Arial" w:hAnsi="Arial" w:cs="Arial"/>
                <w:b/>
                <w:sz w:val="22"/>
              </w:rPr>
              <w:t>Average Burden per Response (in hours)</w:t>
            </w:r>
          </w:p>
        </w:tc>
        <w:tc>
          <w:tcPr>
            <w:tcW w:w="1440" w:type="dxa"/>
            <w:tcBorders>
              <w:top w:val="single" w:sz="2" w:space="0" w:color="auto"/>
              <w:left w:val="single" w:sz="2" w:space="0" w:color="auto"/>
              <w:bottom w:val="single" w:sz="2" w:space="0" w:color="auto"/>
              <w:right w:val="single" w:sz="2" w:space="0" w:color="auto"/>
            </w:tcBorders>
            <w:vAlign w:val="bottom"/>
          </w:tcPr>
          <w:p w:rsidR="00E55A65" w:rsidRPr="00742769" w:rsidP="00E55A65" w14:paraId="68EB78E8" w14:textId="77777777">
            <w:pPr>
              <w:widowControl/>
              <w:tabs>
                <w:tab w:val="num" w:pos="720"/>
              </w:tabs>
              <w:jc w:val="center"/>
              <w:rPr>
                <w:rFonts w:ascii="Arial" w:hAnsi="Arial" w:cs="Arial"/>
                <w:b/>
                <w:sz w:val="22"/>
              </w:rPr>
            </w:pPr>
            <w:r w:rsidRPr="00742769">
              <w:rPr>
                <w:rFonts w:ascii="Arial" w:hAnsi="Arial" w:cs="Arial"/>
                <w:b/>
                <w:sz w:val="22"/>
              </w:rPr>
              <w:t>Total Burden Hours</w:t>
            </w:r>
          </w:p>
        </w:tc>
      </w:tr>
      <w:tr w14:paraId="379D14BC" w14:textId="77777777" w:rsidTr="7D7DC768">
        <w:tblPrEx>
          <w:tblW w:w="8090" w:type="dxa"/>
          <w:tblInd w:w="97"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tcPr>
          <w:p w:rsidR="00E55A65" w:rsidRPr="00742769" w:rsidP="004A2CA5" w14:paraId="4EB544A3" w14:textId="77777777">
            <w:pPr>
              <w:widowControl/>
              <w:tabs>
                <w:tab w:val="num" w:pos="720"/>
              </w:tabs>
              <w:rPr>
                <w:rFonts w:ascii="Arial" w:hAnsi="Arial" w:cs="Arial"/>
                <w:sz w:val="22"/>
              </w:rPr>
            </w:pPr>
            <w:r w:rsidRPr="00742769">
              <w:rPr>
                <w:rFonts w:ascii="Arial" w:hAnsi="Arial" w:cs="Arial"/>
                <w:sz w:val="22"/>
              </w:rPr>
              <w:t xml:space="preserve">THCGME Reconciliation Tool  </w:t>
            </w:r>
          </w:p>
        </w:tc>
        <w:tc>
          <w:tcPr>
            <w:tcW w:w="1610" w:type="dxa"/>
            <w:tcBorders>
              <w:top w:val="single" w:sz="2" w:space="0" w:color="auto"/>
              <w:left w:val="single" w:sz="2" w:space="0" w:color="auto"/>
              <w:bottom w:val="single" w:sz="2" w:space="0" w:color="auto"/>
              <w:right w:val="single" w:sz="2" w:space="0" w:color="auto"/>
            </w:tcBorders>
            <w:vAlign w:val="center"/>
          </w:tcPr>
          <w:p w:rsidR="00E55A65" w:rsidRPr="00742769" w:rsidP="004A2CA5" w14:paraId="1B170C71" w14:textId="0E37ED8E">
            <w:pPr>
              <w:widowControl/>
              <w:tabs>
                <w:tab w:val="num" w:pos="720"/>
              </w:tabs>
              <w:jc w:val="right"/>
              <w:rPr>
                <w:rFonts w:ascii="Arial" w:hAnsi="Arial" w:cs="Arial"/>
                <w:sz w:val="22"/>
                <w:lang w:val="fr-FR"/>
              </w:rPr>
            </w:pPr>
            <w:r>
              <w:rPr>
                <w:rFonts w:ascii="Arial" w:hAnsi="Arial" w:cs="Arial"/>
                <w:sz w:val="22"/>
                <w:lang w:val="fr-FR"/>
              </w:rPr>
              <w:t>8</w:t>
            </w:r>
            <w:r w:rsidR="00E16FCB">
              <w:rPr>
                <w:rFonts w:ascii="Arial" w:hAnsi="Arial" w:cs="Arial"/>
                <w:sz w:val="22"/>
                <w:lang w:val="fr-FR"/>
              </w:rPr>
              <w:t>7</w:t>
            </w:r>
          </w:p>
        </w:tc>
        <w:tc>
          <w:tcPr>
            <w:tcW w:w="1800" w:type="dxa"/>
            <w:tcBorders>
              <w:top w:val="single" w:sz="2" w:space="0" w:color="auto"/>
              <w:left w:val="single" w:sz="2" w:space="0" w:color="auto"/>
              <w:bottom w:val="single" w:sz="2" w:space="0" w:color="auto"/>
              <w:right w:val="single" w:sz="2" w:space="0" w:color="auto"/>
            </w:tcBorders>
            <w:vAlign w:val="center"/>
          </w:tcPr>
          <w:p w:rsidR="00E55A65" w:rsidRPr="00742769" w:rsidP="004A2CA5" w14:paraId="5E44FBC1" w14:textId="77777777">
            <w:pPr>
              <w:widowControl/>
              <w:tabs>
                <w:tab w:val="num" w:pos="720"/>
              </w:tabs>
              <w:jc w:val="right"/>
              <w:rPr>
                <w:rFonts w:ascii="Arial" w:hAnsi="Arial" w:cs="Arial"/>
                <w:sz w:val="22"/>
                <w:lang w:val="fr-FR"/>
              </w:rPr>
            </w:pPr>
            <w:r w:rsidRPr="00742769">
              <w:rPr>
                <w:rFonts w:ascii="Arial" w:hAnsi="Arial" w:cs="Arial"/>
                <w:sz w:val="22"/>
                <w:lang w:val="fr-FR"/>
              </w:rPr>
              <w:t>1</w:t>
            </w:r>
          </w:p>
        </w:tc>
        <w:tc>
          <w:tcPr>
            <w:tcW w:w="1440" w:type="dxa"/>
            <w:tcBorders>
              <w:top w:val="single" w:sz="2" w:space="0" w:color="auto"/>
              <w:left w:val="single" w:sz="2" w:space="0" w:color="auto"/>
              <w:bottom w:val="single" w:sz="2" w:space="0" w:color="auto"/>
              <w:right w:val="single" w:sz="2" w:space="0" w:color="auto"/>
            </w:tcBorders>
            <w:vAlign w:val="center"/>
          </w:tcPr>
          <w:p w:rsidR="00E55A65" w:rsidRPr="00742769" w:rsidP="7D7DC768" w14:paraId="177AF781" w14:textId="27D6FE30">
            <w:pPr>
              <w:widowControl/>
              <w:tabs>
                <w:tab w:val="num" w:pos="720"/>
              </w:tabs>
              <w:jc w:val="right"/>
              <w:rPr>
                <w:rFonts w:ascii="Arial" w:hAnsi="Arial" w:cs="Arial"/>
                <w:sz w:val="22"/>
                <w:szCs w:val="22"/>
                <w:lang w:val="fr-FR"/>
              </w:rPr>
            </w:pPr>
            <w:r w:rsidRPr="7D7DC768">
              <w:rPr>
                <w:rFonts w:ascii="Arial" w:hAnsi="Arial" w:cs="Arial"/>
                <w:sz w:val="22"/>
                <w:szCs w:val="22"/>
                <w:lang w:val="fr-FR"/>
              </w:rPr>
              <w:t>5</w:t>
            </w:r>
          </w:p>
        </w:tc>
        <w:tc>
          <w:tcPr>
            <w:tcW w:w="1440" w:type="dxa"/>
            <w:tcBorders>
              <w:top w:val="single" w:sz="2" w:space="0" w:color="auto"/>
              <w:left w:val="single" w:sz="2" w:space="0" w:color="auto"/>
              <w:bottom w:val="single" w:sz="2" w:space="0" w:color="auto"/>
              <w:right w:val="single" w:sz="2" w:space="0" w:color="auto"/>
            </w:tcBorders>
            <w:vAlign w:val="center"/>
          </w:tcPr>
          <w:p w:rsidR="00E55A65" w:rsidRPr="00742769" w:rsidP="7D7DC768" w14:paraId="6375C1EA" w14:textId="4EEE53B3">
            <w:pPr>
              <w:widowControl/>
              <w:tabs>
                <w:tab w:val="num" w:pos="720"/>
              </w:tabs>
              <w:jc w:val="right"/>
              <w:rPr>
                <w:rFonts w:ascii="Arial" w:hAnsi="Arial" w:cs="Arial"/>
                <w:sz w:val="22"/>
                <w:szCs w:val="22"/>
                <w:lang w:val="fr-FR"/>
              </w:rPr>
            </w:pPr>
            <w:r w:rsidRPr="7D7DC768">
              <w:rPr>
                <w:rFonts w:ascii="Arial" w:hAnsi="Arial" w:cs="Arial"/>
                <w:sz w:val="22"/>
                <w:szCs w:val="22"/>
                <w:lang w:val="fr-FR"/>
              </w:rPr>
              <w:t>435</w:t>
            </w:r>
          </w:p>
        </w:tc>
      </w:tr>
      <w:tr w14:paraId="623A16DF" w14:textId="77777777" w:rsidTr="7D7DC768">
        <w:tblPrEx>
          <w:tblW w:w="8090" w:type="dxa"/>
          <w:tblInd w:w="97"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tcPr>
          <w:p w:rsidR="00E55A65" w:rsidRPr="00742769" w:rsidP="004A2CA5" w14:paraId="20314B43" w14:textId="77777777">
            <w:pPr>
              <w:widowControl/>
              <w:tabs>
                <w:tab w:val="num" w:pos="720"/>
              </w:tabs>
              <w:rPr>
                <w:rFonts w:ascii="Arial" w:hAnsi="Arial" w:cs="Arial"/>
                <w:sz w:val="22"/>
                <w:lang w:val="fr-FR"/>
              </w:rPr>
            </w:pPr>
            <w:r w:rsidRPr="00742769">
              <w:rPr>
                <w:rFonts w:ascii="Arial" w:hAnsi="Arial" w:cs="Arial"/>
                <w:sz w:val="22"/>
                <w:lang w:val="fr-FR"/>
              </w:rPr>
              <w:t>Total</w:t>
            </w:r>
          </w:p>
        </w:tc>
        <w:tc>
          <w:tcPr>
            <w:tcW w:w="1610" w:type="dxa"/>
            <w:tcBorders>
              <w:top w:val="single" w:sz="2" w:space="0" w:color="auto"/>
              <w:left w:val="single" w:sz="2" w:space="0" w:color="auto"/>
              <w:bottom w:val="single" w:sz="2" w:space="0" w:color="auto"/>
              <w:right w:val="single" w:sz="2" w:space="0" w:color="auto"/>
            </w:tcBorders>
            <w:vAlign w:val="center"/>
          </w:tcPr>
          <w:p w:rsidR="00E55A65" w:rsidRPr="00742769" w:rsidP="004A2CA5" w14:paraId="1E211073" w14:textId="4868FD09">
            <w:pPr>
              <w:widowControl/>
              <w:tabs>
                <w:tab w:val="num" w:pos="720"/>
              </w:tabs>
              <w:jc w:val="right"/>
              <w:rPr>
                <w:rFonts w:ascii="Arial" w:hAnsi="Arial" w:cs="Arial"/>
                <w:sz w:val="22"/>
                <w:lang w:val="fr-FR"/>
              </w:rPr>
            </w:pPr>
            <w:r>
              <w:rPr>
                <w:rFonts w:ascii="Arial" w:hAnsi="Arial" w:cs="Arial"/>
                <w:sz w:val="22"/>
                <w:lang w:val="fr-FR"/>
              </w:rPr>
              <w:t>8</w:t>
            </w:r>
            <w:r w:rsidR="00E16FCB">
              <w:rPr>
                <w:rFonts w:ascii="Arial" w:hAnsi="Arial" w:cs="Arial"/>
                <w:sz w:val="22"/>
                <w:lang w:val="fr-FR"/>
              </w:rPr>
              <w:t>7</w:t>
            </w:r>
          </w:p>
        </w:tc>
        <w:tc>
          <w:tcPr>
            <w:tcW w:w="1800" w:type="dxa"/>
            <w:tcBorders>
              <w:top w:val="single" w:sz="2" w:space="0" w:color="auto"/>
              <w:left w:val="single" w:sz="2" w:space="0" w:color="auto"/>
              <w:bottom w:val="single" w:sz="2" w:space="0" w:color="auto"/>
              <w:right w:val="single" w:sz="2" w:space="0" w:color="auto"/>
            </w:tcBorders>
            <w:vAlign w:val="center"/>
          </w:tcPr>
          <w:p w:rsidR="00E55A65" w:rsidRPr="00742769" w:rsidP="004A2CA5" w14:paraId="7580CDB6" w14:textId="77777777">
            <w:pPr>
              <w:widowControl/>
              <w:tabs>
                <w:tab w:val="num" w:pos="720"/>
              </w:tabs>
              <w:jc w:val="right"/>
              <w:rPr>
                <w:rFonts w:ascii="Arial" w:hAnsi="Arial" w:cs="Arial"/>
                <w:sz w:val="22"/>
                <w:lang w:val="fr-FR"/>
              </w:rPr>
            </w:pPr>
          </w:p>
        </w:tc>
        <w:tc>
          <w:tcPr>
            <w:tcW w:w="1440" w:type="dxa"/>
            <w:tcBorders>
              <w:top w:val="single" w:sz="2" w:space="0" w:color="auto"/>
              <w:left w:val="single" w:sz="2" w:space="0" w:color="auto"/>
              <w:bottom w:val="single" w:sz="2" w:space="0" w:color="auto"/>
              <w:right w:val="single" w:sz="2" w:space="0" w:color="auto"/>
            </w:tcBorders>
            <w:vAlign w:val="center"/>
          </w:tcPr>
          <w:p w:rsidR="00E55A65" w:rsidRPr="00742769" w:rsidP="004A2CA5" w14:paraId="6960B953" w14:textId="77777777">
            <w:pPr>
              <w:widowControl/>
              <w:tabs>
                <w:tab w:val="num" w:pos="720"/>
              </w:tabs>
              <w:jc w:val="right"/>
              <w:rPr>
                <w:rFonts w:ascii="Arial" w:hAnsi="Arial" w:cs="Arial"/>
                <w:sz w:val="22"/>
                <w:lang w:val="fr-FR"/>
              </w:rPr>
            </w:pPr>
          </w:p>
        </w:tc>
        <w:tc>
          <w:tcPr>
            <w:tcW w:w="1440" w:type="dxa"/>
            <w:tcBorders>
              <w:top w:val="single" w:sz="2" w:space="0" w:color="auto"/>
              <w:left w:val="single" w:sz="2" w:space="0" w:color="auto"/>
              <w:bottom w:val="single" w:sz="2" w:space="0" w:color="auto"/>
              <w:right w:val="single" w:sz="2" w:space="0" w:color="auto"/>
            </w:tcBorders>
            <w:vAlign w:val="center"/>
          </w:tcPr>
          <w:p w:rsidR="00E55A65" w:rsidRPr="00742769" w:rsidP="7D7DC768" w14:paraId="3EB288E2" w14:textId="431DA94C">
            <w:pPr>
              <w:widowControl/>
              <w:tabs>
                <w:tab w:val="num" w:pos="720"/>
              </w:tabs>
              <w:jc w:val="right"/>
              <w:rPr>
                <w:rFonts w:ascii="Arial" w:hAnsi="Arial" w:cs="Arial"/>
                <w:sz w:val="22"/>
                <w:szCs w:val="22"/>
              </w:rPr>
            </w:pPr>
            <w:r w:rsidRPr="7D7DC768">
              <w:rPr>
                <w:rFonts w:ascii="Arial" w:hAnsi="Arial" w:cs="Arial"/>
                <w:sz w:val="22"/>
                <w:szCs w:val="22"/>
              </w:rPr>
              <w:t>435</w:t>
            </w:r>
          </w:p>
        </w:tc>
      </w:tr>
    </w:tbl>
    <w:p w:rsidR="00E55A65" w:rsidP="00E55A65" w14:paraId="70D8E87A" w14:textId="77777777">
      <w:pPr>
        <w:widowControl/>
        <w:tabs>
          <w:tab w:val="num" w:pos="720"/>
        </w:tabs>
        <w:rPr>
          <w:rFonts w:ascii="Arial" w:hAnsi="Arial" w:cs="Arial"/>
          <w:sz w:val="24"/>
        </w:rPr>
      </w:pPr>
    </w:p>
    <w:p w:rsidR="00A54D08" w:rsidP="00E55A65" w14:paraId="217DD433" w14:textId="77777777">
      <w:pPr>
        <w:widowControl/>
        <w:tabs>
          <w:tab w:val="num" w:pos="720"/>
        </w:tabs>
        <w:rPr>
          <w:rFonts w:ascii="Arial" w:hAnsi="Arial" w:cs="Arial"/>
          <w:sz w:val="24"/>
        </w:rPr>
      </w:pPr>
    </w:p>
    <w:p w:rsidR="009B3794" w:rsidRPr="000B4BEE" w:rsidP="3CF7988F" w14:paraId="12DBC12D" w14:textId="238E307D">
      <w:pPr>
        <w:widowControl/>
        <w:rPr>
          <w:rFonts w:ascii="Arial" w:hAnsi="Arial" w:cs="Arial"/>
          <w:b/>
          <w:bCs/>
          <w:sz w:val="24"/>
        </w:rPr>
      </w:pPr>
      <w:r w:rsidRPr="3CF7988F">
        <w:rPr>
          <w:rFonts w:ascii="Arial" w:hAnsi="Arial" w:cs="Arial"/>
          <w:b/>
          <w:bCs/>
          <w:sz w:val="24"/>
        </w:rPr>
        <w:t>12B</w:t>
      </w:r>
      <w:r w:rsidRPr="3CF7988F" w:rsidR="00951E28">
        <w:rPr>
          <w:rFonts w:ascii="Arial" w:hAnsi="Arial" w:cs="Arial"/>
          <w:sz w:val="24"/>
        </w:rPr>
        <w:t xml:space="preserve">. </w:t>
      </w:r>
      <w:r w:rsidRPr="3CF7988F" w:rsidR="00951E28">
        <w:rPr>
          <w:rFonts w:ascii="Arial" w:hAnsi="Arial" w:cs="Arial"/>
          <w:b/>
          <w:bCs/>
          <w:sz w:val="24"/>
        </w:rPr>
        <w:t>Estimated</w:t>
      </w:r>
      <w:r w:rsidRPr="3CF7988F">
        <w:rPr>
          <w:rFonts w:ascii="Arial" w:hAnsi="Arial" w:cs="Arial"/>
          <w:b/>
          <w:bCs/>
          <w:sz w:val="24"/>
        </w:rPr>
        <w:t xml:space="preserve"> Annualized Burden Costs</w:t>
      </w:r>
    </w:p>
    <w:tbl>
      <w:tblPr>
        <w:tblW w:w="7640" w:type="dxa"/>
        <w:tblInd w:w="97" w:type="dxa"/>
        <w:tblLayout w:type="fixed"/>
        <w:tblCellMar>
          <w:left w:w="97" w:type="dxa"/>
          <w:right w:w="97" w:type="dxa"/>
        </w:tblCellMar>
        <w:tblLook w:val="0000"/>
      </w:tblPr>
      <w:tblGrid>
        <w:gridCol w:w="1800"/>
        <w:gridCol w:w="2150"/>
        <w:gridCol w:w="1530"/>
        <w:gridCol w:w="2160"/>
      </w:tblGrid>
      <w:tr w14:paraId="43BDB97D" w14:textId="77777777" w:rsidTr="7D7DC768">
        <w:tblPrEx>
          <w:tblW w:w="7640" w:type="dxa"/>
          <w:tblInd w:w="97" w:type="dxa"/>
          <w:tblLayout w:type="fixed"/>
          <w:tblCellMar>
            <w:left w:w="97" w:type="dxa"/>
            <w:right w:w="97" w:type="dxa"/>
          </w:tblCellMar>
          <w:tblLook w:val="0000"/>
        </w:tblPrEx>
        <w:trPr>
          <w:trHeight w:val="1030"/>
        </w:trPr>
        <w:tc>
          <w:tcPr>
            <w:tcW w:w="1800" w:type="dxa"/>
            <w:tcBorders>
              <w:top w:val="single" w:sz="2" w:space="0" w:color="auto"/>
              <w:left w:val="single" w:sz="2" w:space="0" w:color="auto"/>
              <w:bottom w:val="single" w:sz="2" w:space="0" w:color="auto"/>
              <w:right w:val="single" w:sz="2" w:space="0" w:color="auto"/>
            </w:tcBorders>
            <w:vAlign w:val="bottom"/>
          </w:tcPr>
          <w:p w:rsidR="001F6E52" w:rsidRPr="00E55A65" w:rsidP="00E55A65" w14:paraId="3246BC3F" w14:textId="77777777">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Arial" w:hAnsi="Arial" w:cs="Arial"/>
                <w:sz w:val="22"/>
                <w:szCs w:val="22"/>
                <w:highlight w:val="yellow"/>
              </w:rPr>
            </w:pPr>
          </w:p>
          <w:p w:rsidR="001F6E52" w:rsidRPr="00E55A65" w:rsidP="00E55A65" w14:paraId="5EB083D8" w14:textId="0CC00513">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Arial" w:hAnsi="Arial" w:cs="Arial"/>
                <w:b/>
                <w:sz w:val="22"/>
                <w:szCs w:val="22"/>
                <w:highlight w:val="yellow"/>
              </w:rPr>
            </w:pPr>
            <w:r w:rsidRPr="00E55A65">
              <w:rPr>
                <w:rFonts w:ascii="Arial" w:hAnsi="Arial" w:cs="Arial"/>
                <w:b/>
                <w:sz w:val="22"/>
                <w:szCs w:val="22"/>
              </w:rPr>
              <w:t>Type of Respondent</w:t>
            </w:r>
          </w:p>
        </w:tc>
        <w:tc>
          <w:tcPr>
            <w:tcW w:w="2150" w:type="dxa"/>
            <w:tcBorders>
              <w:top w:val="single" w:sz="2" w:space="0" w:color="auto"/>
              <w:left w:val="single" w:sz="2" w:space="0" w:color="auto"/>
              <w:bottom w:val="single" w:sz="2" w:space="0" w:color="auto"/>
              <w:right w:val="single" w:sz="2" w:space="0" w:color="auto"/>
            </w:tcBorders>
            <w:vAlign w:val="bottom"/>
          </w:tcPr>
          <w:p w:rsidR="001F6E52" w:rsidRPr="00E55A65" w:rsidP="00E55A65" w14:paraId="34BECFD5" w14:textId="3D8F74D5">
            <w:pPr>
              <w:pStyle w:val="BodyText"/>
              <w:widowControl/>
              <w:spacing w:after="0"/>
              <w:jc w:val="center"/>
              <w:rPr>
                <w:rFonts w:ascii="Arial" w:hAnsi="Arial" w:cs="Arial"/>
                <w:b/>
                <w:sz w:val="22"/>
                <w:szCs w:val="22"/>
                <w:highlight w:val="yellow"/>
              </w:rPr>
            </w:pPr>
            <w:r w:rsidRPr="00E55A65">
              <w:rPr>
                <w:rFonts w:ascii="Arial" w:hAnsi="Arial" w:cs="Arial"/>
                <w:b/>
                <w:sz w:val="22"/>
                <w:szCs w:val="22"/>
              </w:rPr>
              <w:t>Total Burden Hours</w:t>
            </w:r>
          </w:p>
        </w:tc>
        <w:tc>
          <w:tcPr>
            <w:tcW w:w="1530" w:type="dxa"/>
            <w:tcBorders>
              <w:top w:val="single" w:sz="2" w:space="0" w:color="auto"/>
              <w:left w:val="single" w:sz="2" w:space="0" w:color="auto"/>
              <w:bottom w:val="single" w:sz="2" w:space="0" w:color="auto"/>
              <w:right w:val="single" w:sz="2" w:space="0" w:color="auto"/>
            </w:tcBorders>
            <w:vAlign w:val="bottom"/>
          </w:tcPr>
          <w:p w:rsidR="001F6E52" w:rsidRPr="00E55A65" w:rsidP="00E55A65" w14:paraId="1737FA78" w14:textId="77777777">
            <w:pPr>
              <w:pStyle w:val="BodyText"/>
              <w:widowControl/>
              <w:spacing w:after="0"/>
              <w:jc w:val="center"/>
              <w:rPr>
                <w:rFonts w:ascii="Arial" w:hAnsi="Arial" w:cs="Arial"/>
                <w:sz w:val="22"/>
                <w:szCs w:val="22"/>
                <w:highlight w:val="yellow"/>
              </w:rPr>
            </w:pPr>
          </w:p>
          <w:p w:rsidR="001F6E52" w:rsidRPr="00E55A65" w:rsidP="00E55A65" w14:paraId="59908A22" w14:textId="32B02C95">
            <w:pPr>
              <w:pStyle w:val="BodyText"/>
              <w:widowControl/>
              <w:spacing w:after="0"/>
              <w:jc w:val="center"/>
              <w:rPr>
                <w:rFonts w:ascii="Arial" w:hAnsi="Arial" w:cs="Arial"/>
                <w:b/>
                <w:sz w:val="22"/>
                <w:szCs w:val="22"/>
                <w:highlight w:val="yellow"/>
              </w:rPr>
            </w:pPr>
            <w:r w:rsidRPr="00E55A65">
              <w:rPr>
                <w:rFonts w:ascii="Arial" w:hAnsi="Arial" w:cs="Arial"/>
                <w:b/>
                <w:sz w:val="22"/>
                <w:szCs w:val="22"/>
              </w:rPr>
              <w:t>Hourly Wage Rate</w:t>
            </w:r>
            <w:r w:rsidR="00E16FCB">
              <w:rPr>
                <w:rFonts w:ascii="Arial" w:hAnsi="Arial" w:cs="Arial"/>
                <w:b/>
                <w:sz w:val="22"/>
                <w:szCs w:val="22"/>
              </w:rPr>
              <w:t xml:space="preserve"> (x2) (adjusted for overhead costs)</w:t>
            </w:r>
            <w:r>
              <w:rPr>
                <w:rStyle w:val="FootnoteReference"/>
                <w:rFonts w:ascii="Arial" w:hAnsi="Arial" w:cs="Arial"/>
                <w:bCs/>
                <w:sz w:val="22"/>
                <w:szCs w:val="22"/>
                <w:vertAlign w:val="superscript"/>
              </w:rPr>
              <w:footnoteReference w:id="2"/>
            </w:r>
          </w:p>
        </w:tc>
        <w:tc>
          <w:tcPr>
            <w:tcW w:w="2160" w:type="dxa"/>
            <w:tcBorders>
              <w:top w:val="single" w:sz="2" w:space="0" w:color="auto"/>
              <w:left w:val="single" w:sz="2" w:space="0" w:color="auto"/>
              <w:bottom w:val="single" w:sz="2" w:space="0" w:color="auto"/>
              <w:right w:val="single" w:sz="2" w:space="0" w:color="auto"/>
            </w:tcBorders>
            <w:vAlign w:val="bottom"/>
          </w:tcPr>
          <w:p w:rsidR="001F6E52" w:rsidRPr="00E55A65" w:rsidP="00E55A65" w14:paraId="19103191" w14:textId="77777777">
            <w:pPr>
              <w:pStyle w:val="BodyText"/>
              <w:widowControl/>
              <w:spacing w:after="0"/>
              <w:jc w:val="center"/>
              <w:rPr>
                <w:rFonts w:ascii="Arial" w:hAnsi="Arial" w:cs="Arial"/>
                <w:sz w:val="22"/>
                <w:szCs w:val="22"/>
                <w:highlight w:val="yellow"/>
              </w:rPr>
            </w:pPr>
          </w:p>
          <w:p w:rsidR="001F6E52" w:rsidRPr="00E55A65" w:rsidP="00E55A65" w14:paraId="1D4A3AC8" w14:textId="67CBF2CF">
            <w:pPr>
              <w:pStyle w:val="BodyText"/>
              <w:widowControl/>
              <w:spacing w:after="0"/>
              <w:jc w:val="center"/>
              <w:rPr>
                <w:rFonts w:ascii="Arial" w:hAnsi="Arial" w:cs="Arial"/>
                <w:b/>
                <w:sz w:val="22"/>
                <w:szCs w:val="22"/>
                <w:highlight w:val="yellow"/>
              </w:rPr>
            </w:pPr>
            <w:r w:rsidRPr="00E55A65">
              <w:rPr>
                <w:rFonts w:ascii="Arial" w:hAnsi="Arial" w:cs="Arial"/>
                <w:b/>
                <w:sz w:val="22"/>
                <w:szCs w:val="22"/>
              </w:rPr>
              <w:t>Total Respondent Costs</w:t>
            </w:r>
          </w:p>
        </w:tc>
      </w:tr>
      <w:tr w14:paraId="40037E06" w14:textId="77777777" w:rsidTr="7D7DC768">
        <w:tblPrEx>
          <w:tblW w:w="7640" w:type="dxa"/>
          <w:tblInd w:w="97"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tcPr>
          <w:p w:rsidR="001F6E52" w:rsidRPr="00E55A65" w:rsidP="00E55A65" w14:paraId="6081B80A" w14:textId="6A1E8B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55A65">
              <w:rPr>
                <w:rFonts w:ascii="Arial" w:hAnsi="Arial" w:cs="Arial"/>
                <w:sz w:val="22"/>
                <w:szCs w:val="22"/>
              </w:rPr>
              <w:t xml:space="preserve">Administrative Assistant  </w:t>
            </w:r>
          </w:p>
        </w:tc>
        <w:tc>
          <w:tcPr>
            <w:tcW w:w="2150" w:type="dxa"/>
            <w:tcBorders>
              <w:top w:val="single" w:sz="2" w:space="0" w:color="auto"/>
              <w:left w:val="single" w:sz="2" w:space="0" w:color="auto"/>
              <w:bottom w:val="single" w:sz="2" w:space="0" w:color="auto"/>
              <w:right w:val="single" w:sz="2" w:space="0" w:color="auto"/>
            </w:tcBorders>
            <w:vAlign w:val="center"/>
          </w:tcPr>
          <w:p w:rsidR="001F6E52" w:rsidRPr="00E55A65" w:rsidP="3CF7988F" w14:paraId="6B7E4A58" w14:textId="593638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lang w:val="fr-FR"/>
              </w:rPr>
            </w:pPr>
            <w:r w:rsidRPr="7D7DC768">
              <w:rPr>
                <w:rFonts w:ascii="Arial" w:hAnsi="Arial" w:cs="Arial"/>
                <w:sz w:val="22"/>
                <w:szCs w:val="22"/>
                <w:lang w:val="fr-FR"/>
              </w:rPr>
              <w:t>435</w:t>
            </w:r>
          </w:p>
        </w:tc>
        <w:tc>
          <w:tcPr>
            <w:tcW w:w="1530" w:type="dxa"/>
            <w:tcBorders>
              <w:top w:val="single" w:sz="2" w:space="0" w:color="auto"/>
              <w:left w:val="single" w:sz="2" w:space="0" w:color="auto"/>
              <w:bottom w:val="single" w:sz="2" w:space="0" w:color="auto"/>
              <w:right w:val="single" w:sz="2" w:space="0" w:color="auto"/>
            </w:tcBorders>
            <w:vAlign w:val="center"/>
          </w:tcPr>
          <w:p w:rsidR="001F6E52" w:rsidRPr="00E55A65" w:rsidP="556751C2" w14:paraId="66F715B1" w14:textId="0DE4C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lang w:val="fr-FR"/>
              </w:rPr>
            </w:pPr>
            <w:r w:rsidRPr="3CF7988F">
              <w:rPr>
                <w:rFonts w:ascii="Arial" w:hAnsi="Arial" w:cs="Arial"/>
                <w:sz w:val="22"/>
                <w:szCs w:val="22"/>
              </w:rPr>
              <w:t>$</w:t>
            </w:r>
            <w:r w:rsidRPr="3CF7988F" w:rsidR="16D61BB8">
              <w:rPr>
                <w:rFonts w:ascii="Arial" w:hAnsi="Arial" w:cs="Arial"/>
                <w:sz w:val="22"/>
                <w:szCs w:val="22"/>
              </w:rPr>
              <w:t>45.64</w:t>
            </w:r>
            <w:r w:rsidRPr="3CF7988F">
              <w:rPr>
                <w:rFonts w:ascii="Arial" w:hAnsi="Arial" w:cs="Arial"/>
                <w:sz w:val="22"/>
                <w:szCs w:val="22"/>
              </w:rPr>
              <w:t>hr</w:t>
            </w:r>
            <w:r w:rsidRPr="3CF7988F">
              <w:rPr>
                <w:rFonts w:ascii="Arial" w:hAnsi="Arial" w:cs="Arial"/>
                <w:sz w:val="22"/>
                <w:szCs w:val="22"/>
                <w:lang w:val="fr-FR"/>
              </w:rPr>
              <w:t xml:space="preserve"> </w:t>
            </w:r>
          </w:p>
        </w:tc>
        <w:tc>
          <w:tcPr>
            <w:tcW w:w="2160" w:type="dxa"/>
            <w:tcBorders>
              <w:top w:val="single" w:sz="2" w:space="0" w:color="auto"/>
              <w:left w:val="single" w:sz="2" w:space="0" w:color="auto"/>
              <w:bottom w:val="single" w:sz="2" w:space="0" w:color="auto"/>
              <w:right w:val="single" w:sz="2" w:space="0" w:color="auto"/>
            </w:tcBorders>
            <w:vAlign w:val="center"/>
          </w:tcPr>
          <w:p w:rsidR="001F6E52" w:rsidRPr="00E55A65" w:rsidP="3CF7988F" w14:paraId="30080DBB" w14:textId="197C9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lang w:val="fr-FR"/>
              </w:rPr>
            </w:pPr>
            <w:r w:rsidRPr="7D7DC768">
              <w:rPr>
                <w:rFonts w:ascii="Arial" w:hAnsi="Arial" w:cs="Arial"/>
                <w:sz w:val="22"/>
                <w:szCs w:val="22"/>
                <w:lang w:val="fr-FR"/>
              </w:rPr>
              <w:t>$</w:t>
            </w:r>
            <w:r w:rsidRPr="7D7DC768" w:rsidR="2C60C3A0">
              <w:rPr>
                <w:rFonts w:ascii="Arial" w:hAnsi="Arial" w:cs="Arial"/>
                <w:sz w:val="22"/>
                <w:szCs w:val="22"/>
                <w:lang w:val="fr-FR"/>
              </w:rPr>
              <w:t>1</w:t>
            </w:r>
            <w:r w:rsidRPr="7D7DC768" w:rsidR="21AF1586">
              <w:rPr>
                <w:rFonts w:ascii="Arial" w:hAnsi="Arial" w:cs="Arial"/>
                <w:sz w:val="22"/>
                <w:szCs w:val="22"/>
                <w:lang w:val="fr-FR"/>
              </w:rPr>
              <w:t>9</w:t>
            </w:r>
            <w:r w:rsidRPr="7D7DC768" w:rsidR="2C60C3A0">
              <w:rPr>
                <w:rFonts w:ascii="Arial" w:hAnsi="Arial" w:cs="Arial"/>
                <w:sz w:val="22"/>
                <w:szCs w:val="22"/>
                <w:lang w:val="fr-FR"/>
              </w:rPr>
              <w:t>,8</w:t>
            </w:r>
            <w:r w:rsidRPr="7D7DC768" w:rsidR="70BC65E3">
              <w:rPr>
                <w:rFonts w:ascii="Arial" w:hAnsi="Arial" w:cs="Arial"/>
                <w:sz w:val="22"/>
                <w:szCs w:val="22"/>
                <w:lang w:val="fr-FR"/>
              </w:rPr>
              <w:t>53</w:t>
            </w:r>
            <w:r w:rsidRPr="7D7DC768" w:rsidR="2C60C3A0">
              <w:rPr>
                <w:rFonts w:ascii="Arial" w:hAnsi="Arial" w:cs="Arial"/>
                <w:sz w:val="22"/>
                <w:szCs w:val="22"/>
                <w:lang w:val="fr-FR"/>
              </w:rPr>
              <w:t>.</w:t>
            </w:r>
            <w:r w:rsidRPr="7D7DC768" w:rsidR="3F901236">
              <w:rPr>
                <w:rFonts w:ascii="Arial" w:hAnsi="Arial" w:cs="Arial"/>
                <w:sz w:val="22"/>
                <w:szCs w:val="22"/>
                <w:lang w:val="fr-FR"/>
              </w:rPr>
              <w:t>40</w:t>
            </w:r>
          </w:p>
        </w:tc>
      </w:tr>
      <w:tr w14:paraId="6ADA7EDC" w14:textId="77777777" w:rsidTr="7D7DC768">
        <w:tblPrEx>
          <w:tblW w:w="7640" w:type="dxa"/>
          <w:tblInd w:w="97" w:type="dxa"/>
          <w:tblLayout w:type="fixed"/>
          <w:tblCellMar>
            <w:left w:w="97" w:type="dxa"/>
            <w:right w:w="97" w:type="dxa"/>
          </w:tblCellMar>
          <w:tblLook w:val="0000"/>
        </w:tblPrEx>
        <w:tc>
          <w:tcPr>
            <w:tcW w:w="1800" w:type="dxa"/>
            <w:tcBorders>
              <w:top w:val="single" w:sz="2" w:space="0" w:color="auto"/>
              <w:left w:val="single" w:sz="2" w:space="0" w:color="auto"/>
              <w:bottom w:val="single" w:sz="2" w:space="0" w:color="auto"/>
              <w:right w:val="single" w:sz="2" w:space="0" w:color="auto"/>
            </w:tcBorders>
          </w:tcPr>
          <w:p w:rsidR="001F6E52" w:rsidRPr="00E55A65" w:rsidP="00E55A65" w14:paraId="610683C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lang w:val="fr-FR"/>
              </w:rPr>
            </w:pPr>
            <w:r w:rsidRPr="00E55A65">
              <w:rPr>
                <w:rFonts w:ascii="Arial" w:hAnsi="Arial" w:cs="Arial"/>
                <w:sz w:val="22"/>
                <w:szCs w:val="22"/>
                <w:lang w:val="fr-FR"/>
              </w:rPr>
              <w:t>Total</w:t>
            </w:r>
          </w:p>
        </w:tc>
        <w:tc>
          <w:tcPr>
            <w:tcW w:w="2150" w:type="dxa"/>
            <w:tcBorders>
              <w:top w:val="single" w:sz="2" w:space="0" w:color="auto"/>
              <w:left w:val="single" w:sz="2" w:space="0" w:color="auto"/>
              <w:bottom w:val="single" w:sz="2" w:space="0" w:color="auto"/>
              <w:right w:val="single" w:sz="2" w:space="0" w:color="auto"/>
            </w:tcBorders>
            <w:vAlign w:val="center"/>
          </w:tcPr>
          <w:p w:rsidR="001F6E52" w:rsidRPr="00E55A65" w:rsidP="3CF7988F" w14:paraId="51FA035E" w14:textId="719BCA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lang w:val="fr-FR"/>
              </w:rPr>
            </w:pPr>
            <w:r w:rsidRPr="7D7DC768">
              <w:rPr>
                <w:rFonts w:ascii="Arial" w:hAnsi="Arial" w:cs="Arial"/>
                <w:sz w:val="22"/>
                <w:szCs w:val="22"/>
                <w:lang w:val="fr-FR"/>
              </w:rPr>
              <w:t>435</w:t>
            </w:r>
          </w:p>
        </w:tc>
        <w:tc>
          <w:tcPr>
            <w:tcW w:w="1530" w:type="dxa"/>
            <w:tcBorders>
              <w:top w:val="single" w:sz="2" w:space="0" w:color="auto"/>
              <w:left w:val="single" w:sz="2" w:space="0" w:color="auto"/>
              <w:bottom w:val="single" w:sz="2" w:space="0" w:color="auto"/>
              <w:right w:val="single" w:sz="2" w:space="0" w:color="auto"/>
            </w:tcBorders>
            <w:vAlign w:val="center"/>
          </w:tcPr>
          <w:p w:rsidR="001F6E52" w:rsidRPr="00E55A65" w:rsidP="00E55A65" w14:paraId="7F600F1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lang w:val="fr-FR"/>
              </w:rPr>
            </w:pPr>
          </w:p>
        </w:tc>
        <w:tc>
          <w:tcPr>
            <w:tcW w:w="2160" w:type="dxa"/>
            <w:tcBorders>
              <w:top w:val="single" w:sz="2" w:space="0" w:color="auto"/>
              <w:left w:val="single" w:sz="2" w:space="0" w:color="auto"/>
              <w:bottom w:val="single" w:sz="2" w:space="0" w:color="auto"/>
              <w:right w:val="single" w:sz="2" w:space="0" w:color="auto"/>
            </w:tcBorders>
            <w:vAlign w:val="center"/>
          </w:tcPr>
          <w:p w:rsidR="001F6E52" w:rsidRPr="00E55A65" w:rsidP="3CF7988F" w14:paraId="232F5B9E" w14:textId="47CB3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2"/>
                <w:szCs w:val="22"/>
                <w:lang w:val="fr-FR"/>
              </w:rPr>
            </w:pPr>
            <w:r w:rsidRPr="7D7DC768">
              <w:rPr>
                <w:rFonts w:ascii="Arial" w:hAnsi="Arial" w:cs="Arial"/>
                <w:sz w:val="22"/>
                <w:szCs w:val="22"/>
                <w:lang w:val="fr-FR"/>
              </w:rPr>
              <w:t>$</w:t>
            </w:r>
            <w:r w:rsidRPr="7D7DC768" w:rsidR="2C60C3A0">
              <w:rPr>
                <w:rFonts w:ascii="Arial" w:hAnsi="Arial" w:cs="Arial"/>
                <w:sz w:val="22"/>
                <w:szCs w:val="22"/>
                <w:lang w:val="fr-FR"/>
              </w:rPr>
              <w:t>1</w:t>
            </w:r>
            <w:r w:rsidRPr="7D7DC768" w:rsidR="07CB9148">
              <w:rPr>
                <w:rFonts w:ascii="Arial" w:hAnsi="Arial" w:cs="Arial"/>
                <w:sz w:val="22"/>
                <w:szCs w:val="22"/>
                <w:lang w:val="fr-FR"/>
              </w:rPr>
              <w:t>9</w:t>
            </w:r>
            <w:r w:rsidRPr="7D7DC768" w:rsidR="2C60C3A0">
              <w:rPr>
                <w:rFonts w:ascii="Arial" w:hAnsi="Arial" w:cs="Arial"/>
                <w:sz w:val="22"/>
                <w:szCs w:val="22"/>
                <w:lang w:val="fr-FR"/>
              </w:rPr>
              <w:t>,8</w:t>
            </w:r>
            <w:r w:rsidRPr="7D7DC768" w:rsidR="7D3374C7">
              <w:rPr>
                <w:rFonts w:ascii="Arial" w:hAnsi="Arial" w:cs="Arial"/>
                <w:sz w:val="22"/>
                <w:szCs w:val="22"/>
                <w:lang w:val="fr-FR"/>
              </w:rPr>
              <w:t>53</w:t>
            </w:r>
            <w:r w:rsidRPr="7D7DC768" w:rsidR="2C60C3A0">
              <w:rPr>
                <w:rFonts w:ascii="Arial" w:hAnsi="Arial" w:cs="Arial"/>
                <w:sz w:val="22"/>
                <w:szCs w:val="22"/>
                <w:lang w:val="fr-FR"/>
              </w:rPr>
              <w:t>.</w:t>
            </w:r>
            <w:r w:rsidRPr="7D7DC768" w:rsidR="4BE92310">
              <w:rPr>
                <w:rFonts w:ascii="Arial" w:hAnsi="Arial" w:cs="Arial"/>
                <w:sz w:val="22"/>
                <w:szCs w:val="22"/>
                <w:lang w:val="fr-FR"/>
              </w:rPr>
              <w:t>40</w:t>
            </w:r>
          </w:p>
        </w:tc>
      </w:tr>
    </w:tbl>
    <w:p w:rsidR="00E55A65" w:rsidP="00E55A65" w14:paraId="32D22A52" w14:textId="77777777">
      <w:pPr>
        <w:widowControl/>
        <w:rPr>
          <w:rFonts w:ascii="Arial" w:eastAsia="Calibri" w:hAnsi="Arial" w:cs="Arial"/>
          <w:sz w:val="24"/>
        </w:rPr>
      </w:pPr>
    </w:p>
    <w:p w:rsidR="00A54D08" w:rsidP="00E55A65" w14:paraId="7F323E45" w14:textId="77777777">
      <w:pPr>
        <w:widowControl/>
        <w:rPr>
          <w:rFonts w:ascii="Arial" w:eastAsia="Calibri" w:hAnsi="Arial" w:cs="Arial"/>
          <w:sz w:val="24"/>
        </w:rPr>
      </w:pPr>
    </w:p>
    <w:p w:rsidR="009B3794" w:rsidRPr="00C45431" w:rsidP="00E55A65" w14:paraId="12DBC14A" w14:textId="58443093">
      <w:pPr>
        <w:numPr>
          <w:ilvl w:val="0"/>
          <w:numId w:val="2"/>
        </w:numPr>
        <w:tabs>
          <w:tab w:val="num" w:pos="360"/>
          <w:tab w:val="clear" w:pos="1080"/>
        </w:tabs>
        <w:ind w:left="360"/>
        <w:rPr>
          <w:rFonts w:ascii="Arial" w:hAnsi="Arial" w:cs="Arial"/>
          <w:b/>
          <w:sz w:val="24"/>
        </w:rPr>
      </w:pPr>
      <w:r w:rsidRPr="00C45431">
        <w:rPr>
          <w:rFonts w:ascii="Arial" w:hAnsi="Arial" w:cs="Arial"/>
          <w:b/>
          <w:sz w:val="24"/>
          <w:u w:val="single"/>
        </w:rPr>
        <w:t>Estimates of other Total Annual Cost Burden to Respondents or Recordkeepers/Capital Costs</w:t>
      </w:r>
    </w:p>
    <w:p w:rsidR="00E55A65" w:rsidP="00E55A65" w14:paraId="719869A8" w14:textId="77777777">
      <w:pPr>
        <w:pStyle w:val="BodyTextIndent"/>
        <w:ind w:left="0"/>
        <w:rPr>
          <w:rFonts w:ascii="Arial" w:hAnsi="Arial" w:cs="Arial"/>
        </w:rPr>
      </w:pPr>
    </w:p>
    <w:p w:rsidR="008F0387" w:rsidP="00E55A65" w14:paraId="4DE61968" w14:textId="59E6F2EE">
      <w:pPr>
        <w:pStyle w:val="BodyTextIndent"/>
        <w:ind w:left="0"/>
        <w:rPr>
          <w:rFonts w:ascii="Arial" w:hAnsi="Arial" w:cs="Arial"/>
        </w:rPr>
      </w:pPr>
      <w:r w:rsidRPr="00AE7D2D">
        <w:rPr>
          <w:rFonts w:ascii="Arial" w:hAnsi="Arial" w:cs="Arial"/>
        </w:rPr>
        <w:t>Other than their time, there is no cost to respondents</w:t>
      </w:r>
      <w:r w:rsidR="00C9640A">
        <w:rPr>
          <w:rFonts w:ascii="Arial" w:hAnsi="Arial" w:cs="Arial"/>
        </w:rPr>
        <w:t>.</w:t>
      </w:r>
    </w:p>
    <w:p w:rsidR="00E55A65" w:rsidRPr="00AE7D2D" w:rsidP="00E55A65" w14:paraId="0C0289F4" w14:textId="77777777">
      <w:pPr>
        <w:pStyle w:val="BodyTextIndent"/>
        <w:ind w:left="0"/>
        <w:rPr>
          <w:rFonts w:ascii="Arial" w:hAnsi="Arial" w:cs="Arial"/>
        </w:rPr>
      </w:pPr>
    </w:p>
    <w:p w:rsidR="009B3794" w:rsidRPr="00C45431" w:rsidP="3CF7988F" w14:paraId="12DBC14E" w14:textId="0A79E78D">
      <w:pPr>
        <w:numPr>
          <w:ilvl w:val="0"/>
          <w:numId w:val="2"/>
        </w:numPr>
        <w:tabs>
          <w:tab w:val="num" w:pos="360"/>
          <w:tab w:val="clear" w:pos="1080"/>
        </w:tabs>
        <w:ind w:left="360"/>
        <w:rPr>
          <w:rFonts w:ascii="Arial" w:hAnsi="Arial" w:cs="Arial"/>
          <w:b/>
          <w:bCs/>
          <w:sz w:val="24"/>
        </w:rPr>
      </w:pPr>
      <w:r w:rsidRPr="3CF7988F">
        <w:rPr>
          <w:rFonts w:ascii="Arial" w:hAnsi="Arial" w:cs="Arial"/>
          <w:b/>
          <w:bCs/>
          <w:sz w:val="24"/>
          <w:u w:val="single"/>
        </w:rPr>
        <w:t>Annualized Cost to Federal Government</w:t>
      </w:r>
    </w:p>
    <w:p w:rsidR="00E55A65" w:rsidP="00E55A65" w14:paraId="6426720B" w14:textId="77777777">
      <w:pPr>
        <w:rPr>
          <w:rFonts w:ascii="Arial" w:hAnsi="Arial" w:cs="Arial"/>
          <w:sz w:val="24"/>
        </w:rPr>
      </w:pPr>
    </w:p>
    <w:p w:rsidR="008F0387" w:rsidP="003C707A" w14:paraId="57148826" w14:textId="02168105">
      <w:pPr>
        <w:spacing w:line="259" w:lineRule="auto"/>
        <w:rPr>
          <w:rFonts w:ascii="Arial" w:hAnsi="Arial" w:cs="Arial"/>
          <w:sz w:val="24"/>
        </w:rPr>
      </w:pPr>
      <w:r w:rsidRPr="3CF7988F">
        <w:rPr>
          <w:rFonts w:ascii="Arial" w:hAnsi="Arial" w:cs="Arial"/>
          <w:sz w:val="24"/>
        </w:rPr>
        <w:t xml:space="preserve">An estimated 0.1 FTE at the GS 12 Step </w:t>
      </w:r>
      <w:r w:rsidRPr="3CF7988F" w:rsidR="005D6637">
        <w:rPr>
          <w:rFonts w:ascii="Arial" w:hAnsi="Arial" w:cs="Arial"/>
          <w:sz w:val="24"/>
        </w:rPr>
        <w:t xml:space="preserve">level </w:t>
      </w:r>
      <w:r w:rsidRPr="3CF7988F">
        <w:rPr>
          <w:rFonts w:ascii="Arial" w:hAnsi="Arial" w:cs="Arial"/>
          <w:sz w:val="24"/>
        </w:rPr>
        <w:t>3</w:t>
      </w:r>
      <w:r w:rsidRPr="3CF7988F" w:rsidR="005D6637">
        <w:rPr>
          <w:rFonts w:ascii="Arial" w:hAnsi="Arial" w:cs="Arial"/>
          <w:sz w:val="24"/>
        </w:rPr>
        <w:t xml:space="preserve"> is needed to</w:t>
      </w:r>
      <w:r w:rsidRPr="3CF7988F">
        <w:rPr>
          <w:rFonts w:ascii="Arial" w:hAnsi="Arial" w:cs="Arial"/>
          <w:sz w:val="24"/>
        </w:rPr>
        <w:t xml:space="preserve"> serve as the coordinator for data evaluation</w:t>
      </w:r>
      <w:r w:rsidR="00EC5DA3">
        <w:rPr>
          <w:rFonts w:ascii="Arial" w:hAnsi="Arial" w:cs="Arial"/>
          <w:sz w:val="24"/>
        </w:rPr>
        <w:t xml:space="preserve">. </w:t>
      </w:r>
      <w:r w:rsidRPr="3CF7988F" w:rsidR="005D6637">
        <w:rPr>
          <w:rFonts w:ascii="Arial" w:hAnsi="Arial" w:cs="Arial"/>
          <w:sz w:val="24"/>
        </w:rPr>
        <w:t xml:space="preserve">As coordinator, the Federal employee will </w:t>
      </w:r>
      <w:r w:rsidRPr="3CF7988F">
        <w:rPr>
          <w:rFonts w:ascii="Arial" w:hAnsi="Arial" w:cs="Arial"/>
          <w:sz w:val="24"/>
        </w:rPr>
        <w:t xml:space="preserve">provide </w:t>
      </w:r>
      <w:r w:rsidRPr="3CF7988F" w:rsidR="005D6637">
        <w:rPr>
          <w:rFonts w:ascii="Arial" w:hAnsi="Arial" w:cs="Arial"/>
          <w:sz w:val="24"/>
        </w:rPr>
        <w:t>technical assistance to awardees</w:t>
      </w:r>
      <w:r w:rsidRPr="3CF7988F">
        <w:rPr>
          <w:rFonts w:ascii="Arial" w:hAnsi="Arial" w:cs="Arial"/>
          <w:sz w:val="24"/>
        </w:rPr>
        <w:t xml:space="preserve"> regarding the data collection process and subsequent evaluation at an estimated cost of $</w:t>
      </w:r>
      <w:r w:rsidRPr="3CF7988F" w:rsidR="02A2EDC5">
        <w:rPr>
          <w:rFonts w:ascii="Arial" w:hAnsi="Arial" w:cs="Arial"/>
          <w:sz w:val="24"/>
        </w:rPr>
        <w:t>16,2</w:t>
      </w:r>
      <w:r w:rsidR="00F26BD4">
        <w:rPr>
          <w:rFonts w:ascii="Arial" w:hAnsi="Arial" w:cs="Arial"/>
          <w:sz w:val="24"/>
        </w:rPr>
        <w:t>43</w:t>
      </w:r>
      <w:r w:rsidRPr="3CF7988F">
        <w:rPr>
          <w:rFonts w:ascii="Arial" w:hAnsi="Arial" w:cs="Arial"/>
          <w:sz w:val="24"/>
        </w:rPr>
        <w:t xml:space="preserve"> annually</w:t>
      </w:r>
      <w:r w:rsidR="00EC5DA3">
        <w:rPr>
          <w:rFonts w:ascii="Arial" w:hAnsi="Arial" w:cs="Arial"/>
          <w:sz w:val="24"/>
        </w:rPr>
        <w:t xml:space="preserve">. </w:t>
      </w:r>
      <w:r w:rsidRPr="3CF7988F">
        <w:rPr>
          <w:rFonts w:ascii="Arial" w:hAnsi="Arial" w:cs="Arial"/>
          <w:sz w:val="24"/>
        </w:rPr>
        <w:t>Using</w:t>
      </w:r>
      <w:r w:rsidRPr="3CF7988F" w:rsidR="005E03FF">
        <w:rPr>
          <w:rFonts w:ascii="Arial" w:hAnsi="Arial" w:cs="Arial"/>
          <w:sz w:val="24"/>
        </w:rPr>
        <w:t xml:space="preserve"> 20</w:t>
      </w:r>
      <w:r w:rsidRPr="3CF7988F" w:rsidR="00CE70F1">
        <w:rPr>
          <w:rFonts w:ascii="Arial" w:hAnsi="Arial" w:cs="Arial"/>
          <w:sz w:val="24"/>
        </w:rPr>
        <w:t>2</w:t>
      </w:r>
      <w:r w:rsidRPr="3CF7988F" w:rsidR="0B13290D">
        <w:rPr>
          <w:rFonts w:ascii="Arial" w:hAnsi="Arial" w:cs="Arial"/>
          <w:sz w:val="24"/>
        </w:rPr>
        <w:t>5</w:t>
      </w:r>
      <w:r w:rsidRPr="3CF7988F">
        <w:rPr>
          <w:rFonts w:ascii="Arial" w:hAnsi="Arial" w:cs="Arial"/>
          <w:sz w:val="24"/>
        </w:rPr>
        <w:t xml:space="preserve"> as a base year, the annual salary of a GS 12 Step </w:t>
      </w:r>
      <w:r w:rsidRPr="3CF7988F" w:rsidR="005D6637">
        <w:rPr>
          <w:rFonts w:ascii="Arial" w:hAnsi="Arial" w:cs="Arial"/>
          <w:sz w:val="24"/>
        </w:rPr>
        <w:t>3 is $</w:t>
      </w:r>
      <w:r w:rsidRPr="3CF7988F" w:rsidR="7EC7AD29">
        <w:rPr>
          <w:rFonts w:ascii="Arial" w:hAnsi="Arial" w:cs="Arial"/>
          <w:sz w:val="24"/>
        </w:rPr>
        <w:t>162,243</w:t>
      </w:r>
      <w:r w:rsidRPr="3CF7988F" w:rsidR="00E10657">
        <w:rPr>
          <w:rFonts w:ascii="Arial" w:hAnsi="Arial" w:cs="Arial"/>
          <w:sz w:val="24"/>
        </w:rPr>
        <w:t>.</w:t>
      </w:r>
      <w:r>
        <w:rPr>
          <w:rStyle w:val="FootnoteReference"/>
          <w:rFonts w:ascii="Arial" w:hAnsi="Arial" w:cs="Arial"/>
          <w:sz w:val="24"/>
          <w:vertAlign w:val="superscript"/>
        </w:rPr>
        <w:footnoteReference w:id="3"/>
      </w:r>
      <w:r w:rsidRPr="3CF7988F" w:rsidR="004B5D3E">
        <w:rPr>
          <w:rFonts w:ascii="Arial" w:hAnsi="Arial" w:cs="Arial"/>
          <w:sz w:val="24"/>
        </w:rPr>
        <w:t xml:space="preserve"> </w:t>
      </w:r>
    </w:p>
    <w:p w:rsidR="00ED2E29" w:rsidP="00E55A65" w14:paraId="06BF2F68" w14:textId="52D0071D">
      <w:pPr>
        <w:rPr>
          <w:rFonts w:ascii="Arial" w:hAnsi="Arial" w:cs="Arial"/>
          <w:sz w:val="24"/>
        </w:rPr>
      </w:pPr>
    </w:p>
    <w:p w:rsidR="009B3794" w:rsidRPr="00E55A65" w:rsidP="00E55A65" w14:paraId="12DBC151" w14:textId="59F10881">
      <w:pPr>
        <w:numPr>
          <w:ilvl w:val="0"/>
          <w:numId w:val="2"/>
        </w:numPr>
        <w:tabs>
          <w:tab w:val="num" w:pos="360"/>
          <w:tab w:val="clear" w:pos="1080"/>
        </w:tabs>
        <w:ind w:left="360"/>
        <w:rPr>
          <w:rFonts w:ascii="Arial" w:hAnsi="Arial" w:cs="Arial"/>
          <w:b/>
          <w:sz w:val="24"/>
        </w:rPr>
      </w:pPr>
      <w:r w:rsidRPr="00C45431">
        <w:rPr>
          <w:rFonts w:ascii="Arial" w:hAnsi="Arial" w:cs="Arial"/>
          <w:b/>
          <w:sz w:val="24"/>
          <w:u w:val="single"/>
        </w:rPr>
        <w:t>Explanation for Program Changes or Adjustments</w:t>
      </w:r>
    </w:p>
    <w:p w:rsidR="00E55A65" w:rsidRPr="00C45431" w:rsidP="00E55A65" w14:paraId="0EE029D0" w14:textId="77777777">
      <w:pPr>
        <w:ind w:left="360"/>
        <w:rPr>
          <w:rFonts w:ascii="Arial" w:hAnsi="Arial" w:cs="Arial"/>
          <w:b/>
          <w:sz w:val="24"/>
        </w:rPr>
      </w:pPr>
    </w:p>
    <w:p w:rsidR="00E55A65" w:rsidP="00E55A65" w14:paraId="760B1CB5" w14:textId="012ED546">
      <w:pPr>
        <w:pStyle w:val="BodyTextIndent"/>
        <w:ind w:left="0"/>
        <w:rPr>
          <w:rFonts w:ascii="Arial" w:hAnsi="Arial" w:cs="Arial"/>
        </w:rPr>
      </w:pPr>
      <w:r w:rsidRPr="0FDABBAF">
        <w:rPr>
          <w:rFonts w:ascii="Arial" w:hAnsi="Arial" w:cs="Arial"/>
        </w:rPr>
        <w:t xml:space="preserve">There is a </w:t>
      </w:r>
      <w:r w:rsidRPr="0FDABBAF" w:rsidR="00E23727">
        <w:rPr>
          <w:rFonts w:ascii="Arial" w:hAnsi="Arial" w:cs="Arial"/>
        </w:rPr>
        <w:t xml:space="preserve">269 </w:t>
      </w:r>
      <w:r w:rsidRPr="0FDABBAF">
        <w:rPr>
          <w:rFonts w:ascii="Arial" w:hAnsi="Arial" w:cs="Arial"/>
        </w:rPr>
        <w:t xml:space="preserve">hour </w:t>
      </w:r>
      <w:r w:rsidRPr="0FDABBAF" w:rsidR="005E519E">
        <w:rPr>
          <w:rFonts w:ascii="Arial" w:hAnsi="Arial" w:cs="Arial"/>
        </w:rPr>
        <w:t xml:space="preserve">increase </w:t>
      </w:r>
      <w:r w:rsidRPr="0FDABBAF">
        <w:rPr>
          <w:rFonts w:ascii="Arial" w:hAnsi="Arial" w:cs="Arial"/>
        </w:rPr>
        <w:t xml:space="preserve">in the total burden </w:t>
      </w:r>
      <w:r w:rsidRPr="0FDABBAF" w:rsidR="005E519E">
        <w:rPr>
          <w:rFonts w:ascii="Arial" w:hAnsi="Arial" w:cs="Arial"/>
        </w:rPr>
        <w:t xml:space="preserve">hours </w:t>
      </w:r>
      <w:r w:rsidRPr="0FDABBAF">
        <w:rPr>
          <w:rFonts w:ascii="Arial" w:hAnsi="Arial" w:cs="Arial"/>
        </w:rPr>
        <w:t>estimate</w:t>
      </w:r>
      <w:r w:rsidRPr="0FDABBAF" w:rsidR="00E23727">
        <w:rPr>
          <w:rFonts w:ascii="Arial" w:hAnsi="Arial" w:cs="Arial"/>
        </w:rPr>
        <w:t xml:space="preserve"> from the previous information collection request</w:t>
      </w:r>
      <w:r w:rsidRPr="0FDABBAF">
        <w:rPr>
          <w:rFonts w:ascii="Arial" w:hAnsi="Arial" w:cs="Arial"/>
        </w:rPr>
        <w:t xml:space="preserve"> due to a</w:t>
      </w:r>
      <w:r w:rsidRPr="0FDABBAF" w:rsidR="005E519E">
        <w:rPr>
          <w:rFonts w:ascii="Arial" w:hAnsi="Arial" w:cs="Arial"/>
        </w:rPr>
        <w:t>n</w:t>
      </w:r>
      <w:r w:rsidRPr="0FDABBAF">
        <w:rPr>
          <w:rFonts w:ascii="Arial" w:hAnsi="Arial" w:cs="Arial"/>
        </w:rPr>
        <w:t xml:space="preserve"> </w:t>
      </w:r>
      <w:r w:rsidRPr="0FDABBAF" w:rsidR="005E519E">
        <w:rPr>
          <w:rFonts w:ascii="Arial" w:hAnsi="Arial" w:cs="Arial"/>
        </w:rPr>
        <w:t xml:space="preserve">increase </w:t>
      </w:r>
      <w:r w:rsidRPr="0FDABBAF">
        <w:rPr>
          <w:rFonts w:ascii="Arial" w:hAnsi="Arial" w:cs="Arial"/>
        </w:rPr>
        <w:t>in the number of respondents</w:t>
      </w:r>
      <w:r w:rsidRPr="0FDABBAF" w:rsidR="00E606E8">
        <w:rPr>
          <w:rFonts w:ascii="Arial" w:hAnsi="Arial" w:cs="Arial"/>
        </w:rPr>
        <w:t xml:space="preserve"> as well as the average burden per response</w:t>
      </w:r>
      <w:r w:rsidRPr="0FDABBAF" w:rsidR="00EC5DA3">
        <w:rPr>
          <w:rFonts w:ascii="Arial" w:hAnsi="Arial" w:cs="Arial"/>
        </w:rPr>
        <w:t xml:space="preserve">. </w:t>
      </w:r>
    </w:p>
    <w:p w:rsidR="00ED2E29" w:rsidRPr="005F573B" w:rsidP="00E55A65" w14:paraId="41AD02A7" w14:textId="77777777">
      <w:pPr>
        <w:pStyle w:val="BodyTextIndent"/>
        <w:ind w:left="0"/>
        <w:rPr>
          <w:rFonts w:ascii="Arial" w:hAnsi="Arial" w:cs="Arial"/>
        </w:rPr>
      </w:pPr>
    </w:p>
    <w:p w:rsidR="009B3794" w:rsidRPr="00C45431" w:rsidP="00E55A65" w14:paraId="12DBC159" w14:textId="657B644F">
      <w:pPr>
        <w:numPr>
          <w:ilvl w:val="0"/>
          <w:numId w:val="2"/>
        </w:numPr>
        <w:tabs>
          <w:tab w:val="num" w:pos="360"/>
          <w:tab w:val="clear" w:pos="1080"/>
        </w:tabs>
        <w:ind w:left="360"/>
        <w:rPr>
          <w:rFonts w:ascii="Arial" w:hAnsi="Arial" w:cs="Arial"/>
          <w:b/>
          <w:sz w:val="24"/>
        </w:rPr>
      </w:pPr>
      <w:r w:rsidRPr="00C45431">
        <w:rPr>
          <w:rFonts w:ascii="Arial" w:hAnsi="Arial" w:cs="Arial"/>
          <w:b/>
          <w:sz w:val="24"/>
          <w:u w:val="single"/>
        </w:rPr>
        <w:t>Plans for Tabulation</w:t>
      </w:r>
      <w:r w:rsidRPr="00C45431" w:rsidR="002118B4">
        <w:rPr>
          <w:rFonts w:ascii="Arial" w:hAnsi="Arial" w:cs="Arial"/>
          <w:b/>
          <w:sz w:val="24"/>
          <w:u w:val="single"/>
        </w:rPr>
        <w:t xml:space="preserve">, </w:t>
      </w:r>
      <w:r w:rsidRPr="00C45431">
        <w:rPr>
          <w:rFonts w:ascii="Arial" w:hAnsi="Arial" w:cs="Arial"/>
          <w:b/>
          <w:sz w:val="24"/>
          <w:u w:val="single"/>
        </w:rPr>
        <w:t>Publication</w:t>
      </w:r>
      <w:r w:rsidRPr="00C45431" w:rsidR="002118B4">
        <w:rPr>
          <w:rFonts w:ascii="Arial" w:hAnsi="Arial" w:cs="Arial"/>
          <w:b/>
          <w:sz w:val="24"/>
          <w:u w:val="single"/>
        </w:rPr>
        <w:t>,</w:t>
      </w:r>
      <w:r w:rsidRPr="00C45431">
        <w:rPr>
          <w:rFonts w:ascii="Arial" w:hAnsi="Arial" w:cs="Arial"/>
          <w:b/>
          <w:sz w:val="24"/>
          <w:u w:val="single"/>
        </w:rPr>
        <w:t xml:space="preserve"> and Project Time Schedule</w:t>
      </w:r>
    </w:p>
    <w:p w:rsidR="00E55A65" w:rsidP="00E55A65" w14:paraId="5E14B617" w14:textId="77777777">
      <w:pPr>
        <w:rPr>
          <w:rFonts w:ascii="Arial" w:hAnsi="Arial" w:cs="Arial"/>
          <w:sz w:val="24"/>
        </w:rPr>
      </w:pPr>
    </w:p>
    <w:p w:rsidR="3B611953" w:rsidP="0FDABBAF" w14:paraId="49B73CE7" w14:textId="2169E15A">
      <w:pPr>
        <w:rPr>
          <w:rFonts w:ascii="Arial" w:hAnsi="Arial" w:cs="Arial"/>
          <w:sz w:val="24"/>
        </w:rPr>
      </w:pPr>
      <w:r w:rsidRPr="0FDABBAF">
        <w:rPr>
          <w:rFonts w:ascii="Arial" w:hAnsi="Arial" w:cs="Arial"/>
          <w:sz w:val="24"/>
        </w:rPr>
        <w:t>HRSA currently publishes aggregate THCGME Program reconciliation tool data to demonstrate performance highlights and accomplishments, to meet the GPRA reporting requirements, inform Congressional Budget Justifications, and respond to Freedom of Information Act requests and inquiries from OMB and Congress. Additional publication of information and data are not currently planned, however HRSA may want to publish additional aggregate highlights from our THCGME health centers in the future. Data will also be analyzed for internal administrative purposes and for tracking the performance indicators.</w:t>
      </w:r>
    </w:p>
    <w:p w:rsidR="00E55A65" w:rsidRPr="00AE7D2D" w:rsidP="00E55A65" w14:paraId="56E88AE1" w14:textId="77777777">
      <w:pPr>
        <w:rPr>
          <w:rFonts w:ascii="Arial" w:hAnsi="Arial" w:cs="Arial"/>
          <w:sz w:val="24"/>
        </w:rPr>
      </w:pPr>
    </w:p>
    <w:p w:rsidR="009B3794" w:rsidRPr="00C45431" w:rsidP="00E55A65" w14:paraId="12DBC15C" w14:textId="52B78523">
      <w:pPr>
        <w:numPr>
          <w:ilvl w:val="0"/>
          <w:numId w:val="2"/>
        </w:numPr>
        <w:tabs>
          <w:tab w:val="num" w:pos="360"/>
          <w:tab w:val="clear" w:pos="1080"/>
        </w:tabs>
        <w:ind w:left="360"/>
        <w:rPr>
          <w:rFonts w:ascii="Arial" w:hAnsi="Arial" w:cs="Arial"/>
          <w:b/>
          <w:sz w:val="24"/>
        </w:rPr>
      </w:pPr>
      <w:r w:rsidRPr="00C45431">
        <w:rPr>
          <w:rFonts w:ascii="Arial" w:hAnsi="Arial" w:cs="Arial"/>
          <w:b/>
          <w:sz w:val="24"/>
          <w:u w:val="single"/>
        </w:rPr>
        <w:t>Reason(s) Display of OMB Expiration Date is Inappropriate</w:t>
      </w:r>
    </w:p>
    <w:p w:rsidR="00E55A65" w:rsidP="00E55A65" w14:paraId="57ED1199" w14:textId="77777777">
      <w:pPr>
        <w:pStyle w:val="BodyTextIndent"/>
        <w:ind w:left="0"/>
        <w:rPr>
          <w:rFonts w:ascii="Arial" w:hAnsi="Arial" w:cs="Arial"/>
        </w:rPr>
      </w:pPr>
    </w:p>
    <w:p w:rsidR="009B3794" w:rsidP="00E55A65" w14:paraId="12DBC15D" w14:textId="5FEDBEAC">
      <w:pPr>
        <w:pStyle w:val="BodyTextIndent"/>
        <w:ind w:left="0"/>
        <w:rPr>
          <w:rFonts w:ascii="Arial" w:hAnsi="Arial" w:cs="Arial"/>
          <w:b/>
        </w:rPr>
      </w:pPr>
      <w:r w:rsidRPr="00AE7D2D">
        <w:rPr>
          <w:rFonts w:ascii="Arial" w:hAnsi="Arial" w:cs="Arial"/>
        </w:rPr>
        <w:t>The OMB number and Expiration date will be</w:t>
      </w:r>
      <w:r w:rsidR="00A16295">
        <w:rPr>
          <w:rFonts w:ascii="Arial" w:hAnsi="Arial" w:cs="Arial"/>
        </w:rPr>
        <w:t xml:space="preserve"> </w:t>
      </w:r>
      <w:r w:rsidRPr="00AE7D2D">
        <w:rPr>
          <w:rFonts w:ascii="Arial" w:hAnsi="Arial" w:cs="Arial"/>
        </w:rPr>
        <w:t xml:space="preserve">displayed on every page </w:t>
      </w:r>
      <w:r w:rsidRPr="00AE7D2D" w:rsidR="008C387A">
        <w:rPr>
          <w:rFonts w:ascii="Arial" w:hAnsi="Arial" w:cs="Arial"/>
        </w:rPr>
        <w:t xml:space="preserve">of the </w:t>
      </w:r>
      <w:r w:rsidRPr="00AE7D2D">
        <w:rPr>
          <w:rFonts w:ascii="Arial" w:hAnsi="Arial" w:cs="Arial"/>
        </w:rPr>
        <w:t>instrument</w:t>
      </w:r>
      <w:r w:rsidRPr="00AE7D2D">
        <w:rPr>
          <w:rFonts w:ascii="Arial" w:hAnsi="Arial" w:cs="Arial"/>
          <w:b/>
        </w:rPr>
        <w:t>.</w:t>
      </w:r>
    </w:p>
    <w:p w:rsidR="00E55A65" w:rsidRPr="00AE7D2D" w:rsidP="00E55A65" w14:paraId="3EB8B216" w14:textId="77777777">
      <w:pPr>
        <w:pStyle w:val="BodyTextIndent"/>
        <w:ind w:left="0"/>
        <w:rPr>
          <w:rFonts w:ascii="Arial" w:hAnsi="Arial" w:cs="Arial"/>
          <w:b/>
        </w:rPr>
      </w:pPr>
    </w:p>
    <w:p w:rsidR="009B3794" w:rsidRPr="00C45431" w:rsidP="00E55A65" w14:paraId="12DBC15E" w14:textId="77777777">
      <w:pPr>
        <w:numPr>
          <w:ilvl w:val="0"/>
          <w:numId w:val="2"/>
        </w:numPr>
        <w:tabs>
          <w:tab w:val="num" w:pos="360"/>
          <w:tab w:val="clear" w:pos="1080"/>
        </w:tabs>
        <w:ind w:left="360"/>
        <w:rPr>
          <w:rFonts w:ascii="Arial" w:hAnsi="Arial" w:cs="Arial"/>
          <w:b/>
          <w:sz w:val="24"/>
        </w:rPr>
      </w:pPr>
      <w:r w:rsidRPr="00C45431">
        <w:rPr>
          <w:rFonts w:ascii="Arial" w:hAnsi="Arial" w:cs="Arial"/>
          <w:b/>
          <w:sz w:val="24"/>
          <w:u w:val="single"/>
        </w:rPr>
        <w:t>Exceptions to Certification for Paperwork Reduction Act Submissions</w:t>
      </w:r>
    </w:p>
    <w:p w:rsidR="00E55A65" w:rsidP="00E55A65" w14:paraId="37AA8B2C" w14:textId="77777777">
      <w:pPr>
        <w:pStyle w:val="BodyTextIndent"/>
        <w:ind w:left="0"/>
        <w:rPr>
          <w:rFonts w:ascii="Arial" w:hAnsi="Arial" w:cs="Arial"/>
        </w:rPr>
      </w:pPr>
    </w:p>
    <w:p w:rsidR="009B3794" w:rsidRPr="00C45431" w:rsidP="000B4BEE" w14:paraId="12DBC15F" w14:textId="7ECA9E33">
      <w:pPr>
        <w:pStyle w:val="BodyTextIndent"/>
        <w:ind w:left="0"/>
        <w:rPr>
          <w:rFonts w:ascii="Arial" w:hAnsi="Arial" w:cs="Arial"/>
        </w:rPr>
      </w:pPr>
      <w:r w:rsidRPr="008C387A">
        <w:rPr>
          <w:rFonts w:ascii="Arial" w:hAnsi="Arial" w:cs="Arial"/>
        </w:rPr>
        <w:t>There are no exceptions to the certification.</w:t>
      </w:r>
      <w:r w:rsidRPr="00C45431">
        <w:rPr>
          <w:rFonts w:ascii="Arial" w:hAnsi="Arial" w:cs="Arial"/>
        </w:rPr>
        <w:t xml:space="preserve"> </w:t>
      </w:r>
    </w:p>
    <w:sectPr w:rsidSect="001D4856">
      <w:footerReference w:type="default" r:id="rId10"/>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2E1D" w14:paraId="12DBC164" w14:textId="77777777">
    <w:pPr>
      <w:spacing w:line="240" w:lineRule="exact"/>
    </w:pPr>
  </w:p>
  <w:p w:rsidR="00D92E1D" w14:paraId="12DBC165" w14:textId="62F165BC">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A31739">
      <w:rPr>
        <w:noProof/>
        <w:sz w:val="24"/>
      </w:rPr>
      <w:t>5</w:t>
    </w:r>
    <w:r>
      <w:rPr>
        <w:sz w:val="24"/>
      </w:rPr>
      <w:fldChar w:fldCharType="end"/>
    </w:r>
  </w:p>
  <w:p w:rsidR="00D92E1D" w14:paraId="12DBC166" w14:textId="77777777">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22873" w14:paraId="087D9E7A" w14:textId="77777777">
      <w:r>
        <w:separator/>
      </w:r>
    </w:p>
  </w:footnote>
  <w:footnote w:type="continuationSeparator" w:id="1">
    <w:p w:rsidR="00F22873" w14:paraId="5AC74BD4" w14:textId="77777777">
      <w:r>
        <w:continuationSeparator/>
      </w:r>
    </w:p>
  </w:footnote>
  <w:footnote w:id="2">
    <w:p w:rsidR="00A54D08" w:rsidP="00A54D08" w14:paraId="2BAB1630" w14:textId="792289E5">
      <w:pPr>
        <w:widowControl/>
      </w:pPr>
      <w:r>
        <w:rPr>
          <w:rStyle w:val="FootnoteReference"/>
        </w:rPr>
        <w:footnoteRef/>
      </w:r>
      <w:r>
        <w:t xml:space="preserve"> </w:t>
      </w:r>
      <w:r w:rsidRPr="00A54D08">
        <w:rPr>
          <w:rFonts w:eastAsia="Calibri"/>
          <w:sz w:val="16"/>
          <w:szCs w:val="16"/>
        </w:rPr>
        <w:t xml:space="preserve">The hourly wage rates were taken from the Bureau of Labor Statistics, May 2021 National Industry-Specific Occupational Employment and Wage Estimates, Sector 62 – </w:t>
      </w:r>
      <w:r w:rsidRPr="00A54D08">
        <w:rPr>
          <w:bCs/>
          <w:sz w:val="16"/>
          <w:szCs w:val="16"/>
        </w:rPr>
        <w:t>Secretaries and Administrative Assistants. (</w:t>
      </w:r>
      <w:hyperlink r:id="rId1" w:history="1">
        <w:r w:rsidRPr="00A54D08">
          <w:rPr>
            <w:rStyle w:val="Hyperlink"/>
            <w:sz w:val="16"/>
            <w:szCs w:val="16"/>
          </w:rPr>
          <w:t>https://www.bls.gov/ooh/office-and-administrative-support/secretaries-and-administrative-assistants.htm)</w:t>
        </w:r>
      </w:hyperlink>
    </w:p>
  </w:footnote>
  <w:footnote w:id="3">
    <w:p w:rsidR="00AC79B7" w14:paraId="0FB53D6F" w14:textId="334C2486">
      <w:pPr>
        <w:pStyle w:val="FootnoteText"/>
      </w:pPr>
      <w:r>
        <w:rPr>
          <w:rStyle w:val="FootnoteReference"/>
        </w:rPr>
        <w:footnoteRef/>
      </w:r>
      <w:r>
        <w:t xml:space="preserve"> </w:t>
      </w:r>
      <w:r>
        <w:rPr>
          <w:sz w:val="16"/>
          <w:szCs w:val="16"/>
        </w:rPr>
        <w:t>Salary was</w:t>
      </w:r>
      <w:r w:rsidRPr="00C44418">
        <w:rPr>
          <w:sz w:val="16"/>
          <w:szCs w:val="16"/>
        </w:rPr>
        <w:t xml:space="preserve"> updated based off of OPM Salary Table</w:t>
      </w:r>
      <w:r>
        <w:rPr>
          <w:sz w:val="16"/>
          <w:szCs w:val="16"/>
        </w:rPr>
        <w:t xml:space="preserve"> 2</w:t>
      </w:r>
      <w:r w:rsidRPr="00B13934">
        <w:rPr>
          <w:sz w:val="16"/>
          <w:szCs w:val="16"/>
        </w:rPr>
        <w:t xml:space="preserve">025-DCB </w:t>
      </w:r>
      <w:hyperlink r:id="rId2" w:history="1">
        <w:r w:rsidRPr="00B13934">
          <w:rPr>
            <w:rStyle w:val="Hyperlink"/>
            <w:sz w:val="16"/>
            <w:szCs w:val="16"/>
          </w:rPr>
          <w:t>https://www.opm.gov/policy-data-oversight/pay-leave/salaries-wages/salary-tables/pdf/2025/DCB.pdf</w:t>
        </w:r>
      </w:hyperlink>
      <w:r w:rsidR="00EC5DA3">
        <w:rPr>
          <w:sz w:val="16"/>
          <w:szCs w:val="16"/>
        </w:rPr>
        <w:t xml:space="preserve">. </w:t>
      </w:r>
      <w:r>
        <w:rPr>
          <w:sz w:val="16"/>
          <w:szCs w:val="16"/>
        </w:rPr>
        <w:t>Salary multiplied by 1.5 to account for overhead costs.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770D87"/>
    <w:multiLevelType w:val="hybridMultilevel"/>
    <w:tmpl w:val="3224EF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45F4DB8"/>
    <w:multiLevelType w:val="hybridMultilevel"/>
    <w:tmpl w:val="7EBEB4E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
    <w:nsid w:val="08BA0572"/>
    <w:multiLevelType w:val="hybridMultilevel"/>
    <w:tmpl w:val="211EF9C2"/>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
    <w:nsid w:val="0A342DE4"/>
    <w:multiLevelType w:val="hybridMultilevel"/>
    <w:tmpl w:val="58D44392"/>
    <w:lvl w:ilvl="0">
      <w:start w:val="1"/>
      <w:numFmt w:val="bullet"/>
      <w:lvlText w:val=""/>
      <w:lvlJc w:val="left"/>
      <w:pPr>
        <w:tabs>
          <w:tab w:val="num" w:pos="2070"/>
        </w:tabs>
        <w:ind w:left="207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
    <w:nsid w:val="0AB206DF"/>
    <w:multiLevelType w:val="hybridMultilevel"/>
    <w:tmpl w:val="755CCC2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5">
    <w:nsid w:val="0ACC676D"/>
    <w:multiLevelType w:val="hybridMultilevel"/>
    <w:tmpl w:val="19925D90"/>
    <w:lvl w:ilvl="0">
      <w:start w:val="1"/>
      <w:numFmt w:val="upperLetter"/>
      <w:lvlText w:val="%1."/>
      <w:lvlJc w:val="left"/>
      <w:pPr>
        <w:tabs>
          <w:tab w:val="num" w:pos="2880"/>
        </w:tabs>
        <w:ind w:left="2880" w:hanging="360"/>
      </w:p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tentative="1">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abstractNum w:abstractNumId="6">
    <w:nsid w:val="0BA326D6"/>
    <w:multiLevelType w:val="hybridMultilevel"/>
    <w:tmpl w:val="10A287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F7F210B"/>
    <w:multiLevelType w:val="hybridMultilevel"/>
    <w:tmpl w:val="97F6408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8">
    <w:nsid w:val="0FBC5793"/>
    <w:multiLevelType w:val="hybridMultilevel"/>
    <w:tmpl w:val="CB66BD2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9">
    <w:nsid w:val="16F1537B"/>
    <w:multiLevelType w:val="hybridMultilevel"/>
    <w:tmpl w:val="E03AB28A"/>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10">
    <w:nsid w:val="18505988"/>
    <w:multiLevelType w:val="hybridMultilevel"/>
    <w:tmpl w:val="D9367A4C"/>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1">
    <w:nsid w:val="18FA5DC3"/>
    <w:multiLevelType w:val="multilevel"/>
    <w:tmpl w:val="9E325A6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1A124824"/>
    <w:multiLevelType w:val="hybridMultilevel"/>
    <w:tmpl w:val="AA7E308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3">
    <w:nsid w:val="1F66495E"/>
    <w:multiLevelType w:val="hybridMultilevel"/>
    <w:tmpl w:val="4F86193A"/>
    <w:lvl w:ilvl="0">
      <w:start w:val="1"/>
      <w:numFmt w:val="bullet"/>
      <w:lvlText w:val=""/>
      <w:lvlJc w:val="left"/>
      <w:pPr>
        <w:tabs>
          <w:tab w:val="num" w:pos="2160"/>
        </w:tabs>
        <w:ind w:left="2160" w:hanging="360"/>
      </w:pPr>
      <w:rPr>
        <w:rFonts w:ascii="Symbol" w:hAnsi="Symbol" w:hint="default"/>
      </w:rPr>
    </w:lvl>
    <w:lvl w:ilvl="1">
      <w:start w:val="1"/>
      <w:numFmt w:val="upperLetter"/>
      <w:lvlText w:val="%2."/>
      <w:lvlJc w:val="left"/>
      <w:pPr>
        <w:tabs>
          <w:tab w:val="num" w:pos="2880"/>
        </w:tabs>
        <w:ind w:left="2880" w:hanging="360"/>
      </w:pPr>
      <w:rPr>
        <w:rFont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4">
    <w:nsid w:val="210619A5"/>
    <w:multiLevelType w:val="hybridMultilevel"/>
    <w:tmpl w:val="E6945466"/>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5">
    <w:nsid w:val="29FC522A"/>
    <w:multiLevelType w:val="hybridMultilevel"/>
    <w:tmpl w:val="DC2AD4B0"/>
    <w:lvl w:ilvl="0">
      <w:start w:val="1"/>
      <w:numFmt w:val="upperLetter"/>
      <w:lvlText w:val="%1."/>
      <w:lvlJc w:val="left"/>
      <w:pPr>
        <w:tabs>
          <w:tab w:val="num" w:pos="2880"/>
        </w:tabs>
        <w:ind w:left="2880" w:hanging="360"/>
      </w:p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tentative="1">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abstractNum w:abstractNumId="16">
    <w:nsid w:val="2B7570F2"/>
    <w:multiLevelType w:val="multilevel"/>
    <w:tmpl w:val="78A00D7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nsid w:val="359021E7"/>
    <w:multiLevelType w:val="hybridMultilevel"/>
    <w:tmpl w:val="CB889AC4"/>
    <w:lvl w:ilvl="0">
      <w:start w:val="1"/>
      <w:numFmt w:val="bullet"/>
      <w:lvlText w:val=""/>
      <w:lvlJc w:val="left"/>
      <w:pPr>
        <w:tabs>
          <w:tab w:val="num" w:pos="1728"/>
        </w:tabs>
        <w:ind w:left="1728" w:hanging="360"/>
      </w:pPr>
      <w:rPr>
        <w:rFonts w:ascii="Symbol" w:hAnsi="Symbol" w:hint="default"/>
      </w:rPr>
    </w:lvl>
    <w:lvl w:ilvl="1" w:tentative="1">
      <w:start w:val="1"/>
      <w:numFmt w:val="bullet"/>
      <w:lvlText w:val="o"/>
      <w:lvlJc w:val="left"/>
      <w:pPr>
        <w:tabs>
          <w:tab w:val="num" w:pos="2448"/>
        </w:tabs>
        <w:ind w:left="2448" w:hanging="360"/>
      </w:pPr>
      <w:rPr>
        <w:rFonts w:ascii="Courier New" w:hAnsi="Courier New" w:cs="Courier New" w:hint="default"/>
      </w:rPr>
    </w:lvl>
    <w:lvl w:ilvl="2" w:tentative="1">
      <w:start w:val="1"/>
      <w:numFmt w:val="bullet"/>
      <w:lvlText w:val=""/>
      <w:lvlJc w:val="left"/>
      <w:pPr>
        <w:tabs>
          <w:tab w:val="num" w:pos="3168"/>
        </w:tabs>
        <w:ind w:left="3168" w:hanging="360"/>
      </w:pPr>
      <w:rPr>
        <w:rFonts w:ascii="Wingdings" w:hAnsi="Wingdings" w:hint="default"/>
      </w:rPr>
    </w:lvl>
    <w:lvl w:ilvl="3" w:tentative="1">
      <w:start w:val="1"/>
      <w:numFmt w:val="bullet"/>
      <w:lvlText w:val=""/>
      <w:lvlJc w:val="left"/>
      <w:pPr>
        <w:tabs>
          <w:tab w:val="num" w:pos="3888"/>
        </w:tabs>
        <w:ind w:left="3888" w:hanging="360"/>
      </w:pPr>
      <w:rPr>
        <w:rFonts w:ascii="Symbol" w:hAnsi="Symbol" w:hint="default"/>
      </w:rPr>
    </w:lvl>
    <w:lvl w:ilvl="4" w:tentative="1">
      <w:start w:val="1"/>
      <w:numFmt w:val="bullet"/>
      <w:lvlText w:val="o"/>
      <w:lvlJc w:val="left"/>
      <w:pPr>
        <w:tabs>
          <w:tab w:val="num" w:pos="4608"/>
        </w:tabs>
        <w:ind w:left="4608" w:hanging="360"/>
      </w:pPr>
      <w:rPr>
        <w:rFonts w:ascii="Courier New" w:hAnsi="Courier New" w:cs="Courier New" w:hint="default"/>
      </w:rPr>
    </w:lvl>
    <w:lvl w:ilvl="5" w:tentative="1">
      <w:start w:val="1"/>
      <w:numFmt w:val="bullet"/>
      <w:lvlText w:val=""/>
      <w:lvlJc w:val="left"/>
      <w:pPr>
        <w:tabs>
          <w:tab w:val="num" w:pos="5328"/>
        </w:tabs>
        <w:ind w:left="5328" w:hanging="360"/>
      </w:pPr>
      <w:rPr>
        <w:rFonts w:ascii="Wingdings" w:hAnsi="Wingdings" w:hint="default"/>
      </w:rPr>
    </w:lvl>
    <w:lvl w:ilvl="6" w:tentative="1">
      <w:start w:val="1"/>
      <w:numFmt w:val="bullet"/>
      <w:lvlText w:val=""/>
      <w:lvlJc w:val="left"/>
      <w:pPr>
        <w:tabs>
          <w:tab w:val="num" w:pos="6048"/>
        </w:tabs>
        <w:ind w:left="6048" w:hanging="360"/>
      </w:pPr>
      <w:rPr>
        <w:rFonts w:ascii="Symbol" w:hAnsi="Symbol" w:hint="default"/>
      </w:rPr>
    </w:lvl>
    <w:lvl w:ilvl="7" w:tentative="1">
      <w:start w:val="1"/>
      <w:numFmt w:val="bullet"/>
      <w:lvlText w:val="o"/>
      <w:lvlJc w:val="left"/>
      <w:pPr>
        <w:tabs>
          <w:tab w:val="num" w:pos="6768"/>
        </w:tabs>
        <w:ind w:left="6768" w:hanging="360"/>
      </w:pPr>
      <w:rPr>
        <w:rFonts w:ascii="Courier New" w:hAnsi="Courier New" w:cs="Courier New" w:hint="default"/>
      </w:rPr>
    </w:lvl>
    <w:lvl w:ilvl="8" w:tentative="1">
      <w:start w:val="1"/>
      <w:numFmt w:val="bullet"/>
      <w:lvlText w:val=""/>
      <w:lvlJc w:val="left"/>
      <w:pPr>
        <w:tabs>
          <w:tab w:val="num" w:pos="7488"/>
        </w:tabs>
        <w:ind w:left="7488" w:hanging="360"/>
      </w:pPr>
      <w:rPr>
        <w:rFonts w:ascii="Wingdings" w:hAnsi="Wingdings" w:hint="default"/>
      </w:rPr>
    </w:lvl>
  </w:abstractNum>
  <w:abstractNum w:abstractNumId="18">
    <w:nsid w:val="387F1E26"/>
    <w:multiLevelType w:val="hybridMultilevel"/>
    <w:tmpl w:val="9FD06988"/>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9">
    <w:nsid w:val="3ACC71D8"/>
    <w:multiLevelType w:val="hybridMultilevel"/>
    <w:tmpl w:val="720CB386"/>
    <w:lvl w:ilvl="0">
      <w:start w:val="1"/>
      <w:numFmt w:val="bullet"/>
      <w:lvlText w:val=""/>
      <w:lvlJc w:val="left"/>
      <w:pPr>
        <w:tabs>
          <w:tab w:val="num" w:pos="2340"/>
        </w:tabs>
        <w:ind w:left="2340" w:hanging="360"/>
      </w:pPr>
      <w:rPr>
        <w:rFonts w:ascii="Symbol" w:hAnsi="Symbol" w:hint="default"/>
      </w:r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20">
    <w:nsid w:val="3B0E49B4"/>
    <w:multiLevelType w:val="hybridMultilevel"/>
    <w:tmpl w:val="7FC29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0F41527"/>
    <w:multiLevelType w:val="hybridMultilevel"/>
    <w:tmpl w:val="5C5EDD18"/>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22">
    <w:nsid w:val="42CA0CF3"/>
    <w:multiLevelType w:val="hybridMultilevel"/>
    <w:tmpl w:val="DC4AB2F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3">
    <w:nsid w:val="43CD5E17"/>
    <w:multiLevelType w:val="hybridMultilevel"/>
    <w:tmpl w:val="BE9E67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4A1D7109"/>
    <w:multiLevelType w:val="hybridMultilevel"/>
    <w:tmpl w:val="462ED118"/>
    <w:lvl w:ilvl="0">
      <w:start w:val="1"/>
      <w:numFmt w:val="decimal"/>
      <w:lvlText w:val="%1."/>
      <w:lvlJc w:val="left"/>
      <w:pPr>
        <w:tabs>
          <w:tab w:val="num" w:pos="1080"/>
        </w:tabs>
        <w:ind w:left="108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2"/>
      <w:numFmt w:val="upp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AFF5AE7"/>
    <w:multiLevelType w:val="hybridMultilevel"/>
    <w:tmpl w:val="52B8D90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4B0E2065"/>
    <w:multiLevelType w:val="hybridMultilevel"/>
    <w:tmpl w:val="FDFAF3D2"/>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7">
    <w:nsid w:val="4DDE1051"/>
    <w:multiLevelType w:val="hybridMultilevel"/>
    <w:tmpl w:val="36AE2F4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8">
    <w:nsid w:val="53E41430"/>
    <w:multiLevelType w:val="hybridMultilevel"/>
    <w:tmpl w:val="57AA6CBE"/>
    <w:lvl w:ilvl="0">
      <w:start w:val="1"/>
      <w:numFmt w:val="bullet"/>
      <w:lvlText w:val=""/>
      <w:lvlJc w:val="left"/>
      <w:pPr>
        <w:tabs>
          <w:tab w:val="num" w:pos="2175"/>
        </w:tabs>
        <w:ind w:left="2175" w:hanging="360"/>
      </w:pPr>
      <w:rPr>
        <w:rFonts w:ascii="Symbol" w:hAnsi="Symbol" w:hint="default"/>
      </w:rPr>
    </w:lvl>
    <w:lvl w:ilvl="1" w:tentative="1">
      <w:start w:val="1"/>
      <w:numFmt w:val="bullet"/>
      <w:lvlText w:val="o"/>
      <w:lvlJc w:val="left"/>
      <w:pPr>
        <w:tabs>
          <w:tab w:val="num" w:pos="2895"/>
        </w:tabs>
        <w:ind w:left="2895" w:hanging="360"/>
      </w:pPr>
      <w:rPr>
        <w:rFonts w:ascii="Courier New" w:hAnsi="Courier New" w:cs="Courier New" w:hint="default"/>
      </w:rPr>
    </w:lvl>
    <w:lvl w:ilvl="2" w:tentative="1">
      <w:start w:val="1"/>
      <w:numFmt w:val="bullet"/>
      <w:lvlText w:val=""/>
      <w:lvlJc w:val="left"/>
      <w:pPr>
        <w:tabs>
          <w:tab w:val="num" w:pos="3615"/>
        </w:tabs>
        <w:ind w:left="3615" w:hanging="360"/>
      </w:pPr>
      <w:rPr>
        <w:rFonts w:ascii="Wingdings" w:hAnsi="Wingdings" w:hint="default"/>
      </w:rPr>
    </w:lvl>
    <w:lvl w:ilvl="3" w:tentative="1">
      <w:start w:val="1"/>
      <w:numFmt w:val="bullet"/>
      <w:lvlText w:val=""/>
      <w:lvlJc w:val="left"/>
      <w:pPr>
        <w:tabs>
          <w:tab w:val="num" w:pos="4335"/>
        </w:tabs>
        <w:ind w:left="4335" w:hanging="360"/>
      </w:pPr>
      <w:rPr>
        <w:rFonts w:ascii="Symbol" w:hAnsi="Symbol" w:hint="default"/>
      </w:rPr>
    </w:lvl>
    <w:lvl w:ilvl="4" w:tentative="1">
      <w:start w:val="1"/>
      <w:numFmt w:val="bullet"/>
      <w:lvlText w:val="o"/>
      <w:lvlJc w:val="left"/>
      <w:pPr>
        <w:tabs>
          <w:tab w:val="num" w:pos="5055"/>
        </w:tabs>
        <w:ind w:left="5055" w:hanging="360"/>
      </w:pPr>
      <w:rPr>
        <w:rFonts w:ascii="Courier New" w:hAnsi="Courier New" w:cs="Courier New" w:hint="default"/>
      </w:rPr>
    </w:lvl>
    <w:lvl w:ilvl="5" w:tentative="1">
      <w:start w:val="1"/>
      <w:numFmt w:val="bullet"/>
      <w:lvlText w:val=""/>
      <w:lvlJc w:val="left"/>
      <w:pPr>
        <w:tabs>
          <w:tab w:val="num" w:pos="5775"/>
        </w:tabs>
        <w:ind w:left="5775" w:hanging="360"/>
      </w:pPr>
      <w:rPr>
        <w:rFonts w:ascii="Wingdings" w:hAnsi="Wingdings" w:hint="default"/>
      </w:rPr>
    </w:lvl>
    <w:lvl w:ilvl="6" w:tentative="1">
      <w:start w:val="1"/>
      <w:numFmt w:val="bullet"/>
      <w:lvlText w:val=""/>
      <w:lvlJc w:val="left"/>
      <w:pPr>
        <w:tabs>
          <w:tab w:val="num" w:pos="6495"/>
        </w:tabs>
        <w:ind w:left="6495" w:hanging="360"/>
      </w:pPr>
      <w:rPr>
        <w:rFonts w:ascii="Symbol" w:hAnsi="Symbol" w:hint="default"/>
      </w:rPr>
    </w:lvl>
    <w:lvl w:ilvl="7" w:tentative="1">
      <w:start w:val="1"/>
      <w:numFmt w:val="bullet"/>
      <w:lvlText w:val="o"/>
      <w:lvlJc w:val="left"/>
      <w:pPr>
        <w:tabs>
          <w:tab w:val="num" w:pos="7215"/>
        </w:tabs>
        <w:ind w:left="7215" w:hanging="360"/>
      </w:pPr>
      <w:rPr>
        <w:rFonts w:ascii="Courier New" w:hAnsi="Courier New" w:cs="Courier New" w:hint="default"/>
      </w:rPr>
    </w:lvl>
    <w:lvl w:ilvl="8" w:tentative="1">
      <w:start w:val="1"/>
      <w:numFmt w:val="bullet"/>
      <w:lvlText w:val=""/>
      <w:lvlJc w:val="left"/>
      <w:pPr>
        <w:tabs>
          <w:tab w:val="num" w:pos="7935"/>
        </w:tabs>
        <w:ind w:left="7935" w:hanging="360"/>
      </w:pPr>
      <w:rPr>
        <w:rFonts w:ascii="Wingdings" w:hAnsi="Wingdings" w:hint="default"/>
      </w:rPr>
    </w:lvl>
  </w:abstractNum>
  <w:abstractNum w:abstractNumId="29">
    <w:nsid w:val="593D36C3"/>
    <w:multiLevelType w:val="hybridMultilevel"/>
    <w:tmpl w:val="8B4C7956"/>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0">
    <w:nsid w:val="5AA94C4C"/>
    <w:multiLevelType w:val="hybridMultilevel"/>
    <w:tmpl w:val="876CCAAA"/>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1">
    <w:nsid w:val="5B3250AA"/>
    <w:multiLevelType w:val="hybridMultilevel"/>
    <w:tmpl w:val="BD9A3BB6"/>
    <w:lvl w:ilvl="0">
      <w:start w:val="1"/>
      <w:numFmt w:val="upp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2">
    <w:nsid w:val="5B8B2A2F"/>
    <w:multiLevelType w:val="hybridMultilevel"/>
    <w:tmpl w:val="FD184AD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3">
    <w:nsid w:val="5F0C15D3"/>
    <w:multiLevelType w:val="hybridMultilevel"/>
    <w:tmpl w:val="CEF2BD4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4">
    <w:nsid w:val="5F70268D"/>
    <w:multiLevelType w:val="hybridMultilevel"/>
    <w:tmpl w:val="6CF2EA1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5">
    <w:nsid w:val="62343938"/>
    <w:multiLevelType w:val="hybridMultilevel"/>
    <w:tmpl w:val="B486FCA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6">
    <w:nsid w:val="6714352E"/>
    <w:multiLevelType w:val="hybridMultilevel"/>
    <w:tmpl w:val="E3EEDFFE"/>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37">
    <w:nsid w:val="6980224A"/>
    <w:multiLevelType w:val="multilevel"/>
    <w:tmpl w:val="FB4297CE"/>
    <w:lvl w:ilvl="0">
      <w:start w:val="1"/>
      <w:numFmt w:val="upperRoman"/>
      <w:lvlText w:val="%1."/>
      <w:lvlJc w:val="right"/>
      <w:pPr>
        <w:tabs>
          <w:tab w:val="num" w:pos="2160"/>
        </w:tabs>
        <w:ind w:left="2160" w:hanging="18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38">
    <w:nsid w:val="6F4B510B"/>
    <w:multiLevelType w:val="hybridMultilevel"/>
    <w:tmpl w:val="D2D866B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9">
    <w:nsid w:val="73D15CE9"/>
    <w:multiLevelType w:val="hybridMultilevel"/>
    <w:tmpl w:val="4FB4019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0">
    <w:nsid w:val="73ED210F"/>
    <w:multiLevelType w:val="hybridMultilevel"/>
    <w:tmpl w:val="CD48D50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1">
    <w:nsid w:val="75836233"/>
    <w:multiLevelType w:val="multilevel"/>
    <w:tmpl w:val="168C582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2">
    <w:nsid w:val="798A00CB"/>
    <w:multiLevelType w:val="hybridMultilevel"/>
    <w:tmpl w:val="1A28C5F4"/>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3">
    <w:nsid w:val="79B974A1"/>
    <w:multiLevelType w:val="hybridMultilevel"/>
    <w:tmpl w:val="BE96FD58"/>
    <w:lvl w:ilvl="0">
      <w:start w:val="1"/>
      <w:numFmt w:val="bullet"/>
      <w:lvlText w:val=""/>
      <w:lvlJc w:val="left"/>
      <w:pPr>
        <w:tabs>
          <w:tab w:val="num" w:pos="2160"/>
        </w:tabs>
        <w:ind w:left="2160" w:hanging="360"/>
      </w:pPr>
      <w:rPr>
        <w:rFonts w:ascii="Symbol" w:hAnsi="Symbol" w:hint="default"/>
      </w:rPr>
    </w:lvl>
    <w:lvl w:ilvl="1">
      <w:start w:val="1"/>
      <w:numFmt w:val="decimal"/>
      <w:lvlText w:val="%2."/>
      <w:lvlJc w:val="left"/>
      <w:pPr>
        <w:tabs>
          <w:tab w:val="num" w:pos="2880"/>
        </w:tabs>
        <w:ind w:left="2880" w:hanging="360"/>
      </w:pPr>
      <w:rPr>
        <w:rFonts w:hint="default"/>
        <w:b w:val="0"/>
      </w:rPr>
    </w:lvl>
    <w:lvl w:ilvl="2">
      <w:start w:val="1"/>
      <w:numFmt w:val="bullet"/>
      <w:lvlText w:val=""/>
      <w:lvlJc w:val="left"/>
      <w:pPr>
        <w:tabs>
          <w:tab w:val="num" w:pos="3600"/>
        </w:tabs>
        <w:ind w:left="3600" w:hanging="360"/>
      </w:pPr>
      <w:rPr>
        <w:rFonts w:ascii="Symbol" w:hAnsi="Symbol"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4">
    <w:nsid w:val="7E7D45FB"/>
    <w:multiLevelType w:val="hybridMultilevel"/>
    <w:tmpl w:val="FB4297CE"/>
    <w:lvl w:ilvl="0">
      <w:start w:val="1"/>
      <w:numFmt w:val="upperRoman"/>
      <w:lvlText w:val="%1."/>
      <w:lvlJc w:val="right"/>
      <w:pPr>
        <w:tabs>
          <w:tab w:val="num" w:pos="2160"/>
        </w:tabs>
        <w:ind w:left="2160" w:hanging="180"/>
      </w:p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45">
    <w:nsid w:val="7EBC3CE5"/>
    <w:multiLevelType w:val="hybridMultilevel"/>
    <w:tmpl w:val="D8E2E83A"/>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num w:numId="1" w16cid:durableId="698312726">
    <w:abstractNumId w:val="45"/>
  </w:num>
  <w:num w:numId="2" w16cid:durableId="2081638791">
    <w:abstractNumId w:val="24"/>
  </w:num>
  <w:num w:numId="3" w16cid:durableId="964238934">
    <w:abstractNumId w:val="16"/>
  </w:num>
  <w:num w:numId="4" w16cid:durableId="1825730577">
    <w:abstractNumId w:val="41"/>
  </w:num>
  <w:num w:numId="5" w16cid:durableId="203182707">
    <w:abstractNumId w:val="44"/>
  </w:num>
  <w:num w:numId="6" w16cid:durableId="1871993124">
    <w:abstractNumId w:val="11"/>
  </w:num>
  <w:num w:numId="7" w16cid:durableId="1656108353">
    <w:abstractNumId w:val="37"/>
  </w:num>
  <w:num w:numId="8" w16cid:durableId="1930314053">
    <w:abstractNumId w:val="19"/>
  </w:num>
  <w:num w:numId="9" w16cid:durableId="1107892882">
    <w:abstractNumId w:val="28"/>
  </w:num>
  <w:num w:numId="10" w16cid:durableId="33971512">
    <w:abstractNumId w:val="22"/>
  </w:num>
  <w:num w:numId="11" w16cid:durableId="1258519684">
    <w:abstractNumId w:val="9"/>
  </w:num>
  <w:num w:numId="12" w16cid:durableId="372775912">
    <w:abstractNumId w:val="27"/>
  </w:num>
  <w:num w:numId="13" w16cid:durableId="317274332">
    <w:abstractNumId w:val="23"/>
  </w:num>
  <w:num w:numId="14" w16cid:durableId="289669853">
    <w:abstractNumId w:val="25"/>
  </w:num>
  <w:num w:numId="15" w16cid:durableId="1636526130">
    <w:abstractNumId w:val="8"/>
  </w:num>
  <w:num w:numId="16" w16cid:durableId="1052579904">
    <w:abstractNumId w:val="0"/>
  </w:num>
  <w:num w:numId="17" w16cid:durableId="1641840605">
    <w:abstractNumId w:val="1"/>
  </w:num>
  <w:num w:numId="18" w16cid:durableId="1904876772">
    <w:abstractNumId w:val="17"/>
  </w:num>
  <w:num w:numId="19" w16cid:durableId="788010653">
    <w:abstractNumId w:val="36"/>
  </w:num>
  <w:num w:numId="20" w16cid:durableId="613169856">
    <w:abstractNumId w:val="34"/>
  </w:num>
  <w:num w:numId="21" w16cid:durableId="1684480042">
    <w:abstractNumId w:val="21"/>
  </w:num>
  <w:num w:numId="22" w16cid:durableId="507865117">
    <w:abstractNumId w:val="40"/>
  </w:num>
  <w:num w:numId="23" w16cid:durableId="523830367">
    <w:abstractNumId w:val="32"/>
  </w:num>
  <w:num w:numId="24" w16cid:durableId="1188328977">
    <w:abstractNumId w:val="33"/>
  </w:num>
  <w:num w:numId="25" w16cid:durableId="454834327">
    <w:abstractNumId w:val="43"/>
  </w:num>
  <w:num w:numId="26" w16cid:durableId="281545836">
    <w:abstractNumId w:val="39"/>
  </w:num>
  <w:num w:numId="27" w16cid:durableId="871650396">
    <w:abstractNumId w:val="3"/>
  </w:num>
  <w:num w:numId="28" w16cid:durableId="438795489">
    <w:abstractNumId w:val="18"/>
  </w:num>
  <w:num w:numId="29" w16cid:durableId="324666997">
    <w:abstractNumId w:val="42"/>
  </w:num>
  <w:num w:numId="30" w16cid:durableId="803429380">
    <w:abstractNumId w:val="38"/>
  </w:num>
  <w:num w:numId="31" w16cid:durableId="1469979282">
    <w:abstractNumId w:val="35"/>
  </w:num>
  <w:num w:numId="32" w16cid:durableId="1600915656">
    <w:abstractNumId w:val="12"/>
  </w:num>
  <w:num w:numId="33" w16cid:durableId="254703605">
    <w:abstractNumId w:val="2"/>
  </w:num>
  <w:num w:numId="34" w16cid:durableId="1628513488">
    <w:abstractNumId w:val="29"/>
  </w:num>
  <w:num w:numId="35" w16cid:durableId="2104916301">
    <w:abstractNumId w:val="14"/>
  </w:num>
  <w:num w:numId="36" w16cid:durableId="1615594058">
    <w:abstractNumId w:val="13"/>
  </w:num>
  <w:num w:numId="37" w16cid:durableId="1183590921">
    <w:abstractNumId w:val="15"/>
  </w:num>
  <w:num w:numId="38" w16cid:durableId="1305235931">
    <w:abstractNumId w:val="5"/>
  </w:num>
  <w:num w:numId="39" w16cid:durableId="784890673">
    <w:abstractNumId w:val="31"/>
  </w:num>
  <w:num w:numId="40" w16cid:durableId="1847865760">
    <w:abstractNumId w:val="7"/>
  </w:num>
  <w:num w:numId="41" w16cid:durableId="1849713062">
    <w:abstractNumId w:val="30"/>
  </w:num>
  <w:num w:numId="42" w16cid:durableId="1285773013">
    <w:abstractNumId w:val="26"/>
  </w:num>
  <w:num w:numId="43" w16cid:durableId="400829076">
    <w:abstractNumId w:val="6"/>
  </w:num>
  <w:num w:numId="44" w16cid:durableId="1920168722">
    <w:abstractNumId w:val="20"/>
  </w:num>
  <w:num w:numId="45" w16cid:durableId="1128010901">
    <w:abstractNumId w:val="4"/>
  </w:num>
  <w:num w:numId="46" w16cid:durableId="21119674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AB"/>
    <w:rsid w:val="000004D0"/>
    <w:rsid w:val="00005C74"/>
    <w:rsid w:val="00015505"/>
    <w:rsid w:val="00020204"/>
    <w:rsid w:val="00026EF4"/>
    <w:rsid w:val="00031629"/>
    <w:rsid w:val="000523DC"/>
    <w:rsid w:val="00062BC7"/>
    <w:rsid w:val="0007036B"/>
    <w:rsid w:val="00073073"/>
    <w:rsid w:val="00075278"/>
    <w:rsid w:val="00075502"/>
    <w:rsid w:val="000A36E6"/>
    <w:rsid w:val="000B0925"/>
    <w:rsid w:val="000B41EF"/>
    <w:rsid w:val="000B4BEE"/>
    <w:rsid w:val="000C4E80"/>
    <w:rsid w:val="000C501B"/>
    <w:rsid w:val="000E135B"/>
    <w:rsid w:val="00100A18"/>
    <w:rsid w:val="00101976"/>
    <w:rsid w:val="001325B2"/>
    <w:rsid w:val="00146C69"/>
    <w:rsid w:val="00162864"/>
    <w:rsid w:val="00170E71"/>
    <w:rsid w:val="0017311E"/>
    <w:rsid w:val="00184462"/>
    <w:rsid w:val="001920C3"/>
    <w:rsid w:val="001B38A7"/>
    <w:rsid w:val="001C44E3"/>
    <w:rsid w:val="001D3CE5"/>
    <w:rsid w:val="001D4856"/>
    <w:rsid w:val="001D7063"/>
    <w:rsid w:val="001E1A12"/>
    <w:rsid w:val="001F6E52"/>
    <w:rsid w:val="002031F4"/>
    <w:rsid w:val="002118B4"/>
    <w:rsid w:val="00222968"/>
    <w:rsid w:val="00233C56"/>
    <w:rsid w:val="00234974"/>
    <w:rsid w:val="00235040"/>
    <w:rsid w:val="002421B7"/>
    <w:rsid w:val="002436C8"/>
    <w:rsid w:val="00250DFD"/>
    <w:rsid w:val="0025779E"/>
    <w:rsid w:val="00263973"/>
    <w:rsid w:val="00263D32"/>
    <w:rsid w:val="002640E7"/>
    <w:rsid w:val="00264286"/>
    <w:rsid w:val="00271151"/>
    <w:rsid w:val="002963F7"/>
    <w:rsid w:val="00296E87"/>
    <w:rsid w:val="002C0F5A"/>
    <w:rsid w:val="002E6FA6"/>
    <w:rsid w:val="002F076F"/>
    <w:rsid w:val="002F507E"/>
    <w:rsid w:val="0031277A"/>
    <w:rsid w:val="00314F79"/>
    <w:rsid w:val="00322313"/>
    <w:rsid w:val="003262CC"/>
    <w:rsid w:val="00373159"/>
    <w:rsid w:val="003822EF"/>
    <w:rsid w:val="0038340B"/>
    <w:rsid w:val="00384B4A"/>
    <w:rsid w:val="00391E16"/>
    <w:rsid w:val="003A1EE6"/>
    <w:rsid w:val="003B0E22"/>
    <w:rsid w:val="003B4081"/>
    <w:rsid w:val="003C1D77"/>
    <w:rsid w:val="003C707A"/>
    <w:rsid w:val="003D23B1"/>
    <w:rsid w:val="003D4F38"/>
    <w:rsid w:val="003D555D"/>
    <w:rsid w:val="00433107"/>
    <w:rsid w:val="0043700B"/>
    <w:rsid w:val="00442638"/>
    <w:rsid w:val="00442826"/>
    <w:rsid w:val="00472847"/>
    <w:rsid w:val="004746CA"/>
    <w:rsid w:val="004869D1"/>
    <w:rsid w:val="00490720"/>
    <w:rsid w:val="004A2CA5"/>
    <w:rsid w:val="004A4EFF"/>
    <w:rsid w:val="004B0CF7"/>
    <w:rsid w:val="004B5D3E"/>
    <w:rsid w:val="004D1319"/>
    <w:rsid w:val="004E58EF"/>
    <w:rsid w:val="004E687D"/>
    <w:rsid w:val="00503BAB"/>
    <w:rsid w:val="0051390A"/>
    <w:rsid w:val="00530FD9"/>
    <w:rsid w:val="00534898"/>
    <w:rsid w:val="00541EE8"/>
    <w:rsid w:val="00554093"/>
    <w:rsid w:val="00567285"/>
    <w:rsid w:val="00571026"/>
    <w:rsid w:val="00572DA1"/>
    <w:rsid w:val="005800EE"/>
    <w:rsid w:val="005A391C"/>
    <w:rsid w:val="005C5950"/>
    <w:rsid w:val="005C7E02"/>
    <w:rsid w:val="005D038C"/>
    <w:rsid w:val="005D6637"/>
    <w:rsid w:val="005D7625"/>
    <w:rsid w:val="005E03FF"/>
    <w:rsid w:val="005E1765"/>
    <w:rsid w:val="005E3C66"/>
    <w:rsid w:val="005E519E"/>
    <w:rsid w:val="005F573B"/>
    <w:rsid w:val="006012E0"/>
    <w:rsid w:val="006163EA"/>
    <w:rsid w:val="00621DDD"/>
    <w:rsid w:val="00624019"/>
    <w:rsid w:val="00626CE7"/>
    <w:rsid w:val="00627FFD"/>
    <w:rsid w:val="0063421D"/>
    <w:rsid w:val="00680D76"/>
    <w:rsid w:val="00682C7E"/>
    <w:rsid w:val="006934AC"/>
    <w:rsid w:val="00699992"/>
    <w:rsid w:val="006B3025"/>
    <w:rsid w:val="006C03C6"/>
    <w:rsid w:val="006C7379"/>
    <w:rsid w:val="006E69E7"/>
    <w:rsid w:val="006F7DAA"/>
    <w:rsid w:val="007003EC"/>
    <w:rsid w:val="00716C99"/>
    <w:rsid w:val="0073114C"/>
    <w:rsid w:val="00742769"/>
    <w:rsid w:val="00766B7E"/>
    <w:rsid w:val="007752D6"/>
    <w:rsid w:val="00776749"/>
    <w:rsid w:val="00781149"/>
    <w:rsid w:val="00781179"/>
    <w:rsid w:val="00782A79"/>
    <w:rsid w:val="0078450F"/>
    <w:rsid w:val="00785AEE"/>
    <w:rsid w:val="00785E9B"/>
    <w:rsid w:val="00787814"/>
    <w:rsid w:val="00795547"/>
    <w:rsid w:val="007B2038"/>
    <w:rsid w:val="007B43CB"/>
    <w:rsid w:val="007E56E9"/>
    <w:rsid w:val="007F047A"/>
    <w:rsid w:val="007F4562"/>
    <w:rsid w:val="008002AB"/>
    <w:rsid w:val="008070F8"/>
    <w:rsid w:val="00815898"/>
    <w:rsid w:val="008563BD"/>
    <w:rsid w:val="00857E15"/>
    <w:rsid w:val="008630FB"/>
    <w:rsid w:val="00870305"/>
    <w:rsid w:val="00880AA4"/>
    <w:rsid w:val="00884105"/>
    <w:rsid w:val="0089371B"/>
    <w:rsid w:val="00897712"/>
    <w:rsid w:val="008B03E3"/>
    <w:rsid w:val="008B04CA"/>
    <w:rsid w:val="008C387A"/>
    <w:rsid w:val="008D2D67"/>
    <w:rsid w:val="008F0387"/>
    <w:rsid w:val="00902E52"/>
    <w:rsid w:val="009344D0"/>
    <w:rsid w:val="00935E77"/>
    <w:rsid w:val="0093647C"/>
    <w:rsid w:val="00941581"/>
    <w:rsid w:val="00951E28"/>
    <w:rsid w:val="00972647"/>
    <w:rsid w:val="009729E9"/>
    <w:rsid w:val="009779EB"/>
    <w:rsid w:val="00977A01"/>
    <w:rsid w:val="0099170F"/>
    <w:rsid w:val="009A5F99"/>
    <w:rsid w:val="009B3794"/>
    <w:rsid w:val="009B7E4D"/>
    <w:rsid w:val="009C4F9B"/>
    <w:rsid w:val="009D0B36"/>
    <w:rsid w:val="009D413B"/>
    <w:rsid w:val="009E31F1"/>
    <w:rsid w:val="009E3EE0"/>
    <w:rsid w:val="009F1AB1"/>
    <w:rsid w:val="009F53B1"/>
    <w:rsid w:val="00A0594C"/>
    <w:rsid w:val="00A107B7"/>
    <w:rsid w:val="00A16295"/>
    <w:rsid w:val="00A1688A"/>
    <w:rsid w:val="00A31739"/>
    <w:rsid w:val="00A54D08"/>
    <w:rsid w:val="00A74421"/>
    <w:rsid w:val="00A76F1C"/>
    <w:rsid w:val="00A92CAB"/>
    <w:rsid w:val="00AB1E5E"/>
    <w:rsid w:val="00AB6ACB"/>
    <w:rsid w:val="00ABC031"/>
    <w:rsid w:val="00AC79B7"/>
    <w:rsid w:val="00AD2182"/>
    <w:rsid w:val="00AE7154"/>
    <w:rsid w:val="00AE7D2D"/>
    <w:rsid w:val="00B04321"/>
    <w:rsid w:val="00B05691"/>
    <w:rsid w:val="00B13934"/>
    <w:rsid w:val="00B20AFD"/>
    <w:rsid w:val="00B22882"/>
    <w:rsid w:val="00B5377D"/>
    <w:rsid w:val="00B54888"/>
    <w:rsid w:val="00B655C6"/>
    <w:rsid w:val="00B66A5A"/>
    <w:rsid w:val="00B83968"/>
    <w:rsid w:val="00B96F53"/>
    <w:rsid w:val="00BA1088"/>
    <w:rsid w:val="00BA1A0C"/>
    <w:rsid w:val="00BC051A"/>
    <w:rsid w:val="00BC35E0"/>
    <w:rsid w:val="00BD5BD8"/>
    <w:rsid w:val="00BF145B"/>
    <w:rsid w:val="00C00F6E"/>
    <w:rsid w:val="00C013DC"/>
    <w:rsid w:val="00C177D2"/>
    <w:rsid w:val="00C203BF"/>
    <w:rsid w:val="00C3135C"/>
    <w:rsid w:val="00C317C8"/>
    <w:rsid w:val="00C35DD6"/>
    <w:rsid w:val="00C41F2C"/>
    <w:rsid w:val="00C44418"/>
    <w:rsid w:val="00C45431"/>
    <w:rsid w:val="00C74B86"/>
    <w:rsid w:val="00C83FA4"/>
    <w:rsid w:val="00C9640A"/>
    <w:rsid w:val="00CA3DA6"/>
    <w:rsid w:val="00CA665D"/>
    <w:rsid w:val="00CD36E7"/>
    <w:rsid w:val="00CD5FFA"/>
    <w:rsid w:val="00CE03B4"/>
    <w:rsid w:val="00CE0EEE"/>
    <w:rsid w:val="00CE5AA9"/>
    <w:rsid w:val="00CE70F1"/>
    <w:rsid w:val="00CF1745"/>
    <w:rsid w:val="00D11CA3"/>
    <w:rsid w:val="00D2320F"/>
    <w:rsid w:val="00D23725"/>
    <w:rsid w:val="00D263C3"/>
    <w:rsid w:val="00D46313"/>
    <w:rsid w:val="00D5699F"/>
    <w:rsid w:val="00D56CC2"/>
    <w:rsid w:val="00D67B5F"/>
    <w:rsid w:val="00D74B86"/>
    <w:rsid w:val="00D78DC1"/>
    <w:rsid w:val="00D92E1D"/>
    <w:rsid w:val="00D96014"/>
    <w:rsid w:val="00DB4519"/>
    <w:rsid w:val="00DB5F0F"/>
    <w:rsid w:val="00DE3A45"/>
    <w:rsid w:val="00DE48B6"/>
    <w:rsid w:val="00E00CEE"/>
    <w:rsid w:val="00E10657"/>
    <w:rsid w:val="00E1206D"/>
    <w:rsid w:val="00E16FCB"/>
    <w:rsid w:val="00E203FA"/>
    <w:rsid w:val="00E23727"/>
    <w:rsid w:val="00E27EBE"/>
    <w:rsid w:val="00E305F7"/>
    <w:rsid w:val="00E323C6"/>
    <w:rsid w:val="00E33169"/>
    <w:rsid w:val="00E34A1F"/>
    <w:rsid w:val="00E4260A"/>
    <w:rsid w:val="00E455E5"/>
    <w:rsid w:val="00E523C2"/>
    <w:rsid w:val="00E55A65"/>
    <w:rsid w:val="00E606E8"/>
    <w:rsid w:val="00E716BF"/>
    <w:rsid w:val="00E8112E"/>
    <w:rsid w:val="00E818D2"/>
    <w:rsid w:val="00E85E5E"/>
    <w:rsid w:val="00E87554"/>
    <w:rsid w:val="00E909DD"/>
    <w:rsid w:val="00E94124"/>
    <w:rsid w:val="00E962DB"/>
    <w:rsid w:val="00EB1DE5"/>
    <w:rsid w:val="00EB27DF"/>
    <w:rsid w:val="00EB481D"/>
    <w:rsid w:val="00EC1EFA"/>
    <w:rsid w:val="00EC38CD"/>
    <w:rsid w:val="00EC5DA3"/>
    <w:rsid w:val="00ED18EA"/>
    <w:rsid w:val="00ED2E29"/>
    <w:rsid w:val="00EE529C"/>
    <w:rsid w:val="00F22873"/>
    <w:rsid w:val="00F24F3B"/>
    <w:rsid w:val="00F26BD4"/>
    <w:rsid w:val="00F279D9"/>
    <w:rsid w:val="00F40CA7"/>
    <w:rsid w:val="00F4221E"/>
    <w:rsid w:val="00F427C1"/>
    <w:rsid w:val="00F5731A"/>
    <w:rsid w:val="00F66D79"/>
    <w:rsid w:val="00F711E4"/>
    <w:rsid w:val="00F765F4"/>
    <w:rsid w:val="00F938B5"/>
    <w:rsid w:val="00FB7722"/>
    <w:rsid w:val="00FD44E6"/>
    <w:rsid w:val="00FE6C30"/>
    <w:rsid w:val="015276F9"/>
    <w:rsid w:val="0280D25E"/>
    <w:rsid w:val="02A2EDC5"/>
    <w:rsid w:val="03F7600F"/>
    <w:rsid w:val="03FB14F9"/>
    <w:rsid w:val="040405BC"/>
    <w:rsid w:val="0454955C"/>
    <w:rsid w:val="057F3F87"/>
    <w:rsid w:val="076BBDAA"/>
    <w:rsid w:val="07CB9148"/>
    <w:rsid w:val="08349785"/>
    <w:rsid w:val="08627A59"/>
    <w:rsid w:val="098301A0"/>
    <w:rsid w:val="0A63E16F"/>
    <w:rsid w:val="0B13290D"/>
    <w:rsid w:val="0B337011"/>
    <w:rsid w:val="0BD5359D"/>
    <w:rsid w:val="0BF0A092"/>
    <w:rsid w:val="0CA8F4DA"/>
    <w:rsid w:val="0CC2C010"/>
    <w:rsid w:val="0D17A5C6"/>
    <w:rsid w:val="0D20C95A"/>
    <w:rsid w:val="0D5C63FF"/>
    <w:rsid w:val="0F29F7C0"/>
    <w:rsid w:val="0FDABBAF"/>
    <w:rsid w:val="0FE0C40C"/>
    <w:rsid w:val="111ABF4C"/>
    <w:rsid w:val="134CF646"/>
    <w:rsid w:val="13FD2705"/>
    <w:rsid w:val="1433460A"/>
    <w:rsid w:val="14A4E3AC"/>
    <w:rsid w:val="14BE2A52"/>
    <w:rsid w:val="153B2AD9"/>
    <w:rsid w:val="15996621"/>
    <w:rsid w:val="161987C6"/>
    <w:rsid w:val="16D61BB8"/>
    <w:rsid w:val="171AC0EF"/>
    <w:rsid w:val="171BAFE0"/>
    <w:rsid w:val="1792CD62"/>
    <w:rsid w:val="18A4B3DB"/>
    <w:rsid w:val="1E8FF761"/>
    <w:rsid w:val="1EEDCB25"/>
    <w:rsid w:val="1EFFFEC1"/>
    <w:rsid w:val="1F53A924"/>
    <w:rsid w:val="1F8977FA"/>
    <w:rsid w:val="2057BB0B"/>
    <w:rsid w:val="2061EB2E"/>
    <w:rsid w:val="2086DED7"/>
    <w:rsid w:val="20D4E3C6"/>
    <w:rsid w:val="21AF1586"/>
    <w:rsid w:val="225EEC89"/>
    <w:rsid w:val="2263159C"/>
    <w:rsid w:val="23270019"/>
    <w:rsid w:val="23317B1E"/>
    <w:rsid w:val="24405472"/>
    <w:rsid w:val="252D637F"/>
    <w:rsid w:val="25FD45E3"/>
    <w:rsid w:val="2620C794"/>
    <w:rsid w:val="262255D1"/>
    <w:rsid w:val="267CFFF9"/>
    <w:rsid w:val="26D96A5C"/>
    <w:rsid w:val="274CB897"/>
    <w:rsid w:val="28910532"/>
    <w:rsid w:val="2918516E"/>
    <w:rsid w:val="2A11DFB0"/>
    <w:rsid w:val="2A3AF5E9"/>
    <w:rsid w:val="2AA5361E"/>
    <w:rsid w:val="2AC006FB"/>
    <w:rsid w:val="2AE360C0"/>
    <w:rsid w:val="2B3A6F14"/>
    <w:rsid w:val="2B8FD364"/>
    <w:rsid w:val="2C60C3A0"/>
    <w:rsid w:val="2C882304"/>
    <w:rsid w:val="2D0B8E8F"/>
    <w:rsid w:val="2D5D433E"/>
    <w:rsid w:val="2E694C08"/>
    <w:rsid w:val="2F963C81"/>
    <w:rsid w:val="2FCE9F8E"/>
    <w:rsid w:val="30228F23"/>
    <w:rsid w:val="302BD372"/>
    <w:rsid w:val="30999489"/>
    <w:rsid w:val="30B568E8"/>
    <w:rsid w:val="315826C6"/>
    <w:rsid w:val="320D3375"/>
    <w:rsid w:val="324AAD8B"/>
    <w:rsid w:val="33582E9F"/>
    <w:rsid w:val="336E12BB"/>
    <w:rsid w:val="35900BCE"/>
    <w:rsid w:val="35A4ADBB"/>
    <w:rsid w:val="35C8FC79"/>
    <w:rsid w:val="35CD007E"/>
    <w:rsid w:val="368C95A7"/>
    <w:rsid w:val="37369AD6"/>
    <w:rsid w:val="378CBF64"/>
    <w:rsid w:val="38137426"/>
    <w:rsid w:val="393090F4"/>
    <w:rsid w:val="3A14D5EF"/>
    <w:rsid w:val="3A1BF0CA"/>
    <w:rsid w:val="3ABEE990"/>
    <w:rsid w:val="3AE22A01"/>
    <w:rsid w:val="3B11D59A"/>
    <w:rsid w:val="3B611953"/>
    <w:rsid w:val="3B8EEEA6"/>
    <w:rsid w:val="3C3CD58A"/>
    <w:rsid w:val="3CF7988F"/>
    <w:rsid w:val="3D1D9DA2"/>
    <w:rsid w:val="3D600A0D"/>
    <w:rsid w:val="3D7B12CF"/>
    <w:rsid w:val="3E20340F"/>
    <w:rsid w:val="3E50A0B9"/>
    <w:rsid w:val="3F1A8AE7"/>
    <w:rsid w:val="3F54D1A4"/>
    <w:rsid w:val="3F901236"/>
    <w:rsid w:val="3FC5481F"/>
    <w:rsid w:val="4450F5B0"/>
    <w:rsid w:val="459A8518"/>
    <w:rsid w:val="47E243B7"/>
    <w:rsid w:val="4880311C"/>
    <w:rsid w:val="4A378729"/>
    <w:rsid w:val="4B1457CC"/>
    <w:rsid w:val="4B85EAB5"/>
    <w:rsid w:val="4BE92310"/>
    <w:rsid w:val="4C8AFE4E"/>
    <w:rsid w:val="4E19B3AD"/>
    <w:rsid w:val="4E4D699B"/>
    <w:rsid w:val="4E9929EB"/>
    <w:rsid w:val="4FA78CF0"/>
    <w:rsid w:val="4FE2BE3A"/>
    <w:rsid w:val="4FECF1DC"/>
    <w:rsid w:val="50770F08"/>
    <w:rsid w:val="50774520"/>
    <w:rsid w:val="512D2205"/>
    <w:rsid w:val="51DCC487"/>
    <w:rsid w:val="53216E51"/>
    <w:rsid w:val="538F2EA3"/>
    <w:rsid w:val="543D38E6"/>
    <w:rsid w:val="54790183"/>
    <w:rsid w:val="54872B0B"/>
    <w:rsid w:val="55233CEF"/>
    <w:rsid w:val="552AAFF5"/>
    <w:rsid w:val="55556379"/>
    <w:rsid w:val="556751C2"/>
    <w:rsid w:val="5675771D"/>
    <w:rsid w:val="56F92FC7"/>
    <w:rsid w:val="58070F35"/>
    <w:rsid w:val="58AB10AD"/>
    <w:rsid w:val="59B98AF7"/>
    <w:rsid w:val="5A8BFBB6"/>
    <w:rsid w:val="5AF57AA3"/>
    <w:rsid w:val="5B39B213"/>
    <w:rsid w:val="5B794CC6"/>
    <w:rsid w:val="5C4DC6A6"/>
    <w:rsid w:val="5C93734C"/>
    <w:rsid w:val="5CE35E8C"/>
    <w:rsid w:val="5FB28599"/>
    <w:rsid w:val="5FD078D7"/>
    <w:rsid w:val="606167A7"/>
    <w:rsid w:val="60A48B15"/>
    <w:rsid w:val="60BC6476"/>
    <w:rsid w:val="60C55F63"/>
    <w:rsid w:val="6183FDC4"/>
    <w:rsid w:val="61F12A1C"/>
    <w:rsid w:val="62326025"/>
    <w:rsid w:val="63B1BBD5"/>
    <w:rsid w:val="6427E455"/>
    <w:rsid w:val="6461571F"/>
    <w:rsid w:val="6490867A"/>
    <w:rsid w:val="65493F27"/>
    <w:rsid w:val="65CC6103"/>
    <w:rsid w:val="65EFD5A1"/>
    <w:rsid w:val="6621BC6C"/>
    <w:rsid w:val="66599E2B"/>
    <w:rsid w:val="667D7C46"/>
    <w:rsid w:val="669C4576"/>
    <w:rsid w:val="66C3C8F9"/>
    <w:rsid w:val="6852C3BC"/>
    <w:rsid w:val="68A9309C"/>
    <w:rsid w:val="69EA79D2"/>
    <w:rsid w:val="6A1953C7"/>
    <w:rsid w:val="6A7AABDD"/>
    <w:rsid w:val="6A87CBEF"/>
    <w:rsid w:val="6AD57CD5"/>
    <w:rsid w:val="6B427819"/>
    <w:rsid w:val="6B977F67"/>
    <w:rsid w:val="6C59C9E3"/>
    <w:rsid w:val="6C9F92F7"/>
    <w:rsid w:val="6EFEA17D"/>
    <w:rsid w:val="6F1CDF17"/>
    <w:rsid w:val="705214D2"/>
    <w:rsid w:val="70BC65E3"/>
    <w:rsid w:val="70C3DEA5"/>
    <w:rsid w:val="711F43F8"/>
    <w:rsid w:val="7292F5F2"/>
    <w:rsid w:val="730B97BD"/>
    <w:rsid w:val="73219FA7"/>
    <w:rsid w:val="7457EE90"/>
    <w:rsid w:val="75674515"/>
    <w:rsid w:val="75CDCE40"/>
    <w:rsid w:val="767C4084"/>
    <w:rsid w:val="776AA880"/>
    <w:rsid w:val="776E6083"/>
    <w:rsid w:val="77AE92EA"/>
    <w:rsid w:val="77B34D28"/>
    <w:rsid w:val="788C3D3E"/>
    <w:rsid w:val="78DE1DED"/>
    <w:rsid w:val="790E0E28"/>
    <w:rsid w:val="79BF5782"/>
    <w:rsid w:val="79E6DFB7"/>
    <w:rsid w:val="7AC65847"/>
    <w:rsid w:val="7AE524E4"/>
    <w:rsid w:val="7BC13895"/>
    <w:rsid w:val="7C62A2A3"/>
    <w:rsid w:val="7CBB86AC"/>
    <w:rsid w:val="7CFDBA7A"/>
    <w:rsid w:val="7D3374C7"/>
    <w:rsid w:val="7D3D1318"/>
    <w:rsid w:val="7D7DC768"/>
    <w:rsid w:val="7E65832E"/>
    <w:rsid w:val="7E9FCDF5"/>
    <w:rsid w:val="7EB02EC8"/>
    <w:rsid w:val="7EC7AD2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12DBC09A"/>
  <w15:docId w15:val="{697E6C43-9D64-4E9A-AB3C-6A71594F4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4093"/>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character" w:styleId="CommentReference">
    <w:name w:val="annotation reference"/>
    <w:uiPriority w:val="99"/>
    <w:unhideWhenUsed/>
    <w:rsid w:val="0093647C"/>
    <w:rPr>
      <w:sz w:val="16"/>
      <w:szCs w:val="16"/>
    </w:rPr>
  </w:style>
  <w:style w:type="paragraph" w:styleId="BodyText">
    <w:name w:val="Body Text"/>
    <w:basedOn w:val="Normal"/>
    <w:link w:val="BodyTextChar"/>
    <w:semiHidden/>
    <w:unhideWhenUsed/>
    <w:rsid w:val="00A76F1C"/>
    <w:pPr>
      <w:spacing w:after="120"/>
    </w:pPr>
  </w:style>
  <w:style w:type="character" w:customStyle="1" w:styleId="BodyTextChar">
    <w:name w:val="Body Text Char"/>
    <w:basedOn w:val="DefaultParagraphFont"/>
    <w:link w:val="BodyText"/>
    <w:rsid w:val="00A76F1C"/>
    <w:rPr>
      <w:szCs w:val="24"/>
    </w:rPr>
  </w:style>
  <w:style w:type="character" w:styleId="FollowedHyperlink">
    <w:name w:val="FollowedHyperlink"/>
    <w:basedOn w:val="DefaultParagraphFont"/>
    <w:uiPriority w:val="99"/>
    <w:semiHidden/>
    <w:unhideWhenUsed/>
    <w:rsid w:val="00B20AFD"/>
    <w:rPr>
      <w:color w:val="800080" w:themeColor="followedHyperlink"/>
      <w:u w:val="single"/>
    </w:rPr>
  </w:style>
  <w:style w:type="paragraph" w:styleId="CommentText">
    <w:name w:val="annotation text"/>
    <w:basedOn w:val="Normal"/>
    <w:link w:val="CommentTextChar"/>
    <w:unhideWhenUsed/>
    <w:rsid w:val="00776749"/>
    <w:rPr>
      <w:szCs w:val="20"/>
    </w:rPr>
  </w:style>
  <w:style w:type="character" w:customStyle="1" w:styleId="CommentTextChar">
    <w:name w:val="Comment Text Char"/>
    <w:basedOn w:val="DefaultParagraphFont"/>
    <w:link w:val="CommentText"/>
    <w:rsid w:val="00776749"/>
  </w:style>
  <w:style w:type="paragraph" w:styleId="CommentSubject">
    <w:name w:val="annotation subject"/>
    <w:basedOn w:val="CommentText"/>
    <w:next w:val="CommentText"/>
    <w:link w:val="CommentSubjectChar"/>
    <w:semiHidden/>
    <w:unhideWhenUsed/>
    <w:rsid w:val="00776749"/>
    <w:rPr>
      <w:b/>
      <w:bCs/>
    </w:rPr>
  </w:style>
  <w:style w:type="character" w:customStyle="1" w:styleId="CommentSubjectChar">
    <w:name w:val="Comment Subject Char"/>
    <w:basedOn w:val="CommentTextChar"/>
    <w:link w:val="CommentSubject"/>
    <w:semiHidden/>
    <w:rsid w:val="00776749"/>
    <w:rPr>
      <w:b/>
      <w:bCs/>
    </w:rPr>
  </w:style>
  <w:style w:type="paragraph" w:styleId="Revision">
    <w:name w:val="Revision"/>
    <w:hidden/>
    <w:uiPriority w:val="99"/>
    <w:semiHidden/>
    <w:rsid w:val="004A4EFF"/>
    <w:rPr>
      <w:szCs w:val="24"/>
    </w:rPr>
  </w:style>
  <w:style w:type="paragraph" w:styleId="FootnoteText">
    <w:name w:val="footnote text"/>
    <w:basedOn w:val="Normal"/>
    <w:link w:val="FootnoteTextChar"/>
    <w:semiHidden/>
    <w:unhideWhenUsed/>
    <w:rsid w:val="00E16FCB"/>
    <w:rPr>
      <w:szCs w:val="20"/>
    </w:rPr>
  </w:style>
  <w:style w:type="character" w:customStyle="1" w:styleId="FootnoteTextChar">
    <w:name w:val="Footnote Text Char"/>
    <w:basedOn w:val="DefaultParagraphFont"/>
    <w:link w:val="FootnoteText"/>
    <w:semiHidden/>
    <w:rsid w:val="00E16FCB"/>
  </w:style>
  <w:style w:type="paragraph" w:styleId="Header">
    <w:name w:val="header"/>
    <w:basedOn w:val="Normal"/>
    <w:link w:val="HeaderChar"/>
    <w:semiHidden/>
    <w:unhideWhenUsed/>
    <w:rsid w:val="00442826"/>
    <w:pPr>
      <w:tabs>
        <w:tab w:val="center" w:pos="4680"/>
        <w:tab w:val="right" w:pos="9360"/>
      </w:tabs>
    </w:pPr>
  </w:style>
  <w:style w:type="character" w:customStyle="1" w:styleId="HeaderChar">
    <w:name w:val="Header Char"/>
    <w:basedOn w:val="DefaultParagraphFont"/>
    <w:link w:val="Header"/>
    <w:semiHidden/>
    <w:rsid w:val="00442826"/>
    <w:rPr>
      <w:szCs w:val="24"/>
    </w:rPr>
  </w:style>
  <w:style w:type="paragraph" w:styleId="Footer">
    <w:name w:val="footer"/>
    <w:basedOn w:val="Normal"/>
    <w:link w:val="FooterChar"/>
    <w:semiHidden/>
    <w:unhideWhenUsed/>
    <w:rsid w:val="00442826"/>
    <w:pPr>
      <w:tabs>
        <w:tab w:val="center" w:pos="4680"/>
        <w:tab w:val="right" w:pos="9360"/>
      </w:tabs>
    </w:pPr>
  </w:style>
  <w:style w:type="character" w:customStyle="1" w:styleId="FooterChar">
    <w:name w:val="Footer Char"/>
    <w:basedOn w:val="DefaultParagraphFont"/>
    <w:link w:val="Footer"/>
    <w:semiHidden/>
    <w:rsid w:val="00442826"/>
    <w:rPr>
      <w:szCs w:val="24"/>
    </w:rPr>
  </w:style>
  <w:style w:type="character" w:styleId="UnresolvedMention">
    <w:name w:val="Unresolved Mention"/>
    <w:basedOn w:val="DefaultParagraphFont"/>
    <w:uiPriority w:val="99"/>
    <w:unhideWhenUsed/>
    <w:rsid w:val="00B66A5A"/>
    <w:rPr>
      <w:color w:val="605E5C"/>
      <w:shd w:val="clear" w:color="auto" w:fill="E1DFDD"/>
    </w:rPr>
  </w:style>
  <w:style w:type="character" w:styleId="Mention">
    <w:name w:val="Mention"/>
    <w:basedOn w:val="DefaultParagraphFont"/>
    <w:uiPriority w:val="99"/>
    <w:unhideWhenUsed/>
    <w:rsid w:val="00B66A5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oh/office-and-administrative-support/secretaries-and-administrative-assistants.htm" TargetMode="External" /><Relationship Id="rId2" Type="http://schemas.openxmlformats.org/officeDocument/2006/relationships/hyperlink" Target="https://www.opm.gov/policy-data-oversight/pay-leave/salaries-wages/salary-tables/pdf/2025/DCB.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563d4085-1561-447a-8505-e75e0907b9a5">53DKEVC37KCK-63020003-5344</_dlc_DocId>
    <_dlc_DocIdUrl xmlns="563d4085-1561-447a-8505-e75e0907b9a5">
      <Url>https://nih.sharepoint.com/sites/HRSA-BHW-DPSD/frns-regs/_layouts/15/DocIdRedir.aspx?ID=53DKEVC37KCK-63020003-5344</Url>
      <Description>53DKEVC37KCK-63020003-5344</Description>
    </_dlc_DocIdUrl>
    <lcf76f155ced4ddcb4097134ff3c332f xmlns="3670810f-8565-4c3e-b5ed-79c12a6a0d5d">
      <Terms xmlns="http://schemas.microsoft.com/office/infopath/2007/PartnerControls"/>
    </lcf76f155ced4ddcb4097134ff3c332f>
    <TaxCatchAll xmlns="563d4085-1561-447a-8505-e75e0907b9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F3E1988092514BBBB5A08AB3A67DA0" ma:contentTypeVersion="14" ma:contentTypeDescription="Create a new document." ma:contentTypeScope="" ma:versionID="649ea964b3ce7d3835c915a0b04bef16">
  <xsd:schema xmlns:xsd="http://www.w3.org/2001/XMLSchema" xmlns:xs="http://www.w3.org/2001/XMLSchema" xmlns:p="http://schemas.microsoft.com/office/2006/metadata/properties" xmlns:ns2="563d4085-1561-447a-8505-e75e0907b9a5" xmlns:ns3="3670810f-8565-4c3e-b5ed-79c12a6a0d5d" targetNamespace="http://schemas.microsoft.com/office/2006/metadata/properties" ma:root="true" ma:fieldsID="b71b22a631b0d6825da431cb23e7db72" ns2:_="" ns3:_="">
    <xsd:import namespace="563d4085-1561-447a-8505-e75e0907b9a5"/>
    <xsd:import namespace="3670810f-8565-4c3e-b5ed-79c12a6a0d5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4085-1561-447a-8505-e75e0907b9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d6e46612-7179-4062-a42e-dbce8baa966c}" ma:internalName="TaxCatchAll" ma:showField="CatchAllData" ma:web="563d4085-1561-447a-8505-e75e0907b9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70810f-8565-4c3e-b5ed-79c12a6a0d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63411E-3D6B-4FDB-A260-6BB03CC1E719}">
  <ds:schemaRefs>
    <ds:schemaRef ds:uri="http://schemas.openxmlformats.org/officeDocument/2006/bibliography"/>
  </ds:schemaRefs>
</ds:datastoreItem>
</file>

<file path=customXml/itemProps2.xml><?xml version="1.0" encoding="utf-8"?>
<ds:datastoreItem xmlns:ds="http://schemas.openxmlformats.org/officeDocument/2006/customXml" ds:itemID="{B6409447-424B-46F1-97B6-0598EFE31B15}">
  <ds:schemaRefs>
    <ds:schemaRef ds:uri="67db86a1-9af1-43d3-bfc7-627a4d2f08a0"/>
    <ds:schemaRef ds:uri="http://purl.org/dc/terms/"/>
    <ds:schemaRef ds:uri="http://schemas.microsoft.com/office/2006/metadata/properties"/>
    <ds:schemaRef ds:uri="http://schemas.microsoft.com/office/infopath/2007/PartnerControls"/>
    <ds:schemaRef ds:uri="http://www.w3.org/XML/1998/namespace"/>
    <ds:schemaRef ds:uri="http://purl.org/dc/dcmitype/"/>
    <ds:schemaRef ds:uri="http://schemas.microsoft.com/office/2006/documentManagement/types"/>
    <ds:schemaRef ds:uri="68c2e6f3-6ea4-42c3-835e-44e49d8f3a1e"/>
    <ds:schemaRef ds:uri="http://schemas.openxmlformats.org/package/2006/metadata/core-properties"/>
    <ds:schemaRef ds:uri="http://purl.org/dc/elements/1.1/"/>
    <ds:schemaRef ds:uri="563d4085-1561-447a-8505-e75e0907b9a5"/>
    <ds:schemaRef ds:uri="3670810f-8565-4c3e-b5ed-79c12a6a0d5d"/>
  </ds:schemaRefs>
</ds:datastoreItem>
</file>

<file path=customXml/itemProps3.xml><?xml version="1.0" encoding="utf-8"?>
<ds:datastoreItem xmlns:ds="http://schemas.openxmlformats.org/officeDocument/2006/customXml" ds:itemID="{619E5B6E-A466-4CD8-B194-3F38D30A2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4085-1561-447a-8505-e75e0907b9a5"/>
    <ds:schemaRef ds:uri="3670810f-8565-4c3e-b5ed-79c12a6a0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1806D4-59E1-46AA-AC75-D12EFFD0B962}">
  <ds:schemaRefs>
    <ds:schemaRef ds:uri="http://schemas.microsoft.com/sharepoint/v3/contenttype/forms"/>
  </ds:schemaRefs>
</ds:datastoreItem>
</file>

<file path=customXml/itemProps5.xml><?xml version="1.0" encoding="utf-8"?>
<ds:datastoreItem xmlns:ds="http://schemas.openxmlformats.org/officeDocument/2006/customXml" ds:itemID="{01458CEF-51BF-4234-8B8C-3F431C541377}">
  <ds:schemaRefs>
    <ds:schemaRef ds:uri="http://schemas.microsoft.com/sharepoint/event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3</TotalTime>
  <Pages>6</Pages>
  <Words>1529</Words>
  <Characters>8702</Characters>
  <Application>Microsoft Office Word</Application>
  <DocSecurity>0</DocSecurity>
  <Lines>72</Lines>
  <Paragraphs>20</Paragraphs>
  <ScaleCrop>false</ScaleCrop>
  <Company>CMS</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creator>Jodi.Duckhorn</dc:creator>
  <cp:lastModifiedBy>HRSA</cp:lastModifiedBy>
  <cp:revision>7</cp:revision>
  <cp:lastPrinted>2010-10-14T13:41:00Z</cp:lastPrinted>
  <dcterms:created xsi:type="dcterms:W3CDTF">2025-08-26T12:52:00Z</dcterms:created>
  <dcterms:modified xsi:type="dcterms:W3CDTF">2025-09-17T12:25:00Z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0x01010043F3E1988092514BBBB5A08AB3A67DA0</vt:lpwstr>
  </property>
  <property fmtid="{D5CDD505-2E9C-101B-9397-08002B2CF9AE}" pid="3" name="MediaServiceImageTags">
    <vt:lpwstr/>
  </property>
  <property fmtid="{D5CDD505-2E9C-101B-9397-08002B2CF9AE}" pid="4" name="OAA/OGCReviewComplete">
    <vt:bool>true</vt:bool>
  </property>
  <property fmtid="{D5CDD505-2E9C-101B-9397-08002B2CF9AE}" pid="5" name="SamReviewComplete">
    <vt:bool>false</vt:bool>
  </property>
  <property fmtid="{D5CDD505-2E9C-101B-9397-08002B2CF9AE}" pid="6" name="SamReviewRequired?">
    <vt:bool>false</vt:bool>
  </property>
  <property fmtid="{D5CDD505-2E9C-101B-9397-08002B2CF9AE}" pid="7" name="_dlc_DocIdItemGuid">
    <vt:lpwstr>c60b9c7d-6755-4b23-b660-f8fbeee112af</vt:lpwstr>
  </property>
</Properties>
</file>