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1BDB" w:rsidP="00B56752" w14:paraId="408222C8" w14:textId="77777777">
      <w:pPr>
        <w:autoSpaceDE w:val="0"/>
        <w:autoSpaceDN w:val="0"/>
        <w:adjustRightInd w:val="0"/>
        <w:rPr>
          <w:rFonts w:asciiTheme="minorHAnsi" w:hAnsiTheme="minorHAnsi"/>
          <w:b/>
          <w:bCs/>
          <w:color w:val="FF0000"/>
          <w:sz w:val="22"/>
          <w:szCs w:val="22"/>
        </w:rPr>
      </w:pPr>
    </w:p>
    <w:p w:rsidR="00913EDB" w:rsidRPr="00913EDB" w:rsidP="00FB432B" w14:paraId="408222C9" w14:textId="77777777">
      <w:pPr>
        <w:autoSpaceDE w:val="0"/>
        <w:autoSpaceDN w:val="0"/>
        <w:adjustRightInd w:val="0"/>
        <w:jc w:val="center"/>
        <w:rPr>
          <w:rFonts w:asciiTheme="minorHAnsi" w:hAnsiTheme="minorHAnsi"/>
          <w:b/>
          <w:bCs/>
          <w:color w:val="FF0000"/>
          <w:sz w:val="22"/>
          <w:szCs w:val="22"/>
        </w:rPr>
      </w:pPr>
    </w:p>
    <w:p w:rsidR="00211558" w:rsidRPr="00691454" w:rsidP="00FB432B" w14:paraId="408222CA" w14:textId="77777777">
      <w:pPr>
        <w:autoSpaceDE w:val="0"/>
        <w:autoSpaceDN w:val="0"/>
        <w:adjustRightInd w:val="0"/>
        <w:ind w:left="720"/>
        <w:jc w:val="center"/>
        <w:rPr>
          <w:b/>
          <w:bCs/>
        </w:rPr>
      </w:pPr>
    </w:p>
    <w:p w:rsidR="00384074" w:rsidP="00384074" w14:paraId="408222CB"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SUPPORTING STATEMENT</w:t>
      </w:r>
      <w:r w:rsidRPr="00EA366E">
        <w:rPr>
          <w:rFonts w:eastAsiaTheme="majorEastAsia"/>
          <w:b/>
          <w:i/>
          <w:iCs/>
          <w:color w:val="404040" w:themeColor="text1" w:themeTint="BF"/>
          <w:sz w:val="28"/>
          <w:szCs w:val="28"/>
        </w:rPr>
        <w:t xml:space="preserve">:  </w:t>
      </w:r>
      <w:r>
        <w:rPr>
          <w:rFonts w:asciiTheme="majorHAnsi" w:eastAsiaTheme="majorEastAsia" w:hAnsiTheme="majorHAnsi" w:cstheme="majorBidi"/>
          <w:i/>
          <w:iCs/>
          <w:color w:val="404040" w:themeColor="text1" w:themeTint="BF"/>
          <w:sz w:val="28"/>
          <w:szCs w:val="28"/>
        </w:rPr>
        <w:t>PART</w:t>
      </w:r>
      <w:r>
        <w:rPr>
          <w:rFonts w:asciiTheme="majorHAnsi" w:eastAsiaTheme="majorEastAsia" w:hAnsiTheme="majorHAnsi" w:cstheme="majorBidi"/>
          <w:i/>
          <w:iCs/>
          <w:color w:val="404040" w:themeColor="text1" w:themeTint="BF"/>
          <w:sz w:val="28"/>
          <w:szCs w:val="28"/>
        </w:rPr>
        <w:t xml:space="preserve"> A</w:t>
      </w:r>
    </w:p>
    <w:p w:rsidR="0092047B" w:rsidP="00384074" w14:paraId="408222CC" w14:textId="3019769E">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5BE84D8F" w14:textId="79F44FB2">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2CA25D52" w14:textId="6BE2DDCA">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796387C3" w14:textId="7A5C4DEE">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42269AAC" w14:textId="5E089206">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09D6CC58" w14:textId="106A0F7B">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4FE0AE69" w14:textId="798FCBFB">
      <w:pPr>
        <w:keepNext/>
        <w:keepLines/>
        <w:jc w:val="center"/>
        <w:outlineLvl w:val="6"/>
        <w:rPr>
          <w:rFonts w:asciiTheme="majorHAnsi" w:eastAsiaTheme="majorEastAsia" w:hAnsiTheme="majorHAnsi" w:cstheme="majorBidi"/>
          <w:i/>
          <w:iCs/>
          <w:color w:val="404040" w:themeColor="text1" w:themeTint="BF"/>
          <w:sz w:val="28"/>
          <w:szCs w:val="28"/>
        </w:rPr>
      </w:pPr>
    </w:p>
    <w:p w:rsidR="00BD6966" w:rsidP="00384074" w14:paraId="1C915439" w14:textId="0E58C1E3">
      <w:pPr>
        <w:keepNext/>
        <w:keepLines/>
        <w:jc w:val="center"/>
        <w:outlineLvl w:val="6"/>
        <w:rPr>
          <w:rFonts w:asciiTheme="majorHAnsi" w:eastAsiaTheme="majorEastAsia" w:hAnsiTheme="majorHAnsi" w:cstheme="majorBidi"/>
          <w:i/>
          <w:iCs/>
          <w:color w:val="404040" w:themeColor="text1" w:themeTint="BF"/>
          <w:sz w:val="28"/>
          <w:szCs w:val="28"/>
        </w:rPr>
      </w:pPr>
    </w:p>
    <w:p w:rsidR="00BD6966" w:rsidRPr="00EA366E" w:rsidP="00384074" w14:paraId="7E12D743" w14:textId="77777777">
      <w:pPr>
        <w:keepNext/>
        <w:keepLines/>
        <w:jc w:val="center"/>
        <w:outlineLvl w:val="6"/>
        <w:rPr>
          <w:rFonts w:asciiTheme="majorHAnsi" w:eastAsiaTheme="majorEastAsia" w:hAnsiTheme="majorHAnsi" w:cstheme="majorBidi"/>
          <w:i/>
          <w:iCs/>
          <w:color w:val="404040" w:themeColor="text1" w:themeTint="BF"/>
          <w:sz w:val="28"/>
          <w:szCs w:val="28"/>
        </w:rPr>
      </w:pPr>
    </w:p>
    <w:p w:rsidR="00972DEF" w:rsidRPr="00691454" w:rsidP="00FB432B" w14:paraId="408222CD" w14:textId="77777777">
      <w:pPr>
        <w:pStyle w:val="BalloonText"/>
        <w:jc w:val="center"/>
      </w:pPr>
    </w:p>
    <w:p w:rsidR="0092047B" w:rsidRPr="00691454" w:rsidP="00937792" w14:paraId="408222CE" w14:textId="776F348D">
      <w:pPr>
        <w:autoSpaceDE w:val="0"/>
        <w:autoSpaceDN w:val="0"/>
        <w:adjustRightInd w:val="0"/>
        <w:ind w:left="720"/>
        <w:jc w:val="center"/>
        <w:rPr>
          <w:b/>
          <w:bCs/>
        </w:rPr>
      </w:pPr>
      <w:r>
        <w:rPr>
          <w:b/>
          <w:bCs/>
        </w:rPr>
        <w:t xml:space="preserve">Performance </w:t>
      </w:r>
      <w:r w:rsidR="00CB205C">
        <w:rPr>
          <w:b/>
          <w:bCs/>
        </w:rPr>
        <w:t xml:space="preserve">Monitoring </w:t>
      </w:r>
      <w:r w:rsidR="00937792">
        <w:rPr>
          <w:b/>
          <w:bCs/>
        </w:rPr>
        <w:t xml:space="preserve">of CDC’s </w:t>
      </w:r>
      <w:r w:rsidR="00A516A7">
        <w:rPr>
          <w:b/>
          <w:bCs/>
        </w:rPr>
        <w:t>Comprehensive Suicide</w:t>
      </w:r>
      <w:r w:rsidR="00937792">
        <w:rPr>
          <w:b/>
          <w:bCs/>
        </w:rPr>
        <w:t xml:space="preserve"> Prevention Program</w:t>
      </w:r>
    </w:p>
    <w:p w:rsidR="00972DEF" w:rsidRPr="00691454" w:rsidP="00FB432B" w14:paraId="408222CF" w14:textId="77777777">
      <w:pPr>
        <w:autoSpaceDE w:val="0"/>
        <w:autoSpaceDN w:val="0"/>
        <w:adjustRightInd w:val="0"/>
        <w:jc w:val="center"/>
        <w:rPr>
          <w:b/>
          <w:bCs/>
        </w:rPr>
      </w:pPr>
    </w:p>
    <w:p w:rsidR="00972DEF" w:rsidRPr="00BD6966" w:rsidP="00FB432B" w14:paraId="408222D0" w14:textId="1242A093">
      <w:pPr>
        <w:jc w:val="center"/>
        <w:rPr>
          <w:b/>
          <w:bCs/>
        </w:rPr>
      </w:pPr>
      <w:r w:rsidRPr="005A506C">
        <w:rPr>
          <w:b/>
          <w:bCs/>
        </w:rPr>
        <w:t>OMB# 0920-</w:t>
      </w:r>
      <w:r w:rsidR="00265B64">
        <w:rPr>
          <w:b/>
          <w:bCs/>
        </w:rPr>
        <w:t>1368</w:t>
      </w:r>
    </w:p>
    <w:p w:rsidR="0092047B" w:rsidRPr="00DA3D7D" w:rsidP="00FB432B" w14:paraId="408222D1" w14:textId="77777777">
      <w:pPr>
        <w:jc w:val="center"/>
        <w:rPr>
          <w:b/>
          <w:bCs/>
        </w:rPr>
      </w:pPr>
    </w:p>
    <w:p w:rsidR="00E2294D" w:rsidRPr="009E705A" w:rsidP="00FB432B" w14:paraId="408222D4" w14:textId="11ABE4A3">
      <w:pPr>
        <w:jc w:val="center"/>
        <w:rPr>
          <w:b/>
          <w:bCs/>
        </w:rPr>
      </w:pPr>
      <w:r>
        <w:rPr>
          <w:b/>
          <w:bCs/>
        </w:rPr>
        <w:t xml:space="preserve">August </w:t>
      </w:r>
      <w:r w:rsidR="00D44554">
        <w:rPr>
          <w:b/>
          <w:bCs/>
        </w:rPr>
        <w:t>28</w:t>
      </w:r>
      <w:r>
        <w:rPr>
          <w:b/>
          <w:bCs/>
        </w:rPr>
        <w:t>, 2025</w:t>
      </w:r>
    </w:p>
    <w:p w:rsidR="009901D4" w:rsidRPr="00691454" w:rsidP="00FB432B" w14:paraId="408222D5" w14:textId="77777777">
      <w:pPr>
        <w:jc w:val="center"/>
      </w:pPr>
    </w:p>
    <w:p w:rsidR="009901D4" w:rsidRPr="00691454" w:rsidP="00FB432B" w14:paraId="408222D6" w14:textId="77777777">
      <w:pPr>
        <w:jc w:val="center"/>
      </w:pPr>
    </w:p>
    <w:p w:rsidR="00972DEF" w:rsidRPr="00691454" w:rsidP="00FB432B" w14:paraId="408222D7" w14:textId="77777777">
      <w:pPr>
        <w:jc w:val="center"/>
      </w:pPr>
    </w:p>
    <w:p w:rsidR="00972DEF" w:rsidRPr="00691454" w:rsidP="00FB432B" w14:paraId="408222D8" w14:textId="77777777">
      <w:pPr>
        <w:jc w:val="center"/>
      </w:pPr>
    </w:p>
    <w:p w:rsidR="00972DEF" w:rsidRPr="00691454" w:rsidP="00FB432B" w14:paraId="408222D9" w14:textId="77777777">
      <w:pPr>
        <w:jc w:val="center"/>
      </w:pPr>
    </w:p>
    <w:p w:rsidR="00972DEF" w:rsidRPr="00691454" w:rsidP="00FB432B" w14:paraId="408222DA" w14:textId="77777777">
      <w:pPr>
        <w:jc w:val="center"/>
      </w:pPr>
      <w:r w:rsidRPr="00691454">
        <w:t>Point of Contact</w:t>
      </w:r>
      <w:r w:rsidRPr="00691454">
        <w:t>:</w:t>
      </w:r>
    </w:p>
    <w:p w:rsidR="002B2CCA" w:rsidP="002B2CCA" w14:paraId="58B6226E" w14:textId="0B927DB7">
      <w:pPr>
        <w:jc w:val="center"/>
        <w:rPr>
          <w:color w:val="000000" w:themeColor="text1"/>
        </w:rPr>
      </w:pPr>
      <w:r w:rsidRPr="5ED3CFF8">
        <w:rPr>
          <w:color w:val="000000" w:themeColor="text1"/>
        </w:rPr>
        <w:t>Deb</w:t>
      </w:r>
      <w:r>
        <w:rPr>
          <w:color w:val="000000" w:themeColor="text1"/>
        </w:rPr>
        <w:t>orah</w:t>
      </w:r>
      <w:r w:rsidRPr="5ED3CFF8">
        <w:rPr>
          <w:color w:val="000000" w:themeColor="text1"/>
        </w:rPr>
        <w:t xml:space="preserve"> Stone</w:t>
      </w:r>
    </w:p>
    <w:p w:rsidR="00572005" w:rsidP="002B2CCA" w14:paraId="5DC65C37" w14:textId="77777777">
      <w:pPr>
        <w:jc w:val="center"/>
      </w:pPr>
    </w:p>
    <w:p w:rsidR="002B2CCA" w:rsidRPr="00691454" w:rsidP="002B2CCA" w14:paraId="5E53BB43" w14:textId="77777777">
      <w:pPr>
        <w:jc w:val="center"/>
      </w:pPr>
      <w:r w:rsidRPr="5ED3CFF8">
        <w:t>Contact Information:</w:t>
      </w:r>
    </w:p>
    <w:p w:rsidR="002B2CCA" w:rsidRPr="00691454" w:rsidP="002B2CCA" w14:paraId="4D43E95B" w14:textId="77777777">
      <w:pPr>
        <w:pStyle w:val="E-mailSignature"/>
        <w:jc w:val="center"/>
        <w:rPr>
          <w:noProof/>
        </w:rPr>
      </w:pPr>
      <w:r w:rsidRPr="00691454">
        <w:rPr>
          <w:noProof/>
        </w:rPr>
        <w:t>Centers for Disease Control and Prevention</w:t>
      </w:r>
    </w:p>
    <w:p w:rsidR="002B2CCA" w:rsidRPr="00691454" w:rsidP="002B2CCA" w14:paraId="415C371A" w14:textId="77777777">
      <w:pPr>
        <w:pStyle w:val="E-mailSignature"/>
        <w:jc w:val="center"/>
        <w:rPr>
          <w:noProof/>
        </w:rPr>
      </w:pPr>
      <w:r w:rsidRPr="00691454">
        <w:rPr>
          <w:noProof/>
        </w:rPr>
        <w:t>National Center for Injury Prevention and Control</w:t>
      </w:r>
    </w:p>
    <w:p w:rsidR="00972DEF" w:rsidP="00972DEF" w14:paraId="408222E4" w14:textId="35306B56">
      <w:pPr>
        <w:jc w:val="center"/>
      </w:pPr>
    </w:p>
    <w:p w:rsidR="00E2294D" w:rsidP="00972DEF" w14:paraId="408222E5" w14:textId="4D8BE9EF">
      <w:pPr>
        <w:jc w:val="center"/>
      </w:pPr>
    </w:p>
    <w:p w:rsidR="00B72FF0" w:rsidP="00972DEF" w14:paraId="0B9A46C0" w14:textId="77777777">
      <w:pPr>
        <w:jc w:val="center"/>
      </w:pPr>
    </w:p>
    <w:p w:rsidR="00E2294D" w:rsidP="00972DEF" w14:paraId="408222E6" w14:textId="77777777">
      <w:pPr>
        <w:jc w:val="center"/>
      </w:pPr>
    </w:p>
    <w:p w:rsidR="00E2294D" w:rsidP="00972DEF" w14:paraId="408222E7" w14:textId="4543CB3B">
      <w:pPr>
        <w:jc w:val="center"/>
      </w:pPr>
    </w:p>
    <w:p w:rsidR="0024164E" w:rsidP="00972DEF" w14:paraId="54D85E37" w14:textId="1C9054FD">
      <w:pPr>
        <w:jc w:val="center"/>
      </w:pPr>
    </w:p>
    <w:p w:rsidR="0024164E" w:rsidP="00972DEF" w14:paraId="681940B4" w14:textId="2F11BCFE">
      <w:pPr>
        <w:jc w:val="center"/>
      </w:pPr>
    </w:p>
    <w:p w:rsidR="007E1091" w:rsidP="00972DEF" w14:paraId="568C1BE3" w14:textId="77777777">
      <w:pPr>
        <w:jc w:val="center"/>
      </w:pPr>
    </w:p>
    <w:p w:rsidR="00AE04CB" w:rsidP="00972DEF" w14:paraId="307D7E5A" w14:textId="77777777">
      <w:pPr>
        <w:jc w:val="center"/>
      </w:pPr>
    </w:p>
    <w:p w:rsidR="00AE04CB" w:rsidP="00972DEF" w14:paraId="3724DDFD" w14:textId="77777777">
      <w:pPr>
        <w:jc w:val="center"/>
      </w:pPr>
    </w:p>
    <w:p w:rsidR="0024164E" w:rsidP="00972DEF" w14:paraId="7FA1087A" w14:textId="49F067C2">
      <w:pPr>
        <w:jc w:val="center"/>
      </w:pPr>
    </w:p>
    <w:p w:rsidR="0024164E" w:rsidP="00972DEF" w14:paraId="26C96601" w14:textId="3AD5B28B">
      <w:pPr>
        <w:jc w:val="center"/>
      </w:pPr>
    </w:p>
    <w:p w:rsidR="0024164E" w:rsidP="00972DEF" w14:paraId="332F5111" w14:textId="649BEC6C">
      <w:pPr>
        <w:jc w:val="center"/>
      </w:pPr>
    </w:p>
    <w:p w:rsidR="005514B6" w:rsidP="00F63E8B" w14:paraId="7BF655E8" w14:textId="77777777">
      <w:pPr>
        <w:ind w:firstLine="720"/>
        <w:jc w:val="center"/>
        <w:rPr>
          <w:b/>
          <w:bCs/>
        </w:rPr>
      </w:pPr>
    </w:p>
    <w:p w:rsidR="00972DEF" w:rsidRPr="00691454" w:rsidP="00F63E8B" w14:paraId="408222EA" w14:textId="3885B17A">
      <w:pPr>
        <w:ind w:firstLine="720"/>
        <w:jc w:val="center"/>
        <w:rPr>
          <w:b/>
          <w:bCs/>
          <w:noProof/>
        </w:rPr>
      </w:pPr>
      <w:r w:rsidRPr="00691454">
        <w:rPr>
          <w:b/>
          <w:bCs/>
        </w:rPr>
        <w:t>CONTE</w:t>
      </w:r>
      <w:r w:rsidRPr="00691454">
        <w:rPr>
          <w:b/>
          <w:bCs/>
          <w:noProof/>
        </w:rPr>
        <w:t>NTS</w:t>
      </w:r>
    </w:p>
    <w:p w:rsidR="00972DEF" w:rsidRPr="00691454" w:rsidP="00972DEF" w14:paraId="408222EB" w14:textId="77777777">
      <w:pPr>
        <w:pStyle w:val="T0-ChapPgHd"/>
        <w:jc w:val="left"/>
        <w:rPr>
          <w:noProof/>
        </w:rPr>
      </w:pPr>
      <w:r w:rsidRPr="00691454">
        <w:rPr>
          <w:noProof/>
        </w:rPr>
        <w:t>Section</w:t>
      </w:r>
      <w:r w:rsidRPr="00691454">
        <w:rPr>
          <w:noProof/>
        </w:rPr>
        <w:tab/>
        <w:t>Page</w:t>
      </w:r>
    </w:p>
    <w:p w:rsidR="00972DEF" w:rsidRPr="00691454" w:rsidP="00972DEF" w14:paraId="408222EC" w14:textId="77777777">
      <w:pPr>
        <w:pStyle w:val="T0-ChapPgHd"/>
        <w:jc w:val="left"/>
        <w:rPr>
          <w:noProof/>
        </w:rPr>
      </w:pPr>
    </w:p>
    <w:p w:rsidR="002B38B4" w:rsidRPr="00691454" w:rsidP="002B38B4" w14:paraId="4EAE9172" w14:textId="60522A73">
      <w:pPr>
        <w:pStyle w:val="TOC1"/>
        <w:rPr>
          <w:noProof/>
        </w:rPr>
      </w:pPr>
      <w:r w:rsidRPr="4DA8CA99">
        <w:rPr>
          <w:noProof/>
        </w:rPr>
        <w:t>A.</w:t>
      </w:r>
      <w:r>
        <w:tab/>
      </w:r>
      <w:r w:rsidRPr="4DA8CA99">
        <w:rPr>
          <w:noProof/>
        </w:rPr>
        <w:t>Summary table</w:t>
      </w:r>
      <w:r>
        <w:tab/>
      </w:r>
      <w:r>
        <w:tab/>
      </w:r>
      <w:r w:rsidRPr="4DA8CA99">
        <w:rPr>
          <w:noProof/>
        </w:rPr>
        <w:t>3</w:t>
      </w:r>
    </w:p>
    <w:p w:rsidR="002B38B4" w:rsidP="002B38B4" w14:paraId="1A0EACBD" w14:textId="77777777">
      <w:pPr>
        <w:pStyle w:val="TOC1"/>
        <w:rPr>
          <w:noProof/>
        </w:rPr>
      </w:pPr>
    </w:p>
    <w:p w:rsidR="002B38B4" w:rsidRPr="00691454" w:rsidP="2855C6D5" w14:paraId="40059ED5" w14:textId="77777777">
      <w:pPr>
        <w:pStyle w:val="TOC1"/>
        <w:rPr>
          <w:noProof/>
        </w:rPr>
      </w:pPr>
      <w:r w:rsidRPr="00691454">
        <w:rPr>
          <w:noProof/>
        </w:rPr>
        <w:t>Justification</w:t>
      </w:r>
      <w:r w:rsidRPr="00691454">
        <w:rPr>
          <w:noProof/>
        </w:rPr>
        <w:tab/>
      </w:r>
      <w:r w:rsidRPr="00691454">
        <w:rPr>
          <w:noProof/>
        </w:rPr>
        <w:tab/>
      </w:r>
      <w:r>
        <w:rPr>
          <w:noProof/>
        </w:rPr>
        <w:t>3</w:t>
      </w:r>
    </w:p>
    <w:p w:rsidR="002B38B4" w:rsidRPr="00691454" w:rsidP="002B38B4" w14:paraId="32AB38DB" w14:textId="77777777">
      <w:pPr>
        <w:pStyle w:val="TOC1"/>
        <w:rPr>
          <w:noProof/>
        </w:rPr>
      </w:pPr>
    </w:p>
    <w:p w:rsidR="002B38B4" w:rsidP="002B38B4" w14:paraId="6DB0FD7A" w14:textId="77777777">
      <w:pPr>
        <w:pStyle w:val="TOC2"/>
        <w:rPr>
          <w:noProof/>
        </w:rPr>
      </w:pPr>
      <w:r w:rsidRPr="00691454">
        <w:rPr>
          <w:noProof/>
        </w:rPr>
        <w:t>A.1.</w:t>
      </w:r>
      <w:r w:rsidRPr="00691454">
        <w:rPr>
          <w:noProof/>
        </w:rPr>
        <w:tab/>
        <w:t>Circumstances Making the Collection of Information Necessary</w:t>
      </w:r>
      <w:r w:rsidRPr="00691454">
        <w:rPr>
          <w:noProof/>
        </w:rPr>
        <w:tab/>
      </w:r>
      <w:r>
        <w:rPr>
          <w:noProof/>
        </w:rPr>
        <w:t>3</w:t>
      </w:r>
    </w:p>
    <w:p w:rsidR="002B38B4" w:rsidRPr="00691454" w:rsidP="002B38B4" w14:paraId="39F91BF2" w14:textId="77777777">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Pr>
          <w:noProof/>
        </w:rPr>
        <w:t>4</w:t>
      </w:r>
    </w:p>
    <w:p w:rsidR="002B38B4" w:rsidRPr="00691454" w:rsidP="002B38B4" w14:paraId="24B1D8AD" w14:textId="77777777">
      <w:pPr>
        <w:pStyle w:val="TOC2"/>
        <w:rPr>
          <w:noProof/>
        </w:rPr>
      </w:pPr>
      <w:r w:rsidRPr="00691454">
        <w:rPr>
          <w:noProof/>
        </w:rPr>
        <w:t>A.3.</w:t>
      </w:r>
      <w:r w:rsidRPr="00691454">
        <w:rPr>
          <w:noProof/>
        </w:rPr>
        <w:tab/>
        <w:t>Use of Improved Information Technology and Burden Reduction</w:t>
      </w:r>
      <w:r w:rsidRPr="00691454">
        <w:rPr>
          <w:noProof/>
        </w:rPr>
        <w:tab/>
      </w:r>
      <w:r>
        <w:rPr>
          <w:noProof/>
        </w:rPr>
        <w:t>6</w:t>
      </w:r>
    </w:p>
    <w:p w:rsidR="002B38B4" w:rsidRPr="00691454" w:rsidP="002B38B4" w14:paraId="55D21C72" w14:textId="77777777">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Pr>
          <w:noProof/>
        </w:rPr>
        <w:t>9</w:t>
      </w:r>
    </w:p>
    <w:p w:rsidR="002B38B4" w:rsidRPr="00691454" w:rsidP="002B38B4" w14:paraId="789A12B5" w14:textId="77777777">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Pr>
          <w:noProof/>
        </w:rPr>
        <w:t>9</w:t>
      </w:r>
    </w:p>
    <w:p w:rsidR="002B38B4" w:rsidRPr="00691454" w:rsidP="002B38B4" w14:paraId="49CCAD07" w14:textId="4CF07E52">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sidR="000B448F">
        <w:rPr>
          <w:noProof/>
        </w:rPr>
        <w:t>10</w:t>
      </w:r>
    </w:p>
    <w:p w:rsidR="002B38B4" w:rsidRPr="00691454" w:rsidP="002B38B4" w14:paraId="4C16C85F" w14:textId="77777777">
      <w:pPr>
        <w:pStyle w:val="TOC2"/>
        <w:rPr>
          <w:noProof/>
        </w:rPr>
      </w:pPr>
      <w:r w:rsidRPr="00691454">
        <w:rPr>
          <w:noProof/>
        </w:rPr>
        <w:t>A.7.</w:t>
      </w:r>
      <w:r w:rsidRPr="00691454">
        <w:rPr>
          <w:noProof/>
        </w:rPr>
        <w:tab/>
        <w:t xml:space="preserve">Special Circumstances Relating to the Guidelines of </w:t>
      </w:r>
    </w:p>
    <w:p w:rsidR="002B38B4" w:rsidRPr="00691454" w:rsidP="002B38B4" w14:paraId="2111D4C2" w14:textId="7DA67E09">
      <w:pPr>
        <w:pStyle w:val="TOC2"/>
        <w:rPr>
          <w:noProof/>
        </w:rPr>
      </w:pPr>
      <w:r w:rsidRPr="00691454">
        <w:rPr>
          <w:noProof/>
        </w:rPr>
        <w:tab/>
        <w:t>5 CFR 1320.5(d)2</w:t>
      </w:r>
      <w:r w:rsidRPr="00691454">
        <w:rPr>
          <w:noProof/>
        </w:rPr>
        <w:tab/>
      </w:r>
      <w:r w:rsidRPr="00691454">
        <w:rPr>
          <w:noProof/>
        </w:rPr>
        <w:tab/>
      </w:r>
      <w:r w:rsidR="000B448F">
        <w:rPr>
          <w:noProof/>
        </w:rPr>
        <w:t>10</w:t>
      </w:r>
    </w:p>
    <w:p w:rsidR="002B38B4" w:rsidRPr="00691454" w:rsidP="002B38B4" w14:paraId="441BCDB3" w14:textId="77777777">
      <w:pPr>
        <w:pStyle w:val="TOC2"/>
        <w:rPr>
          <w:noProof/>
        </w:rPr>
      </w:pPr>
      <w:r w:rsidRPr="00691454">
        <w:rPr>
          <w:noProof/>
        </w:rPr>
        <w:t>A.8.</w:t>
      </w:r>
      <w:r w:rsidRPr="00691454">
        <w:rPr>
          <w:noProof/>
        </w:rPr>
        <w:tab/>
        <w:t xml:space="preserve">Comments in Response to the Federal Register Notice and </w:t>
      </w:r>
    </w:p>
    <w:p w:rsidR="002B38B4" w:rsidRPr="00691454" w:rsidP="002B38B4" w14:paraId="79AF20D8" w14:textId="6E53319F">
      <w:pPr>
        <w:pStyle w:val="TOC2"/>
        <w:rPr>
          <w:noProof/>
        </w:rPr>
      </w:pPr>
      <w:r w:rsidRPr="00691454">
        <w:rPr>
          <w:noProof/>
        </w:rPr>
        <w:tab/>
        <w:t>Efforts to Consult Outside the Agency</w:t>
      </w:r>
      <w:r w:rsidRPr="00691454">
        <w:rPr>
          <w:noProof/>
        </w:rPr>
        <w:tab/>
      </w:r>
      <w:r w:rsidRPr="00691454">
        <w:rPr>
          <w:noProof/>
        </w:rPr>
        <w:tab/>
      </w:r>
      <w:r w:rsidR="00006D1D">
        <w:rPr>
          <w:noProof/>
        </w:rPr>
        <w:t>10</w:t>
      </w:r>
    </w:p>
    <w:p w:rsidR="002B38B4" w:rsidRPr="00691454" w:rsidP="002B38B4" w14:paraId="4E8BEFFC" w14:textId="56AFD311">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sidR="005821AA">
        <w:rPr>
          <w:noProof/>
        </w:rPr>
        <w:t>10</w:t>
      </w:r>
    </w:p>
    <w:p w:rsidR="002B38B4" w:rsidRPr="00691454" w:rsidP="002B38B4" w14:paraId="69827794" w14:textId="369CA656">
      <w:pPr>
        <w:pStyle w:val="TOC2"/>
        <w:rPr>
          <w:noProof/>
        </w:rPr>
      </w:pPr>
      <w:r w:rsidRPr="00691454">
        <w:rPr>
          <w:noProof/>
        </w:rPr>
        <w:t>A.10.</w:t>
      </w:r>
      <w:r w:rsidRPr="00691454">
        <w:rPr>
          <w:noProof/>
        </w:rPr>
        <w:tab/>
      </w:r>
      <w:r>
        <w:rPr>
          <w:noProof/>
        </w:rPr>
        <w:t xml:space="preserve">Protection of the   Privacy  and Confidentiality of </w:t>
      </w:r>
      <w:r w:rsidRPr="00253F44">
        <w:rPr>
          <w:noProof/>
        </w:rPr>
        <w:t xml:space="preserve">Information </w:t>
      </w:r>
      <w:r>
        <w:rPr>
          <w:noProof/>
        </w:rPr>
        <w:t xml:space="preserve">      Provided </w:t>
      </w:r>
      <w:r w:rsidRPr="00253F44">
        <w:rPr>
          <w:noProof/>
        </w:rPr>
        <w:t xml:space="preserve"> by  Respondents</w:t>
      </w:r>
      <w:r w:rsidRPr="00691454">
        <w:rPr>
          <w:noProof/>
        </w:rPr>
        <w:tab/>
      </w:r>
      <w:r w:rsidRPr="00691454">
        <w:rPr>
          <w:noProof/>
        </w:rPr>
        <w:tab/>
      </w:r>
      <w:r w:rsidR="005821AA">
        <w:rPr>
          <w:noProof/>
        </w:rPr>
        <w:t>10</w:t>
      </w:r>
    </w:p>
    <w:p w:rsidR="002B38B4" w:rsidRPr="00691454" w:rsidP="002B38B4" w14:paraId="4D324B39" w14:textId="0118CB64">
      <w:pPr>
        <w:pStyle w:val="TOC2"/>
        <w:rPr>
          <w:noProof/>
        </w:rPr>
      </w:pPr>
      <w:r w:rsidRPr="00691454">
        <w:rPr>
          <w:noProof/>
        </w:rPr>
        <w:t>A.11.</w:t>
      </w:r>
      <w:r w:rsidRPr="00691454">
        <w:rPr>
          <w:noProof/>
        </w:rPr>
        <w:tab/>
      </w:r>
      <w:r w:rsidRPr="009C1939">
        <w:rPr>
          <w:noProof/>
        </w:rPr>
        <w:t xml:space="preserve">Institutional Review Board (IRB) and </w:t>
      </w:r>
      <w:r>
        <w:rPr>
          <w:noProof/>
        </w:rPr>
        <w:t xml:space="preserve"> </w:t>
      </w:r>
      <w:r w:rsidRPr="009C1939">
        <w:rPr>
          <w:noProof/>
        </w:rPr>
        <w:t>Justification for Sensitive Questions</w:t>
      </w:r>
      <w:r w:rsidRPr="00691454">
        <w:rPr>
          <w:noProof/>
        </w:rPr>
        <w:tab/>
      </w:r>
      <w:r w:rsidRPr="00691454">
        <w:rPr>
          <w:noProof/>
        </w:rPr>
        <w:tab/>
      </w:r>
      <w:r>
        <w:rPr>
          <w:noProof/>
        </w:rPr>
        <w:t>1</w:t>
      </w:r>
      <w:r w:rsidR="00B0778B">
        <w:rPr>
          <w:noProof/>
        </w:rPr>
        <w:t>1</w:t>
      </w:r>
    </w:p>
    <w:p w:rsidR="002B38B4" w:rsidRPr="00691454" w:rsidP="002B38B4" w14:paraId="1D7C971C" w14:textId="77777777">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Pr>
          <w:noProof/>
        </w:rPr>
        <w:t>11</w:t>
      </w:r>
    </w:p>
    <w:p w:rsidR="002B38B4" w:rsidRPr="00691454" w:rsidP="002B38B4" w14:paraId="4FBDD900" w14:textId="77777777">
      <w:pPr>
        <w:pStyle w:val="TOC2"/>
        <w:rPr>
          <w:noProof/>
        </w:rPr>
      </w:pPr>
      <w:r w:rsidRPr="00691454">
        <w:rPr>
          <w:noProof/>
        </w:rPr>
        <w:t>A.13.</w:t>
      </w:r>
      <w:r w:rsidRPr="00691454">
        <w:rPr>
          <w:noProof/>
        </w:rPr>
        <w:tab/>
        <w:t xml:space="preserve">Estimates of Other Total Annual Cost Burden to Respondents </w:t>
      </w:r>
    </w:p>
    <w:p w:rsidR="002B38B4" w:rsidRPr="00691454" w:rsidP="002B38B4" w14:paraId="413AA7F2" w14:textId="091A098C">
      <w:pPr>
        <w:pStyle w:val="TOC2"/>
        <w:rPr>
          <w:noProof/>
        </w:rPr>
      </w:pPr>
      <w:r w:rsidRPr="00691454">
        <w:rPr>
          <w:noProof/>
        </w:rPr>
        <w:tab/>
        <w:t>or Record Keepers</w:t>
      </w:r>
      <w:r w:rsidRPr="00691454">
        <w:rPr>
          <w:noProof/>
        </w:rPr>
        <w:tab/>
      </w:r>
      <w:r w:rsidRPr="00691454">
        <w:rPr>
          <w:noProof/>
        </w:rPr>
        <w:tab/>
      </w:r>
      <w:r>
        <w:rPr>
          <w:noProof/>
        </w:rPr>
        <w:t>1</w:t>
      </w:r>
      <w:r w:rsidR="00AA4ABE">
        <w:rPr>
          <w:noProof/>
        </w:rPr>
        <w:t>2</w:t>
      </w:r>
    </w:p>
    <w:p w:rsidR="002B38B4" w:rsidRPr="00691454" w:rsidP="002B38B4" w14:paraId="0249CBAE" w14:textId="0C53EF81">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Pr>
          <w:noProof/>
        </w:rPr>
        <w:t>1</w:t>
      </w:r>
      <w:r w:rsidR="00AA4ABE">
        <w:rPr>
          <w:noProof/>
        </w:rPr>
        <w:t>2</w:t>
      </w:r>
    </w:p>
    <w:p w:rsidR="002B38B4" w:rsidRPr="00691454" w:rsidP="002B38B4" w14:paraId="641780BD" w14:textId="2B693FBF">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Pr>
          <w:noProof/>
        </w:rPr>
        <w:t>1</w:t>
      </w:r>
      <w:r w:rsidR="00AA4ABE">
        <w:rPr>
          <w:noProof/>
        </w:rPr>
        <w:t>3</w:t>
      </w:r>
    </w:p>
    <w:p w:rsidR="002B38B4" w:rsidRPr="00691454" w:rsidP="002B38B4" w14:paraId="74B2CB25" w14:textId="6A397AA3">
      <w:pPr>
        <w:pStyle w:val="TOC2"/>
        <w:rPr>
          <w:noProof/>
        </w:rPr>
      </w:pPr>
      <w:r w:rsidRPr="00691454">
        <w:rPr>
          <w:noProof/>
        </w:rPr>
        <w:t>A.16.</w:t>
      </w:r>
      <w:r w:rsidRPr="00691454">
        <w:rPr>
          <w:noProof/>
        </w:rPr>
        <w:tab/>
        <w:t>Plans for Tabulation and Publication and Project Time Schedule</w:t>
      </w:r>
      <w:r w:rsidRPr="00691454">
        <w:rPr>
          <w:noProof/>
        </w:rPr>
        <w:tab/>
      </w:r>
      <w:r>
        <w:rPr>
          <w:noProof/>
        </w:rPr>
        <w:t>1</w:t>
      </w:r>
      <w:r w:rsidR="00AA4ABE">
        <w:rPr>
          <w:noProof/>
        </w:rPr>
        <w:t>3</w:t>
      </w:r>
    </w:p>
    <w:p w:rsidR="002B38B4" w:rsidRPr="00691454" w:rsidP="002B38B4" w14:paraId="0A283E49" w14:textId="77777777">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Pr>
          <w:noProof/>
        </w:rPr>
        <w:t>13</w:t>
      </w:r>
    </w:p>
    <w:p w:rsidR="002B38B4" w:rsidRPr="00691454" w:rsidP="002B38B4" w14:paraId="44EA231A" w14:textId="77777777">
      <w:pPr>
        <w:pStyle w:val="TOC2"/>
        <w:rPr>
          <w:noProof/>
        </w:rPr>
      </w:pPr>
      <w:r w:rsidRPr="00691454">
        <w:rPr>
          <w:noProof/>
        </w:rPr>
        <w:t>A.18.</w:t>
      </w:r>
      <w:r w:rsidRPr="00691454">
        <w:rPr>
          <w:noProof/>
        </w:rPr>
        <w:tab/>
        <w:t xml:space="preserve">Exceptions to Certification for Paperwork Reducation Act </w:t>
      </w:r>
    </w:p>
    <w:p w:rsidR="002B38B4" w:rsidRPr="00691454" w:rsidP="002B38B4" w14:paraId="65517934" w14:textId="77777777">
      <w:pPr>
        <w:pStyle w:val="TOC2"/>
        <w:rPr>
          <w:noProof/>
        </w:rPr>
      </w:pPr>
      <w:r w:rsidRPr="00691454">
        <w:rPr>
          <w:noProof/>
        </w:rPr>
        <w:tab/>
        <w:t>Submissions</w:t>
      </w:r>
      <w:r w:rsidRPr="00691454">
        <w:rPr>
          <w:noProof/>
        </w:rPr>
        <w:tab/>
      </w:r>
      <w:r w:rsidRPr="00691454">
        <w:rPr>
          <w:noProof/>
        </w:rPr>
        <w:tab/>
      </w:r>
      <w:r>
        <w:rPr>
          <w:noProof/>
        </w:rPr>
        <w:t>13</w:t>
      </w:r>
    </w:p>
    <w:p w:rsidR="00972DEF" w:rsidRPr="00691454" w:rsidP="00972DEF" w14:paraId="40822307" w14:textId="77777777">
      <w:pPr>
        <w:pStyle w:val="TOC1"/>
        <w:rPr>
          <w:noProof/>
        </w:rPr>
      </w:pPr>
    </w:p>
    <w:p w:rsidR="00972DEF" w:rsidRPr="00691454" w:rsidP="0027160A" w14:paraId="40822308" w14:textId="77777777">
      <w:pPr>
        <w:pStyle w:val="TOC5"/>
        <w:ind w:left="0"/>
        <w:jc w:val="left"/>
        <w:rPr>
          <w:noProof/>
        </w:rPr>
      </w:pPr>
    </w:p>
    <w:p w:rsidR="00233FB1" w:rsidRPr="00691454" w:rsidP="006F1DA6" w14:paraId="40822309" w14:textId="77777777">
      <w:pPr>
        <w:pStyle w:val="TOC5"/>
      </w:pPr>
    </w:p>
    <w:p w:rsidR="00233FB1" w:rsidRPr="00691454" w:rsidP="0027160A" w14:paraId="4082230A" w14:textId="77777777">
      <w:pPr>
        <w:pStyle w:val="C2-CtrSglSp"/>
        <w:spacing w:after="100" w:afterAutospacing="1"/>
        <w:jc w:val="left"/>
      </w:pPr>
      <w:r w:rsidRPr="00691454">
        <w:t>Attachments</w:t>
      </w:r>
    </w:p>
    <w:p w:rsidR="00142698" w:rsidRPr="00E85197" w:rsidP="00142698" w14:paraId="19FD6850" w14:textId="77777777">
      <w:pPr>
        <w:ind w:firstLine="720"/>
      </w:pPr>
      <w:r w:rsidRPr="00E85197">
        <w:t>A</w:t>
      </w:r>
      <w:r w:rsidRPr="00E85197">
        <w:tab/>
        <w:t>Authorizing Legislation: Public Health Service Act</w:t>
      </w:r>
    </w:p>
    <w:p w:rsidR="00142698" w:rsidP="00142698" w14:paraId="29979709" w14:textId="21980D53">
      <w:pPr>
        <w:ind w:firstLine="720"/>
      </w:pPr>
      <w:r w:rsidRPr="00E85197">
        <w:t>B</w:t>
      </w:r>
      <w:r w:rsidRPr="00E85197">
        <w:tab/>
        <w:t>Published 60-Day Federal Register Notice</w:t>
      </w:r>
    </w:p>
    <w:p w:rsidR="00142698" w:rsidRPr="00691454" w:rsidP="00142698" w14:paraId="378A032B" w14:textId="77777777">
      <w:r w:rsidRPr="00E85197">
        <w:t xml:space="preserve">      </w:t>
      </w:r>
      <w:r w:rsidRPr="00E85197">
        <w:tab/>
        <w:t>C</w:t>
      </w:r>
      <w:r w:rsidRPr="00E85197">
        <w:tab/>
      </w:r>
      <w:r>
        <w:t>Research Determination</w:t>
      </w:r>
      <w:r w:rsidRPr="00691454">
        <w:tab/>
      </w:r>
      <w:r w:rsidRPr="00691454">
        <w:tab/>
      </w:r>
    </w:p>
    <w:p w:rsidR="00142698" w:rsidP="00D44554" w14:paraId="44A86CBA" w14:textId="186BA45A">
      <w:r w:rsidRPr="00691454">
        <w:t xml:space="preserve">      </w:t>
      </w:r>
      <w:r w:rsidRPr="00691454">
        <w:tab/>
      </w:r>
      <w:r>
        <w:t>D</w:t>
      </w:r>
      <w:r w:rsidRPr="00691454">
        <w:tab/>
      </w:r>
      <w:r w:rsidRPr="0049705A">
        <w:t>Partners</w:t>
      </w:r>
      <w:r w:rsidR="00587D9C">
        <w:t>’</w:t>
      </w:r>
      <w:r w:rsidRPr="0049705A">
        <w:t xml:space="preserve"> Portal reporting platform</w:t>
      </w:r>
      <w:bookmarkStart w:id="0" w:name="_Hlk207033260"/>
    </w:p>
    <w:bookmarkEnd w:id="0"/>
    <w:p w:rsidR="00142698" w:rsidP="00142698" w14:paraId="0C5FE8D3" w14:textId="77777777">
      <w:pPr>
        <w:ind w:firstLine="720"/>
      </w:pPr>
      <w:r>
        <w:t>E</w:t>
      </w:r>
      <w:r>
        <w:tab/>
      </w:r>
      <w:bookmarkStart w:id="1" w:name="_Hlk207033278"/>
      <w:r>
        <w:t>Privacy Act Applicability</w:t>
      </w:r>
      <w:bookmarkEnd w:id="1"/>
    </w:p>
    <w:p w:rsidR="00265B64" w:rsidP="00142698" w14:paraId="693C8D72" w14:textId="423871D7">
      <w:pPr>
        <w:ind w:firstLine="720"/>
      </w:pPr>
      <w:r>
        <w:t>F</w:t>
      </w:r>
      <w:r>
        <w:tab/>
        <w:t>Syndromic Surveillance Report</w:t>
      </w:r>
    </w:p>
    <w:p w:rsidR="00587D9C" w:rsidP="00587D9C" w14:paraId="22E46462" w14:textId="309593A2">
      <w:pPr>
        <w:ind w:firstLine="720"/>
      </w:pPr>
    </w:p>
    <w:p w:rsidR="00587D9C" w:rsidP="00142698" w14:paraId="24B1617D" w14:textId="2EEBB881">
      <w:pPr>
        <w:ind w:firstLine="720"/>
      </w:pPr>
    </w:p>
    <w:p w:rsidR="00265B64" w:rsidP="00142698" w14:paraId="58D389F4" w14:textId="77777777">
      <w:pPr>
        <w:ind w:firstLine="720"/>
      </w:pPr>
    </w:p>
    <w:p w:rsidR="00265B64" w:rsidP="00142698" w14:paraId="4F831D09" w14:textId="77777777">
      <w:pPr>
        <w:ind w:firstLine="720"/>
      </w:pPr>
    </w:p>
    <w:p w:rsidR="005514B6" w:rsidP="005514B6" w14:paraId="751BFF06" w14:textId="77777777"/>
    <w:p w:rsidR="00265B64" w:rsidRPr="00265B64" w:rsidP="005514B6" w14:paraId="20008292" w14:textId="279408A2">
      <w:pPr>
        <w:rPr>
          <w:b/>
          <w:bCs/>
        </w:rPr>
      </w:pPr>
      <w:r w:rsidRPr="00265B64">
        <w:rPr>
          <w:b/>
          <w:bCs/>
        </w:rPr>
        <w:t>Summary table</w:t>
      </w:r>
    </w:p>
    <w:p w:rsidR="00265B64" w:rsidP="00142698" w14:paraId="58DA7383" w14:textId="77777777">
      <w:pPr>
        <w:ind w:firstLine="720"/>
      </w:pPr>
    </w:p>
    <w:p w:rsidR="00265B64" w:rsidP="00812EDE" w14:paraId="635B3D39" w14:textId="77777777"/>
    <w:p w:rsidR="00265B64" w:rsidP="00812EDE" w14:paraId="1740C152" w14:textId="77777777"/>
    <w:p w:rsidR="00972DEF" w:rsidRPr="00691454" w:rsidP="00812EDE" w14:paraId="4082231F" w14:textId="0EFFE660">
      <w:pPr>
        <w:rPr>
          <w:b/>
          <w:bCs/>
        </w:rP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0</wp:posOffset>
                </wp:positionV>
                <wp:extent cx="6162675" cy="3657600"/>
                <wp:effectExtent l="0" t="0" r="28575" b="19050"/>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3657600"/>
                        </a:xfrm>
                        <a:prstGeom prst="rect">
                          <a:avLst/>
                        </a:prstGeom>
                        <a:solidFill>
                          <a:srgbClr val="FFFFFF"/>
                        </a:solidFill>
                        <a:ln w="9525">
                          <a:solidFill>
                            <a:srgbClr val="000000"/>
                          </a:solidFill>
                          <a:miter lim="800000"/>
                          <a:headEnd/>
                          <a:tailEnd/>
                        </a:ln>
                      </wps:spPr>
                      <wps:txbx>
                        <w:txbxContent>
                          <w:p w:rsidR="00FE10E6" w:rsidRPr="005708A7" w:rsidP="004F6207" w14:textId="55AE6D17">
                            <w:pPr>
                              <w:pStyle w:val="ListParagraph"/>
                              <w:numPr>
                                <w:ilvl w:val="0"/>
                                <w:numId w:val="16"/>
                              </w:numPr>
                              <w:spacing w:after="200" w:line="276" w:lineRule="auto"/>
                            </w:pPr>
                            <w:r w:rsidRPr="0081401D">
                              <w:rPr>
                                <w:b/>
                              </w:rPr>
                              <w:t>Goal of the study</w:t>
                            </w:r>
                            <w:r>
                              <w:t xml:space="preserve">: </w:t>
                            </w:r>
                            <w:r w:rsidRPr="005F729B" w:rsidR="00265B64">
                              <w:t xml:space="preserve">This is a </w:t>
                            </w:r>
                            <w:r w:rsidRPr="005514B6" w:rsidR="00265B64">
                              <w:t>revision</w:t>
                            </w:r>
                            <w:r w:rsidRPr="005F729B" w:rsidR="00265B64">
                              <w:t xml:space="preserve"> request</w:t>
                            </w:r>
                            <w:r>
                              <w:rPr>
                                <w:color w:val="000000" w:themeColor="text1"/>
                              </w:rPr>
                              <w:t xml:space="preserve"> to</w:t>
                            </w:r>
                            <w:r w:rsidR="00265B64">
                              <w:rPr>
                                <w:color w:val="000000" w:themeColor="text1"/>
                              </w:rPr>
                              <w:t xml:space="preserve"> continue </w:t>
                            </w:r>
                            <w:r>
                              <w:rPr>
                                <w:color w:val="000000" w:themeColor="text1"/>
                              </w:rPr>
                              <w:t>collect</w:t>
                            </w:r>
                            <w:r w:rsidR="00265B64">
                              <w:rPr>
                                <w:color w:val="000000" w:themeColor="text1"/>
                              </w:rPr>
                              <w:t>ing</w:t>
                            </w:r>
                            <w:r>
                              <w:rPr>
                                <w:color w:val="000000" w:themeColor="text1"/>
                              </w:rPr>
                              <w:t xml:space="preserve"> performance monitoring data via a web-based </w:t>
                            </w:r>
                            <w:r w:rsidR="00902D17">
                              <w:rPr>
                                <w:color w:val="000000" w:themeColor="text1"/>
                              </w:rPr>
                              <w:t>Partners’ Portal</w:t>
                            </w:r>
                            <w:r>
                              <w:rPr>
                                <w:color w:val="000000" w:themeColor="text1"/>
                              </w:rPr>
                              <w:t xml:space="preserve">. </w:t>
                            </w:r>
                            <w:r w:rsidR="00A52CC0">
                              <w:rPr>
                                <w:color w:val="000000" w:themeColor="text1"/>
                              </w:rPr>
                              <w:t>Additionally,</w:t>
                            </w:r>
                            <w:r w:rsidR="00D00DA9">
                              <w:rPr>
                                <w:color w:val="000000" w:themeColor="text1"/>
                              </w:rPr>
                              <w:t xml:space="preserve"> </w:t>
                            </w:r>
                            <w:r w:rsidR="00E3727B">
                              <w:rPr>
                                <w:color w:val="000000" w:themeColor="text1"/>
                              </w:rPr>
                              <w:t xml:space="preserve">syndromic </w:t>
                            </w:r>
                            <w:r w:rsidR="00D00DA9">
                              <w:rPr>
                                <w:color w:val="000000" w:themeColor="text1"/>
                              </w:rPr>
                              <w:t>surveillance data will be collected via an excel sheet</w:t>
                            </w:r>
                            <w:r w:rsidR="00E3727B">
                              <w:rPr>
                                <w:color w:val="000000" w:themeColor="text1"/>
                              </w:rPr>
                              <w:t xml:space="preserve"> template. </w:t>
                            </w:r>
                            <w:r w:rsidR="00A52CC0">
                              <w:rPr>
                                <w:color w:val="000000" w:themeColor="text1"/>
                              </w:rPr>
                              <w:t xml:space="preserve"> </w:t>
                            </w:r>
                            <w:r>
                              <w:rPr>
                                <w:color w:val="000000" w:themeColor="text1"/>
                              </w:rPr>
                              <w:t>This data is</w:t>
                            </w:r>
                            <w:r w:rsidRPr="00967A16">
                              <w:rPr>
                                <w:color w:val="000000" w:themeColor="text1"/>
                              </w:rPr>
                              <w:t xml:space="preserve"> </w:t>
                            </w:r>
                            <w:r w:rsidRPr="00967A16">
                              <w:t xml:space="preserve">needed to monitor </w:t>
                            </w:r>
                            <w:r>
                              <w:t xml:space="preserve">the </w:t>
                            </w:r>
                            <w:r w:rsidRPr="00967A16">
                              <w:t xml:space="preserve">cooperative agreement program </w:t>
                            </w:r>
                            <w:r w:rsidRPr="00967A16">
                              <w:rPr>
                                <w:color w:val="000000" w:themeColor="text1"/>
                              </w:rPr>
                              <w:t xml:space="preserve">funded under the </w:t>
                            </w:r>
                            <w:r w:rsidR="009B2ADE">
                              <w:t>Com</w:t>
                            </w:r>
                            <w:r w:rsidR="00134A8E">
                              <w:t>prehensive Suicide Prevention Program</w:t>
                            </w:r>
                            <w:r w:rsidR="005514B6">
                              <w:t>.</w:t>
                            </w:r>
                          </w:p>
                          <w:p w:rsidR="00FE10E6" w:rsidRPr="005708A7" w:rsidP="004F6207" w14:textId="77777777">
                            <w:pPr>
                              <w:pStyle w:val="ListParagraph"/>
                              <w:ind w:left="360"/>
                            </w:pPr>
                          </w:p>
                          <w:p w:rsidR="00FE10E6" w:rsidRPr="00967A16" w:rsidP="004F6207" w14:textId="48655199">
                            <w:pPr>
                              <w:pStyle w:val="ListParagraph"/>
                              <w:numPr>
                                <w:ilvl w:val="0"/>
                                <w:numId w:val="16"/>
                              </w:numPr>
                              <w:spacing w:after="200" w:line="276" w:lineRule="auto"/>
                              <w:rPr>
                                <w:rFonts w:asciiTheme="majorHAnsi" w:hAnsiTheme="majorHAnsi"/>
                                <w:color w:val="000000" w:themeColor="text1"/>
                              </w:rPr>
                            </w:pPr>
                            <w:r w:rsidRPr="0081401D">
                              <w:rPr>
                                <w:b/>
                              </w:rPr>
                              <w:t>Intended use of the resulting data:</w:t>
                            </w:r>
                            <w:r>
                              <w:t xml:space="preserve"> </w:t>
                            </w:r>
                            <w:r w:rsidRPr="00927DE2" w:rsidR="00E47397">
                              <w:t>Data collected will be used to</w:t>
                            </w:r>
                            <w:r w:rsidR="00E47397">
                              <w:t xml:space="preserve"> monitor progress toward program goals,</w:t>
                            </w:r>
                            <w:r w:rsidRPr="00927DE2" w:rsidR="00E47397">
                              <w:t xml:space="preserve"> identify technical assistance needs of recipients, </w:t>
                            </w:r>
                            <w:r w:rsidR="00E47397">
                              <w:t xml:space="preserve">and to provide accountability for funding to the </w:t>
                            </w:r>
                            <w:r>
                              <w:rPr>
                                <w:rFonts w:asciiTheme="majorHAnsi" w:hAnsiTheme="majorHAnsi"/>
                                <w:color w:val="000000" w:themeColor="text1"/>
                              </w:rPr>
                              <w:t>Department of Health and Human Services (HHS), the White House, Congress, and other sources</w:t>
                            </w:r>
                            <w:r w:rsidR="00E47397">
                              <w:rPr>
                                <w:rFonts w:asciiTheme="majorHAnsi" w:hAnsiTheme="majorHAnsi"/>
                                <w:color w:val="000000" w:themeColor="text1"/>
                              </w:rPr>
                              <w:t>, upon request</w:t>
                            </w:r>
                            <w:r>
                              <w:rPr>
                                <w:rFonts w:asciiTheme="majorHAnsi" w:hAnsiTheme="majorHAnsi"/>
                                <w:color w:val="000000" w:themeColor="text1"/>
                              </w:rPr>
                              <w:t xml:space="preserve">. </w:t>
                            </w:r>
                            <w:r>
                              <w:br/>
                            </w:r>
                            <w:r w:rsidRPr="005708A7">
                              <w:t xml:space="preserve"> </w:t>
                            </w:r>
                          </w:p>
                          <w:p w:rsidR="00FE10E6" w:rsidRPr="005708A7" w:rsidP="004F6207" w14:textId="658CD92B">
                            <w:pPr>
                              <w:pStyle w:val="ListParagraph"/>
                              <w:numPr>
                                <w:ilvl w:val="0"/>
                                <w:numId w:val="16"/>
                              </w:numPr>
                            </w:pPr>
                            <w:r w:rsidRPr="00636AED">
                              <w:rPr>
                                <w:b/>
                              </w:rPr>
                              <w:t xml:space="preserve">Methods to be used to </w:t>
                            </w:r>
                            <w:r w:rsidRPr="00636AED">
                              <w:rPr>
                                <w:b/>
                              </w:rPr>
                              <w:t>collect:</w:t>
                            </w:r>
                            <w:r>
                              <w:t xml:space="preserve"> </w:t>
                            </w:r>
                            <w:r w:rsidR="00902D17">
                              <w:rPr>
                                <w:rFonts w:asciiTheme="majorHAnsi" w:hAnsiTheme="majorHAnsi"/>
                                <w:color w:val="000000" w:themeColor="text1"/>
                              </w:rPr>
                              <w:t>Recipients</w:t>
                            </w:r>
                            <w:r>
                              <w:rPr>
                                <w:rFonts w:asciiTheme="majorHAnsi" w:hAnsiTheme="majorHAnsi"/>
                                <w:color w:val="000000" w:themeColor="text1"/>
                              </w:rPr>
                              <w:t xml:space="preserve"> will report progress and activity information to CDC on an annual schedule using a web-based </w:t>
                            </w:r>
                            <w:r w:rsidR="00902D17">
                              <w:rPr>
                                <w:rFonts w:asciiTheme="majorHAnsi" w:hAnsiTheme="majorHAnsi"/>
                                <w:color w:val="000000" w:themeColor="text1"/>
                              </w:rPr>
                              <w:t>Partners’ Portal</w:t>
                            </w:r>
                            <w:r>
                              <w:t>.</w:t>
                            </w:r>
                            <w:r w:rsidR="00810068">
                              <w:t xml:space="preserve"> Recipients will report </w:t>
                            </w:r>
                            <w:r w:rsidR="007557ED">
                              <w:t>syndromic surveillance data and</w:t>
                            </w:r>
                            <w:r w:rsidR="004E1933">
                              <w:t xml:space="preserve"> related</w:t>
                            </w:r>
                            <w:r w:rsidR="007557ED">
                              <w:t xml:space="preserve"> </w:t>
                            </w:r>
                            <w:r w:rsidR="004E1933">
                              <w:t>activity</w:t>
                            </w:r>
                            <w:r w:rsidR="007557ED">
                              <w:t xml:space="preserve"> to CDC </w:t>
                            </w:r>
                            <w:r w:rsidR="004E1933">
                              <w:t xml:space="preserve">using </w:t>
                            </w:r>
                            <w:r w:rsidR="00AE04CB">
                              <w:t>a</w:t>
                            </w:r>
                            <w:r w:rsidR="004E1933">
                              <w:t xml:space="preserve"> quarterly schedule using an excel sheet template. </w:t>
                            </w:r>
                            <w:r>
                              <w:t>No research design or human subjects involved.</w:t>
                            </w:r>
                          </w:p>
                          <w:p w:rsidR="00FE10E6" w:rsidRPr="005708A7" w:rsidP="004F6207" w14:textId="77777777">
                            <w:pPr>
                              <w:pStyle w:val="ListParagraph"/>
                              <w:spacing w:after="200" w:line="276" w:lineRule="auto"/>
                              <w:ind w:left="360"/>
                            </w:pPr>
                          </w:p>
                          <w:p w:rsidR="00FE10E6" w:rsidRPr="005708A7" w:rsidP="004F6207" w14:textId="77777777">
                            <w:pPr>
                              <w:pStyle w:val="ListParagraph"/>
                              <w:numPr>
                                <w:ilvl w:val="0"/>
                                <w:numId w:val="16"/>
                              </w:numPr>
                              <w:spacing w:after="200" w:line="276" w:lineRule="auto"/>
                            </w:pPr>
                            <w:r w:rsidRPr="0081401D">
                              <w:rPr>
                                <w:b/>
                              </w:rPr>
                              <w:t>The subpopulation to be studied:</w:t>
                            </w:r>
                            <w:r>
                              <w:t xml:space="preserve"> 100% of population, no sampling </w:t>
                            </w:r>
                            <w:r>
                              <w:br/>
                            </w:r>
                          </w:p>
                          <w:p w:rsidR="00FE10E6" w:rsidRPr="005708A7" w:rsidP="004F6207" w14:textId="77777777">
                            <w:pPr>
                              <w:pStyle w:val="ListParagraph"/>
                              <w:numPr>
                                <w:ilvl w:val="0"/>
                                <w:numId w:val="16"/>
                              </w:numPr>
                              <w:spacing w:after="200" w:line="276" w:lineRule="auto"/>
                            </w:pPr>
                            <w:r w:rsidRPr="00582280">
                              <w:rPr>
                                <w:b/>
                              </w:rPr>
                              <w:t>How data will be analyzed:</w:t>
                            </w:r>
                            <w:r>
                              <w:t xml:space="preserve"> The data will be analyzed using descriptive and summary statistics as well as qualitative summaries.</w:t>
                            </w:r>
                          </w:p>
                          <w:p w:rsidR="00FE10E6" w:rsidP="00FB104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4in;margin-top:0;margin-left:-16.8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FE10E6" w:rsidRPr="005708A7" w:rsidP="004F6207" w14:paraId="1C165BDC" w14:textId="55AE6D17">
                      <w:pPr>
                        <w:pStyle w:val="ListParagraph"/>
                        <w:numPr>
                          <w:ilvl w:val="0"/>
                          <w:numId w:val="16"/>
                        </w:numPr>
                        <w:spacing w:after="200" w:line="276" w:lineRule="auto"/>
                      </w:pPr>
                      <w:r w:rsidRPr="0081401D">
                        <w:rPr>
                          <w:b/>
                        </w:rPr>
                        <w:t>Goal of the study</w:t>
                      </w:r>
                      <w:r>
                        <w:t xml:space="preserve">: </w:t>
                      </w:r>
                      <w:r w:rsidRPr="005F729B" w:rsidR="00265B64">
                        <w:t xml:space="preserve">This is a </w:t>
                      </w:r>
                      <w:r w:rsidRPr="005514B6" w:rsidR="00265B64">
                        <w:t>revision</w:t>
                      </w:r>
                      <w:r w:rsidRPr="005F729B" w:rsidR="00265B64">
                        <w:t xml:space="preserve"> request</w:t>
                      </w:r>
                      <w:r>
                        <w:rPr>
                          <w:color w:val="000000" w:themeColor="text1"/>
                        </w:rPr>
                        <w:t xml:space="preserve"> to</w:t>
                      </w:r>
                      <w:r w:rsidR="00265B64">
                        <w:rPr>
                          <w:color w:val="000000" w:themeColor="text1"/>
                        </w:rPr>
                        <w:t xml:space="preserve"> continue </w:t>
                      </w:r>
                      <w:r>
                        <w:rPr>
                          <w:color w:val="000000" w:themeColor="text1"/>
                        </w:rPr>
                        <w:t>collect</w:t>
                      </w:r>
                      <w:r w:rsidR="00265B64">
                        <w:rPr>
                          <w:color w:val="000000" w:themeColor="text1"/>
                        </w:rPr>
                        <w:t>ing</w:t>
                      </w:r>
                      <w:r>
                        <w:rPr>
                          <w:color w:val="000000" w:themeColor="text1"/>
                        </w:rPr>
                        <w:t xml:space="preserve"> performance monitoring data via a web-based </w:t>
                      </w:r>
                      <w:r w:rsidR="00902D17">
                        <w:rPr>
                          <w:color w:val="000000" w:themeColor="text1"/>
                        </w:rPr>
                        <w:t>Partners’ Portal</w:t>
                      </w:r>
                      <w:r>
                        <w:rPr>
                          <w:color w:val="000000" w:themeColor="text1"/>
                        </w:rPr>
                        <w:t xml:space="preserve">. </w:t>
                      </w:r>
                      <w:r w:rsidR="00A52CC0">
                        <w:rPr>
                          <w:color w:val="000000" w:themeColor="text1"/>
                        </w:rPr>
                        <w:t>Additionally,</w:t>
                      </w:r>
                      <w:r w:rsidR="00D00DA9">
                        <w:rPr>
                          <w:color w:val="000000" w:themeColor="text1"/>
                        </w:rPr>
                        <w:t xml:space="preserve"> </w:t>
                      </w:r>
                      <w:r w:rsidR="00E3727B">
                        <w:rPr>
                          <w:color w:val="000000" w:themeColor="text1"/>
                        </w:rPr>
                        <w:t xml:space="preserve">syndromic </w:t>
                      </w:r>
                      <w:r w:rsidR="00D00DA9">
                        <w:rPr>
                          <w:color w:val="000000" w:themeColor="text1"/>
                        </w:rPr>
                        <w:t>surveillance data will be collected via an excel sheet</w:t>
                      </w:r>
                      <w:r w:rsidR="00E3727B">
                        <w:rPr>
                          <w:color w:val="000000" w:themeColor="text1"/>
                        </w:rPr>
                        <w:t xml:space="preserve"> template. </w:t>
                      </w:r>
                      <w:r w:rsidR="00A52CC0">
                        <w:rPr>
                          <w:color w:val="000000" w:themeColor="text1"/>
                        </w:rPr>
                        <w:t xml:space="preserve"> </w:t>
                      </w:r>
                      <w:r>
                        <w:rPr>
                          <w:color w:val="000000" w:themeColor="text1"/>
                        </w:rPr>
                        <w:t>This data is</w:t>
                      </w:r>
                      <w:r w:rsidRPr="00967A16">
                        <w:rPr>
                          <w:color w:val="000000" w:themeColor="text1"/>
                        </w:rPr>
                        <w:t xml:space="preserve"> </w:t>
                      </w:r>
                      <w:r w:rsidRPr="00967A16">
                        <w:t xml:space="preserve">needed to monitor </w:t>
                      </w:r>
                      <w:r>
                        <w:t xml:space="preserve">the </w:t>
                      </w:r>
                      <w:r w:rsidRPr="00967A16">
                        <w:t xml:space="preserve">cooperative agreement program </w:t>
                      </w:r>
                      <w:r w:rsidRPr="00967A16">
                        <w:rPr>
                          <w:color w:val="000000" w:themeColor="text1"/>
                        </w:rPr>
                        <w:t xml:space="preserve">funded under the </w:t>
                      </w:r>
                      <w:r w:rsidR="009B2ADE">
                        <w:t>Com</w:t>
                      </w:r>
                      <w:r w:rsidR="00134A8E">
                        <w:t>prehensive Suicide Prevention Program</w:t>
                      </w:r>
                      <w:r w:rsidR="005514B6">
                        <w:t>.</w:t>
                      </w:r>
                    </w:p>
                    <w:p w:rsidR="00FE10E6" w:rsidRPr="005708A7" w:rsidP="004F6207" w14:paraId="20CEC544" w14:textId="77777777">
                      <w:pPr>
                        <w:pStyle w:val="ListParagraph"/>
                        <w:ind w:left="360"/>
                      </w:pPr>
                    </w:p>
                    <w:p w:rsidR="00FE10E6" w:rsidRPr="00967A16" w:rsidP="004F6207" w14:paraId="377279FA" w14:textId="48655199">
                      <w:pPr>
                        <w:pStyle w:val="ListParagraph"/>
                        <w:numPr>
                          <w:ilvl w:val="0"/>
                          <w:numId w:val="16"/>
                        </w:numPr>
                        <w:spacing w:after="200" w:line="276" w:lineRule="auto"/>
                        <w:rPr>
                          <w:rFonts w:asciiTheme="majorHAnsi" w:hAnsiTheme="majorHAnsi"/>
                          <w:color w:val="000000" w:themeColor="text1"/>
                        </w:rPr>
                      </w:pPr>
                      <w:r w:rsidRPr="0081401D">
                        <w:rPr>
                          <w:b/>
                        </w:rPr>
                        <w:t>Intended use of the resulting data:</w:t>
                      </w:r>
                      <w:r>
                        <w:t xml:space="preserve"> </w:t>
                      </w:r>
                      <w:r w:rsidRPr="00927DE2" w:rsidR="00E47397">
                        <w:t>Data collected will be used to</w:t>
                      </w:r>
                      <w:r w:rsidR="00E47397">
                        <w:t xml:space="preserve"> monitor progress toward program goals,</w:t>
                      </w:r>
                      <w:r w:rsidRPr="00927DE2" w:rsidR="00E47397">
                        <w:t xml:space="preserve"> identify technical assistance needs of recipients, </w:t>
                      </w:r>
                      <w:r w:rsidR="00E47397">
                        <w:t xml:space="preserve">and to provide accountability for funding to the </w:t>
                      </w:r>
                      <w:r>
                        <w:rPr>
                          <w:rFonts w:asciiTheme="majorHAnsi" w:hAnsiTheme="majorHAnsi"/>
                          <w:color w:val="000000" w:themeColor="text1"/>
                        </w:rPr>
                        <w:t>Department of Health and Human Services (HHS), the White House, Congress, and other sources</w:t>
                      </w:r>
                      <w:r w:rsidR="00E47397">
                        <w:rPr>
                          <w:rFonts w:asciiTheme="majorHAnsi" w:hAnsiTheme="majorHAnsi"/>
                          <w:color w:val="000000" w:themeColor="text1"/>
                        </w:rPr>
                        <w:t>, upon request</w:t>
                      </w:r>
                      <w:r>
                        <w:rPr>
                          <w:rFonts w:asciiTheme="majorHAnsi" w:hAnsiTheme="majorHAnsi"/>
                          <w:color w:val="000000" w:themeColor="text1"/>
                        </w:rPr>
                        <w:t xml:space="preserve">. </w:t>
                      </w:r>
                      <w:r>
                        <w:br/>
                      </w:r>
                      <w:r w:rsidRPr="005708A7">
                        <w:t xml:space="preserve"> </w:t>
                      </w:r>
                    </w:p>
                    <w:p w:rsidR="00FE10E6" w:rsidRPr="005708A7" w:rsidP="004F6207" w14:paraId="3DBE2F1B" w14:textId="658CD92B">
                      <w:pPr>
                        <w:pStyle w:val="ListParagraph"/>
                        <w:numPr>
                          <w:ilvl w:val="0"/>
                          <w:numId w:val="16"/>
                        </w:numPr>
                      </w:pPr>
                      <w:r w:rsidRPr="00636AED">
                        <w:rPr>
                          <w:b/>
                        </w:rPr>
                        <w:t xml:space="preserve">Methods to be used to </w:t>
                      </w:r>
                      <w:r w:rsidRPr="00636AED">
                        <w:rPr>
                          <w:b/>
                        </w:rPr>
                        <w:t>collect:</w:t>
                      </w:r>
                      <w:r>
                        <w:t xml:space="preserve"> </w:t>
                      </w:r>
                      <w:r w:rsidR="00902D17">
                        <w:rPr>
                          <w:rFonts w:asciiTheme="majorHAnsi" w:hAnsiTheme="majorHAnsi"/>
                          <w:color w:val="000000" w:themeColor="text1"/>
                        </w:rPr>
                        <w:t>Recipients</w:t>
                      </w:r>
                      <w:r>
                        <w:rPr>
                          <w:rFonts w:asciiTheme="majorHAnsi" w:hAnsiTheme="majorHAnsi"/>
                          <w:color w:val="000000" w:themeColor="text1"/>
                        </w:rPr>
                        <w:t xml:space="preserve"> will report progress and activity information to CDC on an annual schedule using a web-based </w:t>
                      </w:r>
                      <w:r w:rsidR="00902D17">
                        <w:rPr>
                          <w:rFonts w:asciiTheme="majorHAnsi" w:hAnsiTheme="majorHAnsi"/>
                          <w:color w:val="000000" w:themeColor="text1"/>
                        </w:rPr>
                        <w:t>Partners’ Portal</w:t>
                      </w:r>
                      <w:r>
                        <w:t>.</w:t>
                      </w:r>
                      <w:r w:rsidR="00810068">
                        <w:t xml:space="preserve"> Recipients will report </w:t>
                      </w:r>
                      <w:r w:rsidR="007557ED">
                        <w:t>syndromic surveillance data and</w:t>
                      </w:r>
                      <w:r w:rsidR="004E1933">
                        <w:t xml:space="preserve"> related</w:t>
                      </w:r>
                      <w:r w:rsidR="007557ED">
                        <w:t xml:space="preserve"> </w:t>
                      </w:r>
                      <w:r w:rsidR="004E1933">
                        <w:t>activity</w:t>
                      </w:r>
                      <w:r w:rsidR="007557ED">
                        <w:t xml:space="preserve"> to CDC </w:t>
                      </w:r>
                      <w:r w:rsidR="004E1933">
                        <w:t xml:space="preserve">using </w:t>
                      </w:r>
                      <w:r w:rsidR="00AE04CB">
                        <w:t>a</w:t>
                      </w:r>
                      <w:r w:rsidR="004E1933">
                        <w:t xml:space="preserve"> quarterly schedule using an excel sheet template. </w:t>
                      </w:r>
                      <w:r>
                        <w:t>No research design or human subjects involved.</w:t>
                      </w:r>
                    </w:p>
                    <w:p w:rsidR="00FE10E6" w:rsidRPr="005708A7" w:rsidP="004F6207" w14:paraId="4421FCFE" w14:textId="77777777">
                      <w:pPr>
                        <w:pStyle w:val="ListParagraph"/>
                        <w:spacing w:after="200" w:line="276" w:lineRule="auto"/>
                        <w:ind w:left="360"/>
                      </w:pPr>
                    </w:p>
                    <w:p w:rsidR="00FE10E6" w:rsidRPr="005708A7" w:rsidP="004F6207" w14:paraId="66F38279" w14:textId="77777777">
                      <w:pPr>
                        <w:pStyle w:val="ListParagraph"/>
                        <w:numPr>
                          <w:ilvl w:val="0"/>
                          <w:numId w:val="16"/>
                        </w:numPr>
                        <w:spacing w:after="200" w:line="276" w:lineRule="auto"/>
                      </w:pPr>
                      <w:r w:rsidRPr="0081401D">
                        <w:rPr>
                          <w:b/>
                        </w:rPr>
                        <w:t>The subpopulation to be studied:</w:t>
                      </w:r>
                      <w:r>
                        <w:t xml:space="preserve"> 100% of population, no sampling </w:t>
                      </w:r>
                      <w:r>
                        <w:br/>
                      </w:r>
                    </w:p>
                    <w:p w:rsidR="00FE10E6" w:rsidRPr="005708A7" w:rsidP="004F6207" w14:paraId="26E152DF" w14:textId="77777777">
                      <w:pPr>
                        <w:pStyle w:val="ListParagraph"/>
                        <w:numPr>
                          <w:ilvl w:val="0"/>
                          <w:numId w:val="16"/>
                        </w:numPr>
                        <w:spacing w:after="200" w:line="276" w:lineRule="auto"/>
                      </w:pPr>
                      <w:r w:rsidRPr="00582280">
                        <w:rPr>
                          <w:b/>
                        </w:rPr>
                        <w:t>How data will be analyzed:</w:t>
                      </w:r>
                      <w:r>
                        <w:t xml:space="preserve"> The data will be analyzed using descriptive and summary statistics as well as qualitative summaries.</w:t>
                      </w:r>
                    </w:p>
                    <w:p w:rsidR="00FE10E6" w:rsidP="00FB1045" w14:paraId="408223B3" w14:textId="77777777"/>
                  </w:txbxContent>
                </v:textbox>
                <w10:wrap type="square"/>
              </v:shape>
            </w:pict>
          </mc:Fallback>
        </mc:AlternateContent>
      </w:r>
      <w:r w:rsidRPr="00691454" w:rsidR="00972DEF">
        <w:rPr>
          <w:b/>
          <w:bCs/>
        </w:rPr>
        <w:t xml:space="preserve">A.  JUSTIFICATION </w:t>
      </w:r>
    </w:p>
    <w:p w:rsidR="00660ED8" w:rsidRPr="00691454" w:rsidP="00972DEF" w14:paraId="40822320" w14:textId="77777777">
      <w:pPr>
        <w:autoSpaceDE w:val="0"/>
        <w:autoSpaceDN w:val="0"/>
        <w:adjustRightInd w:val="0"/>
        <w:rPr>
          <w:b/>
          <w:bCs/>
        </w:rPr>
      </w:pPr>
    </w:p>
    <w:p w:rsidR="00972DEF" w:rsidP="00972DEF" w14:paraId="40822321" w14:textId="123444ED">
      <w:pPr>
        <w:tabs>
          <w:tab w:val="left" w:pos="360"/>
        </w:tabs>
        <w:autoSpaceDE w:val="0"/>
        <w:autoSpaceDN w:val="0"/>
        <w:adjustRightInd w:val="0"/>
        <w:rPr>
          <w:b/>
          <w:bCs/>
        </w:rPr>
      </w:pPr>
      <w:r w:rsidRPr="00691454">
        <w:rPr>
          <w:b/>
          <w:bCs/>
        </w:rPr>
        <w:t xml:space="preserve">A.1. </w:t>
      </w:r>
      <w:r w:rsidRPr="00691454">
        <w:rPr>
          <w:b/>
          <w:bCs/>
        </w:rPr>
        <w:tab/>
      </w:r>
      <w:r w:rsidRPr="00262903">
        <w:rPr>
          <w:b/>
          <w:bCs/>
        </w:rPr>
        <w:t>Circumstances Making the Collection of Information Necessary</w:t>
      </w:r>
    </w:p>
    <w:p w:rsidR="0023025F" w:rsidRPr="00262903" w:rsidP="00972DEF" w14:paraId="10E885C1" w14:textId="77777777">
      <w:pPr>
        <w:tabs>
          <w:tab w:val="left" w:pos="360"/>
        </w:tabs>
        <w:autoSpaceDE w:val="0"/>
        <w:autoSpaceDN w:val="0"/>
        <w:adjustRightInd w:val="0"/>
        <w:rPr>
          <w:b/>
          <w:bCs/>
        </w:rPr>
      </w:pPr>
    </w:p>
    <w:p w:rsidR="004F4418" w:rsidRPr="00E47397" w:rsidP="005A506C" w14:paraId="55636872" w14:textId="0CE36941">
      <w:pPr>
        <w:rPr>
          <w:color w:val="000000" w:themeColor="text1"/>
        </w:rPr>
      </w:pPr>
      <w:r w:rsidRPr="000B59A2">
        <w:rPr>
          <w:color w:val="000000" w:themeColor="text1"/>
        </w:rPr>
        <w:t xml:space="preserve">The Centers for Disease Control and Prevention (CDC) National Center for Injury Prevention and Control (NCIPC) seeks OMB approval for </w:t>
      </w:r>
      <w:r>
        <w:rPr>
          <w:color w:val="000000" w:themeColor="text1"/>
        </w:rPr>
        <w:t xml:space="preserve">3 years for </w:t>
      </w:r>
      <w:r w:rsidR="005514B6">
        <w:rPr>
          <w:color w:val="000000" w:themeColor="text1"/>
        </w:rPr>
        <w:t xml:space="preserve">this </w:t>
      </w:r>
      <w:r w:rsidR="005514B6">
        <w:t>revision</w:t>
      </w:r>
      <w:r w:rsidRPr="005F729B" w:rsidR="00265B64">
        <w:t xml:space="preserve"> request</w:t>
      </w:r>
      <w:r w:rsidR="009530BE">
        <w:t xml:space="preserve"> </w:t>
      </w:r>
      <w:r w:rsidR="00265B64">
        <w:t>for the currently approved “Performance Monitoring of CDC’s Comprehensive Suicide Prevention Program” OMB# 0920-1368, expiration date 9/30/2025</w:t>
      </w:r>
      <w:r>
        <w:rPr>
          <w:color w:val="000000" w:themeColor="text1"/>
        </w:rPr>
        <w:t xml:space="preserve"> to </w:t>
      </w:r>
      <w:r w:rsidR="00265B64">
        <w:rPr>
          <w:color w:val="000000" w:themeColor="text1"/>
        </w:rPr>
        <w:t xml:space="preserve">continue </w:t>
      </w:r>
      <w:r w:rsidRPr="00A93EB5" w:rsidR="008A0133">
        <w:rPr>
          <w:color w:val="000000" w:themeColor="text1"/>
        </w:rPr>
        <w:t>collect</w:t>
      </w:r>
      <w:r w:rsidR="00265B64">
        <w:rPr>
          <w:color w:val="000000" w:themeColor="text1"/>
        </w:rPr>
        <w:t>ing</w:t>
      </w:r>
      <w:r w:rsidRPr="00A93EB5" w:rsidR="008A0133">
        <w:rPr>
          <w:color w:val="000000" w:themeColor="text1"/>
        </w:rPr>
        <w:t xml:space="preserve"> information from </w:t>
      </w:r>
      <w:r w:rsidR="00902D17">
        <w:rPr>
          <w:color w:val="000000" w:themeColor="text1"/>
        </w:rPr>
        <w:t>recipients</w:t>
      </w:r>
      <w:r w:rsidRPr="00A93EB5" w:rsidR="008A0133">
        <w:rPr>
          <w:color w:val="000000" w:themeColor="text1"/>
        </w:rPr>
        <w:t xml:space="preserve"> funded under the </w:t>
      </w:r>
      <w:r w:rsidR="00576D92">
        <w:rPr>
          <w:color w:val="000000" w:themeColor="text1"/>
        </w:rPr>
        <w:t>Comprehe</w:t>
      </w:r>
      <w:r w:rsidR="00060D89">
        <w:rPr>
          <w:color w:val="000000" w:themeColor="text1"/>
        </w:rPr>
        <w:t>nsive Suicide</w:t>
      </w:r>
      <w:r w:rsidRPr="00A93EB5" w:rsidR="008A0133">
        <w:rPr>
          <w:color w:val="000000" w:themeColor="text1"/>
        </w:rPr>
        <w:t xml:space="preserve"> Prevention Program hereafter known as </w:t>
      </w:r>
      <w:r w:rsidR="00E43865">
        <w:rPr>
          <w:color w:val="000000" w:themeColor="text1"/>
        </w:rPr>
        <w:t>CSP</w:t>
      </w:r>
      <w:r w:rsidR="008A0133">
        <w:rPr>
          <w:color w:val="000000" w:themeColor="text1"/>
        </w:rPr>
        <w:t xml:space="preserve">.  </w:t>
      </w:r>
    </w:p>
    <w:p w:rsidR="008A0133" w:rsidP="008A0133" w14:paraId="54E84DEE" w14:textId="77777777">
      <w:pPr>
        <w:rPr>
          <w:color w:val="000000" w:themeColor="text1"/>
        </w:rPr>
      </w:pPr>
    </w:p>
    <w:p w:rsidR="008A0133" w:rsidP="008A0133" w14:paraId="6F028D1B" w14:textId="3C80A22B">
      <w:pPr>
        <w:rPr>
          <w:color w:val="000000" w:themeColor="text1"/>
        </w:rPr>
      </w:pPr>
      <w:r w:rsidRPr="00A93EB5">
        <w:rPr>
          <w:color w:val="000000" w:themeColor="text1"/>
        </w:rPr>
        <w:t>Information to be collected will provide crucial data for program performance monitoring and provide CDC with the capacity to respond in a timely manner to requests for information about the program from the Department of Health and Human Services (HHS), the White House, Congress, and other sources.  Information to be collected will</w:t>
      </w:r>
      <w:r>
        <w:rPr>
          <w:color w:val="000000" w:themeColor="text1"/>
        </w:rPr>
        <w:t xml:space="preserve"> also</w:t>
      </w:r>
      <w:r w:rsidRPr="00A93EB5">
        <w:rPr>
          <w:color w:val="000000" w:themeColor="text1"/>
        </w:rPr>
        <w:t xml:space="preserve"> strengthen CDC’s abil</w:t>
      </w:r>
      <w:r>
        <w:rPr>
          <w:color w:val="000000" w:themeColor="text1"/>
        </w:rPr>
        <w:t xml:space="preserve">ity to monitor awardee progress, </w:t>
      </w:r>
      <w:r w:rsidRPr="00A93EB5">
        <w:rPr>
          <w:color w:val="000000" w:themeColor="text1"/>
        </w:rPr>
        <w:t>provide data-driven te</w:t>
      </w:r>
      <w:r>
        <w:rPr>
          <w:color w:val="000000" w:themeColor="text1"/>
        </w:rPr>
        <w:t>chnical assistance, and disseminate the most current surveillance data on</w:t>
      </w:r>
      <w:r w:rsidR="005C44FB">
        <w:rPr>
          <w:color w:val="000000" w:themeColor="text1"/>
        </w:rPr>
        <w:t xml:space="preserve"> suicide and suicide attempts.</w:t>
      </w:r>
      <w:r>
        <w:rPr>
          <w:color w:val="000000" w:themeColor="text1"/>
        </w:rPr>
        <w:t xml:space="preserve"> </w:t>
      </w:r>
    </w:p>
    <w:p w:rsidR="00142698" w:rsidP="008A0133" w14:paraId="2DDA1367" w14:textId="77777777">
      <w:pPr>
        <w:rPr>
          <w:color w:val="000000" w:themeColor="text1"/>
        </w:rPr>
      </w:pPr>
    </w:p>
    <w:p w:rsidR="00142698" w:rsidRPr="000D00A8" w:rsidP="00142698" w14:paraId="5FD4573D" w14:textId="1D37A7F6">
      <w:pPr>
        <w:rPr>
          <w:color w:val="000000" w:themeColor="text1"/>
        </w:rPr>
      </w:pPr>
      <w:r w:rsidRPr="000D00A8">
        <w:rPr>
          <w:color w:val="000000" w:themeColor="text1"/>
        </w:rPr>
        <w:t xml:space="preserve">The proposed information collection is authorized by the Public Health Services Act (PHS Act) which provides the legislative means for states to advance public health across the lifespan and to reduce health disparities. Section 301 (a) of the PHS Act, 42 U.S.C. 241 (a), authorizes grants to </w:t>
      </w:r>
      <w:r w:rsidRPr="000D00A8" w:rsidR="00867B81">
        <w:rPr>
          <w:color w:val="000000" w:themeColor="text1"/>
        </w:rPr>
        <w:t>aid “</w:t>
      </w:r>
      <w:r w:rsidRPr="000D00A8">
        <w:rPr>
          <w:color w:val="000000" w:themeColor="text1"/>
        </w:rPr>
        <w:t xml:space="preserve">other appropriate public authorities, scientific institutions, and scientists in the conduct of, </w:t>
      </w:r>
      <w:r w:rsidRPr="000D00A8">
        <w:rPr>
          <w:color w:val="000000" w:themeColor="text1"/>
        </w:rPr>
        <w:t>and promote the coordination of, research, investigations, experiments, demonstrations, and studies relating to the cause, diagnosis, treatment, control and prevention of physical and mental diseases and impairments of man” (Attachment A).</w:t>
      </w:r>
    </w:p>
    <w:p w:rsidR="00142698" w:rsidRPr="00A93EB5" w:rsidP="008A0133" w14:paraId="7E06A427" w14:textId="77777777">
      <w:pPr>
        <w:rPr>
          <w:color w:val="000000" w:themeColor="text1"/>
        </w:rPr>
      </w:pPr>
    </w:p>
    <w:p w:rsidR="00972DEF" w:rsidRPr="00691454" w:rsidP="00972DEF" w14:paraId="40822322" w14:textId="77777777"/>
    <w:p w:rsidR="00BD7C4E" w:rsidRPr="00691454" w:rsidP="00BD7C4E" w14:paraId="40822323" w14:textId="77777777">
      <w:pPr>
        <w:spacing w:after="120"/>
        <w:rPr>
          <w:rFonts w:eastAsia="SimSun"/>
        </w:rPr>
      </w:pPr>
      <w:r w:rsidRPr="00691454">
        <w:rPr>
          <w:rFonts w:eastAsia="SimSun"/>
          <w:u w:val="single"/>
        </w:rPr>
        <w:t xml:space="preserve">Background </w:t>
      </w:r>
    </w:p>
    <w:p w:rsidR="00FB1045" w:rsidP="507D0D31" w14:paraId="40822324" w14:textId="22A61FB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Suicide rates have increased </w:t>
      </w:r>
      <w:r w:rsidR="2FA98FE4">
        <w:t xml:space="preserve">by about </w:t>
      </w:r>
      <w:r w:rsidR="009E1095">
        <w:t>36</w:t>
      </w:r>
      <w:r>
        <w:t xml:space="preserve">% between </w:t>
      </w:r>
      <w:r w:rsidR="009E1095">
        <w:t>2000</w:t>
      </w:r>
      <w:r>
        <w:t xml:space="preserve"> and</w:t>
      </w:r>
      <w:r w:rsidR="009E1095">
        <w:t xml:space="preserve"> </w:t>
      </w:r>
      <w:r w:rsidR="095D0F57">
        <w:t>202</w:t>
      </w:r>
      <w:r w:rsidR="4C7ACFF1">
        <w:t>3</w:t>
      </w:r>
      <w:r w:rsidR="00AE04CB">
        <w:t>.</w:t>
      </w:r>
      <w:r w:rsidR="00E85FAD">
        <w:t xml:space="preserve"> </w:t>
      </w:r>
      <w:r>
        <w:t xml:space="preserve">In January 2020, CDC received an </w:t>
      </w:r>
      <w:r>
        <w:t>appropriation</w:t>
      </w:r>
      <w:r>
        <w:t xml:space="preserve"> for its </w:t>
      </w:r>
      <w:r w:rsidR="00D751C8">
        <w:t>CSP p</w:t>
      </w:r>
      <w:r>
        <w:t xml:space="preserve">rogram. </w:t>
      </w:r>
      <w:r w:rsidR="00E85FAD">
        <w:t>This program seeks to reduce suicide morbidity and mortality by 10% in populations disproportionately impacted by suicide in</w:t>
      </w:r>
      <w:r w:rsidR="00227380">
        <w:t xml:space="preserve"> participating jurisdictions. Recipients are required to </w:t>
      </w:r>
      <w:r w:rsidR="0009662B">
        <w:t>develop</w:t>
      </w:r>
      <w:r w:rsidR="00227380">
        <w:t xml:space="preserve"> </w:t>
      </w:r>
      <w:r w:rsidR="33DECDD4">
        <w:t>a</w:t>
      </w:r>
      <w:r w:rsidR="00227380">
        <w:t xml:space="preserve"> comprehensive approach to suicide prevention and t</w:t>
      </w:r>
      <w:r w:rsidR="006B16A2">
        <w:t xml:space="preserve">hen to implement and evaluate this approach. The comprehensive approach includes </w:t>
      </w:r>
      <w:r w:rsidR="006545F7">
        <w:t xml:space="preserve">1) </w:t>
      </w:r>
      <w:r w:rsidR="006B16A2">
        <w:t xml:space="preserve">convening of multi-sectoral partners, </w:t>
      </w:r>
      <w:r w:rsidR="006545F7">
        <w:t xml:space="preserve">2) </w:t>
      </w:r>
      <w:r w:rsidR="006B16A2">
        <w:t xml:space="preserve">using data to identify and learn about suicide in populations disproportionately impacted, </w:t>
      </w:r>
      <w:r w:rsidR="006545F7">
        <w:t xml:space="preserve">3) </w:t>
      </w:r>
      <w:r w:rsidR="00322D17">
        <w:t xml:space="preserve">inventorying existing suicide prevention programs in the community, </w:t>
      </w:r>
      <w:r w:rsidR="006545F7">
        <w:t xml:space="preserve">4) </w:t>
      </w:r>
      <w:r w:rsidR="00322D17">
        <w:t xml:space="preserve">selecting suicide prevention strategies and approaches with the best available evidence </w:t>
      </w:r>
      <w:r w:rsidR="00BE4A41">
        <w:t xml:space="preserve">to complement existing programs, </w:t>
      </w:r>
      <w:r w:rsidR="006545F7">
        <w:t xml:space="preserve">5) </w:t>
      </w:r>
      <w:r w:rsidR="00BE4A41">
        <w:t xml:space="preserve">creating a communication plan to keep </w:t>
      </w:r>
      <w:r w:rsidR="00CB3F29">
        <w:t>interest-holder</w:t>
      </w:r>
      <w:r w:rsidR="00BE4A41">
        <w:t xml:space="preserve">s informed, and </w:t>
      </w:r>
      <w:r w:rsidR="006545F7">
        <w:t xml:space="preserve">6) </w:t>
      </w:r>
      <w:r w:rsidR="00BE4A41">
        <w:t xml:space="preserve">ongoing implementation and evaluation. </w:t>
      </w:r>
      <w:r w:rsidR="00D8402C">
        <w:t xml:space="preserve">Evaluation will include monitoring of short-, intermediate-, and long-term outcomes </w:t>
      </w:r>
      <w:r w:rsidR="00F60193">
        <w:t>as outlined in</w:t>
      </w:r>
      <w:r w:rsidR="00577D12">
        <w:t xml:space="preserve"> the program logic model</w:t>
      </w:r>
      <w:r w:rsidR="000863B0">
        <w:t xml:space="preserve"> and in</w:t>
      </w:r>
      <w:r w:rsidR="00F60193">
        <w:t xml:space="preserve"> Table A.</w:t>
      </w:r>
      <w:r w:rsidR="00CF5676">
        <w:t>1</w:t>
      </w:r>
      <w:r w:rsidR="00F60193">
        <w:t xml:space="preserve"> below.</w:t>
      </w:r>
    </w:p>
    <w:p w:rsidR="0094276A" w:rsidP="00972DEF" w14:paraId="01D76A77"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E04CB" w14:paraId="5DC8AC07" w14:textId="77777777">
      <w:pPr>
        <w:rPr>
          <w:b/>
        </w:rPr>
      </w:pPr>
      <w:r>
        <w:rPr>
          <w:b/>
        </w:rPr>
        <w:br w:type="page"/>
      </w:r>
    </w:p>
    <w:p w:rsidR="00E91859" w:rsidP="20A69760" w14:paraId="0C8596C6" w14:textId="5D92A4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Table A.1</w:t>
      </w:r>
      <w:r w:rsidRPr="00DA602A">
        <w:rPr>
          <w:b/>
        </w:rPr>
        <w:t xml:space="preserve">. </w:t>
      </w:r>
      <w:r>
        <w:t xml:space="preserve">CSP Program </w:t>
      </w:r>
      <w:r w:rsidR="00B176AB">
        <w:t xml:space="preserve">Activities and </w:t>
      </w:r>
      <w:r>
        <w:t xml:space="preserve">Outcomes </w:t>
      </w:r>
    </w:p>
    <w:p w:rsidR="00E91859" w:rsidP="00972DEF" w14:paraId="34171563"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345" w:type="dxa"/>
        <w:tblBorders>
          <w:top w:val="outset" w:sz="6" w:space="0" w:color="auto"/>
          <w:left w:val="outset" w:sz="6" w:space="0" w:color="auto"/>
          <w:bottom w:val="outset" w:sz="6" w:space="0" w:color="auto"/>
          <w:right w:val="outset" w:sz="6" w:space="0" w:color="auto"/>
        </w:tblBorders>
        <w:tblLayout w:type="fixed"/>
        <w:tblCellMar>
          <w:top w:w="144" w:type="dxa"/>
          <w:left w:w="144" w:type="dxa"/>
          <w:bottom w:w="144" w:type="dxa"/>
          <w:right w:w="144" w:type="dxa"/>
        </w:tblCellMar>
        <w:tblLook w:val="04A0"/>
      </w:tblPr>
      <w:tblGrid>
        <w:gridCol w:w="3508"/>
        <w:gridCol w:w="2249"/>
        <w:gridCol w:w="2069"/>
        <w:gridCol w:w="1519"/>
      </w:tblGrid>
      <w:tr w14:paraId="14D1A489" w14:textId="77777777">
        <w:tblPrEx>
          <w:tblW w:w="9345" w:type="dxa"/>
          <w:tblBorders>
            <w:top w:val="outset" w:sz="6" w:space="0" w:color="auto"/>
            <w:left w:val="outset" w:sz="6" w:space="0" w:color="auto"/>
            <w:bottom w:val="outset" w:sz="6" w:space="0" w:color="auto"/>
            <w:right w:val="outset" w:sz="6" w:space="0" w:color="auto"/>
          </w:tblBorders>
          <w:tblLayout w:type="fixed"/>
          <w:tblCellMar>
            <w:top w:w="144" w:type="dxa"/>
            <w:left w:w="144" w:type="dxa"/>
            <w:bottom w:w="144" w:type="dxa"/>
            <w:right w:w="144" w:type="dxa"/>
          </w:tblCellMar>
          <w:tblLook w:val="04A0"/>
        </w:tblPrEx>
        <w:trPr>
          <w:trHeight w:val="15"/>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F2408C" w:rsidRPr="00AE04CB" w14:paraId="00FC5998" w14:textId="77777777">
            <w:pPr>
              <w:textAlignment w:val="baseline"/>
              <w:rPr>
                <w:rFonts w:eastAsia="Calibri"/>
                <w:b/>
              </w:rPr>
            </w:pPr>
            <w:r w:rsidRPr="00AE04CB">
              <w:rPr>
                <w:rFonts w:eastAsia="Calibri"/>
                <w:b/>
              </w:rPr>
              <w:t>Strategies and activities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F2408C" w:rsidRPr="00AE04CB" w14:paraId="6C05D563" w14:textId="77777777">
            <w:pPr>
              <w:textAlignment w:val="baseline"/>
              <w:rPr>
                <w:rFonts w:eastAsia="Calibri"/>
                <w:b/>
              </w:rPr>
            </w:pPr>
            <w:r w:rsidRPr="00AE04CB">
              <w:rPr>
                <w:rFonts w:eastAsia="Calibri"/>
                <w:b/>
              </w:rPr>
              <w:t>Short-term outcomes </w:t>
            </w:r>
          </w:p>
        </w:tc>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F2408C" w:rsidRPr="00AE04CB" w14:paraId="36D82782" w14:textId="77777777">
            <w:pPr>
              <w:textAlignment w:val="baseline"/>
              <w:rPr>
                <w:rFonts w:eastAsia="Calibri"/>
                <w:b/>
              </w:rPr>
            </w:pPr>
            <w:r w:rsidRPr="00AE04CB">
              <w:rPr>
                <w:rFonts w:eastAsia="Calibri"/>
                <w:b/>
              </w:rPr>
              <w:t>Intermediate outcomes </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F2408C" w:rsidRPr="00AE04CB" w14:paraId="1D7084DD" w14:textId="77777777">
            <w:pPr>
              <w:textAlignment w:val="baseline"/>
              <w:rPr>
                <w:rFonts w:eastAsia="Calibri"/>
                <w:b/>
              </w:rPr>
            </w:pPr>
            <w:r w:rsidRPr="00AE04CB">
              <w:rPr>
                <w:rFonts w:eastAsia="Calibri"/>
                <w:b/>
              </w:rPr>
              <w:t>Long-term outcomes </w:t>
            </w:r>
          </w:p>
        </w:tc>
      </w:tr>
      <w:tr w14:paraId="3461590A" w14:textId="77777777">
        <w:tblPrEx>
          <w:tblW w:w="9345" w:type="dxa"/>
          <w:tblLayout w:type="fixed"/>
          <w:tblCellMar>
            <w:top w:w="144" w:type="dxa"/>
            <w:left w:w="144" w:type="dxa"/>
            <w:bottom w:w="144" w:type="dxa"/>
            <w:right w:w="144" w:type="dxa"/>
          </w:tblCellMar>
          <w:tblLook w:val="04A0"/>
        </w:tblPrEx>
        <w:trPr>
          <w:trHeight w:val="15"/>
        </w:trPr>
        <w:tc>
          <w:tcPr>
            <w:tcW w:w="3510" w:type="dxa"/>
            <w:tcBorders>
              <w:top w:val="single" w:sz="4" w:space="0" w:color="auto"/>
              <w:left w:val="single" w:sz="6" w:space="0" w:color="5095E2"/>
              <w:bottom w:val="single" w:sz="4" w:space="0" w:color="auto"/>
              <w:right w:val="single" w:sz="4" w:space="0" w:color="auto"/>
            </w:tcBorders>
            <w:hideMark/>
          </w:tcPr>
          <w:p w:rsidR="00F2408C" w:rsidRPr="00AE04CB" w14:paraId="74FF2039" w14:textId="77777777">
            <w:pPr>
              <w:spacing w:before="20" w:after="20" w:line="256" w:lineRule="auto"/>
              <w:rPr>
                <w:b/>
                <w:bCs/>
              </w:rPr>
            </w:pPr>
            <w:r w:rsidRPr="00AE04CB">
              <w:rPr>
                <w:b/>
                <w:bCs/>
              </w:rPr>
              <w:t>Strategy 1: Develop approach</w:t>
            </w:r>
          </w:p>
          <w:p w:rsidR="00F2408C" w:rsidRPr="00AE04CB" w14:paraId="7A8410E8" w14:textId="77777777">
            <w:pPr>
              <w:spacing w:before="20" w:after="20" w:line="256" w:lineRule="auto"/>
            </w:pPr>
            <w:r w:rsidRPr="00AE04CB">
              <w:t xml:space="preserve">Within </w:t>
            </w:r>
            <w:r w:rsidRPr="00AE04CB">
              <w:t>first</w:t>
            </w:r>
            <w:r w:rsidRPr="00AE04CB">
              <w:t xml:space="preserve"> six months, assess partnerships, data, and existing capacity for suicide prevention to develop the comprehensive approach to suicide prevention: </w:t>
            </w:r>
          </w:p>
          <w:p w:rsidR="00F2408C" w:rsidRPr="00AE04CB" w:rsidP="00F2408C" w14:paraId="378996BB" w14:textId="77777777">
            <w:pPr>
              <w:numPr>
                <w:ilvl w:val="0"/>
                <w:numId w:val="44"/>
              </w:numPr>
              <w:spacing w:before="20" w:after="20" w:line="259" w:lineRule="auto"/>
              <w:ind w:left="512"/>
              <w:contextualSpacing/>
            </w:pPr>
            <w:r w:rsidRPr="00AE04CB">
              <w:rPr>
                <w:b/>
                <w:bCs/>
              </w:rPr>
              <w:t xml:space="preserve">Partnership: </w:t>
            </w:r>
            <w:r w:rsidRPr="00AE04CB">
              <w:t>Assess existing and new partnerships to create and implement a multi-sector partnership plan within 6 months of award.</w:t>
            </w:r>
          </w:p>
          <w:p w:rsidR="00F2408C" w:rsidRPr="00AE04CB" w:rsidP="00F2408C" w14:paraId="346866EA" w14:textId="77777777">
            <w:pPr>
              <w:numPr>
                <w:ilvl w:val="0"/>
                <w:numId w:val="44"/>
              </w:numPr>
              <w:spacing w:before="20" w:after="20" w:line="259" w:lineRule="auto"/>
              <w:ind w:left="512"/>
              <w:contextualSpacing/>
            </w:pPr>
            <w:r w:rsidRPr="00AE04CB">
              <w:rPr>
                <w:b/>
                <w:bCs/>
              </w:rPr>
              <w:t>Data use:</w:t>
            </w:r>
            <w:r w:rsidRPr="00AE04CB">
              <w:t xml:space="preserve"> Use surveillance data to identify disproportionately affected populations (DAPs) and contributors to suicide morbidity and mortality within 3 months of award.</w:t>
            </w:r>
          </w:p>
          <w:p w:rsidR="00F2408C" w:rsidRPr="00AE04CB" w:rsidP="00F2408C" w14:paraId="2440F6D3" w14:textId="77777777">
            <w:pPr>
              <w:numPr>
                <w:ilvl w:val="0"/>
                <w:numId w:val="44"/>
              </w:numPr>
              <w:spacing w:before="20" w:after="20" w:line="259" w:lineRule="auto"/>
              <w:ind w:left="512"/>
              <w:contextualSpacing/>
            </w:pPr>
            <w:r w:rsidRPr="00AE04CB">
              <w:rPr>
                <w:b/>
                <w:bCs/>
              </w:rPr>
              <w:t>Asset and gap inventory:</w:t>
            </w:r>
            <w:r w:rsidRPr="00AE04CB">
              <w:t xml:space="preserve"> Create an inventory of existing suicide prevention programs in the jurisdiction to identify assets and gaps within 3 months of award. </w:t>
            </w:r>
          </w:p>
          <w:p w:rsidR="00F2408C" w:rsidRPr="00AE04CB" w:rsidP="00F2408C" w14:paraId="6B49D1FE" w14:textId="77777777">
            <w:pPr>
              <w:numPr>
                <w:ilvl w:val="0"/>
                <w:numId w:val="44"/>
              </w:numPr>
              <w:spacing w:before="20" w:after="20" w:line="259" w:lineRule="auto"/>
              <w:ind w:left="512"/>
              <w:contextualSpacing/>
              <w:rPr>
                <w:u w:val="single"/>
              </w:rPr>
            </w:pPr>
            <w:r w:rsidRPr="00AE04CB">
              <w:rPr>
                <w:b/>
                <w:bCs/>
              </w:rPr>
              <w:t xml:space="preserve">Strategy selection: </w:t>
            </w:r>
            <w:r w:rsidRPr="00AE04CB">
              <w:t xml:space="preserve">Use findings from the previous activities to select appropriate strategies or approaches from the </w:t>
            </w:r>
            <w:hyperlink r:id="rId8" w:history="1">
              <w:r w:rsidRPr="00AE04CB">
                <w:rPr>
                  <w:u w:val="single"/>
                </w:rPr>
                <w:t>CDC Suicide Prevention </w:t>
              </w:r>
            </w:hyperlink>
          </w:p>
          <w:p w:rsidR="00F2408C" w:rsidRPr="00AE04CB" w14:paraId="0A09F935" w14:textId="77777777">
            <w:pPr>
              <w:spacing w:before="20" w:after="20"/>
              <w:ind w:left="512"/>
              <w:contextualSpacing/>
            </w:pPr>
            <w:hyperlink r:id="rId8" w:history="1">
              <w:hyperlink r:id="rId8" w:history="1">
                <w:r w:rsidRPr="00AE04CB">
                  <w:rPr>
                    <w:u w:val="single"/>
                  </w:rPr>
                  <w:t>Resource for Action (R4A)</w:t>
                </w:r>
              </w:hyperlink>
            </w:hyperlink>
            <w:r w:rsidRPr="00AE04CB">
              <w:t xml:space="preserve"> within 4 months of award.</w:t>
            </w:r>
          </w:p>
        </w:tc>
        <w:tc>
          <w:tcPr>
            <w:tcW w:w="2250" w:type="dxa"/>
            <w:vMerge w:val="restart"/>
            <w:tcBorders>
              <w:top w:val="single" w:sz="4" w:space="0" w:color="auto"/>
              <w:left w:val="single" w:sz="4" w:space="0" w:color="auto"/>
              <w:bottom w:val="nil"/>
              <w:right w:val="single" w:sz="6" w:space="0" w:color="5095E2"/>
            </w:tcBorders>
          </w:tcPr>
          <w:p w:rsidR="00F2408C" w:rsidRPr="00AE04CB" w14:paraId="3BAA2A84" w14:textId="77777777">
            <w:pPr>
              <w:textAlignment w:val="baseline"/>
              <w:rPr>
                <w:rFonts w:eastAsia="Calibri"/>
                <w:b/>
                <w:bCs/>
              </w:rPr>
            </w:pPr>
            <w:r w:rsidRPr="00AE04CB">
              <w:rPr>
                <w:rFonts w:eastAsia="Calibri"/>
                <w:b/>
                <w:bCs/>
              </w:rPr>
              <w:t>(Years 2 to 3)</w:t>
            </w:r>
          </w:p>
          <w:p w:rsidR="00F2408C" w:rsidRPr="00AE04CB" w14:paraId="0A2DCFA4" w14:textId="77777777">
            <w:pPr>
              <w:textAlignment w:val="baseline"/>
              <w:rPr>
                <w:rFonts w:eastAsia="Calibri"/>
              </w:rPr>
            </w:pPr>
          </w:p>
          <w:p w:rsidR="00F2408C" w:rsidRPr="00AE04CB" w14:paraId="1A837736" w14:textId="77777777">
            <w:pPr>
              <w:spacing w:before="20" w:after="20" w:line="256" w:lineRule="auto"/>
            </w:pPr>
            <w:r w:rsidRPr="00AE04CB">
              <w:t>Increased and sustained critical multi-sector partner engagement in Comprehensive Suicide Prevention (CSP) programmatic and surveillance activities.</w:t>
            </w:r>
          </w:p>
          <w:p w:rsidR="00F2408C" w:rsidRPr="00AE04CB" w14:paraId="408101AC" w14:textId="77777777">
            <w:pPr>
              <w:spacing w:before="20" w:after="20" w:line="256" w:lineRule="auto"/>
            </w:pPr>
          </w:p>
          <w:p w:rsidR="00F2408C" w:rsidRPr="00AE04CB" w14:paraId="302A0006" w14:textId="77777777">
            <w:pPr>
              <w:spacing w:before="20" w:after="20" w:line="256" w:lineRule="auto"/>
            </w:pPr>
            <w:r w:rsidRPr="00AE04CB">
              <w:t>Increased recipient and partner awareness of DAPs, suicide contributors, and emerging trends.</w:t>
            </w:r>
          </w:p>
          <w:p w:rsidR="00F2408C" w:rsidRPr="00AE04CB" w14:paraId="564FA62B" w14:textId="77777777">
            <w:pPr>
              <w:spacing w:before="20" w:after="20" w:line="256" w:lineRule="auto"/>
            </w:pPr>
          </w:p>
          <w:p w:rsidR="00F2408C" w:rsidRPr="00AE04CB" w14:paraId="48A69E1B" w14:textId="77777777">
            <w:pPr>
              <w:spacing w:before="20" w:after="20" w:line="256" w:lineRule="auto"/>
            </w:pPr>
            <w:r w:rsidRPr="00AE04CB">
              <w:t>Increased reach of suicide prevention strategies to address suicide burden among DAPs in jurisdiction.</w:t>
            </w:r>
          </w:p>
          <w:p w:rsidR="00F2408C" w:rsidRPr="00AE04CB" w14:paraId="3B0C4D85" w14:textId="77777777">
            <w:pPr>
              <w:spacing w:before="20" w:after="20" w:line="256" w:lineRule="auto"/>
            </w:pPr>
          </w:p>
          <w:p w:rsidR="00F2408C" w:rsidRPr="00AE04CB" w14:paraId="6206CDBE" w14:textId="77777777">
            <w:pPr>
              <w:spacing w:before="20" w:after="20" w:line="256" w:lineRule="auto"/>
            </w:pPr>
            <w:r w:rsidRPr="00AE04CB">
              <w:t xml:space="preserve">Increased use of evaluation findings for continuous quality improvement and outcome assessment. </w:t>
            </w:r>
          </w:p>
          <w:p w:rsidR="00F2408C" w:rsidRPr="00AE04CB" w14:paraId="3A0FD77A" w14:textId="77777777">
            <w:pPr>
              <w:spacing w:after="120" w:line="256" w:lineRule="auto"/>
            </w:pPr>
          </w:p>
          <w:p w:rsidR="00F2408C" w:rsidRPr="00AE04CB" w14:paraId="0CCA3AEA" w14:textId="77777777">
            <w:pPr>
              <w:textAlignment w:val="baseline"/>
              <w:rPr>
                <w:rFonts w:eastAsia="Calibri"/>
              </w:rPr>
            </w:pPr>
            <w:r w:rsidRPr="00AE04CB">
              <w:t>Increased partner awareness of CSP programmatic, data, and evaluation findings.</w:t>
            </w:r>
          </w:p>
        </w:tc>
        <w:tc>
          <w:tcPr>
            <w:tcW w:w="2070" w:type="dxa"/>
            <w:vMerge w:val="restart"/>
            <w:tcBorders>
              <w:top w:val="single" w:sz="4" w:space="0" w:color="auto"/>
              <w:left w:val="single" w:sz="6" w:space="0" w:color="5095E2"/>
              <w:bottom w:val="nil"/>
              <w:right w:val="single" w:sz="6" w:space="0" w:color="5095E2"/>
            </w:tcBorders>
          </w:tcPr>
          <w:p w:rsidR="00F2408C" w:rsidRPr="00AE04CB" w14:paraId="4542E372" w14:textId="77777777">
            <w:pPr>
              <w:textAlignment w:val="baseline"/>
              <w:rPr>
                <w:rFonts w:eastAsia="Calibri"/>
                <w:b/>
                <w:bCs/>
              </w:rPr>
            </w:pPr>
            <w:r w:rsidRPr="00AE04CB">
              <w:rPr>
                <w:rFonts w:eastAsia="Calibri"/>
                <w:b/>
                <w:bCs/>
              </w:rPr>
              <w:t>(Years 3 to 4)</w:t>
            </w:r>
          </w:p>
          <w:p w:rsidR="00F2408C" w:rsidRPr="00AE04CB" w14:paraId="321C6E59" w14:textId="77777777">
            <w:pPr>
              <w:textAlignment w:val="baseline"/>
              <w:rPr>
                <w:rFonts w:eastAsia="Calibri"/>
              </w:rPr>
            </w:pPr>
          </w:p>
          <w:p w:rsidR="00F2408C" w:rsidRPr="00AE04CB" w14:paraId="07C20F52" w14:textId="77777777">
            <w:pPr>
              <w:spacing w:before="20" w:after="20" w:line="256" w:lineRule="auto"/>
            </w:pPr>
            <w:r w:rsidRPr="00AE04CB">
              <w:t>Improved coordination of comprehensive </w:t>
            </w:r>
          </w:p>
          <w:p w:rsidR="00F2408C" w:rsidRPr="00AE04CB" w14:paraId="3AD27F1A" w14:textId="77777777">
            <w:pPr>
              <w:spacing w:before="20" w:after="20" w:line="256" w:lineRule="auto"/>
            </w:pPr>
            <w:r w:rsidRPr="00AE04CB">
              <w:t>upstream suicide </w:t>
            </w:r>
          </w:p>
          <w:p w:rsidR="00F2408C" w:rsidRPr="00AE04CB" w14:paraId="3862D8C5" w14:textId="77777777">
            <w:pPr>
              <w:spacing w:before="20" w:after="20" w:line="256" w:lineRule="auto"/>
            </w:pPr>
            <w:r w:rsidRPr="00AE04CB">
              <w:t>prevention among</w:t>
            </w:r>
          </w:p>
          <w:p w:rsidR="00F2408C" w:rsidRPr="00AE04CB" w14:paraId="4322CC9E" w14:textId="77777777">
            <w:pPr>
              <w:spacing w:before="20" w:after="20" w:line="256" w:lineRule="auto"/>
            </w:pPr>
            <w:r w:rsidRPr="00AE04CB">
              <w:t>recipients and </w:t>
            </w:r>
          </w:p>
          <w:p w:rsidR="00F2408C" w:rsidRPr="00AE04CB" w14:paraId="29109514" w14:textId="77777777">
            <w:pPr>
              <w:spacing w:before="20" w:after="20" w:line="256" w:lineRule="auto"/>
            </w:pPr>
            <w:r w:rsidRPr="00AE04CB">
              <w:t>partners within </w:t>
            </w:r>
          </w:p>
          <w:p w:rsidR="00F2408C" w:rsidRPr="00AE04CB" w14:paraId="7C33E545" w14:textId="77777777">
            <w:pPr>
              <w:spacing w:before="20" w:after="20" w:line="256" w:lineRule="auto"/>
            </w:pPr>
            <w:r w:rsidRPr="00AE04CB">
              <w:t>jurisdiction.</w:t>
            </w:r>
          </w:p>
          <w:p w:rsidR="00F2408C" w:rsidRPr="00AE04CB" w14:paraId="6DEF936E" w14:textId="77777777">
            <w:pPr>
              <w:spacing w:before="20" w:after="20" w:line="256" w:lineRule="auto"/>
            </w:pPr>
          </w:p>
          <w:p w:rsidR="00F2408C" w:rsidRPr="00AE04CB" w14:paraId="1AF7DD79" w14:textId="77777777">
            <w:pPr>
              <w:spacing w:before="20" w:after="20" w:line="256" w:lineRule="auto"/>
            </w:pPr>
            <w:r w:rsidRPr="00AE04CB">
              <w:t xml:space="preserve">Sustained recipient and increased partner use of surveillance data to inform suicide prevention. </w:t>
            </w:r>
          </w:p>
          <w:p w:rsidR="00F2408C" w:rsidRPr="00AE04CB" w14:paraId="31F81DD6" w14:textId="77777777">
            <w:pPr>
              <w:spacing w:before="20" w:after="20" w:line="256" w:lineRule="auto"/>
            </w:pPr>
          </w:p>
          <w:p w:rsidR="00F2408C" w:rsidRPr="00AE04CB" w14:paraId="169D5B09" w14:textId="77777777">
            <w:pPr>
              <w:spacing w:before="20" w:after="20" w:line="256" w:lineRule="auto"/>
            </w:pPr>
            <w:r w:rsidRPr="00AE04CB">
              <w:t>Sustained recipient infrastructure to lead implementation of comprehensive upstream suicide prevention in jurisdiction.</w:t>
            </w:r>
          </w:p>
          <w:p w:rsidR="00F2408C" w:rsidRPr="00AE04CB" w14:paraId="2DBA15E7" w14:textId="77777777">
            <w:pPr>
              <w:spacing w:before="20" w:after="20" w:line="256" w:lineRule="auto"/>
            </w:pPr>
          </w:p>
          <w:p w:rsidR="00F2408C" w:rsidRPr="00AE04CB" w14:paraId="56E70A25" w14:textId="77777777">
            <w:pPr>
              <w:textAlignment w:val="baseline"/>
            </w:pPr>
            <w:r w:rsidRPr="00AE04CB">
              <w:t xml:space="preserve">Increased use of evaluation findings to sustain continuous quality improvement and to identify promising practices for </w:t>
            </w:r>
            <w:r w:rsidRPr="00AE04CB">
              <w:t>others to use in preventing suicide.</w:t>
            </w:r>
          </w:p>
          <w:p w:rsidR="00F2408C" w:rsidRPr="00AE04CB" w14:paraId="787D155D" w14:textId="77777777">
            <w:pPr>
              <w:spacing w:before="20" w:after="20" w:line="256" w:lineRule="auto"/>
            </w:pPr>
          </w:p>
          <w:p w:rsidR="00F2408C" w:rsidRPr="00AE04CB" w14:paraId="71A98E83" w14:textId="77777777">
            <w:pPr>
              <w:spacing w:before="20" w:after="20" w:line="256" w:lineRule="auto"/>
            </w:pPr>
            <w:r w:rsidRPr="00AE04CB">
              <w:t>Decreased suicide risk factors and</w:t>
            </w:r>
            <w:r w:rsidRPr="00AE04CB">
              <w:br/>
              <w:t>increased protective factors among DAPs in jurisdiction</w:t>
            </w:r>
          </w:p>
          <w:p w:rsidR="00F2408C" w:rsidRPr="00AE04CB" w14:paraId="10CD3001" w14:textId="77777777">
            <w:pPr>
              <w:spacing w:before="20" w:after="20" w:line="256" w:lineRule="auto"/>
            </w:pPr>
          </w:p>
          <w:p w:rsidR="00F2408C" w:rsidRPr="00AE04CB" w14:paraId="2AB745F2" w14:textId="77777777">
            <w:pPr>
              <w:textAlignment w:val="baseline"/>
              <w:rPr>
                <w:rFonts w:eastAsia="Calibri"/>
              </w:rPr>
            </w:pPr>
            <w:r w:rsidRPr="00AE04CB">
              <w:t>Reduction in suicide morbidity (for example, suicidal ideation, suicidal self-harm, suicide attempts) among selected DAPs</w:t>
            </w:r>
          </w:p>
        </w:tc>
        <w:tc>
          <w:tcPr>
            <w:tcW w:w="1515" w:type="dxa"/>
            <w:vMerge w:val="restart"/>
            <w:tcBorders>
              <w:top w:val="single" w:sz="4" w:space="0" w:color="auto"/>
              <w:left w:val="single" w:sz="6" w:space="0" w:color="5095E2"/>
              <w:bottom w:val="nil"/>
              <w:right w:val="single" w:sz="4" w:space="0" w:color="auto"/>
            </w:tcBorders>
          </w:tcPr>
          <w:p w:rsidR="00F2408C" w:rsidRPr="00AE04CB" w14:paraId="54031580" w14:textId="77777777">
            <w:pPr>
              <w:textAlignment w:val="baseline"/>
              <w:rPr>
                <w:rFonts w:eastAsia="Calibri"/>
                <w:b/>
                <w:bCs/>
              </w:rPr>
            </w:pPr>
            <w:r w:rsidRPr="00AE04CB">
              <w:rPr>
                <w:rFonts w:eastAsia="Calibri"/>
                <w:b/>
                <w:bCs/>
              </w:rPr>
              <w:t>(Years 4 to 5)</w:t>
            </w:r>
          </w:p>
          <w:p w:rsidR="00F2408C" w:rsidRPr="00AE04CB" w14:paraId="155CBF5F" w14:textId="77777777">
            <w:pPr>
              <w:textAlignment w:val="baseline"/>
            </w:pPr>
          </w:p>
          <w:p w:rsidR="00F2408C" w:rsidRPr="00AE04CB" w14:paraId="22265A42" w14:textId="77777777">
            <w:pPr>
              <w:textAlignment w:val="baseline"/>
              <w:rPr>
                <w:rFonts w:eastAsia="Calibri"/>
              </w:rPr>
            </w:pPr>
            <w:r w:rsidRPr="00AE04CB">
              <w:t>A 5% reduction in suicide mortality among selected DAPs.</w:t>
            </w:r>
          </w:p>
        </w:tc>
      </w:tr>
      <w:tr w14:paraId="4E32EE2C" w14:textId="77777777">
        <w:tblPrEx>
          <w:tblW w:w="9345" w:type="dxa"/>
          <w:tblLayout w:type="fixed"/>
          <w:tblCellMar>
            <w:top w:w="144" w:type="dxa"/>
            <w:left w:w="144" w:type="dxa"/>
            <w:bottom w:w="144" w:type="dxa"/>
            <w:right w:w="144" w:type="dxa"/>
          </w:tblCellMar>
          <w:tblLook w:val="04A0"/>
        </w:tblPrEx>
        <w:trPr>
          <w:trHeight w:val="15"/>
        </w:trPr>
        <w:tc>
          <w:tcPr>
            <w:tcW w:w="3510" w:type="dxa"/>
            <w:tcBorders>
              <w:top w:val="single" w:sz="4" w:space="0" w:color="auto"/>
              <w:left w:val="single" w:sz="6" w:space="0" w:color="5095E2"/>
              <w:bottom w:val="single" w:sz="4" w:space="0" w:color="auto"/>
              <w:right w:val="single" w:sz="4" w:space="0" w:color="auto"/>
            </w:tcBorders>
            <w:hideMark/>
          </w:tcPr>
          <w:p w:rsidR="00F2408C" w:rsidRPr="00AE04CB" w14:paraId="15A19DEA" w14:textId="77777777">
            <w:pPr>
              <w:spacing w:before="20" w:after="20" w:line="256" w:lineRule="auto"/>
              <w:rPr>
                <w:rFonts w:eastAsia="Calibri"/>
                <w:b/>
                <w:bCs/>
              </w:rPr>
            </w:pPr>
            <w:r w:rsidRPr="00AE04CB">
              <w:rPr>
                <w:rFonts w:eastAsia="Calibri"/>
                <w:b/>
                <w:bCs/>
              </w:rPr>
              <w:t>Strategy 2: Implement approach</w:t>
            </w:r>
          </w:p>
          <w:p w:rsidR="00F2408C" w:rsidRPr="00AE04CB" w14:paraId="7433E635" w14:textId="77777777">
            <w:pPr>
              <w:spacing w:before="20" w:after="20" w:line="256" w:lineRule="auto"/>
            </w:pPr>
            <w:r w:rsidRPr="00AE04CB">
              <w:t>Following strategy 1 activities and no later than year 1, implement a comprehensive approach to suicide prevention:</w:t>
            </w:r>
          </w:p>
          <w:p w:rsidR="00F2408C" w:rsidRPr="00AE04CB" w:rsidP="00F2408C" w14:paraId="0613750C" w14:textId="77777777">
            <w:pPr>
              <w:numPr>
                <w:ilvl w:val="0"/>
                <w:numId w:val="45"/>
              </w:numPr>
              <w:spacing w:before="20" w:after="20" w:line="259" w:lineRule="auto"/>
              <w:ind w:left="512"/>
              <w:contextualSpacing/>
            </w:pPr>
            <w:r w:rsidRPr="00AE04CB">
              <w:rPr>
                <w:b/>
                <w:bCs/>
              </w:rPr>
              <w:t xml:space="preserve">Partnership: </w:t>
            </w:r>
            <w:r w:rsidRPr="00AE04CB">
              <w:t>Build, strengthen, and sustain partnerships to implement comprehensive suicide prevention activities</w:t>
            </w:r>
          </w:p>
          <w:p w:rsidR="00F2408C" w:rsidRPr="00AE04CB" w:rsidP="00F2408C" w14:paraId="337DEF27" w14:textId="77777777">
            <w:pPr>
              <w:numPr>
                <w:ilvl w:val="0"/>
                <w:numId w:val="45"/>
              </w:numPr>
              <w:spacing w:before="20" w:after="20" w:line="259" w:lineRule="auto"/>
              <w:ind w:left="512"/>
              <w:contextualSpacing/>
            </w:pPr>
            <w:r w:rsidRPr="00AE04CB">
              <w:t>​</w:t>
            </w:r>
            <w:r w:rsidRPr="00AE04CB">
              <w:rPr>
                <w:b/>
                <w:bCs/>
              </w:rPr>
              <w:t>Data</w:t>
            </w:r>
            <w:r w:rsidRPr="00AE04CB">
              <w:t>: Use surveillance data to assess suicide contributors, trends, and inform suicide prevention and response.</w:t>
            </w:r>
          </w:p>
          <w:p w:rsidR="00F2408C" w:rsidRPr="00AE04CB" w:rsidP="00F2408C" w14:paraId="014C81F0" w14:textId="77777777">
            <w:pPr>
              <w:numPr>
                <w:ilvl w:val="0"/>
                <w:numId w:val="45"/>
              </w:numPr>
              <w:spacing w:before="20" w:after="20" w:line="259" w:lineRule="auto"/>
              <w:ind w:left="512"/>
              <w:contextualSpacing/>
            </w:pPr>
            <w:r w:rsidRPr="00AE04CB">
              <w:rPr>
                <w:b/>
                <w:bCs/>
              </w:rPr>
              <w:t xml:space="preserve">Implementation: </w:t>
            </w:r>
            <w:r w:rsidRPr="00AE04CB">
              <w:t>Leverage partnerships to implement Strategies from the CDC Suicide Prevention R4A to address suicide contributors among DAPs and fill jurisdictional gaps.</w:t>
            </w:r>
          </w:p>
        </w:tc>
        <w:tc>
          <w:tcPr>
            <w:tcW w:w="2250" w:type="dxa"/>
            <w:vMerge/>
            <w:tcBorders>
              <w:top w:val="nil"/>
              <w:left w:val="single" w:sz="4" w:space="0" w:color="auto"/>
              <w:bottom w:val="nil"/>
              <w:right w:val="single" w:sz="6" w:space="0" w:color="5095E2"/>
            </w:tcBorders>
            <w:vAlign w:val="center"/>
            <w:hideMark/>
          </w:tcPr>
          <w:p w:rsidR="00F2408C" w:rsidRPr="00AE04CB" w14:paraId="6F2194B3" w14:textId="77777777">
            <w:pPr>
              <w:rPr>
                <w:rFonts w:eastAsia="Calibri"/>
              </w:rPr>
            </w:pPr>
          </w:p>
        </w:tc>
        <w:tc>
          <w:tcPr>
            <w:tcW w:w="2070" w:type="dxa"/>
            <w:vMerge/>
            <w:tcBorders>
              <w:top w:val="nil"/>
              <w:left w:val="single" w:sz="6" w:space="0" w:color="5095E2"/>
              <w:bottom w:val="nil"/>
              <w:right w:val="single" w:sz="6" w:space="0" w:color="5095E2"/>
            </w:tcBorders>
            <w:vAlign w:val="center"/>
            <w:hideMark/>
          </w:tcPr>
          <w:p w:rsidR="00F2408C" w:rsidRPr="00AE04CB" w14:paraId="76527FED" w14:textId="77777777">
            <w:pPr>
              <w:rPr>
                <w:rFonts w:eastAsia="Calibri"/>
              </w:rPr>
            </w:pPr>
          </w:p>
        </w:tc>
        <w:tc>
          <w:tcPr>
            <w:tcW w:w="1515" w:type="dxa"/>
            <w:vMerge/>
            <w:tcBorders>
              <w:top w:val="nil"/>
              <w:left w:val="single" w:sz="6" w:space="0" w:color="5095E2"/>
              <w:bottom w:val="nil"/>
              <w:right w:val="single" w:sz="4" w:space="0" w:color="auto"/>
            </w:tcBorders>
            <w:vAlign w:val="center"/>
            <w:hideMark/>
          </w:tcPr>
          <w:p w:rsidR="00F2408C" w:rsidRPr="00944960" w14:paraId="560297DD" w14:textId="77777777">
            <w:pPr>
              <w:rPr>
                <w:rFonts w:eastAsia="Calibri"/>
              </w:rPr>
            </w:pPr>
          </w:p>
        </w:tc>
      </w:tr>
      <w:tr w14:paraId="26C96372" w14:textId="77777777">
        <w:tblPrEx>
          <w:tblW w:w="9345" w:type="dxa"/>
          <w:tblLayout w:type="fixed"/>
          <w:tblCellMar>
            <w:top w:w="144" w:type="dxa"/>
            <w:left w:w="144" w:type="dxa"/>
            <w:bottom w:w="144" w:type="dxa"/>
            <w:right w:w="144" w:type="dxa"/>
          </w:tblCellMar>
          <w:tblLook w:val="04A0"/>
        </w:tblPrEx>
        <w:trPr>
          <w:trHeight w:val="15"/>
        </w:trPr>
        <w:tc>
          <w:tcPr>
            <w:tcW w:w="3510" w:type="dxa"/>
            <w:tcBorders>
              <w:top w:val="single" w:sz="4" w:space="0" w:color="auto"/>
              <w:left w:val="single" w:sz="6" w:space="0" w:color="5095E2"/>
              <w:bottom w:val="single" w:sz="4" w:space="0" w:color="auto"/>
              <w:right w:val="single" w:sz="4" w:space="0" w:color="auto"/>
            </w:tcBorders>
            <w:hideMark/>
          </w:tcPr>
          <w:p w:rsidR="00F2408C" w:rsidRPr="00AE04CB" w14:paraId="6A3A6BB9" w14:textId="77777777">
            <w:pPr>
              <w:spacing w:before="20" w:after="20" w:line="256" w:lineRule="auto"/>
              <w:rPr>
                <w:b/>
                <w:bCs/>
              </w:rPr>
            </w:pPr>
            <w:r w:rsidRPr="00AE04CB">
              <w:rPr>
                <w:b/>
                <w:bCs/>
              </w:rPr>
              <w:t>Strategy 3: Evaluate</w:t>
            </w:r>
          </w:p>
          <w:p w:rsidR="00F2408C" w:rsidRPr="00AE04CB" w14:paraId="5E438839" w14:textId="77777777">
            <w:pPr>
              <w:spacing w:before="20" w:after="20" w:line="256" w:lineRule="auto"/>
            </w:pPr>
            <w:r w:rsidRPr="00AE04CB">
              <w:t>After strategy 1 activities and no later than year 2, evaluate the following for continuous quality improvement, to assess sustained capacity for suicide prevention in jurisdiction, and to identify which practices are more likely to result in a reduction in suicide:</w:t>
            </w:r>
          </w:p>
          <w:p w:rsidR="00F2408C" w:rsidRPr="00AE04CB" w:rsidP="00F2408C" w14:paraId="5FCDE1C0" w14:textId="77777777">
            <w:pPr>
              <w:numPr>
                <w:ilvl w:val="0"/>
                <w:numId w:val="46"/>
              </w:numPr>
              <w:spacing w:before="20" w:after="20" w:line="259" w:lineRule="auto"/>
              <w:contextualSpacing/>
            </w:pPr>
            <w:r w:rsidRPr="00AE04CB">
              <w:t>Strategy 2 activities</w:t>
            </w:r>
          </w:p>
          <w:p w:rsidR="00F2408C" w:rsidRPr="00AE04CB" w:rsidP="00F2408C" w14:paraId="785A63EE" w14:textId="77777777">
            <w:pPr>
              <w:numPr>
                <w:ilvl w:val="0"/>
                <w:numId w:val="46"/>
              </w:numPr>
              <w:spacing w:before="20" w:after="20" w:line="259" w:lineRule="auto"/>
              <w:contextualSpacing/>
            </w:pPr>
            <w:r w:rsidRPr="00AE04CB">
              <w:t>Strategy 4</w:t>
            </w:r>
          </w:p>
          <w:p w:rsidR="00F2408C" w:rsidRPr="00AE04CB" w14:paraId="3EB891DB" w14:textId="77777777">
            <w:pPr>
              <w:spacing w:before="20" w:after="20"/>
              <w:ind w:left="720" w:hanging="360"/>
              <w:contextualSpacing/>
              <w:rPr>
                <w:rFonts w:eastAsia="Calibri"/>
              </w:rPr>
            </w:pPr>
            <w:r w:rsidRPr="00AE04CB">
              <w:t xml:space="preserve">NOFO outcomes. </w:t>
            </w:r>
          </w:p>
        </w:tc>
        <w:tc>
          <w:tcPr>
            <w:tcW w:w="2250" w:type="dxa"/>
            <w:vMerge/>
            <w:tcBorders>
              <w:top w:val="nil"/>
              <w:left w:val="single" w:sz="4" w:space="0" w:color="auto"/>
              <w:bottom w:val="nil"/>
              <w:right w:val="single" w:sz="6" w:space="0" w:color="5095E2"/>
            </w:tcBorders>
            <w:vAlign w:val="center"/>
            <w:hideMark/>
          </w:tcPr>
          <w:p w:rsidR="00F2408C" w:rsidRPr="00AE04CB" w14:paraId="49C043B8" w14:textId="77777777">
            <w:pPr>
              <w:rPr>
                <w:rFonts w:eastAsia="Calibri"/>
              </w:rPr>
            </w:pPr>
          </w:p>
        </w:tc>
        <w:tc>
          <w:tcPr>
            <w:tcW w:w="2070" w:type="dxa"/>
            <w:vMerge/>
            <w:tcBorders>
              <w:top w:val="nil"/>
              <w:left w:val="single" w:sz="6" w:space="0" w:color="5095E2"/>
              <w:bottom w:val="nil"/>
              <w:right w:val="single" w:sz="6" w:space="0" w:color="5095E2"/>
            </w:tcBorders>
            <w:vAlign w:val="center"/>
            <w:hideMark/>
          </w:tcPr>
          <w:p w:rsidR="00F2408C" w:rsidRPr="00AE04CB" w14:paraId="6FF2B66B" w14:textId="77777777">
            <w:pPr>
              <w:rPr>
                <w:rFonts w:eastAsia="Calibri"/>
              </w:rPr>
            </w:pPr>
          </w:p>
        </w:tc>
        <w:tc>
          <w:tcPr>
            <w:tcW w:w="1515" w:type="dxa"/>
            <w:vMerge/>
            <w:tcBorders>
              <w:top w:val="nil"/>
              <w:left w:val="single" w:sz="6" w:space="0" w:color="5095E2"/>
              <w:bottom w:val="nil"/>
              <w:right w:val="single" w:sz="4" w:space="0" w:color="auto"/>
            </w:tcBorders>
            <w:vAlign w:val="center"/>
            <w:hideMark/>
          </w:tcPr>
          <w:p w:rsidR="00F2408C" w:rsidRPr="00944960" w14:paraId="4D4D1923" w14:textId="77777777">
            <w:pPr>
              <w:rPr>
                <w:rFonts w:eastAsia="Calibri"/>
              </w:rPr>
            </w:pPr>
          </w:p>
        </w:tc>
      </w:tr>
      <w:tr w14:paraId="06845B6D" w14:textId="77777777">
        <w:tblPrEx>
          <w:tblW w:w="9345" w:type="dxa"/>
          <w:tblLayout w:type="fixed"/>
          <w:tblCellMar>
            <w:top w:w="144" w:type="dxa"/>
            <w:left w:w="144" w:type="dxa"/>
            <w:bottom w:w="144" w:type="dxa"/>
            <w:right w:w="144" w:type="dxa"/>
          </w:tblCellMar>
          <w:tblLook w:val="04A0"/>
        </w:tblPrEx>
        <w:trPr>
          <w:trHeight w:val="15"/>
        </w:trPr>
        <w:tc>
          <w:tcPr>
            <w:tcW w:w="3510" w:type="dxa"/>
            <w:tcBorders>
              <w:top w:val="single" w:sz="4" w:space="0" w:color="auto"/>
              <w:left w:val="single" w:sz="6" w:space="0" w:color="5095E2"/>
              <w:bottom w:val="single" w:sz="4" w:space="0" w:color="auto"/>
              <w:right w:val="single" w:sz="4" w:space="0" w:color="auto"/>
            </w:tcBorders>
            <w:hideMark/>
          </w:tcPr>
          <w:p w:rsidR="00F2408C" w:rsidRPr="00AE04CB" w14:paraId="644831FF" w14:textId="77777777">
            <w:pPr>
              <w:spacing w:before="20" w:after="20"/>
            </w:pPr>
            <w:r w:rsidRPr="00AE04CB">
              <w:rPr>
                <w:b/>
                <w:bCs/>
              </w:rPr>
              <w:t>Strategy 4</w:t>
            </w:r>
            <w:r w:rsidRPr="00AE04CB">
              <w:t xml:space="preserve">: </w:t>
            </w:r>
            <w:r w:rsidRPr="00AE04CB">
              <w:rPr>
                <w:b/>
                <w:bCs/>
              </w:rPr>
              <w:t>Communicate</w:t>
            </w:r>
          </w:p>
          <w:p w:rsidR="00F2408C" w:rsidRPr="00AE04CB" w14:paraId="40B2FB26" w14:textId="77777777">
            <w:pPr>
              <w:spacing w:before="20" w:after="20"/>
              <w:rPr>
                <w:rFonts w:eastAsia="Calibri"/>
              </w:rPr>
            </w:pPr>
            <w:r w:rsidRPr="00AE04CB">
              <w:t>Following strategy 1 activities and no later than year 2, communicate and share programmatic and data findings to inform partner action.</w:t>
            </w:r>
          </w:p>
        </w:tc>
        <w:tc>
          <w:tcPr>
            <w:tcW w:w="2250" w:type="dxa"/>
            <w:tcBorders>
              <w:top w:val="nil"/>
              <w:left w:val="single" w:sz="4" w:space="0" w:color="auto"/>
              <w:bottom w:val="outset" w:sz="6" w:space="0" w:color="auto"/>
              <w:right w:val="single" w:sz="4" w:space="0" w:color="auto"/>
            </w:tcBorders>
          </w:tcPr>
          <w:p w:rsidR="00F2408C" w:rsidRPr="00AE04CB" w14:paraId="2D59AFC8" w14:textId="77777777">
            <w:pPr>
              <w:ind w:left="540"/>
              <w:textAlignment w:val="baseline"/>
              <w:rPr>
                <w:rFonts w:eastAsia="Calibri"/>
              </w:rPr>
            </w:pPr>
          </w:p>
        </w:tc>
        <w:tc>
          <w:tcPr>
            <w:tcW w:w="2065" w:type="dxa"/>
            <w:tcBorders>
              <w:top w:val="nil"/>
              <w:left w:val="single" w:sz="4" w:space="0" w:color="auto"/>
              <w:bottom w:val="outset" w:sz="6" w:space="0" w:color="auto"/>
              <w:right w:val="single" w:sz="4" w:space="0" w:color="auto"/>
            </w:tcBorders>
          </w:tcPr>
          <w:p w:rsidR="00F2408C" w:rsidRPr="00AE04CB" w14:paraId="64B9505D" w14:textId="77777777">
            <w:pPr>
              <w:ind w:left="540"/>
              <w:textAlignment w:val="baseline"/>
              <w:rPr>
                <w:rFonts w:eastAsia="Calibri"/>
                <w:shd w:val="clear" w:color="auto" w:fill="FFFFFF"/>
              </w:rPr>
            </w:pPr>
          </w:p>
        </w:tc>
        <w:tc>
          <w:tcPr>
            <w:tcW w:w="1520" w:type="dxa"/>
            <w:tcBorders>
              <w:top w:val="nil"/>
              <w:left w:val="single" w:sz="4" w:space="0" w:color="auto"/>
              <w:bottom w:val="outset" w:sz="6" w:space="0" w:color="auto"/>
              <w:right w:val="outset" w:sz="6" w:space="0" w:color="auto"/>
            </w:tcBorders>
          </w:tcPr>
          <w:p w:rsidR="00F2408C" w:rsidRPr="00AE04CB" w14:paraId="344CEF48" w14:textId="77777777">
            <w:pPr>
              <w:ind w:left="540"/>
              <w:textAlignment w:val="baseline"/>
              <w:rPr>
                <w:rFonts w:eastAsia="Calibri"/>
              </w:rPr>
            </w:pPr>
          </w:p>
        </w:tc>
      </w:tr>
    </w:tbl>
    <w:p w:rsidR="00CF5676" w:rsidRPr="00E91859" w:rsidP="00972DEF" w14:paraId="4EF477E1"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2DEF" w:rsidP="00F64FA1" w14:paraId="40822325" w14:textId="2CCFDC10">
      <w:pPr>
        <w:tabs>
          <w:tab w:val="left" w:pos="360"/>
        </w:tabs>
        <w:autoSpaceDE w:val="0"/>
        <w:autoSpaceDN w:val="0"/>
        <w:adjustRightInd w:val="0"/>
        <w:rPr>
          <w:b/>
          <w:bCs/>
        </w:rPr>
      </w:pPr>
      <w:r w:rsidRPr="00262903">
        <w:rPr>
          <w:b/>
          <w:bCs/>
        </w:rPr>
        <w:t xml:space="preserve">A.2. </w:t>
      </w:r>
      <w:r w:rsidRPr="00262903" w:rsidR="00F64FA1">
        <w:rPr>
          <w:b/>
          <w:bCs/>
        </w:rPr>
        <w:t xml:space="preserve">    </w:t>
      </w:r>
      <w:r w:rsidRPr="00262903">
        <w:rPr>
          <w:b/>
          <w:bCs/>
        </w:rPr>
        <w:t>Purpose and Use of Information Collection</w:t>
      </w:r>
      <w:r w:rsidRPr="00691454">
        <w:rPr>
          <w:b/>
          <w:bCs/>
        </w:rPr>
        <w:t xml:space="preserve"> </w:t>
      </w:r>
    </w:p>
    <w:p w:rsidR="00A24051" w:rsidP="00F64FA1" w14:paraId="3D3A121A" w14:textId="77D54370">
      <w:pPr>
        <w:tabs>
          <w:tab w:val="left" w:pos="360"/>
        </w:tabs>
        <w:autoSpaceDE w:val="0"/>
        <w:autoSpaceDN w:val="0"/>
        <w:adjustRightInd w:val="0"/>
        <w:rPr>
          <w:b/>
          <w:bCs/>
        </w:rPr>
      </w:pPr>
    </w:p>
    <w:p w:rsidR="00C21EBB" w:rsidP="005C66C9" w14:paraId="2C7C21DE" w14:textId="77777777">
      <w:pPr>
        <w:tabs>
          <w:tab w:val="left" w:pos="360"/>
        </w:tabs>
        <w:autoSpaceDE w:val="0"/>
        <w:autoSpaceDN w:val="0"/>
        <w:adjustRightInd w:val="0"/>
      </w:pPr>
    </w:p>
    <w:p w:rsidR="004E1327" w:rsidP="004E1327" w14:paraId="345FE6CF" w14:textId="48ED396F">
      <w:pPr>
        <w:tabs>
          <w:tab w:val="left" w:pos="360"/>
        </w:tabs>
        <w:autoSpaceDE w:val="0"/>
        <w:autoSpaceDN w:val="0"/>
        <w:adjustRightInd w:val="0"/>
      </w:pPr>
      <w:r w:rsidRPr="005A506C">
        <w:t>Annual i</w:t>
      </w:r>
      <w:r w:rsidRPr="005A506C" w:rsidR="00F13614">
        <w:t xml:space="preserve">nformation collection will </w:t>
      </w:r>
      <w:r w:rsidR="00060661">
        <w:t>continue</w:t>
      </w:r>
      <w:r w:rsidRPr="005A506C" w:rsidR="00060661">
        <w:t xml:space="preserve"> upon</w:t>
      </w:r>
      <w:r w:rsidRPr="005A506C" w:rsidR="00F13614">
        <w:t xml:space="preserve"> receipt of OMB approval. </w:t>
      </w:r>
      <w:r>
        <w:t xml:space="preserve">NCIPC </w:t>
      </w:r>
      <w:r w:rsidRPr="005A506C">
        <w:t>collect</w:t>
      </w:r>
      <w:r w:rsidR="00060661">
        <w:t>ed</w:t>
      </w:r>
      <w:r w:rsidRPr="005A506C">
        <w:t xml:space="preserve"> </w:t>
      </w:r>
      <w:r>
        <w:t xml:space="preserve">this </w:t>
      </w:r>
      <w:r w:rsidRPr="005A506C">
        <w:t>performance monitoring data via a web-based</w:t>
      </w:r>
      <w:r>
        <w:t xml:space="preserve"> </w:t>
      </w:r>
      <w:r w:rsidRPr="005A506C">
        <w:t>Partners’ Portal.</w:t>
      </w:r>
      <w:r>
        <w:t xml:space="preserve"> The data entry interface of the Partner’s Portal was developed using NCIPC-owned Microsoft Azure and Platform as a Service (PaaS) cloud solution. </w:t>
      </w:r>
      <w:r>
        <w:t xml:space="preserve">The Partners’ Portal allows recipients to fulfill their annual reporting </w:t>
      </w:r>
      <w:r w:rsidRPr="002927C7">
        <w:t>obligations efficiently by employing user-friendly, easily accessible web-based instruments to collect necessary information for both progress reports and continuation applications including work plans.  This approach enables recipients to save pertinent information from one reporting period to the next and reduces the administrative burden on the annual continuation application and the performance monitoring process.  Awardee program staff can review the completeness of data needed to generate required reports, enter basic summary data for reports annually, and finalize and save required reports for upload into other reporting systems as required.</w:t>
      </w:r>
      <w:r>
        <w:t xml:space="preserve"> </w:t>
      </w:r>
    </w:p>
    <w:p w:rsidR="004E1327" w:rsidP="005C66C9" w14:paraId="39A970FA" w14:textId="5E2671AF">
      <w:pPr>
        <w:tabs>
          <w:tab w:val="left" w:pos="360"/>
        </w:tabs>
        <w:autoSpaceDE w:val="0"/>
        <w:autoSpaceDN w:val="0"/>
        <w:adjustRightInd w:val="0"/>
      </w:pPr>
    </w:p>
    <w:p w:rsidR="00FC055C" w:rsidP="005C66C9" w14:paraId="25455AE1" w14:textId="63ED1631">
      <w:pPr>
        <w:tabs>
          <w:tab w:val="left" w:pos="360"/>
        </w:tabs>
        <w:autoSpaceDE w:val="0"/>
        <w:autoSpaceDN w:val="0"/>
        <w:adjustRightInd w:val="0"/>
      </w:pPr>
      <w:r>
        <w:t>Th</w:t>
      </w:r>
      <w:r w:rsidR="007C55E5">
        <w:t>is</w:t>
      </w:r>
      <w:r>
        <w:t xml:space="preserve"> information collection</w:t>
      </w:r>
      <w:r w:rsidR="00731863">
        <w:t xml:space="preserve"> has been carefully designed to align with and support the goals</w:t>
      </w:r>
      <w:r w:rsidR="00F22AC3">
        <w:t xml:space="preserve"> and objectives</w:t>
      </w:r>
      <w:r w:rsidR="00731863">
        <w:t xml:space="preserve"> of the program</w:t>
      </w:r>
      <w:r w:rsidR="00F22AC3">
        <w:t xml:space="preserve"> as laid out in the program logic model.</w:t>
      </w:r>
      <w:r w:rsidR="00731863">
        <w:t xml:space="preserve"> </w:t>
      </w:r>
      <w:r w:rsidR="00C11B89">
        <w:t>S</w:t>
      </w:r>
      <w:r w:rsidR="005C66C9">
        <w:t>pecifically, recipients will prov</w:t>
      </w:r>
      <w:r w:rsidR="00FB6C20">
        <w:t>ide</w:t>
      </w:r>
      <w:r w:rsidR="005C66C9">
        <w:t xml:space="preserve"> </w:t>
      </w:r>
      <w:r w:rsidR="00C11B89">
        <w:t xml:space="preserve">an accounting of their </w:t>
      </w:r>
      <w:r w:rsidR="005C66C9">
        <w:t>progress</w:t>
      </w:r>
      <w:r w:rsidR="00FB6C20">
        <w:t xml:space="preserve"> </w:t>
      </w:r>
      <w:r w:rsidR="001F1493">
        <w:t>in each of</w:t>
      </w:r>
      <w:r w:rsidR="00FB6C20">
        <w:t xml:space="preserve"> </w:t>
      </w:r>
      <w:r w:rsidR="22CFD3F0">
        <w:t>six</w:t>
      </w:r>
      <w:r w:rsidR="00FB6C20">
        <w:t xml:space="preserve"> elements of the comprehensive approach</w:t>
      </w:r>
      <w:r w:rsidR="00F22AC3">
        <w:t xml:space="preserve"> (</w:t>
      </w:r>
      <w:r w:rsidR="00DF3AAD">
        <w:t>i.e.,</w:t>
      </w:r>
      <w:r w:rsidR="002B33CF">
        <w:t xml:space="preserve"> </w:t>
      </w:r>
      <w:r w:rsidR="00F22AC3">
        <w:t xml:space="preserve">partnerships, data, inventory, </w:t>
      </w:r>
      <w:r w:rsidR="002B33CF">
        <w:t xml:space="preserve">strategy selection and implementation, </w:t>
      </w:r>
      <w:r w:rsidR="00B106C7">
        <w:t>communications,</w:t>
      </w:r>
      <w:r w:rsidR="007C55E5">
        <w:t xml:space="preserve"> and evaluation. Please see</w:t>
      </w:r>
      <w:r w:rsidR="00DE1AE8">
        <w:t xml:space="preserve"> Attachment D and</w:t>
      </w:r>
      <w:r w:rsidR="007C55E5">
        <w:t xml:space="preserve"> </w:t>
      </w:r>
      <w:r w:rsidR="00DE1AE8">
        <w:t>T</w:t>
      </w:r>
      <w:r w:rsidR="007C55E5">
        <w:t>able A.</w:t>
      </w:r>
      <w:r w:rsidR="00F354B5">
        <w:t>2</w:t>
      </w:r>
      <w:r w:rsidR="007C55E5">
        <w:t>.</w:t>
      </w:r>
      <w:r w:rsidR="002B33CF">
        <w:t>)</w:t>
      </w:r>
      <w:r w:rsidR="00E6381A">
        <w:t>, as follows:</w:t>
      </w:r>
    </w:p>
    <w:p w:rsidR="00FC055C" w:rsidP="005C66C9" w14:paraId="7E295C96" w14:textId="77777777">
      <w:pPr>
        <w:tabs>
          <w:tab w:val="left" w:pos="360"/>
        </w:tabs>
        <w:autoSpaceDE w:val="0"/>
        <w:autoSpaceDN w:val="0"/>
        <w:adjustRightInd w:val="0"/>
      </w:pPr>
    </w:p>
    <w:p w:rsidR="00FC055C" w:rsidP="00FC055C" w14:paraId="3650C528" w14:textId="0791564A">
      <w:pPr>
        <w:pStyle w:val="ListParagraph"/>
        <w:numPr>
          <w:ilvl w:val="0"/>
          <w:numId w:val="42"/>
        </w:numPr>
        <w:tabs>
          <w:tab w:val="left" w:pos="360"/>
        </w:tabs>
        <w:autoSpaceDE w:val="0"/>
        <w:autoSpaceDN w:val="0"/>
        <w:adjustRightInd w:val="0"/>
      </w:pPr>
      <w:r>
        <w:t>Overview of progress</w:t>
      </w:r>
      <w:r w:rsidR="00A056D3">
        <w:t xml:space="preserve"> for each element</w:t>
      </w:r>
      <w:r w:rsidR="008C7967">
        <w:t xml:space="preserve"> (</w:t>
      </w:r>
      <w:r w:rsidR="00DF3AAD">
        <w:t>i.e.,</w:t>
      </w:r>
      <w:r w:rsidR="008C7967">
        <w:t xml:space="preserve"> description</w:t>
      </w:r>
      <w:r w:rsidR="00E2044D">
        <w:t xml:space="preserve"> of the element</w:t>
      </w:r>
      <w:r w:rsidR="008C7967">
        <w:t xml:space="preserve">, </w:t>
      </w:r>
      <w:r w:rsidR="00E2044D">
        <w:t>progress</w:t>
      </w:r>
      <w:r w:rsidR="004A119F">
        <w:t xml:space="preserve"> of the work</w:t>
      </w:r>
      <w:r w:rsidR="00E2044D">
        <w:t>, status</w:t>
      </w:r>
      <w:r w:rsidR="006341D5">
        <w:t xml:space="preserve"> [e.g., initiated, on track, </w:t>
      </w:r>
      <w:r w:rsidR="007B5D61">
        <w:t>revised</w:t>
      </w:r>
      <w:r w:rsidR="006341D5">
        <w:t>, completed</w:t>
      </w:r>
      <w:r w:rsidR="009567F6">
        <w:t>]</w:t>
      </w:r>
      <w:r w:rsidR="00E2044D">
        <w:t>)</w:t>
      </w:r>
    </w:p>
    <w:p w:rsidR="0061220A" w:rsidP="00FC055C" w14:paraId="2D2249D6" w14:textId="4DEA1504">
      <w:pPr>
        <w:pStyle w:val="ListParagraph"/>
        <w:numPr>
          <w:ilvl w:val="0"/>
          <w:numId w:val="42"/>
        </w:numPr>
        <w:tabs>
          <w:tab w:val="left" w:pos="360"/>
        </w:tabs>
        <w:autoSpaceDE w:val="0"/>
        <w:autoSpaceDN w:val="0"/>
        <w:adjustRightInd w:val="0"/>
      </w:pPr>
      <w:r>
        <w:t>Specific i</w:t>
      </w:r>
      <w:r w:rsidR="00874168">
        <w:t xml:space="preserve">ndicators of progress </w:t>
      </w:r>
      <w:r w:rsidR="007B5D61">
        <w:t xml:space="preserve">/ </w:t>
      </w:r>
      <w:r w:rsidR="005872FA">
        <w:t xml:space="preserve">annual </w:t>
      </w:r>
      <w:r w:rsidR="007B5D61">
        <w:t>performance measures</w:t>
      </w:r>
      <w:r>
        <w:t xml:space="preserve"> </w:t>
      </w:r>
    </w:p>
    <w:p w:rsidR="004646B4" w:rsidP="00FC055C" w14:paraId="57845381" w14:textId="77777777">
      <w:pPr>
        <w:pStyle w:val="ListParagraph"/>
        <w:numPr>
          <w:ilvl w:val="0"/>
          <w:numId w:val="42"/>
        </w:numPr>
        <w:tabs>
          <w:tab w:val="left" w:pos="360"/>
        </w:tabs>
        <w:autoSpaceDE w:val="0"/>
        <w:autoSpaceDN w:val="0"/>
        <w:adjustRightInd w:val="0"/>
      </w:pPr>
      <w:r>
        <w:t>B</w:t>
      </w:r>
      <w:r w:rsidR="004E6CCB">
        <w:t>arriers</w:t>
      </w:r>
      <w:r>
        <w:t>/</w:t>
      </w:r>
      <w:r w:rsidR="004E6CCB">
        <w:t>challenges</w:t>
      </w:r>
      <w:r>
        <w:t xml:space="preserve"> and resolutions</w:t>
      </w:r>
      <w:r>
        <w:t xml:space="preserve"> that arose during the year</w:t>
      </w:r>
    </w:p>
    <w:p w:rsidR="004646B4" w:rsidP="00FC055C" w14:paraId="24CD25C1" w14:textId="77777777">
      <w:pPr>
        <w:pStyle w:val="ListParagraph"/>
        <w:numPr>
          <w:ilvl w:val="0"/>
          <w:numId w:val="42"/>
        </w:numPr>
        <w:tabs>
          <w:tab w:val="left" w:pos="360"/>
        </w:tabs>
        <w:autoSpaceDE w:val="0"/>
        <w:autoSpaceDN w:val="0"/>
        <w:adjustRightInd w:val="0"/>
      </w:pPr>
      <w:r>
        <w:t xml:space="preserve">Technical assistance needs for each element </w:t>
      </w:r>
    </w:p>
    <w:p w:rsidR="00AC72D5" w:rsidP="00DB007B" w14:paraId="4379C696" w14:textId="53CBF842">
      <w:pPr>
        <w:pStyle w:val="ListParagraph"/>
        <w:numPr>
          <w:ilvl w:val="0"/>
          <w:numId w:val="42"/>
        </w:numPr>
        <w:tabs>
          <w:tab w:val="left" w:pos="360"/>
        </w:tabs>
        <w:autoSpaceDE w:val="0"/>
        <w:autoSpaceDN w:val="0"/>
        <w:adjustRightInd w:val="0"/>
      </w:pPr>
      <w:r>
        <w:t>Work</w:t>
      </w:r>
      <w:r w:rsidR="00FC055C">
        <w:t xml:space="preserve">plan for </w:t>
      </w:r>
      <w:r w:rsidR="00E6381A">
        <w:t>the following year pertaining to each element</w:t>
      </w:r>
      <w:r w:rsidR="00FC055C">
        <w:t xml:space="preserve"> </w:t>
      </w:r>
      <w:r w:rsidR="00803E93">
        <w:t xml:space="preserve"> </w:t>
      </w:r>
      <w:r w:rsidR="001F1493">
        <w:t xml:space="preserve"> </w:t>
      </w:r>
    </w:p>
    <w:p w:rsidR="009567F6" w:rsidP="00FA62CC" w14:paraId="5E7AB87D" w14:textId="77777777">
      <w:pPr>
        <w:tabs>
          <w:tab w:val="left" w:pos="360"/>
        </w:tabs>
        <w:autoSpaceDE w:val="0"/>
        <w:autoSpaceDN w:val="0"/>
        <w:adjustRightInd w:val="0"/>
      </w:pPr>
    </w:p>
    <w:p w:rsidR="00D67A3C" w:rsidP="00FA62CC" w14:paraId="6F1D3736" w14:textId="073B3E36">
      <w:pPr>
        <w:tabs>
          <w:tab w:val="left" w:pos="360"/>
        </w:tabs>
        <w:autoSpaceDE w:val="0"/>
        <w:autoSpaceDN w:val="0"/>
        <w:adjustRightInd w:val="0"/>
      </w:pPr>
      <w:r>
        <w:t xml:space="preserve">The information collection plan proposed here will also generate a variety of routine and customizable reports. </w:t>
      </w:r>
      <w:r w:rsidR="6B33E70A">
        <w:t>Recipient</w:t>
      </w:r>
      <w:r>
        <w:t xml:space="preserve"> specific reports will allow each awardee to summarize activities and progress towards meeting strategies and performance measure targets related to </w:t>
      </w:r>
      <w:r w:rsidR="002D27F3">
        <w:t>the prevention</w:t>
      </w:r>
      <w:r>
        <w:t xml:space="preserve"> of </w:t>
      </w:r>
      <w:r w:rsidR="77EBAA5A">
        <w:t>suicide and suicide attempts</w:t>
      </w:r>
      <w:r>
        <w:t xml:space="preserve">.  </w:t>
      </w:r>
    </w:p>
    <w:p w:rsidR="00401B01" w:rsidP="00FA62CC" w14:paraId="37096D4E" w14:textId="77777777">
      <w:pPr>
        <w:tabs>
          <w:tab w:val="left" w:pos="360"/>
        </w:tabs>
        <w:autoSpaceDE w:val="0"/>
        <w:autoSpaceDN w:val="0"/>
        <w:adjustRightInd w:val="0"/>
      </w:pPr>
    </w:p>
    <w:p w:rsidR="00F56EEB" w:rsidRPr="00A35AE8" w:rsidP="00F56EEB" w14:paraId="4B84C55A" w14:textId="0426A0E4">
      <w:pPr>
        <w:spacing w:after="160" w:line="257" w:lineRule="auto"/>
        <w:rPr>
          <w:rFonts w:eastAsia="Aptos"/>
        </w:rPr>
      </w:pPr>
      <w:r w:rsidRPr="00F50B19">
        <w:t xml:space="preserve">Quarterly syndromic surveillance information collection </w:t>
      </w:r>
      <w:r w:rsidRPr="00F50B19" w:rsidR="00864A3A">
        <w:t>will be included upon receipt of OMB approval.</w:t>
      </w:r>
      <w:r w:rsidRPr="00A35AE8">
        <w:rPr>
          <w:rFonts w:eastAsia="Aptos"/>
        </w:rPr>
        <w:t xml:space="preserve"> CSP requires recipients to provide information about syndromic surveillance activities and use of syndromic surveillance data in the jurisdiction. </w:t>
      </w:r>
    </w:p>
    <w:p w:rsidR="00F56EEB" w:rsidRPr="00AE04CB" w:rsidP="00F56EEB" w14:paraId="3F93FAB8" w14:textId="095348A6">
      <w:pPr>
        <w:spacing w:after="160" w:line="257" w:lineRule="auto"/>
        <w:rPr>
          <w:rFonts w:eastAsia="Aptos"/>
        </w:rPr>
      </w:pPr>
      <w:r w:rsidRPr="00A35AE8">
        <w:rPr>
          <w:rFonts w:eastAsia="Aptos"/>
        </w:rPr>
        <w:t>The quarterly syndromic surveillance report enables CSP recipients to provide quarterly updates to partners in the</w:t>
      </w:r>
      <w:r w:rsidR="00150B4D">
        <w:rPr>
          <w:rFonts w:eastAsia="Aptos"/>
        </w:rPr>
        <w:t>ir</w:t>
      </w:r>
      <w:r w:rsidRPr="00A35AE8">
        <w:rPr>
          <w:rFonts w:eastAsia="Aptos"/>
        </w:rPr>
        <w:t xml:space="preserve"> </w:t>
      </w:r>
      <w:r w:rsidR="009B77F1">
        <w:rPr>
          <w:rFonts w:eastAsia="Aptos"/>
        </w:rPr>
        <w:t>individual</w:t>
      </w:r>
      <w:r w:rsidRPr="009B77F1" w:rsidR="009B77F1">
        <w:rPr>
          <w:rFonts w:eastAsia="Aptos"/>
        </w:rPr>
        <w:t xml:space="preserve"> jurisdictio</w:t>
      </w:r>
      <w:r w:rsidR="009B77F1">
        <w:rPr>
          <w:rFonts w:eastAsia="Aptos"/>
        </w:rPr>
        <w:t>ns,</w:t>
      </w:r>
      <w:r w:rsidRPr="00A35AE8">
        <w:rPr>
          <w:rFonts w:eastAsia="Aptos"/>
        </w:rPr>
        <w:t xml:space="preserve"> describing trends in syndromic surveillance data, including upticks or changes in patterns or groups impacted to promote tailored suicide prevention outreach. Use of syndromic surveillance data enhances comprehensive suicide prevention efforts by monitoring emergent trends in suicide morbidity and using data to inform near real-time response to emergent trends or identified hotspots</w:t>
      </w:r>
      <w:r w:rsidRPr="00A35AE8" w:rsidR="0005718E">
        <w:rPr>
          <w:rFonts w:eastAsia="Aptos"/>
        </w:rPr>
        <w:t xml:space="preserve"> and </w:t>
      </w:r>
      <w:r w:rsidRPr="00A35AE8">
        <w:rPr>
          <w:rFonts w:eastAsia="Aptos"/>
        </w:rPr>
        <w:t>upticks by recipients and suicide prevention partners.</w:t>
      </w:r>
      <w:r w:rsidR="00F2408C">
        <w:rPr>
          <w:rFonts w:eastAsia="Aptos"/>
        </w:rPr>
        <w:t xml:space="preserve"> </w:t>
      </w:r>
      <w:r w:rsidR="00F2408C">
        <w:t>Quarterly reporting ensures CDC is apprised of trends in suicide related emergency department visit data within jurisdictions.</w:t>
      </w:r>
    </w:p>
    <w:p w:rsidR="003A2D30" w:rsidRPr="00F50B19" w:rsidP="00AE04CB" w14:paraId="46544069" w14:textId="3513F41A">
      <w:r w:rsidRPr="00F50B19">
        <w:t xml:space="preserve"> </w:t>
      </w:r>
      <w:r w:rsidRPr="00F50B19" w:rsidR="005375B3">
        <w:t xml:space="preserve"> Please see attachment F </w:t>
      </w:r>
      <w:r w:rsidRPr="00F50B19">
        <w:t>and Quarterly Syndromic Surveillance Report</w:t>
      </w:r>
      <w:r w:rsidRPr="00F50B19">
        <w:rPr>
          <w:b/>
          <w:bCs/>
        </w:rPr>
        <w:t xml:space="preserve"> </w:t>
      </w:r>
      <w:r w:rsidRPr="00F50B19">
        <w:t>Data Elements below:</w:t>
      </w:r>
    </w:p>
    <w:p w:rsidR="3425EEC7" w:rsidRPr="00AE04CB" w:rsidP="00AE04CB" w14:paraId="700252A3" w14:textId="54414C96">
      <w:pPr>
        <w:spacing w:after="160" w:line="257" w:lineRule="auto"/>
        <w:rPr>
          <w:rFonts w:eastAsia="Aptos"/>
        </w:rPr>
      </w:pPr>
    </w:p>
    <w:p w:rsidR="3425EEC7" w:rsidRPr="00944960" w:rsidP="00AE04CB" w14:paraId="5F67EF77" w14:textId="157AD793">
      <w:pPr>
        <w:pStyle w:val="ListParagraph"/>
        <w:numPr>
          <w:ilvl w:val="0"/>
          <w:numId w:val="43"/>
        </w:numPr>
        <w:spacing w:line="257" w:lineRule="auto"/>
        <w:rPr>
          <w:rFonts w:eastAsia="Aptos"/>
        </w:rPr>
      </w:pPr>
      <w:r w:rsidRPr="00AE04CB">
        <w:rPr>
          <w:rFonts w:eastAsia="Aptos"/>
        </w:rPr>
        <w:t xml:space="preserve">Number of facilities in the jurisdiction submitting data to </w:t>
      </w:r>
      <w:r w:rsidR="00A2502C">
        <w:rPr>
          <w:rFonts w:eastAsia="Aptos"/>
        </w:rPr>
        <w:t>the National Syndromic Surveillance Program (</w:t>
      </w:r>
      <w:r w:rsidRPr="00944960">
        <w:rPr>
          <w:rFonts w:eastAsia="Aptos"/>
        </w:rPr>
        <w:t>NSSP</w:t>
      </w:r>
      <w:r w:rsidR="00A2502C">
        <w:rPr>
          <w:rFonts w:eastAsia="Aptos"/>
        </w:rPr>
        <w:t>)</w:t>
      </w:r>
      <w:r w:rsidRPr="00944960">
        <w:rPr>
          <w:rFonts w:eastAsia="Aptos"/>
        </w:rPr>
        <w:t xml:space="preserve"> ESSENCE </w:t>
      </w:r>
      <w:r w:rsidR="005C4F8B">
        <w:rPr>
          <w:rFonts w:eastAsia="Aptos"/>
        </w:rPr>
        <w:t xml:space="preserve">data system </w:t>
      </w:r>
      <w:r w:rsidRPr="00944960">
        <w:rPr>
          <w:rFonts w:eastAsia="Aptos"/>
        </w:rPr>
        <w:t>(count and percentage)</w:t>
      </w:r>
    </w:p>
    <w:p w:rsidR="3425EEC7" w:rsidRPr="00944960" w:rsidP="00AE04CB" w14:paraId="457439F5" w14:textId="167B19F7">
      <w:pPr>
        <w:pStyle w:val="ListParagraph"/>
        <w:numPr>
          <w:ilvl w:val="0"/>
          <w:numId w:val="43"/>
        </w:numPr>
        <w:spacing w:line="257" w:lineRule="auto"/>
        <w:rPr>
          <w:rFonts w:eastAsia="Aptos"/>
        </w:rPr>
      </w:pPr>
      <w:r w:rsidRPr="00944960">
        <w:rPr>
          <w:rFonts w:eastAsia="Aptos"/>
        </w:rPr>
        <w:t xml:space="preserve">Total number of emergency department visits for suicide related outcomes, including suicidal ideation and attempts </w:t>
      </w:r>
    </w:p>
    <w:p w:rsidR="3425EEC7" w:rsidRPr="00944960" w:rsidP="00AE04CB" w14:paraId="3F775716" w14:textId="603A5490">
      <w:pPr>
        <w:pStyle w:val="ListParagraph"/>
        <w:numPr>
          <w:ilvl w:val="0"/>
          <w:numId w:val="43"/>
        </w:numPr>
        <w:spacing w:line="257" w:lineRule="auto"/>
        <w:rPr>
          <w:rFonts w:eastAsia="Aptos"/>
        </w:rPr>
      </w:pPr>
      <w:r w:rsidRPr="00944960">
        <w:rPr>
          <w:rFonts w:eastAsia="Aptos"/>
        </w:rPr>
        <w:t>Uptick or changes of emergency department visits for suicide-related outcomes for specific DAPs from NSSP ESSENCE</w:t>
      </w:r>
      <w:r w:rsidR="005C4F8B">
        <w:rPr>
          <w:rFonts w:eastAsia="Aptos"/>
        </w:rPr>
        <w:t xml:space="preserve"> data system</w:t>
      </w:r>
    </w:p>
    <w:p w:rsidR="3425EEC7" w:rsidRPr="00944960" w:rsidP="00AE04CB" w14:paraId="45500A8F" w14:textId="73950C74">
      <w:pPr>
        <w:pStyle w:val="ListParagraph"/>
        <w:numPr>
          <w:ilvl w:val="0"/>
          <w:numId w:val="43"/>
        </w:numPr>
        <w:spacing w:line="257" w:lineRule="auto"/>
        <w:rPr>
          <w:rFonts w:eastAsia="Aptos"/>
        </w:rPr>
      </w:pPr>
      <w:r w:rsidRPr="00944960">
        <w:rPr>
          <w:rFonts w:eastAsia="Aptos"/>
        </w:rPr>
        <w:t>Observed changes in suicide related outcomes for the quarter</w:t>
      </w:r>
    </w:p>
    <w:p w:rsidR="3425EEC7" w:rsidRPr="00944960" w:rsidP="00AE04CB" w14:paraId="0CD5E507" w14:textId="7B4424B2">
      <w:pPr>
        <w:pStyle w:val="ListParagraph"/>
        <w:numPr>
          <w:ilvl w:val="0"/>
          <w:numId w:val="43"/>
        </w:numPr>
        <w:spacing w:line="257" w:lineRule="auto"/>
        <w:rPr>
          <w:rFonts w:eastAsia="Aptos"/>
        </w:rPr>
      </w:pPr>
      <w:r w:rsidRPr="00944960">
        <w:rPr>
          <w:rFonts w:eastAsia="Aptos"/>
        </w:rPr>
        <w:t xml:space="preserve">Current response to the observed changes or trends </w:t>
      </w:r>
    </w:p>
    <w:p w:rsidR="3425EEC7" w:rsidRPr="00944960" w:rsidP="00AE04CB" w14:paraId="4DE0769F" w14:textId="5900FF3A">
      <w:pPr>
        <w:pStyle w:val="ListParagraph"/>
        <w:numPr>
          <w:ilvl w:val="0"/>
          <w:numId w:val="43"/>
        </w:numPr>
        <w:spacing w:line="257" w:lineRule="auto"/>
        <w:rPr>
          <w:rFonts w:eastAsia="Aptos"/>
        </w:rPr>
      </w:pPr>
      <w:r w:rsidRPr="00944960">
        <w:rPr>
          <w:rFonts w:eastAsia="Aptos"/>
        </w:rPr>
        <w:t>Challenges experienced in onboarding facilities, accessing data, monitoring suicide-related outcomes, responding to emergent trends, using the NSSP ESSENCE data system, etc.</w:t>
      </w:r>
    </w:p>
    <w:p w:rsidR="004A1C1A" w:rsidP="00BF276D" w14:paraId="58CFBA6A" w14:textId="041A5208">
      <w:pPr>
        <w:pStyle w:val="ListParagraph"/>
        <w:numPr>
          <w:ilvl w:val="0"/>
          <w:numId w:val="43"/>
        </w:numPr>
        <w:spacing w:line="257" w:lineRule="auto"/>
      </w:pPr>
      <w:r w:rsidRPr="00944960">
        <w:rPr>
          <w:rFonts w:eastAsia="Aptos"/>
        </w:rPr>
        <w:t>Actions taken by the state team or engaged partners in response to syndromic surveillance findings</w:t>
      </w:r>
      <w:r w:rsidR="007216AD">
        <w:rPr>
          <w:rFonts w:eastAsia="Aptos"/>
        </w:rPr>
        <w:t xml:space="preserve"> </w:t>
      </w:r>
      <w:r w:rsidRPr="00840D4D">
        <w:rPr>
          <w:rFonts w:eastAsia="Aptos"/>
        </w:rPr>
        <w:t xml:space="preserve">Syndromic surveillance dissemination products (e.g., dashboards, reports, factsheets, data briefs, publications, newsletters, etc.,) including </w:t>
      </w:r>
      <w:r w:rsidRPr="00840D4D">
        <w:rPr>
          <w:rFonts w:eastAsia="Aptos"/>
        </w:rPr>
        <w:t>url</w:t>
      </w:r>
      <w:r w:rsidRPr="00840D4D">
        <w:rPr>
          <w:rFonts w:eastAsia="Aptos"/>
        </w:rPr>
        <w:t xml:space="preserve"> links to any available products.</w:t>
      </w:r>
    </w:p>
    <w:p w:rsidR="004A1C1A" w:rsidP="00FA62CC" w14:paraId="40E6932E" w14:textId="3A42A4CF">
      <w:pPr>
        <w:tabs>
          <w:tab w:val="left" w:pos="360"/>
        </w:tabs>
        <w:autoSpaceDE w:val="0"/>
        <w:autoSpaceDN w:val="0"/>
        <w:adjustRightInd w:val="0"/>
      </w:pPr>
      <w:r>
        <w:t>T</w:t>
      </w:r>
      <w:r w:rsidR="00FA62CC">
        <w:t xml:space="preserve">he results of the data collection </w:t>
      </w:r>
      <w:r w:rsidR="00280B88">
        <w:t xml:space="preserve">have been </w:t>
      </w:r>
      <w:r w:rsidR="00FA62CC">
        <w:t>vital to ensuring efficient management</w:t>
      </w:r>
      <w:r w:rsidR="0D992E14">
        <w:t xml:space="preserve"> of the program</w:t>
      </w:r>
      <w:r w:rsidR="00280B88">
        <w:t xml:space="preserve"> </w:t>
      </w:r>
      <w:r w:rsidR="00FB1704">
        <w:t>since the program</w:t>
      </w:r>
      <w:r w:rsidR="00A35AE8">
        <w:t>’s inception in 2020, including the last three years of OMB approval</w:t>
      </w:r>
      <w:r w:rsidR="00FA62CC">
        <w:t xml:space="preserve">. Results will </w:t>
      </w:r>
      <w:r w:rsidR="00B05D55">
        <w:t xml:space="preserve">continue to </w:t>
      </w:r>
      <w:r w:rsidR="00FA62CC">
        <w:t>allow NCIPC staff to provide data-driven technical assistance</w:t>
      </w:r>
      <w:r w:rsidR="002C0745">
        <w:t xml:space="preserve"> to </w:t>
      </w:r>
      <w:r w:rsidR="002D27F3">
        <w:t>recipients.</w:t>
      </w:r>
      <w:r w:rsidR="00FA62CC">
        <w:t xml:space="preserve"> In addition, the data collection</w:t>
      </w:r>
      <w:r w:rsidR="00B05D55">
        <w:t xml:space="preserve"> </w:t>
      </w:r>
      <w:r w:rsidR="00FA62CC">
        <w:t>inform</w:t>
      </w:r>
      <w:r w:rsidR="00B05D55">
        <w:t>s</w:t>
      </w:r>
      <w:r w:rsidR="00FA62CC">
        <w:t xml:space="preserve"> the continuous quality improvement process and allow</w:t>
      </w:r>
      <w:r w:rsidR="006E0076">
        <w:t>s</w:t>
      </w:r>
      <w:r w:rsidR="00FA62CC">
        <w:t xml:space="preserve"> NCIPC staff to make </w:t>
      </w:r>
      <w:r w:rsidR="00FC56AB">
        <w:t xml:space="preserve">annual </w:t>
      </w:r>
      <w:r w:rsidR="00FA62CC">
        <w:t>course corrections</w:t>
      </w:r>
      <w:r w:rsidR="00FC56AB">
        <w:t xml:space="preserve"> </w:t>
      </w:r>
      <w:r w:rsidR="00FA62CC">
        <w:t xml:space="preserve">and describe the impact on </w:t>
      </w:r>
      <w:r w:rsidR="0CC63624">
        <w:t>suicide-related</w:t>
      </w:r>
      <w:r w:rsidR="00FA62CC">
        <w:t xml:space="preserve"> outcomes. </w:t>
      </w:r>
    </w:p>
    <w:p w:rsidR="004A1C1A" w:rsidP="00FA62CC" w14:paraId="39CDD506" w14:textId="77777777">
      <w:pPr>
        <w:tabs>
          <w:tab w:val="left" w:pos="360"/>
        </w:tabs>
        <w:autoSpaceDE w:val="0"/>
        <w:autoSpaceDN w:val="0"/>
        <w:adjustRightInd w:val="0"/>
      </w:pPr>
    </w:p>
    <w:p w:rsidR="00FA62CC" w:rsidRPr="00DB007B" w:rsidP="00FA62CC" w14:paraId="6A20B634" w14:textId="218D855A">
      <w:pPr>
        <w:tabs>
          <w:tab w:val="left" w:pos="360"/>
        </w:tabs>
        <w:autoSpaceDE w:val="0"/>
        <w:autoSpaceDN w:val="0"/>
        <w:adjustRightInd w:val="0"/>
      </w:pPr>
      <w:r>
        <w:t>The information collection procedures also allow</w:t>
      </w:r>
      <w:r w:rsidR="006E0076">
        <w:t>s</w:t>
      </w:r>
      <w:r>
        <w:t xml:space="preserve"> NCIPC to respond to </w:t>
      </w:r>
      <w:r w:rsidR="05125DF7">
        <w:t xml:space="preserve">frequent </w:t>
      </w:r>
      <w:r>
        <w:t xml:space="preserve">inquiries </w:t>
      </w:r>
      <w:r w:rsidR="01F002C0">
        <w:t>about suicide prevention work</w:t>
      </w:r>
      <w:r>
        <w:t xml:space="preserve"> from the </w:t>
      </w:r>
      <w:r w:rsidR="008B69F3">
        <w:t xml:space="preserve">Department of Health and Human Services, </w:t>
      </w:r>
      <w:r>
        <w:t xml:space="preserve">the White House, Congress and other </w:t>
      </w:r>
      <w:r w:rsidR="00CB3F29">
        <w:t>interest-holder</w:t>
      </w:r>
      <w:r w:rsidR="00142698">
        <w:t>s, as</w:t>
      </w:r>
      <w:r>
        <w:t xml:space="preserve"> well as work towards </w:t>
      </w:r>
      <w:r w:rsidR="008B69F3">
        <w:t>our vision of “No lives lost to suicide” and our mission</w:t>
      </w:r>
      <w:r w:rsidR="00AB0749">
        <w:t xml:space="preserve"> t</w:t>
      </w:r>
      <w:r w:rsidR="00012C80">
        <w:t>o</w:t>
      </w:r>
      <w:r w:rsidR="008B69F3">
        <w:t xml:space="preserve">, </w:t>
      </w:r>
      <w:r w:rsidRPr="00DB007B" w:rsidR="008B69F3">
        <w:t>“</w:t>
      </w:r>
      <w:r w:rsidRPr="00DB007B" w:rsidR="00AB0749">
        <w:rPr>
          <w:color w:val="000000"/>
          <w:shd w:val="clear" w:color="auto" w:fill="FFFFFF"/>
        </w:rPr>
        <w:t>Use data, science, and partnerships to identify and implement effective suicide prevention strategies to foster healthy and resilient communities across the United States</w:t>
      </w:r>
      <w:r w:rsidR="00012C80">
        <w:rPr>
          <w:color w:val="000000"/>
          <w:shd w:val="clear" w:color="auto" w:fill="FFFFFF"/>
        </w:rPr>
        <w:t xml:space="preserve">” per our suicide prevention strategic plan. </w:t>
      </w:r>
      <w:r w:rsidRPr="00DB007B">
        <w:t xml:space="preserve"> </w:t>
      </w:r>
    </w:p>
    <w:p w:rsidR="00FA62CC" w:rsidP="00FA62CC" w14:paraId="03FAD35E" w14:textId="77777777">
      <w:pPr>
        <w:tabs>
          <w:tab w:val="left" w:pos="360"/>
        </w:tabs>
        <w:autoSpaceDE w:val="0"/>
        <w:autoSpaceDN w:val="0"/>
        <w:adjustRightInd w:val="0"/>
      </w:pPr>
    </w:p>
    <w:p w:rsidR="00FA62CC" w:rsidP="00FA62CC" w14:paraId="488B74E5" w14:textId="6802F16B">
      <w:pPr>
        <w:tabs>
          <w:tab w:val="left" w:pos="360"/>
        </w:tabs>
        <w:autoSpaceDE w:val="0"/>
        <w:autoSpaceDN w:val="0"/>
        <w:adjustRightInd w:val="0"/>
      </w:pPr>
      <w:r>
        <w:t xml:space="preserve">NCIPC will </w:t>
      </w:r>
      <w:r w:rsidR="006E0076">
        <w:t xml:space="preserve">continue to </w:t>
      </w:r>
      <w:r>
        <w:t xml:space="preserve">use the information collected to perform program activities to accomplish the following objectives: </w:t>
      </w:r>
    </w:p>
    <w:p w:rsidR="00FA62CC" w:rsidP="002C0745" w14:paraId="2910546D" w14:textId="5CA7C6B4">
      <w:pPr>
        <w:pStyle w:val="ListParagraph"/>
        <w:numPr>
          <w:ilvl w:val="0"/>
          <w:numId w:val="31"/>
        </w:numPr>
        <w:tabs>
          <w:tab w:val="left" w:pos="360"/>
        </w:tabs>
        <w:autoSpaceDE w:val="0"/>
        <w:autoSpaceDN w:val="0"/>
        <w:adjustRightInd w:val="0"/>
      </w:pPr>
      <w:r>
        <w:t xml:space="preserve">Monitor each awardee’s progress and identify facilitators and barriers to program implementation and achievement of outcomes.  Monitoring allows NCIPC to determine whether an awardee is meeting </w:t>
      </w:r>
      <w:r w:rsidR="5666D432">
        <w:t xml:space="preserve">stated </w:t>
      </w:r>
      <w:r>
        <w:t xml:space="preserve">performance goals, to inform awardee continuous quality improvements, and to inform the type of intensity of CDC-provided technical assistance to support attainment of their performance measures.  </w:t>
      </w:r>
    </w:p>
    <w:p w:rsidR="00FA62CC" w:rsidP="002C0745" w14:paraId="7283AE44" w14:textId="532738A5">
      <w:pPr>
        <w:pStyle w:val="ListParagraph"/>
        <w:numPr>
          <w:ilvl w:val="0"/>
          <w:numId w:val="31"/>
        </w:numPr>
        <w:tabs>
          <w:tab w:val="left" w:pos="360"/>
        </w:tabs>
        <w:autoSpaceDE w:val="0"/>
        <w:autoSpaceDN w:val="0"/>
        <w:adjustRightInd w:val="0"/>
      </w:pPr>
      <w:r>
        <w:t xml:space="preserve">Identify trends in injury surveillance data to inform </w:t>
      </w:r>
      <w:r>
        <w:t xml:space="preserve">state </w:t>
      </w:r>
      <w:r w:rsidR="002C0745">
        <w:t>foci</w:t>
      </w:r>
      <w:r w:rsidR="002C0745">
        <w:t xml:space="preserve"> for</w:t>
      </w:r>
      <w:r>
        <w:t xml:space="preserve"> </w:t>
      </w:r>
      <w:r w:rsidR="50003DCE">
        <w:t xml:space="preserve">suicide </w:t>
      </w:r>
      <w:r>
        <w:t xml:space="preserve">prevention and intervention strategies as well as the production of relevant reports, journal articles, and resources for state health departments. </w:t>
      </w:r>
    </w:p>
    <w:p w:rsidR="00FA62CC" w:rsidP="002C0745" w14:paraId="524B956E" w14:textId="720A099D">
      <w:pPr>
        <w:pStyle w:val="ListParagraph"/>
        <w:numPr>
          <w:ilvl w:val="0"/>
          <w:numId w:val="31"/>
        </w:numPr>
        <w:tabs>
          <w:tab w:val="left" w:pos="360"/>
        </w:tabs>
        <w:autoSpaceDE w:val="0"/>
        <w:autoSpaceDN w:val="0"/>
        <w:adjustRightInd w:val="0"/>
      </w:pPr>
      <w:r>
        <w:t xml:space="preserve">Identify, translate, and disseminate information about successful </w:t>
      </w:r>
      <w:r w:rsidR="5C8B5C65">
        <w:t>suicide</w:t>
      </w:r>
      <w:r w:rsidR="002C0745">
        <w:t xml:space="preserve"> </w:t>
      </w:r>
      <w:r>
        <w:t xml:space="preserve">prevention and control strategies implemented by </w:t>
      </w:r>
      <w:r w:rsidR="00902D17">
        <w:t>recipients</w:t>
      </w:r>
      <w:r>
        <w:t xml:space="preserve"> through the development of journal articles, tools, templates, and other </w:t>
      </w:r>
      <w:r w:rsidR="3939CDD8">
        <w:t>suicide</w:t>
      </w:r>
      <w:r>
        <w:t xml:space="preserve"> prevention resources/products.   </w:t>
      </w:r>
    </w:p>
    <w:p w:rsidR="00FA62CC" w:rsidP="00FA62CC" w14:paraId="38B07EAB" w14:textId="77777777">
      <w:pPr>
        <w:tabs>
          <w:tab w:val="left" w:pos="360"/>
        </w:tabs>
        <w:autoSpaceDE w:val="0"/>
        <w:autoSpaceDN w:val="0"/>
        <w:adjustRightInd w:val="0"/>
      </w:pPr>
      <w:r>
        <w:t xml:space="preserve"> </w:t>
      </w:r>
    </w:p>
    <w:p w:rsidR="00142698" w:rsidP="00A24051" w14:paraId="3E0232E1" w14:textId="5E82012D">
      <w:pPr>
        <w:tabs>
          <w:tab w:val="left" w:pos="360"/>
        </w:tabs>
        <w:autoSpaceDE w:val="0"/>
        <w:autoSpaceDN w:val="0"/>
        <w:adjustRightInd w:val="0"/>
      </w:pPr>
      <w:r>
        <w:t xml:space="preserve">Program </w:t>
      </w:r>
      <w:r w:rsidR="00902D17">
        <w:t>recipients</w:t>
      </w:r>
      <w:r>
        <w:t xml:space="preserve"> use the information collected to </w:t>
      </w:r>
      <w:r w:rsidR="00FA7C99">
        <w:t>track</w:t>
      </w:r>
      <w:r>
        <w:t xml:space="preserve"> and coordinate their activities and to improve their efforts to prevent </w:t>
      </w:r>
      <w:r w:rsidR="1824AB10">
        <w:t>suicide</w:t>
      </w:r>
      <w:r>
        <w:t xml:space="preserve">. </w:t>
      </w:r>
      <w:r w:rsidR="00C34B59">
        <w:t>Reporting of</w:t>
      </w:r>
      <w:r w:rsidR="00C34B59">
        <w:t xml:space="preserve"> progress allow</w:t>
      </w:r>
      <w:r w:rsidR="006F53B2">
        <w:t>s</w:t>
      </w:r>
      <w:r w:rsidR="00C34B59">
        <w:t xml:space="preserve"> recipients to note any gaps in their program and allow</w:t>
      </w:r>
      <w:r w:rsidR="006F53B2">
        <w:t>s</w:t>
      </w:r>
      <w:r w:rsidR="00C34B59">
        <w:t xml:space="preserve"> recipients the opportunity to reach out for technical assistance from CDC related to any gaps, barriers, or challenges. </w:t>
      </w:r>
      <w:r w:rsidR="00AE04CB">
        <w:t>Recipients also</w:t>
      </w:r>
      <w:r w:rsidR="00C34B59">
        <w:t xml:space="preserve"> </w:t>
      </w:r>
      <w:r w:rsidR="00C34B59">
        <w:t>have the opportunity to</w:t>
      </w:r>
      <w:r w:rsidR="00C34B59">
        <w:t xml:space="preserve"> </w:t>
      </w:r>
      <w:r w:rsidR="00C34B59">
        <w:t>notate</w:t>
      </w:r>
      <w:r w:rsidR="00C34B59">
        <w:t xml:space="preserve"> successes and determine </w:t>
      </w:r>
      <w:r w:rsidR="00D650EB">
        <w:t xml:space="preserve">what they will continue doing in the upcoming year, per the workplan. </w:t>
      </w:r>
      <w:r>
        <w:t xml:space="preserve"> </w:t>
      </w:r>
    </w:p>
    <w:p w:rsidR="00142698" w:rsidP="00A24051" w14:paraId="009035F1" w14:textId="77777777">
      <w:pPr>
        <w:tabs>
          <w:tab w:val="left" w:pos="360"/>
        </w:tabs>
        <w:autoSpaceDE w:val="0"/>
        <w:autoSpaceDN w:val="0"/>
        <w:adjustRightInd w:val="0"/>
      </w:pPr>
    </w:p>
    <w:p w:rsidR="00EF0385" w:rsidP="00A24051" w14:paraId="115C59BE" w14:textId="19C3E4DD">
      <w:pPr>
        <w:tabs>
          <w:tab w:val="left" w:pos="360"/>
        </w:tabs>
        <w:autoSpaceDE w:val="0"/>
        <w:autoSpaceDN w:val="0"/>
        <w:adjustRightInd w:val="0"/>
      </w:pPr>
    </w:p>
    <w:p w:rsidR="00EF0385" w:rsidP="00EF0385" w14:paraId="4B5A8442" w14:textId="77777777">
      <w:pPr>
        <w:rPr>
          <w:i/>
          <w:sz w:val="23"/>
          <w:szCs w:val="23"/>
        </w:rPr>
      </w:pPr>
    </w:p>
    <w:p w:rsidR="00B05CB4" w:rsidRPr="00B05CB4" w:rsidP="00004EE7" w14:paraId="20B5E5C8" w14:textId="2B590866">
      <w:r>
        <w:rPr>
          <w:b/>
        </w:rPr>
        <w:t>Table A.</w:t>
      </w:r>
      <w:r w:rsidR="00FD004C">
        <w:rPr>
          <w:b/>
        </w:rPr>
        <w:t>2</w:t>
      </w:r>
      <w:r w:rsidRPr="00DA602A" w:rsidR="00EF0385">
        <w:rPr>
          <w:b/>
        </w:rPr>
        <w:t xml:space="preserve">. </w:t>
      </w:r>
      <w:r w:rsidR="00F27C5D">
        <w:t xml:space="preserve">Methods </w:t>
      </w:r>
      <w:r w:rsidR="000311E8">
        <w:t xml:space="preserve">to </w:t>
      </w:r>
      <w:r>
        <w:t>M</w:t>
      </w:r>
      <w:r w:rsidR="000311E8">
        <w:t>easure</w:t>
      </w:r>
      <w:r>
        <w:t xml:space="preserve"> Annual P</w:t>
      </w:r>
      <w:r w:rsidR="002E25D8">
        <w:t xml:space="preserve">erformance </w:t>
      </w:r>
    </w:p>
    <w:p w:rsidR="00004EE7" w:rsidP="00004EE7" w14:paraId="538BD999" w14:textId="77777777"/>
    <w:p w:rsidR="00972DEF" w:rsidRPr="00691454" w:rsidP="00972DEF" w14:paraId="40822326" w14:textId="6FD4C872">
      <w:pPr>
        <w:autoSpaceDE w:val="0"/>
        <w:autoSpaceDN w:val="0"/>
        <w:adjustRightInd w:val="0"/>
      </w:pPr>
    </w:p>
    <w:tbl>
      <w:tblPr>
        <w:tblStyle w:val="TableGrid"/>
        <w:tblW w:w="0" w:type="auto"/>
        <w:tblLook w:val="04A0"/>
      </w:tblPr>
      <w:tblGrid>
        <w:gridCol w:w="4675"/>
        <w:gridCol w:w="4675"/>
      </w:tblGrid>
      <w:tr w14:paraId="1ABAD8C4" w14:textId="77777777" w:rsidTr="55BBB0BB">
        <w:tblPrEx>
          <w:tblW w:w="0" w:type="auto"/>
          <w:tblLook w:val="04A0"/>
        </w:tblPrEx>
        <w:trPr>
          <w:trHeight w:val="300"/>
        </w:trPr>
        <w:tc>
          <w:tcPr>
            <w:tcW w:w="4675" w:type="dxa"/>
          </w:tcPr>
          <w:p w:rsidR="36E7827E" w:rsidP="20A69760" w14:paraId="7FB07AAA" w14:textId="3A3D3B40">
            <w:r>
              <w:t>CSP Outcomes</w:t>
            </w:r>
          </w:p>
        </w:tc>
        <w:tc>
          <w:tcPr>
            <w:tcW w:w="4675" w:type="dxa"/>
          </w:tcPr>
          <w:p w:rsidR="36E7827E" w:rsidP="20A69760" w14:paraId="65C71233" w14:textId="1466AA2A">
            <w:r>
              <w:t>Example Indicators</w:t>
            </w:r>
          </w:p>
        </w:tc>
      </w:tr>
      <w:tr w14:paraId="5380AB00" w14:textId="77777777" w:rsidTr="55BBB0BB">
        <w:tblPrEx>
          <w:tblW w:w="0" w:type="auto"/>
          <w:tblLook w:val="04A0"/>
        </w:tblPrEx>
        <w:trPr>
          <w:trHeight w:val="300"/>
        </w:trPr>
        <w:tc>
          <w:tcPr>
            <w:tcW w:w="9350" w:type="dxa"/>
            <w:gridSpan w:val="2"/>
          </w:tcPr>
          <w:p w:rsidR="20A69760" w:rsidRPr="00F87C4C" w:rsidP="00944960" w14:paraId="6C85B012" w14:textId="745F6909">
            <w:pPr>
              <w:jc w:val="center"/>
              <w:rPr>
                <w:b/>
              </w:rPr>
            </w:pPr>
            <w:r w:rsidRPr="00F87C4C">
              <w:rPr>
                <w:b/>
              </w:rPr>
              <w:t>Short term</w:t>
            </w:r>
            <w:r w:rsidRPr="00F87C4C" w:rsidR="1F974083">
              <w:rPr>
                <w:b/>
              </w:rPr>
              <w:t xml:space="preserve"> Outcomes</w:t>
            </w:r>
          </w:p>
        </w:tc>
      </w:tr>
      <w:tr w14:paraId="538236C9" w14:textId="77777777" w:rsidTr="00AE04CB">
        <w:tblPrEx>
          <w:tblW w:w="0" w:type="auto"/>
          <w:tblLook w:val="04A0"/>
        </w:tblPrEx>
        <w:trPr>
          <w:trHeight w:val="300"/>
        </w:trPr>
        <w:tc>
          <w:tcPr>
            <w:tcW w:w="4675" w:type="dxa"/>
          </w:tcPr>
          <w:p w:rsidR="20A69760" w:rsidP="20A69760" w14:paraId="2FFF3F12" w14:textId="60D1A2D0">
            <w:pPr>
              <w:spacing w:before="20" w:after="20"/>
            </w:pPr>
            <w:r>
              <w:t>Increased and sustained critical multisectoral partner engagement in CSP programmatic and surveillance activities</w:t>
            </w:r>
          </w:p>
        </w:tc>
        <w:tc>
          <w:tcPr>
            <w:tcW w:w="4675" w:type="dxa"/>
          </w:tcPr>
          <w:p w:rsidR="549D033B" w:rsidP="20A69760" w14:paraId="444555C7" w14:textId="51A50569">
            <w:pPr>
              <w:widowControl w:val="0"/>
              <w:spacing w:after="120" w:line="259" w:lineRule="auto"/>
            </w:pPr>
            <w:r w:rsidRPr="00AE04CB">
              <w:rPr>
                <w:rFonts w:eastAsia="Calibri"/>
              </w:rPr>
              <w:t>Increased number of critical partners who are working with DAPs and engaged in CSP activities.</w:t>
            </w:r>
          </w:p>
          <w:p w:rsidR="20A69760" w:rsidP="20A69760" w14:paraId="235CDCC9" w14:textId="19C2F017"/>
        </w:tc>
      </w:tr>
      <w:tr w14:paraId="74DDC7DC" w14:textId="77777777" w:rsidTr="00AE04CB">
        <w:tblPrEx>
          <w:tblW w:w="0" w:type="auto"/>
          <w:tblLook w:val="04A0"/>
        </w:tblPrEx>
        <w:trPr>
          <w:trHeight w:val="300"/>
        </w:trPr>
        <w:tc>
          <w:tcPr>
            <w:tcW w:w="4675" w:type="dxa"/>
          </w:tcPr>
          <w:p w:rsidR="20A69760" w:rsidP="20A69760" w14:paraId="0391A513" w14:textId="14DE0507">
            <w:pPr>
              <w:spacing w:before="20" w:after="20"/>
            </w:pPr>
            <w:r>
              <w:t>Increased recipient and partner awareness of DAPs, suicide contributors, and emergent trends</w:t>
            </w:r>
          </w:p>
        </w:tc>
        <w:tc>
          <w:tcPr>
            <w:tcW w:w="4675" w:type="dxa"/>
          </w:tcPr>
          <w:p w:rsidR="562C691D" w:rsidP="20A69760" w14:paraId="2D2D83DB" w14:textId="0FBB763A">
            <w:pPr>
              <w:widowControl w:val="0"/>
              <w:spacing w:after="120" w:line="259" w:lineRule="auto"/>
            </w:pPr>
            <w:r w:rsidRPr="00AE04CB">
              <w:rPr>
                <w:rFonts w:eastAsia="Calibri"/>
              </w:rPr>
              <w:t xml:space="preserve">Increased number of partners requesting or </w:t>
            </w:r>
            <w:r w:rsidRPr="00AE04CB">
              <w:rPr>
                <w:rFonts w:eastAsia="Calibri"/>
              </w:rPr>
              <w:t>subscribing</w:t>
            </w:r>
            <w:r w:rsidRPr="00AE04CB">
              <w:rPr>
                <w:rFonts w:eastAsia="Calibri"/>
              </w:rPr>
              <w:t xml:space="preserve"> to CSP data products.</w:t>
            </w:r>
          </w:p>
          <w:p w:rsidR="20A69760" w:rsidP="20A69760" w14:paraId="0E44B6A2" w14:textId="7DBF95FD"/>
        </w:tc>
      </w:tr>
      <w:tr w14:paraId="1E631478" w14:textId="77777777" w:rsidTr="00AE04CB">
        <w:tblPrEx>
          <w:tblW w:w="0" w:type="auto"/>
          <w:tblLook w:val="04A0"/>
        </w:tblPrEx>
        <w:trPr>
          <w:trHeight w:val="300"/>
        </w:trPr>
        <w:tc>
          <w:tcPr>
            <w:tcW w:w="4675" w:type="dxa"/>
          </w:tcPr>
          <w:p w:rsidR="20A69760" w:rsidP="20A69760" w14:paraId="0311DC5E" w14:textId="33BEB28E">
            <w:pPr>
              <w:spacing w:before="20" w:after="20"/>
            </w:pPr>
            <w:r>
              <w:t>Increased reach of suicide prevention strategies to address suicide burden among DAPs in jurisdiction</w:t>
            </w:r>
          </w:p>
        </w:tc>
        <w:tc>
          <w:tcPr>
            <w:tcW w:w="4675" w:type="dxa"/>
          </w:tcPr>
          <w:p w:rsidR="56DE4057" w:rsidP="20A69760" w14:paraId="1716AF6C" w14:textId="649D6BBA">
            <w:r w:rsidRPr="20A69760">
              <w:t xml:space="preserve">Increased number of </w:t>
            </w:r>
            <w:r w:rsidRPr="20A69760">
              <w:t>trainings</w:t>
            </w:r>
            <w:r w:rsidRPr="20A69760">
              <w:t xml:space="preserve"> implemented, Increased number of participants trained</w:t>
            </w:r>
            <w:r w:rsidRPr="20A69760" w:rsidR="1DD2820B">
              <w:t xml:space="preserve">, </w:t>
            </w:r>
          </w:p>
        </w:tc>
      </w:tr>
      <w:tr w14:paraId="3137AA44" w14:textId="77777777" w:rsidTr="00AE04CB">
        <w:tblPrEx>
          <w:tblW w:w="0" w:type="auto"/>
          <w:tblLook w:val="04A0"/>
        </w:tblPrEx>
        <w:trPr>
          <w:trHeight w:val="300"/>
        </w:trPr>
        <w:tc>
          <w:tcPr>
            <w:tcW w:w="4675" w:type="dxa"/>
          </w:tcPr>
          <w:p w:rsidR="20A69760" w:rsidP="20A69760" w14:paraId="3B4CAA66" w14:textId="2CA8FF2C">
            <w:pPr>
              <w:spacing w:before="20" w:after="20"/>
            </w:pPr>
            <w:r>
              <w:t>Increased utilization of evaluation findings for continuous quality improvement and assessment of outcomes</w:t>
            </w:r>
          </w:p>
        </w:tc>
        <w:tc>
          <w:tcPr>
            <w:tcW w:w="4675" w:type="dxa"/>
          </w:tcPr>
          <w:p w:rsidR="1491FF49" w:rsidP="20A69760" w14:paraId="53D63F4C" w14:textId="4D34534E">
            <w:r w:rsidRPr="20A69760">
              <w:t>Number and description of how evaluation data has been used for program improvements</w:t>
            </w:r>
          </w:p>
        </w:tc>
      </w:tr>
      <w:tr w14:paraId="23CFB530" w14:textId="77777777" w:rsidTr="00AE04CB">
        <w:tblPrEx>
          <w:tblW w:w="0" w:type="auto"/>
          <w:tblLook w:val="04A0"/>
        </w:tblPrEx>
        <w:trPr>
          <w:trHeight w:val="300"/>
        </w:trPr>
        <w:tc>
          <w:tcPr>
            <w:tcW w:w="4675" w:type="dxa"/>
          </w:tcPr>
          <w:p w:rsidR="20A69760" w:rsidP="20A69760" w14:paraId="4EF9B527" w14:textId="29EC566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Increased partner awareness of CSP programmatic, data, and evaluation findings</w:t>
            </w:r>
          </w:p>
        </w:tc>
        <w:tc>
          <w:tcPr>
            <w:tcW w:w="4675" w:type="dxa"/>
          </w:tcPr>
          <w:p w:rsidR="560D8CAF" w:rsidP="20A69760" w14:paraId="21D7456F" w14:textId="249CCEC6">
            <w:r w:rsidRPr="20A69760">
              <w:t>Increased proportion of partners reporting increased awareness from CSP products</w:t>
            </w:r>
          </w:p>
        </w:tc>
      </w:tr>
      <w:tr w14:paraId="58EDDC04" w14:textId="77777777" w:rsidTr="55BBB0BB">
        <w:tblPrEx>
          <w:tblW w:w="0" w:type="auto"/>
          <w:tblLook w:val="04A0"/>
        </w:tblPrEx>
        <w:trPr>
          <w:trHeight w:val="300"/>
        </w:trPr>
        <w:tc>
          <w:tcPr>
            <w:tcW w:w="9350" w:type="dxa"/>
            <w:gridSpan w:val="2"/>
          </w:tcPr>
          <w:p w:rsidR="20A69760" w:rsidRPr="00AE04CB" w:rsidP="00AE04CB" w14:paraId="363795AB" w14:textId="236EBD39">
            <w:pPr>
              <w:spacing w:line="259" w:lineRule="auto"/>
              <w:jc w:val="center"/>
              <w:rPr>
                <w:b/>
              </w:rPr>
            </w:pPr>
            <w:r w:rsidRPr="00AE04CB">
              <w:rPr>
                <w:b/>
              </w:rPr>
              <w:t>Intermediate</w:t>
            </w:r>
            <w:r w:rsidRPr="00AE04CB" w:rsidR="2EC3E8EC">
              <w:rPr>
                <w:b/>
              </w:rPr>
              <w:t xml:space="preserve"> Outcomes</w:t>
            </w:r>
          </w:p>
        </w:tc>
      </w:tr>
      <w:tr w14:paraId="51883CCE" w14:textId="77777777" w:rsidTr="55BBB0BB">
        <w:tblPrEx>
          <w:tblW w:w="0" w:type="auto"/>
          <w:tblLook w:val="04A0"/>
        </w:tblPrEx>
        <w:trPr>
          <w:trHeight w:val="300"/>
        </w:trPr>
        <w:tc>
          <w:tcPr>
            <w:tcW w:w="4675" w:type="dxa"/>
          </w:tcPr>
          <w:p w:rsidR="20A69760" w:rsidP="20A69760" w14:paraId="66AD95AE" w14:textId="25F8681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Improved coordination of comprehensive suicide prevention among recipients and partners within jurisdiction</w:t>
            </w:r>
          </w:p>
        </w:tc>
        <w:tc>
          <w:tcPr>
            <w:tcW w:w="4675" w:type="dxa"/>
          </w:tcPr>
          <w:p w:rsidR="7BA9745F" w:rsidP="20A69760" w14:paraId="2CBCFE27" w14:textId="1580EF90">
            <w:pPr>
              <w:widowControl w:val="0"/>
              <w:spacing w:after="120" w:line="259" w:lineRule="auto"/>
            </w:pPr>
            <w:r w:rsidRPr="00AE04CB">
              <w:rPr>
                <w:rFonts w:eastAsia="Calibri"/>
              </w:rPr>
              <w:t>Increased percentage of partners who are working with DAPs and are sustainably engaged in CSP activities</w:t>
            </w:r>
          </w:p>
          <w:p w:rsidR="20A69760" w:rsidP="20A69760" w14:paraId="1DBFD8EA" w14:textId="312179B9"/>
        </w:tc>
      </w:tr>
      <w:tr w14:paraId="7F860429" w14:textId="77777777" w:rsidTr="55BBB0BB">
        <w:tblPrEx>
          <w:tblW w:w="0" w:type="auto"/>
          <w:tblLook w:val="04A0"/>
        </w:tblPrEx>
        <w:trPr>
          <w:trHeight w:val="300"/>
        </w:trPr>
        <w:tc>
          <w:tcPr>
            <w:tcW w:w="4675" w:type="dxa"/>
          </w:tcPr>
          <w:p w:rsidR="20A69760" w:rsidP="20A69760" w14:paraId="43692213" w14:textId="0E97E012">
            <w:pPr>
              <w:spacing w:before="20" w:after="20"/>
            </w:pPr>
            <w:r>
              <w:t>Sustained recipient and increased partner use of surveillance data to inform suicide prevention and response</w:t>
            </w:r>
          </w:p>
        </w:tc>
        <w:tc>
          <w:tcPr>
            <w:tcW w:w="4675" w:type="dxa"/>
          </w:tcPr>
          <w:p w:rsidR="3475138B" w:rsidRPr="008B08B6" w:rsidP="008B08B6" w14:paraId="39FB6435" w14:textId="24042849">
            <w:pPr>
              <w:pStyle w:val="BulletLevel1"/>
              <w:numPr>
                <w:ilvl w:val="0"/>
                <w:numId w:val="0"/>
              </w:numPr>
              <w:rPr>
                <w:rFonts w:ascii="Times New Roman" w:eastAsia="Times New Roman" w:hAnsi="Times New Roman" w:cs="Times New Roman"/>
              </w:rPr>
            </w:pPr>
            <w:r w:rsidRPr="00AE04CB">
              <w:rPr>
                <w:rFonts w:ascii="Times New Roman" w:eastAsia="Times New Roman" w:hAnsi="Times New Roman" w:cs="Times New Roman"/>
                <w:color w:val="auto"/>
              </w:rPr>
              <w:t>Increased number of partners who report using CSP data to inform action to reduce or prevent suicide</w:t>
            </w:r>
          </w:p>
        </w:tc>
      </w:tr>
      <w:tr w14:paraId="6976FF91" w14:textId="77777777" w:rsidTr="55BBB0BB">
        <w:tblPrEx>
          <w:tblW w:w="0" w:type="auto"/>
          <w:tblLook w:val="04A0"/>
        </w:tblPrEx>
        <w:trPr>
          <w:trHeight w:val="300"/>
        </w:trPr>
        <w:tc>
          <w:tcPr>
            <w:tcW w:w="4675" w:type="dxa"/>
          </w:tcPr>
          <w:p w:rsidR="20A69760" w:rsidP="20A69760" w14:paraId="12E6FCC5" w14:textId="07009647">
            <w:pPr>
              <w:spacing w:before="20" w:after="20"/>
            </w:pPr>
            <w:r>
              <w:t xml:space="preserve">Sustained recipient infrastructure to lead implementation of comprehensive suicide prevention in jurisdiction </w:t>
            </w:r>
          </w:p>
        </w:tc>
        <w:tc>
          <w:tcPr>
            <w:tcW w:w="4675" w:type="dxa"/>
          </w:tcPr>
          <w:p w:rsidR="3C312B75" w:rsidP="20A69760" w14:paraId="6D53F337" w14:textId="4634F0D6">
            <w:pPr>
              <w:tabs>
                <w:tab w:val="left" w:pos="360"/>
              </w:tabs>
            </w:pPr>
            <w:r w:rsidRPr="20A69760">
              <w:t>Sustained funding for suicide prevention, Increased staff capacity to implement CSP activities,</w:t>
            </w:r>
            <w:r w:rsidRPr="20A69760" w:rsidR="42C3882D">
              <w:t xml:space="preserve"> Increased leadership for </w:t>
            </w:r>
            <w:r w:rsidRPr="20A69760" w:rsidR="57A47D8A">
              <w:t>CSP</w:t>
            </w:r>
            <w:r w:rsidRPr="20A69760" w:rsidR="42C3882D">
              <w:t xml:space="preserve"> within jurisdiction</w:t>
            </w:r>
          </w:p>
          <w:p w:rsidR="20A69760" w:rsidP="20A69760" w14:paraId="56187BF0" w14:textId="498AE5F6"/>
        </w:tc>
      </w:tr>
      <w:tr w14:paraId="1219D653" w14:textId="77777777" w:rsidTr="55BBB0BB">
        <w:tblPrEx>
          <w:tblW w:w="0" w:type="auto"/>
          <w:tblLook w:val="04A0"/>
        </w:tblPrEx>
        <w:trPr>
          <w:trHeight w:val="300"/>
        </w:trPr>
        <w:tc>
          <w:tcPr>
            <w:tcW w:w="4675" w:type="dxa"/>
          </w:tcPr>
          <w:p w:rsidR="20A69760" w:rsidP="20A69760" w14:paraId="6B7632C7" w14:textId="785E36D3">
            <w:pPr>
              <w:spacing w:before="20" w:after="20"/>
            </w:pPr>
            <w:r>
              <w:t>Decreased risk factors and</w:t>
            </w:r>
            <w:r>
              <w:br/>
              <w:t>increased protective factors among DAP(s) in jurisdiction</w:t>
            </w:r>
          </w:p>
        </w:tc>
        <w:tc>
          <w:tcPr>
            <w:tcW w:w="4675" w:type="dxa"/>
          </w:tcPr>
          <w:p w:rsidR="6FF19D9E" w:rsidP="20A69760" w14:paraId="54816832" w14:textId="36DFE25E">
            <w:pPr>
              <w:tabs>
                <w:tab w:val="left" w:pos="360"/>
              </w:tabs>
            </w:pPr>
            <w:r w:rsidRPr="20A69760">
              <w:t xml:space="preserve">Improvements in </w:t>
            </w:r>
            <w:r w:rsidR="00810CD0">
              <w:t xml:space="preserve">connectedness, </w:t>
            </w:r>
            <w:r w:rsidRPr="20A69760">
              <w:t>coping skills identify</w:t>
            </w:r>
            <w:r w:rsidR="00810CD0">
              <w:t>ing and responding to</w:t>
            </w:r>
            <w:r w:rsidRPr="20A69760">
              <w:t xml:space="preserve"> people at risk of suicide</w:t>
            </w:r>
            <w:r w:rsidR="00A10BF4">
              <w:t>, among others</w:t>
            </w:r>
          </w:p>
        </w:tc>
      </w:tr>
      <w:tr w14:paraId="1E1877A6" w14:textId="77777777" w:rsidTr="55BBB0BB">
        <w:tblPrEx>
          <w:tblW w:w="0" w:type="auto"/>
          <w:tblLook w:val="04A0"/>
        </w:tblPrEx>
        <w:trPr>
          <w:trHeight w:val="300"/>
        </w:trPr>
        <w:tc>
          <w:tcPr>
            <w:tcW w:w="4675" w:type="dxa"/>
          </w:tcPr>
          <w:p w:rsidR="20A69760" w:rsidP="20A69760" w14:paraId="2BF9E55E" w14:textId="5C7D37EF">
            <w:pPr>
              <w:pStyle w:val="pf0"/>
              <w:rPr>
                <w:rStyle w:val="cf01"/>
                <w:rFonts w:ascii="Times New Roman" w:hAnsi="Times New Roman" w:cs="Times New Roman"/>
                <w:sz w:val="24"/>
                <w:szCs w:val="24"/>
              </w:rPr>
            </w:pPr>
            <w:r>
              <w:t>Increased utilization of evaluation findings to improve programs and practices to reduce and prevent suicide</w:t>
            </w:r>
          </w:p>
        </w:tc>
        <w:tc>
          <w:tcPr>
            <w:tcW w:w="4675" w:type="dxa"/>
          </w:tcPr>
          <w:p w:rsidR="14122998" w:rsidRPr="008B08B6" w:rsidP="008B08B6" w14:paraId="3092FF1B" w14:textId="31D21389">
            <w:pPr>
              <w:pStyle w:val="pf0"/>
              <w:rPr>
                <w:highlight w:val="yellow"/>
              </w:rPr>
            </w:pPr>
            <w:r>
              <w:t>No applicable indicators. Will assess with</w:t>
            </w:r>
            <w:r w:rsidRPr="008B08B6" w:rsidR="0F6D8E8A">
              <w:t xml:space="preserve"> recipient narrative</w:t>
            </w:r>
            <w:r w:rsidR="48BED30A">
              <w:t xml:space="preserve"> reporting in the annual progress reports.</w:t>
            </w:r>
            <w:r w:rsidRPr="008B08B6" w:rsidR="75C5CB0A">
              <w:t xml:space="preserve"> </w:t>
            </w:r>
          </w:p>
        </w:tc>
      </w:tr>
      <w:tr w14:paraId="05C07B68" w14:textId="77777777" w:rsidTr="55BBB0BB">
        <w:tblPrEx>
          <w:tblW w:w="0" w:type="auto"/>
          <w:tblLook w:val="04A0"/>
        </w:tblPrEx>
        <w:trPr>
          <w:trHeight w:val="300"/>
        </w:trPr>
        <w:tc>
          <w:tcPr>
            <w:tcW w:w="4675" w:type="dxa"/>
          </w:tcPr>
          <w:p w:rsidR="00587C95" w:rsidP="20A69760" w14:paraId="6C81E02B" w14:textId="0ABA746E">
            <w:pPr>
              <w:pStyle w:val="pf0"/>
            </w:pPr>
            <w:r>
              <w:t>Reductions in suicide morbidity</w:t>
            </w:r>
            <w:r w:rsidR="005862F0">
              <w:t xml:space="preserve"> among selected DAPs</w:t>
            </w:r>
          </w:p>
        </w:tc>
        <w:tc>
          <w:tcPr>
            <w:tcW w:w="4675" w:type="dxa"/>
          </w:tcPr>
          <w:p w:rsidR="00587C95" w:rsidRPr="00587C95" w:rsidP="004F42BE" w14:paraId="4D81C071" w14:textId="2CF2B57D">
            <w:pPr>
              <w:pStyle w:val="pf0"/>
              <w:rPr>
                <w:highlight w:val="yellow"/>
              </w:rPr>
            </w:pPr>
            <w:r>
              <w:t>Number and r</w:t>
            </w:r>
            <w:r w:rsidR="5EB637CE">
              <w:t>ate of s</w:t>
            </w:r>
            <w:r w:rsidR="5B231022">
              <w:t>uicide ideation</w:t>
            </w:r>
            <w:r w:rsidR="423CA398">
              <w:t xml:space="preserve"> and/or</w:t>
            </w:r>
            <w:r w:rsidR="5B231022">
              <w:t xml:space="preserve"> attempts</w:t>
            </w:r>
            <w:r w:rsidR="4C1E86EB">
              <w:t xml:space="preserve"> </w:t>
            </w:r>
          </w:p>
        </w:tc>
      </w:tr>
      <w:tr w14:paraId="2E44818D" w14:textId="77777777" w:rsidTr="55BBB0BB">
        <w:tblPrEx>
          <w:tblW w:w="0" w:type="auto"/>
          <w:tblLook w:val="04A0"/>
        </w:tblPrEx>
        <w:trPr>
          <w:trHeight w:val="300"/>
        </w:trPr>
        <w:tc>
          <w:tcPr>
            <w:tcW w:w="9350" w:type="dxa"/>
            <w:gridSpan w:val="2"/>
          </w:tcPr>
          <w:p w:rsidR="20A69760" w:rsidP="008B08B6" w14:paraId="235ED926" w14:textId="444139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20A69760">
              <w:rPr>
                <w:b/>
                <w:bCs/>
              </w:rPr>
              <w:t>Long-term Outcomes</w:t>
            </w:r>
          </w:p>
        </w:tc>
      </w:tr>
      <w:tr w14:paraId="57027B49" w14:textId="77777777" w:rsidTr="55BBB0BB">
        <w:tblPrEx>
          <w:tblW w:w="0" w:type="auto"/>
          <w:tblLook w:val="04A0"/>
        </w:tblPrEx>
        <w:trPr>
          <w:trHeight w:val="300"/>
        </w:trPr>
        <w:tc>
          <w:tcPr>
            <w:tcW w:w="4675" w:type="dxa"/>
          </w:tcPr>
          <w:p w:rsidR="20A69760" w:rsidP="20A69760" w14:paraId="50415146" w14:textId="29057B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Reduction in suicide mortality among selected DAPs</w:t>
            </w:r>
          </w:p>
        </w:tc>
        <w:tc>
          <w:tcPr>
            <w:tcW w:w="4675" w:type="dxa"/>
          </w:tcPr>
          <w:p w:rsidR="090012EC" w:rsidP="20A69760" w14:paraId="2D1FC975" w14:textId="6D7F309D">
            <w:pPr>
              <w:tabs>
                <w:tab w:val="left" w:pos="360"/>
              </w:tabs>
            </w:pPr>
            <w:r>
              <w:t>N</w:t>
            </w:r>
            <w:r>
              <w:t>umber</w:t>
            </w:r>
            <w:r w:rsidRPr="20A69760">
              <w:t xml:space="preserve"> and rate of suicide </w:t>
            </w:r>
          </w:p>
          <w:p w:rsidR="20A69760" w:rsidP="20A69760" w14:paraId="75CBCDC6" w14:textId="18D013B3"/>
        </w:tc>
      </w:tr>
    </w:tbl>
    <w:p w:rsidR="4782B148" w:rsidP="20A69760" w14:paraId="7E3A553D" w14:textId="04E1DF18"/>
    <w:p w:rsidR="00870241" w:rsidP="00870241" w14:paraId="4D52BDCD" w14:textId="350B2D14">
      <w:r>
        <w:t xml:space="preserve">An </w:t>
      </w:r>
      <w:r w:rsidRPr="00F57F78">
        <w:t>Annual Federal Financial Report</w:t>
      </w:r>
      <w:r>
        <w:t xml:space="preserve"> (OMB# 0920-1132) is also required to be submitted to </w:t>
      </w:r>
      <w:r w:rsidRPr="00870241">
        <w:t>Office</w:t>
      </w:r>
      <w:r w:rsidRPr="00870241">
        <w:t xml:space="preserve"> of Financial Resources (OFR) </w:t>
      </w:r>
      <w:r>
        <w:t xml:space="preserve">separately by grantees.  This report is not required, developed, or reviewed by NCIPC’s program staff as part of the performance monitoring.  It is handled by OFR as part of its </w:t>
      </w:r>
      <w:r w:rsidR="00FE5A33">
        <w:t>grant’s</w:t>
      </w:r>
      <w:r>
        <w:t xml:space="preserve"> financial management responsibilities.  As such, it is not included as part of this request.</w:t>
      </w:r>
    </w:p>
    <w:p w:rsidR="00870241" w:rsidP="00972DEF" w14:paraId="10F976E4" w14:textId="77777777">
      <w:pPr>
        <w:autoSpaceDE w:val="0"/>
        <w:autoSpaceDN w:val="0"/>
        <w:adjustRightInd w:val="0"/>
        <w:rPr>
          <w:b/>
          <w:bCs/>
        </w:rPr>
      </w:pPr>
    </w:p>
    <w:p w:rsidR="008F71CE" w:rsidP="00972DEF" w14:paraId="47BA09C3" w14:textId="7C602F09">
      <w:pPr>
        <w:autoSpaceDE w:val="0"/>
        <w:autoSpaceDN w:val="0"/>
        <w:adjustRightInd w:val="0"/>
        <w:rPr>
          <w:b/>
          <w:bCs/>
        </w:rPr>
      </w:pPr>
      <w:r w:rsidRPr="00691454">
        <w:rPr>
          <w:b/>
          <w:bCs/>
        </w:rPr>
        <w:t xml:space="preserve">A.3. </w:t>
      </w:r>
      <w:r w:rsidRPr="00691454">
        <w:rPr>
          <w:b/>
          <w:bCs/>
        </w:rPr>
        <w:tab/>
        <w:t>Use of Improved Information Technology and Burden Reduction</w:t>
      </w:r>
    </w:p>
    <w:p w:rsidR="00604FBA" w:rsidP="00972DEF" w14:paraId="2762D6F9" w14:textId="15DDCB87">
      <w:pPr>
        <w:autoSpaceDE w:val="0"/>
        <w:autoSpaceDN w:val="0"/>
        <w:adjustRightInd w:val="0"/>
        <w:rPr>
          <w:b/>
          <w:bCs/>
        </w:rPr>
      </w:pPr>
    </w:p>
    <w:p w:rsidR="00306785" w:rsidP="00306785" w14:paraId="2E2E7F71" w14:textId="7B022048">
      <w:r>
        <w:t xml:space="preserve">NCIPC </w:t>
      </w:r>
      <w:r w:rsidRPr="00A93EB5">
        <w:t xml:space="preserve">developed the </w:t>
      </w:r>
      <w:r>
        <w:t xml:space="preserve">web-based </w:t>
      </w:r>
      <w:r w:rsidR="00902D17">
        <w:t>Partners’ Portal</w:t>
      </w:r>
      <w:r>
        <w:t xml:space="preserve"> Annual Progress Report</w:t>
      </w:r>
      <w:r w:rsidRPr="00A93EB5">
        <w:t xml:space="preserve"> </w:t>
      </w:r>
      <w:r w:rsidR="007C55E5">
        <w:t xml:space="preserve">to allow for </w:t>
      </w:r>
      <w:r w:rsidR="007C55E5">
        <w:t xml:space="preserve">a </w:t>
      </w:r>
      <w:r w:rsidR="007E6DB5">
        <w:t>100</w:t>
      </w:r>
      <w:r w:rsidR="007E6DB5">
        <w:t>%</w:t>
      </w:r>
      <w:r w:rsidR="007C55E5">
        <w:t xml:space="preserve"> electronic reporting (</w:t>
      </w:r>
      <w:r>
        <w:t xml:space="preserve">Attachment </w:t>
      </w:r>
      <w:r w:rsidR="00142698">
        <w:t>D</w:t>
      </w:r>
      <w:r w:rsidR="007C55E5">
        <w:t xml:space="preserve"> and D1</w:t>
      </w:r>
      <w:r>
        <w:t>)</w:t>
      </w:r>
      <w:r w:rsidRPr="00A93EB5">
        <w:t xml:space="preserve">. </w:t>
      </w:r>
      <w:r>
        <w:t xml:space="preserve">The </w:t>
      </w:r>
      <w:r w:rsidR="00902D17">
        <w:t>Partners’ Portal</w:t>
      </w:r>
      <w:r>
        <w:t xml:space="preserve"> is a user-friendly interface which</w:t>
      </w:r>
      <w:r w:rsidRPr="00A93EB5">
        <w:t xml:space="preserve"> will be </w:t>
      </w:r>
      <w:r>
        <w:t xml:space="preserve">quicker, </w:t>
      </w:r>
      <w:r w:rsidRPr="00A93EB5">
        <w:t>easier</w:t>
      </w:r>
      <w:r>
        <w:t>,</w:t>
      </w:r>
      <w:r w:rsidRPr="00A93EB5">
        <w:t xml:space="preserve"> and more intuitive for </w:t>
      </w:r>
      <w:r w:rsidR="00902D17">
        <w:t>recipients</w:t>
      </w:r>
      <w:r w:rsidRPr="00A93EB5">
        <w:t xml:space="preserve"> to use than </w:t>
      </w:r>
      <w:r>
        <w:t>excel templates or word documents</w:t>
      </w:r>
      <w:r w:rsidRPr="00A93EB5">
        <w:t xml:space="preserve">.  </w:t>
      </w:r>
      <w:r>
        <w:t xml:space="preserve">Use of the </w:t>
      </w:r>
      <w:r w:rsidR="00902D17">
        <w:t>Partners’ Portal</w:t>
      </w:r>
      <w:r w:rsidRPr="00A93EB5">
        <w:t xml:space="preserve"> will require very little </w:t>
      </w:r>
      <w:r w:rsidRPr="00A93EB5">
        <w:t>training</w:t>
      </w:r>
      <w:r w:rsidRPr="00A93EB5">
        <w:t xml:space="preserve"> and </w:t>
      </w:r>
      <w:r w:rsidR="00902D17">
        <w:t>recipients</w:t>
      </w:r>
      <w:r w:rsidRPr="00A93EB5">
        <w:t xml:space="preserve"> will use the tools provided to record and update grant information.  </w:t>
      </w:r>
    </w:p>
    <w:p w:rsidR="00306785" w:rsidP="00306785" w14:paraId="48DBEE10" w14:textId="77777777"/>
    <w:p w:rsidR="00306785" w:rsidRPr="00A93EB5" w:rsidP="00306785" w14:paraId="3848B7C0" w14:textId="52C37A36">
      <w:pPr>
        <w:spacing w:after="120"/>
      </w:pPr>
      <w:r w:rsidRPr="00A93EB5">
        <w:t xml:space="preserve">There are significant advantages to collecting information </w:t>
      </w:r>
      <w:r>
        <w:t xml:space="preserve">using the </w:t>
      </w:r>
      <w:r w:rsidR="00902D17">
        <w:t>Partners’ Portal</w:t>
      </w:r>
      <w:r w:rsidRPr="00A93EB5">
        <w:t>:</w:t>
      </w:r>
    </w:p>
    <w:p w:rsidR="00306785" w:rsidRPr="00A93EB5" w:rsidP="00306785" w14:paraId="58BE15B8" w14:textId="1202A853">
      <w:pPr>
        <w:pStyle w:val="ListParagraph"/>
        <w:numPr>
          <w:ilvl w:val="0"/>
          <w:numId w:val="28"/>
        </w:numPr>
        <w:spacing w:after="120"/>
      </w:pPr>
      <w:r w:rsidRPr="00A93EB5">
        <w:t xml:space="preserve">The data structures and business rules will help </w:t>
      </w:r>
      <w:r w:rsidR="00902D17">
        <w:t>recipients</w:t>
      </w:r>
      <w:r w:rsidRPr="00A93EB5">
        <w:t xml:space="preserve"> formulate performance measures that are specific, measurable, achievable, relevant and time-framed (SMART).  This formulation is intended to facilitate successful achievement of performance measures and is integral to CDC’s program evaluation strategy for the program.</w:t>
      </w:r>
    </w:p>
    <w:p w:rsidR="00306785" w:rsidRPr="00A93EB5" w:rsidP="00306785" w14:paraId="0F540CF0" w14:textId="77777777">
      <w:pPr>
        <w:pStyle w:val="ListParagraph"/>
        <w:numPr>
          <w:ilvl w:val="0"/>
          <w:numId w:val="28"/>
        </w:numPr>
        <w:spacing w:after="120"/>
      </w:pPr>
      <w:r w:rsidRPr="00A93EB5">
        <w:t xml:space="preserve">The information </w:t>
      </w:r>
      <w:r w:rsidRPr="00A93EB5">
        <w:t>being collected</w:t>
      </w:r>
      <w:r w:rsidRPr="00A93EB5">
        <w:t xml:space="preserve"> provides crucial information about each awardee’s work plan, activities, partnerships</w:t>
      </w:r>
      <w:r>
        <w:t>, successes, challenges</w:t>
      </w:r>
      <w:r w:rsidRPr="00A93EB5">
        <w:t xml:space="preserve"> and progress over the award period.  </w:t>
      </w:r>
    </w:p>
    <w:p w:rsidR="00306785" w:rsidRPr="00A93EB5" w:rsidP="00306785" w14:paraId="2681058B" w14:textId="61712123">
      <w:pPr>
        <w:pStyle w:val="ListParagraph"/>
        <w:numPr>
          <w:ilvl w:val="0"/>
          <w:numId w:val="28"/>
        </w:numPr>
        <w:spacing w:after="120"/>
      </w:pPr>
      <w:r>
        <w:t xml:space="preserve">The </w:t>
      </w:r>
      <w:r w:rsidR="00902D17">
        <w:t>Partners’ Portal</w:t>
      </w:r>
      <w:r>
        <w:t xml:space="preserve"> contains built in data validation, calculations, and guidance to allow for easy entry, review, and reporting of indicator data. </w:t>
      </w:r>
    </w:p>
    <w:p w:rsidR="00306785" w:rsidP="00306785" w14:paraId="3EBE5B5F" w14:textId="77777777">
      <w:pPr>
        <w:pStyle w:val="ListParagraph"/>
        <w:numPr>
          <w:ilvl w:val="0"/>
          <w:numId w:val="28"/>
        </w:numPr>
        <w:spacing w:after="120"/>
      </w:pPr>
      <w:r w:rsidRPr="00DD1DE7">
        <w:t>Capturing the required information uniformly will allow CDC to formulate ad hoc analyses and reports</w:t>
      </w:r>
      <w:r>
        <w:t xml:space="preserve"> for program evaluation and manuscript development</w:t>
      </w:r>
      <w:r w:rsidRPr="00DD1DE7">
        <w:t>.</w:t>
      </w:r>
    </w:p>
    <w:p w:rsidR="00F3354D" w:rsidP="00082D12" w14:paraId="7DEA2E92" w14:textId="3C7C09A3">
      <w:pPr>
        <w:pStyle w:val="ListParagraph"/>
        <w:numPr>
          <w:ilvl w:val="0"/>
          <w:numId w:val="28"/>
        </w:numPr>
        <w:spacing w:after="120"/>
      </w:pPr>
      <w:r>
        <w:t xml:space="preserve">The relational database structure in which the data are stored </w:t>
      </w:r>
      <w:r>
        <w:t>allows for</w:t>
      </w:r>
      <w:r>
        <w:t xml:space="preserve"> CDC to gain immediate access to data for reporting, thereby improving timeliness. In addition, it allows for multiple </w:t>
      </w:r>
      <w:r w:rsidR="00902D17">
        <w:t>recipients</w:t>
      </w:r>
      <w:r>
        <w:t xml:space="preserve"> from each state to simultaneously enter information, which reduces the amount of collective time spent providing updates.</w:t>
      </w:r>
    </w:p>
    <w:p w:rsidR="00306785" w:rsidP="00306785" w14:paraId="302C86F4" w14:textId="5EC5FD31">
      <w:r>
        <w:t>Recipients</w:t>
      </w:r>
      <w:r w:rsidRPr="00595E1B">
        <w:t xml:space="preserve"> will </w:t>
      </w:r>
      <w:r>
        <w:t>complete simple information fields in a web-based data entry form</w:t>
      </w:r>
      <w:r w:rsidRPr="00595E1B">
        <w:t xml:space="preserve">, tailored for their specific work plans, and </w:t>
      </w:r>
      <w:r>
        <w:t>submit to</w:t>
      </w:r>
      <w:r w:rsidRPr="00595E1B">
        <w:t xml:space="preserve"> assigned NCIPC staff on an annual basis.</w:t>
      </w:r>
      <w:r w:rsidRPr="00A93EB5">
        <w:t xml:space="preserve">  </w:t>
      </w:r>
    </w:p>
    <w:p w:rsidR="1343B9A3" w:rsidP="1343B9A3" w14:paraId="0C0A0FA4" w14:textId="6903A131"/>
    <w:p w:rsidR="00306785" w:rsidRPr="00A93EB5" w:rsidP="00306785" w14:paraId="37420CCB" w14:textId="4B4BC7AA">
      <w:pPr>
        <w:tabs>
          <w:tab w:val="num" w:pos="720"/>
        </w:tabs>
      </w:pPr>
      <w:r>
        <w:t xml:space="preserve">The </w:t>
      </w:r>
      <w:r w:rsidR="00902D17">
        <w:t>Partners</w:t>
      </w:r>
      <w:r w:rsidR="00902D17">
        <w:t>’ Portal</w:t>
      </w:r>
      <w:r w:rsidRPr="00A93EB5">
        <w:t xml:space="preserve"> improve</w:t>
      </w:r>
      <w:r>
        <w:t>s</w:t>
      </w:r>
      <w:r w:rsidRPr="00A93EB5">
        <w:t xml:space="preserve"> information quality by minimizing errors and redundancy.  Having </w:t>
      </w:r>
      <w:r w:rsidRPr="00A93EB5" w:rsidR="00735781">
        <w:t>all</w:t>
      </w:r>
      <w:r w:rsidRPr="00A93EB5">
        <w:t xml:space="preserve"> the information collected in the same place in the same manner will reduce the level of burden attributable to redundancy and reduce the workload to enter and maintain the data.  </w:t>
      </w:r>
      <w:r>
        <w:t>The system is configured to pre</w:t>
      </w:r>
      <w:r w:rsidRPr="00A93EB5">
        <w:t>populate</w:t>
      </w:r>
      <w:r>
        <w:t xml:space="preserve"> </w:t>
      </w:r>
      <w:r w:rsidRPr="00A93EB5">
        <w:t xml:space="preserve">from one year to </w:t>
      </w:r>
      <w:r>
        <w:t>the next</w:t>
      </w:r>
      <w:r w:rsidRPr="00A93EB5">
        <w:t xml:space="preserve">, which minimizes data re-entry, burden, and potential errors. </w:t>
      </w:r>
    </w:p>
    <w:p w:rsidR="00306785" w:rsidRPr="00A93EB5" w:rsidP="00306785" w14:paraId="7BF18C87" w14:textId="77777777">
      <w:pPr>
        <w:tabs>
          <w:tab w:val="num" w:pos="720"/>
        </w:tabs>
      </w:pPr>
    </w:p>
    <w:p w:rsidR="008F71CE" w:rsidP="00B1725D" w14:paraId="0250874F" w14:textId="4757797E">
      <w:r>
        <w:t>T</w:t>
      </w:r>
      <w:r w:rsidRPr="00A93EB5" w:rsidR="00306785">
        <w:t xml:space="preserve">he use of a standard set of data elements, definitions and specifications at all levels will help to improve the quality and comparability of performance information that is received by CDC for multiple </w:t>
      </w:r>
      <w:r w:rsidR="00902D17">
        <w:t>recipients</w:t>
      </w:r>
      <w:r w:rsidRPr="00A93EB5" w:rsidR="00306785">
        <w:t xml:space="preserve"> and multiple award types.  Further, standardization will enhance the consistency of </w:t>
      </w:r>
      <w:r w:rsidR="00306785">
        <w:t xml:space="preserve">work </w:t>
      </w:r>
      <w:r w:rsidRPr="00A93EB5" w:rsidR="00306785">
        <w:t>plans and reports, enable examination of cross-program performance and strategies, and will facilitate a higher degree of reliability by ensuring that the same information is collected on all strategies and performance measures with slightly different areas of emphasis</w:t>
      </w:r>
      <w:r w:rsidR="00306785">
        <w:t xml:space="preserve">. </w:t>
      </w:r>
      <w:r w:rsidRPr="00A93EB5" w:rsidR="00306785">
        <w:t xml:space="preserve">Finally, the report generation capabilities of the </w:t>
      </w:r>
      <w:r w:rsidR="00902D17">
        <w:t>Partners’ Portal</w:t>
      </w:r>
      <w:r w:rsidRPr="00A93EB5" w:rsidR="00306785">
        <w:t xml:space="preserve"> will reduce the respondent burden associated with </w:t>
      </w:r>
      <w:r w:rsidR="00E53EEA">
        <w:t xml:space="preserve">Excel- and Word-based </w:t>
      </w:r>
      <w:r w:rsidRPr="00A93EB5" w:rsidR="00306785">
        <w:t xml:space="preserve">reports.  Without </w:t>
      </w:r>
      <w:r w:rsidR="00E53EEA">
        <w:t>this</w:t>
      </w:r>
      <w:r w:rsidRPr="00A93EB5" w:rsidR="00306785">
        <w:t xml:space="preserve"> integrated </w:t>
      </w:r>
      <w:r w:rsidR="00E53EEA">
        <w:t xml:space="preserve">web-based </w:t>
      </w:r>
      <w:r w:rsidRPr="00A93EB5" w:rsidR="00306785">
        <w:t xml:space="preserve">approach to information collection and reporting, </w:t>
      </w:r>
      <w:r w:rsidR="00902D17">
        <w:t>recipients</w:t>
      </w:r>
      <w:r w:rsidRPr="00A93EB5" w:rsidR="00306785">
        <w:t xml:space="preserve"> and CDC would need to continue to use </w:t>
      </w:r>
      <w:r w:rsidRPr="00A93EB5" w:rsidR="005E0C27">
        <w:t>time-consuming, labor-intensive</w:t>
      </w:r>
      <w:r w:rsidRPr="00A93EB5" w:rsidR="00306785">
        <w:t xml:space="preserve"> procedures for information collection and reporting.</w:t>
      </w:r>
    </w:p>
    <w:p w:rsidR="005E0C27" w:rsidP="00B1725D" w14:paraId="7A354EBF" w14:textId="77777777"/>
    <w:p w:rsidR="005E0C27" w:rsidRPr="008F71CE" w:rsidP="00B1725D" w14:paraId="642FAE94" w14:textId="5FC810F9">
      <w:bookmarkStart w:id="2" w:name="_Hlk207030256"/>
      <w:r>
        <w:t xml:space="preserve">Due to the </w:t>
      </w:r>
      <w:r w:rsidR="0002458F">
        <w:t>schedule</w:t>
      </w:r>
      <w:r w:rsidR="00E23B57">
        <w:t xml:space="preserve"> of </w:t>
      </w:r>
      <w:r w:rsidR="003F7319">
        <w:t xml:space="preserve">syndromic </w:t>
      </w:r>
      <w:r w:rsidR="00B0609C">
        <w:t>surveillance reports submitted by</w:t>
      </w:r>
      <w:r w:rsidR="0002458F">
        <w:t xml:space="preserve"> recipients once per quarter</w:t>
      </w:r>
      <w:r w:rsidR="006277F7">
        <w:t>,</w:t>
      </w:r>
      <w:r w:rsidR="0002458F">
        <w:t xml:space="preserve"> </w:t>
      </w:r>
      <w:r w:rsidR="00C614B4">
        <w:t xml:space="preserve">excel sheet templates will be used in addition to </w:t>
      </w:r>
      <w:r w:rsidR="00DB64B0">
        <w:t>the Partner’s Portal</w:t>
      </w:r>
      <w:r w:rsidR="0060764A">
        <w:t xml:space="preserve"> for </w:t>
      </w:r>
      <w:r w:rsidR="000F1A0E">
        <w:t>Annual Progress</w:t>
      </w:r>
      <w:r w:rsidR="00403D27">
        <w:t xml:space="preserve"> Report</w:t>
      </w:r>
      <w:r w:rsidR="0049680F">
        <w:t>s</w:t>
      </w:r>
      <w:r w:rsidR="00DB64B0">
        <w:t>. Excel allows for</w:t>
      </w:r>
      <w:r w:rsidR="0020096F">
        <w:t xml:space="preserve"> efficient </w:t>
      </w:r>
      <w:r w:rsidR="00735AC0">
        <w:t xml:space="preserve">submissions and requires very little training for </w:t>
      </w:r>
      <w:r w:rsidR="006E0D27">
        <w:t>recipients</w:t>
      </w:r>
      <w:r w:rsidR="00551694">
        <w:t xml:space="preserve"> </w:t>
      </w:r>
      <w:bookmarkEnd w:id="2"/>
      <w:r w:rsidR="00551694">
        <w:t>(Attachment F)</w:t>
      </w:r>
      <w:r w:rsidR="006E0D27">
        <w:t>.</w:t>
      </w:r>
    </w:p>
    <w:p w:rsidR="00972DEF" w:rsidRPr="00691454" w:rsidP="00972DEF" w14:paraId="40822328" w14:textId="77777777"/>
    <w:p w:rsidR="00972DEF" w:rsidP="00972DEF" w14:paraId="40822329" w14:textId="13A72B50">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008F71CE" w:rsidP="00972DEF" w14:paraId="0F355815" w14:textId="77777777">
      <w:pPr>
        <w:autoSpaceDE w:val="0"/>
        <w:autoSpaceDN w:val="0"/>
        <w:adjustRightInd w:val="0"/>
        <w:rPr>
          <w:b/>
          <w:bCs/>
        </w:rPr>
      </w:pPr>
    </w:p>
    <w:p w:rsidR="00142698" w:rsidP="00142698" w14:paraId="665025A5" w14:textId="727C9B99">
      <w:pPr>
        <w:autoSpaceDE w:val="0"/>
        <w:autoSpaceDN w:val="0"/>
        <w:adjustRightInd w:val="0"/>
      </w:pPr>
      <w:r w:rsidRPr="0085100A">
        <w:t>Since CDC is the only federal agency providing funding for</w:t>
      </w:r>
      <w:r>
        <w:t xml:space="preserve"> “Comprehensive Suicide Prevention Program” </w:t>
      </w:r>
      <w:r w:rsidRPr="00A93EB5">
        <w:t>the</w:t>
      </w:r>
      <w:r w:rsidRPr="00A93EB5">
        <w:t xml:space="preserve"> inf</w:t>
      </w:r>
      <w:r>
        <w:t>ormation collected from grantees</w:t>
      </w:r>
      <w:r w:rsidRPr="00A93EB5">
        <w:t xml:space="preserve"> is not available from other sources.</w:t>
      </w:r>
      <w:r>
        <w:t xml:space="preserve"> The information is specific to the </w:t>
      </w:r>
      <w:r w:rsidRPr="00FC5F2B">
        <w:rPr>
          <w:color w:val="000000" w:themeColor="text1"/>
        </w:rPr>
        <w:t xml:space="preserve">grantees funded under </w:t>
      </w:r>
      <w:r>
        <w:t>Comprehensive Suicide Prevention Program</w:t>
      </w:r>
      <w:r w:rsidRPr="00967A16">
        <w:t xml:space="preserve"> </w:t>
      </w:r>
      <w:r>
        <w:t xml:space="preserve">and </w:t>
      </w:r>
      <w:r w:rsidRPr="00A93EB5">
        <w:t>collection of this information is part of a federal reporting requiremen</w:t>
      </w:r>
      <w:r>
        <w:t>t for funds received by grantees</w:t>
      </w:r>
      <w:r w:rsidRPr="00A93EB5">
        <w:t xml:space="preserve">. The </w:t>
      </w:r>
      <w:r>
        <w:t>templates</w:t>
      </w:r>
      <w:r w:rsidRPr="00A93EB5">
        <w:t xml:space="preserve"> will consolidate </w:t>
      </w:r>
      <w:r w:rsidRPr="00A93EB5">
        <w:t>information nece</w:t>
      </w:r>
      <w:r>
        <w:t>ssary</w:t>
      </w:r>
      <w:r>
        <w:t xml:space="preserve"> </w:t>
      </w:r>
      <w:r w:rsidRPr="00A93EB5">
        <w:t>so that information entered can be us</w:t>
      </w:r>
      <w:r>
        <w:t>ed to generate the</w:t>
      </w:r>
      <w:r w:rsidRPr="00A93EB5">
        <w:t xml:space="preserve"> reports without having to duplicate efforts.  </w:t>
      </w:r>
    </w:p>
    <w:p w:rsidR="00972DEF" w:rsidRPr="00691454" w:rsidP="00972DEF" w14:paraId="4082232A" w14:textId="77777777">
      <w:pPr>
        <w:autoSpaceDE w:val="0"/>
        <w:autoSpaceDN w:val="0"/>
        <w:adjustRightInd w:val="0"/>
      </w:pPr>
    </w:p>
    <w:p w:rsidR="00972DEF" w:rsidP="00972DEF" w14:paraId="4082232B" w14:textId="637CDBB4">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8F71CE" w:rsidRPr="00691454" w:rsidP="00972DEF" w14:paraId="48057004" w14:textId="77777777">
      <w:pPr>
        <w:autoSpaceDE w:val="0"/>
        <w:autoSpaceDN w:val="0"/>
        <w:adjustRightInd w:val="0"/>
        <w:rPr>
          <w:b/>
          <w:bCs/>
        </w:rPr>
      </w:pPr>
    </w:p>
    <w:p w:rsidR="008F71CE" w:rsidP="00972DEF" w14:paraId="17BAAC6E" w14:textId="0F24171D">
      <w:pPr>
        <w:autoSpaceDE w:val="0"/>
        <w:autoSpaceDN w:val="0"/>
        <w:adjustRightInd w:val="0"/>
      </w:pPr>
      <w:r w:rsidRPr="008F71CE">
        <w:t>No small businesses will be involved in this data collection.</w:t>
      </w:r>
    </w:p>
    <w:p w:rsidR="009F388F" w:rsidP="00972DEF" w14:paraId="7697601D" w14:textId="77777777">
      <w:pPr>
        <w:autoSpaceDE w:val="0"/>
        <w:autoSpaceDN w:val="0"/>
        <w:adjustRightInd w:val="0"/>
        <w:rPr>
          <w:b/>
          <w:bCs/>
        </w:rPr>
      </w:pPr>
    </w:p>
    <w:p w:rsidR="00972DEF" w:rsidRPr="00691454" w:rsidP="00972DEF" w14:paraId="4082232F" w14:textId="47155069">
      <w:pPr>
        <w:autoSpaceDE w:val="0"/>
        <w:autoSpaceDN w:val="0"/>
        <w:adjustRightInd w:val="0"/>
        <w:rPr>
          <w:b/>
          <w:bCs/>
        </w:rPr>
      </w:pPr>
      <w:r w:rsidRPr="00691454">
        <w:rPr>
          <w:b/>
          <w:bCs/>
        </w:rPr>
        <w:t xml:space="preserve">A.6. </w:t>
      </w:r>
      <w:r w:rsidRPr="00691454">
        <w:rPr>
          <w:b/>
          <w:bCs/>
        </w:rPr>
        <w:tab/>
        <w:t xml:space="preserve">Consequences of Collecting </w:t>
      </w:r>
      <w:r w:rsidRPr="00691454">
        <w:rPr>
          <w:b/>
          <w:bCs/>
        </w:rPr>
        <w:t>the Information</w:t>
      </w:r>
      <w:r w:rsidRPr="00691454">
        <w:rPr>
          <w:b/>
          <w:bCs/>
        </w:rPr>
        <w:t xml:space="preserve"> Less Frequently </w:t>
      </w:r>
    </w:p>
    <w:p w:rsidR="00972DEF" w:rsidP="00972DEF" w14:paraId="40822330" w14:textId="58D64B09">
      <w:pPr>
        <w:autoSpaceDE w:val="0"/>
        <w:autoSpaceDN w:val="0"/>
        <w:adjustRightInd w:val="0"/>
      </w:pPr>
    </w:p>
    <w:p w:rsidR="009F388F" w:rsidP="009F388F" w14:paraId="02B09771" w14:textId="0D4F9CBE">
      <w:r>
        <w:t>Annual Pe</w:t>
      </w:r>
      <w:r w:rsidR="008A6AD9">
        <w:t>rformance Report d</w:t>
      </w:r>
      <w:r w:rsidR="00A43983">
        <w:t xml:space="preserve">ata will be collected in alignment </w:t>
      </w:r>
      <w:r w:rsidRPr="00434F8A" w:rsidR="00A43983">
        <w:t xml:space="preserve">with </w:t>
      </w:r>
      <w:r w:rsidRPr="00434F8A" w:rsidR="008F71CE">
        <w:t>annual progress report</w:t>
      </w:r>
      <w:r w:rsidRPr="00434F8A" w:rsidR="00A43983">
        <w:t>ing re</w:t>
      </w:r>
      <w:r w:rsidRPr="00434F8A" w:rsidR="00434F8A">
        <w:t>quirements which are</w:t>
      </w:r>
      <w:r w:rsidRPr="00434F8A" w:rsidR="008F71CE">
        <w:t xml:space="preserve"> due 120 days before the end of the budget period and </w:t>
      </w:r>
      <w:r w:rsidRPr="00434F8A" w:rsidR="008F71CE">
        <w:t>serves</w:t>
      </w:r>
      <w:r w:rsidRPr="00434F8A" w:rsidR="008F71CE">
        <w:t xml:space="preserve"> as a non-competing continuation application. </w:t>
      </w:r>
      <w:r w:rsidRPr="00A02B97" w:rsidR="008F71CE">
        <w:t xml:space="preserve">Less frequent reporting would undermine accountability efforts at all levels and negatively impact monitoring awardee progress. </w:t>
      </w:r>
    </w:p>
    <w:p w:rsidR="007702F8" w:rsidP="009F388F" w14:paraId="2F310326" w14:textId="77777777"/>
    <w:p w:rsidR="007702F8" w:rsidP="009F388F" w14:paraId="7B53BE6A" w14:textId="49013762">
      <w:r>
        <w:t>Syndromic surveillance report</w:t>
      </w:r>
      <w:r w:rsidR="00FA4072">
        <w:t xml:space="preserve">s </w:t>
      </w:r>
      <w:r>
        <w:t>will be collected on a quarterly basis</w:t>
      </w:r>
      <w:r w:rsidR="00881465">
        <w:t xml:space="preserve"> due to the timely</w:t>
      </w:r>
      <w:r w:rsidR="00FA4072">
        <w:t xml:space="preserve"> </w:t>
      </w:r>
      <w:r w:rsidR="00B852D2">
        <w:t>availability</w:t>
      </w:r>
      <w:r w:rsidR="00FA4072">
        <w:t xml:space="preserve"> of the </w:t>
      </w:r>
      <w:r w:rsidR="00DE2CD0">
        <w:t xml:space="preserve">near real-time </w:t>
      </w:r>
      <w:r w:rsidR="00FA4072">
        <w:t>data</w:t>
      </w:r>
      <w:r w:rsidR="00DE2CD0">
        <w:t xml:space="preserve">. </w:t>
      </w:r>
      <w:r w:rsidR="00332471">
        <w:t>As this data changes rapidly,</w:t>
      </w:r>
      <w:r w:rsidR="005B6A63">
        <w:t xml:space="preserve"> less frequent reporting </w:t>
      </w:r>
      <w:r w:rsidR="00386E4B">
        <w:t xml:space="preserve">would </w:t>
      </w:r>
      <w:r w:rsidR="00041D7A">
        <w:t>negatively impact monitoring awardee</w:t>
      </w:r>
      <w:r w:rsidR="00785F5A">
        <w:t xml:space="preserve"> and partner</w:t>
      </w:r>
      <w:r w:rsidR="00041D7A">
        <w:t xml:space="preserve"> progress towards </w:t>
      </w:r>
      <w:r w:rsidR="00AA383D">
        <w:t>regularly</w:t>
      </w:r>
      <w:r w:rsidR="00BA0C75">
        <w:t xml:space="preserve"> utilizing </w:t>
      </w:r>
      <w:r w:rsidR="00EC2403">
        <w:t xml:space="preserve">vital </w:t>
      </w:r>
      <w:r w:rsidR="0023042F">
        <w:t xml:space="preserve">information to prevent suicide. </w:t>
      </w:r>
      <w:r w:rsidR="00067E4B">
        <w:t xml:space="preserve">Quarterly reporting ensures CDC is apprised of </w:t>
      </w:r>
      <w:r w:rsidR="00C800F6">
        <w:t>tren</w:t>
      </w:r>
      <w:r w:rsidR="00B04C8C">
        <w:t>ds</w:t>
      </w:r>
      <w:r w:rsidR="007A1A02">
        <w:t xml:space="preserve"> in</w:t>
      </w:r>
      <w:r w:rsidR="005F17B9">
        <w:t xml:space="preserve"> suicide related</w:t>
      </w:r>
      <w:r w:rsidR="007A1A02">
        <w:t xml:space="preserve"> emergency department </w:t>
      </w:r>
      <w:r w:rsidR="005F17B9">
        <w:t xml:space="preserve">visit </w:t>
      </w:r>
      <w:r w:rsidR="007A1A02">
        <w:t xml:space="preserve">data </w:t>
      </w:r>
      <w:r w:rsidR="005F17B9">
        <w:t>within jurisdictions</w:t>
      </w:r>
      <w:r w:rsidR="00CB3F29">
        <w:t>.</w:t>
      </w:r>
    </w:p>
    <w:p w:rsidR="00CB3F29" w:rsidP="009F388F" w14:paraId="1577EE22" w14:textId="77777777"/>
    <w:p w:rsidR="00CB3F29" w:rsidP="00CB3F29" w14:paraId="7D8963F0" w14:textId="31942722">
      <w:r w:rsidRPr="00A02B97">
        <w:t xml:space="preserve">The annual </w:t>
      </w:r>
      <w:r>
        <w:t xml:space="preserve">and quarterly </w:t>
      </w:r>
      <w:r w:rsidRPr="00A02B97">
        <w:t>reporting schedule</w:t>
      </w:r>
      <w:r>
        <w:t>s</w:t>
      </w:r>
      <w:r w:rsidRPr="00A02B97">
        <w:t xml:space="preserve"> ensure that</w:t>
      </w:r>
      <w:r w:rsidRPr="008F71CE">
        <w:t xml:space="preserve"> CDC respon</w:t>
      </w:r>
      <w:r>
        <w:t>d</w:t>
      </w:r>
      <w:r w:rsidRPr="008F71CE">
        <w:t xml:space="preserve">s to inquiries from HHS, the White House, Congress and other </w:t>
      </w:r>
      <w:r>
        <w:t>interest-holder</w:t>
      </w:r>
      <w:r w:rsidRPr="008F71CE">
        <w:t>s are based on timely and up-to-date information</w:t>
      </w:r>
      <w:r>
        <w:t>.</w:t>
      </w:r>
      <w:r>
        <w:rPr>
          <w:color w:val="000000" w:themeColor="text1"/>
        </w:rPr>
        <w:t xml:space="preserve"> </w:t>
      </w:r>
      <w:r w:rsidRPr="009E0425">
        <w:t>Typical inquiries involve requests for specific details on</w:t>
      </w:r>
      <w:r>
        <w:t xml:space="preserve"> project activities</w:t>
      </w:r>
      <w:r w:rsidRPr="009E0425">
        <w:t xml:space="preserve"> and what successes</w:t>
      </w:r>
      <w:r>
        <w:t xml:space="preserve"> have been achieved by grantees.</w:t>
      </w:r>
    </w:p>
    <w:p w:rsidR="008F71CE" w:rsidRPr="008F71CE" w:rsidP="008F71CE" w14:paraId="74F59325" w14:textId="4BAE83BF">
      <w:pPr>
        <w:autoSpaceDE w:val="0"/>
        <w:autoSpaceDN w:val="0"/>
        <w:adjustRightInd w:val="0"/>
      </w:pPr>
    </w:p>
    <w:p w:rsidR="008F71CE" w:rsidRPr="00691454" w:rsidP="00972DEF" w14:paraId="30096F0A" w14:textId="77777777">
      <w:pPr>
        <w:autoSpaceDE w:val="0"/>
        <w:autoSpaceDN w:val="0"/>
        <w:adjustRightInd w:val="0"/>
      </w:pPr>
    </w:p>
    <w:p w:rsidR="00972DEF" w:rsidRPr="00691454" w:rsidP="00972DEF" w14:paraId="40822331"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972DEF" w:rsidRPr="00691454" w:rsidP="00972DEF" w14:paraId="40822332" w14:textId="77777777">
      <w:pPr>
        <w:autoSpaceDE w:val="0"/>
        <w:autoSpaceDN w:val="0"/>
        <w:adjustRightInd w:val="0"/>
      </w:pPr>
    </w:p>
    <w:p w:rsidR="00972DEF" w:rsidRPr="00691454" w:rsidP="00972DEF" w14:paraId="40822333" w14:textId="77777777">
      <w:pPr>
        <w:pStyle w:val="SL-FlLftSgl"/>
      </w:pPr>
      <w:r w:rsidRPr="00691454">
        <w:t xml:space="preserve">The request fully complies with </w:t>
      </w:r>
      <w:r w:rsidRPr="00691454">
        <w:t>the regulation</w:t>
      </w:r>
      <w:r w:rsidRPr="00691454">
        <w:t xml:space="preserve"> 5 CFR 1320.5. </w:t>
      </w:r>
    </w:p>
    <w:p w:rsidR="00972DEF" w:rsidRPr="00691454" w:rsidP="00972DEF" w14:paraId="40822334" w14:textId="77777777">
      <w:pPr>
        <w:autoSpaceDE w:val="0"/>
        <w:autoSpaceDN w:val="0"/>
        <w:adjustRightInd w:val="0"/>
      </w:pPr>
    </w:p>
    <w:p w:rsidR="00972DEF" w:rsidRPr="00691454" w:rsidP="00972DEF" w14:paraId="40822335"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40822336" w14:textId="77777777">
      <w:pPr>
        <w:autoSpaceDE w:val="0"/>
        <w:autoSpaceDN w:val="0"/>
        <w:adjustRightInd w:val="0"/>
      </w:pPr>
    </w:p>
    <w:p w:rsidR="00405CC1" w:rsidP="00972DEF" w14:paraId="40822337" w14:textId="77777777">
      <w:pPr>
        <w:rPr>
          <w:noProof/>
        </w:rPr>
      </w:pPr>
      <w:r w:rsidRPr="00691454">
        <w:rPr>
          <w:b/>
        </w:rPr>
        <w:t>A.8.a)</w:t>
      </w:r>
      <w:r w:rsidRPr="00691454">
        <w:tab/>
      </w:r>
      <w:r w:rsidRPr="00691454" w:rsidR="0049057C">
        <w:rPr>
          <w:noProof/>
        </w:rPr>
        <w:t>Federal Register Notice</w:t>
      </w:r>
    </w:p>
    <w:p w:rsidR="00FB1045" w:rsidRPr="00616D20" w:rsidP="00FB1045" w14:paraId="40822338" w14:textId="2BDA6894">
      <w:r w:rsidRPr="00616D20">
        <w:t>A 60-day Federal Register Notice was published in the Federal Register on</w:t>
      </w:r>
      <w:r w:rsidR="00662BBF">
        <w:t xml:space="preserve"> </w:t>
      </w:r>
      <w:r w:rsidR="00677C61">
        <w:t>June 16, 2025</w:t>
      </w:r>
      <w:r w:rsidRPr="00616D20">
        <w:t xml:space="preserve">, </w:t>
      </w:r>
      <w:r w:rsidR="00662BBF">
        <w:t>V</w:t>
      </w:r>
      <w:r w:rsidRPr="009D41F1">
        <w:t xml:space="preserve">ol. </w:t>
      </w:r>
      <w:r w:rsidR="00677C61">
        <w:t>90</w:t>
      </w:r>
      <w:r w:rsidR="008327DC">
        <w:t>, No.</w:t>
      </w:r>
      <w:r w:rsidR="00951C24">
        <w:t>1</w:t>
      </w:r>
      <w:r w:rsidR="00677C61">
        <w:t>1</w:t>
      </w:r>
      <w:r w:rsidR="00232908">
        <w:t>4</w:t>
      </w:r>
      <w:r w:rsidRPr="009D41F1">
        <w:t xml:space="preserve">, pp. </w:t>
      </w:r>
      <w:r w:rsidR="00677C61">
        <w:t>25288-9</w:t>
      </w:r>
      <w:r w:rsidRPr="00B20C1E" w:rsidR="00677C61">
        <w:t xml:space="preserve"> </w:t>
      </w:r>
      <w:r w:rsidRPr="00B20C1E">
        <w:t>(</w:t>
      </w:r>
      <w:r w:rsidRPr="00616D20">
        <w:t>Attachment B</w:t>
      </w:r>
      <w:r w:rsidRPr="007C55E5">
        <w:t xml:space="preserve">). </w:t>
      </w:r>
      <w:r w:rsidRPr="002B18E9" w:rsidR="00B20C1E">
        <w:t xml:space="preserve">CDC </w:t>
      </w:r>
      <w:r w:rsidRPr="002B18E9" w:rsidR="00951C24">
        <w:t>received</w:t>
      </w:r>
      <w:r w:rsidRPr="002B18E9" w:rsidR="00E959CF">
        <w:t xml:space="preserve"> no </w:t>
      </w:r>
      <w:r w:rsidRPr="002B18E9" w:rsidR="00B20C1E">
        <w:t xml:space="preserve">public </w:t>
      </w:r>
      <w:r w:rsidRPr="002B18E9">
        <w:t xml:space="preserve">comments </w:t>
      </w:r>
      <w:r w:rsidRPr="002B18E9" w:rsidR="00232908">
        <w:t>on</w:t>
      </w:r>
      <w:r w:rsidRPr="002B18E9">
        <w:t xml:space="preserve"> the </w:t>
      </w:r>
      <w:r w:rsidRPr="002B18E9" w:rsidR="003F647A">
        <w:t xml:space="preserve">60-day Federal Register </w:t>
      </w:r>
      <w:r w:rsidRPr="002B18E9" w:rsidR="00662BBF">
        <w:t>Notice.</w:t>
      </w:r>
    </w:p>
    <w:p w:rsidR="00405CC1" w:rsidRPr="00691454" w:rsidP="00972DEF" w14:paraId="40822339" w14:textId="77777777"/>
    <w:p w:rsidR="00972DEF" w:rsidRPr="00D54865" w:rsidP="00972DEF" w14:paraId="4082233A" w14:textId="77777777">
      <w:pPr>
        <w:rPr>
          <w:b/>
        </w:rPr>
      </w:pPr>
      <w:r w:rsidRPr="00691454">
        <w:rPr>
          <w:b/>
        </w:rPr>
        <w:t>A.8.b)</w:t>
      </w:r>
      <w:r w:rsidRPr="00D54865">
        <w:rPr>
          <w:b/>
        </w:rPr>
        <w:t xml:space="preserve"> </w:t>
      </w:r>
      <w:r w:rsidRPr="00D54865" w:rsidR="0049057C">
        <w:rPr>
          <w:b/>
        </w:rPr>
        <w:t>Efforts to Consult Outside the Agency</w:t>
      </w:r>
    </w:p>
    <w:p w:rsidR="00D54865" w:rsidP="00972DEF" w14:paraId="601366F0" w14:textId="77777777">
      <w:pPr>
        <w:rPr>
          <w:noProof/>
        </w:rPr>
      </w:pPr>
    </w:p>
    <w:p w:rsidR="006C408F" w:rsidP="00045AFB" w14:paraId="2E6A8EFB" w14:textId="46AE3A8C">
      <w:pPr>
        <w:rPr>
          <w:noProof/>
        </w:rPr>
      </w:pPr>
      <w:r>
        <w:rPr>
          <w:noProof/>
        </w:rPr>
        <w:t xml:space="preserve">The </w:t>
      </w:r>
      <w:r w:rsidR="00902D17">
        <w:rPr>
          <w:noProof/>
        </w:rPr>
        <w:t>Partners’ Portal</w:t>
      </w:r>
      <w:r>
        <w:rPr>
          <w:noProof/>
        </w:rPr>
        <w:t xml:space="preserve"> was designed collaboratively by CDC staff and selected contractors. Consultation will continue throughout the implementation process.  </w:t>
      </w:r>
      <w:r w:rsidR="00045AFB">
        <w:rPr>
          <w:noProof/>
        </w:rPr>
        <w:t xml:space="preserve">The </w:t>
      </w:r>
      <w:r w:rsidR="00902D17">
        <w:rPr>
          <w:noProof/>
        </w:rPr>
        <w:t>Partners’ Portal</w:t>
      </w:r>
      <w:r w:rsidR="00045AFB">
        <w:rPr>
          <w:noProof/>
        </w:rPr>
        <w:t xml:space="preserve"> is an existing tool currently used for performance monitoring across multiple NCIPC programs. Ongoing quality assurance practices include seeking partner feedback (both internally and externally) on </w:t>
      </w:r>
      <w:r w:rsidR="00902D17">
        <w:rPr>
          <w:noProof/>
        </w:rPr>
        <w:t>Partners’ Portal</w:t>
      </w:r>
      <w:r w:rsidR="00045AFB">
        <w:rPr>
          <w:noProof/>
        </w:rPr>
        <w:t xml:space="preserve"> ease of use. </w:t>
      </w:r>
    </w:p>
    <w:p w:rsidR="00FE41B7" w:rsidP="00C45252" w14:paraId="4082233B" w14:textId="77777777">
      <w:pPr>
        <w:rPr>
          <w:b/>
          <w:bCs/>
        </w:rPr>
      </w:pPr>
    </w:p>
    <w:p w:rsidR="005F45C6" w:rsidP="005F45C6" w14:paraId="35B2280E" w14:textId="05B39093">
      <w:pPr>
        <w:rPr>
          <w:noProof/>
        </w:rPr>
      </w:pPr>
      <w:r w:rsidRPr="0EC99842">
        <w:rPr>
          <w:noProof/>
        </w:rPr>
        <w:t xml:space="preserve">The </w:t>
      </w:r>
      <w:r w:rsidRPr="0EC99842" w:rsidR="00306943">
        <w:rPr>
          <w:noProof/>
        </w:rPr>
        <w:t xml:space="preserve">Syndromic Surveillance Quarterly Report </w:t>
      </w:r>
      <w:r w:rsidRPr="0EC99842">
        <w:rPr>
          <w:noProof/>
        </w:rPr>
        <w:t>excel sheet template was designed collaboratively by CDC and repres</w:t>
      </w:r>
      <w:r w:rsidRPr="0EC99842" w:rsidR="5DA64828">
        <w:rPr>
          <w:noProof/>
        </w:rPr>
        <w:t>e</w:t>
      </w:r>
      <w:r w:rsidRPr="0EC99842">
        <w:rPr>
          <w:noProof/>
        </w:rPr>
        <w:t>ntatives from state and local health departments</w:t>
      </w:r>
      <w:r w:rsidRPr="0EC99842" w:rsidR="00370407">
        <w:rPr>
          <w:noProof/>
        </w:rPr>
        <w:t xml:space="preserve"> as part of the </w:t>
      </w:r>
      <w:r w:rsidRPr="0EC99842" w:rsidR="00274136">
        <w:rPr>
          <w:noProof/>
        </w:rPr>
        <w:t>Emergency Department Surveillance of Nonfatal Suicide-Related Outcomes (ED-SNSRO) cooperative agreement</w:t>
      </w:r>
      <w:r w:rsidRPr="0EC99842" w:rsidR="003663BB">
        <w:rPr>
          <w:noProof/>
        </w:rPr>
        <w:t xml:space="preserve">. </w:t>
      </w:r>
      <w:r w:rsidRPr="0EC99842" w:rsidR="00944CAC">
        <w:rPr>
          <w:noProof/>
        </w:rPr>
        <w:t xml:space="preserve">Upon the </w:t>
      </w:r>
      <w:r w:rsidRPr="0EC99842" w:rsidR="0023767C">
        <w:rPr>
          <w:noProof/>
        </w:rPr>
        <w:t xml:space="preserve">end </w:t>
      </w:r>
      <w:r w:rsidRPr="0EC99842" w:rsidR="005E54F7">
        <w:rPr>
          <w:noProof/>
        </w:rPr>
        <w:t xml:space="preserve">of the cooperative agreement, </w:t>
      </w:r>
      <w:r w:rsidRPr="0EC99842" w:rsidR="00306943">
        <w:rPr>
          <w:noProof/>
        </w:rPr>
        <w:t>th</w:t>
      </w:r>
      <w:r w:rsidRPr="0EC99842" w:rsidR="00191871">
        <w:rPr>
          <w:noProof/>
        </w:rPr>
        <w:t xml:space="preserve">e template was </w:t>
      </w:r>
      <w:r w:rsidRPr="0EC99842" w:rsidR="40CFA127">
        <w:rPr>
          <w:noProof/>
        </w:rPr>
        <w:t>adapted</w:t>
      </w:r>
      <w:r w:rsidRPr="0EC99842" w:rsidR="00191871">
        <w:rPr>
          <w:noProof/>
        </w:rPr>
        <w:t xml:space="preserve"> for use in the CSP program.</w:t>
      </w:r>
      <w:r w:rsidRPr="0EC99842" w:rsidR="00EF37FE">
        <w:rPr>
          <w:noProof/>
        </w:rPr>
        <w:t xml:space="preserve"> </w:t>
      </w:r>
    </w:p>
    <w:p w:rsidR="002E7B37" w:rsidP="00C45252" w14:paraId="6F789C3A" w14:textId="77777777">
      <w:pPr>
        <w:rPr>
          <w:b/>
          <w:bCs/>
        </w:rPr>
      </w:pPr>
    </w:p>
    <w:p w:rsidR="00972DEF" w:rsidP="00C45252" w14:paraId="4082233C" w14:textId="23639783">
      <w:pPr>
        <w:rPr>
          <w:b/>
          <w:bCs/>
        </w:rPr>
      </w:pPr>
      <w:r w:rsidRPr="00691454">
        <w:rPr>
          <w:b/>
          <w:bCs/>
        </w:rPr>
        <w:t xml:space="preserve">A.9. </w:t>
      </w:r>
      <w:r w:rsidRPr="00691454">
        <w:rPr>
          <w:b/>
          <w:bCs/>
        </w:rPr>
        <w:tab/>
        <w:t xml:space="preserve">Explanation of Any Payment or Gift to Respondents </w:t>
      </w:r>
    </w:p>
    <w:p w:rsidR="00E51BF2" w:rsidRPr="00691454" w:rsidP="00C45252" w14:paraId="3EB84712" w14:textId="77777777">
      <w:pPr>
        <w:rPr>
          <w:b/>
          <w:bCs/>
        </w:rPr>
      </w:pPr>
    </w:p>
    <w:p w:rsidR="00E51BF2" w:rsidRPr="00E51BF2" w:rsidP="00E51BF2" w14:paraId="1C5C9EA5" w14:textId="77777777">
      <w:pPr>
        <w:autoSpaceDE w:val="0"/>
        <w:autoSpaceDN w:val="0"/>
        <w:adjustRightInd w:val="0"/>
      </w:pPr>
      <w:r w:rsidRPr="00E51BF2">
        <w:t xml:space="preserve">Respondents will not receive payments or gifts for providing information.  </w:t>
      </w:r>
    </w:p>
    <w:p w:rsidR="00972DEF" w:rsidRPr="00691454" w:rsidP="00972DEF" w14:paraId="4082233D" w14:textId="77777777">
      <w:pPr>
        <w:autoSpaceDE w:val="0"/>
        <w:autoSpaceDN w:val="0"/>
        <w:adjustRightInd w:val="0"/>
        <w:rPr>
          <w:b/>
          <w:bCs/>
        </w:rPr>
      </w:pPr>
    </w:p>
    <w:p w:rsidR="008A1A86" w:rsidRPr="00691454" w:rsidP="00053C31" w14:paraId="4082233F" w14:textId="6FBF20E7">
      <w:pPr>
        <w:autoSpaceDE w:val="0"/>
        <w:autoSpaceDN w:val="0"/>
        <w:adjustRightInd w:val="0"/>
      </w:pPr>
      <w:r w:rsidRPr="00691454">
        <w:rPr>
          <w:b/>
          <w:bCs/>
        </w:rPr>
        <w:t xml:space="preserve">A.10. </w:t>
      </w:r>
      <w:r w:rsidRPr="00691454">
        <w:rPr>
          <w:b/>
          <w:bCs/>
        </w:rPr>
        <w:tab/>
      </w:r>
      <w:r w:rsidRPr="00053C31" w:rsidR="00053C31">
        <w:rPr>
          <w:b/>
          <w:bCs/>
        </w:rPr>
        <w:t xml:space="preserve">Protection of </w:t>
      </w:r>
      <w:r w:rsidRPr="00053C31" w:rsidR="00053C31">
        <w:rPr>
          <w:b/>
          <w:bCs/>
        </w:rPr>
        <w:t>the</w:t>
      </w:r>
      <w:r w:rsidR="007745C3">
        <w:rPr>
          <w:b/>
          <w:bCs/>
        </w:rPr>
        <w:t xml:space="preserve"> </w:t>
      </w:r>
      <w:r w:rsidRPr="00053C31" w:rsidR="00053C31">
        <w:rPr>
          <w:b/>
          <w:bCs/>
        </w:rPr>
        <w:t>Privacy</w:t>
      </w:r>
      <w:r w:rsidRPr="00053C31" w:rsidR="00053C31">
        <w:rPr>
          <w:b/>
          <w:bCs/>
        </w:rPr>
        <w:t xml:space="preserve"> and Confidentiality</w:t>
      </w:r>
      <w:r w:rsidR="007745C3">
        <w:rPr>
          <w:b/>
          <w:bCs/>
        </w:rPr>
        <w:t xml:space="preserve"> </w:t>
      </w:r>
      <w:r w:rsidRPr="00053C31" w:rsidR="00053C31">
        <w:rPr>
          <w:b/>
          <w:bCs/>
        </w:rPr>
        <w:t>of</w:t>
      </w:r>
      <w:r w:rsidR="007745C3">
        <w:rPr>
          <w:b/>
          <w:bCs/>
        </w:rPr>
        <w:t xml:space="preserve"> </w:t>
      </w:r>
      <w:r w:rsidRPr="00053C31" w:rsidR="00053C31">
        <w:rPr>
          <w:b/>
          <w:bCs/>
        </w:rPr>
        <w:t xml:space="preserve">Information Provided </w:t>
      </w:r>
      <w:r w:rsidRPr="00053C31" w:rsidR="003F0843">
        <w:rPr>
          <w:b/>
          <w:bCs/>
        </w:rPr>
        <w:t>by Respondents</w:t>
      </w:r>
    </w:p>
    <w:p w:rsidR="00972DEF" w:rsidP="00972DEF" w14:paraId="40822340" w14:textId="77777777"/>
    <w:p w:rsidR="00E51BF2" w:rsidRPr="00E51BF2" w:rsidP="00E51BF2" w14:paraId="4A29674A" w14:textId="54F9B5CC">
      <w:bookmarkStart w:id="3" w:name="_Hlk207266470"/>
      <w:r w:rsidRPr="005C212A">
        <w:t>Th</w:t>
      </w:r>
      <w:r w:rsidRPr="00F729E0">
        <w:t>e NCIPC-CIO</w:t>
      </w:r>
      <w:r w:rsidRPr="005C212A">
        <w:t xml:space="preserve"> has d</w:t>
      </w:r>
      <w:r w:rsidRPr="00507336">
        <w:t xml:space="preserve">etermined that the Privacy Act does not apply for this information collection </w:t>
      </w:r>
      <w:r w:rsidRPr="00507336" w:rsidR="006F3378">
        <w:t>request</w:t>
      </w:r>
      <w:r w:rsidR="006F3378">
        <w:t>.</w:t>
      </w:r>
      <w:r w:rsidRPr="00507336">
        <w:t xml:space="preserve"> </w:t>
      </w:r>
      <w:r w:rsidR="00F010DF">
        <w:t>There have been no changes to the previously approved P</w:t>
      </w:r>
      <w:r w:rsidR="00BE1D46">
        <w:t>T</w:t>
      </w:r>
      <w:r w:rsidR="00F010DF">
        <w:t>A</w:t>
      </w:r>
      <w:r w:rsidR="00BE1D46">
        <w:t xml:space="preserve">/PIA.  NCIPC is currently pursuing approval for a renewed PTA/PIA and will submit the PTA/PIA for inclusion in the PRA package once it is received. </w:t>
      </w:r>
      <w:r w:rsidRPr="00E51BF2">
        <w:t xml:space="preserve">Respondents are cooperative agreement </w:t>
      </w:r>
      <w:r w:rsidR="00902D17">
        <w:t>recipients</w:t>
      </w:r>
      <w:r w:rsidRPr="00E51BF2">
        <w:t xml:space="preserve">.  No </w:t>
      </w:r>
      <w:r w:rsidRPr="00E51BF2">
        <w:t xml:space="preserve">personal contact information will be collected.  </w:t>
      </w:r>
      <w:bookmarkEnd w:id="3"/>
      <w:r w:rsidRPr="00E51BF2">
        <w:t xml:space="preserve">All data will be reported in aggregate form, with no identifying information included.  Because data are maintained in a secure, password protected system, and information will be reported in aggregate form, there is no impact on respondent privacy. Key program staff will provide information related to programmatic improvement and they will be notified that their responses </w:t>
      </w:r>
      <w:r w:rsidRPr="00E51BF2">
        <w:t>on</w:t>
      </w:r>
      <w:r w:rsidRPr="00E51BF2">
        <w:t xml:space="preserve"> the electronic information system will be treated in a secure manner. Staff identifiers will not be used in any progress reports. The information collection does not require consent from individuals. All procedures have been developed, in accordance with federal, state, and local guidelines, to ensure that the rights and privacy of key </w:t>
      </w:r>
      <w:r w:rsidR="00902D17">
        <w:t>recipients</w:t>
      </w:r>
      <w:r w:rsidRPr="00E51BF2">
        <w:t>’ program staff (</w:t>
      </w:r>
      <w:r w:rsidRPr="00E51BF2" w:rsidR="008327DC">
        <w:t>e.g.,</w:t>
      </w:r>
      <w:r w:rsidRPr="00E51BF2">
        <w:t xml:space="preserve"> program director) will be protected and maintained. </w:t>
      </w:r>
    </w:p>
    <w:p w:rsidR="00E51BF2" w:rsidRPr="00E51BF2" w:rsidP="00E51BF2" w14:paraId="316C4EAF" w14:textId="77777777"/>
    <w:p w:rsidR="00E51BF2" w:rsidRPr="00E51BF2" w:rsidP="00E51BF2" w14:paraId="23137062" w14:textId="2F328F64">
      <w:r w:rsidRPr="00E51BF2">
        <w:t xml:space="preserve">While consent is not required to report aggregate data, awardee approval will be obtained if specific </w:t>
      </w:r>
      <w:r w:rsidR="057E2D24">
        <w:t>recipient</w:t>
      </w:r>
      <w:r w:rsidRPr="00E51BF2">
        <w:t xml:space="preserve"> data is used for publications, reports, or other publicly disseminated information. </w:t>
      </w:r>
      <w:bookmarkStart w:id="4" w:name="_Hlk207270920"/>
      <w:r w:rsidRPr="00E51BF2">
        <w:t xml:space="preserve">Respondents are </w:t>
      </w:r>
      <w:r w:rsidR="006F3378">
        <w:t>24</w:t>
      </w:r>
      <w:r w:rsidR="0CF627BD">
        <w:t xml:space="preserve"> </w:t>
      </w:r>
      <w:r w:rsidRPr="00E51BF2">
        <w:t>state</w:t>
      </w:r>
      <w:r w:rsidR="006F3378">
        <w:t>, local, and territorial health departments</w:t>
      </w:r>
      <w:r w:rsidRPr="00E51BF2">
        <w:t xml:space="preserve"> </w:t>
      </w:r>
      <w:r w:rsidR="056A57ED">
        <w:t xml:space="preserve">and </w:t>
      </w:r>
      <w:r w:rsidR="006F3378">
        <w:t>3</w:t>
      </w:r>
      <w:r w:rsidR="056A57ED">
        <w:t xml:space="preserve"> universit</w:t>
      </w:r>
      <w:r w:rsidR="006F3378">
        <w:t>ies</w:t>
      </w:r>
      <w:bookmarkEnd w:id="4"/>
      <w:r>
        <w:t>.</w:t>
      </w:r>
      <w:r w:rsidRPr="00E51BF2">
        <w:t xml:space="preserve"> Although contact information is obtained for each awardee, the contact person provides information about the organization, not personal information.  No system of records will be created under the Privacy Act. Submission and access to </w:t>
      </w:r>
      <w:r w:rsidR="2C1B5359">
        <w:t>recipient</w:t>
      </w:r>
      <w:r w:rsidRPr="00E51BF2">
        <w:t xml:space="preserve"> data will be controlled by </w:t>
      </w:r>
      <w:r w:rsidRPr="00E51BF2">
        <w:t>a password</w:t>
      </w:r>
      <w:r w:rsidRPr="00E51BF2">
        <w:t xml:space="preserve">-protected login to the secure </w:t>
      </w:r>
      <w:r w:rsidR="00902D17">
        <w:t>Partners’ Portal</w:t>
      </w:r>
      <w:r w:rsidRPr="00E51BF2">
        <w:t xml:space="preserve">. Access levels vary from read-only to read-write, based on the user’s role and needs. CDC staff, and evaluation contractors will have varying levels of access to the system with role-appropriate security training, based on the requirements of their position(s).  Aggregated information will be stored on an internal CDC Access server subject to CDC’s information security guidelines.  </w:t>
      </w:r>
    </w:p>
    <w:p w:rsidR="007503A7" w:rsidRPr="00691454" w:rsidP="00972DEF" w14:paraId="40822342" w14:textId="55D90422"/>
    <w:p w:rsidR="006F124C" w:rsidP="00972DEF" w14:paraId="608A2121" w14:textId="77777777">
      <w:pPr>
        <w:rPr>
          <w:b/>
          <w:bCs/>
        </w:rPr>
      </w:pPr>
    </w:p>
    <w:p w:rsidR="00972DEF" w:rsidP="00972DEF" w14:paraId="40822343" w14:textId="67F5ECCB">
      <w:pPr>
        <w:rPr>
          <w:b/>
          <w:bCs/>
        </w:rPr>
      </w:pPr>
      <w:r w:rsidRPr="00691454">
        <w:rPr>
          <w:b/>
          <w:bCs/>
        </w:rPr>
        <w:t>A.11.</w:t>
      </w:r>
      <w:r w:rsidRPr="00691454">
        <w:rPr>
          <w:b/>
          <w:bCs/>
        </w:rPr>
        <w:tab/>
      </w:r>
      <w:r w:rsidRPr="00CA5DC1" w:rsidR="00CA5DC1">
        <w:rPr>
          <w:b/>
          <w:bCs/>
        </w:rPr>
        <w:t>Institutional Review Board (IRB) and Justification for Sensitive Questions</w:t>
      </w:r>
      <w:r w:rsidRPr="00691454">
        <w:rPr>
          <w:b/>
          <w:bCs/>
        </w:rPr>
        <w:tab/>
      </w:r>
    </w:p>
    <w:p w:rsidR="0073187D" w:rsidP="00972DEF" w14:paraId="40822344" w14:textId="77777777">
      <w:pPr>
        <w:rPr>
          <w:b/>
          <w:bCs/>
        </w:rPr>
      </w:pPr>
    </w:p>
    <w:p w:rsidR="0073187D" w:rsidRPr="00691454" w:rsidP="0073187D" w14:paraId="40822345" w14:textId="77777777">
      <w:pPr>
        <w:rPr>
          <w:b/>
        </w:rPr>
      </w:pPr>
      <w:r w:rsidRPr="00691454">
        <w:rPr>
          <w:b/>
        </w:rPr>
        <w:t>IRB Approval</w:t>
      </w:r>
    </w:p>
    <w:p w:rsidR="0073187D" w:rsidP="00972DEF" w14:paraId="40822347" w14:textId="2F0DAB3B"/>
    <w:p w:rsidR="00E51BF2" w:rsidRPr="00E51BF2" w:rsidP="00E51BF2" w14:paraId="070E41C4" w14:textId="6042BE80">
      <w:r w:rsidRPr="00E51BF2">
        <w:t>The CDC National Center for Injury Prevention and Control’s OMB and human subject’s liaison has determined that IRB approval is not needed</w:t>
      </w:r>
      <w:r w:rsidR="00923F36">
        <w:t xml:space="preserve"> for this non-research collection (</w:t>
      </w:r>
      <w:r w:rsidRPr="00161DBC" w:rsidR="00923F36">
        <w:t>Attachment C</w:t>
      </w:r>
      <w:r w:rsidR="00923F36">
        <w:t>)</w:t>
      </w:r>
      <w:r w:rsidRPr="00507336" w:rsidR="00923F36">
        <w:t>.</w:t>
      </w:r>
      <w:r w:rsidRPr="00E51BF2">
        <w:t xml:space="preserve"> No personal information will be collected</w:t>
      </w:r>
      <w:r w:rsidRPr="00E51BF2" w:rsidR="00212B38">
        <w:t>,</w:t>
      </w:r>
      <w:r w:rsidRPr="00E51BF2">
        <w:t xml:space="preserve"> and human participants will not be used</w:t>
      </w:r>
      <w:r w:rsidR="00C83043">
        <w:t>.</w:t>
      </w:r>
    </w:p>
    <w:p w:rsidR="00E51BF2" w:rsidRPr="00691454" w:rsidP="00972DEF" w14:paraId="3A6EB287" w14:textId="77777777">
      <w:pPr>
        <w:rPr>
          <w:b/>
          <w:bCs/>
        </w:rPr>
      </w:pPr>
    </w:p>
    <w:p w:rsidR="00633833" w:rsidP="00633833" w14:paraId="44AF95EF" w14:textId="77777777">
      <w:pPr>
        <w:rPr>
          <w:b/>
          <w:bCs/>
        </w:rPr>
      </w:pPr>
      <w:r w:rsidRPr="00CA5DC1">
        <w:rPr>
          <w:b/>
          <w:bCs/>
        </w:rPr>
        <w:t>Sensitive Questions</w:t>
      </w:r>
      <w:r>
        <w:rPr>
          <w:b/>
          <w:bCs/>
        </w:rPr>
        <w:t xml:space="preserve"> </w:t>
      </w:r>
    </w:p>
    <w:p w:rsidR="00633833" w:rsidRPr="00E53EEA" w:rsidP="00633833" w14:paraId="602EF6D7" w14:textId="767013AC">
      <w:r w:rsidRPr="00E53EEA">
        <w:t xml:space="preserve">The proposed tools do not collect sensitive information. </w:t>
      </w:r>
    </w:p>
    <w:p w:rsidR="00CA5DC1" w:rsidRPr="00691454" w:rsidP="00972DEF" w14:paraId="40822349" w14:textId="77777777"/>
    <w:p w:rsidR="006F124C" w:rsidP="00972DEF" w14:paraId="61B49646" w14:textId="77777777">
      <w:pPr>
        <w:autoSpaceDE w:val="0"/>
        <w:autoSpaceDN w:val="0"/>
        <w:adjustRightInd w:val="0"/>
        <w:rPr>
          <w:b/>
          <w:bCs/>
        </w:rPr>
      </w:pPr>
    </w:p>
    <w:p w:rsidR="00972DEF" w:rsidRPr="00691454" w:rsidP="00972DEF" w14:paraId="4082234A" w14:textId="210F441B">
      <w:pPr>
        <w:autoSpaceDE w:val="0"/>
        <w:autoSpaceDN w:val="0"/>
        <w:adjustRightInd w:val="0"/>
      </w:pPr>
      <w:r w:rsidRPr="003D55C0">
        <w:rPr>
          <w:b/>
          <w:bCs/>
        </w:rPr>
        <w:t xml:space="preserve">A.12. </w:t>
      </w:r>
      <w:r w:rsidRPr="003D55C0">
        <w:rPr>
          <w:b/>
          <w:bCs/>
        </w:rPr>
        <w:tab/>
        <w:t>Estimates of Annualized Burden Hours and Costs</w:t>
      </w:r>
      <w:r w:rsidRPr="00691454">
        <w:rPr>
          <w:b/>
          <w:bCs/>
        </w:rPr>
        <w:t xml:space="preserve"> </w:t>
      </w:r>
    </w:p>
    <w:p w:rsidR="004D7884" w:rsidP="004D7884" w14:paraId="4082234B" w14:textId="58ED8F4A">
      <w:pPr>
        <w:pStyle w:val="a"/>
        <w:tabs>
          <w:tab w:val="left" w:pos="-1440"/>
        </w:tabs>
        <w:ind w:left="0" w:firstLine="0"/>
      </w:pPr>
    </w:p>
    <w:p w:rsidR="008B08B6" w:rsidP="008B08B6" w14:paraId="09B5BCA3" w14:textId="77777777">
      <w:r>
        <w:t>Respondents are</w:t>
      </w:r>
      <w:r w:rsidRPr="00A93EB5">
        <w:t xml:space="preserve"> the</w:t>
      </w:r>
      <w:r>
        <w:t xml:space="preserve"> recipients</w:t>
      </w:r>
      <w:r w:rsidRPr="00A93EB5">
        <w:t xml:space="preserve"> </w:t>
      </w:r>
      <w:r>
        <w:t>of</w:t>
      </w:r>
      <w:r w:rsidRPr="00A93EB5">
        <w:t xml:space="preserve"> the </w:t>
      </w:r>
      <w:r>
        <w:t>CSP</w:t>
      </w:r>
      <w:r w:rsidRPr="00A93EB5">
        <w:t xml:space="preserve"> cooperative agreement</w:t>
      </w:r>
      <w:r>
        <w:t>. Recipients</w:t>
      </w:r>
      <w:r w:rsidRPr="00A93EB5">
        <w:t xml:space="preserve"> will report information to </w:t>
      </w:r>
      <w:r>
        <w:t>NCIPC</w:t>
      </w:r>
      <w:r w:rsidRPr="00A93EB5">
        <w:t xml:space="preserve"> about their activities</w:t>
      </w:r>
      <w:r>
        <w:t xml:space="preserve">, </w:t>
      </w:r>
      <w:r w:rsidRPr="00A93EB5">
        <w:t xml:space="preserve">performance measures, </w:t>
      </w:r>
      <w:r>
        <w:t xml:space="preserve">outcomes, and </w:t>
      </w:r>
      <w:r w:rsidRPr="00A93EB5">
        <w:t xml:space="preserve">progress.  </w:t>
      </w:r>
      <w:r>
        <w:t xml:space="preserve">This data will be collected via the Partners’ Portal (Attachment D) and </w:t>
      </w:r>
      <w:bookmarkStart w:id="5" w:name="_Hlk207033189"/>
      <w:r>
        <w:t xml:space="preserve">the Syndromic Surveillance Report </w:t>
      </w:r>
      <w:bookmarkEnd w:id="5"/>
      <w:r>
        <w:t xml:space="preserve">(Attachment F). NCIPC will develop guidance documents for reporting to facilitate data submission. NCIPC will also provide technical assistance through optional webinars to introduce recipients to the Partners’ Portal and provide ongoing assistance, if necessary, via routine monthly calls with recipients for performance monitoring. </w:t>
      </w:r>
    </w:p>
    <w:p w:rsidR="008B08B6" w:rsidP="008B08B6" w14:paraId="1C126C18" w14:textId="77777777"/>
    <w:p w:rsidR="008B08B6" w:rsidRPr="00691454" w:rsidP="008B08B6" w14:paraId="09C99503" w14:textId="3F08BC44">
      <w:pPr>
        <w:pStyle w:val="a"/>
        <w:tabs>
          <w:tab w:val="left" w:pos="-1440"/>
        </w:tabs>
        <w:ind w:left="0" w:firstLine="0"/>
      </w:pPr>
      <w:r>
        <w:t xml:space="preserve">The total annual burden for all grantees is 480 hours, as summarized in Table 1.  </w:t>
      </w:r>
      <w:r w:rsidRPr="00844B6A">
        <w:t xml:space="preserve">Estimates for burden were developed based on preliminary </w:t>
      </w:r>
      <w:r>
        <w:t xml:space="preserve">pilot tested by 9 current recipients and revisions to the portal were made per feedback </w:t>
      </w:r>
      <w:r w:rsidRPr="00844B6A">
        <w:t xml:space="preserve">from </w:t>
      </w:r>
      <w:r>
        <w:t>similar programs at NCIPC</w:t>
      </w:r>
      <w:r w:rsidRPr="00844B6A">
        <w:t xml:space="preserve">. </w:t>
      </w:r>
      <w:r w:rsidRPr="004E6540">
        <w:t xml:space="preserve">The estimate for the Annual Reporting Template includes time for reviewing instructions, searching sources, data collection, and completion of the templates. </w:t>
      </w:r>
      <w:r>
        <w:t>The estimate for the Syndromic Surveillance Report includes time for reviewing instructions, reviewing syndromic surveillance data changes, and completion of the data entry in excel.</w:t>
      </w:r>
    </w:p>
    <w:p w:rsidR="006F124C" w:rsidP="7F9D7D9D" w14:paraId="7C11AD9D" w14:textId="77777777">
      <w:pPr>
        <w:pStyle w:val="a"/>
        <w:ind w:left="0" w:firstLine="0"/>
      </w:pPr>
    </w:p>
    <w:p w:rsidR="006F124C" w:rsidP="7F9D7D9D" w14:paraId="6BE52294" w14:textId="77777777">
      <w:pPr>
        <w:pStyle w:val="a"/>
        <w:ind w:left="0" w:firstLine="0"/>
      </w:pPr>
    </w:p>
    <w:p w:rsidR="00203779" w:rsidRPr="00691454" w:rsidP="7F9D7D9D" w14:paraId="4082234C" w14:textId="4D3E58E5">
      <w:pPr>
        <w:pStyle w:val="a"/>
        <w:ind w:left="0" w:firstLine="0"/>
      </w:pPr>
      <w:r w:rsidRPr="00691454">
        <w:t>Table 1.  Estimate</w:t>
      </w:r>
      <w:r w:rsidRPr="00691454" w:rsidR="00F820FE">
        <w:t>d</w:t>
      </w:r>
      <w:r w:rsidRPr="00691454">
        <w:t xml:space="preserve"> </w:t>
      </w:r>
      <w:r w:rsidRPr="00691454" w:rsidR="0057192D">
        <w:t>Annual</w:t>
      </w:r>
      <w:r w:rsidRPr="00691454" w:rsidR="003F77E5">
        <w:t xml:space="preserve">ized </w:t>
      </w:r>
      <w:r w:rsidRPr="00691454" w:rsidR="0057192D">
        <w:t>Burden</w:t>
      </w:r>
      <w:r w:rsidRPr="00691454" w:rsidR="003F77E5">
        <w:t xml:space="preserve"> Hours </w:t>
      </w:r>
    </w:p>
    <w:p w:rsidR="00144640" w:rsidRPr="00691454" w:rsidP="004D7884" w14:paraId="4082234D" w14:textId="77777777">
      <w:pPr>
        <w:pStyle w:val="a"/>
        <w:tabs>
          <w:tab w:val="left" w:pos="-1440"/>
        </w:tabs>
        <w:ind w:left="0" w:firstLine="0"/>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2159"/>
        <w:gridCol w:w="1620"/>
        <w:gridCol w:w="1620"/>
        <w:gridCol w:w="1373"/>
        <w:gridCol w:w="1170"/>
      </w:tblGrid>
      <w:tr w14:paraId="40822356" w14:textId="77777777" w:rsidTr="00FB792D">
        <w:tblPrEx>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70"/>
        </w:trPr>
        <w:tc>
          <w:tcPr>
            <w:tcW w:w="1508" w:type="dxa"/>
            <w:vAlign w:val="center"/>
          </w:tcPr>
          <w:p w:rsidR="00122751" w:rsidRPr="00691454" w:rsidP="00C55DD2" w14:paraId="4082234E" w14:textId="77777777">
            <w:r w:rsidRPr="00691454">
              <w:t>Type of Respondents</w:t>
            </w:r>
          </w:p>
        </w:tc>
        <w:tc>
          <w:tcPr>
            <w:tcW w:w="2159" w:type="dxa"/>
          </w:tcPr>
          <w:p w:rsidR="00C55DD2" w:rsidRPr="00691454" w:rsidP="00C55DD2" w14:paraId="4082234F" w14:textId="77777777"/>
          <w:p w:rsidR="00122751" w:rsidRPr="00691454" w:rsidP="00C55DD2" w14:paraId="40822350" w14:textId="77777777">
            <w:r w:rsidRPr="00691454">
              <w:t>Form Name</w:t>
            </w:r>
          </w:p>
        </w:tc>
        <w:tc>
          <w:tcPr>
            <w:tcW w:w="1620" w:type="dxa"/>
            <w:vAlign w:val="center"/>
          </w:tcPr>
          <w:p w:rsidR="00122751" w:rsidRPr="00691454" w:rsidP="00C55DD2" w14:paraId="40822351" w14:textId="77777777">
            <w:r w:rsidRPr="00691454">
              <w:t>Number of Respondents</w:t>
            </w:r>
          </w:p>
        </w:tc>
        <w:tc>
          <w:tcPr>
            <w:tcW w:w="1620" w:type="dxa"/>
            <w:vAlign w:val="center"/>
          </w:tcPr>
          <w:p w:rsidR="00122751" w:rsidRPr="00691454" w:rsidP="00C55DD2" w14:paraId="40822352" w14:textId="77777777">
            <w:r w:rsidRPr="00691454">
              <w:t>Number of Responses per Respondent</w:t>
            </w:r>
          </w:p>
        </w:tc>
        <w:tc>
          <w:tcPr>
            <w:tcW w:w="1373" w:type="dxa"/>
            <w:vAlign w:val="center"/>
          </w:tcPr>
          <w:p w:rsidR="00122751" w:rsidRPr="00691454" w:rsidP="00C55DD2" w14:paraId="40822353" w14:textId="77777777">
            <w:r w:rsidRPr="00691454">
              <w:t>Average Burden per Response</w:t>
            </w:r>
          </w:p>
          <w:p w:rsidR="00122751" w:rsidRPr="00691454" w:rsidP="00C55DD2" w14:paraId="40822354" w14:textId="77777777">
            <w:r w:rsidRPr="00691454">
              <w:t>(in hours)</w:t>
            </w:r>
          </w:p>
        </w:tc>
        <w:tc>
          <w:tcPr>
            <w:tcW w:w="1170" w:type="dxa"/>
            <w:vAlign w:val="center"/>
          </w:tcPr>
          <w:p w:rsidR="00122751" w:rsidRPr="00691454" w:rsidP="00C55DD2" w14:paraId="40822355" w14:textId="77777777">
            <w:r w:rsidRPr="00691454">
              <w:t>Total Burden (in hours)</w:t>
            </w:r>
          </w:p>
        </w:tc>
      </w:tr>
      <w:tr w14:paraId="7ABD8EEF" w14:textId="77777777" w:rsidTr="00FB792D">
        <w:tblPrEx>
          <w:tblW w:w="9450" w:type="dxa"/>
          <w:tblInd w:w="-72" w:type="dxa"/>
          <w:tblLayout w:type="fixed"/>
          <w:tblLook w:val="01E0"/>
        </w:tblPrEx>
        <w:trPr>
          <w:trHeight w:val="107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5511EF91" w14:textId="61BC906A">
            <w:r>
              <w:rPr>
                <w:rStyle w:val="normaltextrun"/>
              </w:rPr>
              <w:t>CSP</w:t>
            </w:r>
            <w:r>
              <w:rPr>
                <w:rStyle w:val="normaltextrun"/>
              </w:rPr>
              <w:t xml:space="preserve"> Program </w:t>
            </w:r>
            <w:r w:rsidR="00902D17">
              <w:rPr>
                <w:rStyle w:val="normaltextrun"/>
              </w:rPr>
              <w:t>Recipients</w:t>
            </w:r>
            <w:r>
              <w:rPr>
                <w:rStyle w:val="eop"/>
              </w:rPr>
              <w:t> </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DE0BE0" w:rsidRPr="00DE0BE0" w:rsidP="00DE0BE0" w14:paraId="2C206172" w14:textId="326B1DB8">
            <w:r>
              <w:rPr>
                <w:rStyle w:val="normaltextrun"/>
              </w:rPr>
              <w:t>Annual Progress Report (</w:t>
            </w:r>
            <w:r>
              <w:rPr>
                <w:rStyle w:val="normaltextrun"/>
              </w:rPr>
              <w:t>Att</w:t>
            </w:r>
            <w:r>
              <w:rPr>
                <w:rStyle w:val="normaltextrun"/>
              </w:rPr>
              <w:t> </w:t>
            </w:r>
            <w:r w:rsidR="00142698">
              <w:rPr>
                <w:rStyle w:val="normaltextrun"/>
              </w:rPr>
              <w:t>D</w:t>
            </w:r>
            <w:r>
              <w:rPr>
                <w:rStyle w:val="normaltextrun"/>
              </w:rPr>
              <w:t>)</w:t>
            </w:r>
            <w:r>
              <w:rPr>
                <w:rStyle w:val="eop"/>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71472F19" w14:textId="39531205">
            <w:r>
              <w:rPr>
                <w:rStyle w:val="normaltextrun"/>
              </w:rPr>
              <w:t>24</w:t>
            </w:r>
            <w:r w:rsidR="000B516D">
              <w:rPr>
                <w:rStyle w:val="eop"/>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52E6C65F" w14:textId="77777777">
            <w:r>
              <w:rPr>
                <w:rStyle w:val="normaltextrun"/>
              </w:rPr>
              <w:t>1</w:t>
            </w:r>
            <w:r>
              <w:rPr>
                <w:rStyle w:val="eop"/>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7A5500C0" w14:textId="77F84BF0">
            <w:r>
              <w:rPr>
                <w:rStyle w:val="normaltextrun"/>
              </w:rPr>
              <w:t>1</w:t>
            </w:r>
            <w:r w:rsidR="0045079A">
              <w:rPr>
                <w:rStyle w:val="normaltextrun"/>
              </w:rPr>
              <w:t>2</w:t>
            </w:r>
            <w:r>
              <w:rPr>
                <w:rStyle w:val="eop"/>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2A0AC894" w14:textId="77948B85">
            <w:r>
              <w:rPr>
                <w:rStyle w:val="normaltextrun"/>
              </w:rPr>
              <w:t>288</w:t>
            </w:r>
          </w:p>
        </w:tc>
      </w:tr>
      <w:tr w14:paraId="3E12C440" w14:textId="77777777" w:rsidTr="00FB792D">
        <w:tblPrEx>
          <w:tblW w:w="9450" w:type="dxa"/>
          <w:tblInd w:w="-72" w:type="dxa"/>
          <w:tblLayout w:type="fixed"/>
          <w:tblLook w:val="01E0"/>
        </w:tblPrEx>
        <w:trPr>
          <w:trHeight w:val="107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78359C" w:rsidP="00DE0BE0" w14:paraId="34944FD5" w14:textId="38A8C6B1">
            <w:pPr>
              <w:rPr>
                <w:rStyle w:val="normaltextrun"/>
              </w:rPr>
            </w:pPr>
            <w:r>
              <w:rPr>
                <w:rStyle w:val="normaltextrun"/>
              </w:rPr>
              <w:t>CSP Program Recipients</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78359C" w:rsidP="00DE0BE0" w14:paraId="38C76A48" w14:textId="7D6A6457">
            <w:pPr>
              <w:rPr>
                <w:rStyle w:val="normaltextrun"/>
              </w:rPr>
            </w:pPr>
            <w:r>
              <w:rPr>
                <w:rStyle w:val="normaltextrun"/>
              </w:rPr>
              <w:t>Syndromic Surveillance Report</w:t>
            </w:r>
            <w:r w:rsidR="008B08B6">
              <w:rPr>
                <w:rStyle w:val="normaltextrun"/>
              </w:rPr>
              <w:t xml:space="preserve"> (</w:t>
            </w:r>
            <w:r w:rsidR="008B08B6">
              <w:rPr>
                <w:rStyle w:val="normaltextrun"/>
              </w:rPr>
              <w:t>Att</w:t>
            </w:r>
            <w:r w:rsidR="008B08B6">
              <w:rPr>
                <w:rStyle w:val="normaltextrun"/>
              </w:rPr>
              <w:t xml:space="preserve"> 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359C" w:rsidP="00DE0BE0" w14:paraId="55452612" w14:textId="330764EC">
            <w:pPr>
              <w:rPr>
                <w:rStyle w:val="normaltextrun"/>
              </w:rPr>
            </w:pPr>
            <w:r>
              <w:rPr>
                <w:rStyle w:val="normaltextrun"/>
              </w:rPr>
              <w:t>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359C" w:rsidP="00DE0BE0" w14:paraId="58D2592E" w14:textId="05D85F6E">
            <w:pPr>
              <w:rPr>
                <w:rStyle w:val="normaltextrun"/>
              </w:rPr>
            </w:pPr>
            <w:r>
              <w:rPr>
                <w:rStyle w:val="normaltextrun"/>
              </w:rPr>
              <w:t>4</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78359C" w:rsidP="00DE0BE0" w14:paraId="18B40EFB" w14:textId="7A030D99">
            <w:pPr>
              <w:rPr>
                <w:rStyle w:val="normaltextrun"/>
              </w:rPr>
            </w:pPr>
            <w:r>
              <w:rPr>
                <w:rStyle w:val="normaltextrun"/>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78359C" w:rsidP="00DE0BE0" w14:paraId="4EAF81C8" w14:textId="418DD5EE">
            <w:pPr>
              <w:rPr>
                <w:rStyle w:val="normaltextrun"/>
              </w:rPr>
            </w:pPr>
            <w:r>
              <w:rPr>
                <w:rStyle w:val="normaltextrun"/>
              </w:rPr>
              <w:t>192</w:t>
            </w:r>
          </w:p>
        </w:tc>
      </w:tr>
      <w:tr w14:paraId="40822360" w14:textId="77777777" w:rsidTr="354734C2">
        <w:tblPrEx>
          <w:tblW w:w="9450" w:type="dxa"/>
          <w:tblInd w:w="-72" w:type="dxa"/>
          <w:tblLayout w:type="fixed"/>
          <w:tblLook w:val="01E0"/>
        </w:tblPrEx>
        <w:trPr>
          <w:trHeight w:val="276"/>
        </w:trPr>
        <w:tc>
          <w:tcPr>
            <w:tcW w:w="8280" w:type="dxa"/>
            <w:gridSpan w:val="5"/>
          </w:tcPr>
          <w:p w:rsidR="00026C55" w:rsidRPr="00691454" w:rsidP="00C7327F" w14:paraId="4082235E" w14:textId="77777777">
            <w:pPr>
              <w:jc w:val="right"/>
              <w:rPr>
                <w:b/>
              </w:rPr>
            </w:pPr>
            <w:r w:rsidRPr="00691454">
              <w:rPr>
                <w:b/>
              </w:rPr>
              <w:t>Total</w:t>
            </w:r>
          </w:p>
        </w:tc>
        <w:tc>
          <w:tcPr>
            <w:tcW w:w="1170" w:type="dxa"/>
          </w:tcPr>
          <w:p w:rsidR="00026C55" w:rsidRPr="00691454" w:rsidP="00767996" w14:paraId="4082235F" w14:textId="0B33B3B9">
            <w:r>
              <w:t>480</w:t>
            </w:r>
          </w:p>
        </w:tc>
      </w:tr>
    </w:tbl>
    <w:p w:rsidR="00144640" w:rsidRPr="00691454" w:rsidP="00144640" w14:paraId="40822363" w14:textId="77777777">
      <w:pPr>
        <w:pStyle w:val="SL-FlLftSgl"/>
      </w:pPr>
    </w:p>
    <w:p w:rsidR="002927C7" w:rsidP="005A53E2" w14:paraId="3349154F" w14:textId="77777777">
      <w:pPr>
        <w:rPr>
          <w:bCs/>
        </w:rPr>
      </w:pPr>
    </w:p>
    <w:p w:rsidR="005A53E2" w:rsidP="005A53E2" w14:paraId="40822364" w14:textId="21401A99">
      <w:r w:rsidRPr="00691454">
        <w:rPr>
          <w:bCs/>
        </w:rPr>
        <w:t>Table 2.</w:t>
      </w:r>
      <w:r w:rsidRPr="00691454">
        <w:t xml:space="preserve"> Estimated Annual</w:t>
      </w:r>
      <w:r w:rsidRPr="00691454" w:rsidR="003F77E5">
        <w:t xml:space="preserve">ized Burden </w:t>
      </w:r>
      <w:r w:rsidRPr="00691454">
        <w:t>Cost</w:t>
      </w:r>
      <w:r w:rsidRPr="00691454" w:rsidR="003F77E5">
        <w:t>s</w:t>
      </w:r>
      <w:r w:rsidRPr="00691454">
        <w:t xml:space="preserve"> </w:t>
      </w:r>
    </w:p>
    <w:p w:rsidR="005C3C1A" w:rsidP="005A53E2" w14:paraId="7A7FF177" w14:textId="77777777"/>
    <w:p w:rsidR="008B08B6" w:rsidP="008B08B6" w14:paraId="2C589217" w14:textId="6DF8E5CB">
      <w:pPr>
        <w:keepNext/>
        <w:tabs>
          <w:tab w:val="right" w:pos="10080"/>
        </w:tabs>
        <w:outlineLvl w:val="0"/>
        <w:rPr>
          <w:szCs w:val="20"/>
        </w:rPr>
      </w:pPr>
      <w:r w:rsidRPr="006B0A1D">
        <w:rPr>
          <w:szCs w:val="20"/>
        </w:rPr>
        <w:t xml:space="preserve">A program manager will prepare the </w:t>
      </w:r>
      <w:r>
        <w:rPr>
          <w:szCs w:val="20"/>
        </w:rPr>
        <w:t xml:space="preserve">annual </w:t>
      </w:r>
      <w:r w:rsidRPr="006B0A1D">
        <w:rPr>
          <w:szCs w:val="20"/>
        </w:rPr>
        <w:t>progress reports</w:t>
      </w:r>
      <w:r>
        <w:rPr>
          <w:szCs w:val="20"/>
        </w:rPr>
        <w:t>.</w:t>
      </w:r>
      <w:r w:rsidRPr="006B0A1D">
        <w:rPr>
          <w:szCs w:val="20"/>
        </w:rPr>
        <w:t xml:space="preserve">  The average hourly wage for a program manager is $3</w:t>
      </w:r>
      <w:r>
        <w:rPr>
          <w:szCs w:val="20"/>
        </w:rPr>
        <w:t>8.13</w:t>
      </w:r>
      <w:r w:rsidRPr="006B0A1D">
        <w:rPr>
          <w:szCs w:val="20"/>
        </w:rPr>
        <w:t xml:space="preserve">. The hourly wage rates for program managers are based on wages for similar mid-to-high level positions in the public sector.  </w:t>
      </w:r>
      <w:r>
        <w:rPr>
          <w:szCs w:val="20"/>
        </w:rPr>
        <w:t xml:space="preserve">An epidemiologist will prepare the quarterly syndromic surveillance reports. The average hourly rate for an epidemiologist is $38.00. This rate is based on the hourly wage for epidemiologists working for State governments. </w:t>
      </w:r>
      <w:r w:rsidRPr="006B0A1D">
        <w:rPr>
          <w:szCs w:val="20"/>
        </w:rPr>
        <w:t>The total estimated annualized cost is $</w:t>
      </w:r>
      <w:r>
        <w:rPr>
          <w:szCs w:val="20"/>
        </w:rPr>
        <w:t>18,277.44</w:t>
      </w:r>
      <w:r w:rsidRPr="006B0A1D">
        <w:rPr>
          <w:szCs w:val="20"/>
        </w:rPr>
        <w:t>, as summarized in Table 2.</w:t>
      </w:r>
    </w:p>
    <w:p w:rsidR="008B08B6" w:rsidRPr="006B0A1D" w:rsidP="008B08B6" w14:paraId="5CE94B8E" w14:textId="77777777">
      <w:pPr>
        <w:keepNext/>
        <w:tabs>
          <w:tab w:val="right" w:pos="10080"/>
        </w:tabs>
        <w:outlineLvl w:val="0"/>
        <w:rPr>
          <w:szCs w:val="20"/>
        </w:rPr>
      </w:pPr>
    </w:p>
    <w:p w:rsidR="008B08B6" w:rsidP="008B08B6" w14:paraId="7D046032" w14:textId="77777777">
      <w:pPr>
        <w:rPr>
          <w:color w:val="0000FF" w:themeColor="hyperlink"/>
          <w:szCs w:val="20"/>
          <w:u w:val="single"/>
        </w:rPr>
      </w:pPr>
      <w:hyperlink r:id="rId9" w:history="1">
        <w:r w:rsidRPr="006B0A1D">
          <w:rPr>
            <w:color w:val="0000FF" w:themeColor="hyperlink"/>
            <w:szCs w:val="20"/>
            <w:u w:val="single"/>
          </w:rPr>
          <w:t>https://www.bls.gov/oes/current/oes_stru.htm</w:t>
        </w:r>
      </w:hyperlink>
    </w:p>
    <w:p w:rsidR="005C3C1A" w:rsidRPr="00691454" w:rsidP="005A53E2" w14:paraId="44FA8D5E" w14:textId="18862A55"/>
    <w:tbl>
      <w:tblPr>
        <w:tblpPr w:leftFromText="180" w:rightFromText="180" w:vertAnchor="text" w:horzAnchor="margin" w:tblpXSpec="center" w:tblpY="34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800"/>
        <w:gridCol w:w="1170"/>
        <w:gridCol w:w="1350"/>
        <w:gridCol w:w="1283"/>
        <w:gridCol w:w="1327"/>
        <w:gridCol w:w="1373"/>
      </w:tblGrid>
      <w:tr w14:paraId="4082236E" w14:textId="77777777" w:rsidTr="005028E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35" w:type="dxa"/>
          </w:tcPr>
          <w:p w:rsidR="00EF2F61" w:rsidRPr="00691454" w:rsidP="00EF2F61" w14:paraId="40822365" w14:textId="77777777">
            <w:pPr>
              <w:spacing w:line="276" w:lineRule="auto"/>
              <w:rPr>
                <w:rFonts w:eastAsia="Batang"/>
              </w:rPr>
            </w:pPr>
          </w:p>
          <w:p w:rsidR="00EF2F61" w:rsidRPr="00691454" w:rsidP="00EF2F61" w14:paraId="40822366" w14:textId="77777777">
            <w:pPr>
              <w:spacing w:line="276" w:lineRule="auto"/>
              <w:jc w:val="center"/>
              <w:rPr>
                <w:rFonts w:eastAsia="Batang"/>
              </w:rPr>
            </w:pPr>
            <w:r w:rsidRPr="00691454">
              <w:rPr>
                <w:rFonts w:eastAsia="Batang"/>
              </w:rPr>
              <w:t>Type of Respondent</w:t>
            </w:r>
          </w:p>
        </w:tc>
        <w:tc>
          <w:tcPr>
            <w:tcW w:w="1800" w:type="dxa"/>
          </w:tcPr>
          <w:p w:rsidR="00C55DD2" w:rsidRPr="00691454" w:rsidP="00EF2F61" w14:paraId="40822367" w14:textId="77777777">
            <w:pPr>
              <w:spacing w:line="276" w:lineRule="auto"/>
              <w:rPr>
                <w:rFonts w:eastAsia="Batang"/>
              </w:rPr>
            </w:pPr>
          </w:p>
          <w:p w:rsidR="00EF2F61" w:rsidRPr="00691454" w:rsidP="00EF2F61" w14:paraId="40822368" w14:textId="77777777">
            <w:pPr>
              <w:spacing w:line="276" w:lineRule="auto"/>
              <w:rPr>
                <w:rFonts w:eastAsia="Batang"/>
              </w:rPr>
            </w:pPr>
            <w:r w:rsidRPr="00691454">
              <w:rPr>
                <w:rFonts w:eastAsia="Batang"/>
              </w:rPr>
              <w:t>Form Name</w:t>
            </w:r>
          </w:p>
        </w:tc>
        <w:tc>
          <w:tcPr>
            <w:tcW w:w="1170" w:type="dxa"/>
            <w:shd w:val="clear" w:color="auto" w:fill="auto"/>
            <w:vAlign w:val="center"/>
          </w:tcPr>
          <w:p w:rsidR="00EF2F61" w:rsidRPr="00691454" w:rsidP="00EF2F61" w14:paraId="40822369" w14:textId="77777777">
            <w:pPr>
              <w:spacing w:line="276" w:lineRule="auto"/>
              <w:rPr>
                <w:rFonts w:eastAsia="Batang"/>
              </w:rPr>
            </w:pPr>
            <w:r w:rsidRPr="00691454">
              <w:rPr>
                <w:rFonts w:eastAsia="Batang"/>
              </w:rPr>
              <w:t>Number of Respondents</w:t>
            </w:r>
          </w:p>
        </w:tc>
        <w:tc>
          <w:tcPr>
            <w:tcW w:w="1350" w:type="dxa"/>
            <w:vAlign w:val="center"/>
          </w:tcPr>
          <w:p w:rsidR="00EF2F61" w:rsidRPr="00691454" w:rsidP="00EF2F61" w14:paraId="4082236A" w14:textId="77777777">
            <w:pPr>
              <w:spacing w:line="276" w:lineRule="auto"/>
              <w:jc w:val="center"/>
              <w:rPr>
                <w:rFonts w:eastAsia="Batang"/>
              </w:rPr>
            </w:pPr>
            <w:r w:rsidRPr="00691454">
              <w:rPr>
                <w:rFonts w:eastAsia="Batang"/>
              </w:rPr>
              <w:t>Number of Responses per Respondent</w:t>
            </w:r>
          </w:p>
        </w:tc>
        <w:tc>
          <w:tcPr>
            <w:tcW w:w="1283" w:type="dxa"/>
            <w:vAlign w:val="center"/>
          </w:tcPr>
          <w:p w:rsidR="00EF2F61" w:rsidRPr="00691454" w:rsidP="00EF2F61" w14:paraId="4082236B" w14:textId="226607D5">
            <w:pPr>
              <w:spacing w:line="276" w:lineRule="auto"/>
              <w:jc w:val="center"/>
              <w:rPr>
                <w:rFonts w:eastAsia="Batang"/>
              </w:rPr>
            </w:pPr>
            <w:r w:rsidRPr="00691454">
              <w:rPr>
                <w:rFonts w:eastAsia="Batang"/>
              </w:rPr>
              <w:t>Average Burden per Response</w:t>
            </w:r>
          </w:p>
        </w:tc>
        <w:tc>
          <w:tcPr>
            <w:tcW w:w="1327" w:type="dxa"/>
            <w:vAlign w:val="center"/>
          </w:tcPr>
          <w:p w:rsidR="00EF2F61" w:rsidRPr="00691454" w:rsidP="00EF2F61" w14:paraId="4082236C" w14:textId="77777777">
            <w:pPr>
              <w:spacing w:line="276" w:lineRule="auto"/>
              <w:jc w:val="center"/>
              <w:rPr>
                <w:rFonts w:eastAsia="Batang"/>
              </w:rPr>
            </w:pPr>
            <w:r w:rsidRPr="00691454">
              <w:rPr>
                <w:rFonts w:eastAsia="Batang"/>
              </w:rPr>
              <w:t>Average Hourly Wage Rate (in dollars)</w:t>
            </w:r>
          </w:p>
        </w:tc>
        <w:tc>
          <w:tcPr>
            <w:tcW w:w="1373" w:type="dxa"/>
            <w:vAlign w:val="center"/>
          </w:tcPr>
          <w:p w:rsidR="00EF2F61" w:rsidRPr="00691454" w:rsidP="00EF2F61" w14:paraId="4082236D" w14:textId="77777777">
            <w:pPr>
              <w:spacing w:line="276" w:lineRule="auto"/>
              <w:jc w:val="center"/>
              <w:rPr>
                <w:rFonts w:eastAsia="Batang"/>
              </w:rPr>
            </w:pPr>
            <w:r w:rsidRPr="00691454">
              <w:rPr>
                <w:rFonts w:eastAsia="Batang"/>
              </w:rPr>
              <w:t>Total Respondent Cost</w:t>
            </w:r>
          </w:p>
        </w:tc>
      </w:tr>
      <w:tr w14:paraId="0024537B" w14:textId="77777777" w:rsidTr="005028E3">
        <w:tblPrEx>
          <w:tblW w:w="9738" w:type="dxa"/>
          <w:tblLayout w:type="fixed"/>
          <w:tblLook w:val="01E0"/>
        </w:tblPrEx>
        <w:tc>
          <w:tcPr>
            <w:tcW w:w="1435" w:type="dxa"/>
          </w:tcPr>
          <w:p w:rsidR="003C0A02" w:rsidRPr="00691454" w:rsidP="003C0A02" w14:paraId="73866B05" w14:textId="5A976C7D">
            <w:pPr>
              <w:rPr>
                <w:rFonts w:eastAsia="Batang"/>
              </w:rPr>
            </w:pPr>
            <w:r>
              <w:t>CSP</w:t>
            </w:r>
            <w:r>
              <w:t xml:space="preserve"> Program </w:t>
            </w:r>
            <w:r w:rsidR="00902D17">
              <w:t>Recipients</w:t>
            </w:r>
          </w:p>
        </w:tc>
        <w:tc>
          <w:tcPr>
            <w:tcW w:w="1800" w:type="dxa"/>
          </w:tcPr>
          <w:p w:rsidR="003C0A02" w:rsidRPr="00691454" w:rsidP="003C0A02" w14:paraId="06C49642" w14:textId="79F3C02C">
            <w:pPr>
              <w:jc w:val="center"/>
              <w:rPr>
                <w:rFonts w:eastAsia="Batang"/>
              </w:rPr>
            </w:pPr>
            <w:r w:rsidRPr="00C97992">
              <w:t>Annual Progress Report (</w:t>
            </w:r>
            <w:r w:rsidRPr="00C97992">
              <w:t>Att</w:t>
            </w:r>
            <w:r w:rsidRPr="00C97992">
              <w:t xml:space="preserve"> </w:t>
            </w:r>
            <w:r w:rsidR="005C3ADE">
              <w:t>D</w:t>
            </w:r>
            <w:r w:rsidRPr="00C97992">
              <w:t>)</w:t>
            </w:r>
          </w:p>
        </w:tc>
        <w:tc>
          <w:tcPr>
            <w:tcW w:w="1170" w:type="dxa"/>
          </w:tcPr>
          <w:p w:rsidR="003C0A02" w:rsidRPr="00691454" w:rsidP="005828A3" w14:paraId="3EC503C5" w14:textId="33B5C735">
            <w:pPr>
              <w:jc w:val="center"/>
              <w:rPr>
                <w:rFonts w:eastAsia="Batang"/>
              </w:rPr>
            </w:pPr>
            <w:r>
              <w:t>24</w:t>
            </w:r>
          </w:p>
        </w:tc>
        <w:tc>
          <w:tcPr>
            <w:tcW w:w="1350" w:type="dxa"/>
          </w:tcPr>
          <w:p w:rsidR="003C0A02" w:rsidRPr="00691454" w:rsidP="005828A3" w14:paraId="272E7356" w14:textId="26C364CB">
            <w:pPr>
              <w:spacing w:line="276" w:lineRule="auto"/>
              <w:jc w:val="center"/>
              <w:rPr>
                <w:rFonts w:eastAsia="Batang"/>
              </w:rPr>
            </w:pPr>
            <w:r>
              <w:t>1</w:t>
            </w:r>
          </w:p>
        </w:tc>
        <w:tc>
          <w:tcPr>
            <w:tcW w:w="1283" w:type="dxa"/>
          </w:tcPr>
          <w:p w:rsidR="003C0A02" w:rsidRPr="00691454" w:rsidP="005828A3" w14:paraId="3C0B6AC2" w14:textId="5F2C3E8F">
            <w:pPr>
              <w:spacing w:line="276" w:lineRule="auto"/>
              <w:jc w:val="center"/>
              <w:rPr>
                <w:rFonts w:eastAsia="Batang"/>
              </w:rPr>
            </w:pPr>
            <w:r>
              <w:t>1</w:t>
            </w:r>
            <w:r w:rsidR="0014354C">
              <w:t>2</w:t>
            </w:r>
          </w:p>
        </w:tc>
        <w:tc>
          <w:tcPr>
            <w:tcW w:w="1327" w:type="dxa"/>
          </w:tcPr>
          <w:p w:rsidR="003C0A02" w:rsidP="005828A3" w14:paraId="1D0B5704" w14:textId="278D9EC6">
            <w:pPr>
              <w:spacing w:line="276" w:lineRule="auto"/>
              <w:jc w:val="center"/>
              <w:rPr>
                <w:rFonts w:eastAsia="Batang"/>
              </w:rPr>
            </w:pPr>
            <w:r>
              <w:t>$</w:t>
            </w:r>
            <w:r w:rsidR="4521D089">
              <w:t>38.13</w:t>
            </w:r>
          </w:p>
        </w:tc>
        <w:tc>
          <w:tcPr>
            <w:tcW w:w="1373" w:type="dxa"/>
          </w:tcPr>
          <w:p w:rsidR="003C0A02" w:rsidRPr="00691454" w:rsidP="005828A3" w14:paraId="5715F351" w14:textId="1F6794DF">
            <w:pPr>
              <w:spacing w:line="276" w:lineRule="auto"/>
              <w:jc w:val="center"/>
              <w:rPr>
                <w:rFonts w:eastAsia="Batang"/>
              </w:rPr>
            </w:pPr>
            <w:r w:rsidRPr="6102955A">
              <w:rPr>
                <w:rFonts w:eastAsia="Batang"/>
              </w:rPr>
              <w:t>$</w:t>
            </w:r>
            <w:r w:rsidRPr="2A902C3B">
              <w:rPr>
                <w:rFonts w:eastAsia="Batang"/>
              </w:rPr>
              <w:t>10,981.44</w:t>
            </w:r>
          </w:p>
        </w:tc>
      </w:tr>
      <w:tr w14:paraId="015F9AA6" w14:textId="77777777" w:rsidTr="005028E3">
        <w:tblPrEx>
          <w:tblW w:w="9738" w:type="dxa"/>
          <w:tblLayout w:type="fixed"/>
          <w:tblLook w:val="01E0"/>
        </w:tblPrEx>
        <w:tc>
          <w:tcPr>
            <w:tcW w:w="1435" w:type="dxa"/>
          </w:tcPr>
          <w:p w:rsidR="00551694" w:rsidP="003C0A02" w14:paraId="5AFA6109" w14:textId="13D9A9B1">
            <w:r>
              <w:t>CSP Program Recipients</w:t>
            </w:r>
          </w:p>
        </w:tc>
        <w:tc>
          <w:tcPr>
            <w:tcW w:w="1800" w:type="dxa"/>
          </w:tcPr>
          <w:p w:rsidR="00551694" w:rsidRPr="00C97992" w:rsidP="003C0A02" w14:paraId="52697F78" w14:textId="7C4F5328">
            <w:pPr>
              <w:jc w:val="center"/>
            </w:pPr>
            <w:r>
              <w:t>Syndromic Surveillance Report</w:t>
            </w:r>
            <w:r w:rsidR="008B08B6">
              <w:t xml:space="preserve"> (</w:t>
            </w:r>
            <w:r w:rsidR="008B08B6">
              <w:t>Att</w:t>
            </w:r>
            <w:r w:rsidR="008B08B6">
              <w:t xml:space="preserve"> F)</w:t>
            </w:r>
          </w:p>
        </w:tc>
        <w:tc>
          <w:tcPr>
            <w:tcW w:w="1170" w:type="dxa"/>
          </w:tcPr>
          <w:p w:rsidR="00551694" w:rsidP="005828A3" w14:paraId="344BF955" w14:textId="67D81833">
            <w:pPr>
              <w:jc w:val="center"/>
            </w:pPr>
            <w:r>
              <w:t>24</w:t>
            </w:r>
          </w:p>
        </w:tc>
        <w:tc>
          <w:tcPr>
            <w:tcW w:w="1350" w:type="dxa"/>
          </w:tcPr>
          <w:p w:rsidR="00551694" w:rsidP="005828A3" w14:paraId="61A90A71" w14:textId="1999819B">
            <w:pPr>
              <w:spacing w:line="276" w:lineRule="auto"/>
              <w:jc w:val="center"/>
            </w:pPr>
            <w:r>
              <w:t>4</w:t>
            </w:r>
          </w:p>
        </w:tc>
        <w:tc>
          <w:tcPr>
            <w:tcW w:w="1283" w:type="dxa"/>
          </w:tcPr>
          <w:p w:rsidR="00551694" w:rsidP="005828A3" w14:paraId="2D0285B7" w14:textId="0EA96969">
            <w:pPr>
              <w:spacing w:line="276" w:lineRule="auto"/>
              <w:jc w:val="center"/>
            </w:pPr>
            <w:r>
              <w:t>2</w:t>
            </w:r>
          </w:p>
        </w:tc>
        <w:tc>
          <w:tcPr>
            <w:tcW w:w="1327" w:type="dxa"/>
          </w:tcPr>
          <w:p w:rsidR="00551694" w:rsidP="005828A3" w14:paraId="54D09033" w14:textId="4A3DD31A">
            <w:pPr>
              <w:spacing w:line="276" w:lineRule="auto"/>
              <w:jc w:val="center"/>
            </w:pPr>
            <w:r>
              <w:t>$38.00</w:t>
            </w:r>
          </w:p>
        </w:tc>
        <w:tc>
          <w:tcPr>
            <w:tcW w:w="1373" w:type="dxa"/>
          </w:tcPr>
          <w:p w:rsidR="00551694" w:rsidP="005828A3" w14:paraId="6038E2BF" w14:textId="317CF71C">
            <w:pPr>
              <w:spacing w:line="276" w:lineRule="auto"/>
              <w:jc w:val="center"/>
              <w:rPr>
                <w:rFonts w:eastAsia="Batang"/>
              </w:rPr>
            </w:pPr>
            <w:r>
              <w:rPr>
                <w:rFonts w:eastAsia="Batang"/>
              </w:rPr>
              <w:t>$7,296.00</w:t>
            </w:r>
          </w:p>
        </w:tc>
      </w:tr>
      <w:tr w14:paraId="4082237D" w14:textId="77777777" w:rsidTr="003028A3">
        <w:tblPrEx>
          <w:tblW w:w="9738" w:type="dxa"/>
          <w:tblLayout w:type="fixed"/>
          <w:tblLook w:val="01E0"/>
        </w:tblPrEx>
        <w:tc>
          <w:tcPr>
            <w:tcW w:w="8365" w:type="dxa"/>
            <w:gridSpan w:val="6"/>
          </w:tcPr>
          <w:p w:rsidR="003C0A02" w:rsidRPr="00691454" w:rsidP="003C0A02" w14:paraId="4082237B" w14:textId="77777777">
            <w:pPr>
              <w:spacing w:line="276" w:lineRule="auto"/>
              <w:jc w:val="right"/>
              <w:rPr>
                <w:rFonts w:eastAsia="Batang"/>
              </w:rPr>
            </w:pPr>
            <w:r w:rsidRPr="00691454">
              <w:rPr>
                <w:rFonts w:eastAsia="Batang"/>
              </w:rPr>
              <w:t>Total</w:t>
            </w:r>
          </w:p>
        </w:tc>
        <w:tc>
          <w:tcPr>
            <w:tcW w:w="1373" w:type="dxa"/>
          </w:tcPr>
          <w:p w:rsidR="003C0A02" w:rsidRPr="00691454" w:rsidP="003C0A02" w14:paraId="4082237C" w14:textId="1B6DAFBA">
            <w:pPr>
              <w:spacing w:line="276" w:lineRule="auto"/>
              <w:jc w:val="center"/>
              <w:rPr>
                <w:rFonts w:eastAsia="Batang"/>
              </w:rPr>
            </w:pPr>
            <w:r>
              <w:rPr>
                <w:rFonts w:eastAsia="Batang"/>
              </w:rPr>
              <w:t>$</w:t>
            </w:r>
            <w:r w:rsidR="008B08B6">
              <w:rPr>
                <w:rFonts w:eastAsia="Batang"/>
              </w:rPr>
              <w:t>18,277.44</w:t>
            </w:r>
          </w:p>
        </w:tc>
      </w:tr>
    </w:tbl>
    <w:p w:rsidR="00D7593E" w:rsidRPr="00691454" w:rsidP="00E704DE" w14:paraId="4082237E" w14:textId="77777777">
      <w:pPr>
        <w:rPr>
          <w:b/>
        </w:rPr>
      </w:pPr>
    </w:p>
    <w:p w:rsidR="00C55DD2" w:rsidRPr="00691454" w:rsidP="00E704DE" w14:paraId="4082237F" w14:textId="77777777">
      <w:pPr>
        <w:rPr>
          <w:b/>
        </w:rPr>
      </w:pPr>
    </w:p>
    <w:p w:rsidR="00972DEF" w:rsidP="00E704DE" w14:paraId="40822380" w14:textId="33CB2613">
      <w:pPr>
        <w:rPr>
          <w:b/>
        </w:rPr>
      </w:pPr>
      <w:r w:rsidRPr="00691454">
        <w:rPr>
          <w:b/>
        </w:rPr>
        <w:t xml:space="preserve">A.13. </w:t>
      </w:r>
      <w:r w:rsidRPr="00691454">
        <w:rPr>
          <w:b/>
        </w:rPr>
        <w:tab/>
        <w:t>Estimates of Other Total Annual Cost Burden to Respondents or Record Keepers</w:t>
      </w:r>
    </w:p>
    <w:p w:rsidR="008F2237" w:rsidP="00E704DE" w14:paraId="13808790" w14:textId="44DD5EED">
      <w:pPr>
        <w:rPr>
          <w:bCs/>
        </w:rPr>
      </w:pPr>
    </w:p>
    <w:p w:rsidR="008F2237" w:rsidRPr="008F2237" w:rsidP="00E704DE" w14:paraId="7B8F8C1A" w14:textId="4CFEB1C3">
      <w:pPr>
        <w:rPr>
          <w:bCs/>
        </w:rPr>
      </w:pPr>
      <w:r w:rsidRPr="008F2237">
        <w:rPr>
          <w:bCs/>
        </w:rPr>
        <w:t>This data collection will not result in costs for respondents or record keepers. No capital or maintenance costs are expected.  Additionally, there are no start-up, hardware or software costs.</w:t>
      </w:r>
    </w:p>
    <w:p w:rsidR="00E704DE" w:rsidRPr="00691454" w:rsidP="00E704DE" w14:paraId="40822381" w14:textId="77777777">
      <w:pPr>
        <w:rPr>
          <w:b/>
        </w:rPr>
      </w:pPr>
    </w:p>
    <w:p w:rsidR="00972DEF" w:rsidRPr="00691454" w:rsidP="00972DEF" w14:paraId="40822382" w14:textId="77777777">
      <w:pPr>
        <w:autoSpaceDE w:val="0"/>
        <w:autoSpaceDN w:val="0"/>
        <w:adjustRightInd w:val="0"/>
      </w:pPr>
      <w:r w:rsidRPr="002C5B45">
        <w:rPr>
          <w:b/>
          <w:bCs/>
        </w:rPr>
        <w:t xml:space="preserve">A.14. </w:t>
      </w:r>
      <w:r w:rsidRPr="002C5B45">
        <w:rPr>
          <w:b/>
          <w:bCs/>
        </w:rPr>
        <w:tab/>
        <w:t>Annualized Cost to the Government</w:t>
      </w:r>
      <w:r w:rsidRPr="00691454">
        <w:rPr>
          <w:b/>
          <w:bCs/>
        </w:rPr>
        <w:t xml:space="preserve"> </w:t>
      </w:r>
    </w:p>
    <w:p w:rsidR="0012575C" w:rsidRPr="00691454" w:rsidP="00013F0A" w14:paraId="40822383" w14:textId="77777777">
      <w:pPr>
        <w:pStyle w:val="SL-FlLftSgl"/>
      </w:pPr>
    </w:p>
    <w:p w:rsidR="00144640" w:rsidRPr="00691454" w:rsidP="005D4291" w14:paraId="40822384" w14:textId="77777777">
      <w:pPr>
        <w:pStyle w:val="SL-FlLftSgl"/>
      </w:pPr>
      <w:r w:rsidRPr="00691454">
        <w:t>Table 3.  Estimated Annual</w:t>
      </w:r>
      <w:r w:rsidRPr="00691454" w:rsidR="001B43C7">
        <w:t>ized</w:t>
      </w:r>
      <w:r w:rsidRPr="00691454">
        <w:t xml:space="preserve"> Cost</w:t>
      </w:r>
      <w:r w:rsidRPr="00691454" w:rsidR="001B43C7">
        <w:t xml:space="preserve"> to the Government</w:t>
      </w:r>
    </w:p>
    <w:p w:rsidR="00144640" w:rsidRPr="00691454" w:rsidP="005D4291" w14:paraId="40822385" w14:textId="77777777">
      <w:pPr>
        <w:pStyle w:val="SL-FlLftSgl"/>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4551"/>
        <w:gridCol w:w="3099"/>
      </w:tblGrid>
      <w:tr w14:paraId="69EDC5C2" w14:textId="77777777" w:rsidTr="56C400D0">
        <w:tblPrEx>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30" w:type="dxa"/>
          </w:tcPr>
          <w:p w:rsidR="002C5B45" w:rsidRPr="00A93EB5" w:rsidP="00877490" w14:paraId="02211438" w14:textId="77777777">
            <w:r w:rsidRPr="00A93EB5">
              <w:t>Type of Cost</w:t>
            </w:r>
          </w:p>
        </w:tc>
        <w:tc>
          <w:tcPr>
            <w:tcW w:w="4551" w:type="dxa"/>
          </w:tcPr>
          <w:p w:rsidR="002C5B45" w:rsidRPr="00A93EB5" w:rsidP="00877490" w14:paraId="4A115BD2" w14:textId="77777777">
            <w:r w:rsidRPr="00A93EB5">
              <w:t>Description of Services</w:t>
            </w:r>
          </w:p>
        </w:tc>
        <w:tc>
          <w:tcPr>
            <w:tcW w:w="3099" w:type="dxa"/>
          </w:tcPr>
          <w:p w:rsidR="002C5B45" w:rsidRPr="00A93EB5" w:rsidP="00877490" w14:paraId="16FC58F7" w14:textId="77777777">
            <w:r w:rsidRPr="00A93EB5">
              <w:t>Annual Cost</w:t>
            </w:r>
          </w:p>
        </w:tc>
      </w:tr>
      <w:tr w14:paraId="2887C49D" w14:textId="77777777" w:rsidTr="56C400D0">
        <w:tblPrEx>
          <w:tblW w:w="10080" w:type="dxa"/>
          <w:tblInd w:w="-185" w:type="dxa"/>
          <w:tblLook w:val="01E0"/>
        </w:tblPrEx>
        <w:tc>
          <w:tcPr>
            <w:tcW w:w="2430" w:type="dxa"/>
          </w:tcPr>
          <w:p w:rsidR="002C5B45" w:rsidRPr="00A93EB5" w:rsidP="00877490" w14:paraId="61C88EFF" w14:textId="54CD5B19">
            <w:r w:rsidRPr="00A93EB5">
              <w:t>CDC Personnel</w:t>
            </w:r>
          </w:p>
          <w:p w:rsidR="002C5B45" w:rsidP="00877490" w14:paraId="6622BF93" w14:textId="77777777">
            <w:pPr>
              <w:rPr>
                <w:vertAlign w:val="superscript"/>
              </w:rPr>
            </w:pPr>
          </w:p>
          <w:p w:rsidR="002C5B45" w:rsidP="00877490" w14:paraId="5E1C5CAB" w14:textId="77777777"/>
          <w:p w:rsidR="002C5B45" w:rsidRPr="006B4FD3" w:rsidP="00877490" w14:paraId="011BE60A" w14:textId="77777777">
            <w:pPr>
              <w:ind w:firstLine="720"/>
            </w:pPr>
          </w:p>
        </w:tc>
        <w:tc>
          <w:tcPr>
            <w:tcW w:w="4551" w:type="dxa"/>
          </w:tcPr>
          <w:p w:rsidR="00BF276D" w:rsidP="00BF276D" w14:paraId="557005F1" w14:textId="05BC3E1B">
            <w:pPr>
              <w:pStyle w:val="ListParagraph"/>
              <w:numPr>
                <w:ilvl w:val="0"/>
                <w:numId w:val="18"/>
              </w:numPr>
              <w:ind w:left="228" w:hanging="180"/>
            </w:pPr>
            <w:r>
              <w:t xml:space="preserve">5% GS-11@$78,189/year x </w:t>
            </w:r>
            <w:r w:rsidR="00D214F2">
              <w:t>3</w:t>
            </w:r>
            <w:r>
              <w:t>= $</w:t>
            </w:r>
            <w:r w:rsidR="00D214F2">
              <w:t>11,728</w:t>
            </w:r>
          </w:p>
          <w:p w:rsidR="002C5B45" w:rsidRPr="00445E72" w:rsidP="00E866D2" w14:paraId="2654BFE9" w14:textId="0DAA88C5">
            <w:pPr>
              <w:pStyle w:val="ListParagraph"/>
              <w:numPr>
                <w:ilvl w:val="0"/>
                <w:numId w:val="18"/>
              </w:numPr>
              <w:ind w:left="228" w:hanging="180"/>
            </w:pPr>
            <w:r>
              <w:t>5</w:t>
            </w:r>
            <w:r>
              <w:t>% GS-12@$</w:t>
            </w:r>
            <w:r w:rsidR="16038536">
              <w:t>93,716</w:t>
            </w:r>
            <w:r>
              <w:t xml:space="preserve">/year </w:t>
            </w:r>
            <w:r w:rsidR="794A932B">
              <w:t xml:space="preserve">x </w:t>
            </w:r>
            <w:r w:rsidR="00BF276D">
              <w:t>3</w:t>
            </w:r>
            <w:r>
              <w:t>= $</w:t>
            </w:r>
            <w:r w:rsidR="00BF276D">
              <w:t>14,057</w:t>
            </w:r>
          </w:p>
          <w:p w:rsidR="002C5B45" w:rsidP="00E866D2" w14:paraId="1C5322EB" w14:textId="308772AB">
            <w:pPr>
              <w:pStyle w:val="ListParagraph"/>
              <w:numPr>
                <w:ilvl w:val="0"/>
                <w:numId w:val="19"/>
              </w:numPr>
              <w:ind w:left="228" w:hanging="180"/>
            </w:pPr>
            <w:r>
              <w:t>10</w:t>
            </w:r>
            <w:r>
              <w:t>% GS-13 @ $</w:t>
            </w:r>
            <w:r w:rsidR="35E3D902">
              <w:t>111,442</w:t>
            </w:r>
            <w:r>
              <w:t xml:space="preserve"> /year = $</w:t>
            </w:r>
            <w:r w:rsidR="52F50574">
              <w:t>11,144</w:t>
            </w:r>
          </w:p>
          <w:p w:rsidR="00741406" w:rsidRPr="00445E72" w:rsidP="56C400D0" w14:paraId="43E81F00" w14:textId="10C9EF88">
            <w:pPr>
              <w:pStyle w:val="ListParagraph"/>
              <w:numPr>
                <w:ilvl w:val="0"/>
                <w:numId w:val="19"/>
              </w:numPr>
              <w:ind w:left="228" w:hanging="180"/>
            </w:pPr>
            <w:r>
              <w:t>5</w:t>
            </w:r>
            <w:r>
              <w:t>%</w:t>
            </w:r>
            <w:r w:rsidR="00BB1EC5">
              <w:t xml:space="preserve">  GS</w:t>
            </w:r>
            <w:r w:rsidR="00BB1EC5">
              <w:t xml:space="preserve">-13 @ </w:t>
            </w:r>
            <w:r w:rsidR="4A92378E">
              <w:t>111,442</w:t>
            </w:r>
            <w:r w:rsidR="00BB1EC5">
              <w:t xml:space="preserve">/ year x </w:t>
            </w:r>
            <w:r w:rsidR="00BF276D">
              <w:t>8</w:t>
            </w:r>
            <w:r w:rsidR="00E03A20">
              <w:t>=</w:t>
            </w:r>
            <w:r w:rsidR="7517570B">
              <w:t>$</w:t>
            </w:r>
            <w:r w:rsidR="00BF276D">
              <w:t>44,577</w:t>
            </w:r>
          </w:p>
          <w:p w:rsidR="002C5B45" w:rsidP="00E866D2" w14:paraId="3C6F451C" w14:textId="0CB84E54">
            <w:pPr>
              <w:pStyle w:val="ListParagraph"/>
              <w:numPr>
                <w:ilvl w:val="0"/>
                <w:numId w:val="19"/>
              </w:numPr>
              <w:ind w:left="228" w:hanging="180"/>
            </w:pPr>
            <w:r>
              <w:t>5</w:t>
            </w:r>
            <w:r>
              <w:t>% GS-14 @ $</w:t>
            </w:r>
            <w:r w:rsidR="42AEE400">
              <w:t>131,690</w:t>
            </w:r>
            <w:r>
              <w:t xml:space="preserve">/year </w:t>
            </w:r>
            <w:r w:rsidR="00D214F2">
              <w:t>x2</w:t>
            </w:r>
            <w:r>
              <w:t xml:space="preserve">= </w:t>
            </w:r>
            <w:r w:rsidR="00C73EE0">
              <w:t>$</w:t>
            </w:r>
            <w:r w:rsidR="00D214F2">
              <w:t>13,169</w:t>
            </w:r>
          </w:p>
          <w:p w:rsidR="00D214F2" w:rsidRPr="00445E72" w:rsidP="00D214F2" w14:paraId="2CF55453" w14:textId="21BF721D">
            <w:pPr>
              <w:pStyle w:val="ListParagraph"/>
              <w:numPr>
                <w:ilvl w:val="0"/>
                <w:numId w:val="19"/>
              </w:numPr>
              <w:ind w:left="228" w:hanging="180"/>
            </w:pPr>
            <w:r>
              <w:t>5% GS-15 @ $154,902/year= $7,745</w:t>
            </w:r>
          </w:p>
          <w:p w:rsidR="002C5B45" w:rsidRPr="00A93EB5" w:rsidP="00877490" w14:paraId="13BB1A0E" w14:textId="77777777"/>
        </w:tc>
        <w:tc>
          <w:tcPr>
            <w:tcW w:w="3099" w:type="dxa"/>
            <w:vAlign w:val="center"/>
          </w:tcPr>
          <w:p w:rsidR="002C5B45" w:rsidRPr="00A93EB5" w:rsidP="00877490" w14:paraId="0BE342D6" w14:textId="10893737">
            <w:pPr>
              <w:jc w:val="right"/>
            </w:pPr>
            <w:r>
              <w:t>$</w:t>
            </w:r>
            <w:r w:rsidR="00D214F2">
              <w:t>102,420</w:t>
            </w:r>
          </w:p>
        </w:tc>
      </w:tr>
      <w:tr w14:paraId="755665DA" w14:textId="77777777" w:rsidTr="56C400D0">
        <w:tblPrEx>
          <w:tblW w:w="10080" w:type="dxa"/>
          <w:tblInd w:w="-185" w:type="dxa"/>
          <w:tblLook w:val="01E0"/>
        </w:tblPrEx>
        <w:tc>
          <w:tcPr>
            <w:tcW w:w="2430" w:type="dxa"/>
          </w:tcPr>
          <w:p w:rsidR="002C5B45" w:rsidRPr="00A93EB5" w:rsidP="00877490" w14:paraId="7B8E8FB3" w14:textId="77777777">
            <w:r w:rsidRPr="00A93EB5">
              <w:t>Contractor</w:t>
            </w:r>
          </w:p>
        </w:tc>
        <w:tc>
          <w:tcPr>
            <w:tcW w:w="4551" w:type="dxa"/>
          </w:tcPr>
          <w:p w:rsidR="002C5B45" w:rsidRPr="00A93EB5" w:rsidP="00877490" w14:paraId="272BCFF9" w14:textId="77777777">
            <w:pPr>
              <w:pStyle w:val="ListParagraph"/>
              <w:ind w:left="72"/>
            </w:pPr>
            <w:r w:rsidRPr="00A93EB5">
              <w:t>Data Collection Contractor</w:t>
            </w:r>
          </w:p>
        </w:tc>
        <w:tc>
          <w:tcPr>
            <w:tcW w:w="3099" w:type="dxa"/>
            <w:vAlign w:val="center"/>
          </w:tcPr>
          <w:p w:rsidR="002C5B45" w:rsidRPr="00A93EB5" w:rsidP="00877490" w14:paraId="56D6465E" w14:textId="2899055D">
            <w:pPr>
              <w:jc w:val="right"/>
            </w:pPr>
            <w:r>
              <w:t>$100,000</w:t>
            </w:r>
          </w:p>
        </w:tc>
      </w:tr>
      <w:tr w14:paraId="48217EB4" w14:textId="77777777" w:rsidTr="56C400D0">
        <w:tblPrEx>
          <w:tblW w:w="10080" w:type="dxa"/>
          <w:tblInd w:w="-185" w:type="dxa"/>
          <w:tblLook w:val="01E0"/>
        </w:tblPrEx>
        <w:tc>
          <w:tcPr>
            <w:tcW w:w="6981" w:type="dxa"/>
            <w:gridSpan w:val="2"/>
          </w:tcPr>
          <w:p w:rsidR="002C5B45" w:rsidRPr="00A93EB5" w:rsidP="00877490" w14:paraId="0E8E5702" w14:textId="77777777">
            <w:pPr>
              <w:jc w:val="right"/>
              <w:rPr>
                <w:bCs/>
              </w:rPr>
            </w:pPr>
            <w:r w:rsidRPr="00A93EB5">
              <w:rPr>
                <w:bCs/>
              </w:rPr>
              <w:t>Total Annual Estimated Costs</w:t>
            </w:r>
          </w:p>
        </w:tc>
        <w:tc>
          <w:tcPr>
            <w:tcW w:w="3099" w:type="dxa"/>
          </w:tcPr>
          <w:p w:rsidR="002C5B45" w:rsidRPr="00A93EB5" w:rsidP="00877490" w14:paraId="05AC901E" w14:textId="33F1ADCD">
            <w:pPr>
              <w:jc w:val="right"/>
              <w:rPr>
                <w:b/>
                <w:bCs/>
              </w:rPr>
            </w:pPr>
            <w:r w:rsidRPr="56C400D0">
              <w:rPr>
                <w:b/>
                <w:bCs/>
              </w:rPr>
              <w:t>$</w:t>
            </w:r>
            <w:r w:rsidR="00D214F2">
              <w:rPr>
                <w:b/>
                <w:bCs/>
              </w:rPr>
              <w:t>202,420</w:t>
            </w:r>
          </w:p>
        </w:tc>
      </w:tr>
    </w:tbl>
    <w:p w:rsidR="0069469E" w:rsidRPr="00691454" w:rsidP="00BE2065" w14:paraId="40822391" w14:textId="77777777">
      <w:pPr>
        <w:autoSpaceDE w:val="0"/>
        <w:autoSpaceDN w:val="0"/>
        <w:adjustRightInd w:val="0"/>
        <w:rPr>
          <w:rFonts w:ascii="TimesNewRomanPSMT" w:hAnsi="TimesNewRomanPSMT" w:cs="TimesNewRomanPSMT"/>
        </w:rPr>
      </w:pPr>
    </w:p>
    <w:p w:rsidR="00972DEF" w:rsidP="00972DEF" w14:paraId="40822392" w14:textId="6C7FF39E">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008F2237" w:rsidP="00972DEF" w14:paraId="03B1D67C" w14:textId="587DFDAE">
      <w:pPr>
        <w:autoSpaceDE w:val="0"/>
        <w:autoSpaceDN w:val="0"/>
        <w:adjustRightInd w:val="0"/>
        <w:rPr>
          <w:b/>
          <w:bCs/>
        </w:rPr>
      </w:pPr>
    </w:p>
    <w:p w:rsidR="00A70B43" w:rsidRPr="008F2237" w:rsidP="00A70B43" w14:paraId="7875827A" w14:textId="4C128695">
      <w:pPr>
        <w:autoSpaceDE w:val="0"/>
        <w:autoSpaceDN w:val="0"/>
        <w:adjustRightInd w:val="0"/>
      </w:pPr>
      <w:r>
        <w:t xml:space="preserve">This revision request is for the addition of a new instrument to monitor syndromic surveillance data on a quarterly schedule and to update the estimated annualized cost to the government. </w:t>
      </w:r>
      <w:r w:rsidRPr="000D74BE">
        <w:t>The quarterly syndromic surveillance report enables CSP recipients to provide quarterly updates to partners in their individual jurisdictions, describing trends in syndromic surveillance data, including upticks or changes in patterns or groups impacted to promote tailored suicide prevention outreach.</w:t>
      </w:r>
      <w:r>
        <w:t xml:space="preserve"> Quarterly reporting ensures CDC is apprised of trends in suicide related emergency department data within jurisdictions. The total estimated annualized cost to the government increased from $186,998 to $</w:t>
      </w:r>
      <w:r w:rsidR="00051DD0">
        <w:t>202,420. The</w:t>
      </w:r>
      <w:r>
        <w:t xml:space="preserve"> estimated increase change in burden from the last OMB approval is 192 hours (480 present request – 288 previous approval</w:t>
      </w:r>
      <w:r w:rsidR="001016BA">
        <w:rPr>
          <w:strike/>
        </w:rPr>
        <w:t>).</w:t>
      </w:r>
    </w:p>
    <w:p w:rsidR="008F2237" w:rsidRPr="008F2237" w:rsidP="00972DEF" w14:paraId="7479E39C" w14:textId="77777777">
      <w:pPr>
        <w:autoSpaceDE w:val="0"/>
        <w:autoSpaceDN w:val="0"/>
        <w:adjustRightInd w:val="0"/>
        <w:rPr>
          <w:b/>
          <w:bCs/>
        </w:rPr>
      </w:pPr>
    </w:p>
    <w:p w:rsidR="00972DEF" w:rsidP="00972DEF" w14:paraId="40822394" w14:textId="67B4AE48">
      <w:pPr>
        <w:autoSpaceDE w:val="0"/>
        <w:autoSpaceDN w:val="0"/>
        <w:adjustRightInd w:val="0"/>
      </w:pPr>
      <w:r w:rsidRPr="00F23BC4">
        <w:rPr>
          <w:b/>
          <w:bCs/>
        </w:rPr>
        <w:t>A.16. Plans for Tabulation</w:t>
      </w:r>
      <w:r w:rsidRPr="00F23BC4" w:rsidR="00203955">
        <w:rPr>
          <w:b/>
          <w:bCs/>
        </w:rPr>
        <w:t xml:space="preserve"> and </w:t>
      </w:r>
      <w:r w:rsidRPr="00F23BC4">
        <w:rPr>
          <w:b/>
          <w:bCs/>
        </w:rPr>
        <w:t>Publication, and Project Time Schedule</w:t>
      </w:r>
      <w:r w:rsidRPr="00691454">
        <w:t xml:space="preserve"> </w:t>
      </w:r>
    </w:p>
    <w:p w:rsidR="008F2237" w:rsidP="00972DEF" w14:paraId="198EE7A3" w14:textId="1A5905C6">
      <w:pPr>
        <w:autoSpaceDE w:val="0"/>
        <w:autoSpaceDN w:val="0"/>
        <w:adjustRightInd w:val="0"/>
      </w:pPr>
    </w:p>
    <w:p w:rsidR="00273B0B" w:rsidRPr="00A93EB5" w:rsidP="00273B0B" w14:paraId="52C68027" w14:textId="77777777">
      <w:pPr>
        <w:autoSpaceDE w:val="0"/>
        <w:autoSpaceDN w:val="0"/>
        <w:adjustRightInd w:val="0"/>
        <w:rPr>
          <w:bCs/>
        </w:rPr>
      </w:pPr>
    </w:p>
    <w:p w:rsidR="00273B0B" w:rsidP="00273B0B" w14:paraId="242F34EE" w14:textId="3EE6F7A0">
      <w:pPr>
        <w:autoSpaceDE w:val="0"/>
        <w:autoSpaceDN w:val="0"/>
        <w:adjustRightInd w:val="0"/>
        <w:rPr>
          <w:bCs/>
        </w:rPr>
      </w:pPr>
      <w:r w:rsidRPr="00A93EB5">
        <w:rPr>
          <w:bCs/>
        </w:rPr>
        <w:t xml:space="preserve">CDC will not use </w:t>
      </w:r>
      <w:r w:rsidR="00BC554B">
        <w:rPr>
          <w:bCs/>
        </w:rPr>
        <w:t>elaborated</w:t>
      </w:r>
      <w:r w:rsidR="00BC554B">
        <w:rPr>
          <w:bCs/>
        </w:rPr>
        <w:t xml:space="preserve"> statistical</w:t>
      </w:r>
      <w:r w:rsidRPr="00A93EB5">
        <w:rPr>
          <w:bCs/>
        </w:rPr>
        <w:t xml:space="preserve"> methods for analyzing information.</w:t>
      </w:r>
      <w:r>
        <w:rPr>
          <w:bCs/>
        </w:rPr>
        <w:t xml:space="preserve">  In certain cases, count data is collected (e.g., number of trainees, </w:t>
      </w:r>
      <w:r w:rsidR="001C1179">
        <w:rPr>
          <w:bCs/>
        </w:rPr>
        <w:t xml:space="preserve">number of emergency department visits, </w:t>
      </w:r>
      <w:r>
        <w:rPr>
          <w:bCs/>
        </w:rPr>
        <w:t xml:space="preserve">number of publications, etc.); however, most of these data are used to better understand </w:t>
      </w:r>
      <w:r>
        <w:rPr>
          <w:bCs/>
        </w:rPr>
        <w:t>grantees</w:t>
      </w:r>
      <w:r>
        <w:rPr>
          <w:bCs/>
        </w:rPr>
        <w:t xml:space="preserve"> productivity and activities.</w:t>
      </w:r>
      <w:r w:rsidRPr="00A93EB5">
        <w:rPr>
          <w:bCs/>
        </w:rPr>
        <w:t xml:space="preserve"> </w:t>
      </w:r>
      <w:r w:rsidRPr="008F2237">
        <w:rPr>
          <w:bCs/>
        </w:rPr>
        <w:t xml:space="preserve">For example, the difference between baseline rates and achieved rates on indicators will be documented and analyzed. </w:t>
      </w:r>
      <w:r>
        <w:rPr>
          <w:bCs/>
        </w:rPr>
        <w:t xml:space="preserve">Furthermore, the information in the annual </w:t>
      </w:r>
      <w:r>
        <w:rPr>
          <w:bCs/>
        </w:rPr>
        <w:t xml:space="preserve">review </w:t>
      </w:r>
      <w:r w:rsidR="001C1179">
        <w:rPr>
          <w:bCs/>
        </w:rPr>
        <w:t xml:space="preserve">and quarterly syndromic surveillance report </w:t>
      </w:r>
      <w:r>
        <w:rPr>
          <w:bCs/>
        </w:rPr>
        <w:t>templates will allow for CDC staff to monitor program activities and implementation and provide technical assistance to grantees after an internal qualitative review has been completed.</w:t>
      </w:r>
    </w:p>
    <w:p w:rsidR="008F2237" w:rsidRPr="008F2237" w:rsidP="008F2237" w14:paraId="3B92B054" w14:textId="467251C4">
      <w:pPr>
        <w:autoSpaceDE w:val="0"/>
        <w:autoSpaceDN w:val="0"/>
        <w:adjustRightInd w:val="0"/>
        <w:rPr>
          <w:bCs/>
        </w:rPr>
      </w:pPr>
      <w:r w:rsidRPr="008F2237">
        <w:rPr>
          <w:bCs/>
        </w:rPr>
        <w:t xml:space="preserve">Information collected by the </w:t>
      </w:r>
      <w:r w:rsidR="00902D17">
        <w:rPr>
          <w:bCs/>
        </w:rPr>
        <w:t>recipients</w:t>
      </w:r>
      <w:r w:rsidRPr="008F2237">
        <w:rPr>
          <w:bCs/>
        </w:rPr>
        <w:t xml:space="preserve"> will be reported in internal CDC documents and shared with </w:t>
      </w:r>
      <w:r w:rsidR="2C82D9F3">
        <w:t>awarded</w:t>
      </w:r>
      <w:r w:rsidRPr="008F2237">
        <w:rPr>
          <w:bCs/>
        </w:rPr>
        <w:t xml:space="preserve"> programs. Publication in a peer-reviewed scientific journal will be determined post-data collection. </w:t>
      </w:r>
    </w:p>
    <w:p w:rsidR="008F2237" w:rsidRPr="008F2237" w:rsidP="008F2237" w14:paraId="05836501" w14:textId="77777777">
      <w:pPr>
        <w:autoSpaceDE w:val="0"/>
        <w:autoSpaceDN w:val="0"/>
        <w:adjustRightInd w:val="0"/>
        <w:rPr>
          <w:bCs/>
        </w:rPr>
      </w:pPr>
    </w:p>
    <w:p w:rsidR="008F2237" w:rsidRPr="008F2237" w:rsidP="008F2237" w14:paraId="1081A1F4" w14:textId="77777777">
      <w:pPr>
        <w:autoSpaceDE w:val="0"/>
        <w:autoSpaceDN w:val="0"/>
        <w:adjustRightInd w:val="0"/>
        <w:rPr>
          <w:bCs/>
        </w:rPr>
      </w:pPr>
    </w:p>
    <w:tbl>
      <w:tblPr>
        <w:tblStyle w:val="TableGrid"/>
        <w:tblpPr w:leftFromText="180" w:rightFromText="180" w:vertAnchor="text" w:horzAnchor="margin" w:tblpY="67"/>
        <w:tblW w:w="8729" w:type="dxa"/>
        <w:tblLook w:val="04A0"/>
      </w:tblPr>
      <w:tblGrid>
        <w:gridCol w:w="4364"/>
        <w:gridCol w:w="4365"/>
      </w:tblGrid>
      <w:tr w14:paraId="145D3174" w14:textId="77777777" w:rsidTr="009C37CE">
        <w:tblPrEx>
          <w:tblW w:w="8729" w:type="dxa"/>
          <w:tblLook w:val="04A0"/>
        </w:tblPrEx>
        <w:trPr>
          <w:trHeight w:val="332"/>
        </w:trPr>
        <w:tc>
          <w:tcPr>
            <w:tcW w:w="8729" w:type="dxa"/>
            <w:gridSpan w:val="2"/>
            <w:shd w:val="clear" w:color="auto" w:fill="auto"/>
            <w:vAlign w:val="bottom"/>
          </w:tcPr>
          <w:p w:rsidR="008F2237" w:rsidRPr="008F2237" w:rsidP="008F2237" w14:paraId="582EBEDE" w14:textId="25E31B86">
            <w:pPr>
              <w:autoSpaceDE w:val="0"/>
              <w:autoSpaceDN w:val="0"/>
              <w:adjustRightInd w:val="0"/>
              <w:rPr>
                <w:b/>
                <w:bCs/>
                <w:i/>
              </w:rPr>
            </w:pPr>
            <w:r w:rsidRPr="009C37CE">
              <w:rPr>
                <w:b/>
                <w:bCs/>
                <w:i/>
              </w:rPr>
              <w:t>Project Time Schedule</w:t>
            </w:r>
          </w:p>
        </w:tc>
      </w:tr>
      <w:tr w14:paraId="2A19CD1F" w14:textId="77777777" w:rsidTr="00DE5008">
        <w:tblPrEx>
          <w:tblW w:w="8729" w:type="dxa"/>
          <w:tblLook w:val="04A0"/>
        </w:tblPrEx>
        <w:trPr>
          <w:trHeight w:val="260"/>
        </w:trPr>
        <w:tc>
          <w:tcPr>
            <w:tcW w:w="4364" w:type="dxa"/>
            <w:vAlign w:val="bottom"/>
          </w:tcPr>
          <w:p w:rsidR="008F2237" w:rsidRPr="008F2237" w:rsidP="008F2237" w14:paraId="563EEAB5" w14:textId="77777777">
            <w:pPr>
              <w:autoSpaceDE w:val="0"/>
              <w:autoSpaceDN w:val="0"/>
              <w:adjustRightInd w:val="0"/>
              <w:rPr>
                <w:b/>
                <w:bCs/>
              </w:rPr>
            </w:pPr>
            <w:r w:rsidRPr="008F2237">
              <w:rPr>
                <w:b/>
                <w:bCs/>
              </w:rPr>
              <w:t>Activity</w:t>
            </w:r>
          </w:p>
        </w:tc>
        <w:tc>
          <w:tcPr>
            <w:tcW w:w="4365" w:type="dxa"/>
            <w:vAlign w:val="bottom"/>
          </w:tcPr>
          <w:p w:rsidR="008F2237" w:rsidRPr="008F2237" w:rsidP="008F2237" w14:paraId="46BF0B1A" w14:textId="77777777">
            <w:pPr>
              <w:autoSpaceDE w:val="0"/>
              <w:autoSpaceDN w:val="0"/>
              <w:adjustRightInd w:val="0"/>
              <w:rPr>
                <w:b/>
                <w:bCs/>
              </w:rPr>
            </w:pPr>
            <w:r w:rsidRPr="008F2237">
              <w:rPr>
                <w:b/>
                <w:bCs/>
              </w:rPr>
              <w:t>Time Schedule</w:t>
            </w:r>
          </w:p>
        </w:tc>
      </w:tr>
      <w:tr w14:paraId="1488032D" w14:textId="77777777" w:rsidTr="00DE5008">
        <w:tblPrEx>
          <w:tblW w:w="8729" w:type="dxa"/>
          <w:tblLook w:val="04A0"/>
        </w:tblPrEx>
        <w:trPr>
          <w:trHeight w:val="602"/>
        </w:trPr>
        <w:tc>
          <w:tcPr>
            <w:tcW w:w="4364" w:type="dxa"/>
            <w:vAlign w:val="bottom"/>
          </w:tcPr>
          <w:p w:rsidR="008F2237" w:rsidRPr="008F2237" w:rsidP="008F2237" w14:paraId="3ADEEE96" w14:textId="7ADFAA67">
            <w:pPr>
              <w:autoSpaceDE w:val="0"/>
              <w:autoSpaceDN w:val="0"/>
              <w:adjustRightInd w:val="0"/>
              <w:rPr>
                <w:bCs/>
              </w:rPr>
            </w:pPr>
            <w:r>
              <w:rPr>
                <w:bCs/>
              </w:rPr>
              <w:t xml:space="preserve">Annual data collection as described in </w:t>
            </w:r>
            <w:r w:rsidR="00C725C4">
              <w:rPr>
                <w:bCs/>
              </w:rPr>
              <w:t>Section A.2 and A.12</w:t>
            </w:r>
          </w:p>
        </w:tc>
        <w:tc>
          <w:tcPr>
            <w:tcW w:w="4365" w:type="dxa"/>
            <w:vAlign w:val="bottom"/>
          </w:tcPr>
          <w:p w:rsidR="008F2237" w:rsidRPr="008F2237" w:rsidP="008F2237" w14:paraId="1573BF8B" w14:textId="6A6D090D">
            <w:pPr>
              <w:autoSpaceDE w:val="0"/>
              <w:autoSpaceDN w:val="0"/>
              <w:adjustRightInd w:val="0"/>
              <w:rPr>
                <w:bCs/>
              </w:rPr>
            </w:pPr>
            <w:r>
              <w:rPr>
                <w:bCs/>
              </w:rPr>
              <w:t xml:space="preserve">Ongoing </w:t>
            </w:r>
            <w:r w:rsidR="001A057A">
              <w:rPr>
                <w:bCs/>
              </w:rPr>
              <w:t xml:space="preserve">once annually </w:t>
            </w:r>
            <w:r w:rsidR="00642609">
              <w:rPr>
                <w:bCs/>
              </w:rPr>
              <w:t>1-</w:t>
            </w:r>
            <w:r w:rsidR="0031170D">
              <w:rPr>
                <w:bCs/>
              </w:rPr>
              <w:t xml:space="preserve">30 months </w:t>
            </w:r>
            <w:r w:rsidR="002762BA">
              <w:rPr>
                <w:bCs/>
              </w:rPr>
              <w:t xml:space="preserve">after OMB approval. </w:t>
            </w:r>
          </w:p>
        </w:tc>
      </w:tr>
      <w:tr w14:paraId="6CEB8BF4" w14:textId="77777777" w:rsidTr="00DE5008">
        <w:tblPrEx>
          <w:tblW w:w="8729" w:type="dxa"/>
          <w:tblLook w:val="04A0"/>
        </w:tblPrEx>
        <w:trPr>
          <w:trHeight w:val="368"/>
        </w:trPr>
        <w:tc>
          <w:tcPr>
            <w:tcW w:w="4364" w:type="dxa"/>
            <w:vAlign w:val="bottom"/>
          </w:tcPr>
          <w:p w:rsidR="002C20BB" w:rsidRPr="008F2237" w:rsidP="008F2237" w14:paraId="40EE9A5B" w14:textId="221E856F">
            <w:pPr>
              <w:autoSpaceDE w:val="0"/>
              <w:autoSpaceDN w:val="0"/>
              <w:adjustRightInd w:val="0"/>
              <w:rPr>
                <w:bCs/>
              </w:rPr>
            </w:pPr>
            <w:r>
              <w:rPr>
                <w:bCs/>
              </w:rPr>
              <w:t xml:space="preserve">Data </w:t>
            </w:r>
            <w:r w:rsidR="00782B1F">
              <w:rPr>
                <w:bCs/>
              </w:rPr>
              <w:t>cleaning and analysis</w:t>
            </w:r>
          </w:p>
        </w:tc>
        <w:tc>
          <w:tcPr>
            <w:tcW w:w="4365" w:type="dxa"/>
            <w:vAlign w:val="bottom"/>
          </w:tcPr>
          <w:p w:rsidR="002C20BB" w:rsidRPr="008F2237" w:rsidP="008F2237" w14:paraId="1CA47A10" w14:textId="21AEF960">
            <w:pPr>
              <w:autoSpaceDE w:val="0"/>
              <w:autoSpaceDN w:val="0"/>
              <w:adjustRightInd w:val="0"/>
              <w:rPr>
                <w:bCs/>
              </w:rPr>
            </w:pPr>
            <w:r>
              <w:rPr>
                <w:bCs/>
              </w:rPr>
              <w:t>Ongoing annually 4-36 months after OMB approval.</w:t>
            </w:r>
          </w:p>
        </w:tc>
      </w:tr>
      <w:tr w14:paraId="66947C31" w14:textId="77777777" w:rsidTr="00DE5008">
        <w:tblPrEx>
          <w:tblW w:w="8729" w:type="dxa"/>
          <w:tblLook w:val="04A0"/>
        </w:tblPrEx>
        <w:trPr>
          <w:trHeight w:val="422"/>
        </w:trPr>
        <w:tc>
          <w:tcPr>
            <w:tcW w:w="4364" w:type="dxa"/>
            <w:vAlign w:val="bottom"/>
          </w:tcPr>
          <w:p w:rsidR="002C20BB" w:rsidRPr="008F2237" w:rsidP="008F2237" w14:paraId="23650F2C" w14:textId="1428A835">
            <w:pPr>
              <w:autoSpaceDE w:val="0"/>
              <w:autoSpaceDN w:val="0"/>
              <w:adjustRightInd w:val="0"/>
              <w:rPr>
                <w:bCs/>
              </w:rPr>
            </w:pPr>
            <w:r>
              <w:rPr>
                <w:bCs/>
              </w:rPr>
              <w:t xml:space="preserve">Reporting of evaluation </w:t>
            </w:r>
            <w:r w:rsidR="002F2FD0">
              <w:rPr>
                <w:bCs/>
              </w:rPr>
              <w:t>data and findings to recipients and stakeholders</w:t>
            </w:r>
          </w:p>
        </w:tc>
        <w:tc>
          <w:tcPr>
            <w:tcW w:w="4365" w:type="dxa"/>
            <w:vAlign w:val="bottom"/>
          </w:tcPr>
          <w:p w:rsidR="002C20BB" w:rsidRPr="008F2237" w:rsidP="008F2237" w14:paraId="7703C474" w14:textId="41B3B2AF">
            <w:pPr>
              <w:autoSpaceDE w:val="0"/>
              <w:autoSpaceDN w:val="0"/>
              <w:adjustRightInd w:val="0"/>
              <w:rPr>
                <w:bCs/>
              </w:rPr>
            </w:pPr>
            <w:r>
              <w:rPr>
                <w:bCs/>
              </w:rPr>
              <w:t xml:space="preserve">Ongoing annually </w:t>
            </w:r>
            <w:r w:rsidR="00B869E6">
              <w:rPr>
                <w:bCs/>
              </w:rPr>
              <w:t>8</w:t>
            </w:r>
            <w:r>
              <w:rPr>
                <w:bCs/>
              </w:rPr>
              <w:t>-3</w:t>
            </w:r>
            <w:r w:rsidR="004D5A55">
              <w:rPr>
                <w:bCs/>
              </w:rPr>
              <w:t>6</w:t>
            </w:r>
            <w:r>
              <w:rPr>
                <w:bCs/>
              </w:rPr>
              <w:t xml:space="preserve"> months after OMB approval.</w:t>
            </w:r>
          </w:p>
        </w:tc>
      </w:tr>
      <w:tr w14:paraId="6CAB3D60" w14:textId="77777777" w:rsidTr="00DE5008">
        <w:tblPrEx>
          <w:tblW w:w="8729" w:type="dxa"/>
          <w:tblLook w:val="04A0"/>
        </w:tblPrEx>
        <w:trPr>
          <w:trHeight w:val="422"/>
        </w:trPr>
        <w:tc>
          <w:tcPr>
            <w:tcW w:w="4364" w:type="dxa"/>
            <w:vAlign w:val="bottom"/>
          </w:tcPr>
          <w:p w:rsidR="00AD564E" w:rsidP="008F2237" w14:paraId="5874D84C" w14:textId="683B8C4D">
            <w:pPr>
              <w:autoSpaceDE w:val="0"/>
              <w:autoSpaceDN w:val="0"/>
              <w:adjustRightInd w:val="0"/>
              <w:rPr>
                <w:bCs/>
              </w:rPr>
            </w:pPr>
            <w:r>
              <w:rPr>
                <w:bCs/>
              </w:rPr>
              <w:t xml:space="preserve">Quarterly data collection as described in Section </w:t>
            </w:r>
            <w:r w:rsidR="007D0BCA">
              <w:rPr>
                <w:bCs/>
              </w:rPr>
              <w:t>A.2 and A.12</w:t>
            </w:r>
          </w:p>
        </w:tc>
        <w:tc>
          <w:tcPr>
            <w:tcW w:w="4365" w:type="dxa"/>
            <w:vAlign w:val="bottom"/>
          </w:tcPr>
          <w:p w:rsidR="00AD564E" w:rsidP="008F2237" w14:paraId="159ABF58" w14:textId="182480AA">
            <w:pPr>
              <w:autoSpaceDE w:val="0"/>
              <w:autoSpaceDN w:val="0"/>
              <w:adjustRightInd w:val="0"/>
              <w:rPr>
                <w:bCs/>
              </w:rPr>
            </w:pPr>
            <w:r>
              <w:rPr>
                <w:bCs/>
              </w:rPr>
              <w:t xml:space="preserve">Ongoing </w:t>
            </w:r>
            <w:r w:rsidR="004368B3">
              <w:rPr>
                <w:bCs/>
              </w:rPr>
              <w:t>quarterly 6 months after OMB approval</w:t>
            </w:r>
          </w:p>
        </w:tc>
      </w:tr>
    </w:tbl>
    <w:p w:rsidR="008F2237" w:rsidRPr="008F2237" w:rsidP="008F2237" w14:paraId="4ED0DBB6" w14:textId="77777777">
      <w:pPr>
        <w:autoSpaceDE w:val="0"/>
        <w:autoSpaceDN w:val="0"/>
        <w:adjustRightInd w:val="0"/>
        <w:rPr>
          <w:bCs/>
        </w:rPr>
      </w:pPr>
    </w:p>
    <w:p w:rsidR="008F2237" w:rsidRPr="008F2237" w:rsidP="008F2237" w14:paraId="3D89BC5E" w14:textId="77777777">
      <w:pPr>
        <w:autoSpaceDE w:val="0"/>
        <w:autoSpaceDN w:val="0"/>
        <w:adjustRightInd w:val="0"/>
        <w:rPr>
          <w:bCs/>
        </w:rPr>
      </w:pPr>
    </w:p>
    <w:p w:rsidR="008F2237" w:rsidRPr="008F2237" w:rsidP="008F2237" w14:paraId="680C4786" w14:textId="77777777">
      <w:pPr>
        <w:autoSpaceDE w:val="0"/>
        <w:autoSpaceDN w:val="0"/>
        <w:adjustRightInd w:val="0"/>
        <w:rPr>
          <w:bCs/>
        </w:rPr>
      </w:pPr>
    </w:p>
    <w:p w:rsidR="008F2237" w:rsidRPr="008F2237" w:rsidP="008F2237" w14:paraId="3A20D6AB" w14:textId="77777777">
      <w:pPr>
        <w:autoSpaceDE w:val="0"/>
        <w:autoSpaceDN w:val="0"/>
        <w:adjustRightInd w:val="0"/>
        <w:rPr>
          <w:bCs/>
        </w:rPr>
      </w:pPr>
    </w:p>
    <w:p w:rsidR="008F2237" w:rsidRPr="008F2237" w:rsidP="008F2237" w14:paraId="18D822AF" w14:textId="77777777">
      <w:pPr>
        <w:autoSpaceDE w:val="0"/>
        <w:autoSpaceDN w:val="0"/>
        <w:adjustRightInd w:val="0"/>
        <w:rPr>
          <w:b/>
          <w:bCs/>
        </w:rPr>
      </w:pPr>
    </w:p>
    <w:p w:rsidR="008F2237" w:rsidRPr="008F2237" w:rsidP="008F2237" w14:paraId="36B74EC5" w14:textId="77777777">
      <w:pPr>
        <w:autoSpaceDE w:val="0"/>
        <w:autoSpaceDN w:val="0"/>
        <w:adjustRightInd w:val="0"/>
        <w:rPr>
          <w:b/>
          <w:bCs/>
        </w:rPr>
      </w:pPr>
    </w:p>
    <w:p w:rsidR="008F2237" w:rsidRPr="008F2237" w:rsidP="008F2237" w14:paraId="3155A213" w14:textId="77777777">
      <w:pPr>
        <w:autoSpaceDE w:val="0"/>
        <w:autoSpaceDN w:val="0"/>
        <w:adjustRightInd w:val="0"/>
        <w:rPr>
          <w:b/>
          <w:bCs/>
        </w:rPr>
      </w:pPr>
    </w:p>
    <w:p w:rsidR="008F2237" w:rsidRPr="008F2237" w:rsidP="008F2237" w14:paraId="3D3789D2" w14:textId="77777777">
      <w:pPr>
        <w:autoSpaceDE w:val="0"/>
        <w:autoSpaceDN w:val="0"/>
        <w:adjustRightInd w:val="0"/>
        <w:rPr>
          <w:b/>
          <w:bCs/>
        </w:rPr>
      </w:pPr>
    </w:p>
    <w:p w:rsidR="008F2237" w:rsidRPr="008F2237" w:rsidP="008F2237" w14:paraId="16AF0BBE" w14:textId="77777777">
      <w:pPr>
        <w:autoSpaceDE w:val="0"/>
        <w:autoSpaceDN w:val="0"/>
        <w:adjustRightInd w:val="0"/>
        <w:rPr>
          <w:b/>
          <w:bCs/>
        </w:rPr>
      </w:pPr>
    </w:p>
    <w:p w:rsidR="008F2237" w:rsidRPr="008F2237" w:rsidP="008F2237" w14:paraId="54623251" w14:textId="77777777">
      <w:pPr>
        <w:autoSpaceDE w:val="0"/>
        <w:autoSpaceDN w:val="0"/>
        <w:adjustRightInd w:val="0"/>
        <w:rPr>
          <w:b/>
          <w:bCs/>
        </w:rPr>
      </w:pPr>
    </w:p>
    <w:p w:rsidR="00760067" w:rsidP="00972DEF" w14:paraId="40822395" w14:textId="77777777">
      <w:pPr>
        <w:autoSpaceDE w:val="0"/>
        <w:autoSpaceDN w:val="0"/>
        <w:adjustRightInd w:val="0"/>
        <w:rPr>
          <w:bCs/>
        </w:rPr>
      </w:pPr>
    </w:p>
    <w:p w:rsidR="002D089F" w:rsidP="00972DEF" w14:paraId="3B76BBAF" w14:textId="77777777">
      <w:pPr>
        <w:autoSpaceDE w:val="0"/>
        <w:autoSpaceDN w:val="0"/>
        <w:adjustRightInd w:val="0"/>
        <w:rPr>
          <w:b/>
          <w:bCs/>
        </w:rPr>
      </w:pPr>
    </w:p>
    <w:p w:rsidR="00972DEF" w:rsidRPr="00691454" w:rsidP="00972DEF" w14:paraId="40822396" w14:textId="745351D1">
      <w:pPr>
        <w:autoSpaceDE w:val="0"/>
        <w:autoSpaceDN w:val="0"/>
        <w:adjustRightInd w:val="0"/>
        <w:rPr>
          <w:b/>
          <w:bCs/>
        </w:rPr>
      </w:pPr>
      <w:r w:rsidRPr="00691454">
        <w:rPr>
          <w:b/>
          <w:bCs/>
        </w:rPr>
        <w:t xml:space="preserve">A.17. Reason(s) Display of OMB Expiration Date is Inappropriate </w:t>
      </w:r>
    </w:p>
    <w:p w:rsidR="00972DEF" w:rsidRPr="00691454" w:rsidP="00972DEF" w14:paraId="40822397" w14:textId="77777777">
      <w:pPr>
        <w:autoSpaceDE w:val="0"/>
        <w:autoSpaceDN w:val="0"/>
        <w:adjustRightInd w:val="0"/>
        <w:rPr>
          <w:b/>
          <w:bCs/>
        </w:rPr>
      </w:pPr>
    </w:p>
    <w:p w:rsidR="00972DEF" w:rsidRPr="00691454" w:rsidP="00972DEF" w14:paraId="40822398" w14:textId="77777777">
      <w:pPr>
        <w:autoSpaceDE w:val="0"/>
        <w:autoSpaceDN w:val="0"/>
        <w:adjustRightInd w:val="0"/>
      </w:pPr>
      <w:r w:rsidRPr="00691454">
        <w:t>The display of the OMB expiration date is not inappropriate</w:t>
      </w:r>
      <w:r w:rsidRPr="00691454" w:rsidR="00D11EEB">
        <w:t>.</w:t>
      </w:r>
    </w:p>
    <w:p w:rsidR="00972DEF" w:rsidRPr="00691454" w:rsidP="00972DEF" w14:paraId="40822399" w14:textId="77777777">
      <w:pPr>
        <w:autoSpaceDE w:val="0"/>
        <w:autoSpaceDN w:val="0"/>
        <w:adjustRightInd w:val="0"/>
      </w:pPr>
    </w:p>
    <w:p w:rsidR="00972DEF" w:rsidRPr="00691454" w:rsidP="00972DEF" w14:paraId="4082239A" w14:textId="77777777">
      <w:pPr>
        <w:autoSpaceDE w:val="0"/>
        <w:autoSpaceDN w:val="0"/>
        <w:adjustRightInd w:val="0"/>
        <w:rPr>
          <w:b/>
          <w:bCs/>
        </w:rPr>
      </w:pPr>
      <w:r w:rsidRPr="00691454">
        <w:rPr>
          <w:b/>
          <w:bCs/>
        </w:rPr>
        <w:t xml:space="preserve">A.18. Exceptions to Certification for Paperwork Reduction Act Submissions </w:t>
      </w:r>
    </w:p>
    <w:p w:rsidR="00972DEF" w:rsidRPr="00691454" w:rsidP="00972DEF" w14:paraId="4082239B" w14:textId="77777777">
      <w:pPr>
        <w:autoSpaceDE w:val="0"/>
        <w:autoSpaceDN w:val="0"/>
        <w:adjustRightInd w:val="0"/>
        <w:rPr>
          <w:b/>
          <w:bCs/>
        </w:rPr>
      </w:pPr>
    </w:p>
    <w:p w:rsidR="00742897" w:rsidRPr="00760067" w:rsidP="00742897" w14:paraId="4082239F" w14:textId="32D95968">
      <w:pPr>
        <w:rPr>
          <w:b/>
          <w:bCs/>
        </w:rPr>
      </w:pPr>
      <w:r w:rsidRPr="00691454">
        <w:t>There are no exceptions to the certification.</w:t>
      </w:r>
    </w:p>
    <w:sectPr w:rsidSect="001A0A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rsidP="001A0A8C" w14:paraId="408223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10E6" w:rsidP="001A0A8C" w14:paraId="408223A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rsidP="001A0A8C" w14:paraId="408223A8" w14:textId="6A483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0BB">
      <w:rPr>
        <w:rStyle w:val="PageNumber"/>
        <w:noProof/>
      </w:rPr>
      <w:t>2</w:t>
    </w:r>
    <w:r>
      <w:rPr>
        <w:rStyle w:val="PageNumber"/>
      </w:rPr>
      <w:fldChar w:fldCharType="end"/>
    </w:r>
  </w:p>
  <w:p w:rsidR="00FE10E6" w:rsidRPr="00BB4559" w:rsidP="00144640" w14:paraId="408223A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14:paraId="301B2012" w14:textId="7FC958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EDC" w14:paraId="3E7439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EDC" w14:paraId="26327E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EDC" w14:paraId="03B3DF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22B9"/>
    <w:multiLevelType w:val="hybridMultilevel"/>
    <w:tmpl w:val="74044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855667"/>
    <w:multiLevelType w:val="hybridMultilevel"/>
    <w:tmpl w:val="DE9CA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3D2A77"/>
    <w:multiLevelType w:val="hybridMultilevel"/>
    <w:tmpl w:val="3C88B7B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C15CB1"/>
    <w:multiLevelType w:val="hybridMultilevel"/>
    <w:tmpl w:val="55900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EA3432"/>
    <w:multiLevelType w:val="hybridMultilevel"/>
    <w:tmpl w:val="4DD697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662DFA"/>
    <w:multiLevelType w:val="hybridMultilevel"/>
    <w:tmpl w:val="22603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435D06"/>
    <w:multiLevelType w:val="hybridMultilevel"/>
    <w:tmpl w:val="0066944A"/>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1CE4EA4"/>
    <w:multiLevelType w:val="hybridMultilevel"/>
    <w:tmpl w:val="68D4F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101102"/>
    <w:multiLevelType w:val="hybridMultilevel"/>
    <w:tmpl w:val="75C0B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3D174B3"/>
    <w:multiLevelType w:val="hybridMultilevel"/>
    <w:tmpl w:val="A150073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B26D72"/>
    <w:multiLevelType w:val="hybridMultilevel"/>
    <w:tmpl w:val="07FCA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6D52FFB"/>
    <w:multiLevelType w:val="hybridMultilevel"/>
    <w:tmpl w:val="F9C6A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B7170E"/>
    <w:multiLevelType w:val="hybridMultilevel"/>
    <w:tmpl w:val="B2B2C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C03F73"/>
    <w:multiLevelType w:val="hybridMultilevel"/>
    <w:tmpl w:val="C2BC2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AD3189"/>
    <w:multiLevelType w:val="hybridMultilevel"/>
    <w:tmpl w:val="2368AAF8"/>
    <w:lvl w:ilvl="0">
      <w:start w:val="1"/>
      <w:numFmt w:val="bullet"/>
      <w:pStyle w:val="BulletLeve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1ED05601"/>
    <w:multiLevelType w:val="hybridMultilevel"/>
    <w:tmpl w:val="744E3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19">
    <w:nsid w:val="1F6058D2"/>
    <w:multiLevelType w:val="hybridMultilevel"/>
    <w:tmpl w:val="63E85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830223"/>
    <w:multiLevelType w:val="hybridMultilevel"/>
    <w:tmpl w:val="08C25C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6C63D80"/>
    <w:multiLevelType w:val="hybridMultilevel"/>
    <w:tmpl w:val="11FEB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2C086440"/>
    <w:multiLevelType w:val="hybridMultilevel"/>
    <w:tmpl w:val="BAF287E8"/>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7F5D1D"/>
    <w:multiLevelType w:val="hybridMultilevel"/>
    <w:tmpl w:val="F4A2974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6">
    <w:nsid w:val="31803258"/>
    <w:multiLevelType w:val="hybridMultilevel"/>
    <w:tmpl w:val="43767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22335DF"/>
    <w:multiLevelType w:val="hybridMultilevel"/>
    <w:tmpl w:val="B320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871157D"/>
    <w:multiLevelType w:val="hybridMultilevel"/>
    <w:tmpl w:val="24C0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BDD4632"/>
    <w:multiLevelType w:val="hybridMultilevel"/>
    <w:tmpl w:val="799A8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E0D2765"/>
    <w:multiLevelType w:val="hybridMultilevel"/>
    <w:tmpl w:val="2A704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EDB2435"/>
    <w:multiLevelType w:val="hybridMultilevel"/>
    <w:tmpl w:val="9FB0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EDB275C"/>
    <w:multiLevelType w:val="hybridMultilevel"/>
    <w:tmpl w:val="5DA63E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8FDDA4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0F3312B"/>
    <w:multiLevelType w:val="hybridMultilevel"/>
    <w:tmpl w:val="0DFA8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D65C09"/>
    <w:multiLevelType w:val="hybridMultilevel"/>
    <w:tmpl w:val="E8B4BD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135CE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5C1147C5"/>
    <w:multiLevelType w:val="hybridMultilevel"/>
    <w:tmpl w:val="39B090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1FF39D6"/>
    <w:multiLevelType w:val="hybridMultilevel"/>
    <w:tmpl w:val="2B1AE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6256866"/>
    <w:multiLevelType w:val="hybridMultilevel"/>
    <w:tmpl w:val="CDD04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E74915"/>
    <w:multiLevelType w:val="hybridMultilevel"/>
    <w:tmpl w:val="D4EE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26901DB"/>
    <w:multiLevelType w:val="hybridMultilevel"/>
    <w:tmpl w:val="512C8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86146A"/>
    <w:multiLevelType w:val="hybridMulti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7E751FDB"/>
    <w:multiLevelType w:val="hybridMultilevel"/>
    <w:tmpl w:val="BA0E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5843514">
    <w:abstractNumId w:val="0"/>
  </w:num>
  <w:num w:numId="2" w16cid:durableId="67924624">
    <w:abstractNumId w:val="38"/>
  </w:num>
  <w:num w:numId="3" w16cid:durableId="187065300">
    <w:abstractNumId w:val="29"/>
  </w:num>
  <w:num w:numId="4" w16cid:durableId="760102055">
    <w:abstractNumId w:val="8"/>
  </w:num>
  <w:num w:numId="5" w16cid:durableId="182788528">
    <w:abstractNumId w:val="17"/>
  </w:num>
  <w:num w:numId="6" w16cid:durableId="787504715">
    <w:abstractNumId w:val="28"/>
  </w:num>
  <w:num w:numId="7" w16cid:durableId="580061962">
    <w:abstractNumId w:val="15"/>
  </w:num>
  <w:num w:numId="8" w16cid:durableId="1141264430">
    <w:abstractNumId w:val="40"/>
  </w:num>
  <w:num w:numId="9" w16cid:durableId="1463617518">
    <w:abstractNumId w:val="1"/>
  </w:num>
  <w:num w:numId="10" w16cid:durableId="21980859">
    <w:abstractNumId w:val="37"/>
  </w:num>
  <w:num w:numId="11" w16cid:durableId="1592861035">
    <w:abstractNumId w:val="10"/>
  </w:num>
  <w:num w:numId="12" w16cid:durableId="544410614">
    <w:abstractNumId w:val="42"/>
  </w:num>
  <w:num w:numId="13" w16cid:durableId="856771877">
    <w:abstractNumId w:val="16"/>
  </w:num>
  <w:num w:numId="14" w16cid:durableId="1549561729">
    <w:abstractNumId w:val="18"/>
  </w:num>
  <w:num w:numId="15" w16cid:durableId="1286428170">
    <w:abstractNumId w:val="22"/>
  </w:num>
  <w:num w:numId="16" w16cid:durableId="1232273803">
    <w:abstractNumId w:val="24"/>
  </w:num>
  <w:num w:numId="17" w16cid:durableId="1381787299">
    <w:abstractNumId w:val="6"/>
  </w:num>
  <w:num w:numId="18" w16cid:durableId="887649145">
    <w:abstractNumId w:val="27"/>
  </w:num>
  <w:num w:numId="19" w16cid:durableId="187912673">
    <w:abstractNumId w:val="13"/>
  </w:num>
  <w:num w:numId="20" w16cid:durableId="1470171156">
    <w:abstractNumId w:val="3"/>
  </w:num>
  <w:num w:numId="21" w16cid:durableId="913199864">
    <w:abstractNumId w:val="12"/>
  </w:num>
  <w:num w:numId="22" w16cid:durableId="117578232">
    <w:abstractNumId w:val="20"/>
  </w:num>
  <w:num w:numId="23" w16cid:durableId="1013915733">
    <w:abstractNumId w:val="7"/>
  </w:num>
  <w:num w:numId="24" w16cid:durableId="592473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397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841407">
    <w:abstractNumId w:val="25"/>
  </w:num>
  <w:num w:numId="27" w16cid:durableId="784814161">
    <w:abstractNumId w:val="19"/>
  </w:num>
  <w:num w:numId="28" w16cid:durableId="1058362527">
    <w:abstractNumId w:val="44"/>
  </w:num>
  <w:num w:numId="29" w16cid:durableId="1364936842">
    <w:abstractNumId w:val="4"/>
  </w:num>
  <w:num w:numId="30" w16cid:durableId="985553084">
    <w:abstractNumId w:val="32"/>
  </w:num>
  <w:num w:numId="31" w16cid:durableId="1817333330">
    <w:abstractNumId w:val="2"/>
  </w:num>
  <w:num w:numId="32" w16cid:durableId="663435560">
    <w:abstractNumId w:val="43"/>
  </w:num>
  <w:num w:numId="33" w16cid:durableId="288902474">
    <w:abstractNumId w:val="14"/>
  </w:num>
  <w:num w:numId="34" w16cid:durableId="1993025854">
    <w:abstractNumId w:val="31"/>
  </w:num>
  <w:num w:numId="35" w16cid:durableId="1979021447">
    <w:abstractNumId w:val="26"/>
  </w:num>
  <w:num w:numId="36" w16cid:durableId="2084134237">
    <w:abstractNumId w:val="34"/>
  </w:num>
  <w:num w:numId="37" w16cid:durableId="42993360">
    <w:abstractNumId w:val="30"/>
  </w:num>
  <w:num w:numId="38" w16cid:durableId="1465345950">
    <w:abstractNumId w:val="41"/>
  </w:num>
  <w:num w:numId="39" w16cid:durableId="180509272">
    <w:abstractNumId w:val="21"/>
  </w:num>
  <w:num w:numId="40" w16cid:durableId="246429426">
    <w:abstractNumId w:val="5"/>
  </w:num>
  <w:num w:numId="41" w16cid:durableId="2090610205">
    <w:abstractNumId w:val="39"/>
  </w:num>
  <w:num w:numId="42" w16cid:durableId="1690908022">
    <w:abstractNumId w:val="9"/>
  </w:num>
  <w:num w:numId="43" w16cid:durableId="190074770">
    <w:abstractNumId w:val="33"/>
  </w:num>
  <w:num w:numId="44" w16cid:durableId="3141416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3522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965054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F"/>
    <w:rsid w:val="00002669"/>
    <w:rsid w:val="00002C89"/>
    <w:rsid w:val="00002CB2"/>
    <w:rsid w:val="00002FD5"/>
    <w:rsid w:val="00003D0C"/>
    <w:rsid w:val="00004EE7"/>
    <w:rsid w:val="000062AD"/>
    <w:rsid w:val="00006712"/>
    <w:rsid w:val="00006756"/>
    <w:rsid w:val="000068D5"/>
    <w:rsid w:val="00006CD4"/>
    <w:rsid w:val="00006D1D"/>
    <w:rsid w:val="00007EDD"/>
    <w:rsid w:val="00011980"/>
    <w:rsid w:val="00011D89"/>
    <w:rsid w:val="00012596"/>
    <w:rsid w:val="00012C80"/>
    <w:rsid w:val="0001311E"/>
    <w:rsid w:val="00013F0A"/>
    <w:rsid w:val="00014066"/>
    <w:rsid w:val="0001452F"/>
    <w:rsid w:val="00014C5D"/>
    <w:rsid w:val="00014F29"/>
    <w:rsid w:val="000151A9"/>
    <w:rsid w:val="000164E2"/>
    <w:rsid w:val="00016731"/>
    <w:rsid w:val="000174EA"/>
    <w:rsid w:val="00020312"/>
    <w:rsid w:val="0002094F"/>
    <w:rsid w:val="00020C13"/>
    <w:rsid w:val="000211C8"/>
    <w:rsid w:val="00021396"/>
    <w:rsid w:val="00022926"/>
    <w:rsid w:val="000236D9"/>
    <w:rsid w:val="00023A88"/>
    <w:rsid w:val="00024097"/>
    <w:rsid w:val="00024146"/>
    <w:rsid w:val="0002458F"/>
    <w:rsid w:val="0002518C"/>
    <w:rsid w:val="00025744"/>
    <w:rsid w:val="00025AD3"/>
    <w:rsid w:val="00025CC1"/>
    <w:rsid w:val="000268B8"/>
    <w:rsid w:val="00026AF9"/>
    <w:rsid w:val="00026C55"/>
    <w:rsid w:val="00030B06"/>
    <w:rsid w:val="000311E8"/>
    <w:rsid w:val="00031FD1"/>
    <w:rsid w:val="000325A1"/>
    <w:rsid w:val="00032EAB"/>
    <w:rsid w:val="00033F7A"/>
    <w:rsid w:val="000341F7"/>
    <w:rsid w:val="00034CB3"/>
    <w:rsid w:val="00034D66"/>
    <w:rsid w:val="00035FFF"/>
    <w:rsid w:val="00036517"/>
    <w:rsid w:val="000367C0"/>
    <w:rsid w:val="00037139"/>
    <w:rsid w:val="00037618"/>
    <w:rsid w:val="00037B36"/>
    <w:rsid w:val="00040551"/>
    <w:rsid w:val="00041D7A"/>
    <w:rsid w:val="00042148"/>
    <w:rsid w:val="00043C49"/>
    <w:rsid w:val="00043F75"/>
    <w:rsid w:val="000448E5"/>
    <w:rsid w:val="00045AFB"/>
    <w:rsid w:val="000462CE"/>
    <w:rsid w:val="00046631"/>
    <w:rsid w:val="00046D69"/>
    <w:rsid w:val="00047243"/>
    <w:rsid w:val="00047A3B"/>
    <w:rsid w:val="00050115"/>
    <w:rsid w:val="00050E80"/>
    <w:rsid w:val="00050F4C"/>
    <w:rsid w:val="00051DD0"/>
    <w:rsid w:val="000523A4"/>
    <w:rsid w:val="000523C9"/>
    <w:rsid w:val="0005319C"/>
    <w:rsid w:val="00053849"/>
    <w:rsid w:val="00053A49"/>
    <w:rsid w:val="00053C31"/>
    <w:rsid w:val="000541FE"/>
    <w:rsid w:val="00054F7E"/>
    <w:rsid w:val="0005567A"/>
    <w:rsid w:val="000563CC"/>
    <w:rsid w:val="00057064"/>
    <w:rsid w:val="0005718E"/>
    <w:rsid w:val="0005754F"/>
    <w:rsid w:val="00060661"/>
    <w:rsid w:val="00060D89"/>
    <w:rsid w:val="00061436"/>
    <w:rsid w:val="00061AD1"/>
    <w:rsid w:val="000630F3"/>
    <w:rsid w:val="00063B71"/>
    <w:rsid w:val="00063EA6"/>
    <w:rsid w:val="000642F2"/>
    <w:rsid w:val="00064EB7"/>
    <w:rsid w:val="00065DC2"/>
    <w:rsid w:val="000663CC"/>
    <w:rsid w:val="000666C8"/>
    <w:rsid w:val="00066D44"/>
    <w:rsid w:val="00066F07"/>
    <w:rsid w:val="00067E4B"/>
    <w:rsid w:val="000711CD"/>
    <w:rsid w:val="000712EE"/>
    <w:rsid w:val="000714C8"/>
    <w:rsid w:val="00071A17"/>
    <w:rsid w:val="00071A43"/>
    <w:rsid w:val="00072269"/>
    <w:rsid w:val="00073E4B"/>
    <w:rsid w:val="00074A93"/>
    <w:rsid w:val="00076D76"/>
    <w:rsid w:val="00076EE7"/>
    <w:rsid w:val="00077244"/>
    <w:rsid w:val="00080B3F"/>
    <w:rsid w:val="00081BDB"/>
    <w:rsid w:val="00081BDF"/>
    <w:rsid w:val="00082D12"/>
    <w:rsid w:val="00082FB9"/>
    <w:rsid w:val="00084214"/>
    <w:rsid w:val="000847B7"/>
    <w:rsid w:val="000849A5"/>
    <w:rsid w:val="00084F1E"/>
    <w:rsid w:val="00085277"/>
    <w:rsid w:val="000858FA"/>
    <w:rsid w:val="000863B0"/>
    <w:rsid w:val="000868E7"/>
    <w:rsid w:val="000869C6"/>
    <w:rsid w:val="00086D29"/>
    <w:rsid w:val="00087ABF"/>
    <w:rsid w:val="0009080F"/>
    <w:rsid w:val="00091FCF"/>
    <w:rsid w:val="000925D2"/>
    <w:rsid w:val="00093851"/>
    <w:rsid w:val="00093EE2"/>
    <w:rsid w:val="00093F9D"/>
    <w:rsid w:val="00093FAB"/>
    <w:rsid w:val="00094BF2"/>
    <w:rsid w:val="00095AF9"/>
    <w:rsid w:val="00096468"/>
    <w:rsid w:val="0009662B"/>
    <w:rsid w:val="00096790"/>
    <w:rsid w:val="00096849"/>
    <w:rsid w:val="00097122"/>
    <w:rsid w:val="000972C6"/>
    <w:rsid w:val="00097527"/>
    <w:rsid w:val="00097805"/>
    <w:rsid w:val="00097AC9"/>
    <w:rsid w:val="000A0589"/>
    <w:rsid w:val="000A0961"/>
    <w:rsid w:val="000A0F71"/>
    <w:rsid w:val="000A1C80"/>
    <w:rsid w:val="000A2964"/>
    <w:rsid w:val="000A4B10"/>
    <w:rsid w:val="000A51FD"/>
    <w:rsid w:val="000A5768"/>
    <w:rsid w:val="000A647F"/>
    <w:rsid w:val="000A66F0"/>
    <w:rsid w:val="000B00CB"/>
    <w:rsid w:val="000B0B65"/>
    <w:rsid w:val="000B0BC8"/>
    <w:rsid w:val="000B2CB2"/>
    <w:rsid w:val="000B37E2"/>
    <w:rsid w:val="000B3809"/>
    <w:rsid w:val="000B3942"/>
    <w:rsid w:val="000B40E1"/>
    <w:rsid w:val="000B448F"/>
    <w:rsid w:val="000B44A6"/>
    <w:rsid w:val="000B516D"/>
    <w:rsid w:val="000B55DA"/>
    <w:rsid w:val="000B59A2"/>
    <w:rsid w:val="000B651E"/>
    <w:rsid w:val="000B7303"/>
    <w:rsid w:val="000C274B"/>
    <w:rsid w:val="000C2EFC"/>
    <w:rsid w:val="000C3B79"/>
    <w:rsid w:val="000C4150"/>
    <w:rsid w:val="000C457B"/>
    <w:rsid w:val="000C4CAF"/>
    <w:rsid w:val="000C5528"/>
    <w:rsid w:val="000C5692"/>
    <w:rsid w:val="000C5B4A"/>
    <w:rsid w:val="000C6045"/>
    <w:rsid w:val="000D00A8"/>
    <w:rsid w:val="000D05A0"/>
    <w:rsid w:val="000D05DE"/>
    <w:rsid w:val="000D0892"/>
    <w:rsid w:val="000D31C0"/>
    <w:rsid w:val="000D487E"/>
    <w:rsid w:val="000D4D34"/>
    <w:rsid w:val="000D553B"/>
    <w:rsid w:val="000D6D27"/>
    <w:rsid w:val="000D6E04"/>
    <w:rsid w:val="000D720E"/>
    <w:rsid w:val="000D74BE"/>
    <w:rsid w:val="000E0822"/>
    <w:rsid w:val="000E1F62"/>
    <w:rsid w:val="000E215E"/>
    <w:rsid w:val="000E2E16"/>
    <w:rsid w:val="000E308F"/>
    <w:rsid w:val="000E3608"/>
    <w:rsid w:val="000E36A0"/>
    <w:rsid w:val="000E3BC9"/>
    <w:rsid w:val="000E3CED"/>
    <w:rsid w:val="000E49E6"/>
    <w:rsid w:val="000E4D7B"/>
    <w:rsid w:val="000E52D9"/>
    <w:rsid w:val="000E78D7"/>
    <w:rsid w:val="000E7A8D"/>
    <w:rsid w:val="000F01EB"/>
    <w:rsid w:val="000F0208"/>
    <w:rsid w:val="000F0DF0"/>
    <w:rsid w:val="000F0EE6"/>
    <w:rsid w:val="000F1766"/>
    <w:rsid w:val="000F19A7"/>
    <w:rsid w:val="000F1A0E"/>
    <w:rsid w:val="000F251E"/>
    <w:rsid w:val="000F3442"/>
    <w:rsid w:val="000F3E41"/>
    <w:rsid w:val="000F50B9"/>
    <w:rsid w:val="000F517A"/>
    <w:rsid w:val="000F55B5"/>
    <w:rsid w:val="00100097"/>
    <w:rsid w:val="0010088D"/>
    <w:rsid w:val="00100D30"/>
    <w:rsid w:val="001016BA"/>
    <w:rsid w:val="00101C8E"/>
    <w:rsid w:val="001022FD"/>
    <w:rsid w:val="00102734"/>
    <w:rsid w:val="00102825"/>
    <w:rsid w:val="001032C7"/>
    <w:rsid w:val="00103D59"/>
    <w:rsid w:val="001056BD"/>
    <w:rsid w:val="00105B29"/>
    <w:rsid w:val="00106370"/>
    <w:rsid w:val="00107191"/>
    <w:rsid w:val="00111819"/>
    <w:rsid w:val="00111EA3"/>
    <w:rsid w:val="00112C19"/>
    <w:rsid w:val="001134E9"/>
    <w:rsid w:val="001135F3"/>
    <w:rsid w:val="0011402A"/>
    <w:rsid w:val="00114B4B"/>
    <w:rsid w:val="00115A76"/>
    <w:rsid w:val="00115D62"/>
    <w:rsid w:val="00116883"/>
    <w:rsid w:val="00117092"/>
    <w:rsid w:val="001176A2"/>
    <w:rsid w:val="00117C6B"/>
    <w:rsid w:val="00117FD0"/>
    <w:rsid w:val="00122751"/>
    <w:rsid w:val="001245D1"/>
    <w:rsid w:val="00124EB1"/>
    <w:rsid w:val="00124F7A"/>
    <w:rsid w:val="0012575C"/>
    <w:rsid w:val="0012577F"/>
    <w:rsid w:val="00125A6A"/>
    <w:rsid w:val="00125D25"/>
    <w:rsid w:val="001265E4"/>
    <w:rsid w:val="00126958"/>
    <w:rsid w:val="00130499"/>
    <w:rsid w:val="00130E9D"/>
    <w:rsid w:val="001314EF"/>
    <w:rsid w:val="001315F2"/>
    <w:rsid w:val="0013185D"/>
    <w:rsid w:val="00131E01"/>
    <w:rsid w:val="001327D4"/>
    <w:rsid w:val="00133154"/>
    <w:rsid w:val="00133289"/>
    <w:rsid w:val="00134270"/>
    <w:rsid w:val="001342C4"/>
    <w:rsid w:val="00134A8E"/>
    <w:rsid w:val="00134B50"/>
    <w:rsid w:val="001355B4"/>
    <w:rsid w:val="00135823"/>
    <w:rsid w:val="00137639"/>
    <w:rsid w:val="00137794"/>
    <w:rsid w:val="0013799C"/>
    <w:rsid w:val="00137A63"/>
    <w:rsid w:val="00137C77"/>
    <w:rsid w:val="00140AD2"/>
    <w:rsid w:val="00140CB5"/>
    <w:rsid w:val="00140F38"/>
    <w:rsid w:val="001410BE"/>
    <w:rsid w:val="0014162A"/>
    <w:rsid w:val="00141F78"/>
    <w:rsid w:val="001424A8"/>
    <w:rsid w:val="00142698"/>
    <w:rsid w:val="00142EAA"/>
    <w:rsid w:val="00143326"/>
    <w:rsid w:val="0014354C"/>
    <w:rsid w:val="00143A97"/>
    <w:rsid w:val="00143BF1"/>
    <w:rsid w:val="001440C5"/>
    <w:rsid w:val="00144640"/>
    <w:rsid w:val="00147660"/>
    <w:rsid w:val="001477EC"/>
    <w:rsid w:val="00147C9F"/>
    <w:rsid w:val="00147F0D"/>
    <w:rsid w:val="00150B4D"/>
    <w:rsid w:val="00151CA1"/>
    <w:rsid w:val="00151D7D"/>
    <w:rsid w:val="00152324"/>
    <w:rsid w:val="001528DE"/>
    <w:rsid w:val="00152F86"/>
    <w:rsid w:val="00153553"/>
    <w:rsid w:val="00153B43"/>
    <w:rsid w:val="001543AF"/>
    <w:rsid w:val="001553BF"/>
    <w:rsid w:val="001553E5"/>
    <w:rsid w:val="0015572D"/>
    <w:rsid w:val="001578B9"/>
    <w:rsid w:val="0016146F"/>
    <w:rsid w:val="00161DBC"/>
    <w:rsid w:val="0016205D"/>
    <w:rsid w:val="00162CE1"/>
    <w:rsid w:val="001645FE"/>
    <w:rsid w:val="001649C0"/>
    <w:rsid w:val="0016563A"/>
    <w:rsid w:val="0016565B"/>
    <w:rsid w:val="00165721"/>
    <w:rsid w:val="00165DC3"/>
    <w:rsid w:val="00166105"/>
    <w:rsid w:val="001668C4"/>
    <w:rsid w:val="00170709"/>
    <w:rsid w:val="00171DF2"/>
    <w:rsid w:val="00173A21"/>
    <w:rsid w:val="00173BA8"/>
    <w:rsid w:val="00174359"/>
    <w:rsid w:val="00175D28"/>
    <w:rsid w:val="00175F6A"/>
    <w:rsid w:val="001768A5"/>
    <w:rsid w:val="00177E49"/>
    <w:rsid w:val="001806CF"/>
    <w:rsid w:val="00181322"/>
    <w:rsid w:val="0018170A"/>
    <w:rsid w:val="001829E3"/>
    <w:rsid w:val="001832C8"/>
    <w:rsid w:val="0018364C"/>
    <w:rsid w:val="00183655"/>
    <w:rsid w:val="001838E3"/>
    <w:rsid w:val="00183DCF"/>
    <w:rsid w:val="00184253"/>
    <w:rsid w:val="00184996"/>
    <w:rsid w:val="001868B1"/>
    <w:rsid w:val="001874F3"/>
    <w:rsid w:val="00187E1B"/>
    <w:rsid w:val="00190881"/>
    <w:rsid w:val="00190B66"/>
    <w:rsid w:val="00190E6C"/>
    <w:rsid w:val="00191682"/>
    <w:rsid w:val="00191871"/>
    <w:rsid w:val="0019304A"/>
    <w:rsid w:val="0019324C"/>
    <w:rsid w:val="001936A3"/>
    <w:rsid w:val="00194234"/>
    <w:rsid w:val="0019427F"/>
    <w:rsid w:val="00195C2D"/>
    <w:rsid w:val="0019616B"/>
    <w:rsid w:val="001970BB"/>
    <w:rsid w:val="001A02D2"/>
    <w:rsid w:val="001A057A"/>
    <w:rsid w:val="001A05F9"/>
    <w:rsid w:val="001A0A8C"/>
    <w:rsid w:val="001A0F6F"/>
    <w:rsid w:val="001A0F96"/>
    <w:rsid w:val="001A1306"/>
    <w:rsid w:val="001A1CBB"/>
    <w:rsid w:val="001A2447"/>
    <w:rsid w:val="001A25A8"/>
    <w:rsid w:val="001A4426"/>
    <w:rsid w:val="001A4E71"/>
    <w:rsid w:val="001A5442"/>
    <w:rsid w:val="001A569A"/>
    <w:rsid w:val="001A5E9F"/>
    <w:rsid w:val="001A6157"/>
    <w:rsid w:val="001A62D8"/>
    <w:rsid w:val="001A72E6"/>
    <w:rsid w:val="001A77D0"/>
    <w:rsid w:val="001A7C5C"/>
    <w:rsid w:val="001B1170"/>
    <w:rsid w:val="001B12F7"/>
    <w:rsid w:val="001B1C2C"/>
    <w:rsid w:val="001B218A"/>
    <w:rsid w:val="001B2751"/>
    <w:rsid w:val="001B2979"/>
    <w:rsid w:val="001B38ED"/>
    <w:rsid w:val="001B43C7"/>
    <w:rsid w:val="001B495A"/>
    <w:rsid w:val="001B5C4E"/>
    <w:rsid w:val="001B6D34"/>
    <w:rsid w:val="001B7386"/>
    <w:rsid w:val="001B7CAF"/>
    <w:rsid w:val="001C0176"/>
    <w:rsid w:val="001C03CC"/>
    <w:rsid w:val="001C046B"/>
    <w:rsid w:val="001C0D28"/>
    <w:rsid w:val="001C0E4A"/>
    <w:rsid w:val="001C1179"/>
    <w:rsid w:val="001C1431"/>
    <w:rsid w:val="001C14D2"/>
    <w:rsid w:val="001C1816"/>
    <w:rsid w:val="001C4949"/>
    <w:rsid w:val="001C4D29"/>
    <w:rsid w:val="001C5E3B"/>
    <w:rsid w:val="001C71A4"/>
    <w:rsid w:val="001C7212"/>
    <w:rsid w:val="001C7245"/>
    <w:rsid w:val="001C79EF"/>
    <w:rsid w:val="001C7ACF"/>
    <w:rsid w:val="001D230B"/>
    <w:rsid w:val="001D2593"/>
    <w:rsid w:val="001D3733"/>
    <w:rsid w:val="001D3CE3"/>
    <w:rsid w:val="001D3E93"/>
    <w:rsid w:val="001D51DF"/>
    <w:rsid w:val="001D55A6"/>
    <w:rsid w:val="001D6537"/>
    <w:rsid w:val="001D6A51"/>
    <w:rsid w:val="001D746E"/>
    <w:rsid w:val="001D74AA"/>
    <w:rsid w:val="001E0282"/>
    <w:rsid w:val="001E07EB"/>
    <w:rsid w:val="001E1A5D"/>
    <w:rsid w:val="001E3AE3"/>
    <w:rsid w:val="001E3E0D"/>
    <w:rsid w:val="001E400E"/>
    <w:rsid w:val="001E557E"/>
    <w:rsid w:val="001E67C6"/>
    <w:rsid w:val="001E7051"/>
    <w:rsid w:val="001E767F"/>
    <w:rsid w:val="001F0ADF"/>
    <w:rsid w:val="001F0B05"/>
    <w:rsid w:val="001F1493"/>
    <w:rsid w:val="001F1D6B"/>
    <w:rsid w:val="001F1FDA"/>
    <w:rsid w:val="001F2730"/>
    <w:rsid w:val="001F2B89"/>
    <w:rsid w:val="001F2E0D"/>
    <w:rsid w:val="001F3081"/>
    <w:rsid w:val="001F33FF"/>
    <w:rsid w:val="001F3EB1"/>
    <w:rsid w:val="001F41D0"/>
    <w:rsid w:val="001F47BA"/>
    <w:rsid w:val="001F4E47"/>
    <w:rsid w:val="001F578F"/>
    <w:rsid w:val="001F6491"/>
    <w:rsid w:val="001F6EB7"/>
    <w:rsid w:val="001F78F6"/>
    <w:rsid w:val="0020096F"/>
    <w:rsid w:val="00200EF9"/>
    <w:rsid w:val="0020133D"/>
    <w:rsid w:val="0020149B"/>
    <w:rsid w:val="00201E95"/>
    <w:rsid w:val="00201FDB"/>
    <w:rsid w:val="002024A3"/>
    <w:rsid w:val="00202560"/>
    <w:rsid w:val="00202616"/>
    <w:rsid w:val="0020295C"/>
    <w:rsid w:val="0020315C"/>
    <w:rsid w:val="0020341C"/>
    <w:rsid w:val="00203779"/>
    <w:rsid w:val="00203955"/>
    <w:rsid w:val="00205D79"/>
    <w:rsid w:val="002066C6"/>
    <w:rsid w:val="00207F13"/>
    <w:rsid w:val="00211543"/>
    <w:rsid w:val="00211558"/>
    <w:rsid w:val="002121A0"/>
    <w:rsid w:val="00212621"/>
    <w:rsid w:val="00212983"/>
    <w:rsid w:val="00212B38"/>
    <w:rsid w:val="00215ED9"/>
    <w:rsid w:val="002174E2"/>
    <w:rsid w:val="00220898"/>
    <w:rsid w:val="002208B0"/>
    <w:rsid w:val="0022281F"/>
    <w:rsid w:val="0022296C"/>
    <w:rsid w:val="00222B5F"/>
    <w:rsid w:val="00222E65"/>
    <w:rsid w:val="00222F46"/>
    <w:rsid w:val="002254E6"/>
    <w:rsid w:val="00227380"/>
    <w:rsid w:val="00227393"/>
    <w:rsid w:val="00227662"/>
    <w:rsid w:val="0023025F"/>
    <w:rsid w:val="0023042F"/>
    <w:rsid w:val="00230B71"/>
    <w:rsid w:val="00230C90"/>
    <w:rsid w:val="002328F3"/>
    <w:rsid w:val="00232908"/>
    <w:rsid w:val="002332DB"/>
    <w:rsid w:val="00233E8C"/>
    <w:rsid w:val="00233F39"/>
    <w:rsid w:val="00233FB1"/>
    <w:rsid w:val="002346B8"/>
    <w:rsid w:val="00234AED"/>
    <w:rsid w:val="00234DB1"/>
    <w:rsid w:val="00234FD5"/>
    <w:rsid w:val="002353FF"/>
    <w:rsid w:val="00236BFD"/>
    <w:rsid w:val="00236E15"/>
    <w:rsid w:val="00236EEE"/>
    <w:rsid w:val="002372BA"/>
    <w:rsid w:val="0023767C"/>
    <w:rsid w:val="00237894"/>
    <w:rsid w:val="00237911"/>
    <w:rsid w:val="00237E7A"/>
    <w:rsid w:val="00240273"/>
    <w:rsid w:val="002407EB"/>
    <w:rsid w:val="0024120B"/>
    <w:rsid w:val="0024164E"/>
    <w:rsid w:val="00241A1D"/>
    <w:rsid w:val="00241E58"/>
    <w:rsid w:val="002420E6"/>
    <w:rsid w:val="00242B38"/>
    <w:rsid w:val="0024360E"/>
    <w:rsid w:val="00244F17"/>
    <w:rsid w:val="00245D4C"/>
    <w:rsid w:val="00246B71"/>
    <w:rsid w:val="00247202"/>
    <w:rsid w:val="00247AAF"/>
    <w:rsid w:val="00247E84"/>
    <w:rsid w:val="00250D38"/>
    <w:rsid w:val="00250E80"/>
    <w:rsid w:val="00251329"/>
    <w:rsid w:val="00251FF1"/>
    <w:rsid w:val="00252123"/>
    <w:rsid w:val="002529DB"/>
    <w:rsid w:val="00253F44"/>
    <w:rsid w:val="0025574D"/>
    <w:rsid w:val="00256698"/>
    <w:rsid w:val="00257976"/>
    <w:rsid w:val="00260D01"/>
    <w:rsid w:val="0026201C"/>
    <w:rsid w:val="00262903"/>
    <w:rsid w:val="00262C4B"/>
    <w:rsid w:val="00263112"/>
    <w:rsid w:val="00263928"/>
    <w:rsid w:val="00263F81"/>
    <w:rsid w:val="00264DAA"/>
    <w:rsid w:val="0026518B"/>
    <w:rsid w:val="00265304"/>
    <w:rsid w:val="00265796"/>
    <w:rsid w:val="0026581B"/>
    <w:rsid w:val="00265B64"/>
    <w:rsid w:val="00266F6D"/>
    <w:rsid w:val="00267066"/>
    <w:rsid w:val="00267068"/>
    <w:rsid w:val="00267102"/>
    <w:rsid w:val="00267227"/>
    <w:rsid w:val="00271316"/>
    <w:rsid w:val="0027160A"/>
    <w:rsid w:val="00271E8F"/>
    <w:rsid w:val="00273B0B"/>
    <w:rsid w:val="00274136"/>
    <w:rsid w:val="00274D73"/>
    <w:rsid w:val="002762BA"/>
    <w:rsid w:val="00276E49"/>
    <w:rsid w:val="0027700E"/>
    <w:rsid w:val="0027701C"/>
    <w:rsid w:val="00277131"/>
    <w:rsid w:val="00277BA8"/>
    <w:rsid w:val="0028073C"/>
    <w:rsid w:val="00280B88"/>
    <w:rsid w:val="00281C25"/>
    <w:rsid w:val="002828C6"/>
    <w:rsid w:val="002829CD"/>
    <w:rsid w:val="00282E91"/>
    <w:rsid w:val="002834A5"/>
    <w:rsid w:val="002846BF"/>
    <w:rsid w:val="00286025"/>
    <w:rsid w:val="002868D1"/>
    <w:rsid w:val="002869A6"/>
    <w:rsid w:val="00286B9B"/>
    <w:rsid w:val="00287302"/>
    <w:rsid w:val="0028778D"/>
    <w:rsid w:val="00287B54"/>
    <w:rsid w:val="00287EA2"/>
    <w:rsid w:val="00290FF6"/>
    <w:rsid w:val="002927C7"/>
    <w:rsid w:val="00292D00"/>
    <w:rsid w:val="0029356E"/>
    <w:rsid w:val="00293622"/>
    <w:rsid w:val="00293644"/>
    <w:rsid w:val="00295BB7"/>
    <w:rsid w:val="002963A8"/>
    <w:rsid w:val="002964EF"/>
    <w:rsid w:val="0029651F"/>
    <w:rsid w:val="00296DE5"/>
    <w:rsid w:val="0029719E"/>
    <w:rsid w:val="00297495"/>
    <w:rsid w:val="002A25C6"/>
    <w:rsid w:val="002A2C7F"/>
    <w:rsid w:val="002A53B6"/>
    <w:rsid w:val="002A5563"/>
    <w:rsid w:val="002A6EFE"/>
    <w:rsid w:val="002A6FB2"/>
    <w:rsid w:val="002A71C6"/>
    <w:rsid w:val="002A74F8"/>
    <w:rsid w:val="002A7BE0"/>
    <w:rsid w:val="002A7D9E"/>
    <w:rsid w:val="002B0219"/>
    <w:rsid w:val="002B07AA"/>
    <w:rsid w:val="002B18E9"/>
    <w:rsid w:val="002B1F00"/>
    <w:rsid w:val="002B1FD3"/>
    <w:rsid w:val="002B2519"/>
    <w:rsid w:val="002B2CCA"/>
    <w:rsid w:val="002B33CF"/>
    <w:rsid w:val="002B36D6"/>
    <w:rsid w:val="002B38B4"/>
    <w:rsid w:val="002B4943"/>
    <w:rsid w:val="002B512C"/>
    <w:rsid w:val="002B62D1"/>
    <w:rsid w:val="002B686F"/>
    <w:rsid w:val="002B6DC7"/>
    <w:rsid w:val="002B7441"/>
    <w:rsid w:val="002B7F79"/>
    <w:rsid w:val="002C0191"/>
    <w:rsid w:val="002C0745"/>
    <w:rsid w:val="002C0813"/>
    <w:rsid w:val="002C11C2"/>
    <w:rsid w:val="002C1837"/>
    <w:rsid w:val="002C20BB"/>
    <w:rsid w:val="002C2702"/>
    <w:rsid w:val="002C3540"/>
    <w:rsid w:val="002C3893"/>
    <w:rsid w:val="002C3BEA"/>
    <w:rsid w:val="002C3D85"/>
    <w:rsid w:val="002C4012"/>
    <w:rsid w:val="002C59F8"/>
    <w:rsid w:val="002C5B45"/>
    <w:rsid w:val="002C5DEA"/>
    <w:rsid w:val="002C630C"/>
    <w:rsid w:val="002C7255"/>
    <w:rsid w:val="002C7820"/>
    <w:rsid w:val="002D010A"/>
    <w:rsid w:val="002D089F"/>
    <w:rsid w:val="002D0A05"/>
    <w:rsid w:val="002D0F33"/>
    <w:rsid w:val="002D1314"/>
    <w:rsid w:val="002D1936"/>
    <w:rsid w:val="002D27F3"/>
    <w:rsid w:val="002D2F8D"/>
    <w:rsid w:val="002D37AB"/>
    <w:rsid w:val="002D3A96"/>
    <w:rsid w:val="002D3D62"/>
    <w:rsid w:val="002D41D4"/>
    <w:rsid w:val="002D5113"/>
    <w:rsid w:val="002D5421"/>
    <w:rsid w:val="002D626B"/>
    <w:rsid w:val="002D70C5"/>
    <w:rsid w:val="002E046F"/>
    <w:rsid w:val="002E0B72"/>
    <w:rsid w:val="002E1F9B"/>
    <w:rsid w:val="002E25D8"/>
    <w:rsid w:val="002E2B98"/>
    <w:rsid w:val="002E39B3"/>
    <w:rsid w:val="002E3A2A"/>
    <w:rsid w:val="002E447A"/>
    <w:rsid w:val="002E44DC"/>
    <w:rsid w:val="002E45B2"/>
    <w:rsid w:val="002E4670"/>
    <w:rsid w:val="002E4B2A"/>
    <w:rsid w:val="002E4BE3"/>
    <w:rsid w:val="002E506C"/>
    <w:rsid w:val="002E508E"/>
    <w:rsid w:val="002E5A04"/>
    <w:rsid w:val="002E6834"/>
    <w:rsid w:val="002E7B37"/>
    <w:rsid w:val="002F0D3D"/>
    <w:rsid w:val="002F19BD"/>
    <w:rsid w:val="002F1F67"/>
    <w:rsid w:val="002F26BB"/>
    <w:rsid w:val="002F2FD0"/>
    <w:rsid w:val="002F41FF"/>
    <w:rsid w:val="002F5257"/>
    <w:rsid w:val="002F55BA"/>
    <w:rsid w:val="002F583E"/>
    <w:rsid w:val="002F6270"/>
    <w:rsid w:val="002F658C"/>
    <w:rsid w:val="002F7686"/>
    <w:rsid w:val="002F7D55"/>
    <w:rsid w:val="002F7F2F"/>
    <w:rsid w:val="0030062F"/>
    <w:rsid w:val="00300922"/>
    <w:rsid w:val="0030186F"/>
    <w:rsid w:val="00301FE5"/>
    <w:rsid w:val="00302271"/>
    <w:rsid w:val="003022A2"/>
    <w:rsid w:val="00302539"/>
    <w:rsid w:val="00302682"/>
    <w:rsid w:val="003028A3"/>
    <w:rsid w:val="00303D69"/>
    <w:rsid w:val="00304543"/>
    <w:rsid w:val="00304CAC"/>
    <w:rsid w:val="00305166"/>
    <w:rsid w:val="003056EB"/>
    <w:rsid w:val="00305748"/>
    <w:rsid w:val="00305806"/>
    <w:rsid w:val="00305FF3"/>
    <w:rsid w:val="00306785"/>
    <w:rsid w:val="00306943"/>
    <w:rsid w:val="003074FD"/>
    <w:rsid w:val="003078EA"/>
    <w:rsid w:val="00307CDC"/>
    <w:rsid w:val="00307CE5"/>
    <w:rsid w:val="00307DC2"/>
    <w:rsid w:val="00307F3E"/>
    <w:rsid w:val="0031170D"/>
    <w:rsid w:val="00312636"/>
    <w:rsid w:val="00313C77"/>
    <w:rsid w:val="0031542D"/>
    <w:rsid w:val="00315893"/>
    <w:rsid w:val="0031592C"/>
    <w:rsid w:val="00315AD3"/>
    <w:rsid w:val="00315C7B"/>
    <w:rsid w:val="0031705F"/>
    <w:rsid w:val="0031797D"/>
    <w:rsid w:val="00317A2B"/>
    <w:rsid w:val="00317FF8"/>
    <w:rsid w:val="00320DCF"/>
    <w:rsid w:val="00321103"/>
    <w:rsid w:val="003213FB"/>
    <w:rsid w:val="00322199"/>
    <w:rsid w:val="0032281D"/>
    <w:rsid w:val="00322A75"/>
    <w:rsid w:val="00322D17"/>
    <w:rsid w:val="00322F78"/>
    <w:rsid w:val="00323463"/>
    <w:rsid w:val="00323566"/>
    <w:rsid w:val="0032357F"/>
    <w:rsid w:val="003245AD"/>
    <w:rsid w:val="003246A3"/>
    <w:rsid w:val="00327060"/>
    <w:rsid w:val="00327368"/>
    <w:rsid w:val="0033081F"/>
    <w:rsid w:val="00330867"/>
    <w:rsid w:val="00330C43"/>
    <w:rsid w:val="00332471"/>
    <w:rsid w:val="00333B4E"/>
    <w:rsid w:val="00334B07"/>
    <w:rsid w:val="00335D3D"/>
    <w:rsid w:val="00336388"/>
    <w:rsid w:val="003369F1"/>
    <w:rsid w:val="003379A2"/>
    <w:rsid w:val="00337C4A"/>
    <w:rsid w:val="00337E44"/>
    <w:rsid w:val="00337FCD"/>
    <w:rsid w:val="00341806"/>
    <w:rsid w:val="003431A2"/>
    <w:rsid w:val="00344805"/>
    <w:rsid w:val="00344F93"/>
    <w:rsid w:val="003467B9"/>
    <w:rsid w:val="003471B7"/>
    <w:rsid w:val="00347238"/>
    <w:rsid w:val="003474F1"/>
    <w:rsid w:val="00350214"/>
    <w:rsid w:val="00350763"/>
    <w:rsid w:val="00351B4A"/>
    <w:rsid w:val="00352DA4"/>
    <w:rsid w:val="00352F2D"/>
    <w:rsid w:val="003544B9"/>
    <w:rsid w:val="003548B6"/>
    <w:rsid w:val="0035741B"/>
    <w:rsid w:val="00357779"/>
    <w:rsid w:val="00360B56"/>
    <w:rsid w:val="00360C3E"/>
    <w:rsid w:val="00360F81"/>
    <w:rsid w:val="00361659"/>
    <w:rsid w:val="00362075"/>
    <w:rsid w:val="0036246F"/>
    <w:rsid w:val="00362552"/>
    <w:rsid w:val="00362CAD"/>
    <w:rsid w:val="0036563D"/>
    <w:rsid w:val="003663BB"/>
    <w:rsid w:val="00367135"/>
    <w:rsid w:val="00367668"/>
    <w:rsid w:val="0037022F"/>
    <w:rsid w:val="00370299"/>
    <w:rsid w:val="00370407"/>
    <w:rsid w:val="00372BF1"/>
    <w:rsid w:val="00373237"/>
    <w:rsid w:val="00374BD7"/>
    <w:rsid w:val="00375BA1"/>
    <w:rsid w:val="00377093"/>
    <w:rsid w:val="00377B8E"/>
    <w:rsid w:val="00377EE5"/>
    <w:rsid w:val="00380E1B"/>
    <w:rsid w:val="0038124B"/>
    <w:rsid w:val="00381BFC"/>
    <w:rsid w:val="00382642"/>
    <w:rsid w:val="003826A4"/>
    <w:rsid w:val="003829B3"/>
    <w:rsid w:val="0038374C"/>
    <w:rsid w:val="00383CA6"/>
    <w:rsid w:val="00384074"/>
    <w:rsid w:val="003840C1"/>
    <w:rsid w:val="00386A9A"/>
    <w:rsid w:val="00386D2B"/>
    <w:rsid w:val="00386DC7"/>
    <w:rsid w:val="00386E4B"/>
    <w:rsid w:val="003901C4"/>
    <w:rsid w:val="00390B26"/>
    <w:rsid w:val="00390B3E"/>
    <w:rsid w:val="00390B58"/>
    <w:rsid w:val="00391465"/>
    <w:rsid w:val="0039239E"/>
    <w:rsid w:val="0039281F"/>
    <w:rsid w:val="0039296A"/>
    <w:rsid w:val="00392A36"/>
    <w:rsid w:val="00392A65"/>
    <w:rsid w:val="00393820"/>
    <w:rsid w:val="00395139"/>
    <w:rsid w:val="00395AE3"/>
    <w:rsid w:val="003963CD"/>
    <w:rsid w:val="0039709E"/>
    <w:rsid w:val="00397CC6"/>
    <w:rsid w:val="003A04FB"/>
    <w:rsid w:val="003A236F"/>
    <w:rsid w:val="003A2D30"/>
    <w:rsid w:val="003A4208"/>
    <w:rsid w:val="003A4405"/>
    <w:rsid w:val="003A44C0"/>
    <w:rsid w:val="003A4774"/>
    <w:rsid w:val="003A4E37"/>
    <w:rsid w:val="003A517B"/>
    <w:rsid w:val="003A53D1"/>
    <w:rsid w:val="003A5968"/>
    <w:rsid w:val="003A5E5F"/>
    <w:rsid w:val="003A6381"/>
    <w:rsid w:val="003A6FCE"/>
    <w:rsid w:val="003B031B"/>
    <w:rsid w:val="003B0B7E"/>
    <w:rsid w:val="003B0D9E"/>
    <w:rsid w:val="003B0F1E"/>
    <w:rsid w:val="003B1062"/>
    <w:rsid w:val="003B14A4"/>
    <w:rsid w:val="003B1FC1"/>
    <w:rsid w:val="003B2B6F"/>
    <w:rsid w:val="003B2D70"/>
    <w:rsid w:val="003B3C8F"/>
    <w:rsid w:val="003B4D2D"/>
    <w:rsid w:val="003B4ED2"/>
    <w:rsid w:val="003B4F55"/>
    <w:rsid w:val="003B54A2"/>
    <w:rsid w:val="003B5577"/>
    <w:rsid w:val="003B62E6"/>
    <w:rsid w:val="003B6AB5"/>
    <w:rsid w:val="003B6E8E"/>
    <w:rsid w:val="003B7344"/>
    <w:rsid w:val="003B741F"/>
    <w:rsid w:val="003C0A02"/>
    <w:rsid w:val="003C2E63"/>
    <w:rsid w:val="003C2F65"/>
    <w:rsid w:val="003C4440"/>
    <w:rsid w:val="003C5105"/>
    <w:rsid w:val="003C6134"/>
    <w:rsid w:val="003C61ED"/>
    <w:rsid w:val="003C657F"/>
    <w:rsid w:val="003C668B"/>
    <w:rsid w:val="003C6A9B"/>
    <w:rsid w:val="003C6B68"/>
    <w:rsid w:val="003C6DAA"/>
    <w:rsid w:val="003C6E20"/>
    <w:rsid w:val="003C7536"/>
    <w:rsid w:val="003C78EB"/>
    <w:rsid w:val="003D01BA"/>
    <w:rsid w:val="003D0E3E"/>
    <w:rsid w:val="003D2859"/>
    <w:rsid w:val="003D29AA"/>
    <w:rsid w:val="003D2F5D"/>
    <w:rsid w:val="003D3BD6"/>
    <w:rsid w:val="003D4640"/>
    <w:rsid w:val="003D4AF8"/>
    <w:rsid w:val="003D55C0"/>
    <w:rsid w:val="003D7A87"/>
    <w:rsid w:val="003E004B"/>
    <w:rsid w:val="003E06B2"/>
    <w:rsid w:val="003E1523"/>
    <w:rsid w:val="003E15A6"/>
    <w:rsid w:val="003E3BEA"/>
    <w:rsid w:val="003E43AE"/>
    <w:rsid w:val="003E5B66"/>
    <w:rsid w:val="003E6829"/>
    <w:rsid w:val="003F0843"/>
    <w:rsid w:val="003F2047"/>
    <w:rsid w:val="003F2103"/>
    <w:rsid w:val="003F226E"/>
    <w:rsid w:val="003F24FB"/>
    <w:rsid w:val="003F2567"/>
    <w:rsid w:val="003F2736"/>
    <w:rsid w:val="003F302B"/>
    <w:rsid w:val="003F3705"/>
    <w:rsid w:val="003F39D3"/>
    <w:rsid w:val="003F4612"/>
    <w:rsid w:val="003F4EDC"/>
    <w:rsid w:val="003F56E2"/>
    <w:rsid w:val="003F5859"/>
    <w:rsid w:val="003F5F6C"/>
    <w:rsid w:val="003F647A"/>
    <w:rsid w:val="003F7319"/>
    <w:rsid w:val="003F77E5"/>
    <w:rsid w:val="004008AA"/>
    <w:rsid w:val="0040124D"/>
    <w:rsid w:val="004016E1"/>
    <w:rsid w:val="0040179B"/>
    <w:rsid w:val="00401926"/>
    <w:rsid w:val="00401B01"/>
    <w:rsid w:val="00403233"/>
    <w:rsid w:val="00403D27"/>
    <w:rsid w:val="00403F21"/>
    <w:rsid w:val="0040417C"/>
    <w:rsid w:val="004046B2"/>
    <w:rsid w:val="0040481F"/>
    <w:rsid w:val="00405427"/>
    <w:rsid w:val="004055ED"/>
    <w:rsid w:val="0040589A"/>
    <w:rsid w:val="00405A3A"/>
    <w:rsid w:val="00405CC1"/>
    <w:rsid w:val="004073A0"/>
    <w:rsid w:val="004078A5"/>
    <w:rsid w:val="004105E9"/>
    <w:rsid w:val="00410DE1"/>
    <w:rsid w:val="004110AB"/>
    <w:rsid w:val="00413799"/>
    <w:rsid w:val="00414129"/>
    <w:rsid w:val="00414F4D"/>
    <w:rsid w:val="00416B95"/>
    <w:rsid w:val="00416D6B"/>
    <w:rsid w:val="00416E0E"/>
    <w:rsid w:val="00420226"/>
    <w:rsid w:val="00421310"/>
    <w:rsid w:val="004218BA"/>
    <w:rsid w:val="00421E87"/>
    <w:rsid w:val="0042244B"/>
    <w:rsid w:val="00423501"/>
    <w:rsid w:val="00424715"/>
    <w:rsid w:val="00424B52"/>
    <w:rsid w:val="00425792"/>
    <w:rsid w:val="004270FA"/>
    <w:rsid w:val="0043078A"/>
    <w:rsid w:val="004308C9"/>
    <w:rsid w:val="0043129A"/>
    <w:rsid w:val="0043245D"/>
    <w:rsid w:val="00432D93"/>
    <w:rsid w:val="00433239"/>
    <w:rsid w:val="00433841"/>
    <w:rsid w:val="00434AC6"/>
    <w:rsid w:val="00434F8A"/>
    <w:rsid w:val="00435030"/>
    <w:rsid w:val="00435055"/>
    <w:rsid w:val="0043572E"/>
    <w:rsid w:val="00435F41"/>
    <w:rsid w:val="00436654"/>
    <w:rsid w:val="004368B3"/>
    <w:rsid w:val="00437716"/>
    <w:rsid w:val="00440BAA"/>
    <w:rsid w:val="00440CAA"/>
    <w:rsid w:val="0044101E"/>
    <w:rsid w:val="00442621"/>
    <w:rsid w:val="00444062"/>
    <w:rsid w:val="00445E72"/>
    <w:rsid w:val="004463AC"/>
    <w:rsid w:val="004463FB"/>
    <w:rsid w:val="004467D7"/>
    <w:rsid w:val="00446EC0"/>
    <w:rsid w:val="004473D5"/>
    <w:rsid w:val="0044760B"/>
    <w:rsid w:val="00447B2A"/>
    <w:rsid w:val="0045079A"/>
    <w:rsid w:val="00450EC9"/>
    <w:rsid w:val="0045133E"/>
    <w:rsid w:val="0045156A"/>
    <w:rsid w:val="0045157F"/>
    <w:rsid w:val="00451A31"/>
    <w:rsid w:val="0045212A"/>
    <w:rsid w:val="00452D20"/>
    <w:rsid w:val="004539D7"/>
    <w:rsid w:val="00454799"/>
    <w:rsid w:val="00455330"/>
    <w:rsid w:val="00455333"/>
    <w:rsid w:val="004557D8"/>
    <w:rsid w:val="00456C4F"/>
    <w:rsid w:val="0045702C"/>
    <w:rsid w:val="00457A05"/>
    <w:rsid w:val="0046024B"/>
    <w:rsid w:val="004610B3"/>
    <w:rsid w:val="00461806"/>
    <w:rsid w:val="004629C8"/>
    <w:rsid w:val="00462A10"/>
    <w:rsid w:val="00462BF8"/>
    <w:rsid w:val="00462C2C"/>
    <w:rsid w:val="00463166"/>
    <w:rsid w:val="004637E7"/>
    <w:rsid w:val="00463909"/>
    <w:rsid w:val="0046461B"/>
    <w:rsid w:val="004646B4"/>
    <w:rsid w:val="004652C6"/>
    <w:rsid w:val="00465E5A"/>
    <w:rsid w:val="00466B57"/>
    <w:rsid w:val="00467698"/>
    <w:rsid w:val="00467DF4"/>
    <w:rsid w:val="004709EE"/>
    <w:rsid w:val="004711E7"/>
    <w:rsid w:val="004712A2"/>
    <w:rsid w:val="00473697"/>
    <w:rsid w:val="00473853"/>
    <w:rsid w:val="00473990"/>
    <w:rsid w:val="00474643"/>
    <w:rsid w:val="0047487F"/>
    <w:rsid w:val="00475144"/>
    <w:rsid w:val="0047522A"/>
    <w:rsid w:val="0047702E"/>
    <w:rsid w:val="00477041"/>
    <w:rsid w:val="0047728D"/>
    <w:rsid w:val="004778D3"/>
    <w:rsid w:val="0048070D"/>
    <w:rsid w:val="00480944"/>
    <w:rsid w:val="00480BDA"/>
    <w:rsid w:val="00483079"/>
    <w:rsid w:val="00483754"/>
    <w:rsid w:val="00483ACE"/>
    <w:rsid w:val="00484066"/>
    <w:rsid w:val="00484FE7"/>
    <w:rsid w:val="00485F61"/>
    <w:rsid w:val="00486B82"/>
    <w:rsid w:val="00486BF8"/>
    <w:rsid w:val="0049057C"/>
    <w:rsid w:val="00490B2C"/>
    <w:rsid w:val="00490F99"/>
    <w:rsid w:val="00491B81"/>
    <w:rsid w:val="00492410"/>
    <w:rsid w:val="004930E9"/>
    <w:rsid w:val="004933DC"/>
    <w:rsid w:val="004941DD"/>
    <w:rsid w:val="00494497"/>
    <w:rsid w:val="0049566C"/>
    <w:rsid w:val="00495DF8"/>
    <w:rsid w:val="00496211"/>
    <w:rsid w:val="004964BB"/>
    <w:rsid w:val="004966A9"/>
    <w:rsid w:val="0049680F"/>
    <w:rsid w:val="0049705A"/>
    <w:rsid w:val="004970E0"/>
    <w:rsid w:val="0049732E"/>
    <w:rsid w:val="0049757C"/>
    <w:rsid w:val="004A119F"/>
    <w:rsid w:val="004A1C1A"/>
    <w:rsid w:val="004A32D2"/>
    <w:rsid w:val="004A33B3"/>
    <w:rsid w:val="004A3A24"/>
    <w:rsid w:val="004A4436"/>
    <w:rsid w:val="004A5382"/>
    <w:rsid w:val="004A6820"/>
    <w:rsid w:val="004A71C7"/>
    <w:rsid w:val="004B029E"/>
    <w:rsid w:val="004B043E"/>
    <w:rsid w:val="004B0492"/>
    <w:rsid w:val="004B097A"/>
    <w:rsid w:val="004B0A1A"/>
    <w:rsid w:val="004B0CB4"/>
    <w:rsid w:val="004B1AD2"/>
    <w:rsid w:val="004B37C2"/>
    <w:rsid w:val="004B3D7D"/>
    <w:rsid w:val="004B3E99"/>
    <w:rsid w:val="004B41A3"/>
    <w:rsid w:val="004B43E5"/>
    <w:rsid w:val="004B5569"/>
    <w:rsid w:val="004B55D0"/>
    <w:rsid w:val="004B5889"/>
    <w:rsid w:val="004B5A86"/>
    <w:rsid w:val="004B65A1"/>
    <w:rsid w:val="004B73A1"/>
    <w:rsid w:val="004B767A"/>
    <w:rsid w:val="004B7C9D"/>
    <w:rsid w:val="004C098D"/>
    <w:rsid w:val="004C0A00"/>
    <w:rsid w:val="004C20D1"/>
    <w:rsid w:val="004C382C"/>
    <w:rsid w:val="004C3842"/>
    <w:rsid w:val="004C3B37"/>
    <w:rsid w:val="004C4350"/>
    <w:rsid w:val="004C4BBD"/>
    <w:rsid w:val="004C5D1C"/>
    <w:rsid w:val="004C6BAB"/>
    <w:rsid w:val="004C7230"/>
    <w:rsid w:val="004C7A17"/>
    <w:rsid w:val="004D00D6"/>
    <w:rsid w:val="004D01B3"/>
    <w:rsid w:val="004D0582"/>
    <w:rsid w:val="004D098F"/>
    <w:rsid w:val="004D15BB"/>
    <w:rsid w:val="004D2331"/>
    <w:rsid w:val="004D3182"/>
    <w:rsid w:val="004D3458"/>
    <w:rsid w:val="004D380E"/>
    <w:rsid w:val="004D586C"/>
    <w:rsid w:val="004D591C"/>
    <w:rsid w:val="004D5948"/>
    <w:rsid w:val="004D5A55"/>
    <w:rsid w:val="004D5B1E"/>
    <w:rsid w:val="004D5C76"/>
    <w:rsid w:val="004D6211"/>
    <w:rsid w:val="004D6379"/>
    <w:rsid w:val="004D67D1"/>
    <w:rsid w:val="004D709D"/>
    <w:rsid w:val="004D7884"/>
    <w:rsid w:val="004E0256"/>
    <w:rsid w:val="004E1327"/>
    <w:rsid w:val="004E1933"/>
    <w:rsid w:val="004E1BA4"/>
    <w:rsid w:val="004E28B9"/>
    <w:rsid w:val="004E35BD"/>
    <w:rsid w:val="004E3D74"/>
    <w:rsid w:val="004E4A64"/>
    <w:rsid w:val="004E50BF"/>
    <w:rsid w:val="004E64EC"/>
    <w:rsid w:val="004E6540"/>
    <w:rsid w:val="004E6CCB"/>
    <w:rsid w:val="004F0807"/>
    <w:rsid w:val="004F0B58"/>
    <w:rsid w:val="004F0F79"/>
    <w:rsid w:val="004F1A5E"/>
    <w:rsid w:val="004F1B4B"/>
    <w:rsid w:val="004F1C63"/>
    <w:rsid w:val="004F2F1A"/>
    <w:rsid w:val="004F3063"/>
    <w:rsid w:val="004F343B"/>
    <w:rsid w:val="004F39CA"/>
    <w:rsid w:val="004F42BE"/>
    <w:rsid w:val="004F4418"/>
    <w:rsid w:val="004F597F"/>
    <w:rsid w:val="004F5AAA"/>
    <w:rsid w:val="004F6207"/>
    <w:rsid w:val="004F7BA2"/>
    <w:rsid w:val="004F7D4D"/>
    <w:rsid w:val="00500D2A"/>
    <w:rsid w:val="00501904"/>
    <w:rsid w:val="005020DF"/>
    <w:rsid w:val="00502454"/>
    <w:rsid w:val="00502550"/>
    <w:rsid w:val="00502743"/>
    <w:rsid w:val="005028E3"/>
    <w:rsid w:val="00502A59"/>
    <w:rsid w:val="00502FDB"/>
    <w:rsid w:val="005031BF"/>
    <w:rsid w:val="0050328E"/>
    <w:rsid w:val="00503752"/>
    <w:rsid w:val="00503CF1"/>
    <w:rsid w:val="005040E3"/>
    <w:rsid w:val="005040F5"/>
    <w:rsid w:val="00504F48"/>
    <w:rsid w:val="00506507"/>
    <w:rsid w:val="005068B0"/>
    <w:rsid w:val="00507336"/>
    <w:rsid w:val="00510566"/>
    <w:rsid w:val="00510569"/>
    <w:rsid w:val="00511650"/>
    <w:rsid w:val="00511C97"/>
    <w:rsid w:val="00513CBE"/>
    <w:rsid w:val="00514125"/>
    <w:rsid w:val="00514E0A"/>
    <w:rsid w:val="00515D94"/>
    <w:rsid w:val="0051647B"/>
    <w:rsid w:val="00516C4D"/>
    <w:rsid w:val="005170B6"/>
    <w:rsid w:val="00517BF7"/>
    <w:rsid w:val="00520BB5"/>
    <w:rsid w:val="005214E3"/>
    <w:rsid w:val="00521FD5"/>
    <w:rsid w:val="00522352"/>
    <w:rsid w:val="005228D2"/>
    <w:rsid w:val="00522941"/>
    <w:rsid w:val="00524BDA"/>
    <w:rsid w:val="00525CA3"/>
    <w:rsid w:val="00527146"/>
    <w:rsid w:val="0052776C"/>
    <w:rsid w:val="00527C44"/>
    <w:rsid w:val="00530291"/>
    <w:rsid w:val="00530866"/>
    <w:rsid w:val="00530A86"/>
    <w:rsid w:val="00530FE6"/>
    <w:rsid w:val="00532285"/>
    <w:rsid w:val="00532988"/>
    <w:rsid w:val="00532DEA"/>
    <w:rsid w:val="00533203"/>
    <w:rsid w:val="00534707"/>
    <w:rsid w:val="00534D79"/>
    <w:rsid w:val="00535F9F"/>
    <w:rsid w:val="005361EC"/>
    <w:rsid w:val="00536543"/>
    <w:rsid w:val="00536BAC"/>
    <w:rsid w:val="00537188"/>
    <w:rsid w:val="005375B3"/>
    <w:rsid w:val="00537652"/>
    <w:rsid w:val="00537F19"/>
    <w:rsid w:val="00540717"/>
    <w:rsid w:val="00540732"/>
    <w:rsid w:val="00540B5E"/>
    <w:rsid w:val="00541B70"/>
    <w:rsid w:val="00541D30"/>
    <w:rsid w:val="00541E53"/>
    <w:rsid w:val="00543913"/>
    <w:rsid w:val="00543EB3"/>
    <w:rsid w:val="005441D4"/>
    <w:rsid w:val="005443F2"/>
    <w:rsid w:val="00545012"/>
    <w:rsid w:val="00546310"/>
    <w:rsid w:val="005468A0"/>
    <w:rsid w:val="00546B73"/>
    <w:rsid w:val="00546EDE"/>
    <w:rsid w:val="00550417"/>
    <w:rsid w:val="005514B6"/>
    <w:rsid w:val="00551694"/>
    <w:rsid w:val="00551816"/>
    <w:rsid w:val="0055218E"/>
    <w:rsid w:val="00552B15"/>
    <w:rsid w:val="00552EA3"/>
    <w:rsid w:val="005531FF"/>
    <w:rsid w:val="00553C3C"/>
    <w:rsid w:val="0055412E"/>
    <w:rsid w:val="005550A6"/>
    <w:rsid w:val="0055546F"/>
    <w:rsid w:val="00557028"/>
    <w:rsid w:val="0055728A"/>
    <w:rsid w:val="00557473"/>
    <w:rsid w:val="00557EC1"/>
    <w:rsid w:val="00557F11"/>
    <w:rsid w:val="005609E5"/>
    <w:rsid w:val="00560DD5"/>
    <w:rsid w:val="00560FEE"/>
    <w:rsid w:val="0056138E"/>
    <w:rsid w:val="00562428"/>
    <w:rsid w:val="00562A48"/>
    <w:rsid w:val="00562BC1"/>
    <w:rsid w:val="005639FA"/>
    <w:rsid w:val="005645A1"/>
    <w:rsid w:val="00565471"/>
    <w:rsid w:val="005654D6"/>
    <w:rsid w:val="0056557B"/>
    <w:rsid w:val="005657B2"/>
    <w:rsid w:val="005708A7"/>
    <w:rsid w:val="0057192D"/>
    <w:rsid w:val="00571B88"/>
    <w:rsid w:val="00572005"/>
    <w:rsid w:val="00572127"/>
    <w:rsid w:val="00572142"/>
    <w:rsid w:val="00572ADC"/>
    <w:rsid w:val="00572C73"/>
    <w:rsid w:val="00572D0A"/>
    <w:rsid w:val="005745B3"/>
    <w:rsid w:val="00574A9B"/>
    <w:rsid w:val="005755B5"/>
    <w:rsid w:val="00575DCB"/>
    <w:rsid w:val="005763C8"/>
    <w:rsid w:val="005769D0"/>
    <w:rsid w:val="00576D92"/>
    <w:rsid w:val="00576ECC"/>
    <w:rsid w:val="0057784F"/>
    <w:rsid w:val="00577D12"/>
    <w:rsid w:val="0058014B"/>
    <w:rsid w:val="005803F8"/>
    <w:rsid w:val="005821AA"/>
    <w:rsid w:val="00582280"/>
    <w:rsid w:val="00582303"/>
    <w:rsid w:val="005826C4"/>
    <w:rsid w:val="005828A3"/>
    <w:rsid w:val="00582BE9"/>
    <w:rsid w:val="00582D3D"/>
    <w:rsid w:val="00582F37"/>
    <w:rsid w:val="00583FD7"/>
    <w:rsid w:val="005842AB"/>
    <w:rsid w:val="00584D31"/>
    <w:rsid w:val="005854FA"/>
    <w:rsid w:val="00585D42"/>
    <w:rsid w:val="005862F0"/>
    <w:rsid w:val="005872FA"/>
    <w:rsid w:val="00587C95"/>
    <w:rsid w:val="00587D9C"/>
    <w:rsid w:val="005901DE"/>
    <w:rsid w:val="00590795"/>
    <w:rsid w:val="00590EAA"/>
    <w:rsid w:val="005929A5"/>
    <w:rsid w:val="00592ECF"/>
    <w:rsid w:val="005937DA"/>
    <w:rsid w:val="00593E09"/>
    <w:rsid w:val="0059400F"/>
    <w:rsid w:val="0059448A"/>
    <w:rsid w:val="0059512D"/>
    <w:rsid w:val="00595BDF"/>
    <w:rsid w:val="00595E1B"/>
    <w:rsid w:val="00596733"/>
    <w:rsid w:val="00597261"/>
    <w:rsid w:val="0059764F"/>
    <w:rsid w:val="005A0982"/>
    <w:rsid w:val="005A177B"/>
    <w:rsid w:val="005A1DB5"/>
    <w:rsid w:val="005A21B0"/>
    <w:rsid w:val="005A2EAD"/>
    <w:rsid w:val="005A34FF"/>
    <w:rsid w:val="005A392C"/>
    <w:rsid w:val="005A406C"/>
    <w:rsid w:val="005A4E67"/>
    <w:rsid w:val="005A506C"/>
    <w:rsid w:val="005A53E2"/>
    <w:rsid w:val="005A58AE"/>
    <w:rsid w:val="005B11E1"/>
    <w:rsid w:val="005B1431"/>
    <w:rsid w:val="005B1929"/>
    <w:rsid w:val="005B23E0"/>
    <w:rsid w:val="005B3298"/>
    <w:rsid w:val="005B33E9"/>
    <w:rsid w:val="005B3FD2"/>
    <w:rsid w:val="005B6A63"/>
    <w:rsid w:val="005C0B15"/>
    <w:rsid w:val="005C1582"/>
    <w:rsid w:val="005C20AE"/>
    <w:rsid w:val="005C212A"/>
    <w:rsid w:val="005C285C"/>
    <w:rsid w:val="005C2A4C"/>
    <w:rsid w:val="005C375F"/>
    <w:rsid w:val="005C3ADE"/>
    <w:rsid w:val="005C3C1A"/>
    <w:rsid w:val="005C420B"/>
    <w:rsid w:val="005C44FB"/>
    <w:rsid w:val="005C4F8B"/>
    <w:rsid w:val="005C5319"/>
    <w:rsid w:val="005C53C4"/>
    <w:rsid w:val="005C5B05"/>
    <w:rsid w:val="005C5D62"/>
    <w:rsid w:val="005C66C9"/>
    <w:rsid w:val="005C68B5"/>
    <w:rsid w:val="005C6A4D"/>
    <w:rsid w:val="005C723B"/>
    <w:rsid w:val="005C73E3"/>
    <w:rsid w:val="005D017B"/>
    <w:rsid w:val="005D4291"/>
    <w:rsid w:val="005D461A"/>
    <w:rsid w:val="005D4680"/>
    <w:rsid w:val="005D4786"/>
    <w:rsid w:val="005D52AB"/>
    <w:rsid w:val="005D5D14"/>
    <w:rsid w:val="005D5E45"/>
    <w:rsid w:val="005E012C"/>
    <w:rsid w:val="005E0216"/>
    <w:rsid w:val="005E08E0"/>
    <w:rsid w:val="005E0C27"/>
    <w:rsid w:val="005E18A8"/>
    <w:rsid w:val="005E238B"/>
    <w:rsid w:val="005E4925"/>
    <w:rsid w:val="005E4C8D"/>
    <w:rsid w:val="005E4EA7"/>
    <w:rsid w:val="005E54F7"/>
    <w:rsid w:val="005E5812"/>
    <w:rsid w:val="005E5DFC"/>
    <w:rsid w:val="005E6429"/>
    <w:rsid w:val="005E72AB"/>
    <w:rsid w:val="005F06DB"/>
    <w:rsid w:val="005F1756"/>
    <w:rsid w:val="005F17B9"/>
    <w:rsid w:val="005F3F4E"/>
    <w:rsid w:val="005F4116"/>
    <w:rsid w:val="005F45C6"/>
    <w:rsid w:val="005F6CD3"/>
    <w:rsid w:val="005F729B"/>
    <w:rsid w:val="005F768F"/>
    <w:rsid w:val="005F7F59"/>
    <w:rsid w:val="006001DE"/>
    <w:rsid w:val="00600C69"/>
    <w:rsid w:val="00604028"/>
    <w:rsid w:val="006045B1"/>
    <w:rsid w:val="00604FBA"/>
    <w:rsid w:val="00606950"/>
    <w:rsid w:val="00606A69"/>
    <w:rsid w:val="0060764A"/>
    <w:rsid w:val="0061220A"/>
    <w:rsid w:val="00612FC8"/>
    <w:rsid w:val="0061397B"/>
    <w:rsid w:val="00614AC2"/>
    <w:rsid w:val="006159FB"/>
    <w:rsid w:val="00615F2A"/>
    <w:rsid w:val="006164A2"/>
    <w:rsid w:val="0061660D"/>
    <w:rsid w:val="006167A0"/>
    <w:rsid w:val="00616D20"/>
    <w:rsid w:val="00620FD2"/>
    <w:rsid w:val="00621FF2"/>
    <w:rsid w:val="0062245E"/>
    <w:rsid w:val="00622B04"/>
    <w:rsid w:val="0062412C"/>
    <w:rsid w:val="006243C2"/>
    <w:rsid w:val="0062581A"/>
    <w:rsid w:val="006260B2"/>
    <w:rsid w:val="00626965"/>
    <w:rsid w:val="006274BE"/>
    <w:rsid w:val="006277F7"/>
    <w:rsid w:val="00627DB7"/>
    <w:rsid w:val="00627E8E"/>
    <w:rsid w:val="006304DB"/>
    <w:rsid w:val="00631009"/>
    <w:rsid w:val="00631B18"/>
    <w:rsid w:val="00631F91"/>
    <w:rsid w:val="00633591"/>
    <w:rsid w:val="00633833"/>
    <w:rsid w:val="00633A15"/>
    <w:rsid w:val="006340BB"/>
    <w:rsid w:val="006341D5"/>
    <w:rsid w:val="00635389"/>
    <w:rsid w:val="006357DA"/>
    <w:rsid w:val="0063632F"/>
    <w:rsid w:val="00636AED"/>
    <w:rsid w:val="00637314"/>
    <w:rsid w:val="00637758"/>
    <w:rsid w:val="00637802"/>
    <w:rsid w:val="00637B29"/>
    <w:rsid w:val="00637C50"/>
    <w:rsid w:val="00637E20"/>
    <w:rsid w:val="00637FBE"/>
    <w:rsid w:val="00640975"/>
    <w:rsid w:val="00640F30"/>
    <w:rsid w:val="00641018"/>
    <w:rsid w:val="00641DD0"/>
    <w:rsid w:val="00642609"/>
    <w:rsid w:val="00643BF9"/>
    <w:rsid w:val="006442FD"/>
    <w:rsid w:val="00644447"/>
    <w:rsid w:val="006505C6"/>
    <w:rsid w:val="00651F6F"/>
    <w:rsid w:val="00653007"/>
    <w:rsid w:val="00653411"/>
    <w:rsid w:val="006536FC"/>
    <w:rsid w:val="00653EDB"/>
    <w:rsid w:val="006545F7"/>
    <w:rsid w:val="00654D50"/>
    <w:rsid w:val="0065501E"/>
    <w:rsid w:val="00655C7F"/>
    <w:rsid w:val="00655D08"/>
    <w:rsid w:val="0065604D"/>
    <w:rsid w:val="00656C1F"/>
    <w:rsid w:val="00657F06"/>
    <w:rsid w:val="006604C6"/>
    <w:rsid w:val="00660600"/>
    <w:rsid w:val="0066063B"/>
    <w:rsid w:val="00660CC0"/>
    <w:rsid w:val="00660D0E"/>
    <w:rsid w:val="00660ED8"/>
    <w:rsid w:val="00661B1D"/>
    <w:rsid w:val="00662BBF"/>
    <w:rsid w:val="0066324A"/>
    <w:rsid w:val="00663686"/>
    <w:rsid w:val="00664077"/>
    <w:rsid w:val="00664A84"/>
    <w:rsid w:val="00667853"/>
    <w:rsid w:val="006700B5"/>
    <w:rsid w:val="006709E5"/>
    <w:rsid w:val="00671266"/>
    <w:rsid w:val="006715EA"/>
    <w:rsid w:val="00673ACA"/>
    <w:rsid w:val="006747D2"/>
    <w:rsid w:val="00674F65"/>
    <w:rsid w:val="006750C6"/>
    <w:rsid w:val="00675602"/>
    <w:rsid w:val="0067584A"/>
    <w:rsid w:val="00676600"/>
    <w:rsid w:val="00676944"/>
    <w:rsid w:val="006776D1"/>
    <w:rsid w:val="00677BBC"/>
    <w:rsid w:val="00677C61"/>
    <w:rsid w:val="00680642"/>
    <w:rsid w:val="0068099C"/>
    <w:rsid w:val="00680EF3"/>
    <w:rsid w:val="00683C3A"/>
    <w:rsid w:val="006846BF"/>
    <w:rsid w:val="00684B04"/>
    <w:rsid w:val="00684E4B"/>
    <w:rsid w:val="006850BE"/>
    <w:rsid w:val="0068517D"/>
    <w:rsid w:val="00685242"/>
    <w:rsid w:val="00685ED7"/>
    <w:rsid w:val="00686303"/>
    <w:rsid w:val="00686CCB"/>
    <w:rsid w:val="00687051"/>
    <w:rsid w:val="00687C4B"/>
    <w:rsid w:val="00690C4C"/>
    <w:rsid w:val="00690CAD"/>
    <w:rsid w:val="00691454"/>
    <w:rsid w:val="0069204F"/>
    <w:rsid w:val="0069236C"/>
    <w:rsid w:val="00692DDC"/>
    <w:rsid w:val="00693767"/>
    <w:rsid w:val="00693895"/>
    <w:rsid w:val="0069426C"/>
    <w:rsid w:val="0069469E"/>
    <w:rsid w:val="00694A0F"/>
    <w:rsid w:val="00694C3F"/>
    <w:rsid w:val="00696FE1"/>
    <w:rsid w:val="0069761C"/>
    <w:rsid w:val="006978EC"/>
    <w:rsid w:val="006A04E4"/>
    <w:rsid w:val="006A083A"/>
    <w:rsid w:val="006A10F2"/>
    <w:rsid w:val="006A1A31"/>
    <w:rsid w:val="006A1E82"/>
    <w:rsid w:val="006A3D91"/>
    <w:rsid w:val="006A43AB"/>
    <w:rsid w:val="006A4633"/>
    <w:rsid w:val="006A4D7F"/>
    <w:rsid w:val="006A4DC2"/>
    <w:rsid w:val="006A52E7"/>
    <w:rsid w:val="006A7758"/>
    <w:rsid w:val="006A7A53"/>
    <w:rsid w:val="006B089C"/>
    <w:rsid w:val="006B0A1D"/>
    <w:rsid w:val="006B0E93"/>
    <w:rsid w:val="006B1164"/>
    <w:rsid w:val="006B1323"/>
    <w:rsid w:val="006B16A2"/>
    <w:rsid w:val="006B16D6"/>
    <w:rsid w:val="006B204A"/>
    <w:rsid w:val="006B2D43"/>
    <w:rsid w:val="006B33C5"/>
    <w:rsid w:val="006B3C55"/>
    <w:rsid w:val="006B4C98"/>
    <w:rsid w:val="006B4FD3"/>
    <w:rsid w:val="006B54AF"/>
    <w:rsid w:val="006B584F"/>
    <w:rsid w:val="006B71C5"/>
    <w:rsid w:val="006B7471"/>
    <w:rsid w:val="006C0137"/>
    <w:rsid w:val="006C02B5"/>
    <w:rsid w:val="006C12DA"/>
    <w:rsid w:val="006C1464"/>
    <w:rsid w:val="006C149B"/>
    <w:rsid w:val="006C1EDC"/>
    <w:rsid w:val="006C24B0"/>
    <w:rsid w:val="006C25E3"/>
    <w:rsid w:val="006C279D"/>
    <w:rsid w:val="006C2A4D"/>
    <w:rsid w:val="006C3A1E"/>
    <w:rsid w:val="006C3E0A"/>
    <w:rsid w:val="006C3F44"/>
    <w:rsid w:val="006C408F"/>
    <w:rsid w:val="006C41DB"/>
    <w:rsid w:val="006C455D"/>
    <w:rsid w:val="006C5EC9"/>
    <w:rsid w:val="006C67F7"/>
    <w:rsid w:val="006C6E10"/>
    <w:rsid w:val="006C711F"/>
    <w:rsid w:val="006D1B10"/>
    <w:rsid w:val="006D375D"/>
    <w:rsid w:val="006D4D84"/>
    <w:rsid w:val="006D5759"/>
    <w:rsid w:val="006D7041"/>
    <w:rsid w:val="006D7564"/>
    <w:rsid w:val="006D7764"/>
    <w:rsid w:val="006D7A23"/>
    <w:rsid w:val="006D7CBF"/>
    <w:rsid w:val="006E0076"/>
    <w:rsid w:val="006E0D27"/>
    <w:rsid w:val="006E22AC"/>
    <w:rsid w:val="006E2386"/>
    <w:rsid w:val="006E3869"/>
    <w:rsid w:val="006E41F8"/>
    <w:rsid w:val="006E48AE"/>
    <w:rsid w:val="006E52A2"/>
    <w:rsid w:val="006E54B7"/>
    <w:rsid w:val="006F0066"/>
    <w:rsid w:val="006F0679"/>
    <w:rsid w:val="006F0FCB"/>
    <w:rsid w:val="006F124C"/>
    <w:rsid w:val="006F12EB"/>
    <w:rsid w:val="006F1307"/>
    <w:rsid w:val="006F1D18"/>
    <w:rsid w:val="006F1DA6"/>
    <w:rsid w:val="006F20DA"/>
    <w:rsid w:val="006F250A"/>
    <w:rsid w:val="006F3236"/>
    <w:rsid w:val="006F3378"/>
    <w:rsid w:val="006F4020"/>
    <w:rsid w:val="006F49BF"/>
    <w:rsid w:val="006F4E91"/>
    <w:rsid w:val="006F52FD"/>
    <w:rsid w:val="006F53B2"/>
    <w:rsid w:val="006F59D1"/>
    <w:rsid w:val="006F5A47"/>
    <w:rsid w:val="006F66A9"/>
    <w:rsid w:val="006F6C70"/>
    <w:rsid w:val="006F6D74"/>
    <w:rsid w:val="006F79F6"/>
    <w:rsid w:val="007018C5"/>
    <w:rsid w:val="00701D50"/>
    <w:rsid w:val="00702518"/>
    <w:rsid w:val="00702B9E"/>
    <w:rsid w:val="00702FEC"/>
    <w:rsid w:val="00703113"/>
    <w:rsid w:val="00703ECD"/>
    <w:rsid w:val="00703F34"/>
    <w:rsid w:val="00704115"/>
    <w:rsid w:val="0070411A"/>
    <w:rsid w:val="00704678"/>
    <w:rsid w:val="007048C5"/>
    <w:rsid w:val="00704C1A"/>
    <w:rsid w:val="00704CC1"/>
    <w:rsid w:val="00704E97"/>
    <w:rsid w:val="0071029D"/>
    <w:rsid w:val="0071031E"/>
    <w:rsid w:val="00710F07"/>
    <w:rsid w:val="007126BB"/>
    <w:rsid w:val="00713376"/>
    <w:rsid w:val="0071360C"/>
    <w:rsid w:val="00713D5B"/>
    <w:rsid w:val="0071405C"/>
    <w:rsid w:val="00714750"/>
    <w:rsid w:val="00715139"/>
    <w:rsid w:val="00717EEC"/>
    <w:rsid w:val="0072122A"/>
    <w:rsid w:val="007216AD"/>
    <w:rsid w:val="00721CC3"/>
    <w:rsid w:val="00721D66"/>
    <w:rsid w:val="00722264"/>
    <w:rsid w:val="00723509"/>
    <w:rsid w:val="00723EE4"/>
    <w:rsid w:val="007245ED"/>
    <w:rsid w:val="00724B8A"/>
    <w:rsid w:val="00726CE9"/>
    <w:rsid w:val="00727258"/>
    <w:rsid w:val="007274B4"/>
    <w:rsid w:val="0072782F"/>
    <w:rsid w:val="00727F68"/>
    <w:rsid w:val="007306D6"/>
    <w:rsid w:val="007310C0"/>
    <w:rsid w:val="007312ED"/>
    <w:rsid w:val="00731863"/>
    <w:rsid w:val="0073187D"/>
    <w:rsid w:val="00731D56"/>
    <w:rsid w:val="00731F35"/>
    <w:rsid w:val="0073375A"/>
    <w:rsid w:val="00733B27"/>
    <w:rsid w:val="007346CC"/>
    <w:rsid w:val="00734D2F"/>
    <w:rsid w:val="007352B2"/>
    <w:rsid w:val="00735781"/>
    <w:rsid w:val="00735AC0"/>
    <w:rsid w:val="007365A7"/>
    <w:rsid w:val="00736BB3"/>
    <w:rsid w:val="00741406"/>
    <w:rsid w:val="0074187A"/>
    <w:rsid w:val="007420A3"/>
    <w:rsid w:val="00742897"/>
    <w:rsid w:val="00742CE8"/>
    <w:rsid w:val="00743E43"/>
    <w:rsid w:val="00744F96"/>
    <w:rsid w:val="00745BCD"/>
    <w:rsid w:val="00745DE6"/>
    <w:rsid w:val="00747468"/>
    <w:rsid w:val="007475AC"/>
    <w:rsid w:val="007478DD"/>
    <w:rsid w:val="00747954"/>
    <w:rsid w:val="007479AD"/>
    <w:rsid w:val="007503A7"/>
    <w:rsid w:val="0075094D"/>
    <w:rsid w:val="007518D2"/>
    <w:rsid w:val="00752F01"/>
    <w:rsid w:val="00753C4E"/>
    <w:rsid w:val="00753F3E"/>
    <w:rsid w:val="00754624"/>
    <w:rsid w:val="00754820"/>
    <w:rsid w:val="00754B26"/>
    <w:rsid w:val="007557ED"/>
    <w:rsid w:val="00755EF5"/>
    <w:rsid w:val="00756792"/>
    <w:rsid w:val="00760067"/>
    <w:rsid w:val="00760946"/>
    <w:rsid w:val="00760CBB"/>
    <w:rsid w:val="00761C81"/>
    <w:rsid w:val="00762A56"/>
    <w:rsid w:val="00762B2D"/>
    <w:rsid w:val="00762E99"/>
    <w:rsid w:val="007644D6"/>
    <w:rsid w:val="00764618"/>
    <w:rsid w:val="00765642"/>
    <w:rsid w:val="00765962"/>
    <w:rsid w:val="00765EEB"/>
    <w:rsid w:val="00766508"/>
    <w:rsid w:val="007667D9"/>
    <w:rsid w:val="00766F51"/>
    <w:rsid w:val="00767996"/>
    <w:rsid w:val="007702F8"/>
    <w:rsid w:val="00770928"/>
    <w:rsid w:val="00770A7D"/>
    <w:rsid w:val="00771B3A"/>
    <w:rsid w:val="00771E92"/>
    <w:rsid w:val="007723B3"/>
    <w:rsid w:val="007733AE"/>
    <w:rsid w:val="007740B4"/>
    <w:rsid w:val="007745C3"/>
    <w:rsid w:val="00774741"/>
    <w:rsid w:val="00775583"/>
    <w:rsid w:val="0077610A"/>
    <w:rsid w:val="00776F5F"/>
    <w:rsid w:val="007771F2"/>
    <w:rsid w:val="007800FF"/>
    <w:rsid w:val="007801DA"/>
    <w:rsid w:val="00780A01"/>
    <w:rsid w:val="007813F5"/>
    <w:rsid w:val="00781D75"/>
    <w:rsid w:val="00781FBE"/>
    <w:rsid w:val="00782B1F"/>
    <w:rsid w:val="0078359C"/>
    <w:rsid w:val="00784CED"/>
    <w:rsid w:val="007858DD"/>
    <w:rsid w:val="00785F5A"/>
    <w:rsid w:val="00786060"/>
    <w:rsid w:val="007862E2"/>
    <w:rsid w:val="007873D6"/>
    <w:rsid w:val="00790C0B"/>
    <w:rsid w:val="00791D5E"/>
    <w:rsid w:val="0079202B"/>
    <w:rsid w:val="0079212E"/>
    <w:rsid w:val="007929BD"/>
    <w:rsid w:val="00792D99"/>
    <w:rsid w:val="007932AC"/>
    <w:rsid w:val="0079357C"/>
    <w:rsid w:val="0079382B"/>
    <w:rsid w:val="00793DC2"/>
    <w:rsid w:val="00794ED5"/>
    <w:rsid w:val="00796978"/>
    <w:rsid w:val="007975CD"/>
    <w:rsid w:val="0079760C"/>
    <w:rsid w:val="007A0305"/>
    <w:rsid w:val="007A0BAF"/>
    <w:rsid w:val="007A198B"/>
    <w:rsid w:val="007A1A02"/>
    <w:rsid w:val="007A1B80"/>
    <w:rsid w:val="007A23E6"/>
    <w:rsid w:val="007A2C77"/>
    <w:rsid w:val="007A2EA7"/>
    <w:rsid w:val="007A3134"/>
    <w:rsid w:val="007A3FE0"/>
    <w:rsid w:val="007A55BA"/>
    <w:rsid w:val="007A5DE2"/>
    <w:rsid w:val="007A71CE"/>
    <w:rsid w:val="007A7B48"/>
    <w:rsid w:val="007A7D6D"/>
    <w:rsid w:val="007B046D"/>
    <w:rsid w:val="007B0D9F"/>
    <w:rsid w:val="007B0E84"/>
    <w:rsid w:val="007B0F87"/>
    <w:rsid w:val="007B21CF"/>
    <w:rsid w:val="007B226C"/>
    <w:rsid w:val="007B2C2C"/>
    <w:rsid w:val="007B2E53"/>
    <w:rsid w:val="007B2F29"/>
    <w:rsid w:val="007B345C"/>
    <w:rsid w:val="007B3A6F"/>
    <w:rsid w:val="007B50BA"/>
    <w:rsid w:val="007B5231"/>
    <w:rsid w:val="007B5D61"/>
    <w:rsid w:val="007B5F29"/>
    <w:rsid w:val="007B6550"/>
    <w:rsid w:val="007B6DE7"/>
    <w:rsid w:val="007B6FF1"/>
    <w:rsid w:val="007C08C6"/>
    <w:rsid w:val="007C11A8"/>
    <w:rsid w:val="007C211D"/>
    <w:rsid w:val="007C2F5B"/>
    <w:rsid w:val="007C47B3"/>
    <w:rsid w:val="007C518A"/>
    <w:rsid w:val="007C55E5"/>
    <w:rsid w:val="007C5FF4"/>
    <w:rsid w:val="007C7242"/>
    <w:rsid w:val="007C742D"/>
    <w:rsid w:val="007D093D"/>
    <w:rsid w:val="007D0BCA"/>
    <w:rsid w:val="007D1B30"/>
    <w:rsid w:val="007D2420"/>
    <w:rsid w:val="007D4BB2"/>
    <w:rsid w:val="007D5AE0"/>
    <w:rsid w:val="007D65EF"/>
    <w:rsid w:val="007D6B60"/>
    <w:rsid w:val="007E077E"/>
    <w:rsid w:val="007E1091"/>
    <w:rsid w:val="007E194E"/>
    <w:rsid w:val="007E1978"/>
    <w:rsid w:val="007E1F3E"/>
    <w:rsid w:val="007E2161"/>
    <w:rsid w:val="007E2C5F"/>
    <w:rsid w:val="007E330B"/>
    <w:rsid w:val="007E358F"/>
    <w:rsid w:val="007E45FC"/>
    <w:rsid w:val="007E4E6B"/>
    <w:rsid w:val="007E5D14"/>
    <w:rsid w:val="007E6DB5"/>
    <w:rsid w:val="007E73B7"/>
    <w:rsid w:val="007E749D"/>
    <w:rsid w:val="007E7C28"/>
    <w:rsid w:val="007E7ECC"/>
    <w:rsid w:val="007F14D0"/>
    <w:rsid w:val="007F327B"/>
    <w:rsid w:val="007F43C9"/>
    <w:rsid w:val="007F448B"/>
    <w:rsid w:val="007F56A8"/>
    <w:rsid w:val="007F5BED"/>
    <w:rsid w:val="007F5CCB"/>
    <w:rsid w:val="007F724E"/>
    <w:rsid w:val="007F7567"/>
    <w:rsid w:val="007F79EF"/>
    <w:rsid w:val="00800F7F"/>
    <w:rsid w:val="00801D98"/>
    <w:rsid w:val="00801F76"/>
    <w:rsid w:val="00802442"/>
    <w:rsid w:val="0080270A"/>
    <w:rsid w:val="00803E93"/>
    <w:rsid w:val="008050C2"/>
    <w:rsid w:val="00807160"/>
    <w:rsid w:val="00807164"/>
    <w:rsid w:val="00807B32"/>
    <w:rsid w:val="00810068"/>
    <w:rsid w:val="0081050D"/>
    <w:rsid w:val="00810CD0"/>
    <w:rsid w:val="00810DF9"/>
    <w:rsid w:val="00811039"/>
    <w:rsid w:val="00812EDE"/>
    <w:rsid w:val="00813278"/>
    <w:rsid w:val="0081401D"/>
    <w:rsid w:val="0081435B"/>
    <w:rsid w:val="008148F0"/>
    <w:rsid w:val="00815F1F"/>
    <w:rsid w:val="00821126"/>
    <w:rsid w:val="008211AC"/>
    <w:rsid w:val="008211F0"/>
    <w:rsid w:val="00821F40"/>
    <w:rsid w:val="00822103"/>
    <w:rsid w:val="00822164"/>
    <w:rsid w:val="00822553"/>
    <w:rsid w:val="008228DF"/>
    <w:rsid w:val="00823DD1"/>
    <w:rsid w:val="0082457E"/>
    <w:rsid w:val="008245FB"/>
    <w:rsid w:val="008256F6"/>
    <w:rsid w:val="00826595"/>
    <w:rsid w:val="00826642"/>
    <w:rsid w:val="00826875"/>
    <w:rsid w:val="008309D9"/>
    <w:rsid w:val="0083236C"/>
    <w:rsid w:val="0083258B"/>
    <w:rsid w:val="008327DC"/>
    <w:rsid w:val="00833A73"/>
    <w:rsid w:val="00833CB3"/>
    <w:rsid w:val="00834F55"/>
    <w:rsid w:val="00837025"/>
    <w:rsid w:val="00837B7E"/>
    <w:rsid w:val="0084039D"/>
    <w:rsid w:val="008405BC"/>
    <w:rsid w:val="00840D4D"/>
    <w:rsid w:val="008429DD"/>
    <w:rsid w:val="00843107"/>
    <w:rsid w:val="0084385C"/>
    <w:rsid w:val="00843AA8"/>
    <w:rsid w:val="00843F9D"/>
    <w:rsid w:val="0084469A"/>
    <w:rsid w:val="00844B6A"/>
    <w:rsid w:val="008453F0"/>
    <w:rsid w:val="00845A90"/>
    <w:rsid w:val="00845D19"/>
    <w:rsid w:val="008465FA"/>
    <w:rsid w:val="008468C9"/>
    <w:rsid w:val="00846A9D"/>
    <w:rsid w:val="008471DD"/>
    <w:rsid w:val="008478B1"/>
    <w:rsid w:val="00850889"/>
    <w:rsid w:val="0085100A"/>
    <w:rsid w:val="00851A3F"/>
    <w:rsid w:val="0085217E"/>
    <w:rsid w:val="00853B36"/>
    <w:rsid w:val="00853D59"/>
    <w:rsid w:val="00854468"/>
    <w:rsid w:val="00855014"/>
    <w:rsid w:val="00855324"/>
    <w:rsid w:val="00856A22"/>
    <w:rsid w:val="00860418"/>
    <w:rsid w:val="00860553"/>
    <w:rsid w:val="0086059F"/>
    <w:rsid w:val="00860772"/>
    <w:rsid w:val="00860839"/>
    <w:rsid w:val="00860D56"/>
    <w:rsid w:val="008615EB"/>
    <w:rsid w:val="0086237E"/>
    <w:rsid w:val="00863442"/>
    <w:rsid w:val="00864A3A"/>
    <w:rsid w:val="00864AA5"/>
    <w:rsid w:val="0086557B"/>
    <w:rsid w:val="00865E81"/>
    <w:rsid w:val="00866BD5"/>
    <w:rsid w:val="00866F40"/>
    <w:rsid w:val="0086721B"/>
    <w:rsid w:val="00867AEC"/>
    <w:rsid w:val="00867B81"/>
    <w:rsid w:val="00867EB7"/>
    <w:rsid w:val="00867F51"/>
    <w:rsid w:val="00870241"/>
    <w:rsid w:val="00870A94"/>
    <w:rsid w:val="00870F16"/>
    <w:rsid w:val="00872FE9"/>
    <w:rsid w:val="0087371B"/>
    <w:rsid w:val="00873CA2"/>
    <w:rsid w:val="00874168"/>
    <w:rsid w:val="00875095"/>
    <w:rsid w:val="00875CCF"/>
    <w:rsid w:val="00877201"/>
    <w:rsid w:val="00877490"/>
    <w:rsid w:val="00877573"/>
    <w:rsid w:val="00880604"/>
    <w:rsid w:val="00880AB4"/>
    <w:rsid w:val="00881465"/>
    <w:rsid w:val="00882358"/>
    <w:rsid w:val="008824C1"/>
    <w:rsid w:val="0088563F"/>
    <w:rsid w:val="00885A4B"/>
    <w:rsid w:val="0088695B"/>
    <w:rsid w:val="008875F3"/>
    <w:rsid w:val="00887BD3"/>
    <w:rsid w:val="00887E23"/>
    <w:rsid w:val="00891234"/>
    <w:rsid w:val="008937D8"/>
    <w:rsid w:val="00895DB5"/>
    <w:rsid w:val="00896DBB"/>
    <w:rsid w:val="008A0133"/>
    <w:rsid w:val="008A02C8"/>
    <w:rsid w:val="008A1866"/>
    <w:rsid w:val="008A1A83"/>
    <w:rsid w:val="008A1A86"/>
    <w:rsid w:val="008A1E86"/>
    <w:rsid w:val="008A2366"/>
    <w:rsid w:val="008A3166"/>
    <w:rsid w:val="008A3EA6"/>
    <w:rsid w:val="008A3F38"/>
    <w:rsid w:val="008A4645"/>
    <w:rsid w:val="008A4F9F"/>
    <w:rsid w:val="008A65E4"/>
    <w:rsid w:val="008A663C"/>
    <w:rsid w:val="008A686F"/>
    <w:rsid w:val="008A6AD9"/>
    <w:rsid w:val="008A7362"/>
    <w:rsid w:val="008A79DF"/>
    <w:rsid w:val="008B08B6"/>
    <w:rsid w:val="008B0908"/>
    <w:rsid w:val="008B0C20"/>
    <w:rsid w:val="008B0F67"/>
    <w:rsid w:val="008B1409"/>
    <w:rsid w:val="008B1704"/>
    <w:rsid w:val="008B47BE"/>
    <w:rsid w:val="008B4AFC"/>
    <w:rsid w:val="008B5495"/>
    <w:rsid w:val="008B6133"/>
    <w:rsid w:val="008B69F3"/>
    <w:rsid w:val="008B6E27"/>
    <w:rsid w:val="008B7330"/>
    <w:rsid w:val="008C18C3"/>
    <w:rsid w:val="008C2220"/>
    <w:rsid w:val="008C26EC"/>
    <w:rsid w:val="008C36B2"/>
    <w:rsid w:val="008C3F40"/>
    <w:rsid w:val="008C4045"/>
    <w:rsid w:val="008C43E8"/>
    <w:rsid w:val="008C4986"/>
    <w:rsid w:val="008C4B76"/>
    <w:rsid w:val="008C4EDD"/>
    <w:rsid w:val="008C517D"/>
    <w:rsid w:val="008C54DC"/>
    <w:rsid w:val="008C6F68"/>
    <w:rsid w:val="008C731E"/>
    <w:rsid w:val="008C7967"/>
    <w:rsid w:val="008D01BC"/>
    <w:rsid w:val="008D0B72"/>
    <w:rsid w:val="008D0D20"/>
    <w:rsid w:val="008D1940"/>
    <w:rsid w:val="008D1EBA"/>
    <w:rsid w:val="008D2085"/>
    <w:rsid w:val="008D2568"/>
    <w:rsid w:val="008D2C89"/>
    <w:rsid w:val="008D2CE4"/>
    <w:rsid w:val="008D2E86"/>
    <w:rsid w:val="008D3BFB"/>
    <w:rsid w:val="008D48F1"/>
    <w:rsid w:val="008D50F2"/>
    <w:rsid w:val="008D5B8D"/>
    <w:rsid w:val="008D6390"/>
    <w:rsid w:val="008D646B"/>
    <w:rsid w:val="008D66FC"/>
    <w:rsid w:val="008D71CA"/>
    <w:rsid w:val="008E0680"/>
    <w:rsid w:val="008E07CF"/>
    <w:rsid w:val="008E1165"/>
    <w:rsid w:val="008E1ADE"/>
    <w:rsid w:val="008E1D92"/>
    <w:rsid w:val="008E2B0F"/>
    <w:rsid w:val="008E3293"/>
    <w:rsid w:val="008E402E"/>
    <w:rsid w:val="008E4BC7"/>
    <w:rsid w:val="008E4D36"/>
    <w:rsid w:val="008E50D4"/>
    <w:rsid w:val="008E5376"/>
    <w:rsid w:val="008E556D"/>
    <w:rsid w:val="008E6B86"/>
    <w:rsid w:val="008E6DFF"/>
    <w:rsid w:val="008E6E95"/>
    <w:rsid w:val="008E75D8"/>
    <w:rsid w:val="008E766D"/>
    <w:rsid w:val="008E78B9"/>
    <w:rsid w:val="008E7970"/>
    <w:rsid w:val="008E7B62"/>
    <w:rsid w:val="008F0020"/>
    <w:rsid w:val="008F1077"/>
    <w:rsid w:val="008F1311"/>
    <w:rsid w:val="008F16A8"/>
    <w:rsid w:val="008F2237"/>
    <w:rsid w:val="008F25C5"/>
    <w:rsid w:val="008F2E8D"/>
    <w:rsid w:val="008F3FAF"/>
    <w:rsid w:val="008F422F"/>
    <w:rsid w:val="008F4441"/>
    <w:rsid w:val="008F52E5"/>
    <w:rsid w:val="008F5A4E"/>
    <w:rsid w:val="008F6080"/>
    <w:rsid w:val="008F71CE"/>
    <w:rsid w:val="00900B33"/>
    <w:rsid w:val="00901AEF"/>
    <w:rsid w:val="00902C24"/>
    <w:rsid w:val="00902D17"/>
    <w:rsid w:val="00902EAD"/>
    <w:rsid w:val="00903C21"/>
    <w:rsid w:val="00904484"/>
    <w:rsid w:val="00905AEB"/>
    <w:rsid w:val="00905C70"/>
    <w:rsid w:val="00906806"/>
    <w:rsid w:val="00906F42"/>
    <w:rsid w:val="009078D5"/>
    <w:rsid w:val="00907E75"/>
    <w:rsid w:val="00910171"/>
    <w:rsid w:val="00910583"/>
    <w:rsid w:val="0091100E"/>
    <w:rsid w:val="0091262E"/>
    <w:rsid w:val="00912F77"/>
    <w:rsid w:val="00913E6B"/>
    <w:rsid w:val="00913EDB"/>
    <w:rsid w:val="00913F8A"/>
    <w:rsid w:val="00915AD4"/>
    <w:rsid w:val="00915F53"/>
    <w:rsid w:val="0091648D"/>
    <w:rsid w:val="0092047B"/>
    <w:rsid w:val="0092167B"/>
    <w:rsid w:val="00923E64"/>
    <w:rsid w:val="00923F36"/>
    <w:rsid w:val="009253F9"/>
    <w:rsid w:val="009258D2"/>
    <w:rsid w:val="009259B3"/>
    <w:rsid w:val="0092669E"/>
    <w:rsid w:val="00926756"/>
    <w:rsid w:val="0092793E"/>
    <w:rsid w:val="00927DE2"/>
    <w:rsid w:val="00927EF0"/>
    <w:rsid w:val="009315AF"/>
    <w:rsid w:val="00931CA6"/>
    <w:rsid w:val="00932DFA"/>
    <w:rsid w:val="00933A6E"/>
    <w:rsid w:val="00933AEC"/>
    <w:rsid w:val="00933C4A"/>
    <w:rsid w:val="0093425B"/>
    <w:rsid w:val="00934675"/>
    <w:rsid w:val="00934709"/>
    <w:rsid w:val="00934745"/>
    <w:rsid w:val="00934761"/>
    <w:rsid w:val="00934FB6"/>
    <w:rsid w:val="0093547E"/>
    <w:rsid w:val="00936B3F"/>
    <w:rsid w:val="0093739D"/>
    <w:rsid w:val="00937506"/>
    <w:rsid w:val="00937792"/>
    <w:rsid w:val="00937DD5"/>
    <w:rsid w:val="00940221"/>
    <w:rsid w:val="00940373"/>
    <w:rsid w:val="00940CEE"/>
    <w:rsid w:val="00941450"/>
    <w:rsid w:val="0094154C"/>
    <w:rsid w:val="009417E7"/>
    <w:rsid w:val="0094276A"/>
    <w:rsid w:val="00943A9A"/>
    <w:rsid w:val="009441AC"/>
    <w:rsid w:val="00944960"/>
    <w:rsid w:val="00944CAC"/>
    <w:rsid w:val="00945F58"/>
    <w:rsid w:val="00946BB2"/>
    <w:rsid w:val="009503B9"/>
    <w:rsid w:val="00951C24"/>
    <w:rsid w:val="00951E55"/>
    <w:rsid w:val="00952D2F"/>
    <w:rsid w:val="009530BE"/>
    <w:rsid w:val="00953BD9"/>
    <w:rsid w:val="00953D4F"/>
    <w:rsid w:val="00953DE2"/>
    <w:rsid w:val="00953F14"/>
    <w:rsid w:val="00954429"/>
    <w:rsid w:val="00955564"/>
    <w:rsid w:val="009559E8"/>
    <w:rsid w:val="009567F6"/>
    <w:rsid w:val="00956D43"/>
    <w:rsid w:val="00956E74"/>
    <w:rsid w:val="00957059"/>
    <w:rsid w:val="00960E52"/>
    <w:rsid w:val="00961034"/>
    <w:rsid w:val="009612CE"/>
    <w:rsid w:val="009622A8"/>
    <w:rsid w:val="00963976"/>
    <w:rsid w:val="00963D54"/>
    <w:rsid w:val="00964146"/>
    <w:rsid w:val="00967A16"/>
    <w:rsid w:val="00967F94"/>
    <w:rsid w:val="009704AE"/>
    <w:rsid w:val="0097183F"/>
    <w:rsid w:val="00971BDE"/>
    <w:rsid w:val="00971F37"/>
    <w:rsid w:val="009721F9"/>
    <w:rsid w:val="00972DEF"/>
    <w:rsid w:val="009732AF"/>
    <w:rsid w:val="009743C5"/>
    <w:rsid w:val="009744A7"/>
    <w:rsid w:val="00974FB7"/>
    <w:rsid w:val="0097678A"/>
    <w:rsid w:val="00976FCB"/>
    <w:rsid w:val="00976FEE"/>
    <w:rsid w:val="00977034"/>
    <w:rsid w:val="0097788E"/>
    <w:rsid w:val="00981F16"/>
    <w:rsid w:val="0098278D"/>
    <w:rsid w:val="009834FC"/>
    <w:rsid w:val="00984C41"/>
    <w:rsid w:val="00985217"/>
    <w:rsid w:val="00985407"/>
    <w:rsid w:val="009854E8"/>
    <w:rsid w:val="0098565D"/>
    <w:rsid w:val="00985817"/>
    <w:rsid w:val="009872B8"/>
    <w:rsid w:val="0098731F"/>
    <w:rsid w:val="009877B6"/>
    <w:rsid w:val="009901D4"/>
    <w:rsid w:val="009926F2"/>
    <w:rsid w:val="00993FB5"/>
    <w:rsid w:val="009942F1"/>
    <w:rsid w:val="00996192"/>
    <w:rsid w:val="009968D9"/>
    <w:rsid w:val="00996C57"/>
    <w:rsid w:val="009971A3"/>
    <w:rsid w:val="009A0C03"/>
    <w:rsid w:val="009A1445"/>
    <w:rsid w:val="009A1588"/>
    <w:rsid w:val="009A1B55"/>
    <w:rsid w:val="009A1EED"/>
    <w:rsid w:val="009A275B"/>
    <w:rsid w:val="009A2D3C"/>
    <w:rsid w:val="009A3A64"/>
    <w:rsid w:val="009A41BA"/>
    <w:rsid w:val="009A48D5"/>
    <w:rsid w:val="009A71AB"/>
    <w:rsid w:val="009B09E3"/>
    <w:rsid w:val="009B125E"/>
    <w:rsid w:val="009B1429"/>
    <w:rsid w:val="009B14A2"/>
    <w:rsid w:val="009B29A8"/>
    <w:rsid w:val="009B2ADE"/>
    <w:rsid w:val="009B2D65"/>
    <w:rsid w:val="009B4439"/>
    <w:rsid w:val="009B4AA0"/>
    <w:rsid w:val="009B5320"/>
    <w:rsid w:val="009B691B"/>
    <w:rsid w:val="009B6981"/>
    <w:rsid w:val="009B6F9E"/>
    <w:rsid w:val="009B77F1"/>
    <w:rsid w:val="009C062D"/>
    <w:rsid w:val="009C0C82"/>
    <w:rsid w:val="009C12A6"/>
    <w:rsid w:val="009C15BB"/>
    <w:rsid w:val="009C1939"/>
    <w:rsid w:val="009C1E9E"/>
    <w:rsid w:val="009C2755"/>
    <w:rsid w:val="009C2CA0"/>
    <w:rsid w:val="009C37CE"/>
    <w:rsid w:val="009C3856"/>
    <w:rsid w:val="009C387B"/>
    <w:rsid w:val="009C42DF"/>
    <w:rsid w:val="009C4706"/>
    <w:rsid w:val="009C68CB"/>
    <w:rsid w:val="009C7B08"/>
    <w:rsid w:val="009D1DE5"/>
    <w:rsid w:val="009D2895"/>
    <w:rsid w:val="009D2B33"/>
    <w:rsid w:val="009D2C2C"/>
    <w:rsid w:val="009D33E1"/>
    <w:rsid w:val="009D40DD"/>
    <w:rsid w:val="009D41F1"/>
    <w:rsid w:val="009D43DA"/>
    <w:rsid w:val="009D47A8"/>
    <w:rsid w:val="009D5121"/>
    <w:rsid w:val="009D5829"/>
    <w:rsid w:val="009D59CA"/>
    <w:rsid w:val="009D704D"/>
    <w:rsid w:val="009D76EF"/>
    <w:rsid w:val="009D7AAC"/>
    <w:rsid w:val="009E0072"/>
    <w:rsid w:val="009E0425"/>
    <w:rsid w:val="009E1095"/>
    <w:rsid w:val="009E15FF"/>
    <w:rsid w:val="009E2E67"/>
    <w:rsid w:val="009E3FA5"/>
    <w:rsid w:val="009E464A"/>
    <w:rsid w:val="009E4871"/>
    <w:rsid w:val="009E5343"/>
    <w:rsid w:val="009E5E02"/>
    <w:rsid w:val="009E631C"/>
    <w:rsid w:val="009E705A"/>
    <w:rsid w:val="009E7862"/>
    <w:rsid w:val="009F02F7"/>
    <w:rsid w:val="009F062E"/>
    <w:rsid w:val="009F0B8B"/>
    <w:rsid w:val="009F0B98"/>
    <w:rsid w:val="009F134C"/>
    <w:rsid w:val="009F1FED"/>
    <w:rsid w:val="009F22FB"/>
    <w:rsid w:val="009F388F"/>
    <w:rsid w:val="009F3FBF"/>
    <w:rsid w:val="009F418D"/>
    <w:rsid w:val="009F4531"/>
    <w:rsid w:val="009F5A34"/>
    <w:rsid w:val="009F697E"/>
    <w:rsid w:val="009F6D97"/>
    <w:rsid w:val="009F6DF8"/>
    <w:rsid w:val="009F7881"/>
    <w:rsid w:val="00A0008F"/>
    <w:rsid w:val="00A01353"/>
    <w:rsid w:val="00A015A4"/>
    <w:rsid w:val="00A02695"/>
    <w:rsid w:val="00A02B97"/>
    <w:rsid w:val="00A03308"/>
    <w:rsid w:val="00A03ACF"/>
    <w:rsid w:val="00A056D3"/>
    <w:rsid w:val="00A061DE"/>
    <w:rsid w:val="00A07783"/>
    <w:rsid w:val="00A10BF4"/>
    <w:rsid w:val="00A119BA"/>
    <w:rsid w:val="00A1201A"/>
    <w:rsid w:val="00A12A87"/>
    <w:rsid w:val="00A1346B"/>
    <w:rsid w:val="00A1379C"/>
    <w:rsid w:val="00A13AF8"/>
    <w:rsid w:val="00A13FC9"/>
    <w:rsid w:val="00A14032"/>
    <w:rsid w:val="00A1468B"/>
    <w:rsid w:val="00A160CB"/>
    <w:rsid w:val="00A166BD"/>
    <w:rsid w:val="00A1709E"/>
    <w:rsid w:val="00A17697"/>
    <w:rsid w:val="00A17D63"/>
    <w:rsid w:val="00A20333"/>
    <w:rsid w:val="00A203A1"/>
    <w:rsid w:val="00A211DC"/>
    <w:rsid w:val="00A21B94"/>
    <w:rsid w:val="00A21E6D"/>
    <w:rsid w:val="00A22290"/>
    <w:rsid w:val="00A24051"/>
    <w:rsid w:val="00A24611"/>
    <w:rsid w:val="00A2502C"/>
    <w:rsid w:val="00A2538D"/>
    <w:rsid w:val="00A257E4"/>
    <w:rsid w:val="00A26B90"/>
    <w:rsid w:val="00A2748B"/>
    <w:rsid w:val="00A30349"/>
    <w:rsid w:val="00A305DB"/>
    <w:rsid w:val="00A318DF"/>
    <w:rsid w:val="00A324BA"/>
    <w:rsid w:val="00A33409"/>
    <w:rsid w:val="00A33DC6"/>
    <w:rsid w:val="00A33E88"/>
    <w:rsid w:val="00A34444"/>
    <w:rsid w:val="00A34DE3"/>
    <w:rsid w:val="00A34E0B"/>
    <w:rsid w:val="00A35509"/>
    <w:rsid w:val="00A35AE8"/>
    <w:rsid w:val="00A365A1"/>
    <w:rsid w:val="00A3692E"/>
    <w:rsid w:val="00A37553"/>
    <w:rsid w:val="00A37776"/>
    <w:rsid w:val="00A40C98"/>
    <w:rsid w:val="00A42F11"/>
    <w:rsid w:val="00A437C7"/>
    <w:rsid w:val="00A43960"/>
    <w:rsid w:val="00A43983"/>
    <w:rsid w:val="00A43C69"/>
    <w:rsid w:val="00A43CEC"/>
    <w:rsid w:val="00A4439E"/>
    <w:rsid w:val="00A450DE"/>
    <w:rsid w:val="00A455BF"/>
    <w:rsid w:val="00A4616C"/>
    <w:rsid w:val="00A464DC"/>
    <w:rsid w:val="00A46588"/>
    <w:rsid w:val="00A4781E"/>
    <w:rsid w:val="00A505C6"/>
    <w:rsid w:val="00A50E9E"/>
    <w:rsid w:val="00A51273"/>
    <w:rsid w:val="00A514D7"/>
    <w:rsid w:val="00A516A7"/>
    <w:rsid w:val="00A516B8"/>
    <w:rsid w:val="00A52CC0"/>
    <w:rsid w:val="00A539ED"/>
    <w:rsid w:val="00A54371"/>
    <w:rsid w:val="00A543A9"/>
    <w:rsid w:val="00A546FB"/>
    <w:rsid w:val="00A5667B"/>
    <w:rsid w:val="00A5757E"/>
    <w:rsid w:val="00A6099B"/>
    <w:rsid w:val="00A6200C"/>
    <w:rsid w:val="00A62F9F"/>
    <w:rsid w:val="00A63DAD"/>
    <w:rsid w:val="00A6457C"/>
    <w:rsid w:val="00A658EF"/>
    <w:rsid w:val="00A65CA1"/>
    <w:rsid w:val="00A667C6"/>
    <w:rsid w:val="00A6707D"/>
    <w:rsid w:val="00A6784A"/>
    <w:rsid w:val="00A707DC"/>
    <w:rsid w:val="00A70B43"/>
    <w:rsid w:val="00A72024"/>
    <w:rsid w:val="00A72B92"/>
    <w:rsid w:val="00A72F04"/>
    <w:rsid w:val="00A74045"/>
    <w:rsid w:val="00A752BB"/>
    <w:rsid w:val="00A753EB"/>
    <w:rsid w:val="00A76FE4"/>
    <w:rsid w:val="00A772DA"/>
    <w:rsid w:val="00A779A2"/>
    <w:rsid w:val="00A8010D"/>
    <w:rsid w:val="00A8069C"/>
    <w:rsid w:val="00A80F16"/>
    <w:rsid w:val="00A818BC"/>
    <w:rsid w:val="00A818C7"/>
    <w:rsid w:val="00A82C8B"/>
    <w:rsid w:val="00A834FD"/>
    <w:rsid w:val="00A84DE8"/>
    <w:rsid w:val="00A90D95"/>
    <w:rsid w:val="00A90E1C"/>
    <w:rsid w:val="00A92A25"/>
    <w:rsid w:val="00A93EB5"/>
    <w:rsid w:val="00A93EBB"/>
    <w:rsid w:val="00A946B0"/>
    <w:rsid w:val="00A954B6"/>
    <w:rsid w:val="00A959DF"/>
    <w:rsid w:val="00A96176"/>
    <w:rsid w:val="00A967FA"/>
    <w:rsid w:val="00A97DBA"/>
    <w:rsid w:val="00A97E35"/>
    <w:rsid w:val="00AA0271"/>
    <w:rsid w:val="00AA0FEF"/>
    <w:rsid w:val="00AA104E"/>
    <w:rsid w:val="00AA22EF"/>
    <w:rsid w:val="00AA26C3"/>
    <w:rsid w:val="00AA2F9F"/>
    <w:rsid w:val="00AA363E"/>
    <w:rsid w:val="00AA383D"/>
    <w:rsid w:val="00AA3E7C"/>
    <w:rsid w:val="00AA403D"/>
    <w:rsid w:val="00AA4ABE"/>
    <w:rsid w:val="00AA4D17"/>
    <w:rsid w:val="00AA56AA"/>
    <w:rsid w:val="00AA5E12"/>
    <w:rsid w:val="00AA6384"/>
    <w:rsid w:val="00AA68AD"/>
    <w:rsid w:val="00AA6A2A"/>
    <w:rsid w:val="00AA78D6"/>
    <w:rsid w:val="00AB05FA"/>
    <w:rsid w:val="00AB06B1"/>
    <w:rsid w:val="00AB0749"/>
    <w:rsid w:val="00AB0B57"/>
    <w:rsid w:val="00AB2A94"/>
    <w:rsid w:val="00AB4454"/>
    <w:rsid w:val="00AB4552"/>
    <w:rsid w:val="00AB466D"/>
    <w:rsid w:val="00AB4CD3"/>
    <w:rsid w:val="00AB5AB4"/>
    <w:rsid w:val="00AB731F"/>
    <w:rsid w:val="00AB78F8"/>
    <w:rsid w:val="00AC00AC"/>
    <w:rsid w:val="00AC0657"/>
    <w:rsid w:val="00AC0910"/>
    <w:rsid w:val="00AC1D1F"/>
    <w:rsid w:val="00AC33AD"/>
    <w:rsid w:val="00AC33DF"/>
    <w:rsid w:val="00AC3DAF"/>
    <w:rsid w:val="00AC4434"/>
    <w:rsid w:val="00AC448C"/>
    <w:rsid w:val="00AC4D20"/>
    <w:rsid w:val="00AC513E"/>
    <w:rsid w:val="00AC5B03"/>
    <w:rsid w:val="00AC672A"/>
    <w:rsid w:val="00AC67FF"/>
    <w:rsid w:val="00AC6B44"/>
    <w:rsid w:val="00AC6FA8"/>
    <w:rsid w:val="00AC72D5"/>
    <w:rsid w:val="00AD0218"/>
    <w:rsid w:val="00AD0AFC"/>
    <w:rsid w:val="00AD0BB8"/>
    <w:rsid w:val="00AD28C6"/>
    <w:rsid w:val="00AD47BA"/>
    <w:rsid w:val="00AD564E"/>
    <w:rsid w:val="00AD6E56"/>
    <w:rsid w:val="00AD701C"/>
    <w:rsid w:val="00AD710E"/>
    <w:rsid w:val="00AD7DE7"/>
    <w:rsid w:val="00AE00DD"/>
    <w:rsid w:val="00AE02BD"/>
    <w:rsid w:val="00AE04CB"/>
    <w:rsid w:val="00AE1279"/>
    <w:rsid w:val="00AE259F"/>
    <w:rsid w:val="00AE2B70"/>
    <w:rsid w:val="00AE2BD9"/>
    <w:rsid w:val="00AE30B5"/>
    <w:rsid w:val="00AE3644"/>
    <w:rsid w:val="00AE38AD"/>
    <w:rsid w:val="00AE3A52"/>
    <w:rsid w:val="00AE3CBC"/>
    <w:rsid w:val="00AE4A29"/>
    <w:rsid w:val="00AE4DB7"/>
    <w:rsid w:val="00AE4EC3"/>
    <w:rsid w:val="00AF0404"/>
    <w:rsid w:val="00AF1269"/>
    <w:rsid w:val="00AF1D25"/>
    <w:rsid w:val="00AF1FD1"/>
    <w:rsid w:val="00AF22DE"/>
    <w:rsid w:val="00AF2AE4"/>
    <w:rsid w:val="00AF39E7"/>
    <w:rsid w:val="00AF3DA4"/>
    <w:rsid w:val="00AF4140"/>
    <w:rsid w:val="00AF41BC"/>
    <w:rsid w:val="00AF62F8"/>
    <w:rsid w:val="00AF63D0"/>
    <w:rsid w:val="00AF6AB3"/>
    <w:rsid w:val="00B0146F"/>
    <w:rsid w:val="00B016AC"/>
    <w:rsid w:val="00B01B8C"/>
    <w:rsid w:val="00B02772"/>
    <w:rsid w:val="00B027F4"/>
    <w:rsid w:val="00B044F6"/>
    <w:rsid w:val="00B04AEC"/>
    <w:rsid w:val="00B04C8C"/>
    <w:rsid w:val="00B050B4"/>
    <w:rsid w:val="00B05574"/>
    <w:rsid w:val="00B05CB4"/>
    <w:rsid w:val="00B05D55"/>
    <w:rsid w:val="00B06005"/>
    <w:rsid w:val="00B0609C"/>
    <w:rsid w:val="00B062EC"/>
    <w:rsid w:val="00B06B4F"/>
    <w:rsid w:val="00B06FE5"/>
    <w:rsid w:val="00B072BF"/>
    <w:rsid w:val="00B07687"/>
    <w:rsid w:val="00B0778B"/>
    <w:rsid w:val="00B07862"/>
    <w:rsid w:val="00B0797D"/>
    <w:rsid w:val="00B106C7"/>
    <w:rsid w:val="00B1188E"/>
    <w:rsid w:val="00B12635"/>
    <w:rsid w:val="00B13018"/>
    <w:rsid w:val="00B1336A"/>
    <w:rsid w:val="00B13619"/>
    <w:rsid w:val="00B16426"/>
    <w:rsid w:val="00B1725D"/>
    <w:rsid w:val="00B176AB"/>
    <w:rsid w:val="00B17729"/>
    <w:rsid w:val="00B2056C"/>
    <w:rsid w:val="00B20C1E"/>
    <w:rsid w:val="00B20ECB"/>
    <w:rsid w:val="00B216C1"/>
    <w:rsid w:val="00B226B3"/>
    <w:rsid w:val="00B22A69"/>
    <w:rsid w:val="00B22BB7"/>
    <w:rsid w:val="00B23F54"/>
    <w:rsid w:val="00B24B3A"/>
    <w:rsid w:val="00B24E98"/>
    <w:rsid w:val="00B25AB0"/>
    <w:rsid w:val="00B2733B"/>
    <w:rsid w:val="00B27D1D"/>
    <w:rsid w:val="00B3035E"/>
    <w:rsid w:val="00B30C04"/>
    <w:rsid w:val="00B312D1"/>
    <w:rsid w:val="00B315CB"/>
    <w:rsid w:val="00B3267E"/>
    <w:rsid w:val="00B32B5F"/>
    <w:rsid w:val="00B33553"/>
    <w:rsid w:val="00B33817"/>
    <w:rsid w:val="00B35F0D"/>
    <w:rsid w:val="00B371D2"/>
    <w:rsid w:val="00B40C7F"/>
    <w:rsid w:val="00B41648"/>
    <w:rsid w:val="00B42744"/>
    <w:rsid w:val="00B43061"/>
    <w:rsid w:val="00B43398"/>
    <w:rsid w:val="00B44677"/>
    <w:rsid w:val="00B44B1B"/>
    <w:rsid w:val="00B45969"/>
    <w:rsid w:val="00B45CD4"/>
    <w:rsid w:val="00B5014B"/>
    <w:rsid w:val="00B50BCA"/>
    <w:rsid w:val="00B51500"/>
    <w:rsid w:val="00B51CB3"/>
    <w:rsid w:val="00B51F67"/>
    <w:rsid w:val="00B52973"/>
    <w:rsid w:val="00B536B0"/>
    <w:rsid w:val="00B54182"/>
    <w:rsid w:val="00B54521"/>
    <w:rsid w:val="00B55349"/>
    <w:rsid w:val="00B566C6"/>
    <w:rsid w:val="00B56752"/>
    <w:rsid w:val="00B56A0E"/>
    <w:rsid w:val="00B56A3D"/>
    <w:rsid w:val="00B6005C"/>
    <w:rsid w:val="00B6065C"/>
    <w:rsid w:val="00B607B4"/>
    <w:rsid w:val="00B6096C"/>
    <w:rsid w:val="00B63567"/>
    <w:rsid w:val="00B63808"/>
    <w:rsid w:val="00B6399D"/>
    <w:rsid w:val="00B641DD"/>
    <w:rsid w:val="00B651BB"/>
    <w:rsid w:val="00B65413"/>
    <w:rsid w:val="00B667AC"/>
    <w:rsid w:val="00B67D26"/>
    <w:rsid w:val="00B70FA9"/>
    <w:rsid w:val="00B7145E"/>
    <w:rsid w:val="00B71834"/>
    <w:rsid w:val="00B71C3B"/>
    <w:rsid w:val="00B7216E"/>
    <w:rsid w:val="00B724ED"/>
    <w:rsid w:val="00B72CAE"/>
    <w:rsid w:val="00B72FF0"/>
    <w:rsid w:val="00B73D59"/>
    <w:rsid w:val="00B75A46"/>
    <w:rsid w:val="00B7659C"/>
    <w:rsid w:val="00B80B07"/>
    <w:rsid w:val="00B8190C"/>
    <w:rsid w:val="00B81C3E"/>
    <w:rsid w:val="00B81EF9"/>
    <w:rsid w:val="00B820F5"/>
    <w:rsid w:val="00B823F2"/>
    <w:rsid w:val="00B83935"/>
    <w:rsid w:val="00B84F46"/>
    <w:rsid w:val="00B852D2"/>
    <w:rsid w:val="00B8573B"/>
    <w:rsid w:val="00B8656C"/>
    <w:rsid w:val="00B86870"/>
    <w:rsid w:val="00B868BF"/>
    <w:rsid w:val="00B869E6"/>
    <w:rsid w:val="00B87B74"/>
    <w:rsid w:val="00B904AC"/>
    <w:rsid w:val="00B9141E"/>
    <w:rsid w:val="00B91B41"/>
    <w:rsid w:val="00B91F61"/>
    <w:rsid w:val="00B92695"/>
    <w:rsid w:val="00B93921"/>
    <w:rsid w:val="00B93FC0"/>
    <w:rsid w:val="00B944AE"/>
    <w:rsid w:val="00B95057"/>
    <w:rsid w:val="00B95956"/>
    <w:rsid w:val="00B95F61"/>
    <w:rsid w:val="00B95FE7"/>
    <w:rsid w:val="00B9616A"/>
    <w:rsid w:val="00B96C74"/>
    <w:rsid w:val="00B96F05"/>
    <w:rsid w:val="00B97237"/>
    <w:rsid w:val="00B974E3"/>
    <w:rsid w:val="00BA0A8C"/>
    <w:rsid w:val="00BA0A94"/>
    <w:rsid w:val="00BA0C75"/>
    <w:rsid w:val="00BA137F"/>
    <w:rsid w:val="00BA17F5"/>
    <w:rsid w:val="00BA234F"/>
    <w:rsid w:val="00BA2F6F"/>
    <w:rsid w:val="00BA4EDA"/>
    <w:rsid w:val="00BA517B"/>
    <w:rsid w:val="00BA612A"/>
    <w:rsid w:val="00BA6705"/>
    <w:rsid w:val="00BA6967"/>
    <w:rsid w:val="00BA7286"/>
    <w:rsid w:val="00BA751C"/>
    <w:rsid w:val="00BB127E"/>
    <w:rsid w:val="00BB1EC5"/>
    <w:rsid w:val="00BB1F82"/>
    <w:rsid w:val="00BB22CD"/>
    <w:rsid w:val="00BB25A1"/>
    <w:rsid w:val="00BB2B48"/>
    <w:rsid w:val="00BB3299"/>
    <w:rsid w:val="00BB32A6"/>
    <w:rsid w:val="00BB4559"/>
    <w:rsid w:val="00BB52F0"/>
    <w:rsid w:val="00BB6B56"/>
    <w:rsid w:val="00BB6F08"/>
    <w:rsid w:val="00BB753B"/>
    <w:rsid w:val="00BB76B2"/>
    <w:rsid w:val="00BC04D3"/>
    <w:rsid w:val="00BC08D2"/>
    <w:rsid w:val="00BC140B"/>
    <w:rsid w:val="00BC1721"/>
    <w:rsid w:val="00BC1D56"/>
    <w:rsid w:val="00BC3B20"/>
    <w:rsid w:val="00BC4108"/>
    <w:rsid w:val="00BC4D6E"/>
    <w:rsid w:val="00BC554B"/>
    <w:rsid w:val="00BC582A"/>
    <w:rsid w:val="00BC702F"/>
    <w:rsid w:val="00BD0D8B"/>
    <w:rsid w:val="00BD1896"/>
    <w:rsid w:val="00BD2281"/>
    <w:rsid w:val="00BD267E"/>
    <w:rsid w:val="00BD2CB4"/>
    <w:rsid w:val="00BD3D35"/>
    <w:rsid w:val="00BD42F2"/>
    <w:rsid w:val="00BD44C5"/>
    <w:rsid w:val="00BD599B"/>
    <w:rsid w:val="00BD5DB6"/>
    <w:rsid w:val="00BD65BE"/>
    <w:rsid w:val="00BD6805"/>
    <w:rsid w:val="00BD6966"/>
    <w:rsid w:val="00BD7C4E"/>
    <w:rsid w:val="00BE118B"/>
    <w:rsid w:val="00BE1D00"/>
    <w:rsid w:val="00BE1D46"/>
    <w:rsid w:val="00BE2065"/>
    <w:rsid w:val="00BE2319"/>
    <w:rsid w:val="00BE30C2"/>
    <w:rsid w:val="00BE35D8"/>
    <w:rsid w:val="00BE43E6"/>
    <w:rsid w:val="00BE4952"/>
    <w:rsid w:val="00BE49E1"/>
    <w:rsid w:val="00BE4A41"/>
    <w:rsid w:val="00BE4EFA"/>
    <w:rsid w:val="00BE54A2"/>
    <w:rsid w:val="00BE5EDF"/>
    <w:rsid w:val="00BE6C61"/>
    <w:rsid w:val="00BE7EEE"/>
    <w:rsid w:val="00BF006B"/>
    <w:rsid w:val="00BF067D"/>
    <w:rsid w:val="00BF069B"/>
    <w:rsid w:val="00BF069C"/>
    <w:rsid w:val="00BF1430"/>
    <w:rsid w:val="00BF189E"/>
    <w:rsid w:val="00BF18F4"/>
    <w:rsid w:val="00BF228A"/>
    <w:rsid w:val="00BF276D"/>
    <w:rsid w:val="00BF53C3"/>
    <w:rsid w:val="00BF668B"/>
    <w:rsid w:val="00BF6E78"/>
    <w:rsid w:val="00BF6F40"/>
    <w:rsid w:val="00BF7BFC"/>
    <w:rsid w:val="00C0028B"/>
    <w:rsid w:val="00C00E0A"/>
    <w:rsid w:val="00C00FD5"/>
    <w:rsid w:val="00C019B7"/>
    <w:rsid w:val="00C030A1"/>
    <w:rsid w:val="00C03633"/>
    <w:rsid w:val="00C037B1"/>
    <w:rsid w:val="00C03C05"/>
    <w:rsid w:val="00C03F4A"/>
    <w:rsid w:val="00C057BC"/>
    <w:rsid w:val="00C06097"/>
    <w:rsid w:val="00C10559"/>
    <w:rsid w:val="00C108E9"/>
    <w:rsid w:val="00C10992"/>
    <w:rsid w:val="00C10F00"/>
    <w:rsid w:val="00C11B89"/>
    <w:rsid w:val="00C13986"/>
    <w:rsid w:val="00C13A63"/>
    <w:rsid w:val="00C13C0A"/>
    <w:rsid w:val="00C13F3C"/>
    <w:rsid w:val="00C148D0"/>
    <w:rsid w:val="00C159CF"/>
    <w:rsid w:val="00C16473"/>
    <w:rsid w:val="00C16B0C"/>
    <w:rsid w:val="00C1738D"/>
    <w:rsid w:val="00C174AE"/>
    <w:rsid w:val="00C20C4D"/>
    <w:rsid w:val="00C212D1"/>
    <w:rsid w:val="00C214CA"/>
    <w:rsid w:val="00C21EBB"/>
    <w:rsid w:val="00C228A3"/>
    <w:rsid w:val="00C233CF"/>
    <w:rsid w:val="00C23DD0"/>
    <w:rsid w:val="00C23EA7"/>
    <w:rsid w:val="00C25455"/>
    <w:rsid w:val="00C268DB"/>
    <w:rsid w:val="00C278D1"/>
    <w:rsid w:val="00C322EF"/>
    <w:rsid w:val="00C32CEA"/>
    <w:rsid w:val="00C336DC"/>
    <w:rsid w:val="00C3389F"/>
    <w:rsid w:val="00C34B59"/>
    <w:rsid w:val="00C35C82"/>
    <w:rsid w:val="00C361DF"/>
    <w:rsid w:val="00C37008"/>
    <w:rsid w:val="00C37846"/>
    <w:rsid w:val="00C37F23"/>
    <w:rsid w:val="00C437DF"/>
    <w:rsid w:val="00C43FE6"/>
    <w:rsid w:val="00C45252"/>
    <w:rsid w:val="00C45646"/>
    <w:rsid w:val="00C45BBB"/>
    <w:rsid w:val="00C466CC"/>
    <w:rsid w:val="00C47515"/>
    <w:rsid w:val="00C4795C"/>
    <w:rsid w:val="00C501BE"/>
    <w:rsid w:val="00C50317"/>
    <w:rsid w:val="00C50787"/>
    <w:rsid w:val="00C50992"/>
    <w:rsid w:val="00C50DE7"/>
    <w:rsid w:val="00C533F9"/>
    <w:rsid w:val="00C53C55"/>
    <w:rsid w:val="00C5542E"/>
    <w:rsid w:val="00C5587C"/>
    <w:rsid w:val="00C55DD2"/>
    <w:rsid w:val="00C57CF8"/>
    <w:rsid w:val="00C57EA3"/>
    <w:rsid w:val="00C60005"/>
    <w:rsid w:val="00C603BD"/>
    <w:rsid w:val="00C6117B"/>
    <w:rsid w:val="00C614B4"/>
    <w:rsid w:val="00C61F2E"/>
    <w:rsid w:val="00C621FB"/>
    <w:rsid w:val="00C6270C"/>
    <w:rsid w:val="00C63172"/>
    <w:rsid w:val="00C6442B"/>
    <w:rsid w:val="00C64546"/>
    <w:rsid w:val="00C65679"/>
    <w:rsid w:val="00C6606D"/>
    <w:rsid w:val="00C6649E"/>
    <w:rsid w:val="00C66820"/>
    <w:rsid w:val="00C668E8"/>
    <w:rsid w:val="00C67DE9"/>
    <w:rsid w:val="00C719E2"/>
    <w:rsid w:val="00C71C85"/>
    <w:rsid w:val="00C71E71"/>
    <w:rsid w:val="00C72148"/>
    <w:rsid w:val="00C72237"/>
    <w:rsid w:val="00C722B8"/>
    <w:rsid w:val="00C725C4"/>
    <w:rsid w:val="00C7327F"/>
    <w:rsid w:val="00C73634"/>
    <w:rsid w:val="00C73649"/>
    <w:rsid w:val="00C73EE0"/>
    <w:rsid w:val="00C73F1A"/>
    <w:rsid w:val="00C740E9"/>
    <w:rsid w:val="00C749B1"/>
    <w:rsid w:val="00C74B97"/>
    <w:rsid w:val="00C74C27"/>
    <w:rsid w:val="00C751CD"/>
    <w:rsid w:val="00C751D3"/>
    <w:rsid w:val="00C7577E"/>
    <w:rsid w:val="00C765AD"/>
    <w:rsid w:val="00C778EC"/>
    <w:rsid w:val="00C77C92"/>
    <w:rsid w:val="00C800F6"/>
    <w:rsid w:val="00C80320"/>
    <w:rsid w:val="00C816F0"/>
    <w:rsid w:val="00C81ECE"/>
    <w:rsid w:val="00C83043"/>
    <w:rsid w:val="00C831F1"/>
    <w:rsid w:val="00C83801"/>
    <w:rsid w:val="00C83977"/>
    <w:rsid w:val="00C83F58"/>
    <w:rsid w:val="00C85C4A"/>
    <w:rsid w:val="00C8686A"/>
    <w:rsid w:val="00C870A2"/>
    <w:rsid w:val="00C87FC4"/>
    <w:rsid w:val="00C90187"/>
    <w:rsid w:val="00C90B6C"/>
    <w:rsid w:val="00C91433"/>
    <w:rsid w:val="00C93678"/>
    <w:rsid w:val="00C9391C"/>
    <w:rsid w:val="00C93B56"/>
    <w:rsid w:val="00C945A1"/>
    <w:rsid w:val="00C94885"/>
    <w:rsid w:val="00C94CA3"/>
    <w:rsid w:val="00C94FFB"/>
    <w:rsid w:val="00C9591D"/>
    <w:rsid w:val="00C95B1E"/>
    <w:rsid w:val="00C95B95"/>
    <w:rsid w:val="00C963F0"/>
    <w:rsid w:val="00C96496"/>
    <w:rsid w:val="00C97992"/>
    <w:rsid w:val="00C97AAA"/>
    <w:rsid w:val="00C97B6C"/>
    <w:rsid w:val="00C97E8B"/>
    <w:rsid w:val="00C97EB9"/>
    <w:rsid w:val="00CA0176"/>
    <w:rsid w:val="00CA0E4C"/>
    <w:rsid w:val="00CA1C52"/>
    <w:rsid w:val="00CA1CEB"/>
    <w:rsid w:val="00CA3CF6"/>
    <w:rsid w:val="00CA3F4B"/>
    <w:rsid w:val="00CA462A"/>
    <w:rsid w:val="00CA5355"/>
    <w:rsid w:val="00CA5A00"/>
    <w:rsid w:val="00CA5DC1"/>
    <w:rsid w:val="00CA5E43"/>
    <w:rsid w:val="00CA68BF"/>
    <w:rsid w:val="00CA6C66"/>
    <w:rsid w:val="00CA6EF3"/>
    <w:rsid w:val="00CA77EA"/>
    <w:rsid w:val="00CA7A60"/>
    <w:rsid w:val="00CB1860"/>
    <w:rsid w:val="00CB205C"/>
    <w:rsid w:val="00CB2132"/>
    <w:rsid w:val="00CB3F29"/>
    <w:rsid w:val="00CB41C1"/>
    <w:rsid w:val="00CB4716"/>
    <w:rsid w:val="00CB545E"/>
    <w:rsid w:val="00CC0665"/>
    <w:rsid w:val="00CC0E79"/>
    <w:rsid w:val="00CC2A7D"/>
    <w:rsid w:val="00CC2B39"/>
    <w:rsid w:val="00CC36E9"/>
    <w:rsid w:val="00CC5721"/>
    <w:rsid w:val="00CC6022"/>
    <w:rsid w:val="00CC6146"/>
    <w:rsid w:val="00CC6885"/>
    <w:rsid w:val="00CC68B4"/>
    <w:rsid w:val="00CC6BDA"/>
    <w:rsid w:val="00CC6CB6"/>
    <w:rsid w:val="00CD0B97"/>
    <w:rsid w:val="00CD0BCB"/>
    <w:rsid w:val="00CD0DF0"/>
    <w:rsid w:val="00CD0ED5"/>
    <w:rsid w:val="00CD369B"/>
    <w:rsid w:val="00CD395F"/>
    <w:rsid w:val="00CD3B35"/>
    <w:rsid w:val="00CD40EA"/>
    <w:rsid w:val="00CD4115"/>
    <w:rsid w:val="00CD4241"/>
    <w:rsid w:val="00CD425C"/>
    <w:rsid w:val="00CD4391"/>
    <w:rsid w:val="00CD58DC"/>
    <w:rsid w:val="00CD722B"/>
    <w:rsid w:val="00CD75E3"/>
    <w:rsid w:val="00CE0733"/>
    <w:rsid w:val="00CE08B4"/>
    <w:rsid w:val="00CE1FD5"/>
    <w:rsid w:val="00CE2B0E"/>
    <w:rsid w:val="00CE3C7B"/>
    <w:rsid w:val="00CE3D66"/>
    <w:rsid w:val="00CE3DC4"/>
    <w:rsid w:val="00CE5EC9"/>
    <w:rsid w:val="00CE71A2"/>
    <w:rsid w:val="00CE76F9"/>
    <w:rsid w:val="00CE7CBC"/>
    <w:rsid w:val="00CF032F"/>
    <w:rsid w:val="00CF0E97"/>
    <w:rsid w:val="00CF1009"/>
    <w:rsid w:val="00CF1416"/>
    <w:rsid w:val="00CF14B9"/>
    <w:rsid w:val="00CF18B0"/>
    <w:rsid w:val="00CF2338"/>
    <w:rsid w:val="00CF24E8"/>
    <w:rsid w:val="00CF2531"/>
    <w:rsid w:val="00CF26F1"/>
    <w:rsid w:val="00CF2E33"/>
    <w:rsid w:val="00CF324A"/>
    <w:rsid w:val="00CF32CB"/>
    <w:rsid w:val="00CF44E3"/>
    <w:rsid w:val="00CF4520"/>
    <w:rsid w:val="00CF4E5A"/>
    <w:rsid w:val="00CF50F0"/>
    <w:rsid w:val="00CF5676"/>
    <w:rsid w:val="00CF5E07"/>
    <w:rsid w:val="00CF6D5D"/>
    <w:rsid w:val="00CF780C"/>
    <w:rsid w:val="00CF788A"/>
    <w:rsid w:val="00CF7D2B"/>
    <w:rsid w:val="00CF7F07"/>
    <w:rsid w:val="00D0034F"/>
    <w:rsid w:val="00D00DA9"/>
    <w:rsid w:val="00D02902"/>
    <w:rsid w:val="00D0365E"/>
    <w:rsid w:val="00D041FC"/>
    <w:rsid w:val="00D05DC5"/>
    <w:rsid w:val="00D06B0A"/>
    <w:rsid w:val="00D07554"/>
    <w:rsid w:val="00D07A64"/>
    <w:rsid w:val="00D10605"/>
    <w:rsid w:val="00D119D5"/>
    <w:rsid w:val="00D11EEB"/>
    <w:rsid w:val="00D1338B"/>
    <w:rsid w:val="00D14840"/>
    <w:rsid w:val="00D14990"/>
    <w:rsid w:val="00D157B5"/>
    <w:rsid w:val="00D15CA3"/>
    <w:rsid w:val="00D16005"/>
    <w:rsid w:val="00D16466"/>
    <w:rsid w:val="00D16D40"/>
    <w:rsid w:val="00D20567"/>
    <w:rsid w:val="00D20F53"/>
    <w:rsid w:val="00D21407"/>
    <w:rsid w:val="00D21409"/>
    <w:rsid w:val="00D214F2"/>
    <w:rsid w:val="00D21672"/>
    <w:rsid w:val="00D21F0B"/>
    <w:rsid w:val="00D23441"/>
    <w:rsid w:val="00D2386B"/>
    <w:rsid w:val="00D240F7"/>
    <w:rsid w:val="00D2504B"/>
    <w:rsid w:val="00D251A3"/>
    <w:rsid w:val="00D265DD"/>
    <w:rsid w:val="00D26A2E"/>
    <w:rsid w:val="00D26EB2"/>
    <w:rsid w:val="00D30F73"/>
    <w:rsid w:val="00D317B1"/>
    <w:rsid w:val="00D317B5"/>
    <w:rsid w:val="00D31B33"/>
    <w:rsid w:val="00D323FA"/>
    <w:rsid w:val="00D3290D"/>
    <w:rsid w:val="00D33AAC"/>
    <w:rsid w:val="00D33B59"/>
    <w:rsid w:val="00D343C7"/>
    <w:rsid w:val="00D34AD0"/>
    <w:rsid w:val="00D34E4B"/>
    <w:rsid w:val="00D36B60"/>
    <w:rsid w:val="00D41965"/>
    <w:rsid w:val="00D4198D"/>
    <w:rsid w:val="00D423CF"/>
    <w:rsid w:val="00D42875"/>
    <w:rsid w:val="00D44442"/>
    <w:rsid w:val="00D44554"/>
    <w:rsid w:val="00D44A75"/>
    <w:rsid w:val="00D44EB9"/>
    <w:rsid w:val="00D4728E"/>
    <w:rsid w:val="00D47423"/>
    <w:rsid w:val="00D5010A"/>
    <w:rsid w:val="00D505A4"/>
    <w:rsid w:val="00D50650"/>
    <w:rsid w:val="00D51279"/>
    <w:rsid w:val="00D51535"/>
    <w:rsid w:val="00D5191F"/>
    <w:rsid w:val="00D51DE7"/>
    <w:rsid w:val="00D5287D"/>
    <w:rsid w:val="00D53668"/>
    <w:rsid w:val="00D54862"/>
    <w:rsid w:val="00D54865"/>
    <w:rsid w:val="00D54FC9"/>
    <w:rsid w:val="00D566E0"/>
    <w:rsid w:val="00D629FE"/>
    <w:rsid w:val="00D641FA"/>
    <w:rsid w:val="00D650EB"/>
    <w:rsid w:val="00D657C0"/>
    <w:rsid w:val="00D65B0E"/>
    <w:rsid w:val="00D65DC6"/>
    <w:rsid w:val="00D66A81"/>
    <w:rsid w:val="00D672EB"/>
    <w:rsid w:val="00D67A3C"/>
    <w:rsid w:val="00D701BA"/>
    <w:rsid w:val="00D728F0"/>
    <w:rsid w:val="00D74E5D"/>
    <w:rsid w:val="00D751C8"/>
    <w:rsid w:val="00D7593E"/>
    <w:rsid w:val="00D76363"/>
    <w:rsid w:val="00D763E0"/>
    <w:rsid w:val="00D76A74"/>
    <w:rsid w:val="00D76E11"/>
    <w:rsid w:val="00D77F6B"/>
    <w:rsid w:val="00D80044"/>
    <w:rsid w:val="00D80137"/>
    <w:rsid w:val="00D81867"/>
    <w:rsid w:val="00D821F4"/>
    <w:rsid w:val="00D82ACE"/>
    <w:rsid w:val="00D82AF7"/>
    <w:rsid w:val="00D82FEE"/>
    <w:rsid w:val="00D8306A"/>
    <w:rsid w:val="00D83D56"/>
    <w:rsid w:val="00D8402C"/>
    <w:rsid w:val="00D8627E"/>
    <w:rsid w:val="00D86D58"/>
    <w:rsid w:val="00D87098"/>
    <w:rsid w:val="00D87C3E"/>
    <w:rsid w:val="00D904FE"/>
    <w:rsid w:val="00D91256"/>
    <w:rsid w:val="00D9173B"/>
    <w:rsid w:val="00D91845"/>
    <w:rsid w:val="00D928A4"/>
    <w:rsid w:val="00D9326F"/>
    <w:rsid w:val="00D9465E"/>
    <w:rsid w:val="00D94DB5"/>
    <w:rsid w:val="00D95286"/>
    <w:rsid w:val="00D968E6"/>
    <w:rsid w:val="00D9763F"/>
    <w:rsid w:val="00DA0FFC"/>
    <w:rsid w:val="00DA23F6"/>
    <w:rsid w:val="00DA291E"/>
    <w:rsid w:val="00DA3BB7"/>
    <w:rsid w:val="00DA3C59"/>
    <w:rsid w:val="00DA3D7D"/>
    <w:rsid w:val="00DA4076"/>
    <w:rsid w:val="00DA5022"/>
    <w:rsid w:val="00DA5359"/>
    <w:rsid w:val="00DA5E2D"/>
    <w:rsid w:val="00DA602A"/>
    <w:rsid w:val="00DA69D2"/>
    <w:rsid w:val="00DA7776"/>
    <w:rsid w:val="00DA7C50"/>
    <w:rsid w:val="00DB007B"/>
    <w:rsid w:val="00DB2901"/>
    <w:rsid w:val="00DB30B3"/>
    <w:rsid w:val="00DB3203"/>
    <w:rsid w:val="00DB430B"/>
    <w:rsid w:val="00DB434F"/>
    <w:rsid w:val="00DB64B0"/>
    <w:rsid w:val="00DB6500"/>
    <w:rsid w:val="00DB678B"/>
    <w:rsid w:val="00DB71AA"/>
    <w:rsid w:val="00DB7864"/>
    <w:rsid w:val="00DC283E"/>
    <w:rsid w:val="00DC3025"/>
    <w:rsid w:val="00DC334C"/>
    <w:rsid w:val="00DC34EE"/>
    <w:rsid w:val="00DC3BBA"/>
    <w:rsid w:val="00DC3C0C"/>
    <w:rsid w:val="00DC4153"/>
    <w:rsid w:val="00DC47D3"/>
    <w:rsid w:val="00DC5094"/>
    <w:rsid w:val="00DC5FDF"/>
    <w:rsid w:val="00DC60E7"/>
    <w:rsid w:val="00DC7980"/>
    <w:rsid w:val="00DD0674"/>
    <w:rsid w:val="00DD1319"/>
    <w:rsid w:val="00DD163C"/>
    <w:rsid w:val="00DD1855"/>
    <w:rsid w:val="00DD1DE7"/>
    <w:rsid w:val="00DD2B59"/>
    <w:rsid w:val="00DD2E39"/>
    <w:rsid w:val="00DD4EAB"/>
    <w:rsid w:val="00DD5CC6"/>
    <w:rsid w:val="00DD5DA1"/>
    <w:rsid w:val="00DD5E17"/>
    <w:rsid w:val="00DD6639"/>
    <w:rsid w:val="00DD6B87"/>
    <w:rsid w:val="00DD6CA8"/>
    <w:rsid w:val="00DD6E15"/>
    <w:rsid w:val="00DE0088"/>
    <w:rsid w:val="00DE06F0"/>
    <w:rsid w:val="00DE0BE0"/>
    <w:rsid w:val="00DE1AE8"/>
    <w:rsid w:val="00DE2126"/>
    <w:rsid w:val="00DE2CD0"/>
    <w:rsid w:val="00DE5008"/>
    <w:rsid w:val="00DE521C"/>
    <w:rsid w:val="00DE59A9"/>
    <w:rsid w:val="00DE5DBF"/>
    <w:rsid w:val="00DE6B0F"/>
    <w:rsid w:val="00DE7CB0"/>
    <w:rsid w:val="00DE7DF3"/>
    <w:rsid w:val="00DE7E21"/>
    <w:rsid w:val="00DF0A12"/>
    <w:rsid w:val="00DF1061"/>
    <w:rsid w:val="00DF1601"/>
    <w:rsid w:val="00DF16CB"/>
    <w:rsid w:val="00DF1B64"/>
    <w:rsid w:val="00DF1CEB"/>
    <w:rsid w:val="00DF3AAD"/>
    <w:rsid w:val="00DF41A2"/>
    <w:rsid w:val="00DF42AA"/>
    <w:rsid w:val="00DF4764"/>
    <w:rsid w:val="00DF5BFA"/>
    <w:rsid w:val="00DF6608"/>
    <w:rsid w:val="00DF6674"/>
    <w:rsid w:val="00DF676A"/>
    <w:rsid w:val="00DF7178"/>
    <w:rsid w:val="00DF73BE"/>
    <w:rsid w:val="00DF7EA9"/>
    <w:rsid w:val="00E00033"/>
    <w:rsid w:val="00E000CB"/>
    <w:rsid w:val="00E00F57"/>
    <w:rsid w:val="00E02EC9"/>
    <w:rsid w:val="00E033BA"/>
    <w:rsid w:val="00E03A20"/>
    <w:rsid w:val="00E046DE"/>
    <w:rsid w:val="00E049DB"/>
    <w:rsid w:val="00E04BF4"/>
    <w:rsid w:val="00E04CC2"/>
    <w:rsid w:val="00E050A7"/>
    <w:rsid w:val="00E0616A"/>
    <w:rsid w:val="00E110EE"/>
    <w:rsid w:val="00E13469"/>
    <w:rsid w:val="00E13964"/>
    <w:rsid w:val="00E1475A"/>
    <w:rsid w:val="00E14B37"/>
    <w:rsid w:val="00E15081"/>
    <w:rsid w:val="00E150BD"/>
    <w:rsid w:val="00E179C1"/>
    <w:rsid w:val="00E2044D"/>
    <w:rsid w:val="00E20963"/>
    <w:rsid w:val="00E21032"/>
    <w:rsid w:val="00E21304"/>
    <w:rsid w:val="00E216DC"/>
    <w:rsid w:val="00E21D29"/>
    <w:rsid w:val="00E22065"/>
    <w:rsid w:val="00E2294D"/>
    <w:rsid w:val="00E23B57"/>
    <w:rsid w:val="00E23F4B"/>
    <w:rsid w:val="00E2403E"/>
    <w:rsid w:val="00E2531B"/>
    <w:rsid w:val="00E254B8"/>
    <w:rsid w:val="00E25DE2"/>
    <w:rsid w:val="00E272BA"/>
    <w:rsid w:val="00E275FE"/>
    <w:rsid w:val="00E2785A"/>
    <w:rsid w:val="00E27E98"/>
    <w:rsid w:val="00E27F7B"/>
    <w:rsid w:val="00E304C0"/>
    <w:rsid w:val="00E305D2"/>
    <w:rsid w:val="00E3090A"/>
    <w:rsid w:val="00E3121A"/>
    <w:rsid w:val="00E31351"/>
    <w:rsid w:val="00E31942"/>
    <w:rsid w:val="00E33664"/>
    <w:rsid w:val="00E35D3D"/>
    <w:rsid w:val="00E364DA"/>
    <w:rsid w:val="00E36FC8"/>
    <w:rsid w:val="00E3727B"/>
    <w:rsid w:val="00E374D8"/>
    <w:rsid w:val="00E404F5"/>
    <w:rsid w:val="00E405B7"/>
    <w:rsid w:val="00E41623"/>
    <w:rsid w:val="00E41DB2"/>
    <w:rsid w:val="00E4349F"/>
    <w:rsid w:val="00E43865"/>
    <w:rsid w:val="00E43A25"/>
    <w:rsid w:val="00E43D7C"/>
    <w:rsid w:val="00E44430"/>
    <w:rsid w:val="00E4567D"/>
    <w:rsid w:val="00E4722E"/>
    <w:rsid w:val="00E47397"/>
    <w:rsid w:val="00E47DC7"/>
    <w:rsid w:val="00E5053F"/>
    <w:rsid w:val="00E50C19"/>
    <w:rsid w:val="00E51BF2"/>
    <w:rsid w:val="00E524A7"/>
    <w:rsid w:val="00E528FC"/>
    <w:rsid w:val="00E52AA2"/>
    <w:rsid w:val="00E5312C"/>
    <w:rsid w:val="00E53EEA"/>
    <w:rsid w:val="00E54044"/>
    <w:rsid w:val="00E54EC7"/>
    <w:rsid w:val="00E54F9A"/>
    <w:rsid w:val="00E57266"/>
    <w:rsid w:val="00E60091"/>
    <w:rsid w:val="00E6059F"/>
    <w:rsid w:val="00E61DB0"/>
    <w:rsid w:val="00E62DE5"/>
    <w:rsid w:val="00E6381A"/>
    <w:rsid w:val="00E63A28"/>
    <w:rsid w:val="00E63E38"/>
    <w:rsid w:val="00E64A28"/>
    <w:rsid w:val="00E64F39"/>
    <w:rsid w:val="00E65825"/>
    <w:rsid w:val="00E660E0"/>
    <w:rsid w:val="00E66776"/>
    <w:rsid w:val="00E6740E"/>
    <w:rsid w:val="00E6794D"/>
    <w:rsid w:val="00E704DE"/>
    <w:rsid w:val="00E70823"/>
    <w:rsid w:val="00E71CE2"/>
    <w:rsid w:val="00E71D70"/>
    <w:rsid w:val="00E727D2"/>
    <w:rsid w:val="00E72DAA"/>
    <w:rsid w:val="00E73253"/>
    <w:rsid w:val="00E73B77"/>
    <w:rsid w:val="00E756D9"/>
    <w:rsid w:val="00E75EC8"/>
    <w:rsid w:val="00E76464"/>
    <w:rsid w:val="00E769A5"/>
    <w:rsid w:val="00E769EB"/>
    <w:rsid w:val="00E7712D"/>
    <w:rsid w:val="00E77E63"/>
    <w:rsid w:val="00E8054D"/>
    <w:rsid w:val="00E81E34"/>
    <w:rsid w:val="00E8203F"/>
    <w:rsid w:val="00E82084"/>
    <w:rsid w:val="00E821B0"/>
    <w:rsid w:val="00E829BC"/>
    <w:rsid w:val="00E8451B"/>
    <w:rsid w:val="00E84ECE"/>
    <w:rsid w:val="00E850CB"/>
    <w:rsid w:val="00E85197"/>
    <w:rsid w:val="00E85FAD"/>
    <w:rsid w:val="00E863D9"/>
    <w:rsid w:val="00E866D2"/>
    <w:rsid w:val="00E8683F"/>
    <w:rsid w:val="00E9031F"/>
    <w:rsid w:val="00E903BC"/>
    <w:rsid w:val="00E907CB"/>
    <w:rsid w:val="00E90D02"/>
    <w:rsid w:val="00E91859"/>
    <w:rsid w:val="00E91DFE"/>
    <w:rsid w:val="00E929DE"/>
    <w:rsid w:val="00E92B11"/>
    <w:rsid w:val="00E92BCB"/>
    <w:rsid w:val="00E92FFD"/>
    <w:rsid w:val="00E9343D"/>
    <w:rsid w:val="00E939CB"/>
    <w:rsid w:val="00E9462E"/>
    <w:rsid w:val="00E959CF"/>
    <w:rsid w:val="00E96051"/>
    <w:rsid w:val="00E97D2E"/>
    <w:rsid w:val="00E97ED9"/>
    <w:rsid w:val="00EA04B8"/>
    <w:rsid w:val="00EA05DC"/>
    <w:rsid w:val="00EA0B80"/>
    <w:rsid w:val="00EA1845"/>
    <w:rsid w:val="00EA204C"/>
    <w:rsid w:val="00EA2681"/>
    <w:rsid w:val="00EA366E"/>
    <w:rsid w:val="00EA3700"/>
    <w:rsid w:val="00EA3906"/>
    <w:rsid w:val="00EA39F9"/>
    <w:rsid w:val="00EA3B42"/>
    <w:rsid w:val="00EA43C9"/>
    <w:rsid w:val="00EA4B8B"/>
    <w:rsid w:val="00EA5455"/>
    <w:rsid w:val="00EA6B78"/>
    <w:rsid w:val="00EA6CDF"/>
    <w:rsid w:val="00EA7A90"/>
    <w:rsid w:val="00EB00A1"/>
    <w:rsid w:val="00EB00D9"/>
    <w:rsid w:val="00EB0996"/>
    <w:rsid w:val="00EB356F"/>
    <w:rsid w:val="00EB39C1"/>
    <w:rsid w:val="00EB42A8"/>
    <w:rsid w:val="00EB4376"/>
    <w:rsid w:val="00EB48CA"/>
    <w:rsid w:val="00EB4907"/>
    <w:rsid w:val="00EB52D1"/>
    <w:rsid w:val="00EB6736"/>
    <w:rsid w:val="00EB683F"/>
    <w:rsid w:val="00EB73E0"/>
    <w:rsid w:val="00EB794B"/>
    <w:rsid w:val="00EB7ED6"/>
    <w:rsid w:val="00EC05CA"/>
    <w:rsid w:val="00EC0EF5"/>
    <w:rsid w:val="00EC129E"/>
    <w:rsid w:val="00EC18B4"/>
    <w:rsid w:val="00EC214B"/>
    <w:rsid w:val="00EC2403"/>
    <w:rsid w:val="00EC2945"/>
    <w:rsid w:val="00EC3EC0"/>
    <w:rsid w:val="00EC5133"/>
    <w:rsid w:val="00EC6258"/>
    <w:rsid w:val="00EC663E"/>
    <w:rsid w:val="00EC7FC5"/>
    <w:rsid w:val="00ED01D9"/>
    <w:rsid w:val="00ED0451"/>
    <w:rsid w:val="00ED0E59"/>
    <w:rsid w:val="00ED2037"/>
    <w:rsid w:val="00ED2B92"/>
    <w:rsid w:val="00ED4696"/>
    <w:rsid w:val="00ED499E"/>
    <w:rsid w:val="00ED5731"/>
    <w:rsid w:val="00ED67B5"/>
    <w:rsid w:val="00ED771A"/>
    <w:rsid w:val="00EE02E2"/>
    <w:rsid w:val="00EE3987"/>
    <w:rsid w:val="00EE398F"/>
    <w:rsid w:val="00EE40C4"/>
    <w:rsid w:val="00EE5316"/>
    <w:rsid w:val="00EE57D6"/>
    <w:rsid w:val="00EE5A45"/>
    <w:rsid w:val="00EE5C86"/>
    <w:rsid w:val="00EE7806"/>
    <w:rsid w:val="00EF0165"/>
    <w:rsid w:val="00EF0385"/>
    <w:rsid w:val="00EF05BB"/>
    <w:rsid w:val="00EF28BB"/>
    <w:rsid w:val="00EF2F61"/>
    <w:rsid w:val="00EF37FE"/>
    <w:rsid w:val="00EF3B91"/>
    <w:rsid w:val="00EF433A"/>
    <w:rsid w:val="00EF49F4"/>
    <w:rsid w:val="00EF5639"/>
    <w:rsid w:val="00EF579A"/>
    <w:rsid w:val="00EF63E8"/>
    <w:rsid w:val="00EF6B9D"/>
    <w:rsid w:val="00EF6CD8"/>
    <w:rsid w:val="00EF7930"/>
    <w:rsid w:val="00EF7A5B"/>
    <w:rsid w:val="00F00146"/>
    <w:rsid w:val="00F00B93"/>
    <w:rsid w:val="00F010DF"/>
    <w:rsid w:val="00F02D91"/>
    <w:rsid w:val="00F03F26"/>
    <w:rsid w:val="00F04959"/>
    <w:rsid w:val="00F05BBF"/>
    <w:rsid w:val="00F05E41"/>
    <w:rsid w:val="00F06352"/>
    <w:rsid w:val="00F072C3"/>
    <w:rsid w:val="00F077CB"/>
    <w:rsid w:val="00F10266"/>
    <w:rsid w:val="00F1225A"/>
    <w:rsid w:val="00F129E8"/>
    <w:rsid w:val="00F13614"/>
    <w:rsid w:val="00F14419"/>
    <w:rsid w:val="00F14B8E"/>
    <w:rsid w:val="00F14D34"/>
    <w:rsid w:val="00F16BBB"/>
    <w:rsid w:val="00F16E29"/>
    <w:rsid w:val="00F16F32"/>
    <w:rsid w:val="00F20D75"/>
    <w:rsid w:val="00F20EAE"/>
    <w:rsid w:val="00F2159D"/>
    <w:rsid w:val="00F217F5"/>
    <w:rsid w:val="00F21DFA"/>
    <w:rsid w:val="00F220DE"/>
    <w:rsid w:val="00F22AC3"/>
    <w:rsid w:val="00F235C3"/>
    <w:rsid w:val="00F23BC4"/>
    <w:rsid w:val="00F23EE2"/>
    <w:rsid w:val="00F2408C"/>
    <w:rsid w:val="00F2484F"/>
    <w:rsid w:val="00F24B5D"/>
    <w:rsid w:val="00F2626D"/>
    <w:rsid w:val="00F26537"/>
    <w:rsid w:val="00F26C93"/>
    <w:rsid w:val="00F26D20"/>
    <w:rsid w:val="00F26DCF"/>
    <w:rsid w:val="00F26E28"/>
    <w:rsid w:val="00F27C5D"/>
    <w:rsid w:val="00F30D8D"/>
    <w:rsid w:val="00F313D5"/>
    <w:rsid w:val="00F31437"/>
    <w:rsid w:val="00F31B74"/>
    <w:rsid w:val="00F327C8"/>
    <w:rsid w:val="00F3354D"/>
    <w:rsid w:val="00F33865"/>
    <w:rsid w:val="00F33A74"/>
    <w:rsid w:val="00F33F61"/>
    <w:rsid w:val="00F344AA"/>
    <w:rsid w:val="00F34F02"/>
    <w:rsid w:val="00F34F69"/>
    <w:rsid w:val="00F354B5"/>
    <w:rsid w:val="00F35BE5"/>
    <w:rsid w:val="00F35D8E"/>
    <w:rsid w:val="00F3601A"/>
    <w:rsid w:val="00F365B6"/>
    <w:rsid w:val="00F40B60"/>
    <w:rsid w:val="00F41CEB"/>
    <w:rsid w:val="00F42619"/>
    <w:rsid w:val="00F429D1"/>
    <w:rsid w:val="00F42AB1"/>
    <w:rsid w:val="00F438C4"/>
    <w:rsid w:val="00F43D9A"/>
    <w:rsid w:val="00F43E3E"/>
    <w:rsid w:val="00F446D8"/>
    <w:rsid w:val="00F4529A"/>
    <w:rsid w:val="00F45522"/>
    <w:rsid w:val="00F46C35"/>
    <w:rsid w:val="00F46E6E"/>
    <w:rsid w:val="00F47CC1"/>
    <w:rsid w:val="00F50B19"/>
    <w:rsid w:val="00F510D5"/>
    <w:rsid w:val="00F515AF"/>
    <w:rsid w:val="00F5262D"/>
    <w:rsid w:val="00F535D8"/>
    <w:rsid w:val="00F5495C"/>
    <w:rsid w:val="00F54F16"/>
    <w:rsid w:val="00F5581C"/>
    <w:rsid w:val="00F55A20"/>
    <w:rsid w:val="00F55D8E"/>
    <w:rsid w:val="00F56EEB"/>
    <w:rsid w:val="00F57141"/>
    <w:rsid w:val="00F574C1"/>
    <w:rsid w:val="00F57F78"/>
    <w:rsid w:val="00F60193"/>
    <w:rsid w:val="00F61379"/>
    <w:rsid w:val="00F6243C"/>
    <w:rsid w:val="00F6319C"/>
    <w:rsid w:val="00F633E2"/>
    <w:rsid w:val="00F639CA"/>
    <w:rsid w:val="00F63CA5"/>
    <w:rsid w:val="00F63E8B"/>
    <w:rsid w:val="00F64CE8"/>
    <w:rsid w:val="00F64FA1"/>
    <w:rsid w:val="00F65553"/>
    <w:rsid w:val="00F65C72"/>
    <w:rsid w:val="00F65E8C"/>
    <w:rsid w:val="00F66065"/>
    <w:rsid w:val="00F66B81"/>
    <w:rsid w:val="00F6716C"/>
    <w:rsid w:val="00F67B03"/>
    <w:rsid w:val="00F7092B"/>
    <w:rsid w:val="00F7286B"/>
    <w:rsid w:val="00F729C3"/>
    <w:rsid w:val="00F729E0"/>
    <w:rsid w:val="00F736C8"/>
    <w:rsid w:val="00F73DE1"/>
    <w:rsid w:val="00F7552C"/>
    <w:rsid w:val="00F76502"/>
    <w:rsid w:val="00F7797D"/>
    <w:rsid w:val="00F77EEA"/>
    <w:rsid w:val="00F801E7"/>
    <w:rsid w:val="00F80FDE"/>
    <w:rsid w:val="00F816E7"/>
    <w:rsid w:val="00F81701"/>
    <w:rsid w:val="00F819F3"/>
    <w:rsid w:val="00F81B3E"/>
    <w:rsid w:val="00F81DFA"/>
    <w:rsid w:val="00F820FE"/>
    <w:rsid w:val="00F8235D"/>
    <w:rsid w:val="00F823D6"/>
    <w:rsid w:val="00F8320B"/>
    <w:rsid w:val="00F83514"/>
    <w:rsid w:val="00F838C8"/>
    <w:rsid w:val="00F83A84"/>
    <w:rsid w:val="00F84ADF"/>
    <w:rsid w:val="00F84BA7"/>
    <w:rsid w:val="00F860BF"/>
    <w:rsid w:val="00F86772"/>
    <w:rsid w:val="00F87803"/>
    <w:rsid w:val="00F87842"/>
    <w:rsid w:val="00F87933"/>
    <w:rsid w:val="00F87C4C"/>
    <w:rsid w:val="00F90C18"/>
    <w:rsid w:val="00F911EA"/>
    <w:rsid w:val="00F91394"/>
    <w:rsid w:val="00F91F55"/>
    <w:rsid w:val="00F925BE"/>
    <w:rsid w:val="00F95582"/>
    <w:rsid w:val="00F9711C"/>
    <w:rsid w:val="00F97375"/>
    <w:rsid w:val="00F97935"/>
    <w:rsid w:val="00FA0510"/>
    <w:rsid w:val="00FA16E3"/>
    <w:rsid w:val="00FA205C"/>
    <w:rsid w:val="00FA3740"/>
    <w:rsid w:val="00FA4072"/>
    <w:rsid w:val="00FA41EF"/>
    <w:rsid w:val="00FA42C4"/>
    <w:rsid w:val="00FA43C6"/>
    <w:rsid w:val="00FA5530"/>
    <w:rsid w:val="00FA62CC"/>
    <w:rsid w:val="00FA7664"/>
    <w:rsid w:val="00FA7C99"/>
    <w:rsid w:val="00FB0815"/>
    <w:rsid w:val="00FB0DC0"/>
    <w:rsid w:val="00FB1045"/>
    <w:rsid w:val="00FB11EC"/>
    <w:rsid w:val="00FB1704"/>
    <w:rsid w:val="00FB17A6"/>
    <w:rsid w:val="00FB1E2B"/>
    <w:rsid w:val="00FB3135"/>
    <w:rsid w:val="00FB37C8"/>
    <w:rsid w:val="00FB39D9"/>
    <w:rsid w:val="00FB39F3"/>
    <w:rsid w:val="00FB432B"/>
    <w:rsid w:val="00FB4D21"/>
    <w:rsid w:val="00FB565F"/>
    <w:rsid w:val="00FB6C20"/>
    <w:rsid w:val="00FB6EE8"/>
    <w:rsid w:val="00FB7088"/>
    <w:rsid w:val="00FB71C8"/>
    <w:rsid w:val="00FB792D"/>
    <w:rsid w:val="00FC055C"/>
    <w:rsid w:val="00FC0CED"/>
    <w:rsid w:val="00FC16D4"/>
    <w:rsid w:val="00FC25BC"/>
    <w:rsid w:val="00FC3687"/>
    <w:rsid w:val="00FC41C9"/>
    <w:rsid w:val="00FC4244"/>
    <w:rsid w:val="00FC55FF"/>
    <w:rsid w:val="00FC56AB"/>
    <w:rsid w:val="00FC5A56"/>
    <w:rsid w:val="00FC5F2B"/>
    <w:rsid w:val="00FC65DE"/>
    <w:rsid w:val="00FC6F06"/>
    <w:rsid w:val="00FC7490"/>
    <w:rsid w:val="00FC7D8F"/>
    <w:rsid w:val="00FD004C"/>
    <w:rsid w:val="00FD1789"/>
    <w:rsid w:val="00FD19E5"/>
    <w:rsid w:val="00FD27FD"/>
    <w:rsid w:val="00FD2CC3"/>
    <w:rsid w:val="00FD2E24"/>
    <w:rsid w:val="00FD351F"/>
    <w:rsid w:val="00FD3B17"/>
    <w:rsid w:val="00FD40C5"/>
    <w:rsid w:val="00FD417D"/>
    <w:rsid w:val="00FD4A36"/>
    <w:rsid w:val="00FD5CB1"/>
    <w:rsid w:val="00FE10E6"/>
    <w:rsid w:val="00FE3214"/>
    <w:rsid w:val="00FE41B7"/>
    <w:rsid w:val="00FE5A33"/>
    <w:rsid w:val="00FE5A47"/>
    <w:rsid w:val="00FE5E19"/>
    <w:rsid w:val="00FE6423"/>
    <w:rsid w:val="00FE66E4"/>
    <w:rsid w:val="00FF01B0"/>
    <w:rsid w:val="00FF120C"/>
    <w:rsid w:val="00FF33CE"/>
    <w:rsid w:val="00FF37AC"/>
    <w:rsid w:val="00FF383C"/>
    <w:rsid w:val="00FF4169"/>
    <w:rsid w:val="00FF4A76"/>
    <w:rsid w:val="00FF555B"/>
    <w:rsid w:val="00FF5ABD"/>
    <w:rsid w:val="00FF68DA"/>
    <w:rsid w:val="01BDF5B8"/>
    <w:rsid w:val="01E84759"/>
    <w:rsid w:val="01F002C0"/>
    <w:rsid w:val="04AD2EDC"/>
    <w:rsid w:val="05125DF7"/>
    <w:rsid w:val="05621886"/>
    <w:rsid w:val="056A57ED"/>
    <w:rsid w:val="057A11F3"/>
    <w:rsid w:val="057E2D24"/>
    <w:rsid w:val="0653D12D"/>
    <w:rsid w:val="06A4FE12"/>
    <w:rsid w:val="07403E8B"/>
    <w:rsid w:val="090012EC"/>
    <w:rsid w:val="09140EC5"/>
    <w:rsid w:val="095D0F57"/>
    <w:rsid w:val="09FEBA73"/>
    <w:rsid w:val="0B09D442"/>
    <w:rsid w:val="0B461EA0"/>
    <w:rsid w:val="0B786F35"/>
    <w:rsid w:val="0B78F45B"/>
    <w:rsid w:val="0B936DFF"/>
    <w:rsid w:val="0CC63624"/>
    <w:rsid w:val="0CF627BD"/>
    <w:rsid w:val="0D264E34"/>
    <w:rsid w:val="0D8F793D"/>
    <w:rsid w:val="0D992E14"/>
    <w:rsid w:val="0DB2978D"/>
    <w:rsid w:val="0DBA0B15"/>
    <w:rsid w:val="0E1973EC"/>
    <w:rsid w:val="0EC99842"/>
    <w:rsid w:val="0F42DAA2"/>
    <w:rsid w:val="0F6D8E8A"/>
    <w:rsid w:val="0FCFB484"/>
    <w:rsid w:val="10009DE3"/>
    <w:rsid w:val="104BE058"/>
    <w:rsid w:val="10CCB055"/>
    <w:rsid w:val="11F205BC"/>
    <w:rsid w:val="1218CDF1"/>
    <w:rsid w:val="1343B9A3"/>
    <w:rsid w:val="13E12039"/>
    <w:rsid w:val="14122998"/>
    <w:rsid w:val="1424F73B"/>
    <w:rsid w:val="14454403"/>
    <w:rsid w:val="1475AF13"/>
    <w:rsid w:val="1491FF49"/>
    <w:rsid w:val="14B03A00"/>
    <w:rsid w:val="1543790C"/>
    <w:rsid w:val="1579A4A8"/>
    <w:rsid w:val="16038536"/>
    <w:rsid w:val="16D33294"/>
    <w:rsid w:val="17431C27"/>
    <w:rsid w:val="1824AB10"/>
    <w:rsid w:val="18447466"/>
    <w:rsid w:val="18584D01"/>
    <w:rsid w:val="196AC967"/>
    <w:rsid w:val="19888148"/>
    <w:rsid w:val="199C1F18"/>
    <w:rsid w:val="19B94BC9"/>
    <w:rsid w:val="1AE48D53"/>
    <w:rsid w:val="1B72D054"/>
    <w:rsid w:val="1C0104FC"/>
    <w:rsid w:val="1C3569B7"/>
    <w:rsid w:val="1CEB5947"/>
    <w:rsid w:val="1DB2EF7D"/>
    <w:rsid w:val="1DD2820B"/>
    <w:rsid w:val="1E875844"/>
    <w:rsid w:val="1F974083"/>
    <w:rsid w:val="200A3BF1"/>
    <w:rsid w:val="20982EF3"/>
    <w:rsid w:val="20A69760"/>
    <w:rsid w:val="20E887F3"/>
    <w:rsid w:val="2186E44D"/>
    <w:rsid w:val="22CFD3F0"/>
    <w:rsid w:val="22FCFCA6"/>
    <w:rsid w:val="2330708D"/>
    <w:rsid w:val="23A72724"/>
    <w:rsid w:val="23A9C911"/>
    <w:rsid w:val="23C023DE"/>
    <w:rsid w:val="242A5491"/>
    <w:rsid w:val="248FA055"/>
    <w:rsid w:val="24A0CA26"/>
    <w:rsid w:val="24C52CB1"/>
    <w:rsid w:val="24D19C77"/>
    <w:rsid w:val="24ED833B"/>
    <w:rsid w:val="252D8FB4"/>
    <w:rsid w:val="255B8001"/>
    <w:rsid w:val="25BFEB5E"/>
    <w:rsid w:val="26792968"/>
    <w:rsid w:val="26B48FEE"/>
    <w:rsid w:val="26CD0E49"/>
    <w:rsid w:val="26DF5797"/>
    <w:rsid w:val="271CB2A2"/>
    <w:rsid w:val="27468A9E"/>
    <w:rsid w:val="2788941F"/>
    <w:rsid w:val="27ABE03C"/>
    <w:rsid w:val="27C0D9B9"/>
    <w:rsid w:val="283807BC"/>
    <w:rsid w:val="2855C6D5"/>
    <w:rsid w:val="28A696BE"/>
    <w:rsid w:val="29553520"/>
    <w:rsid w:val="29704C25"/>
    <w:rsid w:val="2978CDD5"/>
    <w:rsid w:val="299FE4B1"/>
    <w:rsid w:val="2A758222"/>
    <w:rsid w:val="2A902C3B"/>
    <w:rsid w:val="2B6FC4F9"/>
    <w:rsid w:val="2BB0DEAE"/>
    <w:rsid w:val="2C1830C9"/>
    <w:rsid w:val="2C1B5359"/>
    <w:rsid w:val="2C82D9F3"/>
    <w:rsid w:val="2CE90894"/>
    <w:rsid w:val="2D1FF1A8"/>
    <w:rsid w:val="2DB35D2F"/>
    <w:rsid w:val="2E60B06E"/>
    <w:rsid w:val="2E62D79F"/>
    <w:rsid w:val="2E896F9A"/>
    <w:rsid w:val="2EC3E8EC"/>
    <w:rsid w:val="2F3A22E8"/>
    <w:rsid w:val="2FA98FE4"/>
    <w:rsid w:val="3113E482"/>
    <w:rsid w:val="31278395"/>
    <w:rsid w:val="31949243"/>
    <w:rsid w:val="32A5C1CD"/>
    <w:rsid w:val="332C81B7"/>
    <w:rsid w:val="3343AD4F"/>
    <w:rsid w:val="3348F928"/>
    <w:rsid w:val="33DECDD4"/>
    <w:rsid w:val="3425EEC7"/>
    <w:rsid w:val="3469DB3C"/>
    <w:rsid w:val="3475138B"/>
    <w:rsid w:val="3529A8C6"/>
    <w:rsid w:val="352C94AB"/>
    <w:rsid w:val="354734C2"/>
    <w:rsid w:val="35E3D902"/>
    <w:rsid w:val="35EF3D4A"/>
    <w:rsid w:val="3615A12B"/>
    <w:rsid w:val="362E212B"/>
    <w:rsid w:val="3675AB35"/>
    <w:rsid w:val="36ABCB65"/>
    <w:rsid w:val="36E7827E"/>
    <w:rsid w:val="3759450C"/>
    <w:rsid w:val="37C9F18C"/>
    <w:rsid w:val="3822DC61"/>
    <w:rsid w:val="38C9C365"/>
    <w:rsid w:val="38DD8A7C"/>
    <w:rsid w:val="3939CDD8"/>
    <w:rsid w:val="3A810F9B"/>
    <w:rsid w:val="3AEA1739"/>
    <w:rsid w:val="3AFAA0E7"/>
    <w:rsid w:val="3B4970E7"/>
    <w:rsid w:val="3B5D523E"/>
    <w:rsid w:val="3BC6BF96"/>
    <w:rsid w:val="3C312B75"/>
    <w:rsid w:val="3D504888"/>
    <w:rsid w:val="3D66E9AC"/>
    <w:rsid w:val="3DEDC7A7"/>
    <w:rsid w:val="3DEFA89A"/>
    <w:rsid w:val="3E31CE6C"/>
    <w:rsid w:val="3E936B36"/>
    <w:rsid w:val="3E94AAF0"/>
    <w:rsid w:val="3F6D21C8"/>
    <w:rsid w:val="3FC6B960"/>
    <w:rsid w:val="40CFA127"/>
    <w:rsid w:val="4102A89F"/>
    <w:rsid w:val="4212884C"/>
    <w:rsid w:val="423CA398"/>
    <w:rsid w:val="42792223"/>
    <w:rsid w:val="42AEE400"/>
    <w:rsid w:val="42C3882D"/>
    <w:rsid w:val="43E33F23"/>
    <w:rsid w:val="44677DA4"/>
    <w:rsid w:val="449E72F0"/>
    <w:rsid w:val="4521D089"/>
    <w:rsid w:val="453F7CB7"/>
    <w:rsid w:val="45C1F595"/>
    <w:rsid w:val="45EF4AEA"/>
    <w:rsid w:val="46AC9F6A"/>
    <w:rsid w:val="46D5987E"/>
    <w:rsid w:val="46ED4AEB"/>
    <w:rsid w:val="46FBDF18"/>
    <w:rsid w:val="4782B148"/>
    <w:rsid w:val="47D4FFDD"/>
    <w:rsid w:val="482C13FC"/>
    <w:rsid w:val="4856D030"/>
    <w:rsid w:val="48BED30A"/>
    <w:rsid w:val="48FAF5B6"/>
    <w:rsid w:val="490D1228"/>
    <w:rsid w:val="495FDEB5"/>
    <w:rsid w:val="49BC491F"/>
    <w:rsid w:val="4A92378E"/>
    <w:rsid w:val="4C1E86EB"/>
    <w:rsid w:val="4C7ACFF1"/>
    <w:rsid w:val="4CA42306"/>
    <w:rsid w:val="4CBB0AC6"/>
    <w:rsid w:val="4DA8CA99"/>
    <w:rsid w:val="4E7B8A41"/>
    <w:rsid w:val="4E89C6BB"/>
    <w:rsid w:val="4ED29533"/>
    <w:rsid w:val="4FC89D7C"/>
    <w:rsid w:val="50003DCE"/>
    <w:rsid w:val="5009C8BC"/>
    <w:rsid w:val="5019B4BD"/>
    <w:rsid w:val="507D0D31"/>
    <w:rsid w:val="50EA7D7B"/>
    <w:rsid w:val="51C83D43"/>
    <w:rsid w:val="520E2CCE"/>
    <w:rsid w:val="52F50574"/>
    <w:rsid w:val="53139219"/>
    <w:rsid w:val="534D679F"/>
    <w:rsid w:val="535A0672"/>
    <w:rsid w:val="53F78591"/>
    <w:rsid w:val="53FD6293"/>
    <w:rsid w:val="54515EB2"/>
    <w:rsid w:val="549D033B"/>
    <w:rsid w:val="554A5C4A"/>
    <w:rsid w:val="55BBB0BB"/>
    <w:rsid w:val="560D8CAF"/>
    <w:rsid w:val="562061ED"/>
    <w:rsid w:val="562C691D"/>
    <w:rsid w:val="562C90C5"/>
    <w:rsid w:val="5666D432"/>
    <w:rsid w:val="569A9956"/>
    <w:rsid w:val="56B0A029"/>
    <w:rsid w:val="56C400D0"/>
    <w:rsid w:val="56DE4057"/>
    <w:rsid w:val="57A47D8A"/>
    <w:rsid w:val="581EE084"/>
    <w:rsid w:val="5882E00D"/>
    <w:rsid w:val="58954A9F"/>
    <w:rsid w:val="58D0D3B6"/>
    <w:rsid w:val="58D6624F"/>
    <w:rsid w:val="595E7D48"/>
    <w:rsid w:val="5AE93AE7"/>
    <w:rsid w:val="5B231022"/>
    <w:rsid w:val="5C8B5C65"/>
    <w:rsid w:val="5CF50E30"/>
    <w:rsid w:val="5D680127"/>
    <w:rsid w:val="5D7E58C2"/>
    <w:rsid w:val="5DA64828"/>
    <w:rsid w:val="5EB637CE"/>
    <w:rsid w:val="5ED3CFF8"/>
    <w:rsid w:val="5F044ABC"/>
    <w:rsid w:val="607203F9"/>
    <w:rsid w:val="60F3DA76"/>
    <w:rsid w:val="6102955A"/>
    <w:rsid w:val="612B0C6A"/>
    <w:rsid w:val="628D3165"/>
    <w:rsid w:val="62C166F4"/>
    <w:rsid w:val="630052BA"/>
    <w:rsid w:val="6517223A"/>
    <w:rsid w:val="654DF9CD"/>
    <w:rsid w:val="65633CD5"/>
    <w:rsid w:val="67043134"/>
    <w:rsid w:val="6706847F"/>
    <w:rsid w:val="670BD9B6"/>
    <w:rsid w:val="6773CE83"/>
    <w:rsid w:val="67C9BE8D"/>
    <w:rsid w:val="68547B07"/>
    <w:rsid w:val="68605A29"/>
    <w:rsid w:val="687DB16D"/>
    <w:rsid w:val="68E63DF5"/>
    <w:rsid w:val="68EC0829"/>
    <w:rsid w:val="68F672D0"/>
    <w:rsid w:val="69F04B68"/>
    <w:rsid w:val="69F4520F"/>
    <w:rsid w:val="6AE86E8E"/>
    <w:rsid w:val="6B33E70A"/>
    <w:rsid w:val="6B496174"/>
    <w:rsid w:val="6B673E96"/>
    <w:rsid w:val="6BE4E7DD"/>
    <w:rsid w:val="6C0FDD92"/>
    <w:rsid w:val="6C4F2E89"/>
    <w:rsid w:val="6C89CE1D"/>
    <w:rsid w:val="6D396930"/>
    <w:rsid w:val="6D703B84"/>
    <w:rsid w:val="6D78CBB3"/>
    <w:rsid w:val="6D819C90"/>
    <w:rsid w:val="6DE31007"/>
    <w:rsid w:val="6E400063"/>
    <w:rsid w:val="6E7D2BB4"/>
    <w:rsid w:val="6EAF110A"/>
    <w:rsid w:val="6F4D02B5"/>
    <w:rsid w:val="6FCED305"/>
    <w:rsid w:val="6FF19D9E"/>
    <w:rsid w:val="70A37860"/>
    <w:rsid w:val="70AA45ED"/>
    <w:rsid w:val="70CE87FA"/>
    <w:rsid w:val="710D6C21"/>
    <w:rsid w:val="719E87FF"/>
    <w:rsid w:val="730730E1"/>
    <w:rsid w:val="74B4A22D"/>
    <w:rsid w:val="7517570B"/>
    <w:rsid w:val="75C5CB0A"/>
    <w:rsid w:val="76057949"/>
    <w:rsid w:val="762566C3"/>
    <w:rsid w:val="7631E9EB"/>
    <w:rsid w:val="76483AD0"/>
    <w:rsid w:val="77EBAA5A"/>
    <w:rsid w:val="792DB034"/>
    <w:rsid w:val="7931E367"/>
    <w:rsid w:val="79326CF0"/>
    <w:rsid w:val="794A932B"/>
    <w:rsid w:val="799D3896"/>
    <w:rsid w:val="79D71E68"/>
    <w:rsid w:val="7A626E8C"/>
    <w:rsid w:val="7B258761"/>
    <w:rsid w:val="7B824B2F"/>
    <w:rsid w:val="7BA8E432"/>
    <w:rsid w:val="7BA9745F"/>
    <w:rsid w:val="7BE8BA26"/>
    <w:rsid w:val="7C7667C8"/>
    <w:rsid w:val="7CB4E121"/>
    <w:rsid w:val="7D41F5BA"/>
    <w:rsid w:val="7D5BB964"/>
    <w:rsid w:val="7D8D39FC"/>
    <w:rsid w:val="7E36C4FE"/>
    <w:rsid w:val="7E9AA8B2"/>
    <w:rsid w:val="7EF7062B"/>
    <w:rsid w:val="7F288B57"/>
    <w:rsid w:val="7F47D7CA"/>
    <w:rsid w:val="7F9D7D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08222C1"/>
  <w15:docId w15:val="{F41FFC99-C483-4304-945E-FCE282A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B93"/>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semiHidden/>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1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rsid w:val="00972DEF"/>
    <w:rPr>
      <w:sz w:val="24"/>
      <w:szCs w:val="24"/>
      <w:lang w:val="en-US" w:eastAsia="en-US" w:bidi="ar-SA"/>
    </w:rPr>
  </w:style>
  <w:style w:type="paragraph" w:customStyle="1" w:styleId="Bulleted">
    <w:name w:val="Bulleted"/>
    <w:basedOn w:val="Normal"/>
    <w:autoRedefine/>
    <w:rsid w:val="00972DEF"/>
    <w:pPr>
      <w:numPr>
        <w:numId w:val="1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1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15"/>
      </w:numPr>
    </w:pPr>
    <w:rPr>
      <w:rFonts w:eastAsia="SimSun"/>
    </w:rPr>
  </w:style>
  <w:style w:type="paragraph" w:customStyle="1" w:styleId="a2colbul">
    <w:name w:val="a2col_bul"/>
    <w:basedOn w:val="Normal"/>
    <w:rsid w:val="00972DEF"/>
    <w:pPr>
      <w:numPr>
        <w:ilvl w:val="1"/>
        <w:numId w:val="1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table" w:styleId="TableGrid">
    <w:name w:val="Table Grid"/>
    <w:basedOn w:val="TableNormal"/>
    <w:uiPriority w:val="39"/>
    <w:rsid w:val="008F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1B38ED"/>
    <w:rPr>
      <w:color w:val="605E5C"/>
      <w:shd w:val="clear" w:color="auto" w:fill="E1DFDD"/>
    </w:rPr>
  </w:style>
  <w:style w:type="character" w:customStyle="1" w:styleId="Mention1">
    <w:name w:val="Mention1"/>
    <w:basedOn w:val="DefaultParagraphFont"/>
    <w:uiPriority w:val="99"/>
    <w:unhideWhenUsed/>
    <w:rsid w:val="00D54FC9"/>
    <w:rPr>
      <w:color w:val="2B579A"/>
      <w:shd w:val="clear" w:color="auto" w:fill="E1DFDD"/>
    </w:rPr>
  </w:style>
  <w:style w:type="paragraph" w:styleId="EndnoteText">
    <w:name w:val="endnote text"/>
    <w:basedOn w:val="Normal"/>
    <w:link w:val="EndnoteTextChar"/>
    <w:semiHidden/>
    <w:unhideWhenUsed/>
    <w:rsid w:val="008A0133"/>
    <w:rPr>
      <w:sz w:val="20"/>
      <w:szCs w:val="20"/>
    </w:rPr>
  </w:style>
  <w:style w:type="character" w:customStyle="1" w:styleId="EndnoteTextChar">
    <w:name w:val="Endnote Text Char"/>
    <w:basedOn w:val="DefaultParagraphFont"/>
    <w:link w:val="EndnoteText"/>
    <w:semiHidden/>
    <w:rsid w:val="008A0133"/>
  </w:style>
  <w:style w:type="character" w:styleId="EndnoteReference">
    <w:name w:val="endnote reference"/>
    <w:basedOn w:val="DefaultParagraphFont"/>
    <w:semiHidden/>
    <w:unhideWhenUsed/>
    <w:rsid w:val="008A0133"/>
    <w:rPr>
      <w:vertAlign w:val="superscript"/>
    </w:rPr>
  </w:style>
  <w:style w:type="paragraph" w:customStyle="1" w:styleId="paragraph">
    <w:name w:val="paragraph"/>
    <w:basedOn w:val="Normal"/>
    <w:rsid w:val="00137C77"/>
    <w:pPr>
      <w:spacing w:before="100" w:beforeAutospacing="1" w:after="100" w:afterAutospacing="1"/>
    </w:pPr>
  </w:style>
  <w:style w:type="character" w:customStyle="1" w:styleId="normaltextrun">
    <w:name w:val="normaltextrun"/>
    <w:basedOn w:val="DefaultParagraphFont"/>
    <w:rsid w:val="00137C77"/>
  </w:style>
  <w:style w:type="character" w:customStyle="1" w:styleId="eop">
    <w:name w:val="eop"/>
    <w:basedOn w:val="DefaultParagraphFont"/>
    <w:rsid w:val="00137C77"/>
  </w:style>
  <w:style w:type="character" w:styleId="UnresolvedMention">
    <w:name w:val="Unresolved Mention"/>
    <w:basedOn w:val="DefaultParagraphFont"/>
    <w:uiPriority w:val="99"/>
    <w:semiHidden/>
    <w:unhideWhenUsed/>
    <w:rsid w:val="003C6E20"/>
    <w:rPr>
      <w:color w:val="605E5C"/>
      <w:shd w:val="clear" w:color="auto" w:fill="E1DFDD"/>
    </w:rPr>
  </w:style>
  <w:style w:type="character" w:styleId="Mention">
    <w:name w:val="Mention"/>
    <w:basedOn w:val="DefaultParagraphFont"/>
    <w:uiPriority w:val="99"/>
    <w:unhideWhenUsed/>
    <w:rsid w:val="00537188"/>
    <w:rPr>
      <w:color w:val="2B579A"/>
      <w:shd w:val="clear" w:color="auto" w:fill="E6E6E6"/>
    </w:rPr>
  </w:style>
  <w:style w:type="paragraph" w:customStyle="1" w:styleId="Pa6">
    <w:name w:val="Pa6"/>
    <w:basedOn w:val="Default"/>
    <w:next w:val="Default"/>
    <w:uiPriority w:val="99"/>
    <w:rsid w:val="00D317B5"/>
    <w:pPr>
      <w:spacing w:line="281" w:lineRule="atLeast"/>
    </w:pPr>
    <w:rPr>
      <w:rFonts w:ascii="ITC Franklin Gothic Std Bk Cd" w:hAnsi="ITC Franklin Gothic Std Bk Cd"/>
      <w:color w:val="auto"/>
    </w:rPr>
  </w:style>
  <w:style w:type="character" w:customStyle="1" w:styleId="A8">
    <w:name w:val="A8"/>
    <w:uiPriority w:val="99"/>
    <w:rsid w:val="007A0BAF"/>
    <w:rPr>
      <w:rFonts w:cs="ITC Franklin Gothic Std Book"/>
      <w:color w:val="000000"/>
      <w:sz w:val="22"/>
      <w:szCs w:val="22"/>
      <w:u w:val="single"/>
    </w:rPr>
  </w:style>
  <w:style w:type="paragraph" w:customStyle="1" w:styleId="pf0">
    <w:name w:val="pf0"/>
    <w:basedOn w:val="Normal"/>
    <w:rsid w:val="00A772DA"/>
    <w:pPr>
      <w:spacing w:before="100" w:beforeAutospacing="1" w:after="100" w:afterAutospacing="1"/>
    </w:pPr>
  </w:style>
  <w:style w:type="character" w:customStyle="1" w:styleId="cf01">
    <w:name w:val="cf01"/>
    <w:basedOn w:val="DefaultParagraphFont"/>
    <w:rsid w:val="00A772DA"/>
    <w:rPr>
      <w:rFonts w:ascii="Segoe UI" w:hAnsi="Segoe UI" w:cs="Segoe UI" w:hint="default"/>
      <w:sz w:val="18"/>
      <w:szCs w:val="18"/>
    </w:rPr>
  </w:style>
  <w:style w:type="paragraph" w:customStyle="1" w:styleId="BulletLevel1">
    <w:name w:val="Bullet Level 1"/>
    <w:basedOn w:val="Normal"/>
    <w:next w:val="Normal"/>
    <w:uiPriority w:val="1"/>
    <w:qFormat/>
    <w:rsid w:val="20A69760"/>
    <w:pPr>
      <w:widowControl w:val="0"/>
      <w:numPr>
        <w:numId w:val="7"/>
      </w:numPr>
      <w:spacing w:after="120" w:line="259" w:lineRule="auto"/>
    </w:pPr>
    <w:rPr>
      <w:rFonts w:ascii="Calibri" w:eastAsia="Calibri" w:hAnsi="Calibri" w:cstheme="minorBidi"/>
      <w:color w:val="0481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suicide/resources/prevention.html" TargetMode="Externa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3de4fa8-5f4d-4cb9-bf6c-0f6b2c82a97e">
      <UserInfo>
        <DisplayName>Stone, Deborah (CDC/DDNID/NCIPC/DIP)</DisplayName>
        <AccountId>211</AccountId>
        <AccountType/>
      </UserInfo>
    </SharedWithUsers>
    <TaxCatchAll xmlns="63de4fa8-5f4d-4cb9-bf6c-0f6b2c82a97e" xsi:nil="true"/>
    <lcf76f155ced4ddcb4097134ff3c332f xmlns="05ff1d40-d372-4e96-bc4c-1d2773a7fd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06D42DC753C549A89DEFB954227C3E" ma:contentTypeVersion="15" ma:contentTypeDescription="Create a new document." ma:contentTypeScope="" ma:versionID="da256b2b76367acf36f2713d1b0a0582">
  <xsd:schema xmlns:xsd="http://www.w3.org/2001/XMLSchema" xmlns:xs="http://www.w3.org/2001/XMLSchema" xmlns:p="http://schemas.microsoft.com/office/2006/metadata/properties" xmlns:ns2="05ff1d40-d372-4e96-bc4c-1d2773a7fd79" xmlns:ns3="63de4fa8-5f4d-4cb9-bf6c-0f6b2c82a97e" targetNamespace="http://schemas.microsoft.com/office/2006/metadata/properties" ma:root="true" ma:fieldsID="35b8bfdd7d0c725c2e2d685144bfbd81" ns2:_="" ns3:_="">
    <xsd:import namespace="05ff1d40-d372-4e96-bc4c-1d2773a7fd79"/>
    <xsd:import namespace="63de4fa8-5f4d-4cb9-bf6c-0f6b2c82a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f1d40-d372-4e96-bc4c-1d2773a7f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e4fa8-5f4d-4cb9-bf6c-0f6b2c82a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ea4ec0-8b74-49fb-bcb0-7679a59ef652}" ma:internalName="TaxCatchAll" ma:showField="CatchAllData" ma:web="63de4fa8-5f4d-4cb9-bf6c-0f6b2c82a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2.xml><?xml version="1.0" encoding="utf-8"?>
<ds:datastoreItem xmlns:ds="http://schemas.openxmlformats.org/officeDocument/2006/customXml" ds:itemID="{0635CC49-E823-4308-9FA0-4EB4B04E2700}">
  <ds:schemaRefs>
    <ds:schemaRef ds:uri="http://schemas.openxmlformats.org/officeDocument/2006/bibliography"/>
  </ds:schemaRefs>
</ds:datastoreItem>
</file>

<file path=customXml/itemProps3.xml><?xml version="1.0" encoding="utf-8"?>
<ds:datastoreItem xmlns:ds="http://schemas.openxmlformats.org/officeDocument/2006/customXml" ds:itemID="{DA48D616-DE41-4E43-994E-AE28A3042AE2}">
  <ds:schemaRefs>
    <ds:schemaRef ds:uri="http://schemas.microsoft.com/office/2006/metadata/properties"/>
    <ds:schemaRef ds:uri="http://schemas.microsoft.com/office/infopath/2007/PartnerControls"/>
    <ds:schemaRef ds:uri="63de4fa8-5f4d-4cb9-bf6c-0f6b2c82a97e"/>
    <ds:schemaRef ds:uri="05ff1d40-d372-4e96-bc4c-1d2773a7fd79"/>
  </ds:schemaRefs>
</ds:datastoreItem>
</file>

<file path=customXml/itemProps4.xml><?xml version="1.0" encoding="utf-8"?>
<ds:datastoreItem xmlns:ds="http://schemas.openxmlformats.org/officeDocument/2006/customXml" ds:itemID="{1E7E6FD3-4B8F-43D9-A953-C604648DD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f1d40-d372-4e96-bc4c-1d2773a7fd79"/>
    <ds:schemaRef ds:uri="63de4fa8-5f4d-4cb9-bf6c-0f6b2c82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4665</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OMB Application for</vt:lpstr>
    </vt:vector>
  </TitlesOfParts>
  <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Joyce, Kevin J. (CDC/OD/OS)</cp:lastModifiedBy>
  <cp:revision>3</cp:revision>
  <cp:lastPrinted>2014-10-09T06:28:00Z</cp:lastPrinted>
  <dcterms:created xsi:type="dcterms:W3CDTF">2025-09-11T17:41:00Z</dcterms:created>
  <dcterms:modified xsi:type="dcterms:W3CDTF">2025-09-11T17:43:00Z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0x010100C706D42DC753C549A89DEFB954227C3E</vt:lpwstr>
  </property>
  <property fmtid="{D5CDD505-2E9C-101B-9397-08002B2CF9AE}" pid="3" name="MediaServiceImageTags">
    <vt:lpwstr/>
  </property>
  <property fmtid="{D5CDD505-2E9C-101B-9397-08002B2CF9AE}" pid="4" name="MSIP_Label_7b94a7b8-f06c-4dfe-bdcc-9b548fd58c31_ActionId">
    <vt:lpwstr>deb900a3-6086-433b-a809-270e71b580c3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2025-09-10T01:01:44Z</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Tag">
    <vt:lpwstr>10, 0, 1, 1</vt:lpwstr>
  </property>
  <property fmtid="{D5CDD505-2E9C-101B-9397-08002B2CF9AE}" pid="12" name="Order0">
    <vt:r8>9</vt:r8>
  </property>
  <property fmtid="{D5CDD505-2E9C-101B-9397-08002B2CF9AE}" pid="13" name="URL">
    <vt:lpwstr/>
  </property>
  <property fmtid="{D5CDD505-2E9C-101B-9397-08002B2CF9AE}" pid="14" name="_dlc_DocIdItemGuid">
    <vt:lpwstr>391edba8-df69-4e09-91e2-737d589ac885</vt:lpwstr>
  </property>
</Properties>
</file>