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4269D" w:rsidP="00680AD7" w14:paraId="653A22A4" w14:textId="218193B7">
      <w:pPr>
        <w:jc w:val="center"/>
        <w:rPr>
          <w:sz w:val="28"/>
        </w:rPr>
      </w:pPr>
      <w:r w:rsidRPr="00680AD7">
        <w:rPr>
          <w:b/>
          <w:bCs/>
          <w:sz w:val="28"/>
        </w:rPr>
        <w:t>Request for Approval under the</w:t>
      </w:r>
      <w:r>
        <w:rPr>
          <w:sz w:val="28"/>
        </w:rPr>
        <w:t xml:space="preserve"> </w:t>
      </w:r>
      <w:r w:rsidRPr="00F06866">
        <w:rPr>
          <w:sz w:val="28"/>
        </w:rPr>
        <w:t>“</w:t>
      </w:r>
      <w:r w:rsidRPr="003C6842" w:rsidR="000319DA">
        <w:rPr>
          <w:rFonts w:cstheme="minorHAnsi"/>
          <w:b/>
          <w:bCs/>
          <w:sz w:val="28"/>
          <w:szCs w:val="28"/>
        </w:rPr>
        <w:t>Conference, Meeting, Workshop, Registration and Challenges</w:t>
      </w:r>
      <w:r w:rsidRPr="003C6842" w:rsidR="00680AD7">
        <w:rPr>
          <w:rFonts w:cstheme="minorHAnsi"/>
          <w:b/>
          <w:bCs/>
          <w:sz w:val="28"/>
          <w:szCs w:val="28"/>
        </w:rPr>
        <w:t xml:space="preserve"> </w:t>
      </w:r>
      <w:r w:rsidRPr="003C6842">
        <w:rPr>
          <w:b/>
          <w:bCs/>
          <w:sz w:val="28"/>
        </w:rPr>
        <w:t>Generic Clearance (OD)</w:t>
      </w:r>
      <w:r w:rsidRPr="003C6842">
        <w:rPr>
          <w:b/>
          <w:bCs/>
          <w:sz w:val="28"/>
        </w:rPr>
        <w:t>”</w:t>
      </w:r>
      <w:r>
        <w:rPr>
          <w:sz w:val="28"/>
        </w:rPr>
        <w:t xml:space="preserve"> </w:t>
      </w:r>
    </w:p>
    <w:p w:rsidR="00536050" w:rsidRPr="00536050" w:rsidP="00536050" w14:paraId="6376776C" w14:textId="4DC6206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200299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1B67B8">
        <w:rPr>
          <w:sz w:val="28"/>
        </w:rPr>
        <w:t>11</w:t>
      </w:r>
      <w:r w:rsidR="00EC6433">
        <w:rPr>
          <w:sz w:val="28"/>
        </w:rPr>
        <w:t>/20</w:t>
      </w:r>
      <w:r w:rsidR="00CA3D8A">
        <w:rPr>
          <w:sz w:val="28"/>
        </w:rPr>
        <w:t>2</w:t>
      </w:r>
      <w:r w:rsidR="001B67B8">
        <w:rPr>
          <w:sz w:val="28"/>
        </w:rPr>
        <w:t>8</w:t>
      </w:r>
      <w:r>
        <w:rPr>
          <w:sz w:val="28"/>
        </w:rPr>
        <w:t>)</w:t>
      </w:r>
    </w:p>
    <w:p w:rsidR="005E714A" w:rsidP="00BC6188" w14:paraId="6411C2E2" w14:textId="0D8A565F">
      <w:pPr>
        <w:spacing w:before="100" w:beforeAutospacing="1" w:after="100" w:afterAutospacing="1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</w:t>
      </w:r>
      <w:r w:rsidRPr="00434E33" w:rsidR="006721AC">
        <w:rPr>
          <w:b/>
        </w:rPr>
        <w:t>:</w:t>
      </w:r>
      <w:r w:rsidR="006721AC">
        <w:t xml:space="preserve"> Poster Abstract Submission Form for the 2026 Brain Research Through Advancing Innovative Neurotechnologies® (BRAIN) Initiative Conference.</w:t>
      </w:r>
    </w:p>
    <w:p w:rsidR="00C8488C" w:rsidRPr="00A93E57" w:rsidP="00A93E57" w14:paraId="74D482E6" w14:textId="585AF337">
      <w:r>
        <w:rPr>
          <w:b/>
        </w:rPr>
        <w:t>PURPOSE</w:t>
      </w:r>
      <w:r w:rsidRPr="009239AA" w:rsidR="00831658">
        <w:rPr>
          <w:b/>
        </w:rPr>
        <w:t xml:space="preserve">: </w:t>
      </w:r>
      <w:r w:rsidRPr="00831658" w:rsidR="00831658">
        <w:rPr>
          <w:bCs/>
        </w:rPr>
        <w:t>The</w:t>
      </w:r>
      <w:r w:rsidR="00831658">
        <w:t xml:space="preserve"> purpose of this information collection is to solicit abstracts from the research community to be </w:t>
      </w:r>
      <w:r w:rsidR="00A93E57">
        <w:t>included in</w:t>
      </w:r>
      <w:r w:rsidR="00831658">
        <w:t xml:space="preserve"> </w:t>
      </w:r>
      <w:r w:rsidR="00087835">
        <w:t xml:space="preserve">the agenda </w:t>
      </w:r>
      <w:r w:rsidR="00A93E57">
        <w:t xml:space="preserve">for the 2026 conference. </w:t>
      </w:r>
    </w:p>
    <w:p w:rsidR="00DA5BE1" w:rsidP="00434E33" w14:paraId="4B6CA0A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897932" w:rsidP="00897932" w14:paraId="21C6E9BE" w14:textId="159265E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0401B7">
        <w:t xml:space="preserve"> </w:t>
      </w:r>
      <w:r w:rsidR="003B2FC4">
        <w:t>While respondents are largely anticipated to be scientific researchers, any</w:t>
      </w:r>
      <w:r w:rsidR="000401B7">
        <w:t xml:space="preserve"> </w:t>
      </w:r>
      <w:r w:rsidR="003B2FC4">
        <w:t>attende</w:t>
      </w:r>
      <w:r w:rsidR="000401B7">
        <w:t xml:space="preserve">e may </w:t>
      </w:r>
      <w:r w:rsidR="003B2FC4">
        <w:t>submit</w:t>
      </w:r>
      <w:r w:rsidR="000401B7">
        <w:t xml:space="preserve"> </w:t>
      </w:r>
      <w:r w:rsidR="003B2FC4">
        <w:t>an abstract. Meeting attendees may include National Institutes of Health (NIH), National Science Foundation (NSF), Defense Advanced Research Projects Agency (DARPA), and Intelligence Advanced Research Projects Activity (IARPA)</w:t>
      </w:r>
      <w:r w:rsidR="000401B7">
        <w:t>, funded</w:t>
      </w:r>
      <w:r w:rsidR="003B2FC4">
        <w:t xml:space="preserve"> investigators and associated scientific staff (e.g., postdocs) from academic and private institutions around the country</w:t>
      </w:r>
      <w:r w:rsidR="000401B7">
        <w:t xml:space="preserve">. </w:t>
      </w:r>
    </w:p>
    <w:p w:rsidR="00E26329" w14:paraId="32B6762A" w14:textId="77777777">
      <w:pPr>
        <w:rPr>
          <w:b/>
        </w:rPr>
      </w:pPr>
    </w:p>
    <w:p w:rsidR="00F06866" w:rsidRPr="00DA7B4C" w14:paraId="1CDFF17E" w14:textId="4F45E27A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</w:t>
      </w:r>
      <w:r w:rsidR="00866406">
        <w:t xml:space="preserve"> all that apply</w:t>
      </w:r>
      <w:r w:rsidRPr="00DA7B4C">
        <w:t>)</w:t>
      </w:r>
    </w:p>
    <w:p w:rsidR="00441434" w:rsidRPr="00DA7B4C" w:rsidP="0096108F" w14:paraId="564026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P="0096108F" w14:paraId="76043C32" w14:textId="6A0B833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3B2FC4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bookmarkStart w:id="0" w:name="_Hlk116979181"/>
      <w:r w:rsidRPr="00DA7B4C">
        <w:rPr>
          <w:bCs/>
          <w:sz w:val="24"/>
        </w:rPr>
        <w:t>[ ]</w:t>
      </w:r>
      <w:r w:rsidRPr="00DA7B4C">
        <w:rPr>
          <w:bCs/>
          <w:sz w:val="24"/>
        </w:rPr>
        <w:t xml:space="preserve">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  <w:bookmarkEnd w:id="0"/>
    </w:p>
    <w:p w:rsidR="00C24C76" w:rsidRPr="00DA7B4C" w:rsidP="0096108F" w14:paraId="2A34C103" w14:textId="2562320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Challenges and Competition</w:t>
      </w:r>
      <w:r w:rsidR="00DA5BE1">
        <w:rPr>
          <w:bCs/>
          <w:sz w:val="24"/>
        </w:rPr>
        <w:t xml:space="preserve">                      </w:t>
      </w:r>
      <w:r w:rsidRPr="00DA5BE1" w:rsidR="00DA5BE1">
        <w:rPr>
          <w:bCs/>
          <w:sz w:val="24"/>
        </w:rPr>
        <w:t xml:space="preserve">[ ] </w:t>
      </w:r>
      <w:r w:rsidR="00DA5BE1">
        <w:rPr>
          <w:bCs/>
          <w:sz w:val="24"/>
        </w:rPr>
        <w:t>Form</w:t>
      </w:r>
    </w:p>
    <w:p w:rsidR="00F06866" w:rsidRPr="00F06866" w:rsidP="0096108F" w14:paraId="1B863371" w14:textId="4E50120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>
        <w:rPr>
          <w:bCs/>
          <w:sz w:val="24"/>
        </w:rPr>
        <w:t>[ ] Other:</w:t>
      </w:r>
      <w:r w:rsidRPr="00DA7B4C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DA5BE1" w:rsidP="00DA5BE1" w14:paraId="51B34E63" w14:textId="77777777">
      <w:pPr>
        <w:rPr>
          <w:b/>
        </w:rPr>
      </w:pPr>
    </w:p>
    <w:p w:rsidR="00DA5BE1" w:rsidRPr="00F06866" w:rsidP="00DA5BE1" w14:paraId="2689609C" w14:textId="2F6F08DA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DA5BE1" w:rsidRPr="00434E33" w:rsidP="00DA5BE1" w14:paraId="7F4C125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DA5BE1" w:rsidRPr="00F06866" w:rsidP="00DA5BE1" w14:paraId="2468935C" w14:textId="55A7AE8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B2FC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  <w:r w:rsidR="005D04F0">
        <w:rPr>
          <w:bCs/>
          <w:sz w:val="24"/>
        </w:rPr>
        <w:t xml:space="preserve">       </w:t>
      </w:r>
      <w:r w:rsidRPr="005D04F0" w:rsidR="005D04F0">
        <w:rPr>
          <w:bCs/>
          <w:sz w:val="24"/>
        </w:rPr>
        <w:t xml:space="preserve">[ ] </w:t>
      </w:r>
      <w:r w:rsidR="005D04F0">
        <w:rPr>
          <w:bCs/>
          <w:sz w:val="24"/>
        </w:rPr>
        <w:t xml:space="preserve"> Daily</w:t>
      </w:r>
    </w:p>
    <w:p w:rsidR="00DA5BE1" w:rsidP="00DA5BE1" w14:paraId="5AE9FEB8" w14:textId="783FF4B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  <w:r w:rsidR="005D04F0">
        <w:rPr>
          <w:bCs/>
          <w:sz w:val="24"/>
        </w:rPr>
        <w:t xml:space="preserve">   </w:t>
      </w:r>
      <w:r w:rsidRPr="005D04F0" w:rsidR="005D04F0">
        <w:rPr>
          <w:bCs/>
          <w:sz w:val="24"/>
        </w:rPr>
        <w:t>[</w:t>
      </w:r>
      <w:r w:rsidR="005D04F0">
        <w:rPr>
          <w:bCs/>
          <w:sz w:val="24"/>
        </w:rPr>
        <w:t xml:space="preserve"> </w:t>
      </w:r>
      <w:r w:rsidRPr="005D04F0" w:rsidR="005D04F0">
        <w:rPr>
          <w:bCs/>
          <w:sz w:val="24"/>
        </w:rPr>
        <w:t>]</w:t>
      </w:r>
      <w:r w:rsidR="005D04F0">
        <w:rPr>
          <w:bCs/>
          <w:sz w:val="24"/>
        </w:rPr>
        <w:t xml:space="preserve"> Weekly</w:t>
      </w:r>
    </w:p>
    <w:p w:rsidR="00DA5BE1" w:rsidP="00DA5BE1" w14:paraId="5DDDD1ED" w14:textId="1AB29376">
      <w:pPr>
        <w:pStyle w:val="Header"/>
        <w:tabs>
          <w:tab w:val="clear" w:pos="4320"/>
          <w:tab w:val="clear" w:pos="8640"/>
        </w:tabs>
      </w:pPr>
      <w:bookmarkStart w:id="1" w:name="_Hlk208835320"/>
      <w:r>
        <w:rPr>
          <w:bCs/>
        </w:rPr>
        <w:t>[ ]</w:t>
      </w:r>
      <w:r>
        <w:rPr>
          <w:bCs/>
        </w:rPr>
        <w:t xml:space="preserve"> Annually</w:t>
      </w:r>
      <w:bookmarkEnd w:id="1"/>
      <w:r>
        <w:rPr>
          <w:bCs/>
        </w:rPr>
        <w:t xml:space="preserve">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</w:t>
      </w:r>
      <w:r w:rsidR="005D04F0">
        <w:rPr>
          <w:bCs/>
        </w:rPr>
        <w:t xml:space="preserve">Biennially        </w:t>
      </w:r>
      <w:r w:rsidRPr="005D04F0" w:rsidR="005D04F0">
        <w:rPr>
          <w:bCs/>
        </w:rPr>
        <w:t xml:space="preserve">[ ] </w:t>
      </w:r>
      <w:r w:rsidR="005D04F0">
        <w:rPr>
          <w:bCs/>
        </w:rPr>
        <w:t>Semi-Annually</w:t>
      </w:r>
    </w:p>
    <w:p w:rsidR="00DA5BE1" w14:paraId="1A119048" w14:textId="77777777">
      <w:pPr>
        <w:rPr>
          <w:b/>
        </w:rPr>
      </w:pPr>
    </w:p>
    <w:p w:rsidR="00CA2650" w14:paraId="1926A402" w14:textId="6AB5523C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A6EAB47" w14:textId="77777777">
      <w:pPr>
        <w:rPr>
          <w:sz w:val="16"/>
          <w:szCs w:val="16"/>
        </w:rPr>
      </w:pPr>
    </w:p>
    <w:p w:rsidR="008101A5" w:rsidRPr="009C13B9" w:rsidP="008101A5" w14:paraId="02ADB8BC" w14:textId="77777777">
      <w:r>
        <w:t xml:space="preserve">I certify the following to be true: </w:t>
      </w:r>
    </w:p>
    <w:p w:rsidR="008101A5" w:rsidP="008101A5" w14:paraId="5D94B42D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CD0FED0" w14:textId="74AA22F4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EC6433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8CC4195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262245" w14:paraId="48B79C11" w14:textId="1AF28944">
      <w:pPr>
        <w:pStyle w:val="ColorfulList-Accent11"/>
        <w:ind w:left="0"/>
      </w:pPr>
      <w:r>
        <w:tab/>
      </w:r>
      <w:r>
        <w:tab/>
      </w:r>
    </w:p>
    <w:p w:rsidR="009C13B9" w:rsidP="009C13B9" w14:paraId="46EB2233" w14:textId="28C29FFA">
      <w:r>
        <w:t>Name:</w:t>
      </w:r>
      <w:r w:rsidR="00A63A90">
        <w:t xml:space="preserve"> </w:t>
      </w:r>
      <w:r w:rsidRPr="00A63A90" w:rsidR="00A63A90">
        <w:rPr>
          <w:u w:val="single"/>
        </w:rPr>
        <w:t>Gina Sampson, Office of the BRAIN Director, NINDS/NIH</w:t>
      </w:r>
    </w:p>
    <w:p w:rsidR="00654573" w:rsidP="009C13B9" w14:paraId="22A69D1E" w14:textId="77777777"/>
    <w:p w:rsidR="009C13B9" w:rsidP="009C13B9" w14:paraId="2117FE66" w14:textId="42345DD5">
      <w:r>
        <w:t xml:space="preserve">To </w:t>
      </w:r>
      <w:r>
        <w:t>assist</w:t>
      </w:r>
      <w:r>
        <w:t xml:space="preserve"> review, please provide answers to the following question:</w:t>
      </w:r>
    </w:p>
    <w:p w:rsidR="00BB2653" w:rsidP="00C86E91" w14:paraId="72245106" w14:textId="77777777">
      <w:pPr>
        <w:rPr>
          <w:b/>
        </w:rPr>
      </w:pPr>
    </w:p>
    <w:p w:rsidR="009C13B9" w:rsidRPr="00C86E91" w:rsidP="00C86E91" w14:paraId="54B357AA" w14:textId="69EADCC5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F37067F" w14:textId="5B5D8DE0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33BD2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C86E91" w:rsidP="00C86E91" w14:paraId="7D012BFF" w14:textId="158631D3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A33BD2">
        <w:t>X</w:t>
      </w:r>
      <w:r w:rsidR="009239AA">
        <w:t xml:space="preserve">]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536050" w:rsidP="00536050" w14:paraId="1F74A3BD" w14:textId="1EA6997B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E37A3B">
        <w:t>X</w:t>
      </w:r>
      <w:r>
        <w:t xml:space="preserve">] </w:t>
      </w:r>
      <w:r>
        <w:t>Yes  [</w:t>
      </w:r>
      <w:r>
        <w:t xml:space="preserve">  ] No</w:t>
      </w:r>
    </w:p>
    <w:p w:rsidR="00D244F9" w:rsidRPr="00522BCC" w:rsidP="00D244F9" w14:paraId="2C84E6E2" w14:textId="77777777">
      <w:pPr>
        <w:pStyle w:val="ListParagraph"/>
        <w:numPr>
          <w:ilvl w:val="0"/>
          <w:numId w:val="18"/>
        </w:numPr>
      </w:pPr>
      <w:r>
        <w:t>Privacy Act Systems of Records Title:</w:t>
      </w:r>
      <w:r w:rsidRPr="6BF860CB">
        <w:t>09-25-0156 Records of Participants in Programs and Respondents in Surveys Used to Evaluate Programs of Public Health Service _FR Citation 67_FR_60742</w:t>
      </w:r>
    </w:p>
    <w:p w:rsidR="00D244F9" w:rsidP="00C86E91" w14:paraId="787BF691" w14:textId="77777777">
      <w:pPr>
        <w:pStyle w:val="ColorfulList-Accent11"/>
        <w:ind w:left="0"/>
      </w:pPr>
    </w:p>
    <w:p w:rsidR="00C86E91" w:rsidRPr="00DA7B4C" w:rsidP="00C86E91" w14:paraId="2CDD3D38" w14:textId="385037DD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>
        <w:rPr>
          <w:b/>
        </w:rPr>
        <w:t>:</w:t>
      </w:r>
    </w:p>
    <w:p w:rsidR="00C86E91" w:rsidP="00C86E91" w14:paraId="3E825114" w14:textId="01A0648E">
      <w:r w:rsidRPr="00DA7B4C">
        <w:t xml:space="preserve">Is an incentive (e.g., money or reimbursement of expenses, token of appreciation) provided to participants?  </w:t>
      </w:r>
      <w:r w:rsidRPr="00DA7B4C">
        <w:t>[  ]</w:t>
      </w:r>
      <w:r w:rsidRPr="00DA7B4C">
        <w:t xml:space="preserve"> Yes [</w:t>
      </w:r>
      <w:r w:rsidR="00D244F9">
        <w:t>X</w:t>
      </w:r>
      <w:r w:rsidRPr="00DA7B4C">
        <w:t>] No</w:t>
      </w:r>
      <w:r>
        <w:t xml:space="preserve">  </w:t>
      </w:r>
    </w:p>
    <w:p w:rsidR="006A0D31" w:rsidP="006A0D31" w14:paraId="286D4DE6" w14:textId="710CCDDF">
      <w:r>
        <w:t xml:space="preserve">Amount: </w:t>
      </w:r>
      <w:r w:rsidR="008324FC">
        <w:t>NA</w:t>
      </w:r>
    </w:p>
    <w:p w:rsidR="006A0D31" w:rsidP="006A0D31" w14:paraId="04523E09" w14:textId="3A7232C3">
      <w:r>
        <w:t xml:space="preserve">Explanation for incentive: </w:t>
      </w:r>
      <w:r w:rsidR="009E3971">
        <w:t xml:space="preserve">NA </w:t>
      </w:r>
      <w:r>
        <w:t>(include number of visits, etc.)</w:t>
      </w:r>
    </w:p>
    <w:p w:rsidR="00F24CFC" w14:paraId="22F6E61E" w14:textId="77777777">
      <w:pPr>
        <w:rPr>
          <w:b/>
        </w:rPr>
      </w:pPr>
    </w:p>
    <w:p w:rsidR="006832D9" w:rsidRPr="00FF09D8" w:rsidP="00FF09D8" w14:paraId="57E9E0F2" w14:textId="7667534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7"/>
        <w:gridCol w:w="1980"/>
        <w:gridCol w:w="2250"/>
        <w:gridCol w:w="1620"/>
        <w:gridCol w:w="1260"/>
      </w:tblGrid>
      <w:tr w14:paraId="624AD154" w14:textId="77777777" w:rsidTr="006C7253">
        <w:tblPrEx>
          <w:tblW w:w="951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07" w:type="dxa"/>
          </w:tcPr>
          <w:p w:rsidR="003668D6" w:rsidRPr="002D26E2" w:rsidP="00C8488C" w14:paraId="426782B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180DDE4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3668D6" w:rsidRPr="002D26E2" w:rsidP="00843796" w14:paraId="6714133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083125C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6082269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C105C8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:rsidR="003668D6" w:rsidP="00843796" w14:paraId="1AB9AA4A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FC6A23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026B5281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407" w:type="dxa"/>
          </w:tcPr>
          <w:p w:rsidR="003668D6" w:rsidP="00843796" w14:paraId="6B4D752E" w14:textId="46B127FF">
            <w:r>
              <w:t>Individual</w:t>
            </w:r>
          </w:p>
        </w:tc>
        <w:tc>
          <w:tcPr>
            <w:tcW w:w="1980" w:type="dxa"/>
          </w:tcPr>
          <w:p w:rsidR="003668D6" w:rsidP="00843796" w14:paraId="1595549C" w14:textId="3704DC1F">
            <w:r>
              <w:t>400</w:t>
            </w:r>
          </w:p>
        </w:tc>
        <w:tc>
          <w:tcPr>
            <w:tcW w:w="2250" w:type="dxa"/>
          </w:tcPr>
          <w:p w:rsidR="003668D6" w:rsidP="00843796" w14:paraId="1CDB918E" w14:textId="507D531F">
            <w:r>
              <w:t>1</w:t>
            </w:r>
          </w:p>
        </w:tc>
        <w:tc>
          <w:tcPr>
            <w:tcW w:w="1620" w:type="dxa"/>
          </w:tcPr>
          <w:p w:rsidR="003668D6" w:rsidP="00843796" w14:paraId="2E6BC6DC" w14:textId="503DFBE7">
            <w:r>
              <w:t>60/60</w:t>
            </w:r>
          </w:p>
        </w:tc>
        <w:tc>
          <w:tcPr>
            <w:tcW w:w="1260" w:type="dxa"/>
          </w:tcPr>
          <w:p w:rsidR="003668D6" w:rsidP="00843796" w14:paraId="77B8AA54" w14:textId="159A1374">
            <w:r>
              <w:t>400</w:t>
            </w:r>
          </w:p>
        </w:tc>
      </w:tr>
      <w:tr w14:paraId="64C8F383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407" w:type="dxa"/>
          </w:tcPr>
          <w:p w:rsidR="003668D6" w:rsidP="00843796" w14:paraId="6A48C73F" w14:textId="77777777"/>
        </w:tc>
        <w:tc>
          <w:tcPr>
            <w:tcW w:w="1980" w:type="dxa"/>
          </w:tcPr>
          <w:p w:rsidR="003668D6" w:rsidP="00843796" w14:paraId="0510B86C" w14:textId="77777777"/>
        </w:tc>
        <w:tc>
          <w:tcPr>
            <w:tcW w:w="2250" w:type="dxa"/>
          </w:tcPr>
          <w:p w:rsidR="003668D6" w:rsidP="00843796" w14:paraId="6D7FCD5D" w14:textId="77777777"/>
        </w:tc>
        <w:tc>
          <w:tcPr>
            <w:tcW w:w="1620" w:type="dxa"/>
          </w:tcPr>
          <w:p w:rsidR="003668D6" w:rsidP="00843796" w14:paraId="5AF66996" w14:textId="77777777"/>
        </w:tc>
        <w:tc>
          <w:tcPr>
            <w:tcW w:w="1260" w:type="dxa"/>
          </w:tcPr>
          <w:p w:rsidR="003668D6" w:rsidP="00843796" w14:paraId="3A3D829F" w14:textId="77777777"/>
        </w:tc>
      </w:tr>
      <w:tr w14:paraId="3C89DE96" w14:textId="77777777" w:rsidTr="00042580">
        <w:tblPrEx>
          <w:tblW w:w="951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407" w:type="dxa"/>
          </w:tcPr>
          <w:p w:rsidR="003668D6" w:rsidRPr="002D26E2" w:rsidP="00843796" w14:paraId="0C32DC0F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:rsidR="003668D6" w:rsidRPr="002D26E2" w:rsidP="00843796" w14:paraId="1630DB6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3668D6" w:rsidP="00843796" w14:paraId="6B5DE1D8" w14:textId="655F2BA0">
            <w:r>
              <w:t>400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3668D6" w:rsidP="00843796" w14:paraId="0BAE1D19" w14:textId="77777777"/>
        </w:tc>
        <w:tc>
          <w:tcPr>
            <w:tcW w:w="1260" w:type="dxa"/>
          </w:tcPr>
          <w:p w:rsidR="003668D6" w:rsidRPr="002D26E2" w:rsidP="00843796" w14:paraId="319F04DA" w14:textId="74A42C95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F3170F" w:rsidP="00F3170F" w14:paraId="102CED99" w14:textId="3E0BE4C6"/>
    <w:p w:rsidR="009A036B" w:rsidRPr="00FF09D8" w:rsidP="009A036B" w14:paraId="26A3B68A" w14:textId="412D068F">
      <w:pPr>
        <w:rPr>
          <w:b/>
          <w:bCs/>
        </w:rPr>
      </w:pPr>
      <w:r w:rsidRPr="00EC6433">
        <w:rPr>
          <w:b/>
          <w:bCs/>
        </w:rPr>
        <w:t>COST TO RESPONDENT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1C36D4C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719E893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6A0244C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7415DC8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5B9735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368AC439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4967C9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64401E3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7E8D6593" w14:textId="0641433F">
            <w:r>
              <w:t>Individual</w:t>
            </w:r>
          </w:p>
        </w:tc>
        <w:tc>
          <w:tcPr>
            <w:tcW w:w="2250" w:type="dxa"/>
          </w:tcPr>
          <w:p w:rsidR="00CA2010" w:rsidRPr="009A036B" w:rsidP="009A036B" w14:paraId="117EBAB5" w14:textId="1DCEB2E9">
            <w:r>
              <w:t>400</w:t>
            </w:r>
          </w:p>
        </w:tc>
        <w:tc>
          <w:tcPr>
            <w:tcW w:w="2520" w:type="dxa"/>
          </w:tcPr>
          <w:p w:rsidR="00CA2010" w:rsidRPr="009A036B" w:rsidP="009A036B" w14:paraId="45CD606F" w14:textId="59026549">
            <w:r>
              <w:t>$48.29</w:t>
            </w:r>
          </w:p>
        </w:tc>
        <w:tc>
          <w:tcPr>
            <w:tcW w:w="1620" w:type="dxa"/>
          </w:tcPr>
          <w:p w:rsidR="00CA2010" w:rsidRPr="009A036B" w:rsidP="009A036B" w14:paraId="72F96261" w14:textId="63179F2A">
            <w:r>
              <w:t>$19,316.00</w:t>
            </w:r>
          </w:p>
        </w:tc>
      </w:tr>
      <w:tr w14:paraId="493C4CB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0AD340DB" w14:textId="77777777"/>
        </w:tc>
        <w:tc>
          <w:tcPr>
            <w:tcW w:w="2250" w:type="dxa"/>
          </w:tcPr>
          <w:p w:rsidR="00CA2010" w:rsidRPr="009A036B" w:rsidP="009A036B" w14:paraId="656BB91E" w14:textId="77777777"/>
        </w:tc>
        <w:tc>
          <w:tcPr>
            <w:tcW w:w="2520" w:type="dxa"/>
          </w:tcPr>
          <w:p w:rsidR="00CA2010" w:rsidRPr="009A036B" w:rsidP="009A036B" w14:paraId="70A9B080" w14:textId="77777777"/>
        </w:tc>
        <w:tc>
          <w:tcPr>
            <w:tcW w:w="1620" w:type="dxa"/>
          </w:tcPr>
          <w:p w:rsidR="00CA2010" w:rsidRPr="009A036B" w:rsidP="009A036B" w14:paraId="38E52153" w14:textId="77777777"/>
        </w:tc>
      </w:tr>
      <w:tr w14:paraId="2B4C1E82" w14:textId="77777777" w:rsidTr="0004258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F84D3B" w:rsidRPr="009A036B" w:rsidP="00F84D3B" w14:paraId="2956C61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F84D3B" w:rsidRPr="009A036B" w:rsidP="00F84D3B" w14:paraId="00FB4000" w14:textId="04F73338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2520" w:type="dxa"/>
            <w:shd w:val="clear" w:color="auto" w:fill="7F7F7F" w:themeFill="text1" w:themeFillTint="80"/>
          </w:tcPr>
          <w:p w:rsidR="00F84D3B" w:rsidRPr="009A036B" w:rsidP="00F84D3B" w14:paraId="41D2DDF9" w14:textId="77777777"/>
        </w:tc>
        <w:tc>
          <w:tcPr>
            <w:tcW w:w="1620" w:type="dxa"/>
          </w:tcPr>
          <w:p w:rsidR="00F84D3B" w:rsidRPr="00F84D3B" w:rsidP="00F84D3B" w14:paraId="519A661C" w14:textId="3265F8A6">
            <w:pPr>
              <w:rPr>
                <w:b/>
                <w:bCs/>
              </w:rPr>
            </w:pPr>
            <w:r w:rsidRPr="00F84D3B">
              <w:rPr>
                <w:b/>
                <w:bCs/>
              </w:rPr>
              <w:t>$19,316.00</w:t>
            </w:r>
          </w:p>
        </w:tc>
      </w:tr>
    </w:tbl>
    <w:p w:rsidR="00B07E71" w:rsidRPr="00522BCC" w:rsidP="00B07E71" w14:paraId="70185472" w14:textId="60FF27EC">
      <w:r>
        <w:t>*Source</w:t>
      </w:r>
      <w:bookmarkStart w:id="2" w:name="_Hlk114654375"/>
      <w:r>
        <w:t xml:space="preserve">: Hourly wage rate for 19-1029 Biological Scientist is </w:t>
      </w:r>
      <w:r w:rsidRPr="6BF860CB">
        <w:t xml:space="preserve">$48.29 (based on May 2024 </w:t>
      </w:r>
      <w:hyperlink r:id="rId8" w:anchor="/industry/000000">
        <w:r w:rsidRPr="6BF860CB">
          <w:rPr>
            <w:rStyle w:val="Hyperlink"/>
            <w:rFonts w:ascii="Calibri" w:eastAsia="Calibri" w:hAnsi="Calibri" w:cs="Calibri"/>
            <w:sz w:val="22"/>
            <w:szCs w:val="22"/>
          </w:rPr>
          <w:t>Occupational Employment and Wage Statistics</w:t>
        </w:r>
        <w:r w:rsidRPr="6BF860CB">
          <w:rPr>
            <w:rStyle w:val="Hyperlink"/>
            <w:rFonts w:ascii="Calibri" w:eastAsia="Calibri" w:hAnsi="Calibri" w:cs="Calibri"/>
            <w:color w:val="auto"/>
            <w:sz w:val="22"/>
            <w:szCs w:val="22"/>
            <w:u w:val="none"/>
          </w:rPr>
          <w:t>)</w:t>
        </w:r>
      </w:hyperlink>
      <w:bookmarkEnd w:id="2"/>
    </w:p>
    <w:p w:rsidR="009A036B" w:rsidP="00F3170F" w14:paraId="538701AB" w14:textId="77777777"/>
    <w:p w:rsidR="00DB3B69" w:rsidRPr="009A036B" w:rsidP="009A036B" w14:paraId="127630A9" w14:textId="56A31EA7">
      <w:r>
        <w:rPr>
          <w:b/>
        </w:rPr>
        <w:t xml:space="preserve">FEDERAL </w:t>
      </w:r>
      <w:r w:rsidR="009F5923">
        <w:rPr>
          <w:b/>
        </w:rPr>
        <w:t>COST</w:t>
      </w:r>
      <w:r w:rsidR="00E85AB1">
        <w:rPr>
          <w:b/>
        </w:rPr>
        <w:t>: The</w:t>
      </w:r>
      <w:r w:rsidR="00C86E91">
        <w:t xml:space="preserve"> estimated annual cost to the Federal government is </w:t>
      </w:r>
      <w:r w:rsidR="00F84D3B">
        <w:t>$3</w:t>
      </w:r>
      <w:r w:rsidR="00E85AB1">
        <w:t>,022.</w:t>
      </w:r>
      <w:r w:rsidR="00336B3E">
        <w:t>3</w:t>
      </w:r>
      <w:r w:rsidR="00E85AB1">
        <w:t>5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08"/>
        <w:gridCol w:w="1416"/>
        <w:gridCol w:w="1363"/>
        <w:gridCol w:w="1336"/>
        <w:gridCol w:w="1266"/>
      </w:tblGrid>
      <w:tr w14:paraId="582DA28A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5A82DE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036B" w:rsidRPr="009A036B" w:rsidP="009A036B" w14:paraId="7FF6D474" w14:textId="77777777">
            <w:pPr>
              <w:rPr>
                <w:b/>
                <w:bCs/>
              </w:rPr>
            </w:pPr>
          </w:p>
          <w:p w:rsidR="009A036B" w:rsidRPr="009A036B" w:rsidP="009A036B" w14:paraId="3B4173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908583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02DBE2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FDE" w:rsidP="009A036B" w14:paraId="65F33DDB" w14:textId="77777777">
            <w:pPr>
              <w:rPr>
                <w:b/>
                <w:bCs/>
              </w:rPr>
            </w:pPr>
          </w:p>
          <w:p w:rsidR="009A036B" w:rsidRPr="009A036B" w:rsidP="009A036B" w14:paraId="65E5B005" w14:textId="64FD56A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FDE" w:rsidP="009A036B" w14:paraId="6746C5A3" w14:textId="77777777">
            <w:pPr>
              <w:rPr>
                <w:b/>
                <w:bCs/>
              </w:rPr>
            </w:pPr>
          </w:p>
          <w:p w:rsidR="009A036B" w:rsidRPr="009A036B" w:rsidP="009A036B" w14:paraId="379E8A55" w14:textId="3F98E2EF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3B912B43" w14:textId="77777777" w:rsidTr="008419F9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58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C162C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A036B" w:rsidRPr="009A036B" w:rsidP="009A036B" w14:paraId="3AF7FDB5" w14:textId="77777777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CCDB2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C011FB3" w14:textId="77777777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2229BB0B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A036B" w:rsidRPr="009A036B" w:rsidP="009A036B" w14:paraId="35F9647F" w14:textId="77777777"/>
        </w:tc>
      </w:tr>
      <w:tr w14:paraId="25C028E9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4B357BFC" w14:textId="64B0AB59">
            <w:r w:rsidRPr="00A022AB">
              <w:t>Public Affairs Specialist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5DE259CC" w14:textId="68AA6A25">
            <w:r>
              <w:t>13/10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4F9BCC7D" w14:textId="2785E00E">
            <w:r>
              <w:t>$158,3</w:t>
            </w:r>
            <w:r w:rsidR="00336B3E">
              <w:t>2</w:t>
            </w:r>
            <w:r>
              <w:t>2.00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2700A809" w14:textId="40D91B0F">
            <w:r>
              <w:t>1%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5F3B25D4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7B271792" w14:textId="250D0B06">
            <w:r>
              <w:t>$1,583.</w:t>
            </w:r>
            <w:r w:rsidR="00336B3E">
              <w:t>2</w:t>
            </w:r>
            <w:r>
              <w:t>2</w:t>
            </w:r>
          </w:p>
        </w:tc>
      </w:tr>
      <w:tr w14:paraId="19277495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57EE49A3" w14:textId="63EFF087">
            <w:r>
              <w:t>Science Advisor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6B8BC7A1" w14:textId="06EB6255">
            <w:r>
              <w:t>14/1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6C766E63" w14:textId="0F2810F4">
            <w:r>
              <w:t>$143,913.00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1675B265" w14:textId="0F1F0B5A">
            <w:r>
              <w:t>1%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3C498BDB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6C872F1E" w14:textId="1148C18F">
            <w:r>
              <w:t>$1,439.13</w:t>
            </w:r>
          </w:p>
        </w:tc>
      </w:tr>
      <w:tr w14:paraId="4C39CBFD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19B03426" w14:textId="77777777"/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17CD5C3D" w14:textId="77777777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3C58601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256BE4BF" w14:textId="77777777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37332D4F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415DF2D6" w14:textId="77777777"/>
        </w:tc>
      </w:tr>
      <w:tr w14:paraId="51B233E7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6053975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01E24DDD" w14:textId="77777777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61D1B58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452EF11D" w14:textId="77777777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34E4BEED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467D5853" w14:textId="7CCCFE76">
            <w:r>
              <w:t>$0.00</w:t>
            </w:r>
          </w:p>
        </w:tc>
      </w:tr>
      <w:tr w14:paraId="1D69FBB3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3C7E1742" w14:textId="77777777"/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4C4F1FDC" w14:textId="77777777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12860F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3C0B37B2" w14:textId="77777777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156472BF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4992BD03" w14:textId="77777777"/>
        </w:tc>
      </w:tr>
      <w:tr w14:paraId="22891F37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05E9D32E" w14:textId="7305B447">
            <w:r>
              <w:t>Overhead/Supplies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76573452" w14:textId="77777777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0A7F18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48E99F7D" w14:textId="77777777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45986A02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0327A247" w14:textId="77777777"/>
        </w:tc>
      </w:tr>
      <w:tr w14:paraId="3D71AAD6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017F34EA" w14:textId="77777777">
            <w:r w:rsidRPr="009A036B">
              <w:t>Other Cost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081D9468" w14:textId="77777777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71D3116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494E9309" w14:textId="77777777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666BABF1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4BB01710" w14:textId="77777777"/>
        </w:tc>
      </w:tr>
      <w:tr w14:paraId="5AB54D7E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935" w:rsidRPr="009A036B" w:rsidP="007F1935" w14:paraId="4CB3AE68" w14:textId="77777777">
            <w:pPr>
              <w:rPr>
                <w:bCs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24369D61" w14:textId="77777777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935" w:rsidRPr="009A036B" w:rsidP="007F1935" w14:paraId="5E4064A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935" w:rsidRPr="009A036B" w:rsidP="007F1935" w14:paraId="676279BD" w14:textId="77777777">
            <w:pPr>
              <w:rPr>
                <w:b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F1935" w:rsidRPr="009A036B" w:rsidP="007F1935" w14:paraId="47E53967" w14:textId="77777777">
            <w:pPr>
              <w:rPr>
                <w:b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1935" w:rsidRPr="009A036B" w:rsidP="007F1935" w14:paraId="3FD7F3EB" w14:textId="6314C096">
            <w:pPr>
              <w:rPr>
                <w:b/>
              </w:rPr>
            </w:pPr>
            <w:r w:rsidRPr="00BF1FE1">
              <w:rPr>
                <w:b/>
                <w:bCs/>
              </w:rPr>
              <w:t>$3,022.</w:t>
            </w:r>
            <w:r w:rsidR="00336B3E">
              <w:rPr>
                <w:b/>
                <w:bCs/>
              </w:rPr>
              <w:t>3</w:t>
            </w:r>
            <w:r w:rsidRPr="00BF1FE1">
              <w:rPr>
                <w:b/>
                <w:bCs/>
              </w:rPr>
              <w:t>5</w:t>
            </w:r>
          </w:p>
        </w:tc>
      </w:tr>
      <w:tr w14:paraId="21892A92" w14:textId="77777777" w:rsidTr="0026224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935" w:rsidRPr="001B67B8" w:rsidP="007F1935" w14:paraId="786AD3C8" w14:textId="13211EE3">
            <w:pPr>
              <w:rPr>
                <w:b/>
                <w:bCs/>
              </w:rPr>
            </w:pPr>
            <w:r w:rsidRPr="001B67B8">
              <w:rPr>
                <w:b/>
                <w:bCs/>
              </w:rPr>
              <w:t>Total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F1935" w:rsidRPr="009A036B" w:rsidP="007F1935" w14:paraId="354B86E9" w14:textId="77777777"/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935" w:rsidRPr="009A036B" w:rsidP="007F1935" w14:paraId="2D8357CF" w14:textId="77777777"/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1935" w:rsidRPr="009A036B" w:rsidP="007F1935" w14:paraId="22CC7EC3" w14:textId="77777777"/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F1935" w:rsidRPr="009A036B" w:rsidP="007F1935" w14:paraId="1A27BB29" w14:textId="77777777"/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F1935" w:rsidRPr="009A036B" w:rsidP="007F1935" w14:paraId="0143CFD7" w14:textId="77777777"/>
        </w:tc>
      </w:tr>
      <w:tr w14:paraId="7713480E" w14:textId="77777777" w:rsidTr="007F193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2245" w:rsidRPr="001B67B8" w:rsidP="007F1935" w14:paraId="495BDFE0" w14:textId="77777777">
            <w:pPr>
              <w:rPr>
                <w:b/>
                <w:bCs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2245" w:rsidRPr="009A036B" w:rsidP="007F1935" w14:paraId="64A8654C" w14:textId="77777777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2245" w:rsidRPr="009A036B" w:rsidP="007F1935" w14:paraId="2B42F5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2245" w:rsidRPr="009A036B" w:rsidP="007F1935" w14:paraId="42BF7812" w14:textId="77777777"/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2245" w:rsidRPr="009A036B" w:rsidP="007F1935" w14:paraId="466E128C" w14:textId="77777777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62245" w:rsidRPr="009A036B" w:rsidP="007F1935" w14:paraId="07CA4DB2" w14:textId="77777777"/>
        </w:tc>
      </w:tr>
    </w:tbl>
    <w:p w:rsidR="00262245" w:rsidRPr="00522BCC" w:rsidP="00262245" w14:paraId="531D5E86" w14:textId="77777777">
      <w:pPr>
        <w:rPr>
          <w:sz w:val="18"/>
          <w:szCs w:val="18"/>
        </w:rPr>
      </w:pPr>
      <w:r>
        <w:t>*T</w:t>
      </w:r>
      <w:r w:rsidRPr="6BF860CB">
        <w:rPr>
          <w:sz w:val="18"/>
          <w:szCs w:val="18"/>
        </w:rPr>
        <w:t>he</w:t>
      </w:r>
      <w:r>
        <w:t xml:space="preserve"> </w:t>
      </w:r>
      <w:r w:rsidRPr="6BF860CB">
        <w:rPr>
          <w:sz w:val="18"/>
          <w:szCs w:val="18"/>
        </w:rPr>
        <w:t xml:space="preserve">Salary in </w:t>
      </w:r>
      <w:r>
        <w:rPr>
          <w:sz w:val="18"/>
          <w:szCs w:val="18"/>
        </w:rPr>
        <w:t xml:space="preserve">the </w:t>
      </w:r>
      <w:r w:rsidRPr="6BF860CB">
        <w:rPr>
          <w:sz w:val="18"/>
          <w:szCs w:val="18"/>
        </w:rPr>
        <w:t xml:space="preserve">table above is cited from: </w:t>
      </w:r>
      <w:hyperlink r:id="rId9">
        <w:r w:rsidRPr="6BF860CB">
          <w:rPr>
            <w:rStyle w:val="Hyperlink"/>
            <w:sz w:val="18"/>
            <w:szCs w:val="18"/>
          </w:rPr>
          <w:t>SALARY TABLE 2026-DCB</w:t>
        </w:r>
      </w:hyperlink>
    </w:p>
    <w:p w:rsidR="00262245" w:rsidP="00295E02" w14:paraId="73A16827" w14:textId="77777777"/>
    <w:p w:rsidR="00536050" w:rsidP="00536050" w14:paraId="386F8CA4" w14:textId="57F1A00D">
      <w:pPr>
        <w:rPr>
          <w:b/>
          <w:sz w:val="18"/>
          <w:szCs w:val="18"/>
        </w:rPr>
      </w:pPr>
    </w:p>
    <w:p w:rsidR="00E115B0" w:rsidP="00536050" w14:paraId="194AE74B" w14:textId="77777777">
      <w:pPr>
        <w:rPr>
          <w:b/>
          <w:sz w:val="18"/>
          <w:szCs w:val="18"/>
        </w:rPr>
      </w:pPr>
    </w:p>
    <w:p w:rsidR="00E115B0" w:rsidP="00536050" w14:paraId="04E2F6B5" w14:textId="77777777">
      <w:pPr>
        <w:rPr>
          <w:b/>
          <w:sz w:val="18"/>
          <w:szCs w:val="18"/>
        </w:rPr>
      </w:pPr>
    </w:p>
    <w:p w:rsidR="00E115B0" w:rsidP="00536050" w14:paraId="505D455D" w14:textId="77777777">
      <w:pPr>
        <w:rPr>
          <w:b/>
          <w:sz w:val="18"/>
          <w:szCs w:val="18"/>
        </w:rPr>
      </w:pPr>
    </w:p>
    <w:p w:rsidR="00E115B0" w:rsidP="00536050" w14:paraId="61B351D3" w14:textId="77777777">
      <w:pPr>
        <w:rPr>
          <w:b/>
          <w:sz w:val="18"/>
          <w:szCs w:val="18"/>
        </w:rPr>
      </w:pPr>
    </w:p>
    <w:p w:rsidR="00E115B0" w:rsidRPr="00897B4E" w:rsidP="00536050" w14:paraId="1E5B05AB" w14:textId="77777777">
      <w:pPr>
        <w:rPr>
          <w:b/>
          <w:sz w:val="18"/>
          <w:szCs w:val="18"/>
        </w:rPr>
      </w:pPr>
    </w:p>
    <w:p w:rsidR="0069403B" w:rsidP="00F06866" w14:paraId="5FF9991A" w14:textId="77777777">
      <w:pPr>
        <w:rPr>
          <w:b/>
        </w:rPr>
      </w:pPr>
    </w:p>
    <w:p w:rsidR="00F06866" w:rsidP="00F06866" w14:paraId="0573529A" w14:textId="13821209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  <w:r w:rsidR="00CC48DF">
        <w:rPr>
          <w:b/>
        </w:rPr>
        <w:t xml:space="preserve"> </w:t>
      </w:r>
    </w:p>
    <w:p w:rsidR="0069403B" w:rsidRPr="00DA7B4C" w:rsidP="0069403B" w14:paraId="34349924" w14:textId="27D1585D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>
        <w:t>[</w:t>
      </w:r>
      <w:r w:rsidR="001D60A7">
        <w:t>X</w:t>
      </w:r>
      <w:r w:rsidRPr="00DA7B4C">
        <w:t>] Yes</w:t>
      </w:r>
      <w:r w:rsidRPr="00DA7B4C">
        <w:tab/>
      </w:r>
      <w:r w:rsidRPr="00DA7B4C">
        <w:t>[ ]</w:t>
      </w:r>
      <w:r w:rsidRPr="00DA7B4C">
        <w:t xml:space="preserve"> No</w:t>
      </w:r>
      <w:r w:rsidR="00562BB8">
        <w:t xml:space="preserve"> [ ] Not Applicable</w:t>
      </w:r>
    </w:p>
    <w:p w:rsidR="00636621" w:rsidP="00636621" w14:paraId="60E3C095" w14:textId="77777777">
      <w:pPr>
        <w:pStyle w:val="ColorfulList-Accent11"/>
      </w:pPr>
    </w:p>
    <w:p w:rsidR="00636621" w:rsidP="001B0AAA" w14:paraId="1C60116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54573" w:rsidP="00654573" w14:paraId="15B8A7BF" w14:textId="77777777"/>
    <w:p w:rsidR="00654573" w:rsidP="00654573" w14:paraId="223CA53E" w14:textId="47E77678">
      <w:r>
        <w:t xml:space="preserve">Abstract submissions will be solicited via a combination of targeted emails to attendees of the previous meeting (in 2024) and postings on the </w:t>
      </w:r>
      <w:hyperlink r:id="rId10">
        <w:r w:rsidRPr="6BF860CB">
          <w:rPr>
            <w:rStyle w:val="Hyperlink"/>
          </w:rPr>
          <w:t>BRAIN Initiative Events website</w:t>
        </w:r>
      </w:hyperlink>
      <w:r>
        <w:t>. For the 2024 meeting, we received about 400 submissions, and we anticipate a similar number of responses for the 2026 meeting.</w:t>
      </w:r>
    </w:p>
    <w:p w:rsidR="00654573" w:rsidP="001B0AAA" w14:paraId="30AAC462" w14:textId="77777777"/>
    <w:p w:rsidR="00A403BB" w:rsidP="00A403BB" w14:paraId="13F822E1" w14:textId="77777777"/>
    <w:p w:rsidR="00A403BB" w:rsidRPr="00DA7B4C" w:rsidP="00A403BB" w14:paraId="315ED15B" w14:textId="77777777">
      <w:pPr>
        <w:rPr>
          <w:b/>
        </w:rPr>
      </w:pPr>
      <w:r w:rsidRPr="00DA7B4C">
        <w:rPr>
          <w:b/>
        </w:rPr>
        <w:t>Administration of the Instrument</w:t>
      </w:r>
    </w:p>
    <w:p w:rsidR="00A403BB" w:rsidRPr="00DA7B4C" w:rsidP="00A403BB" w14:paraId="1D924BB4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>
        <w:t>ow will you collect the information? (Check all that apply)</w:t>
      </w:r>
    </w:p>
    <w:p w:rsidR="001B0AAA" w:rsidRPr="00DA7B4C" w:rsidP="001B0AAA" w14:paraId="106F0259" w14:textId="24F39523">
      <w:pPr>
        <w:ind w:left="720"/>
      </w:pPr>
      <w:r w:rsidRPr="00DA7B4C">
        <w:t>[</w:t>
      </w:r>
      <w:r w:rsidR="00654573">
        <w:t>X</w:t>
      </w:r>
      <w:r w:rsidRPr="00DA7B4C">
        <w:t>] Web-based</w:t>
      </w:r>
      <w:r w:rsidRPr="00DA7B4C">
        <w:t xml:space="preserve"> or other forms of </w:t>
      </w:r>
      <w:r w:rsidRPr="00DA7B4C">
        <w:t>Social Media</w:t>
      </w:r>
      <w:r w:rsidRPr="00DA7B4C">
        <w:t xml:space="preserve"> </w:t>
      </w:r>
    </w:p>
    <w:p w:rsidR="001B0AAA" w:rsidRPr="00DA7B4C" w:rsidP="001B0AAA" w14:paraId="0DB9CE87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</w:t>
      </w:r>
      <w:r w:rsidRPr="00DA7B4C">
        <w:t xml:space="preserve"> Telephone</w:t>
      </w:r>
      <w:r w:rsidRPr="00DA7B4C">
        <w:tab/>
      </w:r>
    </w:p>
    <w:p w:rsidR="001B0AAA" w:rsidRPr="00DA7B4C" w:rsidP="001B0AAA" w14:paraId="2C34BB61" w14:textId="77777777">
      <w:pPr>
        <w:ind w:left="720"/>
      </w:pPr>
      <w:r w:rsidRPr="00DA7B4C">
        <w:t>[</w:t>
      </w:r>
      <w:r w:rsidRPr="00DA7B4C">
        <w:t xml:space="preserve"> </w:t>
      </w:r>
      <w:r w:rsidRPr="00DA7B4C">
        <w:t xml:space="preserve"> ]</w:t>
      </w:r>
      <w:r w:rsidRPr="00DA7B4C">
        <w:t xml:space="preserve"> In-person</w:t>
      </w:r>
      <w:r w:rsidRPr="00DA7B4C">
        <w:tab/>
      </w:r>
    </w:p>
    <w:p w:rsidR="001B0AAA" w:rsidRPr="00DA7B4C" w:rsidP="001B0AAA" w14:paraId="7E0543C3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</w:t>
      </w:r>
      <w:r w:rsidRPr="00DA7B4C">
        <w:t xml:space="preserve"> Mail</w:t>
      </w:r>
      <w:r w:rsidRPr="00DA7B4C">
        <w:t xml:space="preserve"> </w:t>
      </w:r>
    </w:p>
    <w:p w:rsidR="000752F7" w:rsidRPr="00DA7B4C" w:rsidP="001B0AAA" w14:paraId="2B0593A4" w14:textId="77777777">
      <w:pPr>
        <w:ind w:left="720"/>
      </w:pPr>
      <w:r w:rsidRPr="00DA7B4C">
        <w:t>[  ]</w:t>
      </w:r>
      <w:r w:rsidRPr="00DA7B4C">
        <w:t xml:space="preserve"> Survey form</w:t>
      </w:r>
    </w:p>
    <w:p w:rsidR="006A0D31" w:rsidRPr="00DA7B4C" w:rsidP="001B0AAA" w14:paraId="0FFDC18A" w14:textId="77777777">
      <w:pPr>
        <w:ind w:left="720"/>
      </w:pPr>
      <w:r w:rsidRPr="00DA7B4C">
        <w:t>[  ]</w:t>
      </w:r>
      <w:r w:rsidRPr="00DA7B4C">
        <w:t xml:space="preserve"> Chart Abstraction</w:t>
      </w:r>
    </w:p>
    <w:p w:rsidR="001B0AAA" w:rsidRPr="00DA7B4C" w:rsidP="001B0AAA" w14:paraId="14F67F23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</w:t>
      </w:r>
      <w:r w:rsidRPr="00DA7B4C">
        <w:t xml:space="preserve"> Other, Explain</w:t>
      </w:r>
    </w:p>
    <w:p w:rsidR="006A0D31" w:rsidRPr="00DA7B4C" w:rsidP="001B0AAA" w14:paraId="4F781770" w14:textId="77777777">
      <w:pPr>
        <w:ind w:left="720"/>
      </w:pPr>
    </w:p>
    <w:p w:rsidR="00F24CFC" w:rsidRPr="00DA7B4C" w:rsidP="00F24CFC" w14:paraId="4D280698" w14:textId="11F41EB9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r w:rsidRPr="00DA7B4C">
        <w:t>[  ]</w:t>
      </w:r>
      <w:r w:rsidRPr="00DA7B4C">
        <w:t xml:space="preserve"> Yes [</w:t>
      </w:r>
      <w:r w:rsidR="00654573">
        <w:t>X</w:t>
      </w:r>
      <w:r w:rsidRPr="00DA7B4C">
        <w:t>] No</w:t>
      </w:r>
    </w:p>
    <w:p w:rsidR="00F24CFC" w:rsidRPr="00DA7B4C" w:rsidP="00F24CFC" w14:paraId="1391C612" w14:textId="77777777">
      <w:pPr>
        <w:pStyle w:val="ColorfulList-Accent11"/>
        <w:ind w:left="360"/>
      </w:pPr>
      <w:r w:rsidRPr="00DA7B4C">
        <w:t xml:space="preserve"> </w:t>
      </w:r>
    </w:p>
    <w:sectPr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05624EF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2ED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4840513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865939">
    <w:abstractNumId w:val="11"/>
  </w:num>
  <w:num w:numId="2" w16cid:durableId="505555963">
    <w:abstractNumId w:val="17"/>
  </w:num>
  <w:num w:numId="3" w16cid:durableId="1049495061">
    <w:abstractNumId w:val="16"/>
  </w:num>
  <w:num w:numId="4" w16cid:durableId="159271416">
    <w:abstractNumId w:val="18"/>
  </w:num>
  <w:num w:numId="5" w16cid:durableId="350452756">
    <w:abstractNumId w:val="4"/>
  </w:num>
  <w:num w:numId="6" w16cid:durableId="1042286226">
    <w:abstractNumId w:val="2"/>
  </w:num>
  <w:num w:numId="7" w16cid:durableId="201601794">
    <w:abstractNumId w:val="9"/>
  </w:num>
  <w:num w:numId="8" w16cid:durableId="1391004729">
    <w:abstractNumId w:val="14"/>
  </w:num>
  <w:num w:numId="9" w16cid:durableId="1281187308">
    <w:abstractNumId w:val="10"/>
  </w:num>
  <w:num w:numId="10" w16cid:durableId="1457723558">
    <w:abstractNumId w:val="3"/>
  </w:num>
  <w:num w:numId="11" w16cid:durableId="1277559171">
    <w:abstractNumId w:val="7"/>
  </w:num>
  <w:num w:numId="12" w16cid:durableId="598831105">
    <w:abstractNumId w:val="8"/>
  </w:num>
  <w:num w:numId="13" w16cid:durableId="704713018">
    <w:abstractNumId w:val="1"/>
  </w:num>
  <w:num w:numId="14" w16cid:durableId="252518362">
    <w:abstractNumId w:val="15"/>
  </w:num>
  <w:num w:numId="15" w16cid:durableId="1514418740">
    <w:abstractNumId w:val="13"/>
  </w:num>
  <w:num w:numId="16" w16cid:durableId="1729647699">
    <w:abstractNumId w:val="12"/>
  </w:num>
  <w:num w:numId="17" w16cid:durableId="115951965">
    <w:abstractNumId w:val="5"/>
  </w:num>
  <w:num w:numId="18" w16cid:durableId="1047950100">
    <w:abstractNumId w:val="6"/>
  </w:num>
  <w:num w:numId="19" w16cid:durableId="65865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19DA"/>
    <w:rsid w:val="000401B7"/>
    <w:rsid w:val="00042580"/>
    <w:rsid w:val="00042857"/>
    <w:rsid w:val="00047A64"/>
    <w:rsid w:val="00067329"/>
    <w:rsid w:val="000722CE"/>
    <w:rsid w:val="000752F7"/>
    <w:rsid w:val="00087835"/>
    <w:rsid w:val="000913EC"/>
    <w:rsid w:val="000B0BCC"/>
    <w:rsid w:val="000B2838"/>
    <w:rsid w:val="000D44CA"/>
    <w:rsid w:val="000E200B"/>
    <w:rsid w:val="000F13CA"/>
    <w:rsid w:val="000F68BE"/>
    <w:rsid w:val="00127370"/>
    <w:rsid w:val="00143F08"/>
    <w:rsid w:val="001609C8"/>
    <w:rsid w:val="00162F83"/>
    <w:rsid w:val="001855D1"/>
    <w:rsid w:val="001927A4"/>
    <w:rsid w:val="00194AC6"/>
    <w:rsid w:val="001A23B0"/>
    <w:rsid w:val="001A25CC"/>
    <w:rsid w:val="001B0AAA"/>
    <w:rsid w:val="001B67B8"/>
    <w:rsid w:val="001C39F7"/>
    <w:rsid w:val="001C516E"/>
    <w:rsid w:val="001D60A7"/>
    <w:rsid w:val="00200299"/>
    <w:rsid w:val="002036F9"/>
    <w:rsid w:val="00230C45"/>
    <w:rsid w:val="00237B48"/>
    <w:rsid w:val="0024521E"/>
    <w:rsid w:val="00262245"/>
    <w:rsid w:val="00263C3D"/>
    <w:rsid w:val="00266E8E"/>
    <w:rsid w:val="00274D0B"/>
    <w:rsid w:val="00276C3D"/>
    <w:rsid w:val="00284110"/>
    <w:rsid w:val="002926DE"/>
    <w:rsid w:val="00295E02"/>
    <w:rsid w:val="002B3C95"/>
    <w:rsid w:val="002B6DEC"/>
    <w:rsid w:val="002D0B92"/>
    <w:rsid w:val="002D26E2"/>
    <w:rsid w:val="002D36CE"/>
    <w:rsid w:val="00336B3E"/>
    <w:rsid w:val="003668D6"/>
    <w:rsid w:val="003733E5"/>
    <w:rsid w:val="00382FD8"/>
    <w:rsid w:val="003927C6"/>
    <w:rsid w:val="003A7074"/>
    <w:rsid w:val="003B2FC4"/>
    <w:rsid w:val="003C6842"/>
    <w:rsid w:val="003D5BBE"/>
    <w:rsid w:val="003E3C61"/>
    <w:rsid w:val="003F1C5B"/>
    <w:rsid w:val="004039D0"/>
    <w:rsid w:val="004129AC"/>
    <w:rsid w:val="00431E4F"/>
    <w:rsid w:val="00431EB1"/>
    <w:rsid w:val="00434E33"/>
    <w:rsid w:val="00441434"/>
    <w:rsid w:val="004421B0"/>
    <w:rsid w:val="0045264C"/>
    <w:rsid w:val="004876EC"/>
    <w:rsid w:val="004B2C8B"/>
    <w:rsid w:val="004C4941"/>
    <w:rsid w:val="004D6E14"/>
    <w:rsid w:val="004E48BF"/>
    <w:rsid w:val="004E56D6"/>
    <w:rsid w:val="005009B0"/>
    <w:rsid w:val="00522BCC"/>
    <w:rsid w:val="00536050"/>
    <w:rsid w:val="0054283F"/>
    <w:rsid w:val="005451A5"/>
    <w:rsid w:val="00562BB8"/>
    <w:rsid w:val="0057306A"/>
    <w:rsid w:val="005A1006"/>
    <w:rsid w:val="005A772A"/>
    <w:rsid w:val="005D04F0"/>
    <w:rsid w:val="005E714A"/>
    <w:rsid w:val="0061146C"/>
    <w:rsid w:val="006140A0"/>
    <w:rsid w:val="00633F74"/>
    <w:rsid w:val="00636621"/>
    <w:rsid w:val="00642B49"/>
    <w:rsid w:val="00654573"/>
    <w:rsid w:val="0065687B"/>
    <w:rsid w:val="006721AC"/>
    <w:rsid w:val="00680AD7"/>
    <w:rsid w:val="006832D9"/>
    <w:rsid w:val="00686301"/>
    <w:rsid w:val="0069403B"/>
    <w:rsid w:val="006A0D31"/>
    <w:rsid w:val="006C7253"/>
    <w:rsid w:val="006D5F47"/>
    <w:rsid w:val="006E7380"/>
    <w:rsid w:val="006F3DDE"/>
    <w:rsid w:val="00704678"/>
    <w:rsid w:val="007425E7"/>
    <w:rsid w:val="00760E25"/>
    <w:rsid w:val="00766D95"/>
    <w:rsid w:val="0077703F"/>
    <w:rsid w:val="00790FAA"/>
    <w:rsid w:val="007F1935"/>
    <w:rsid w:val="00802607"/>
    <w:rsid w:val="008101A5"/>
    <w:rsid w:val="008154EC"/>
    <w:rsid w:val="00822664"/>
    <w:rsid w:val="00831658"/>
    <w:rsid w:val="008324FC"/>
    <w:rsid w:val="008419F9"/>
    <w:rsid w:val="00843796"/>
    <w:rsid w:val="00860652"/>
    <w:rsid w:val="00866406"/>
    <w:rsid w:val="00866672"/>
    <w:rsid w:val="00890408"/>
    <w:rsid w:val="00895229"/>
    <w:rsid w:val="008956A8"/>
    <w:rsid w:val="008963CA"/>
    <w:rsid w:val="00897932"/>
    <w:rsid w:val="00897B4E"/>
    <w:rsid w:val="008A6D28"/>
    <w:rsid w:val="008E1AEB"/>
    <w:rsid w:val="008F0203"/>
    <w:rsid w:val="008F3E51"/>
    <w:rsid w:val="008F50D4"/>
    <w:rsid w:val="009239AA"/>
    <w:rsid w:val="00935ADA"/>
    <w:rsid w:val="0094269D"/>
    <w:rsid w:val="00946B6C"/>
    <w:rsid w:val="00955A71"/>
    <w:rsid w:val="0096108F"/>
    <w:rsid w:val="009A036B"/>
    <w:rsid w:val="009A5231"/>
    <w:rsid w:val="009B525B"/>
    <w:rsid w:val="009C13B9"/>
    <w:rsid w:val="009D01A2"/>
    <w:rsid w:val="009E3971"/>
    <w:rsid w:val="009F5923"/>
    <w:rsid w:val="00A022AB"/>
    <w:rsid w:val="00A132A9"/>
    <w:rsid w:val="00A1721C"/>
    <w:rsid w:val="00A229F1"/>
    <w:rsid w:val="00A33BD2"/>
    <w:rsid w:val="00A403BB"/>
    <w:rsid w:val="00A43182"/>
    <w:rsid w:val="00A63A90"/>
    <w:rsid w:val="00A674DF"/>
    <w:rsid w:val="00A76A05"/>
    <w:rsid w:val="00A81125"/>
    <w:rsid w:val="00A83AA6"/>
    <w:rsid w:val="00A86104"/>
    <w:rsid w:val="00A93E57"/>
    <w:rsid w:val="00A961D6"/>
    <w:rsid w:val="00AC60E8"/>
    <w:rsid w:val="00AE14B1"/>
    <w:rsid w:val="00AE1809"/>
    <w:rsid w:val="00B07E71"/>
    <w:rsid w:val="00B15BAE"/>
    <w:rsid w:val="00B725AB"/>
    <w:rsid w:val="00B80D76"/>
    <w:rsid w:val="00BA2105"/>
    <w:rsid w:val="00BA7E06"/>
    <w:rsid w:val="00BB2653"/>
    <w:rsid w:val="00BB2CB8"/>
    <w:rsid w:val="00BB43B5"/>
    <w:rsid w:val="00BB6219"/>
    <w:rsid w:val="00BC19B2"/>
    <w:rsid w:val="00BC6188"/>
    <w:rsid w:val="00BC676D"/>
    <w:rsid w:val="00BD290F"/>
    <w:rsid w:val="00BD4927"/>
    <w:rsid w:val="00BF1FE1"/>
    <w:rsid w:val="00C14CC4"/>
    <w:rsid w:val="00C24C76"/>
    <w:rsid w:val="00C33C52"/>
    <w:rsid w:val="00C40D8B"/>
    <w:rsid w:val="00C8407A"/>
    <w:rsid w:val="00C8488C"/>
    <w:rsid w:val="00C86E91"/>
    <w:rsid w:val="00C87EC4"/>
    <w:rsid w:val="00CA19A3"/>
    <w:rsid w:val="00CA2010"/>
    <w:rsid w:val="00CA2650"/>
    <w:rsid w:val="00CA3D8A"/>
    <w:rsid w:val="00CB1078"/>
    <w:rsid w:val="00CC48DF"/>
    <w:rsid w:val="00CC6FAF"/>
    <w:rsid w:val="00CF417A"/>
    <w:rsid w:val="00CF72B8"/>
    <w:rsid w:val="00D244F9"/>
    <w:rsid w:val="00D24698"/>
    <w:rsid w:val="00D51220"/>
    <w:rsid w:val="00D6383F"/>
    <w:rsid w:val="00D873C6"/>
    <w:rsid w:val="00DA5BE1"/>
    <w:rsid w:val="00DA7B4C"/>
    <w:rsid w:val="00DB3B69"/>
    <w:rsid w:val="00DB4A58"/>
    <w:rsid w:val="00DB59D0"/>
    <w:rsid w:val="00DC33D3"/>
    <w:rsid w:val="00E115B0"/>
    <w:rsid w:val="00E122AC"/>
    <w:rsid w:val="00E26329"/>
    <w:rsid w:val="00E37A3B"/>
    <w:rsid w:val="00E409BD"/>
    <w:rsid w:val="00E40B50"/>
    <w:rsid w:val="00E50293"/>
    <w:rsid w:val="00E65FFC"/>
    <w:rsid w:val="00E80951"/>
    <w:rsid w:val="00E85AB1"/>
    <w:rsid w:val="00E86CC6"/>
    <w:rsid w:val="00EB56B3"/>
    <w:rsid w:val="00EC6433"/>
    <w:rsid w:val="00ED6492"/>
    <w:rsid w:val="00EE035E"/>
    <w:rsid w:val="00EF2095"/>
    <w:rsid w:val="00F06866"/>
    <w:rsid w:val="00F0766C"/>
    <w:rsid w:val="00F15956"/>
    <w:rsid w:val="00F24CFC"/>
    <w:rsid w:val="00F31262"/>
    <w:rsid w:val="00F3170F"/>
    <w:rsid w:val="00F43FDE"/>
    <w:rsid w:val="00F52EDC"/>
    <w:rsid w:val="00F55E23"/>
    <w:rsid w:val="00F72D8F"/>
    <w:rsid w:val="00F84D3B"/>
    <w:rsid w:val="00F976B0"/>
    <w:rsid w:val="00FA53E1"/>
    <w:rsid w:val="00FA6DE7"/>
    <w:rsid w:val="00FB69CE"/>
    <w:rsid w:val="00FC0A8E"/>
    <w:rsid w:val="00FE2FA6"/>
    <w:rsid w:val="00FE3DF2"/>
    <w:rsid w:val="00FF09D8"/>
    <w:rsid w:val="6BF860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95ACD7"/>
  <w15:chartTrackingRefBased/>
  <w15:docId w15:val="{E4D1E544-B52D-4C31-9329-673C18AC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00299"/>
    <w:rPr>
      <w:color w:val="0000FF"/>
      <w:u w:val="single"/>
    </w:rPr>
  </w:style>
  <w:style w:type="character" w:styleId="FollowedHyperlink">
    <w:name w:val="FollowedHyperlink"/>
    <w:basedOn w:val="DefaultParagraphFont"/>
    <w:rsid w:val="00EC64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3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DA5BE1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A5BE1"/>
    <w:rPr>
      <w:lang w:eastAsia="zh-CN"/>
    </w:rPr>
  </w:style>
  <w:style w:type="paragraph" w:styleId="ListParagraph">
    <w:name w:val="List Paragraph"/>
    <w:basedOn w:val="Normal"/>
    <w:uiPriority w:val="34"/>
    <w:qFormat/>
    <w:rsid w:val="0053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raininitiative.nih.gov/news-events/events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data.bls.gov/oes/" TargetMode="External" /><Relationship Id="rId9" Type="http://schemas.openxmlformats.org/officeDocument/2006/relationships/hyperlink" Target="https://www.opm.gov/policy-data-oversight/pay-leave/salaries-wages/salary-tables/pdf/2026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20eaa-15fb-49d6-a4e5-3fbd5f8f4ad2" xsi:nil="true"/>
    <lcf76f155ced4ddcb4097134ff3c332f xmlns="eb1a484b-3053-4481-a16e-9baff44d0d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9DA251D07C8418AC0998005B43C34" ma:contentTypeVersion="15" ma:contentTypeDescription="Create a new document." ma:contentTypeScope="" ma:versionID="16ff5e47d811a25433f1a67639e3aa58">
  <xsd:schema xmlns:xsd="http://www.w3.org/2001/XMLSchema" xmlns:xs="http://www.w3.org/2001/XMLSchema" xmlns:p="http://schemas.microsoft.com/office/2006/metadata/properties" xmlns:ns2="eb1a484b-3053-4481-a16e-9baff44d0dee" xmlns:ns3="dc220eaa-15fb-49d6-a4e5-3fbd5f8f4ad2" targetNamespace="http://schemas.microsoft.com/office/2006/metadata/properties" ma:root="true" ma:fieldsID="b8d0508b36d4944f89e3562c8b769c91" ns2:_="" ns3:_="">
    <xsd:import namespace="eb1a484b-3053-4481-a16e-9baff44d0dee"/>
    <xsd:import namespace="dc220eaa-15fb-49d6-a4e5-3fbd5f8f4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a484b-3053-4481-a16e-9baff44d0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20eaa-15fb-49d6-a4e5-3fbd5f8f4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b98b44-9c56-43a1-acd3-e7294710bd7c}" ma:internalName="TaxCatchAll" ma:showField="CatchAllData" ma:web="dc220eaa-15fb-49d6-a4e5-3fbd5f8f4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B668E-8F71-4AA6-9D70-B386EF719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A895F-119E-44C6-8A0B-800FC32F3A67}">
  <ds:schemaRefs>
    <ds:schemaRef ds:uri="http://schemas.microsoft.com/office/2006/metadata/properties"/>
    <ds:schemaRef ds:uri="http://schemas.microsoft.com/office/infopath/2007/PartnerControls"/>
    <ds:schemaRef ds:uri="dc220eaa-15fb-49d6-a4e5-3fbd5f8f4ad2"/>
    <ds:schemaRef ds:uri="eb1a484b-3053-4481-a16e-9baff44d0dee"/>
  </ds:schemaRefs>
</ds:datastoreItem>
</file>

<file path=customXml/itemProps3.xml><?xml version="1.0" encoding="utf-8"?>
<ds:datastoreItem xmlns:ds="http://schemas.openxmlformats.org/officeDocument/2006/customXml" ds:itemID="{F858EBB9-C492-47F8-BA22-449009B57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a484b-3053-4481-a16e-9baff44d0dee"/>
    <ds:schemaRef ds:uri="dc220eaa-15fb-49d6-a4e5-3fbd5f8f4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AD4C32-408E-4C8A-9DDC-6245597D8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21f120-4b6b-484b-96ca-209a54e8d1ad}" enabled="1" method="Standard" siteId="{14b77578-9773-42d5-8507-251ca2dc2b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2016-05-26T17:45:00Z</cp:lastPrinted>
  <dcterms:created xsi:type="dcterms:W3CDTF">2026-04-22T20:28:00Z</dcterms:created>
  <dcterms:modified xsi:type="dcterms:W3CDTF">2026-04-22T20:28:00Z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0x010100FDA9DA251D07C8418AC0998005B43C34</vt:lpwstr>
  </property>
  <property fmtid="{D5CDD505-2E9C-101B-9397-08002B2CF9AE}" pid="3" name="_NewReviewCycle">
    <vt:lpwstr/>
  </property>
</Properties>
</file>