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D1" w:rsidRPr="00DC0581" w:rsidP="00195414" w14:paraId="7CCCA525" w14:textId="77777777">
      <w:pPr>
        <w:ind w:left="2880" w:firstLine="720"/>
        <w:rPr>
          <w:b/>
        </w:rPr>
      </w:pPr>
      <w:r w:rsidRPr="00DC0581">
        <w:rPr>
          <w:b/>
        </w:rPr>
        <w:t xml:space="preserve">Supporting </w:t>
      </w:r>
      <w:r w:rsidRPr="00DC0581">
        <w:rPr>
          <w:b/>
        </w:rPr>
        <w:t>Statement</w:t>
      </w:r>
      <w:r w:rsidRPr="00DC0581">
        <w:rPr>
          <w:b/>
        </w:rPr>
        <w:t xml:space="preserve"> A for</w:t>
      </w:r>
    </w:p>
    <w:p w:rsidR="00FC2A7D" w:rsidRPr="00DC0581" w:rsidP="00195414" w14:paraId="51E8656A" w14:textId="77777777">
      <w:pPr>
        <w:ind w:left="2880" w:firstLine="720"/>
        <w:rPr>
          <w:rFonts w:eastAsia="Times New Roman" w:cs="Times New Roman"/>
          <w:b/>
        </w:rPr>
      </w:pPr>
    </w:p>
    <w:p w:rsidR="00FB1BCA" w:rsidP="0058272C" w14:paraId="61E4C1C0" w14:textId="77777777">
      <w:pPr>
        <w:pStyle w:val="P1-StandPara"/>
        <w:tabs>
          <w:tab w:val="left" w:pos="720"/>
          <w:tab w:val="right" w:leader="dot" w:pos="9504"/>
        </w:tabs>
        <w:spacing w:before="120" w:after="120"/>
        <w:ind w:firstLine="0"/>
        <w:jc w:val="center"/>
        <w:rPr>
          <w:rFonts w:asciiTheme="minorHAnsi" w:eastAsiaTheme="minorEastAsia" w:hAnsiTheme="minorHAnsi" w:cstheme="minorBidi"/>
          <w:b/>
          <w:szCs w:val="22"/>
        </w:rPr>
      </w:pPr>
      <w:r w:rsidRPr="00FB1BCA">
        <w:rPr>
          <w:rFonts w:asciiTheme="minorHAnsi" w:eastAsiaTheme="minorEastAsia" w:hAnsiTheme="minorHAnsi" w:cstheme="minorBidi"/>
          <w:b/>
          <w:szCs w:val="22"/>
        </w:rPr>
        <w:t xml:space="preserve">Collection of grant and contract data that may be of interest to </w:t>
      </w:r>
    </w:p>
    <w:p w:rsidR="00DC0581" w:rsidRPr="00DC0581" w:rsidP="0058272C" w14:paraId="78F4DDDA" w14:textId="0F9BAA66">
      <w:pPr>
        <w:pStyle w:val="P1-StandPara"/>
        <w:tabs>
          <w:tab w:val="left" w:pos="720"/>
          <w:tab w:val="right" w:leader="dot" w:pos="9504"/>
        </w:tabs>
        <w:spacing w:before="120" w:after="120"/>
        <w:ind w:firstLine="0"/>
        <w:jc w:val="center"/>
        <w:rPr>
          <w:rFonts w:asciiTheme="minorHAnsi" w:hAnsiTheme="minorHAnsi"/>
          <w:b/>
          <w:szCs w:val="22"/>
        </w:rPr>
      </w:pPr>
      <w:r w:rsidRPr="00FB1BCA">
        <w:rPr>
          <w:rFonts w:asciiTheme="minorHAnsi" w:eastAsiaTheme="minorEastAsia" w:hAnsiTheme="minorHAnsi" w:cstheme="minorBidi"/>
          <w:b/>
          <w:szCs w:val="22"/>
        </w:rPr>
        <w:t>Historically Black Colleges and Universities (HBCUs) and small businesses</w:t>
      </w:r>
    </w:p>
    <w:p w:rsidR="0058272C" w:rsidRPr="00DC0581" w:rsidP="00B67FD7" w14:paraId="64EFF84B" w14:textId="77777777">
      <w:pPr>
        <w:pStyle w:val="P1-StandPara"/>
        <w:tabs>
          <w:tab w:val="left" w:pos="720"/>
          <w:tab w:val="right" w:leader="dot" w:pos="9504"/>
        </w:tabs>
        <w:spacing w:before="120" w:after="120"/>
        <w:ind w:firstLine="0"/>
        <w:jc w:val="center"/>
        <w:rPr>
          <w:rFonts w:asciiTheme="minorHAnsi" w:hAnsiTheme="minorHAnsi"/>
          <w:b/>
          <w:szCs w:val="22"/>
        </w:rPr>
      </w:pPr>
      <w:r w:rsidRPr="00DC0581">
        <w:rPr>
          <w:rFonts w:asciiTheme="minorHAnsi" w:hAnsiTheme="minorHAnsi"/>
          <w:b/>
          <w:szCs w:val="22"/>
        </w:rPr>
        <w:t>NIH/OD/OALM</w:t>
      </w:r>
    </w:p>
    <w:p w:rsidR="00976490" w:rsidRPr="00DC0581" w:rsidP="00767C53" w14:paraId="65153813" w14:textId="142CD1BB">
      <w:pPr>
        <w:pStyle w:val="P1-StandPara"/>
        <w:tabs>
          <w:tab w:val="left" w:pos="720"/>
          <w:tab w:val="right" w:leader="dot" w:pos="9504"/>
        </w:tabs>
        <w:spacing w:before="120" w:after="120"/>
        <w:ind w:firstLine="0"/>
        <w:jc w:val="center"/>
        <w:rPr>
          <w:rFonts w:asciiTheme="minorHAnsi" w:hAnsiTheme="minorHAnsi"/>
          <w:b/>
          <w:szCs w:val="22"/>
        </w:rPr>
      </w:pPr>
      <w:r w:rsidRPr="00F42B69">
        <w:rPr>
          <w:sz w:val="24"/>
          <w:szCs w:val="24"/>
        </w:rPr>
        <w:t>OMB # 0925-</w:t>
      </w:r>
      <w:r w:rsidRPr="00541BEB">
        <w:rPr>
          <w:sz w:val="24"/>
          <w:szCs w:val="24"/>
        </w:rPr>
        <w:t>0767 Expiration Date: 0</w:t>
      </w:r>
      <w:r w:rsidR="00DD51ED">
        <w:rPr>
          <w:sz w:val="24"/>
          <w:szCs w:val="24"/>
        </w:rPr>
        <w:t>1</w:t>
      </w:r>
      <w:r w:rsidRPr="00541BEB">
        <w:rPr>
          <w:sz w:val="24"/>
          <w:szCs w:val="24"/>
        </w:rPr>
        <w:t>/31/202</w:t>
      </w:r>
      <w:r w:rsidR="00DD51ED">
        <w:rPr>
          <w:sz w:val="24"/>
          <w:szCs w:val="24"/>
        </w:rPr>
        <w:t>4</w:t>
      </w:r>
      <w:r w:rsidR="00F43B57">
        <w:rPr>
          <w:sz w:val="24"/>
          <w:szCs w:val="24"/>
        </w:rPr>
        <w:t xml:space="preserve"> </w:t>
      </w:r>
    </w:p>
    <w:p w:rsidR="00E35DD1" w:rsidRPr="00E35DD1" w:rsidP="00024899" w14:paraId="7A152124" w14:textId="77777777">
      <w:pPr>
        <w:pStyle w:val="P1-StandPara"/>
        <w:tabs>
          <w:tab w:val="left" w:pos="720"/>
          <w:tab w:val="right" w:leader="dot" w:pos="9504"/>
        </w:tabs>
        <w:spacing w:before="120" w:after="120"/>
        <w:ind w:firstLine="0"/>
        <w:rPr>
          <w:rFonts w:asciiTheme="minorHAnsi" w:hAnsiTheme="minorHAnsi"/>
          <w:szCs w:val="22"/>
        </w:rPr>
      </w:pPr>
    </w:p>
    <w:p w:rsidR="00E35DD1" w:rsidRPr="00E35DD1" w:rsidP="00E35DD1" w14:paraId="17A56608" w14:textId="624748CE">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w:t>
      </w:r>
      <w:r w:rsidR="00541BEB">
        <w:rPr>
          <w:rFonts w:asciiTheme="minorHAnsi" w:hAnsiTheme="minorHAnsi"/>
          <w:szCs w:val="22"/>
        </w:rPr>
        <w:t xml:space="preserve"> </w:t>
      </w:r>
      <w:r w:rsidR="00DD51ED">
        <w:rPr>
          <w:rFonts w:asciiTheme="minorHAnsi" w:hAnsiTheme="minorHAnsi"/>
          <w:szCs w:val="22"/>
        </w:rPr>
        <w:t>November 28,</w:t>
      </w:r>
      <w:r w:rsidR="00037860">
        <w:rPr>
          <w:rFonts w:asciiTheme="minorHAnsi" w:hAnsiTheme="minorHAnsi"/>
          <w:szCs w:val="22"/>
        </w:rPr>
        <w:t xml:space="preserve"> 202</w:t>
      </w:r>
      <w:r w:rsidR="00DD51ED">
        <w:rPr>
          <w:rFonts w:asciiTheme="minorHAnsi" w:hAnsiTheme="minorHAnsi"/>
          <w:szCs w:val="22"/>
        </w:rPr>
        <w:t>3</w:t>
      </w:r>
    </w:p>
    <w:p w:rsidR="0058272C" w:rsidP="00FF30CE" w14:paraId="3F47EF70" w14:textId="77777777">
      <w:pPr>
        <w:pStyle w:val="P1-StandPara"/>
        <w:tabs>
          <w:tab w:val="left" w:pos="720"/>
          <w:tab w:val="right" w:leader="dot" w:pos="9504"/>
        </w:tabs>
        <w:spacing w:before="120" w:line="240" w:lineRule="auto"/>
        <w:ind w:firstLine="0"/>
        <w:rPr>
          <w:rFonts w:ascii="Calibri" w:hAnsi="Calibri"/>
          <w:szCs w:val="22"/>
        </w:rPr>
      </w:pPr>
    </w:p>
    <w:p w:rsidR="00FF30CE" w:rsidP="00FF30CE" w14:paraId="45B96DCF"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2125C5" w:rsidRPr="008942E9" w:rsidP="00D5616E" w14:paraId="75B67B08" w14:textId="4D1EE416">
      <w:pPr>
        <w:pStyle w:val="P1-StandPara"/>
        <w:numPr>
          <w:ilvl w:val="0"/>
          <w:numId w:val="25"/>
        </w:numPr>
        <w:tabs>
          <w:tab w:val="left" w:pos="720"/>
          <w:tab w:val="right" w:leader="dot" w:pos="9504"/>
        </w:tabs>
        <w:spacing w:before="120" w:line="240" w:lineRule="auto"/>
        <w:rPr>
          <w:rFonts w:ascii="Calibri" w:hAnsi="Calibri"/>
          <w:szCs w:val="22"/>
        </w:rPr>
      </w:pPr>
      <w:r>
        <w:rPr>
          <w:rFonts w:ascii="Calibri" w:hAnsi="Calibri"/>
          <w:szCs w:val="22"/>
        </w:rPr>
        <w:t>New</w:t>
      </w:r>
    </w:p>
    <w:p w:rsidR="00FF30CE" w:rsidP="00EA246E" w14:paraId="749AE421" w14:textId="2C304097">
      <w:pPr>
        <w:pStyle w:val="ListParagraph"/>
        <w:numPr>
          <w:ilvl w:val="0"/>
          <w:numId w:val="25"/>
        </w:numPr>
        <w:spacing w:after="0" w:line="240" w:lineRule="auto"/>
      </w:pPr>
      <w:r w:rsidRPr="00541BEB">
        <w:t>Revision</w:t>
      </w:r>
      <w:r>
        <w:tab/>
      </w:r>
      <w:r>
        <w:tab/>
      </w:r>
      <w:r>
        <w:tab/>
      </w:r>
    </w:p>
    <w:p w:rsidR="00FF30CE" w:rsidP="00FF30CE" w14:paraId="752EBA80" w14:textId="77777777">
      <w:pPr>
        <w:numPr>
          <w:ilvl w:val="0"/>
          <w:numId w:val="11"/>
        </w:numPr>
        <w:spacing w:after="0" w:line="240" w:lineRule="auto"/>
      </w:pPr>
      <w:r>
        <w:t>Reinstatement with Change</w:t>
      </w:r>
    </w:p>
    <w:p w:rsidR="00FF30CE" w:rsidP="00FF30CE" w14:paraId="1CB5ABBA" w14:textId="77777777">
      <w:pPr>
        <w:numPr>
          <w:ilvl w:val="0"/>
          <w:numId w:val="11"/>
        </w:numPr>
        <w:spacing w:after="0" w:line="240" w:lineRule="auto"/>
      </w:pPr>
      <w:r>
        <w:t>Reinstatement without Change</w:t>
      </w:r>
    </w:p>
    <w:p w:rsidR="00FF30CE" w:rsidP="00EA246E" w14:paraId="0089AF5A" w14:textId="2C508436">
      <w:pPr>
        <w:spacing w:after="0" w:line="240" w:lineRule="auto"/>
        <w:ind w:left="360"/>
      </w:pPr>
      <w:r>
        <w:t xml:space="preserve"> </w:t>
      </w:r>
      <w:r w:rsidR="003D115B">
        <w:t>X</w:t>
      </w:r>
      <w:r>
        <w:t xml:space="preserve">    Extension</w:t>
      </w:r>
    </w:p>
    <w:p w:rsidR="00FF30CE" w:rsidP="00FF30CE" w14:paraId="3D18CCB0" w14:textId="77777777">
      <w:pPr>
        <w:numPr>
          <w:ilvl w:val="0"/>
          <w:numId w:val="11"/>
        </w:numPr>
        <w:spacing w:after="0" w:line="240" w:lineRule="auto"/>
      </w:pPr>
      <w:r>
        <w:t>Emergency</w:t>
      </w:r>
    </w:p>
    <w:p w:rsidR="00FF30CE" w:rsidP="00FF30CE" w14:paraId="7B71503B" w14:textId="77777777">
      <w:pPr>
        <w:numPr>
          <w:ilvl w:val="0"/>
          <w:numId w:val="11"/>
        </w:numPr>
        <w:spacing w:after="0" w:line="240" w:lineRule="auto"/>
      </w:pPr>
      <w:r>
        <w:t>Existing</w:t>
      </w:r>
      <w:r w:rsidR="000A139A">
        <w:t xml:space="preserve"> w/o OMB approval</w:t>
      </w:r>
    </w:p>
    <w:p w:rsidR="00C25E9C" w:rsidP="00C25E9C" w14:paraId="451FDA00" w14:textId="77777777">
      <w:pPr>
        <w:spacing w:after="0" w:line="240" w:lineRule="auto"/>
      </w:pPr>
    </w:p>
    <w:p w:rsidR="00C25E9C" w:rsidP="00C25E9C" w14:paraId="71FB017F" w14:textId="77777777">
      <w:pPr>
        <w:spacing w:after="0" w:line="240" w:lineRule="auto"/>
      </w:pPr>
    </w:p>
    <w:p w:rsidR="00E35DD1" w:rsidRPr="00E35DD1" w:rsidP="00BE76A7" w14:paraId="45755AA0"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rsidR="00E35DD1" w:rsidRPr="00E35DD1" w:rsidP="00BE76A7" w14:paraId="42227EC5" w14:textId="7DC1D9C1">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Name:</w:t>
      </w:r>
      <w:r w:rsidR="0058272C">
        <w:rPr>
          <w:rFonts w:asciiTheme="minorHAnsi" w:hAnsiTheme="minorHAnsi"/>
          <w:szCs w:val="22"/>
        </w:rPr>
        <w:t xml:space="preserve"> </w:t>
      </w:r>
      <w:r w:rsidR="0021028F">
        <w:rPr>
          <w:rFonts w:asciiTheme="minorHAnsi" w:hAnsiTheme="minorHAnsi"/>
          <w:szCs w:val="22"/>
        </w:rPr>
        <w:t xml:space="preserve">Keondra Watts </w:t>
      </w:r>
    </w:p>
    <w:p w:rsidR="0058272C" w:rsidRPr="00E35DD1" w:rsidP="00BE76A7" w14:paraId="406632D1" w14:textId="61453BD9">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Address:</w:t>
      </w:r>
      <w:r>
        <w:rPr>
          <w:rFonts w:asciiTheme="minorHAnsi" w:hAnsiTheme="minorHAnsi"/>
          <w:szCs w:val="22"/>
        </w:rPr>
        <w:t xml:space="preserve"> </w:t>
      </w:r>
      <w:r w:rsidRPr="0021028F" w:rsidR="0021028F">
        <w:rPr>
          <w:rFonts w:asciiTheme="minorHAnsi" w:hAnsiTheme="minorHAnsi"/>
          <w:szCs w:val="22"/>
        </w:rPr>
        <w:t>6701 Rockledge Dr., Bethesda, MD 20892-7786</w:t>
      </w:r>
      <w:r w:rsidR="0021028F">
        <w:rPr>
          <w:rFonts w:asciiTheme="minorHAnsi" w:hAnsiTheme="minorHAnsi"/>
          <w:szCs w:val="22"/>
        </w:rPr>
        <w:t xml:space="preserve"> </w:t>
      </w:r>
      <w:r>
        <w:rPr>
          <w:rFonts w:asciiTheme="minorHAnsi" w:hAnsiTheme="minorHAnsi"/>
          <w:szCs w:val="22"/>
        </w:rPr>
        <w:t xml:space="preserve">   </w:t>
      </w:r>
    </w:p>
    <w:p w:rsidR="00E35DD1" w:rsidRPr="00E35DD1" w:rsidP="00BE76A7" w14:paraId="2BB8614E" w14:textId="54E1EF46">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58272C">
        <w:rPr>
          <w:rFonts w:asciiTheme="minorHAnsi" w:hAnsiTheme="minorHAnsi"/>
          <w:szCs w:val="22"/>
        </w:rPr>
        <w:t xml:space="preserve"> </w:t>
      </w:r>
      <w:r w:rsidRPr="0021028F" w:rsidR="0021028F">
        <w:rPr>
          <w:rFonts w:asciiTheme="minorHAnsi" w:hAnsiTheme="minorHAnsi"/>
          <w:szCs w:val="22"/>
        </w:rPr>
        <w:t>301</w:t>
      </w:r>
      <w:r w:rsidR="0021028F">
        <w:rPr>
          <w:rFonts w:asciiTheme="minorHAnsi" w:hAnsiTheme="minorHAnsi"/>
          <w:szCs w:val="22"/>
        </w:rPr>
        <w:t>-</w:t>
      </w:r>
      <w:r w:rsidRPr="0021028F" w:rsidR="0021028F">
        <w:rPr>
          <w:rFonts w:asciiTheme="minorHAnsi" w:hAnsiTheme="minorHAnsi"/>
          <w:szCs w:val="22"/>
        </w:rPr>
        <w:t xml:space="preserve">443-8722  </w:t>
      </w:r>
    </w:p>
    <w:p w:rsidR="00E35DD1" w:rsidRPr="00E35DD1" w:rsidP="00BE76A7" w14:paraId="5B79BDF5" w14:textId="5701B335">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Fax:</w:t>
      </w:r>
      <w:r w:rsidR="0058272C">
        <w:rPr>
          <w:rFonts w:asciiTheme="minorHAnsi" w:hAnsiTheme="minorHAnsi"/>
          <w:szCs w:val="22"/>
        </w:rPr>
        <w:t xml:space="preserve"> </w:t>
      </w:r>
    </w:p>
    <w:p w:rsidR="0021028F" w:rsidP="00143350" w14:paraId="7F1D9EDF" w14:textId="127AF15A">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Pr="0021028F">
        <w:t xml:space="preserve"> </w:t>
      </w:r>
      <w:hyperlink r:id="rId7" w:history="1">
        <w:r w:rsidRPr="00A063CA">
          <w:rPr>
            <w:rStyle w:val="Hyperlink"/>
            <w:rFonts w:asciiTheme="minorHAnsi" w:hAnsiTheme="minorHAnsi"/>
            <w:szCs w:val="22"/>
          </w:rPr>
          <w:t>Keondra.Watts@nih.gov</w:t>
        </w:r>
      </w:hyperlink>
    </w:p>
    <w:p w:rsidR="00450742" w:rsidP="00143350" w14:paraId="103C47A8" w14:textId="77777777">
      <w:pPr>
        <w:pStyle w:val="P1-StandPara"/>
        <w:tabs>
          <w:tab w:val="left" w:pos="720"/>
          <w:tab w:val="right" w:leader="dot" w:pos="9504"/>
        </w:tabs>
        <w:spacing w:before="120" w:line="240" w:lineRule="auto"/>
        <w:ind w:firstLine="0"/>
        <w:rPr>
          <w:rFonts w:asciiTheme="minorHAnsi" w:hAnsiTheme="minorHAnsi"/>
          <w:b/>
          <w:szCs w:val="22"/>
          <w:u w:val="single"/>
        </w:rPr>
      </w:pPr>
    </w:p>
    <w:p w:rsidR="005F619D" w14:paraId="7395BE89" w14:textId="77777777">
      <w:pPr>
        <w:rPr>
          <w:rFonts w:eastAsia="Times New Roman" w:cs="Times New Roman"/>
          <w:b/>
          <w:u w:val="single"/>
        </w:rPr>
      </w:pPr>
      <w:r>
        <w:rPr>
          <w:b/>
          <w:u w:val="single"/>
        </w:rPr>
        <w:br w:type="page"/>
      </w:r>
    </w:p>
    <w:p w:rsidR="00E35DD1" w:rsidRPr="00E35DD1" w:rsidP="00E35DD1" w14:paraId="52BB8B0C" w14:textId="77777777">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rsidR="00E35DD1" w:rsidRPr="00E35DD1" w:rsidP="00E35DD1" w14:paraId="7FD2402B" w14:textId="77777777">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rsidR="00E35DD1" w:rsidRPr="00E35DD1" w:rsidP="00E35DD1" w14:paraId="3FF4B8A4"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00E35DD1" w:rsidRPr="00E35DD1" w:rsidP="00E35DD1" w14:paraId="2A5C51B5" w14:textId="77777777">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rsidR="00E35DD1" w:rsidRPr="00E35DD1" w:rsidP="00E35DD1" w14:paraId="32B75656"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rsidR="00E35DD1" w:rsidRPr="00E35DD1" w:rsidP="00E35DD1" w14:paraId="3E77E2F4"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00E35DD1" w:rsidRPr="00E35DD1" w:rsidP="00E35DD1" w14:paraId="184A8FF2"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00E35DD1" w:rsidRPr="00E35DD1" w:rsidP="00E35DD1" w14:paraId="7F810091"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00E35DD1" w:rsidRPr="00E35DD1" w:rsidP="00E35DD1" w14:paraId="12FFA9B9"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rsidR="00E35DD1" w:rsidRPr="00E35DD1" w:rsidP="00E35DD1" w14:paraId="751ED92C"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00E35DD1" w:rsidRPr="00E35DD1" w:rsidP="00E35DD1" w14:paraId="3B7E6B50"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00E35DD1" w:rsidRPr="00E35DD1" w:rsidP="00E35DD1" w14:paraId="7BE7BF7D"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rsidR="00E35DD1" w:rsidRPr="00E35DD1" w:rsidP="00E35DD1" w14:paraId="04AA200A"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00E35DD1" w:rsidRPr="00E35DD1" w:rsidP="00E35DD1" w14:paraId="0D9BDC67" w14:textId="7777777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rsidR="00E35DD1" w:rsidRPr="00E35DD1" w:rsidP="00E35DD1" w14:paraId="2F631ACF" w14:textId="77777777">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rsidR="00E35DD1" w:rsidRPr="00E35DD1" w:rsidP="00E35DD1" w14:paraId="0808444E"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00E35DD1" w:rsidRPr="00E35DD1" w:rsidP="00E35DD1" w14:paraId="4031144A"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rsidR="00E35DD1" w:rsidRPr="00E35DD1" w:rsidP="00E35DD1" w14:paraId="35E43E50" w14:textId="77777777">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rsidR="00E35DD1" w:rsidRPr="00E35DD1" w:rsidP="00E35DD1" w14:paraId="10375E54" w14:textId="77777777">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rsidR="00E35DD1" w:rsidP="00E35DD1" w14:paraId="372A7922" w14:textId="77777777">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006A45F9" w:rsidRPr="007D11BF" w:rsidP="00E35DD1" w14:paraId="7375E52A" w14:textId="77777777">
      <w:pPr>
        <w:pStyle w:val="P1-StandPara"/>
        <w:ind w:firstLine="0"/>
        <w:rPr>
          <w:rFonts w:asciiTheme="minorHAnsi" w:hAnsiTheme="minorHAnsi"/>
          <w:b/>
          <w:i/>
          <w:szCs w:val="22"/>
        </w:rPr>
      </w:pPr>
      <w:r w:rsidRPr="007D11BF">
        <w:rPr>
          <w:rFonts w:asciiTheme="minorHAnsi" w:hAnsiTheme="minorHAnsi"/>
          <w:b/>
          <w:i/>
          <w:szCs w:val="22"/>
        </w:rPr>
        <w:t>Attachments (save file names to match what is being referenced: (ex: x.baseline; y.screener)</w:t>
      </w:r>
    </w:p>
    <w:p w:rsidR="00E35DD1" w:rsidP="00E35DD1" w14:paraId="0CE577F8" w14:textId="77777777">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p>
    <w:p w:rsidR="00E90323" w:rsidP="00E35DD1" w14:paraId="5A38145F" w14:textId="77777777">
      <w:pPr>
        <w:pStyle w:val="P1-StandPara"/>
        <w:tabs>
          <w:tab w:val="left" w:pos="720"/>
          <w:tab w:val="right" w:leader="dot" w:pos="9504"/>
        </w:tabs>
        <w:spacing w:before="120" w:after="120"/>
        <w:rPr>
          <w:rFonts w:asciiTheme="minorHAnsi" w:hAnsiTheme="minorHAnsi"/>
          <w:szCs w:val="22"/>
        </w:rPr>
      </w:pPr>
    </w:p>
    <w:p w:rsidR="00E91578" w:rsidP="00E35DD1" w14:paraId="443C5352" w14:textId="77777777">
      <w:pPr>
        <w:pStyle w:val="P1-StandPara"/>
        <w:tabs>
          <w:tab w:val="left" w:pos="720"/>
          <w:tab w:val="right" w:leader="dot" w:pos="9504"/>
        </w:tabs>
        <w:spacing w:before="120" w:after="120"/>
        <w:rPr>
          <w:rFonts w:asciiTheme="minorHAnsi" w:hAnsiTheme="minorHAnsi"/>
          <w:szCs w:val="22"/>
        </w:rPr>
      </w:pPr>
    </w:p>
    <w:p w:rsidR="0065708D" w:rsidP="0065708D" w14:paraId="347271F4" w14:textId="7135C690">
      <w:pPr>
        <w:pStyle w:val="P1-StandPara"/>
        <w:tabs>
          <w:tab w:val="left" w:pos="720"/>
          <w:tab w:val="right" w:leader="dot" w:pos="9504"/>
        </w:tabs>
        <w:spacing w:line="240" w:lineRule="auto"/>
        <w:ind w:firstLine="0"/>
        <w:rPr>
          <w:rFonts w:asciiTheme="minorHAnsi" w:hAnsiTheme="minorHAnsi"/>
          <w:b/>
          <w:szCs w:val="22"/>
        </w:rPr>
      </w:pPr>
      <w:r w:rsidRPr="0065708D">
        <w:rPr>
          <w:rFonts w:asciiTheme="minorHAnsi" w:hAnsiTheme="minorHAnsi"/>
          <w:b/>
          <w:szCs w:val="22"/>
        </w:rPr>
        <w:t xml:space="preserve">Attachments </w:t>
      </w:r>
    </w:p>
    <w:p w:rsidR="0065708D" w:rsidRPr="005B37B3" w:rsidP="0065708D" w14:paraId="258A77A2" w14:textId="77777777">
      <w:pPr>
        <w:pStyle w:val="P1-StandPara"/>
        <w:tabs>
          <w:tab w:val="left" w:pos="720"/>
          <w:tab w:val="right" w:leader="dot" w:pos="9504"/>
        </w:tabs>
        <w:spacing w:line="240" w:lineRule="auto"/>
        <w:ind w:firstLine="0"/>
      </w:pPr>
    </w:p>
    <w:p w:rsidR="0085285B" w:rsidP="000859AB" w14:paraId="2964ECB4" w14:textId="77777777">
      <w:pPr>
        <w:pStyle w:val="P1-StandPara"/>
        <w:tabs>
          <w:tab w:val="left" w:pos="720"/>
          <w:tab w:val="right" w:leader="dot" w:pos="9504"/>
        </w:tabs>
        <w:spacing w:line="240" w:lineRule="auto"/>
        <w:ind w:firstLine="0"/>
      </w:pPr>
      <w:r w:rsidRPr="00EA246E">
        <w:rPr>
          <w:highlight w:val="yellow"/>
        </w:rPr>
        <w:t>Attachment 1 – Collection Entry Screens</w:t>
      </w:r>
    </w:p>
    <w:p w:rsidR="00407CE7" w:rsidRPr="00407CE7" w:rsidP="00407CE7" w14:paraId="6EC57967" w14:textId="63E45F26">
      <w:pPr>
        <w:pStyle w:val="P1-StandPara"/>
        <w:numPr>
          <w:ilvl w:val="0"/>
          <w:numId w:val="27"/>
        </w:numPr>
        <w:tabs>
          <w:tab w:val="left" w:pos="720"/>
          <w:tab w:val="right" w:leader="dot" w:pos="9504"/>
        </w:tabs>
        <w:spacing w:line="240" w:lineRule="auto"/>
        <w:rPr>
          <w:szCs w:val="22"/>
        </w:rPr>
      </w:pPr>
      <w:r w:rsidRPr="0085285B">
        <w:rPr>
          <w:szCs w:val="22"/>
        </w:rPr>
        <w:t xml:space="preserve">Name of file uploaded to PRACS = </w:t>
      </w:r>
      <w:r w:rsidRPr="0085285B">
        <w:rPr>
          <w:b/>
          <w:bCs/>
          <w:szCs w:val="22"/>
        </w:rPr>
        <w:t>“</w:t>
      </w:r>
      <w:r w:rsidRPr="0085285B">
        <w:rPr>
          <w:rStyle w:val="Strong"/>
          <w:rFonts w:eastAsiaTheme="majorEastAsia"/>
          <w:b w:val="0"/>
          <w:szCs w:val="22"/>
        </w:rPr>
        <w:t>Collection Insturment - HBCUs and small businesses Portal for Grants Contracts.docx</w:t>
      </w:r>
      <w:r w:rsidRPr="0085285B">
        <w:rPr>
          <w:szCs w:val="22"/>
        </w:rPr>
        <w:t>”</w:t>
      </w:r>
    </w:p>
    <w:p w:rsidR="009F151D" w:rsidP="000859AB" w14:paraId="29F3007C" w14:textId="4B2312EA">
      <w:pPr>
        <w:pStyle w:val="P1-StandPara"/>
        <w:tabs>
          <w:tab w:val="left" w:pos="720"/>
          <w:tab w:val="right" w:leader="dot" w:pos="9504"/>
        </w:tabs>
        <w:spacing w:line="240" w:lineRule="auto"/>
        <w:ind w:firstLine="0"/>
      </w:pPr>
    </w:p>
    <w:p w:rsidR="00407CE7" w:rsidP="000859AB" w14:paraId="1B997A3F" w14:textId="3441C57E">
      <w:pPr>
        <w:pStyle w:val="P1-StandPara"/>
        <w:tabs>
          <w:tab w:val="left" w:pos="720"/>
          <w:tab w:val="right" w:leader="dot" w:pos="9504"/>
        </w:tabs>
        <w:spacing w:line="240" w:lineRule="auto"/>
        <w:ind w:firstLine="0"/>
      </w:pPr>
      <w:r>
        <w:t xml:space="preserve">Attachment 2 – Rules of Behavior </w:t>
      </w:r>
    </w:p>
    <w:p w:rsidR="009F151D" w:rsidRPr="00407CE7" w:rsidP="0085285B" w14:paraId="16C441CA" w14:textId="3CDDEC0C">
      <w:pPr>
        <w:pStyle w:val="P1-StandPara"/>
        <w:numPr>
          <w:ilvl w:val="0"/>
          <w:numId w:val="27"/>
        </w:numPr>
        <w:tabs>
          <w:tab w:val="left" w:pos="720"/>
          <w:tab w:val="right" w:leader="dot" w:pos="9504"/>
        </w:tabs>
        <w:spacing w:line="240" w:lineRule="auto"/>
      </w:pPr>
      <w:r>
        <w:t xml:space="preserve">Name of file uploaded to </w:t>
      </w:r>
      <w:r w:rsidRPr="00407CE7">
        <w:t>PRACS = “</w:t>
      </w:r>
      <w:r w:rsidRPr="00407CE7" w:rsidR="00407CE7">
        <w:t>Rules of Behavior - HBCUs and small businesses Portal for Grants Contracts.docx</w:t>
      </w:r>
      <w:r w:rsidR="00407CE7">
        <w:t>”</w:t>
      </w:r>
      <w:r w:rsidRPr="00407CE7">
        <w:t xml:space="preserve"> </w:t>
      </w:r>
    </w:p>
    <w:p w:rsidR="0085285B" w:rsidRPr="00407CE7" w:rsidP="000859AB" w14:paraId="31CAFE2D" w14:textId="77777777">
      <w:pPr>
        <w:pStyle w:val="P1-StandPara"/>
        <w:tabs>
          <w:tab w:val="left" w:pos="720"/>
          <w:tab w:val="right" w:leader="dot" w:pos="9504"/>
        </w:tabs>
        <w:spacing w:line="240" w:lineRule="auto"/>
        <w:ind w:firstLine="0"/>
        <w:rPr>
          <w:highlight w:val="yellow"/>
        </w:rPr>
      </w:pPr>
    </w:p>
    <w:p w:rsidR="009F151D" w:rsidP="000859AB" w14:paraId="3965B9E4" w14:textId="7BA631A2">
      <w:pPr>
        <w:pStyle w:val="P1-StandPara"/>
        <w:tabs>
          <w:tab w:val="left" w:pos="720"/>
          <w:tab w:val="right" w:leader="dot" w:pos="9504"/>
        </w:tabs>
        <w:spacing w:line="240" w:lineRule="auto"/>
        <w:ind w:firstLine="0"/>
      </w:pPr>
      <w:r w:rsidRPr="00EA246E">
        <w:rPr>
          <w:highlight w:val="yellow"/>
        </w:rPr>
        <w:t>Attachment 3 – Privacy Impact Assessment</w:t>
      </w:r>
      <w:r>
        <w:t xml:space="preserve"> </w:t>
      </w:r>
    </w:p>
    <w:p w:rsidR="0085285B" w:rsidRPr="00407CE7" w:rsidP="0085285B" w14:paraId="30C7261A" w14:textId="1EBAA710">
      <w:pPr>
        <w:pStyle w:val="P1-StandPara"/>
        <w:numPr>
          <w:ilvl w:val="0"/>
          <w:numId w:val="27"/>
        </w:numPr>
        <w:tabs>
          <w:tab w:val="left" w:pos="720"/>
          <w:tab w:val="right" w:leader="dot" w:pos="9504"/>
        </w:tabs>
        <w:spacing w:line="240" w:lineRule="auto"/>
        <w:rPr>
          <w:szCs w:val="22"/>
        </w:rPr>
      </w:pPr>
      <w:r>
        <w:t xml:space="preserve">Name of file uploaded to PRACS </w:t>
      </w:r>
      <w:r w:rsidRPr="00407CE7">
        <w:rPr>
          <w:szCs w:val="22"/>
        </w:rPr>
        <w:t>= “</w:t>
      </w:r>
      <w:r w:rsidRPr="00407CE7" w:rsidR="00407CE7">
        <w:rPr>
          <w:rStyle w:val="Strong"/>
          <w:rFonts w:eastAsiaTheme="majorEastAsia"/>
          <w:b w:val="0"/>
          <w:bCs w:val="0"/>
          <w:szCs w:val="22"/>
        </w:rPr>
        <w:t>National-Institutes-of-Health-PIA - OALM HBCU PEI Database Portal.pdf</w:t>
      </w:r>
      <w:r w:rsidRPr="00407CE7" w:rsidR="00407CE7">
        <w:rPr>
          <w:szCs w:val="22"/>
        </w:rPr>
        <w:t>”</w:t>
      </w:r>
      <w:r w:rsidRPr="00407CE7">
        <w:rPr>
          <w:szCs w:val="22"/>
        </w:rPr>
        <w:t xml:space="preserve"> </w:t>
      </w:r>
    </w:p>
    <w:p w:rsidR="00407CE7" w:rsidP="000859AB" w14:paraId="099A229F" w14:textId="77777777">
      <w:pPr>
        <w:pStyle w:val="P1-StandPara"/>
        <w:tabs>
          <w:tab w:val="left" w:pos="720"/>
          <w:tab w:val="right" w:leader="dot" w:pos="9504"/>
        </w:tabs>
        <w:spacing w:line="240" w:lineRule="auto"/>
        <w:ind w:firstLine="0"/>
      </w:pPr>
    </w:p>
    <w:p w:rsidR="003B4A8C" w:rsidP="000859AB" w14:paraId="4C9AAD65" w14:textId="041A8CD9">
      <w:pPr>
        <w:pStyle w:val="P1-StandPara"/>
        <w:tabs>
          <w:tab w:val="left" w:pos="720"/>
          <w:tab w:val="right" w:leader="dot" w:pos="9504"/>
        </w:tabs>
        <w:spacing w:line="240" w:lineRule="auto"/>
        <w:ind w:firstLine="0"/>
      </w:pPr>
      <w:r w:rsidRPr="00F91903">
        <w:rPr>
          <w:highlight w:val="yellow"/>
        </w:rPr>
        <w:t>Attachment 4 – PEI HBCU Application</w:t>
      </w:r>
    </w:p>
    <w:p w:rsidR="0085285B" w:rsidRPr="00407CE7" w:rsidP="0085285B" w14:paraId="28C99A53" w14:textId="521B8E7B">
      <w:pPr>
        <w:pStyle w:val="P1-StandPara"/>
        <w:numPr>
          <w:ilvl w:val="0"/>
          <w:numId w:val="27"/>
        </w:numPr>
        <w:tabs>
          <w:tab w:val="left" w:pos="720"/>
          <w:tab w:val="right" w:leader="dot" w:pos="9504"/>
        </w:tabs>
        <w:spacing w:line="240" w:lineRule="auto"/>
      </w:pPr>
      <w:r w:rsidRPr="00407CE7">
        <w:t>Name of file uploaded to PRACS = “</w:t>
      </w:r>
      <w:r w:rsidRPr="00407CE7" w:rsidR="00407CE7">
        <w:t>PEI University</w:t>
      </w:r>
      <w:r w:rsidR="00407CE7">
        <w:t xml:space="preserve"> </w:t>
      </w:r>
      <w:r w:rsidRPr="00407CE7" w:rsidR="00407CE7">
        <w:t>Application</w:t>
      </w:r>
      <w:r w:rsidR="00407CE7">
        <w:t xml:space="preserve"> </w:t>
      </w:r>
      <w:r w:rsidRPr="00407CE7" w:rsidR="00407CE7">
        <w:t>final.pdf”</w:t>
      </w:r>
      <w:r w:rsidRPr="00407CE7">
        <w:t xml:space="preserve"> </w:t>
      </w:r>
    </w:p>
    <w:p w:rsidR="0085285B" w:rsidRPr="00EA246E" w:rsidP="000859AB" w14:paraId="1BB1F766" w14:textId="77777777">
      <w:pPr>
        <w:pStyle w:val="P1-StandPara"/>
        <w:tabs>
          <w:tab w:val="left" w:pos="720"/>
          <w:tab w:val="right" w:leader="dot" w:pos="9504"/>
        </w:tabs>
        <w:spacing w:line="240" w:lineRule="auto"/>
        <w:ind w:firstLine="0"/>
      </w:pPr>
    </w:p>
    <w:p w:rsidR="003B4A8C" w:rsidRPr="00EA246E" w:rsidP="000859AB" w14:paraId="2FA3D7F6" w14:textId="279FB03B">
      <w:pPr>
        <w:pStyle w:val="P1-StandPara"/>
        <w:tabs>
          <w:tab w:val="left" w:pos="720"/>
          <w:tab w:val="right" w:leader="dot" w:pos="9504"/>
        </w:tabs>
        <w:spacing w:line="240" w:lineRule="auto"/>
        <w:ind w:firstLine="0"/>
      </w:pPr>
    </w:p>
    <w:p w:rsidR="003B4A8C" w:rsidP="000859AB" w14:paraId="34389476" w14:textId="3C750221">
      <w:pPr>
        <w:pStyle w:val="P1-StandPara"/>
        <w:tabs>
          <w:tab w:val="left" w:pos="720"/>
          <w:tab w:val="right" w:leader="dot" w:pos="9504"/>
        </w:tabs>
        <w:spacing w:line="240" w:lineRule="auto"/>
        <w:ind w:firstLine="0"/>
      </w:pPr>
      <w:r w:rsidRPr="001E71F7">
        <w:rPr>
          <w:highlight w:val="yellow"/>
        </w:rPr>
        <w:t>Attachment 5 – PEI Business Partner Application</w:t>
      </w:r>
    </w:p>
    <w:p w:rsidR="0085285B" w:rsidRPr="00F02EC8" w:rsidP="0085285B" w14:paraId="37BF0814" w14:textId="33C215EF">
      <w:pPr>
        <w:pStyle w:val="P1-StandPara"/>
        <w:numPr>
          <w:ilvl w:val="0"/>
          <w:numId w:val="27"/>
        </w:numPr>
        <w:tabs>
          <w:tab w:val="left" w:pos="720"/>
          <w:tab w:val="right" w:leader="dot" w:pos="9504"/>
        </w:tabs>
        <w:spacing w:line="240" w:lineRule="auto"/>
      </w:pPr>
      <w:r>
        <w:t xml:space="preserve">Name of file uploaded to PRACS = </w:t>
      </w:r>
      <w:r w:rsidRPr="00F02EC8">
        <w:t>“</w:t>
      </w:r>
      <w:r w:rsidRPr="00F91903" w:rsidR="00F02EC8">
        <w:t>PEI Application</w:t>
      </w:r>
      <w:r w:rsidR="00F91903">
        <w:t xml:space="preserve"> </w:t>
      </w:r>
      <w:r w:rsidRPr="00F91903" w:rsidR="00F02EC8">
        <w:t>Business</w:t>
      </w:r>
      <w:r w:rsidR="00F91903">
        <w:t xml:space="preserve"> </w:t>
      </w:r>
      <w:r w:rsidRPr="00F91903" w:rsidR="00F02EC8">
        <w:t>Partner</w:t>
      </w:r>
      <w:r w:rsidR="00F91903">
        <w:t xml:space="preserve"> </w:t>
      </w:r>
      <w:r w:rsidRPr="00F91903" w:rsidR="00F91903">
        <w:t>final.pdf</w:t>
      </w:r>
      <w:r w:rsidRPr="00F02EC8" w:rsidR="00F91903">
        <w:t>”</w:t>
      </w:r>
      <w:r w:rsidRPr="00F02EC8">
        <w:t xml:space="preserve"> </w:t>
      </w:r>
    </w:p>
    <w:p w:rsidR="0085285B" w:rsidP="000859AB" w14:paraId="6FDF7B43" w14:textId="77777777">
      <w:pPr>
        <w:pStyle w:val="P1-StandPara"/>
        <w:tabs>
          <w:tab w:val="left" w:pos="720"/>
          <w:tab w:val="right" w:leader="dot" w:pos="9504"/>
        </w:tabs>
        <w:spacing w:line="240" w:lineRule="auto"/>
        <w:ind w:firstLine="0"/>
      </w:pPr>
    </w:p>
    <w:p w:rsidR="003B4A8C" w:rsidRPr="005B37B3" w:rsidP="000859AB" w14:paraId="2D87947E" w14:textId="77777777">
      <w:pPr>
        <w:pStyle w:val="P1-StandPara"/>
        <w:tabs>
          <w:tab w:val="left" w:pos="720"/>
          <w:tab w:val="right" w:leader="dot" w:pos="9504"/>
        </w:tabs>
        <w:spacing w:line="240" w:lineRule="auto"/>
        <w:ind w:firstLine="0"/>
      </w:pPr>
    </w:p>
    <w:p w:rsidR="00767C53" w:rsidP="00E35DD1" w14:paraId="3E940601" w14:textId="77777777">
      <w:pPr>
        <w:pStyle w:val="P1-StandPara"/>
        <w:tabs>
          <w:tab w:val="left" w:pos="720"/>
          <w:tab w:val="right" w:leader="dot" w:pos="9504"/>
        </w:tabs>
        <w:spacing w:before="120" w:after="120"/>
        <w:rPr>
          <w:rFonts w:asciiTheme="minorHAnsi" w:hAnsiTheme="minorHAnsi"/>
          <w:szCs w:val="22"/>
        </w:rPr>
      </w:pPr>
    </w:p>
    <w:p w:rsidR="0065708D" w:rsidP="00E35DD1" w14:paraId="4FB72B6E" w14:textId="77777777">
      <w:pPr>
        <w:pStyle w:val="P1-StandPara"/>
        <w:tabs>
          <w:tab w:val="left" w:pos="720"/>
          <w:tab w:val="right" w:leader="dot" w:pos="9504"/>
        </w:tabs>
        <w:spacing w:before="120" w:after="120"/>
        <w:rPr>
          <w:rFonts w:asciiTheme="minorHAnsi" w:hAnsiTheme="minorHAnsi"/>
          <w:szCs w:val="22"/>
        </w:rPr>
      </w:pPr>
    </w:p>
    <w:p w:rsidR="0065708D" w:rsidP="00E35DD1" w14:paraId="4109F759" w14:textId="77777777">
      <w:pPr>
        <w:pStyle w:val="P1-StandPara"/>
        <w:tabs>
          <w:tab w:val="left" w:pos="720"/>
          <w:tab w:val="right" w:leader="dot" w:pos="9504"/>
        </w:tabs>
        <w:spacing w:before="120" w:after="120"/>
        <w:rPr>
          <w:rFonts w:asciiTheme="minorHAnsi" w:hAnsiTheme="minorHAnsi"/>
          <w:szCs w:val="22"/>
        </w:rPr>
      </w:pPr>
    </w:p>
    <w:p w:rsidR="0065708D" w:rsidP="00E35DD1" w14:paraId="3662E9C0" w14:textId="77777777">
      <w:pPr>
        <w:pStyle w:val="P1-StandPara"/>
        <w:tabs>
          <w:tab w:val="left" w:pos="720"/>
          <w:tab w:val="right" w:leader="dot" w:pos="9504"/>
        </w:tabs>
        <w:spacing w:before="120" w:after="120"/>
        <w:rPr>
          <w:rFonts w:asciiTheme="minorHAnsi" w:hAnsiTheme="minorHAnsi"/>
          <w:szCs w:val="22"/>
        </w:rPr>
      </w:pPr>
    </w:p>
    <w:p w:rsidR="0065708D" w:rsidP="00E35DD1" w14:paraId="0BAE2B1E" w14:textId="77777777">
      <w:pPr>
        <w:pStyle w:val="P1-StandPara"/>
        <w:tabs>
          <w:tab w:val="left" w:pos="720"/>
          <w:tab w:val="right" w:leader="dot" w:pos="9504"/>
        </w:tabs>
        <w:spacing w:before="120" w:after="120"/>
        <w:rPr>
          <w:rFonts w:asciiTheme="minorHAnsi" w:hAnsiTheme="minorHAnsi"/>
          <w:szCs w:val="22"/>
        </w:rPr>
      </w:pPr>
    </w:p>
    <w:p w:rsidR="0065708D" w:rsidP="00E35DD1" w14:paraId="33B8D280" w14:textId="77777777">
      <w:pPr>
        <w:pStyle w:val="P1-StandPara"/>
        <w:tabs>
          <w:tab w:val="left" w:pos="720"/>
          <w:tab w:val="right" w:leader="dot" w:pos="9504"/>
        </w:tabs>
        <w:spacing w:before="120" w:after="120"/>
        <w:rPr>
          <w:rFonts w:asciiTheme="minorHAnsi" w:hAnsiTheme="minorHAnsi"/>
          <w:szCs w:val="22"/>
        </w:rPr>
      </w:pPr>
    </w:p>
    <w:p w:rsidR="0065708D" w:rsidP="00E35DD1" w14:paraId="54703F9B" w14:textId="77777777">
      <w:pPr>
        <w:pStyle w:val="P1-StandPara"/>
        <w:tabs>
          <w:tab w:val="left" w:pos="720"/>
          <w:tab w:val="right" w:leader="dot" w:pos="9504"/>
        </w:tabs>
        <w:spacing w:before="120" w:after="120"/>
        <w:rPr>
          <w:rFonts w:asciiTheme="minorHAnsi" w:hAnsiTheme="minorHAnsi"/>
          <w:szCs w:val="22"/>
        </w:rPr>
      </w:pPr>
    </w:p>
    <w:p w:rsidR="0065708D" w:rsidP="00E35DD1" w14:paraId="7145059B" w14:textId="77777777">
      <w:pPr>
        <w:pStyle w:val="P1-StandPara"/>
        <w:tabs>
          <w:tab w:val="left" w:pos="720"/>
          <w:tab w:val="right" w:leader="dot" w:pos="9504"/>
        </w:tabs>
        <w:spacing w:before="120" w:after="120"/>
        <w:rPr>
          <w:rFonts w:asciiTheme="minorHAnsi" w:hAnsiTheme="minorHAnsi"/>
          <w:szCs w:val="22"/>
        </w:rPr>
      </w:pPr>
    </w:p>
    <w:p w:rsidR="0065708D" w:rsidP="00E35DD1" w14:paraId="7FF50583" w14:textId="77777777">
      <w:pPr>
        <w:pStyle w:val="P1-StandPara"/>
        <w:tabs>
          <w:tab w:val="left" w:pos="720"/>
          <w:tab w:val="right" w:leader="dot" w:pos="9504"/>
        </w:tabs>
        <w:spacing w:before="120" w:after="120"/>
        <w:rPr>
          <w:rFonts w:asciiTheme="minorHAnsi" w:hAnsiTheme="minorHAnsi"/>
          <w:szCs w:val="22"/>
        </w:rPr>
      </w:pPr>
    </w:p>
    <w:p w:rsidR="0065708D" w:rsidP="00E35DD1" w14:paraId="75E17CAE" w14:textId="77777777">
      <w:pPr>
        <w:pStyle w:val="P1-StandPara"/>
        <w:tabs>
          <w:tab w:val="left" w:pos="720"/>
          <w:tab w:val="right" w:leader="dot" w:pos="9504"/>
        </w:tabs>
        <w:spacing w:before="120" w:after="120"/>
        <w:rPr>
          <w:rFonts w:asciiTheme="minorHAnsi" w:hAnsiTheme="minorHAnsi"/>
          <w:szCs w:val="22"/>
        </w:rPr>
      </w:pPr>
    </w:p>
    <w:p w:rsidR="0065708D" w:rsidP="00E35DD1" w14:paraId="6679166B" w14:textId="77777777">
      <w:pPr>
        <w:pStyle w:val="P1-StandPara"/>
        <w:tabs>
          <w:tab w:val="left" w:pos="720"/>
          <w:tab w:val="right" w:leader="dot" w:pos="9504"/>
        </w:tabs>
        <w:spacing w:before="120" w:after="120"/>
        <w:rPr>
          <w:rFonts w:asciiTheme="minorHAnsi" w:hAnsiTheme="minorHAnsi"/>
          <w:szCs w:val="22"/>
        </w:rPr>
      </w:pPr>
    </w:p>
    <w:p w:rsidR="0065708D" w:rsidP="00E35DD1" w14:paraId="4E5E06C6" w14:textId="77777777">
      <w:pPr>
        <w:pStyle w:val="P1-StandPara"/>
        <w:tabs>
          <w:tab w:val="left" w:pos="720"/>
          <w:tab w:val="right" w:leader="dot" w:pos="9504"/>
        </w:tabs>
        <w:spacing w:before="120" w:after="120"/>
        <w:rPr>
          <w:rFonts w:asciiTheme="minorHAnsi" w:hAnsiTheme="minorHAnsi"/>
          <w:szCs w:val="22"/>
        </w:rPr>
      </w:pPr>
    </w:p>
    <w:p w:rsidR="0065708D" w:rsidP="00E35DD1" w14:paraId="0836B618" w14:textId="77777777">
      <w:pPr>
        <w:pStyle w:val="P1-StandPara"/>
        <w:tabs>
          <w:tab w:val="left" w:pos="720"/>
          <w:tab w:val="right" w:leader="dot" w:pos="9504"/>
        </w:tabs>
        <w:spacing w:before="120" w:after="120"/>
        <w:rPr>
          <w:rFonts w:asciiTheme="minorHAnsi" w:hAnsiTheme="minorHAnsi"/>
          <w:szCs w:val="22"/>
        </w:rPr>
      </w:pPr>
    </w:p>
    <w:p w:rsidR="0065708D" w:rsidP="00E35DD1" w14:paraId="35F47A3B" w14:textId="77777777">
      <w:pPr>
        <w:pStyle w:val="P1-StandPara"/>
        <w:tabs>
          <w:tab w:val="left" w:pos="720"/>
          <w:tab w:val="right" w:leader="dot" w:pos="9504"/>
        </w:tabs>
        <w:spacing w:before="120" w:after="120"/>
        <w:rPr>
          <w:rFonts w:asciiTheme="minorHAnsi" w:hAnsiTheme="minorHAnsi"/>
          <w:szCs w:val="22"/>
        </w:rPr>
      </w:pPr>
    </w:p>
    <w:p w:rsidR="00A14010" w:rsidP="00E35DD1" w14:paraId="7F01F628" w14:textId="77777777">
      <w:pPr>
        <w:pStyle w:val="P1-StandPara"/>
        <w:tabs>
          <w:tab w:val="left" w:pos="720"/>
          <w:tab w:val="right" w:leader="dot" w:pos="9504"/>
        </w:tabs>
        <w:spacing w:before="120" w:after="120"/>
        <w:rPr>
          <w:rFonts w:asciiTheme="minorHAnsi" w:hAnsiTheme="minorHAnsi"/>
          <w:szCs w:val="22"/>
        </w:rPr>
      </w:pPr>
    </w:p>
    <w:p w:rsidR="006A45F9" w:rsidRPr="00A14010" w:rsidP="00BE76A7" w14:paraId="1D50085B" w14:textId="77777777">
      <w:pPr>
        <w:pStyle w:val="P1-StandPara"/>
        <w:tabs>
          <w:tab w:val="left" w:pos="720"/>
          <w:tab w:val="right" w:leader="dot" w:pos="9504"/>
        </w:tabs>
        <w:spacing w:before="120" w:after="120" w:line="240" w:lineRule="auto"/>
        <w:ind w:firstLine="0"/>
        <w:rPr>
          <w:rFonts w:asciiTheme="minorHAnsi" w:hAnsiTheme="minorHAnsi"/>
          <w:b/>
          <w:szCs w:val="22"/>
        </w:rPr>
      </w:pPr>
      <w:r>
        <w:rPr>
          <w:rFonts w:asciiTheme="minorHAnsi" w:hAnsiTheme="minorHAnsi"/>
          <w:b/>
          <w:szCs w:val="22"/>
        </w:rPr>
        <w:t xml:space="preserve">A. </w:t>
      </w:r>
      <w:r w:rsidRPr="00BE76A7" w:rsidR="00BE76A7">
        <w:rPr>
          <w:rFonts w:asciiTheme="minorHAnsi" w:hAnsiTheme="minorHAnsi"/>
          <w:b/>
          <w:szCs w:val="22"/>
        </w:rPr>
        <w:t>Justification</w:t>
      </w:r>
    </w:p>
    <w:p w:rsidR="00976490" w:rsidP="00E918BC" w14:paraId="225D5551" w14:textId="5FC75BF2">
      <w:pPr>
        <w:pStyle w:val="P1-StandPara"/>
        <w:tabs>
          <w:tab w:val="left" w:pos="720"/>
          <w:tab w:val="right" w:leader="dot" w:pos="9504"/>
        </w:tabs>
        <w:spacing w:before="120" w:after="120" w:line="240" w:lineRule="auto"/>
        <w:ind w:firstLine="0"/>
        <w:rPr>
          <w:rFonts w:ascii="Arial" w:hAnsi="Arial" w:cs="Arial"/>
        </w:rPr>
      </w:pPr>
      <w:r w:rsidRPr="00EA246E">
        <w:rPr>
          <w:rFonts w:asciiTheme="minorHAnsi" w:hAnsiTheme="minorHAnsi"/>
          <w:szCs w:val="22"/>
          <w:highlight w:val="yellow"/>
        </w:rPr>
        <w:t>This is an extension request to continue to collect data past the current expiration date.</w:t>
      </w:r>
      <w:r>
        <w:rPr>
          <w:rFonts w:asciiTheme="minorHAnsi" w:hAnsiTheme="minorHAnsi"/>
          <w:szCs w:val="22"/>
        </w:rPr>
        <w:t xml:space="preserve"> </w:t>
      </w:r>
      <w:r w:rsidRPr="00A14010" w:rsidR="00E918BC">
        <w:rPr>
          <w:rFonts w:asciiTheme="minorHAnsi" w:hAnsiTheme="minorHAnsi"/>
          <w:szCs w:val="22"/>
        </w:rPr>
        <w:t>Th</w:t>
      </w:r>
      <w:r w:rsidRPr="00A14010" w:rsidR="001D446E">
        <w:rPr>
          <w:rFonts w:asciiTheme="minorHAnsi" w:hAnsiTheme="minorHAnsi"/>
          <w:szCs w:val="22"/>
        </w:rPr>
        <w:t>is</w:t>
      </w:r>
      <w:r w:rsidRPr="00A14010" w:rsidR="00E918BC">
        <w:rPr>
          <w:rFonts w:asciiTheme="minorHAnsi" w:hAnsiTheme="minorHAnsi"/>
          <w:szCs w:val="22"/>
        </w:rPr>
        <w:t xml:space="preserve"> e</w:t>
      </w:r>
      <w:r w:rsidR="00E918BC">
        <w:rPr>
          <w:rFonts w:asciiTheme="minorHAnsi" w:hAnsiTheme="minorHAnsi"/>
          <w:szCs w:val="22"/>
        </w:rPr>
        <w:t>ffort support</w:t>
      </w:r>
      <w:r w:rsidR="00231E5F">
        <w:rPr>
          <w:rFonts w:asciiTheme="minorHAnsi" w:hAnsiTheme="minorHAnsi"/>
          <w:szCs w:val="22"/>
        </w:rPr>
        <w:t>s</w:t>
      </w:r>
      <w:r w:rsidR="00E918BC">
        <w:rPr>
          <w:rFonts w:asciiTheme="minorHAnsi" w:hAnsiTheme="minorHAnsi"/>
          <w:szCs w:val="22"/>
        </w:rPr>
        <w:t xml:space="preserve"> </w:t>
      </w:r>
      <w:r w:rsidR="002620A2">
        <w:rPr>
          <w:rFonts w:asciiTheme="minorHAnsi" w:hAnsiTheme="minorHAnsi"/>
          <w:szCs w:val="22"/>
        </w:rPr>
        <w:t>the NIH Path to Excellence and Innovation</w:t>
      </w:r>
      <w:r w:rsidR="00F57360">
        <w:rPr>
          <w:rFonts w:asciiTheme="minorHAnsi" w:hAnsiTheme="minorHAnsi"/>
          <w:szCs w:val="22"/>
        </w:rPr>
        <w:t xml:space="preserve"> (PEI)</w:t>
      </w:r>
      <w:r w:rsidR="002620A2">
        <w:rPr>
          <w:rFonts w:asciiTheme="minorHAnsi" w:hAnsiTheme="minorHAnsi"/>
          <w:szCs w:val="22"/>
        </w:rPr>
        <w:t xml:space="preserve"> Program formed in accordance with </w:t>
      </w:r>
      <w:r w:rsidRPr="00E918BC" w:rsidR="00E918BC">
        <w:rPr>
          <w:rFonts w:asciiTheme="minorHAnsi" w:hAnsiTheme="minorHAnsi"/>
          <w:szCs w:val="22"/>
        </w:rPr>
        <w:t>Presidential Executive Order 13779</w:t>
      </w:r>
      <w:r w:rsidR="007C3611">
        <w:rPr>
          <w:rFonts w:asciiTheme="minorHAnsi" w:hAnsiTheme="minorHAnsi"/>
          <w:szCs w:val="22"/>
        </w:rPr>
        <w:t>,</w:t>
      </w:r>
      <w:r w:rsidRPr="00F90486" w:rsidR="007C3611">
        <w:rPr>
          <w:rFonts w:asciiTheme="minorHAnsi" w:hAnsiTheme="minorHAnsi"/>
          <w:i/>
          <w:szCs w:val="22"/>
        </w:rPr>
        <w:t xml:space="preserve"> The</w:t>
      </w:r>
      <w:r w:rsidRPr="00F90486" w:rsidR="00E918BC">
        <w:rPr>
          <w:rFonts w:asciiTheme="minorHAnsi" w:hAnsiTheme="minorHAnsi"/>
          <w:i/>
          <w:szCs w:val="22"/>
        </w:rPr>
        <w:t xml:space="preserve"> White House </w:t>
      </w:r>
      <w:r w:rsidRPr="00F90486" w:rsidR="002620A2">
        <w:rPr>
          <w:rFonts w:asciiTheme="minorHAnsi" w:hAnsiTheme="minorHAnsi"/>
          <w:i/>
          <w:szCs w:val="22"/>
        </w:rPr>
        <w:t>I</w:t>
      </w:r>
      <w:r w:rsidRPr="00F90486" w:rsidR="00E918BC">
        <w:rPr>
          <w:rFonts w:asciiTheme="minorHAnsi" w:hAnsiTheme="minorHAnsi"/>
          <w:i/>
          <w:szCs w:val="22"/>
        </w:rPr>
        <w:t xml:space="preserve">nitiative to </w:t>
      </w:r>
      <w:r w:rsidRPr="00F90486" w:rsidR="002620A2">
        <w:rPr>
          <w:rFonts w:asciiTheme="minorHAnsi" w:hAnsiTheme="minorHAnsi"/>
          <w:i/>
          <w:szCs w:val="22"/>
        </w:rPr>
        <w:t>P</w:t>
      </w:r>
      <w:r w:rsidRPr="00F90486" w:rsidR="00E918BC">
        <w:rPr>
          <w:rFonts w:asciiTheme="minorHAnsi" w:hAnsiTheme="minorHAnsi"/>
          <w:i/>
          <w:szCs w:val="22"/>
        </w:rPr>
        <w:t xml:space="preserve">romote </w:t>
      </w:r>
      <w:r w:rsidRPr="00F90486" w:rsidR="002620A2">
        <w:rPr>
          <w:rFonts w:asciiTheme="minorHAnsi" w:hAnsiTheme="minorHAnsi"/>
          <w:i/>
          <w:szCs w:val="22"/>
        </w:rPr>
        <w:t>E</w:t>
      </w:r>
      <w:r w:rsidRPr="00F90486" w:rsidR="00E918BC">
        <w:rPr>
          <w:rFonts w:asciiTheme="minorHAnsi" w:hAnsiTheme="minorHAnsi"/>
          <w:i/>
          <w:szCs w:val="22"/>
        </w:rPr>
        <w:t xml:space="preserve">xcellence and </w:t>
      </w:r>
      <w:r w:rsidRPr="00F90486" w:rsidR="002620A2">
        <w:rPr>
          <w:rFonts w:asciiTheme="minorHAnsi" w:hAnsiTheme="minorHAnsi"/>
          <w:i/>
          <w:szCs w:val="22"/>
        </w:rPr>
        <w:t>I</w:t>
      </w:r>
      <w:r w:rsidRPr="00F90486" w:rsidR="00E918BC">
        <w:rPr>
          <w:rFonts w:asciiTheme="minorHAnsi" w:hAnsiTheme="minorHAnsi"/>
          <w:i/>
          <w:szCs w:val="22"/>
        </w:rPr>
        <w:t xml:space="preserve">nnovation at </w:t>
      </w:r>
      <w:r w:rsidRPr="00F90486" w:rsidR="002620A2">
        <w:rPr>
          <w:rFonts w:asciiTheme="minorHAnsi" w:hAnsiTheme="minorHAnsi"/>
          <w:i/>
          <w:szCs w:val="22"/>
        </w:rPr>
        <w:t>Historically Black Colleges and Universities</w:t>
      </w:r>
      <w:r w:rsidR="002620A2">
        <w:rPr>
          <w:rFonts w:asciiTheme="minorHAnsi" w:hAnsiTheme="minorHAnsi"/>
          <w:szCs w:val="22"/>
        </w:rPr>
        <w:t xml:space="preserve"> (HBCUs)</w:t>
      </w:r>
      <w:r w:rsidRPr="00E918BC" w:rsidR="00E918BC">
        <w:rPr>
          <w:rFonts w:asciiTheme="minorHAnsi" w:hAnsiTheme="minorHAnsi"/>
          <w:szCs w:val="22"/>
        </w:rPr>
        <w:t xml:space="preserve">.  </w:t>
      </w:r>
      <w:r w:rsidRPr="00E918BC" w:rsidR="001D446E">
        <w:rPr>
          <w:rFonts w:asciiTheme="minorHAnsi" w:hAnsiTheme="minorHAnsi"/>
          <w:szCs w:val="22"/>
        </w:rPr>
        <w:t xml:space="preserve">The </w:t>
      </w:r>
      <w:r w:rsidR="001D446E">
        <w:rPr>
          <w:rFonts w:asciiTheme="minorHAnsi" w:hAnsiTheme="minorHAnsi"/>
          <w:szCs w:val="22"/>
        </w:rPr>
        <w:t xml:space="preserve">HBCU </w:t>
      </w:r>
      <w:r w:rsidR="00820FCC">
        <w:rPr>
          <w:rFonts w:asciiTheme="minorHAnsi" w:hAnsiTheme="minorHAnsi"/>
          <w:szCs w:val="22"/>
        </w:rPr>
        <w:t>p</w:t>
      </w:r>
      <w:r w:rsidR="001D446E">
        <w:rPr>
          <w:rFonts w:asciiTheme="minorHAnsi" w:hAnsiTheme="minorHAnsi"/>
          <w:szCs w:val="22"/>
        </w:rPr>
        <w:t>re-solicitation portal is</w:t>
      </w:r>
      <w:r w:rsidR="002620A2">
        <w:rPr>
          <w:rFonts w:asciiTheme="minorHAnsi" w:hAnsiTheme="minorHAnsi"/>
          <w:szCs w:val="22"/>
        </w:rPr>
        <w:t xml:space="preserve"> a tool to</w:t>
      </w:r>
      <w:r w:rsidR="001D446E">
        <w:rPr>
          <w:rFonts w:asciiTheme="minorHAnsi" w:hAnsiTheme="minorHAnsi"/>
          <w:szCs w:val="22"/>
        </w:rPr>
        <w:t xml:space="preserve"> collect </w:t>
      </w:r>
      <w:r w:rsidR="002620A2">
        <w:rPr>
          <w:rFonts w:asciiTheme="minorHAnsi" w:hAnsiTheme="minorHAnsi"/>
          <w:szCs w:val="22"/>
        </w:rPr>
        <w:t xml:space="preserve">NIH contracts </w:t>
      </w:r>
      <w:r w:rsidR="001D446E">
        <w:rPr>
          <w:rFonts w:asciiTheme="minorHAnsi" w:hAnsiTheme="minorHAnsi"/>
          <w:szCs w:val="22"/>
        </w:rPr>
        <w:t xml:space="preserve">and </w:t>
      </w:r>
      <w:r w:rsidR="002620A2">
        <w:rPr>
          <w:rFonts w:asciiTheme="minorHAnsi" w:hAnsiTheme="minorHAnsi"/>
          <w:szCs w:val="22"/>
        </w:rPr>
        <w:t xml:space="preserve">grants </w:t>
      </w:r>
      <w:r w:rsidR="00F57360">
        <w:rPr>
          <w:rFonts w:asciiTheme="minorHAnsi" w:hAnsiTheme="minorHAnsi"/>
          <w:szCs w:val="22"/>
        </w:rPr>
        <w:t xml:space="preserve">data </w:t>
      </w:r>
      <w:r w:rsidR="002739AA">
        <w:rPr>
          <w:rFonts w:asciiTheme="minorHAnsi" w:hAnsiTheme="minorHAnsi"/>
          <w:szCs w:val="22"/>
        </w:rPr>
        <w:t xml:space="preserve">that </w:t>
      </w:r>
      <w:r w:rsidR="001D446E">
        <w:rPr>
          <w:rFonts w:asciiTheme="minorHAnsi" w:hAnsiTheme="minorHAnsi"/>
          <w:szCs w:val="22"/>
        </w:rPr>
        <w:t xml:space="preserve">HBCUs and </w:t>
      </w:r>
      <w:r w:rsidR="002620A2">
        <w:rPr>
          <w:rFonts w:asciiTheme="minorHAnsi" w:hAnsiTheme="minorHAnsi"/>
          <w:szCs w:val="22"/>
        </w:rPr>
        <w:t>their business teaming partners</w:t>
      </w:r>
      <w:r w:rsidR="001D446E">
        <w:rPr>
          <w:rFonts w:asciiTheme="minorHAnsi" w:hAnsiTheme="minorHAnsi"/>
          <w:szCs w:val="22"/>
        </w:rPr>
        <w:t xml:space="preserve"> may be interested in pursuing.</w:t>
      </w:r>
      <w:r w:rsidR="00875F01">
        <w:rPr>
          <w:rFonts w:asciiTheme="minorHAnsi" w:hAnsiTheme="minorHAnsi"/>
          <w:szCs w:val="22"/>
        </w:rPr>
        <w:t xml:space="preserve">  The portal provide</w:t>
      </w:r>
      <w:r w:rsidR="00472193">
        <w:rPr>
          <w:rFonts w:asciiTheme="minorHAnsi" w:hAnsiTheme="minorHAnsi"/>
          <w:szCs w:val="22"/>
        </w:rPr>
        <w:t>s</w:t>
      </w:r>
      <w:r w:rsidR="00875F01">
        <w:rPr>
          <w:rFonts w:asciiTheme="minorHAnsi" w:hAnsiTheme="minorHAnsi"/>
          <w:szCs w:val="22"/>
        </w:rPr>
        <w:t xml:space="preserve"> a streamlined platform for NIH funding </w:t>
      </w:r>
      <w:r w:rsidR="00903C2F">
        <w:rPr>
          <w:rFonts w:asciiTheme="minorHAnsi" w:hAnsiTheme="minorHAnsi"/>
          <w:szCs w:val="22"/>
        </w:rPr>
        <w:t>opportunities that consolidate</w:t>
      </w:r>
      <w:r w:rsidR="00883A36">
        <w:rPr>
          <w:rFonts w:asciiTheme="minorHAnsi" w:hAnsiTheme="minorHAnsi"/>
          <w:szCs w:val="22"/>
        </w:rPr>
        <w:t xml:space="preserve"> </w:t>
      </w:r>
      <w:r w:rsidR="00875F01">
        <w:rPr>
          <w:rFonts w:asciiTheme="minorHAnsi" w:hAnsiTheme="minorHAnsi"/>
          <w:szCs w:val="22"/>
        </w:rPr>
        <w:t>information from four different</w:t>
      </w:r>
      <w:r w:rsidR="00F57360">
        <w:rPr>
          <w:rFonts w:asciiTheme="minorHAnsi" w:hAnsiTheme="minorHAnsi"/>
          <w:szCs w:val="22"/>
        </w:rPr>
        <w:t xml:space="preserve"> Federal</w:t>
      </w:r>
      <w:r w:rsidR="00875F01">
        <w:rPr>
          <w:rFonts w:asciiTheme="minorHAnsi" w:hAnsiTheme="minorHAnsi"/>
          <w:szCs w:val="22"/>
        </w:rPr>
        <w:t xml:space="preserve"> </w:t>
      </w:r>
      <w:r w:rsidR="00F57360">
        <w:rPr>
          <w:rFonts w:asciiTheme="minorHAnsi" w:hAnsiTheme="minorHAnsi"/>
          <w:szCs w:val="22"/>
        </w:rPr>
        <w:t>web</w:t>
      </w:r>
      <w:r w:rsidR="00875F01">
        <w:rPr>
          <w:rFonts w:asciiTheme="minorHAnsi" w:hAnsiTheme="minorHAnsi"/>
          <w:szCs w:val="22"/>
        </w:rPr>
        <w:t xml:space="preserve">sites.  </w:t>
      </w:r>
      <w:r w:rsidR="00883A36">
        <w:rPr>
          <w:rFonts w:asciiTheme="minorHAnsi" w:hAnsiTheme="minorHAnsi"/>
          <w:szCs w:val="22"/>
        </w:rPr>
        <w:t xml:space="preserve"> </w:t>
      </w:r>
      <w:r w:rsidR="00F57360">
        <w:rPr>
          <w:rFonts w:asciiTheme="minorHAnsi" w:hAnsiTheme="minorHAnsi"/>
          <w:szCs w:val="22"/>
        </w:rPr>
        <w:t>Additionally,</w:t>
      </w:r>
      <w:r w:rsidR="00883A36">
        <w:rPr>
          <w:rFonts w:asciiTheme="minorHAnsi" w:hAnsiTheme="minorHAnsi"/>
          <w:szCs w:val="22"/>
        </w:rPr>
        <w:t xml:space="preserve"> this tool has a social networking component that create</w:t>
      </w:r>
      <w:r w:rsidR="00472193">
        <w:rPr>
          <w:rFonts w:asciiTheme="minorHAnsi" w:hAnsiTheme="minorHAnsi"/>
          <w:szCs w:val="22"/>
        </w:rPr>
        <w:t>s</w:t>
      </w:r>
      <w:r w:rsidR="00883A36">
        <w:rPr>
          <w:rFonts w:asciiTheme="minorHAnsi" w:hAnsiTheme="minorHAnsi"/>
          <w:szCs w:val="22"/>
        </w:rPr>
        <w:t xml:space="preserve"> a space for HBCUs and businesses to collaborate </w:t>
      </w:r>
      <w:r w:rsidR="00F57360">
        <w:rPr>
          <w:rFonts w:asciiTheme="minorHAnsi" w:hAnsiTheme="minorHAnsi"/>
          <w:szCs w:val="22"/>
        </w:rPr>
        <w:t xml:space="preserve">as they </w:t>
      </w:r>
      <w:r w:rsidR="00883A36">
        <w:rPr>
          <w:rFonts w:asciiTheme="minorHAnsi" w:hAnsiTheme="minorHAnsi"/>
          <w:szCs w:val="22"/>
        </w:rPr>
        <w:t>pursu</w:t>
      </w:r>
      <w:r w:rsidR="00F57360">
        <w:rPr>
          <w:rFonts w:asciiTheme="minorHAnsi" w:hAnsiTheme="minorHAnsi"/>
          <w:szCs w:val="22"/>
        </w:rPr>
        <w:t>e</w:t>
      </w:r>
      <w:r w:rsidR="00883A36">
        <w:rPr>
          <w:rFonts w:asciiTheme="minorHAnsi" w:hAnsiTheme="minorHAnsi"/>
          <w:szCs w:val="22"/>
        </w:rPr>
        <w:t xml:space="preserve"> of NIH funding opportunities.  </w:t>
      </w:r>
      <w:r w:rsidR="00E918BC">
        <w:rPr>
          <w:rFonts w:asciiTheme="minorHAnsi" w:hAnsiTheme="minorHAnsi"/>
          <w:szCs w:val="22"/>
        </w:rPr>
        <w:t xml:space="preserve">Through the collection and analysis of this information, </w:t>
      </w:r>
      <w:r w:rsidR="00762F3D">
        <w:rPr>
          <w:rFonts w:asciiTheme="minorHAnsi" w:hAnsiTheme="minorHAnsi"/>
          <w:szCs w:val="22"/>
        </w:rPr>
        <w:t xml:space="preserve">the </w:t>
      </w:r>
      <w:r w:rsidR="00D55FAC">
        <w:rPr>
          <w:rFonts w:asciiTheme="minorHAnsi" w:hAnsiTheme="minorHAnsi"/>
          <w:szCs w:val="22"/>
        </w:rPr>
        <w:t>National Institutes of Health (</w:t>
      </w:r>
      <w:r w:rsidR="002739AA">
        <w:rPr>
          <w:rFonts w:asciiTheme="minorHAnsi" w:hAnsiTheme="minorHAnsi"/>
          <w:szCs w:val="22"/>
        </w:rPr>
        <w:t>NIH</w:t>
      </w:r>
      <w:r w:rsidR="00D55FAC">
        <w:rPr>
          <w:rFonts w:asciiTheme="minorHAnsi" w:hAnsiTheme="minorHAnsi"/>
          <w:szCs w:val="22"/>
        </w:rPr>
        <w:t>) Small Business Program Office</w:t>
      </w:r>
      <w:r w:rsidR="002739AA">
        <w:rPr>
          <w:rFonts w:asciiTheme="minorHAnsi" w:hAnsiTheme="minorHAnsi"/>
          <w:szCs w:val="22"/>
        </w:rPr>
        <w:t xml:space="preserve"> </w:t>
      </w:r>
      <w:r w:rsidR="00D55FAC">
        <w:rPr>
          <w:rFonts w:asciiTheme="minorHAnsi" w:hAnsiTheme="minorHAnsi"/>
          <w:szCs w:val="22"/>
        </w:rPr>
        <w:t>(</w:t>
      </w:r>
      <w:r w:rsidR="001D446E">
        <w:rPr>
          <w:rFonts w:asciiTheme="minorHAnsi" w:hAnsiTheme="minorHAnsi"/>
          <w:szCs w:val="22"/>
        </w:rPr>
        <w:t>SBPO</w:t>
      </w:r>
      <w:r w:rsidR="00D55FAC">
        <w:rPr>
          <w:rFonts w:asciiTheme="minorHAnsi" w:hAnsiTheme="minorHAnsi"/>
          <w:szCs w:val="22"/>
        </w:rPr>
        <w:t>)</w:t>
      </w:r>
      <w:r w:rsidR="001D446E">
        <w:rPr>
          <w:rFonts w:asciiTheme="minorHAnsi" w:hAnsiTheme="minorHAnsi"/>
          <w:szCs w:val="22"/>
        </w:rPr>
        <w:t xml:space="preserve"> </w:t>
      </w:r>
      <w:r w:rsidR="00762F3D">
        <w:rPr>
          <w:rFonts w:asciiTheme="minorHAnsi" w:hAnsiTheme="minorHAnsi"/>
          <w:szCs w:val="22"/>
        </w:rPr>
        <w:t>assist</w:t>
      </w:r>
      <w:r w:rsidR="00472193">
        <w:rPr>
          <w:rFonts w:asciiTheme="minorHAnsi" w:hAnsiTheme="minorHAnsi"/>
          <w:szCs w:val="22"/>
        </w:rPr>
        <w:t>s</w:t>
      </w:r>
      <w:r w:rsidR="00762F3D">
        <w:rPr>
          <w:rFonts w:asciiTheme="minorHAnsi" w:hAnsiTheme="minorHAnsi"/>
          <w:szCs w:val="22"/>
        </w:rPr>
        <w:t xml:space="preserve"> in strengthening HBCUs</w:t>
      </w:r>
      <w:r w:rsidR="00F57360">
        <w:rPr>
          <w:rFonts w:asciiTheme="minorHAnsi" w:hAnsiTheme="minorHAnsi"/>
          <w:szCs w:val="22"/>
        </w:rPr>
        <w:t>’</w:t>
      </w:r>
      <w:r w:rsidR="00762F3D">
        <w:rPr>
          <w:rFonts w:asciiTheme="minorHAnsi" w:hAnsiTheme="minorHAnsi"/>
          <w:szCs w:val="22"/>
        </w:rPr>
        <w:t xml:space="preserve"> ability </w:t>
      </w:r>
      <w:r w:rsidR="00F57360">
        <w:rPr>
          <w:rFonts w:asciiTheme="minorHAnsi" w:hAnsiTheme="minorHAnsi"/>
          <w:szCs w:val="22"/>
        </w:rPr>
        <w:t xml:space="preserve">to </w:t>
      </w:r>
      <w:r w:rsidR="001D446E">
        <w:rPr>
          <w:rFonts w:asciiTheme="minorHAnsi" w:hAnsiTheme="minorHAnsi"/>
          <w:szCs w:val="22"/>
        </w:rPr>
        <w:t>equitabl</w:t>
      </w:r>
      <w:r w:rsidR="00F57360">
        <w:rPr>
          <w:rFonts w:asciiTheme="minorHAnsi" w:hAnsiTheme="minorHAnsi"/>
          <w:szCs w:val="22"/>
        </w:rPr>
        <w:t>y</w:t>
      </w:r>
      <w:r w:rsidR="001D446E">
        <w:rPr>
          <w:rFonts w:asciiTheme="minorHAnsi" w:hAnsiTheme="minorHAnsi"/>
          <w:szCs w:val="22"/>
        </w:rPr>
        <w:t xml:space="preserve"> participat</w:t>
      </w:r>
      <w:r w:rsidR="00F57360">
        <w:rPr>
          <w:rFonts w:asciiTheme="minorHAnsi" w:hAnsiTheme="minorHAnsi"/>
          <w:szCs w:val="22"/>
        </w:rPr>
        <w:t>e</w:t>
      </w:r>
      <w:r w:rsidR="001D446E">
        <w:rPr>
          <w:rFonts w:asciiTheme="minorHAnsi" w:hAnsiTheme="minorHAnsi"/>
          <w:szCs w:val="22"/>
        </w:rPr>
        <w:t xml:space="preserve"> in Federal </w:t>
      </w:r>
      <w:r w:rsidR="00F57360">
        <w:rPr>
          <w:rFonts w:asciiTheme="minorHAnsi" w:hAnsiTheme="minorHAnsi"/>
          <w:szCs w:val="22"/>
        </w:rPr>
        <w:t xml:space="preserve">funding </w:t>
      </w:r>
      <w:r w:rsidR="001D446E">
        <w:rPr>
          <w:rFonts w:asciiTheme="minorHAnsi" w:hAnsiTheme="minorHAnsi"/>
          <w:szCs w:val="22"/>
        </w:rPr>
        <w:t xml:space="preserve">programs.   </w:t>
      </w:r>
      <w:r w:rsidRPr="001B6DCA" w:rsidR="00E918BC">
        <w:rPr>
          <w:rFonts w:ascii="Arial" w:hAnsi="Arial" w:cs="Arial"/>
        </w:rPr>
        <w:t xml:space="preserve">  </w:t>
      </w:r>
    </w:p>
    <w:p w:rsidR="00E918BC" w:rsidP="00E918BC" w14:paraId="719EB820" w14:textId="77777777">
      <w:pPr>
        <w:pStyle w:val="P1-StandPara"/>
        <w:tabs>
          <w:tab w:val="left" w:pos="720"/>
          <w:tab w:val="right" w:leader="dot" w:pos="9504"/>
        </w:tabs>
        <w:spacing w:before="120" w:after="120" w:line="240" w:lineRule="auto"/>
        <w:ind w:firstLine="0"/>
        <w:rPr>
          <w:rFonts w:asciiTheme="minorHAnsi" w:hAnsiTheme="minorHAnsi"/>
          <w:b/>
          <w:szCs w:val="22"/>
        </w:rPr>
      </w:pPr>
      <w:r>
        <w:rPr>
          <w:rFonts w:asciiTheme="minorHAnsi" w:hAnsiTheme="minorHAnsi"/>
          <w:b/>
          <w:szCs w:val="22"/>
        </w:rPr>
        <w:t xml:space="preserve">  </w:t>
      </w:r>
    </w:p>
    <w:p w:rsidR="000F3043" w:rsidRPr="00E35DD1" w:rsidP="00A14010" w14:paraId="710A8A33" w14:textId="77777777">
      <w:pPr>
        <w:pStyle w:val="P1-StandPara"/>
        <w:tabs>
          <w:tab w:val="left" w:pos="720"/>
          <w:tab w:val="right" w:leader="dot" w:pos="9504"/>
        </w:tabs>
        <w:spacing w:after="120"/>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rsidR="00091F7D" w:rsidRPr="00091F7D" w:rsidP="00091F7D" w14:paraId="3C64B9FE" w14:textId="0C46C23B">
      <w:pPr>
        <w:rPr>
          <w:rFonts w:eastAsia="Times New Roman" w:cs="Times New Roman"/>
        </w:rPr>
      </w:pPr>
      <w:r w:rsidRPr="00091F7D">
        <w:rPr>
          <w:rFonts w:eastAsia="Times New Roman" w:cs="Times New Roman"/>
        </w:rPr>
        <w:t xml:space="preserve">Presidential Executive Order 13779 is the </w:t>
      </w:r>
      <w:r w:rsidRPr="00F90486">
        <w:rPr>
          <w:rFonts w:eastAsia="Times New Roman" w:cs="Times New Roman"/>
          <w:i/>
        </w:rPr>
        <w:t xml:space="preserve">White House </w:t>
      </w:r>
      <w:r w:rsidRPr="00F90486" w:rsidR="00883A36">
        <w:rPr>
          <w:rFonts w:eastAsia="Times New Roman" w:cs="Times New Roman"/>
          <w:i/>
        </w:rPr>
        <w:t>I</w:t>
      </w:r>
      <w:r w:rsidRPr="00F90486">
        <w:rPr>
          <w:rFonts w:eastAsia="Times New Roman" w:cs="Times New Roman"/>
          <w:i/>
        </w:rPr>
        <w:t xml:space="preserve">nitiative to </w:t>
      </w:r>
      <w:r w:rsidRPr="00F90486" w:rsidR="00883A36">
        <w:rPr>
          <w:rFonts w:eastAsia="Times New Roman" w:cs="Times New Roman"/>
          <w:i/>
        </w:rPr>
        <w:t>P</w:t>
      </w:r>
      <w:r w:rsidRPr="00F90486">
        <w:rPr>
          <w:rFonts w:eastAsia="Times New Roman" w:cs="Times New Roman"/>
          <w:i/>
        </w:rPr>
        <w:t xml:space="preserve">romote </w:t>
      </w:r>
      <w:r w:rsidRPr="00F90486" w:rsidR="00883A36">
        <w:rPr>
          <w:rFonts w:eastAsia="Times New Roman" w:cs="Times New Roman"/>
          <w:i/>
        </w:rPr>
        <w:t>E</w:t>
      </w:r>
      <w:r w:rsidRPr="00F90486">
        <w:rPr>
          <w:rFonts w:eastAsia="Times New Roman" w:cs="Times New Roman"/>
          <w:i/>
        </w:rPr>
        <w:t xml:space="preserve">xcellence and </w:t>
      </w:r>
      <w:r w:rsidRPr="00F90486" w:rsidR="00883A36">
        <w:rPr>
          <w:rFonts w:eastAsia="Times New Roman" w:cs="Times New Roman"/>
          <w:i/>
        </w:rPr>
        <w:t>I</w:t>
      </w:r>
      <w:r w:rsidRPr="00F90486">
        <w:rPr>
          <w:rFonts w:eastAsia="Times New Roman" w:cs="Times New Roman"/>
          <w:i/>
        </w:rPr>
        <w:t>nnovation</w:t>
      </w:r>
      <w:r w:rsidR="00BD6D8F">
        <w:rPr>
          <w:rFonts w:eastAsia="Times New Roman" w:cs="Times New Roman"/>
          <w:i/>
        </w:rPr>
        <w:t xml:space="preserve"> (PEI)</w:t>
      </w:r>
      <w:r w:rsidRPr="00F90486">
        <w:rPr>
          <w:rFonts w:eastAsia="Times New Roman" w:cs="Times New Roman"/>
          <w:i/>
        </w:rPr>
        <w:t xml:space="preserve"> </w:t>
      </w:r>
      <w:r w:rsidRPr="00F90486" w:rsidR="00D55FAC">
        <w:rPr>
          <w:rFonts w:eastAsia="Times New Roman" w:cs="Times New Roman"/>
          <w:i/>
        </w:rPr>
        <w:t>of HBCUs</w:t>
      </w:r>
      <w:r w:rsidRPr="00091F7D">
        <w:rPr>
          <w:rFonts w:eastAsia="Times New Roman" w:cs="Times New Roman"/>
        </w:rPr>
        <w:t xml:space="preserve">.  </w:t>
      </w:r>
      <w:r w:rsidR="00883A36">
        <w:rPr>
          <w:rFonts w:eastAsia="Times New Roman" w:cs="Times New Roman"/>
        </w:rPr>
        <w:t xml:space="preserve">This Executive Order mandates agencies to </w:t>
      </w:r>
      <w:r w:rsidRPr="00091F7D">
        <w:rPr>
          <w:rFonts w:eastAsia="Times New Roman" w:cs="Times New Roman"/>
        </w:rPr>
        <w:t>assist in strengthening HBCU’s ability for equitable participation in Federal programs and explore new ways to improve the relationship between the Federal Government and HBCUs.  This initiative establish</w:t>
      </w:r>
      <w:r w:rsidR="009B54AE">
        <w:rPr>
          <w:rFonts w:eastAsia="Times New Roman" w:cs="Times New Roman"/>
        </w:rPr>
        <w:t>es</w:t>
      </w:r>
      <w:r w:rsidRPr="00091F7D">
        <w:rPr>
          <w:rFonts w:eastAsia="Times New Roman" w:cs="Times New Roman"/>
        </w:rPr>
        <w:t xml:space="preserve"> how </w:t>
      </w:r>
      <w:r w:rsidR="00F57360">
        <w:rPr>
          <w:rFonts w:eastAsia="Times New Roman" w:cs="Times New Roman"/>
        </w:rPr>
        <w:t>each</w:t>
      </w:r>
      <w:r w:rsidRPr="00091F7D" w:rsidR="00F57360">
        <w:rPr>
          <w:rFonts w:eastAsia="Times New Roman" w:cs="Times New Roman"/>
        </w:rPr>
        <w:t xml:space="preserve"> </w:t>
      </w:r>
      <w:r w:rsidRPr="00091F7D">
        <w:rPr>
          <w:rFonts w:eastAsia="Times New Roman" w:cs="Times New Roman"/>
        </w:rPr>
        <w:t xml:space="preserve">agency intends to increase the capacity of HBCUs to compete effectively for grants and contracts.      </w:t>
      </w:r>
    </w:p>
    <w:p w:rsidR="002831C8" w:rsidP="002831C8" w14:paraId="494B1A47" w14:textId="43B844D7">
      <w:pPr>
        <w:spacing w:after="0" w:line="240" w:lineRule="auto"/>
        <w:rPr>
          <w:rFonts w:eastAsia="Times New Roman" w:cs="Times New Roman"/>
        </w:rPr>
      </w:pPr>
      <w:r w:rsidRPr="00712D5C">
        <w:rPr>
          <w:rFonts w:eastAsia="Times New Roman" w:cs="Times New Roman"/>
        </w:rPr>
        <w:t xml:space="preserve">The PEI is a comprehensive plan to increase the capacity of HBCUs as they pursue funding opportunities at the NIH. The PEI provides a platform to increase transparency between HBCUs and the NIH by </w:t>
      </w:r>
      <w:r w:rsidR="00F57360">
        <w:rPr>
          <w:rFonts w:eastAsia="Times New Roman" w:cs="Times New Roman"/>
        </w:rPr>
        <w:t>promoting</w:t>
      </w:r>
      <w:r w:rsidRPr="00712D5C" w:rsidR="00F57360">
        <w:rPr>
          <w:rFonts w:eastAsia="Times New Roman" w:cs="Times New Roman"/>
        </w:rPr>
        <w:t xml:space="preserve"> </w:t>
      </w:r>
      <w:r w:rsidRPr="00712D5C">
        <w:rPr>
          <w:rFonts w:eastAsia="Times New Roman" w:cs="Times New Roman"/>
        </w:rPr>
        <w:t>outreach events</w:t>
      </w:r>
      <w:r w:rsidR="00F57360">
        <w:rPr>
          <w:rFonts w:eastAsia="Times New Roman" w:cs="Times New Roman"/>
        </w:rPr>
        <w:t xml:space="preserve"> and </w:t>
      </w:r>
      <w:r w:rsidRPr="00712D5C">
        <w:rPr>
          <w:rFonts w:eastAsia="Times New Roman" w:cs="Times New Roman"/>
        </w:rPr>
        <w:t>training opportunities</w:t>
      </w:r>
      <w:r w:rsidR="00F57360">
        <w:rPr>
          <w:rFonts w:eastAsia="Times New Roman" w:cs="Times New Roman"/>
        </w:rPr>
        <w:t xml:space="preserve"> </w:t>
      </w:r>
      <w:r w:rsidRPr="00712D5C">
        <w:rPr>
          <w:rFonts w:eastAsia="Times New Roman" w:cs="Times New Roman"/>
        </w:rPr>
        <w:t xml:space="preserve">and </w:t>
      </w:r>
      <w:r w:rsidR="00F57360">
        <w:rPr>
          <w:rFonts w:eastAsia="Times New Roman" w:cs="Times New Roman"/>
        </w:rPr>
        <w:t xml:space="preserve">providing </w:t>
      </w:r>
      <w:r w:rsidRPr="00712D5C">
        <w:rPr>
          <w:rFonts w:eastAsia="Times New Roman" w:cs="Times New Roman"/>
        </w:rPr>
        <w:t xml:space="preserve">technical assistance. </w:t>
      </w:r>
      <w:r w:rsidRPr="00EA246E" w:rsidR="00255863">
        <w:rPr>
          <w:rFonts w:eastAsia="Times New Roman" w:cs="Times New Roman"/>
          <w:highlight w:val="yellow"/>
        </w:rPr>
        <w:t>Previously there w</w:t>
      </w:r>
      <w:r w:rsidR="00472193">
        <w:rPr>
          <w:rFonts w:eastAsia="Times New Roman" w:cs="Times New Roman"/>
          <w:highlight w:val="yellow"/>
        </w:rPr>
        <w:t>e</w:t>
      </w:r>
      <w:r w:rsidRPr="00EA246E" w:rsidR="00255863">
        <w:rPr>
          <w:rFonts w:eastAsia="Times New Roman" w:cs="Times New Roman"/>
          <w:highlight w:val="yellow"/>
        </w:rPr>
        <w:t xml:space="preserve">re </w:t>
      </w:r>
      <w:r w:rsidR="00472193">
        <w:rPr>
          <w:rFonts w:eastAsia="Times New Roman" w:cs="Times New Roman"/>
          <w:highlight w:val="yellow"/>
        </w:rPr>
        <w:t xml:space="preserve">six HBCU </w:t>
      </w:r>
      <w:r w:rsidRPr="00EA246E" w:rsidR="00255863">
        <w:rPr>
          <w:rFonts w:eastAsia="Times New Roman" w:cs="Times New Roman"/>
          <w:highlight w:val="yellow"/>
        </w:rPr>
        <w:t xml:space="preserve">participants and now we have opened the system up to </w:t>
      </w:r>
      <w:r w:rsidR="00472193">
        <w:rPr>
          <w:rFonts w:eastAsia="Times New Roman" w:cs="Times New Roman"/>
          <w:highlight w:val="yellow"/>
        </w:rPr>
        <w:t>nineteen HBCU participants</w:t>
      </w:r>
      <w:r w:rsidRPr="00472193" w:rsidR="00472193">
        <w:rPr>
          <w:rFonts w:eastAsia="Times New Roman" w:cs="Times New Roman"/>
          <w:highlight w:val="yellow"/>
        </w:rPr>
        <w:t xml:space="preserve">. </w:t>
      </w:r>
      <w:r w:rsidRPr="00EA246E">
        <w:rPr>
          <w:rFonts w:eastAsia="Times New Roman" w:cs="Times New Roman"/>
          <w:highlight w:val="yellow"/>
        </w:rPr>
        <w:t xml:space="preserve">Currently, </w:t>
      </w:r>
      <w:r w:rsidRPr="00EA246E" w:rsidR="00472193">
        <w:rPr>
          <w:rFonts w:eastAsia="Times New Roman" w:cs="Times New Roman"/>
          <w:highlight w:val="yellow"/>
        </w:rPr>
        <w:t xml:space="preserve">the nineteen HBCUs participants should </w:t>
      </w:r>
      <w:r w:rsidRPr="00EA246E" w:rsidR="00C57601">
        <w:rPr>
          <w:rFonts w:eastAsia="Times New Roman" w:cs="Times New Roman"/>
          <w:highlight w:val="yellow"/>
        </w:rPr>
        <w:t>select a</w:t>
      </w:r>
      <w:r w:rsidRPr="00EA246E">
        <w:rPr>
          <w:rFonts w:eastAsia="Times New Roman" w:cs="Times New Roman"/>
          <w:highlight w:val="yellow"/>
        </w:rPr>
        <w:t xml:space="preserve"> minimum of one </w:t>
      </w:r>
      <w:r w:rsidRPr="00EA246E" w:rsidR="00CD7E23">
        <w:rPr>
          <w:rFonts w:eastAsia="Times New Roman" w:cs="Times New Roman"/>
          <w:highlight w:val="yellow"/>
        </w:rPr>
        <w:t xml:space="preserve">small business </w:t>
      </w:r>
      <w:r w:rsidRPr="00EA246E">
        <w:rPr>
          <w:rFonts w:eastAsia="Times New Roman" w:cs="Times New Roman"/>
          <w:highlight w:val="yellow"/>
        </w:rPr>
        <w:t>teaming partner to pursue NIH funding opportunities</w:t>
      </w:r>
      <w:r w:rsidRPr="00EA246E" w:rsidR="00F57360">
        <w:rPr>
          <w:rFonts w:eastAsia="Times New Roman" w:cs="Times New Roman"/>
          <w:highlight w:val="yellow"/>
        </w:rPr>
        <w:t xml:space="preserve"> with</w:t>
      </w:r>
      <w:r w:rsidRPr="00EA246E">
        <w:rPr>
          <w:rFonts w:eastAsia="Times New Roman" w:cs="Times New Roman"/>
          <w:highlight w:val="yellow"/>
        </w:rPr>
        <w:t>.</w:t>
      </w:r>
      <w:r>
        <w:rPr>
          <w:rFonts w:eastAsia="Times New Roman" w:cs="Times New Roman"/>
        </w:rPr>
        <w:t xml:space="preserve"> </w:t>
      </w:r>
    </w:p>
    <w:p w:rsidR="002831C8" w:rsidP="002831C8" w14:paraId="56086D21" w14:textId="77777777">
      <w:pPr>
        <w:spacing w:after="0" w:line="240" w:lineRule="auto"/>
        <w:rPr>
          <w:rFonts w:eastAsia="Times New Roman" w:cs="Times New Roman"/>
        </w:rPr>
      </w:pPr>
    </w:p>
    <w:p w:rsidR="002831C8" w:rsidP="002831C8" w14:paraId="6943C05C" w14:textId="4EC67BAA">
      <w:pPr>
        <w:spacing w:after="0" w:line="240" w:lineRule="auto"/>
        <w:rPr>
          <w:rFonts w:ascii="Times New Roman" w:hAnsi="Times New Roman" w:cs="Times New Roman"/>
          <w:sz w:val="24"/>
          <w:szCs w:val="24"/>
        </w:rPr>
      </w:pPr>
      <w:r w:rsidRPr="00091F7D">
        <w:rPr>
          <w:rFonts w:eastAsia="Times New Roman" w:cs="Times New Roman"/>
        </w:rPr>
        <w:t xml:space="preserve">HBCUs are institutions of higher education in the United States that were established before the Civil Rights Act of 1964 </w:t>
      </w:r>
      <w:r>
        <w:rPr>
          <w:rFonts w:eastAsia="Times New Roman" w:cs="Times New Roman"/>
        </w:rPr>
        <w:t>and are vital</w:t>
      </w:r>
      <w:r w:rsidR="00F57360">
        <w:rPr>
          <w:rFonts w:eastAsia="Times New Roman" w:cs="Times New Roman"/>
        </w:rPr>
        <w:t xml:space="preserve"> engines in improving the socioeconomic outcomes of minorities.</w:t>
      </w:r>
      <w:r>
        <w:rPr>
          <w:rFonts w:eastAsia="Times New Roman" w:cs="Times New Roman"/>
        </w:rPr>
        <w:t xml:space="preserve"> </w:t>
      </w:r>
      <w:r w:rsidRPr="00F90486">
        <w:rPr>
          <w:rFonts w:eastAsia="Times New Roman" w:cs="Times New Roman"/>
        </w:rPr>
        <w:t>The Higher Education Act of 1965, as amended, defines an HBCU as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w:t>
      </w:r>
      <w:r>
        <w:rPr>
          <w:rStyle w:val="FootnoteReference"/>
          <w:rFonts w:ascii="Arial" w:hAnsi="Arial" w:cs="Arial"/>
          <w:sz w:val="24"/>
          <w:szCs w:val="24"/>
        </w:rPr>
        <w:footnoteReference w:id="2"/>
      </w:r>
      <w:r>
        <w:rPr>
          <w:rFonts w:ascii="Times New Roman" w:hAnsi="Times New Roman" w:cs="Times New Roman"/>
          <w:sz w:val="24"/>
          <w:szCs w:val="24"/>
        </w:rPr>
        <w:t xml:space="preserve"> </w:t>
      </w:r>
    </w:p>
    <w:p w:rsidR="008C5AF4" w:rsidP="002831C8" w14:paraId="060ED50D" w14:textId="77777777">
      <w:pPr>
        <w:spacing w:after="0" w:line="240" w:lineRule="auto"/>
        <w:rPr>
          <w:rFonts w:ascii="Times New Roman" w:hAnsi="Times New Roman" w:cs="Times New Roman"/>
          <w:sz w:val="24"/>
          <w:szCs w:val="24"/>
        </w:rPr>
      </w:pPr>
    </w:p>
    <w:p w:rsidR="00CD7E23" w:rsidP="00091F7D" w14:paraId="3467EA41" w14:textId="6CD65CD7">
      <w:pPr>
        <w:rPr>
          <w:rFonts w:eastAsia="Times New Roman" w:cs="Times New Roman"/>
        </w:rPr>
      </w:pPr>
      <w:r>
        <w:rPr>
          <w:rFonts w:eastAsia="Times New Roman" w:cs="Times New Roman"/>
        </w:rPr>
        <w:t xml:space="preserve">A small business is defined as a </w:t>
      </w:r>
      <w:r w:rsidRPr="00CD7E23" w:rsidR="00846237">
        <w:rPr>
          <w:rFonts w:eastAsia="Times New Roman" w:cs="Times New Roman"/>
        </w:rPr>
        <w:t>privately-owned</w:t>
      </w:r>
      <w:r w:rsidRPr="00CD7E23">
        <w:rPr>
          <w:rFonts w:eastAsia="Times New Roman" w:cs="Times New Roman"/>
        </w:rPr>
        <w:t xml:space="preserve"> company in the legal form of a corporation, partnership, or sole proprietorship. The</w:t>
      </w:r>
      <w:r>
        <w:rPr>
          <w:rFonts w:eastAsia="Times New Roman" w:cs="Times New Roman"/>
        </w:rPr>
        <w:t xml:space="preserve"> Small Business Administration (</w:t>
      </w:r>
      <w:r w:rsidRPr="00CD7E23">
        <w:rPr>
          <w:rFonts w:eastAsia="Times New Roman" w:cs="Times New Roman"/>
        </w:rPr>
        <w:t>SBA</w:t>
      </w:r>
      <w:r>
        <w:rPr>
          <w:rFonts w:eastAsia="Times New Roman" w:cs="Times New Roman"/>
        </w:rPr>
        <w:t>)</w:t>
      </w:r>
      <w:r w:rsidRPr="00CD7E23">
        <w:rPr>
          <w:rFonts w:eastAsia="Times New Roman" w:cs="Times New Roman"/>
        </w:rPr>
        <w:t xml:space="preserve"> defines a small business as one that typically makes a maximum of $750,000 </w:t>
      </w:r>
      <w:r w:rsidR="00061031">
        <w:rPr>
          <w:rFonts w:eastAsia="Times New Roman" w:cs="Times New Roman"/>
        </w:rPr>
        <w:t>to</w:t>
      </w:r>
      <w:r w:rsidRPr="00CD7E23">
        <w:rPr>
          <w:rFonts w:eastAsia="Times New Roman" w:cs="Times New Roman"/>
        </w:rPr>
        <w:t xml:space="preserve"> $38.5 million in annual revenue and has less than 100 </w:t>
      </w:r>
      <w:r w:rsidR="00061031">
        <w:rPr>
          <w:rFonts w:eastAsia="Times New Roman" w:cs="Times New Roman"/>
        </w:rPr>
        <w:t xml:space="preserve">to </w:t>
      </w:r>
      <w:r w:rsidRPr="00CD7E23">
        <w:rPr>
          <w:rFonts w:eastAsia="Times New Roman" w:cs="Times New Roman"/>
        </w:rPr>
        <w:t>1,500 employees</w:t>
      </w:r>
      <w:r w:rsidR="00061031">
        <w:rPr>
          <w:rFonts w:eastAsia="Times New Roman" w:cs="Times New Roman"/>
        </w:rPr>
        <w:t xml:space="preserve">.  The annual revenue and number of </w:t>
      </w:r>
      <w:r w:rsidR="00846237">
        <w:rPr>
          <w:rFonts w:eastAsia="Times New Roman" w:cs="Times New Roman"/>
        </w:rPr>
        <w:t>employees</w:t>
      </w:r>
      <w:r w:rsidR="00061031">
        <w:rPr>
          <w:rFonts w:eastAsia="Times New Roman" w:cs="Times New Roman"/>
        </w:rPr>
        <w:t xml:space="preserve"> </w:t>
      </w:r>
      <w:r w:rsidRPr="00CD7E23">
        <w:rPr>
          <w:rFonts w:eastAsia="Times New Roman" w:cs="Times New Roman"/>
        </w:rPr>
        <w:t>depend</w:t>
      </w:r>
      <w:r w:rsidR="00061031">
        <w:rPr>
          <w:rFonts w:eastAsia="Times New Roman" w:cs="Times New Roman"/>
        </w:rPr>
        <w:t>s on the i</w:t>
      </w:r>
      <w:r w:rsidRPr="00CD7E23">
        <w:rPr>
          <w:rFonts w:eastAsia="Times New Roman" w:cs="Times New Roman"/>
        </w:rPr>
        <w:t>ndustry</w:t>
      </w:r>
      <w:r w:rsidR="00061031">
        <w:rPr>
          <w:rFonts w:eastAsia="Times New Roman" w:cs="Times New Roman"/>
        </w:rPr>
        <w:t xml:space="preserve"> of the small business</w:t>
      </w:r>
      <w:r w:rsidRPr="00CD7E23">
        <w:rPr>
          <w:rFonts w:eastAsia="Times New Roman" w:cs="Times New Roman"/>
        </w:rPr>
        <w:t xml:space="preserve">. </w:t>
      </w:r>
      <w:r w:rsidR="006262D1">
        <w:rPr>
          <w:rFonts w:eastAsia="Times New Roman" w:cs="Times New Roman"/>
        </w:rPr>
        <w:t>The</w:t>
      </w:r>
      <w:r w:rsidRPr="00CD7E23" w:rsidR="006262D1">
        <w:rPr>
          <w:rFonts w:eastAsia="Times New Roman" w:cs="Times New Roman"/>
        </w:rPr>
        <w:t xml:space="preserve"> </w:t>
      </w:r>
      <w:r w:rsidRPr="00CD7E23">
        <w:rPr>
          <w:rFonts w:eastAsia="Times New Roman" w:cs="Times New Roman"/>
        </w:rPr>
        <w:t>majority of</w:t>
      </w:r>
      <w:r w:rsidRPr="00CD7E23">
        <w:rPr>
          <w:rFonts w:eastAsia="Times New Roman" w:cs="Times New Roman"/>
        </w:rPr>
        <w:t xml:space="preserve"> businesses are small businesses.</w:t>
      </w:r>
      <w:r>
        <w:rPr>
          <w:rStyle w:val="FootnoteReference"/>
          <w:rFonts w:eastAsia="Times New Roman" w:cs="Times New Roman"/>
        </w:rPr>
        <w:footnoteReference w:id="3"/>
      </w:r>
      <w:r w:rsidR="00061031">
        <w:rPr>
          <w:rFonts w:eastAsia="Times New Roman" w:cs="Times New Roman"/>
        </w:rPr>
        <w:t xml:space="preserve">  The NIH’s small business statutes </w:t>
      </w:r>
      <w:r w:rsidR="006262D1">
        <w:rPr>
          <w:rFonts w:eastAsia="Times New Roman" w:cs="Times New Roman"/>
        </w:rPr>
        <w:t xml:space="preserve">encompass </w:t>
      </w:r>
      <w:r w:rsidR="00061031">
        <w:rPr>
          <w:rFonts w:eastAsia="Times New Roman" w:cs="Times New Roman"/>
        </w:rPr>
        <w:t xml:space="preserve">small businesses, </w:t>
      </w:r>
      <w:r w:rsidR="00472193">
        <w:rPr>
          <w:rFonts w:eastAsia="Times New Roman" w:cs="Times New Roman"/>
        </w:rPr>
        <w:t>small, disadvantaged</w:t>
      </w:r>
      <w:r w:rsidR="00061031">
        <w:rPr>
          <w:rFonts w:eastAsia="Times New Roman" w:cs="Times New Roman"/>
        </w:rPr>
        <w:t xml:space="preserve"> businesses, </w:t>
      </w:r>
      <w:r w:rsidR="00B2088B">
        <w:rPr>
          <w:rFonts w:eastAsia="Times New Roman" w:cs="Times New Roman"/>
        </w:rPr>
        <w:t>women</w:t>
      </w:r>
      <w:r w:rsidR="00061031">
        <w:rPr>
          <w:rFonts w:eastAsia="Times New Roman" w:cs="Times New Roman"/>
        </w:rPr>
        <w:t xml:space="preserve"> owned, HUBZone</w:t>
      </w:r>
      <w:r w:rsidR="006262D1">
        <w:rPr>
          <w:rFonts w:eastAsia="Times New Roman" w:cs="Times New Roman"/>
        </w:rPr>
        <w:t>,</w:t>
      </w:r>
      <w:r w:rsidR="00061031">
        <w:rPr>
          <w:rFonts w:eastAsia="Times New Roman" w:cs="Times New Roman"/>
        </w:rPr>
        <w:t xml:space="preserve"> </w:t>
      </w:r>
      <w:r w:rsidR="00B2088B">
        <w:rPr>
          <w:rFonts w:eastAsia="Times New Roman" w:cs="Times New Roman"/>
        </w:rPr>
        <w:t>and service</w:t>
      </w:r>
      <w:r w:rsidR="006262D1">
        <w:rPr>
          <w:rFonts w:eastAsia="Times New Roman" w:cs="Times New Roman"/>
        </w:rPr>
        <w:t>-</w:t>
      </w:r>
      <w:r w:rsidR="00B2088B">
        <w:rPr>
          <w:rFonts w:eastAsia="Times New Roman" w:cs="Times New Roman"/>
        </w:rPr>
        <w:t xml:space="preserve">disabled small businesses. </w:t>
      </w:r>
      <w:r w:rsidR="00061031">
        <w:rPr>
          <w:rFonts w:eastAsia="Times New Roman" w:cs="Times New Roman"/>
        </w:rPr>
        <w:t xml:space="preserve"> </w:t>
      </w:r>
      <w:r>
        <w:rPr>
          <w:rFonts w:eastAsia="Times New Roman" w:cs="Times New Roman"/>
        </w:rPr>
        <w:t xml:space="preserve"> </w:t>
      </w:r>
    </w:p>
    <w:p w:rsidR="00654729" w:rsidP="00091F7D" w14:paraId="69CB7868" w14:textId="77777777">
      <w:pPr>
        <w:rPr>
          <w:rFonts w:ascii="Arial" w:hAnsi="Arial" w:cs="Arial"/>
          <w:color w:val="222222"/>
          <w:shd w:val="clear" w:color="auto" w:fill="FFFFFF"/>
        </w:rPr>
      </w:pPr>
    </w:p>
    <w:p w:rsidR="00091F7D" w:rsidRPr="00D55FAC" w:rsidP="00091F7D" w14:paraId="53ED15D7" w14:textId="3DF97FD4">
      <w:pPr>
        <w:spacing w:before="100" w:beforeAutospacing="1" w:after="100" w:afterAutospacing="1" w:line="240" w:lineRule="auto"/>
        <w:jc w:val="center"/>
        <w:rPr>
          <w:rFonts w:eastAsia="Times New Roman" w:cs="Times New Roman"/>
          <w:sz w:val="24"/>
          <w:szCs w:val="24"/>
        </w:rPr>
      </w:pPr>
      <w:r w:rsidRPr="00D55FAC">
        <w:rPr>
          <w:rFonts w:eastAsia="Times New Roman" w:cs="Times New Roman"/>
          <w:b/>
          <w:bCs/>
          <w:sz w:val="24"/>
          <w:szCs w:val="24"/>
        </w:rPr>
        <w:t>HBCU Teams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79"/>
        <w:gridCol w:w="288"/>
      </w:tblGrid>
      <w:tr w14:paraId="5AB41AF9" w14:textId="77777777" w:rsidTr="00EA246E">
        <w:tblPrEx>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091F7D" w:rsidRPr="00D55FAC" w:rsidP="001F17B2" w14:paraId="496BAD66" w14:textId="77777777">
            <w:pPr>
              <w:spacing w:before="100" w:beforeAutospacing="1" w:after="100" w:afterAutospacing="1" w:line="240" w:lineRule="auto"/>
              <w:jc w:val="center"/>
              <w:rPr>
                <w:rFonts w:eastAsia="Times New Roman" w:cs="Times New Roman"/>
                <w:sz w:val="24"/>
                <w:szCs w:val="24"/>
              </w:rPr>
            </w:pPr>
            <w:r w:rsidRPr="00D55FAC">
              <w:rPr>
                <w:rFonts w:eastAsia="Times New Roman" w:cs="Times New Roman"/>
                <w:sz w:val="24"/>
                <w:szCs w:val="24"/>
              </w:rPr>
              <w:t> </w:t>
            </w:r>
            <w:r w:rsidRPr="00D55FAC">
              <w:rPr>
                <w:rFonts w:eastAsia="Times New Roman" w:cs="Times New Roman"/>
                <w:b/>
                <w:bCs/>
                <w:sz w:val="24"/>
                <w:szCs w:val="24"/>
              </w:rPr>
              <w:t>HBCU</w:t>
            </w:r>
          </w:p>
        </w:tc>
        <w:tc>
          <w:tcPr>
            <w:tcW w:w="4967" w:type="dxa"/>
            <w:gridSpan w:val="2"/>
            <w:tcBorders>
              <w:top w:val="outset" w:sz="6" w:space="0" w:color="auto"/>
              <w:left w:val="outset" w:sz="6" w:space="0" w:color="auto"/>
              <w:bottom w:val="outset" w:sz="6" w:space="0" w:color="auto"/>
              <w:right w:val="outset" w:sz="6" w:space="0" w:color="auto"/>
            </w:tcBorders>
            <w:vAlign w:val="center"/>
            <w:hideMark/>
          </w:tcPr>
          <w:p w:rsidR="00091F7D" w:rsidRPr="00D55FAC" w:rsidP="001F17B2" w14:paraId="42E80928" w14:textId="5D5BCEE5">
            <w:pPr>
              <w:spacing w:before="100" w:beforeAutospacing="1" w:after="100" w:afterAutospacing="1" w:line="240" w:lineRule="auto"/>
              <w:jc w:val="center"/>
              <w:rPr>
                <w:rFonts w:eastAsia="Times New Roman" w:cs="Times New Roman"/>
                <w:sz w:val="24"/>
                <w:szCs w:val="24"/>
              </w:rPr>
            </w:pPr>
            <w:r>
              <w:rPr>
                <w:rFonts w:eastAsia="Times New Roman" w:cs="Times New Roman"/>
                <w:b/>
                <w:bCs/>
                <w:sz w:val="24"/>
                <w:szCs w:val="24"/>
              </w:rPr>
              <w:t>Small Business Partners</w:t>
            </w:r>
          </w:p>
        </w:tc>
      </w:tr>
      <w:tr w14:paraId="1266FFF8"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4A7B9B52" w14:textId="76B48FD9">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Bowie State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030282F7" w14:textId="07FF7FD5">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Technuf LLC;</w:t>
            </w:r>
            <w:r w:rsidRPr="00EA246E">
              <w:rPr>
                <w:rFonts w:ascii="Calibri" w:hAnsi="Calibri" w:cs="Calibri"/>
                <w:color w:val="000000"/>
                <w:highlight w:val="yellow"/>
              </w:rPr>
              <w:br/>
              <w:t>BETAH Associates, Inc.;</w:t>
            </w:r>
            <w:r w:rsidRPr="00EA246E">
              <w:rPr>
                <w:rFonts w:ascii="Calibri" w:hAnsi="Calibri" w:cs="Calibri"/>
                <w:color w:val="000000"/>
                <w:highlight w:val="yellow"/>
              </w:rPr>
              <w:br/>
              <w:t>Axle Informatics;</w:t>
            </w:r>
            <w:r w:rsidRPr="00EA246E">
              <w:rPr>
                <w:rFonts w:ascii="Calibri" w:hAnsi="Calibri" w:cs="Calibri"/>
                <w:color w:val="000000"/>
                <w:highlight w:val="yellow"/>
              </w:rPr>
              <w:br/>
              <w:t>Edwards Performance Solutions;</w:t>
            </w:r>
            <w:r w:rsidRPr="00EA246E">
              <w:rPr>
                <w:rFonts w:ascii="Calibri" w:hAnsi="Calibri" w:cs="Calibri"/>
                <w:color w:val="000000"/>
                <w:highlight w:val="yellow"/>
              </w:rPr>
              <w:br/>
              <w:t>Delmock Technologies, Inc.;</w:t>
            </w:r>
            <w:r w:rsidRPr="00EA246E">
              <w:rPr>
                <w:rFonts w:ascii="Calibri" w:hAnsi="Calibri" w:cs="Calibri"/>
                <w:color w:val="000000"/>
                <w:highlight w:val="yellow"/>
              </w:rPr>
              <w:br/>
              <w:t>Dynamic Service Solutions;</w:t>
            </w:r>
            <w:r w:rsidRPr="00EA246E">
              <w:rPr>
                <w:rFonts w:ascii="Calibri" w:hAnsi="Calibri" w:cs="Calibri"/>
                <w:color w:val="000000"/>
                <w:highlight w:val="yellow"/>
              </w:rPr>
              <w:br/>
              <w:t>PATRIOT LLC;</w:t>
            </w:r>
            <w:r w:rsidRPr="00EA246E">
              <w:rPr>
                <w:rFonts w:ascii="Calibri" w:hAnsi="Calibri" w:cs="Calibri"/>
                <w:color w:val="000000"/>
                <w:highlight w:val="yellow"/>
              </w:rPr>
              <w:br/>
              <w:t>Federal Management Systems, Inc.;</w:t>
            </w:r>
            <w:r w:rsidRPr="00EA246E">
              <w:rPr>
                <w:rFonts w:ascii="Calibri" w:hAnsi="Calibri" w:cs="Calibri"/>
                <w:color w:val="000000"/>
                <w:highlight w:val="yellow"/>
              </w:rPr>
              <w:br/>
              <w:t>HumanTouch, LLC.;</w:t>
            </w:r>
            <w:r w:rsidRPr="00EA246E">
              <w:rPr>
                <w:rFonts w:ascii="Calibri" w:hAnsi="Calibri" w:cs="Calibri"/>
                <w:color w:val="000000"/>
                <w:highlight w:val="yellow"/>
              </w:rPr>
              <w:br/>
              <w:t>Immersive Concepts, LLC;</w:t>
            </w:r>
            <w:r w:rsidRPr="00EA246E">
              <w:rPr>
                <w:rFonts w:ascii="Calibri" w:hAnsi="Calibri" w:cs="Calibri"/>
                <w:color w:val="000000"/>
                <w:highlight w:val="yellow"/>
              </w:rPr>
              <w:br/>
              <w:t>Intellectual Concepts, LLC;</w:t>
            </w:r>
            <w:r w:rsidRPr="00EA246E">
              <w:rPr>
                <w:rFonts w:ascii="Calibri" w:hAnsi="Calibri" w:cs="Calibri"/>
                <w:color w:val="000000"/>
                <w:highlight w:val="yellow"/>
              </w:rPr>
              <w:br/>
              <w:t>GLOBAL CONSULTING INTERNATIONAL (GCI);</w:t>
            </w:r>
            <w:r w:rsidRPr="00EA246E">
              <w:rPr>
                <w:rFonts w:ascii="Calibri" w:hAnsi="Calibri" w:cs="Calibri"/>
                <w:color w:val="000000"/>
                <w:highlight w:val="yellow"/>
              </w:rPr>
              <w:br/>
              <w:t>Jobe Consulting Group, LLC</w:t>
            </w:r>
          </w:p>
        </w:tc>
      </w:tr>
      <w:tr w14:paraId="767C89E0"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14769674" w14:textId="6FD7B590">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Central State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2476A3F4" w14:textId="415D5571">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KEY CONCEPTS KNOWLEDGEBASE LLC;</w:t>
            </w:r>
            <w:r w:rsidRPr="00EA246E">
              <w:rPr>
                <w:rFonts w:ascii="Calibri" w:hAnsi="Calibri" w:cs="Calibri"/>
                <w:color w:val="000000"/>
                <w:highlight w:val="yellow"/>
              </w:rPr>
              <w:br/>
              <w:t>Dynamic Service Solutions;</w:t>
            </w:r>
            <w:r w:rsidRPr="00EA246E">
              <w:rPr>
                <w:rFonts w:ascii="Calibri" w:hAnsi="Calibri" w:cs="Calibri"/>
                <w:color w:val="000000"/>
                <w:highlight w:val="yellow"/>
              </w:rPr>
              <w:br/>
              <w:t>POSITIVEPSYCHE.BIZ CORP;</w:t>
            </w:r>
            <w:r w:rsidRPr="00EA246E">
              <w:rPr>
                <w:rFonts w:ascii="Calibri" w:hAnsi="Calibri" w:cs="Calibri"/>
                <w:color w:val="000000"/>
                <w:highlight w:val="yellow"/>
              </w:rPr>
              <w:br/>
              <w:t>Intellectual Concepts, LLC;</w:t>
            </w:r>
            <w:r w:rsidRPr="00EA246E">
              <w:rPr>
                <w:rFonts w:ascii="Calibri" w:hAnsi="Calibri" w:cs="Calibri"/>
                <w:color w:val="000000"/>
                <w:highlight w:val="yellow"/>
              </w:rPr>
              <w:br/>
              <w:t>Kaizen Approach, Inc.</w:t>
            </w:r>
          </w:p>
        </w:tc>
      </w:tr>
      <w:tr w14:paraId="3C4A09C6"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22C24618" w14:textId="34A39AE8">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Cheyney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5241AB00" w14:textId="54247C0A">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Delaware State University;</w:t>
            </w:r>
            <w:r w:rsidRPr="00EA246E">
              <w:rPr>
                <w:rFonts w:ascii="Calibri" w:hAnsi="Calibri" w:cs="Calibri"/>
                <w:color w:val="000000"/>
                <w:highlight w:val="yellow"/>
              </w:rPr>
              <w:br/>
              <w:t>Howard University;</w:t>
            </w:r>
            <w:r w:rsidRPr="00EA246E">
              <w:rPr>
                <w:rFonts w:ascii="Calibri" w:hAnsi="Calibri" w:cs="Calibri"/>
                <w:color w:val="000000"/>
                <w:highlight w:val="yellow"/>
              </w:rPr>
              <w:br/>
              <w:t>Technuf LLC;</w:t>
            </w:r>
            <w:r w:rsidRPr="00EA246E">
              <w:rPr>
                <w:rFonts w:ascii="Calibri" w:hAnsi="Calibri" w:cs="Calibri"/>
                <w:color w:val="000000"/>
                <w:highlight w:val="yellow"/>
              </w:rPr>
              <w:br/>
              <w:t>Axis Consultant Group &amp; Associates LLC</w:t>
            </w:r>
          </w:p>
        </w:tc>
      </w:tr>
      <w:tr w14:paraId="124792AB"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7F65C48C" w14:textId="16B767CC">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Clark Atlanta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2437F891" w14:textId="094CBC00">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Technuf LLC;</w:t>
            </w:r>
            <w:r w:rsidRPr="00EA246E">
              <w:rPr>
                <w:rFonts w:ascii="Calibri" w:hAnsi="Calibri" w:cs="Calibri"/>
                <w:color w:val="000000"/>
                <w:highlight w:val="yellow"/>
              </w:rPr>
              <w:br/>
              <w:t>VAAS Professionals;</w:t>
            </w:r>
            <w:r w:rsidRPr="00EA246E">
              <w:rPr>
                <w:rFonts w:ascii="Calibri" w:hAnsi="Calibri" w:cs="Calibri"/>
                <w:color w:val="000000"/>
                <w:highlight w:val="yellow"/>
              </w:rPr>
              <w:br/>
              <w:t>z SofTech Solutions;</w:t>
            </w:r>
            <w:r w:rsidRPr="00EA246E">
              <w:rPr>
                <w:rFonts w:ascii="Calibri" w:hAnsi="Calibri" w:cs="Calibri"/>
                <w:color w:val="000000"/>
                <w:highlight w:val="yellow"/>
              </w:rPr>
              <w:br/>
              <w:t>Oak Ridge Associated Universities;</w:t>
            </w:r>
            <w:r w:rsidRPr="00EA246E">
              <w:rPr>
                <w:rFonts w:ascii="Calibri" w:hAnsi="Calibri" w:cs="Calibri"/>
                <w:color w:val="000000"/>
                <w:highlight w:val="yellow"/>
              </w:rPr>
              <w:br/>
              <w:t>Precision HealthCare Consultants</w:t>
            </w:r>
          </w:p>
        </w:tc>
      </w:tr>
      <w:tr w14:paraId="1F4EA43A"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5ED2623E" w14:textId="5FD4EFBD">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Delaware State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480FC03C" w14:textId="06FE1828">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Cheyney University, Director Title III/Grants Administration;</w:t>
            </w:r>
            <w:r w:rsidRPr="00EA246E">
              <w:rPr>
                <w:rFonts w:ascii="Calibri" w:hAnsi="Calibri" w:cs="Calibri"/>
                <w:color w:val="000000"/>
                <w:highlight w:val="yellow"/>
              </w:rPr>
              <w:br/>
              <w:t>SRR International, Inc;</w:t>
            </w:r>
            <w:r w:rsidRPr="00EA246E">
              <w:rPr>
                <w:rFonts w:ascii="Calibri" w:hAnsi="Calibri" w:cs="Calibri"/>
                <w:color w:val="000000"/>
                <w:highlight w:val="yellow"/>
              </w:rPr>
              <w:br/>
              <w:t>MPF Federal, LLC;</w:t>
            </w:r>
            <w:r w:rsidRPr="00EA246E">
              <w:rPr>
                <w:rFonts w:ascii="Calibri" w:hAnsi="Calibri" w:cs="Calibri"/>
                <w:color w:val="000000"/>
                <w:highlight w:val="yellow"/>
              </w:rPr>
              <w:br/>
              <w:t>Kaizen Approach, Inc.;</w:t>
            </w:r>
            <w:r w:rsidRPr="00EA246E">
              <w:rPr>
                <w:rFonts w:ascii="Calibri" w:hAnsi="Calibri" w:cs="Calibri"/>
                <w:color w:val="000000"/>
                <w:highlight w:val="yellow"/>
              </w:rPr>
              <w:br/>
              <w:t>GLOBAL CONSULTING INTERNATIONAL</w:t>
            </w:r>
          </w:p>
        </w:tc>
      </w:tr>
      <w:tr w14:paraId="229B2BDA" w14:textId="77777777" w:rsidTr="00EA246E">
        <w:tblPrEx>
          <w:tblW w:w="0" w:type="auto"/>
          <w:tblCellSpacing w:w="0" w:type="dxa"/>
          <w:tblCellMar>
            <w:left w:w="0" w:type="dxa"/>
            <w:right w:w="0" w:type="dxa"/>
          </w:tblCellMar>
          <w:tblLook w:val="04A0"/>
        </w:tblPrEx>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1E39" w:rsidRPr="00EA246E" w:rsidP="003D1E39" w14:paraId="26FF0429" w14:textId="5CF1589F">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Elizabeth City State University</w:t>
            </w:r>
          </w:p>
        </w:tc>
        <w:tc>
          <w:tcPr>
            <w:tcW w:w="4967" w:type="dxa"/>
            <w:gridSpan w:val="2"/>
            <w:tcBorders>
              <w:top w:val="outset" w:sz="6" w:space="0" w:color="auto"/>
              <w:left w:val="outset" w:sz="6" w:space="0" w:color="auto"/>
              <w:bottom w:val="outset" w:sz="6" w:space="0" w:color="auto"/>
              <w:right w:val="outset" w:sz="6" w:space="0" w:color="auto"/>
            </w:tcBorders>
            <w:hideMark/>
          </w:tcPr>
          <w:p w:rsidR="003D1E39" w:rsidRPr="00EA246E" w:rsidP="003D1E39" w14:paraId="204F707D" w14:textId="31E1BE67">
            <w:pPr>
              <w:spacing w:before="100" w:beforeAutospacing="1" w:after="100" w:afterAutospacing="1" w:line="240" w:lineRule="auto"/>
              <w:jc w:val="center"/>
              <w:rPr>
                <w:rFonts w:eastAsia="Times New Roman" w:cs="Times New Roman"/>
                <w:sz w:val="24"/>
                <w:szCs w:val="24"/>
                <w:highlight w:val="yellow"/>
              </w:rPr>
            </w:pPr>
            <w:r w:rsidRPr="00EA246E">
              <w:rPr>
                <w:rFonts w:ascii="Calibri" w:hAnsi="Calibri" w:cs="Calibri"/>
                <w:color w:val="000000"/>
                <w:highlight w:val="yellow"/>
              </w:rPr>
              <w:t>Data Storage Science;</w:t>
            </w:r>
            <w:r w:rsidRPr="00EA246E">
              <w:rPr>
                <w:rFonts w:ascii="Calibri" w:hAnsi="Calibri" w:cs="Calibri"/>
                <w:color w:val="000000"/>
                <w:highlight w:val="yellow"/>
              </w:rPr>
              <w:br/>
              <w:t>METAMETA LLC</w:t>
            </w:r>
          </w:p>
        </w:tc>
      </w:tr>
      <w:tr w14:paraId="3F92ADA1"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7D6693D2" w14:textId="1388D947">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Fayetteville State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6341C7F6" w14:textId="04042EAC">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z SofTech Solutions;</w:t>
            </w:r>
            <w:r w:rsidRPr="00EA246E">
              <w:rPr>
                <w:rFonts w:ascii="Calibri" w:hAnsi="Calibri" w:cs="Calibri"/>
                <w:color w:val="000000"/>
                <w:highlight w:val="yellow"/>
              </w:rPr>
              <w:br/>
              <w:t>Data Storage Science;</w:t>
            </w:r>
            <w:r w:rsidRPr="00EA246E">
              <w:rPr>
                <w:rFonts w:ascii="Calibri" w:hAnsi="Calibri" w:cs="Calibri"/>
                <w:color w:val="000000"/>
                <w:highlight w:val="yellow"/>
              </w:rPr>
              <w:br/>
              <w:t>Professional Stewards Services;</w:t>
            </w:r>
            <w:r w:rsidRPr="00EA246E">
              <w:rPr>
                <w:rFonts w:ascii="Calibri" w:hAnsi="Calibri" w:cs="Calibri"/>
                <w:color w:val="000000"/>
                <w:highlight w:val="yellow"/>
              </w:rPr>
              <w:br/>
              <w:t>Oak Ridge Associated Universities</w:t>
            </w:r>
          </w:p>
        </w:tc>
      </w:tr>
      <w:tr w14:paraId="0FDFFAE3"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498F88DF" w14:textId="2F7F209A">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Fisk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2282B04D" w14:textId="3B127C8D">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B3 Solutions LLC;</w:t>
            </w:r>
            <w:r w:rsidRPr="00EA246E">
              <w:rPr>
                <w:rFonts w:ascii="Calibri" w:hAnsi="Calibri" w:cs="Calibri"/>
                <w:color w:val="000000"/>
                <w:highlight w:val="yellow"/>
              </w:rPr>
              <w:br/>
              <w:t>Supreme Solutions, INC</w:t>
            </w:r>
          </w:p>
        </w:tc>
      </w:tr>
      <w:tr w14:paraId="50B2F207"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20F14D81" w14:textId="4F410770">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Florida Agricultural and Mechanical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64370D8D" w14:textId="0CC721D7">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Technuf LLC;</w:t>
            </w:r>
            <w:r w:rsidRPr="00EA246E">
              <w:rPr>
                <w:rFonts w:ascii="Calibri" w:hAnsi="Calibri" w:cs="Calibri"/>
                <w:color w:val="000000"/>
                <w:highlight w:val="yellow"/>
              </w:rPr>
              <w:br/>
              <w:t>SRR International, Inc;</w:t>
            </w:r>
            <w:r w:rsidRPr="00EA246E">
              <w:rPr>
                <w:rFonts w:ascii="Calibri" w:hAnsi="Calibri" w:cs="Calibri"/>
                <w:color w:val="000000"/>
                <w:highlight w:val="yellow"/>
              </w:rPr>
              <w:br/>
              <w:t>Williams Consulting, LLC;</w:t>
            </w:r>
            <w:r w:rsidRPr="00EA246E">
              <w:rPr>
                <w:rFonts w:ascii="Calibri" w:hAnsi="Calibri" w:cs="Calibri"/>
                <w:color w:val="000000"/>
                <w:highlight w:val="yellow"/>
              </w:rPr>
              <w:br/>
              <w:t>Clinical Pharmacy Associates Inc;</w:t>
            </w:r>
            <w:r w:rsidRPr="00EA246E">
              <w:rPr>
                <w:rFonts w:ascii="Calibri" w:hAnsi="Calibri" w:cs="Calibri"/>
                <w:color w:val="000000"/>
                <w:highlight w:val="yellow"/>
              </w:rPr>
              <w:br/>
              <w:t>Oak Ridge Associated Universities</w:t>
            </w:r>
          </w:p>
        </w:tc>
      </w:tr>
      <w:tr w14:paraId="15FBC88A"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60009E39" w14:textId="4E69F9E4">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Howard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12C2E36D" w14:textId="52A46FED">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BETAH Associates, Inc.;</w:t>
            </w:r>
            <w:r w:rsidRPr="00EA246E">
              <w:rPr>
                <w:rFonts w:ascii="Calibri" w:hAnsi="Calibri" w:cs="Calibri"/>
                <w:color w:val="000000"/>
                <w:highlight w:val="yellow"/>
              </w:rPr>
              <w:br/>
              <w:t>Dynamic Service Solutions;</w:t>
            </w:r>
            <w:r w:rsidRPr="00EA246E">
              <w:rPr>
                <w:rFonts w:ascii="Calibri" w:hAnsi="Calibri" w:cs="Calibri"/>
                <w:color w:val="000000"/>
                <w:highlight w:val="yellow"/>
              </w:rPr>
              <w:br/>
              <w:t>Capgemini Government Solutions LLC;</w:t>
            </w:r>
            <w:r w:rsidRPr="00EA246E">
              <w:rPr>
                <w:rFonts w:ascii="Calibri" w:hAnsi="Calibri" w:cs="Calibri"/>
                <w:color w:val="000000"/>
                <w:highlight w:val="yellow"/>
              </w:rPr>
              <w:br/>
              <w:t>Federal Management Systems, Inc.;</w:t>
            </w:r>
            <w:r w:rsidRPr="00EA246E">
              <w:rPr>
                <w:rFonts w:ascii="Calibri" w:hAnsi="Calibri" w:cs="Calibri"/>
                <w:color w:val="000000"/>
                <w:highlight w:val="yellow"/>
              </w:rPr>
              <w:br/>
              <w:t>Professional Management Consulting Services;</w:t>
            </w:r>
            <w:r w:rsidRPr="00EA246E">
              <w:rPr>
                <w:rFonts w:ascii="Calibri" w:hAnsi="Calibri" w:cs="Calibri"/>
                <w:color w:val="000000"/>
                <w:highlight w:val="yellow"/>
              </w:rPr>
              <w:br/>
              <w:t>Oak Ridge Associated Universities;</w:t>
            </w:r>
            <w:r w:rsidRPr="00EA246E">
              <w:rPr>
                <w:rFonts w:ascii="Calibri" w:hAnsi="Calibri" w:cs="Calibri"/>
                <w:color w:val="000000"/>
                <w:highlight w:val="yellow"/>
              </w:rPr>
              <w:br/>
              <w:t>Phenomenal Management Partners</w:t>
            </w:r>
          </w:p>
        </w:tc>
      </w:tr>
      <w:tr w14:paraId="012A056B"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7423AA28" w14:textId="0966B79C">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Jackson State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1743C8FA" w14:textId="449E8D59">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Longevity Consulting, LLC</w:t>
            </w:r>
          </w:p>
        </w:tc>
      </w:tr>
      <w:tr w14:paraId="429C69A5"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4C605BF0" w14:textId="11A17995">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Morehouse College</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27B3D337" w14:textId="7AC21255">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KEY CONCEPTS KNOWLEDGEBASE LLC;</w:t>
            </w:r>
            <w:r w:rsidRPr="00EA246E">
              <w:rPr>
                <w:rFonts w:ascii="Calibri" w:hAnsi="Calibri" w:cs="Calibri"/>
                <w:color w:val="000000"/>
                <w:highlight w:val="yellow"/>
              </w:rPr>
              <w:br/>
              <w:t>z SofTech Solutions;</w:t>
            </w:r>
            <w:r w:rsidRPr="00EA246E">
              <w:rPr>
                <w:rFonts w:ascii="Calibri" w:hAnsi="Calibri" w:cs="Calibri"/>
                <w:color w:val="000000"/>
                <w:highlight w:val="yellow"/>
              </w:rPr>
              <w:br/>
              <w:t>Phenomenal Management Partners</w:t>
            </w:r>
          </w:p>
        </w:tc>
      </w:tr>
      <w:tr w14:paraId="05EE8E81"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22623AA2" w14:textId="0246327B">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 xml:space="preserve">Morehouse School of Medicine </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2D702EDF" w14:textId="5A0B45DD">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Williams Consulting, LLC;</w:t>
            </w:r>
            <w:r w:rsidRPr="00EA246E">
              <w:rPr>
                <w:rFonts w:ascii="Calibri" w:hAnsi="Calibri" w:cs="Calibri"/>
                <w:color w:val="000000"/>
                <w:highlight w:val="yellow"/>
              </w:rPr>
              <w:br/>
              <w:t>Symposit LLC;</w:t>
            </w:r>
            <w:r w:rsidRPr="00EA246E">
              <w:rPr>
                <w:rFonts w:ascii="Calibri" w:hAnsi="Calibri" w:cs="Calibri"/>
                <w:color w:val="000000"/>
                <w:highlight w:val="yellow"/>
              </w:rPr>
              <w:br/>
              <w:t>Supreme Solutions, INC</w:t>
            </w:r>
          </w:p>
        </w:tc>
      </w:tr>
      <w:tr w14:paraId="1F1452CC"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731331CD" w14:textId="7D841D6E">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 xml:space="preserve">Morgan State University </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426A744B" w14:textId="5069F640">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Axis Consultant Group &amp; Associates LLC;</w:t>
            </w:r>
            <w:r w:rsidRPr="00EA246E">
              <w:rPr>
                <w:rFonts w:ascii="Calibri" w:hAnsi="Calibri" w:cs="Calibri"/>
                <w:color w:val="000000"/>
                <w:highlight w:val="yellow"/>
              </w:rPr>
              <w:br/>
              <w:t>Hendall Inc.;</w:t>
            </w:r>
            <w:r w:rsidRPr="00EA246E">
              <w:rPr>
                <w:rFonts w:ascii="Calibri" w:hAnsi="Calibri" w:cs="Calibri"/>
                <w:color w:val="000000"/>
                <w:highlight w:val="yellow"/>
              </w:rPr>
              <w:br/>
              <w:t>MPF Federal, LLC;</w:t>
            </w:r>
            <w:r w:rsidRPr="00EA246E">
              <w:rPr>
                <w:rFonts w:ascii="Calibri" w:hAnsi="Calibri" w:cs="Calibri"/>
                <w:color w:val="000000"/>
                <w:highlight w:val="yellow"/>
              </w:rPr>
              <w:br/>
              <w:t>Edwards Performance Solutions;</w:t>
            </w:r>
            <w:r w:rsidRPr="00EA246E">
              <w:rPr>
                <w:rFonts w:ascii="Calibri" w:hAnsi="Calibri" w:cs="Calibri"/>
                <w:color w:val="000000"/>
                <w:highlight w:val="yellow"/>
              </w:rPr>
              <w:br/>
              <w:t>Williams Consulting, LLC;</w:t>
            </w:r>
            <w:r w:rsidRPr="00EA246E">
              <w:rPr>
                <w:rFonts w:ascii="Calibri" w:hAnsi="Calibri" w:cs="Calibri"/>
                <w:color w:val="000000"/>
                <w:highlight w:val="yellow"/>
              </w:rPr>
              <w:br/>
              <w:t>Delmock Technologies, Inc.;</w:t>
            </w:r>
            <w:r w:rsidRPr="00EA246E">
              <w:rPr>
                <w:rFonts w:ascii="Calibri" w:hAnsi="Calibri" w:cs="Calibri"/>
                <w:color w:val="000000"/>
                <w:highlight w:val="yellow"/>
              </w:rPr>
              <w:br/>
              <w:t>Lord and Tucker Management Consultants, LLC;</w:t>
            </w:r>
            <w:r w:rsidRPr="00EA246E">
              <w:rPr>
                <w:rFonts w:ascii="Calibri" w:hAnsi="Calibri" w:cs="Calibri"/>
                <w:color w:val="000000"/>
                <w:highlight w:val="yellow"/>
              </w:rPr>
              <w:br/>
              <w:t>z SofTech Solutions;</w:t>
            </w:r>
            <w:r w:rsidRPr="00EA246E">
              <w:rPr>
                <w:rFonts w:ascii="Calibri" w:hAnsi="Calibri" w:cs="Calibri"/>
                <w:color w:val="000000"/>
                <w:highlight w:val="yellow"/>
              </w:rPr>
              <w:br/>
              <w:t>HumanTouch, LLC.;</w:t>
            </w:r>
            <w:r w:rsidRPr="00EA246E">
              <w:rPr>
                <w:rFonts w:ascii="Calibri" w:hAnsi="Calibri" w:cs="Calibri"/>
                <w:color w:val="000000"/>
                <w:highlight w:val="yellow"/>
              </w:rPr>
              <w:br/>
              <w:t>Clinical Pharmacy Associates Inc;</w:t>
            </w:r>
            <w:r w:rsidRPr="00EA246E">
              <w:rPr>
                <w:rFonts w:ascii="Calibri" w:hAnsi="Calibri" w:cs="Calibri"/>
                <w:color w:val="000000"/>
                <w:highlight w:val="yellow"/>
              </w:rPr>
              <w:br/>
              <w:t>GLOBAL CONSULTING INTERNATIONAL;</w:t>
            </w:r>
            <w:r w:rsidRPr="00EA246E">
              <w:rPr>
                <w:rFonts w:ascii="Calibri" w:hAnsi="Calibri" w:cs="Calibri"/>
                <w:color w:val="000000"/>
                <w:highlight w:val="yellow"/>
              </w:rPr>
              <w:br/>
              <w:t>Jobe Consulting Group, LLC</w:t>
            </w:r>
          </w:p>
        </w:tc>
      </w:tr>
      <w:tr w14:paraId="33C392EC"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538E1B40" w14:textId="0C18E7AB">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Norfolk State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0DB84590" w14:textId="327C4C9C">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Sage Services Group LLC;</w:t>
            </w:r>
            <w:r w:rsidRPr="00EA246E">
              <w:rPr>
                <w:rFonts w:ascii="Calibri" w:hAnsi="Calibri" w:cs="Calibri"/>
                <w:color w:val="000000"/>
                <w:highlight w:val="yellow"/>
              </w:rPr>
              <w:br/>
              <w:t>Kaizen Approach, Inc.;</w:t>
            </w:r>
            <w:r w:rsidRPr="00EA246E">
              <w:rPr>
                <w:rFonts w:ascii="Calibri" w:hAnsi="Calibri" w:cs="Calibri"/>
                <w:color w:val="000000"/>
                <w:highlight w:val="yellow"/>
              </w:rPr>
              <w:br/>
              <w:t>Diaspora AI</w:t>
            </w:r>
          </w:p>
        </w:tc>
      </w:tr>
      <w:tr w14:paraId="0DB883D8"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30314667" w14:textId="6593CD11">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North Carolina Agricultural &amp; Technical State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6D66BB73" w14:textId="722F018E">
            <w:pPr>
              <w:spacing w:before="100" w:beforeAutospacing="1" w:after="100" w:afterAutospacing="1" w:line="240" w:lineRule="auto"/>
              <w:jc w:val="center"/>
              <w:rPr>
                <w:rFonts w:eastAsia="Times New Roman" w:cs="Times New Roman"/>
                <w:iCs/>
                <w:sz w:val="24"/>
                <w:szCs w:val="24"/>
                <w:highlight w:val="yellow"/>
              </w:rPr>
            </w:pPr>
            <w:r w:rsidRPr="00EA246E">
              <w:rPr>
                <w:highlight w:val="yellow"/>
              </w:rPr>
              <w:t xml:space="preserve">None Selected </w:t>
            </w:r>
          </w:p>
        </w:tc>
      </w:tr>
      <w:tr w14:paraId="5F477467"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4C772F29" w14:textId="105B9282">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Texas Southern University</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135907FF" w14:textId="24104AB0">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Intellectual Concepts, LLC</w:t>
            </w:r>
          </w:p>
        </w:tc>
      </w:tr>
      <w:tr w14:paraId="6B1A7604"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7EE3BBE6" w14:textId="200E0407">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University of Virgin Islands</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01AC6A6F" w14:textId="54BD3BF6">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Telling Your Story, LLC dba High Impact Partners;</w:t>
            </w:r>
            <w:r w:rsidRPr="00EA246E">
              <w:rPr>
                <w:rFonts w:ascii="Calibri" w:hAnsi="Calibri" w:cs="Calibri"/>
                <w:color w:val="000000"/>
                <w:highlight w:val="yellow"/>
              </w:rPr>
              <w:br/>
              <w:t>Dynamic Service Solutions;</w:t>
            </w:r>
            <w:r w:rsidRPr="00EA246E">
              <w:rPr>
                <w:rFonts w:ascii="Calibri" w:hAnsi="Calibri" w:cs="Calibri"/>
                <w:color w:val="000000"/>
                <w:highlight w:val="yellow"/>
              </w:rPr>
              <w:br/>
            </w:r>
            <w:r w:rsidRPr="00EA246E">
              <w:rPr>
                <w:rFonts w:ascii="Calibri" w:hAnsi="Calibri" w:cs="Calibri"/>
                <w:color w:val="000000"/>
                <w:highlight w:val="yellow"/>
              </w:rPr>
              <w:t>Professional Stewards Services;</w:t>
            </w:r>
            <w:r w:rsidRPr="00EA246E">
              <w:rPr>
                <w:rFonts w:ascii="Calibri" w:hAnsi="Calibri" w:cs="Calibri"/>
                <w:color w:val="000000"/>
                <w:highlight w:val="yellow"/>
              </w:rPr>
              <w:br/>
              <w:t>Precision HealthCare Consultants</w:t>
            </w:r>
          </w:p>
        </w:tc>
      </w:tr>
      <w:tr w14:paraId="4581AACC" w14:textId="77777777" w:rsidTr="00EA246E">
        <w:tblPrEx>
          <w:tblW w:w="0" w:type="auto"/>
          <w:tblCellSpacing w:w="0" w:type="dxa"/>
          <w:tblCellMar>
            <w:left w:w="0" w:type="dxa"/>
            <w:right w:w="0" w:type="dxa"/>
          </w:tblCellMar>
          <w:tblLook w:val="04A0"/>
        </w:tblPrEx>
        <w:trPr>
          <w:gridAfter w:val="1"/>
          <w:wAfter w:w="288" w:type="dxa"/>
          <w:tblCellSpacing w:w="0" w:type="dxa"/>
        </w:trPr>
        <w:tc>
          <w:tcPr>
            <w:tcW w:w="4665" w:type="dxa"/>
            <w:tcBorders>
              <w:top w:val="outset" w:sz="6" w:space="0" w:color="auto"/>
              <w:left w:val="outset" w:sz="6" w:space="0" w:color="auto"/>
              <w:bottom w:val="outset" w:sz="6" w:space="0" w:color="auto"/>
              <w:right w:val="outset" w:sz="6" w:space="0" w:color="auto"/>
            </w:tcBorders>
          </w:tcPr>
          <w:p w:rsidR="003D1E39" w:rsidRPr="00EA246E" w:rsidP="003D1E39" w14:paraId="2C38B6A9" w14:textId="7AB227C7">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Xavier University of Louisiana - ORSP</w:t>
            </w:r>
          </w:p>
        </w:tc>
        <w:tc>
          <w:tcPr>
            <w:tcW w:w="4679" w:type="dxa"/>
            <w:tcBorders>
              <w:top w:val="outset" w:sz="6" w:space="0" w:color="auto"/>
              <w:left w:val="outset" w:sz="6" w:space="0" w:color="auto"/>
              <w:bottom w:val="outset" w:sz="6" w:space="0" w:color="auto"/>
              <w:right w:val="outset" w:sz="6" w:space="0" w:color="auto"/>
            </w:tcBorders>
          </w:tcPr>
          <w:p w:rsidR="003D1E39" w:rsidRPr="00EA246E" w:rsidP="003D1E39" w14:paraId="16C442B2" w14:textId="1FACEE36">
            <w:pPr>
              <w:spacing w:before="100" w:beforeAutospacing="1" w:after="100" w:afterAutospacing="1" w:line="240" w:lineRule="auto"/>
              <w:jc w:val="center"/>
              <w:rPr>
                <w:rFonts w:eastAsia="Times New Roman" w:cs="Times New Roman"/>
                <w:iCs/>
                <w:sz w:val="24"/>
                <w:szCs w:val="24"/>
                <w:highlight w:val="yellow"/>
              </w:rPr>
            </w:pPr>
            <w:r w:rsidRPr="00EA246E">
              <w:rPr>
                <w:rFonts w:ascii="Calibri" w:hAnsi="Calibri" w:cs="Calibri"/>
                <w:color w:val="000000"/>
                <w:highlight w:val="yellow"/>
              </w:rPr>
              <w:t>Oak Ridge Associated Universities</w:t>
            </w:r>
          </w:p>
        </w:tc>
      </w:tr>
    </w:tbl>
    <w:p w:rsidR="00091F7D" w:rsidRPr="00D55FAC" w:rsidP="00091F7D" w14:paraId="35EE05C4" w14:textId="77777777">
      <w:pPr>
        <w:rPr>
          <w:rFonts w:ascii="Arial" w:hAnsi="Arial" w:cs="Arial"/>
          <w:color w:val="222222"/>
          <w:shd w:val="clear" w:color="auto" w:fill="FFFFFF"/>
        </w:rPr>
      </w:pPr>
    </w:p>
    <w:p w:rsidR="00091F7D" w:rsidRPr="00091F7D" w:rsidP="00091F7D" w14:paraId="075FF331" w14:textId="277D8EFA">
      <w:pPr>
        <w:rPr>
          <w:rFonts w:eastAsia="Times New Roman" w:cs="Times New Roman"/>
        </w:rPr>
      </w:pPr>
      <w:r w:rsidRPr="00091F7D">
        <w:rPr>
          <w:rFonts w:eastAsia="Times New Roman" w:cs="Times New Roman"/>
        </w:rPr>
        <w:t xml:space="preserve">The goals </w:t>
      </w:r>
      <w:r w:rsidR="009F151D">
        <w:rPr>
          <w:rFonts w:eastAsia="Times New Roman" w:cs="Times New Roman"/>
        </w:rPr>
        <w:t xml:space="preserve">of this </w:t>
      </w:r>
      <w:r w:rsidR="00B012E4">
        <w:rPr>
          <w:rFonts w:eastAsia="Times New Roman" w:cs="Times New Roman"/>
        </w:rPr>
        <w:t xml:space="preserve">OMB </w:t>
      </w:r>
      <w:r w:rsidR="009F151D">
        <w:rPr>
          <w:rFonts w:eastAsia="Times New Roman" w:cs="Times New Roman"/>
        </w:rPr>
        <w:t xml:space="preserve">study </w:t>
      </w:r>
      <w:r w:rsidR="00EF1DC1">
        <w:rPr>
          <w:rFonts w:eastAsia="Times New Roman" w:cs="Times New Roman"/>
        </w:rPr>
        <w:t>for collecting this data are</w:t>
      </w:r>
      <w:r w:rsidRPr="00091F7D">
        <w:rPr>
          <w:rFonts w:eastAsia="Times New Roman" w:cs="Times New Roman"/>
        </w:rPr>
        <w:t>:</w:t>
      </w:r>
    </w:p>
    <w:p w:rsidR="006F10FA" w:rsidP="00091F7D" w14:paraId="0701611E" w14:textId="77777777">
      <w:pPr>
        <w:pStyle w:val="ListParagraph"/>
        <w:numPr>
          <w:ilvl w:val="0"/>
          <w:numId w:val="12"/>
        </w:numPr>
        <w:spacing w:before="100" w:beforeAutospacing="1" w:after="100" w:afterAutospacing="1" w:line="240" w:lineRule="auto"/>
        <w:rPr>
          <w:rFonts w:eastAsia="Times New Roman" w:cs="Times New Roman"/>
        </w:rPr>
      </w:pPr>
      <w:r w:rsidRPr="006F10FA">
        <w:rPr>
          <w:rFonts w:eastAsia="Times New Roman" w:cs="Times New Roman"/>
        </w:rPr>
        <w:t xml:space="preserve">Establish how the NIH intends to increase the capacity of HBCUs to compete effectively for grants, contracts or cooperative </w:t>
      </w:r>
      <w:r w:rsidRPr="006F10FA">
        <w:rPr>
          <w:rFonts w:eastAsia="Times New Roman" w:cs="Times New Roman"/>
        </w:rPr>
        <w:t>agreements</w:t>
      </w:r>
    </w:p>
    <w:p w:rsidR="00091F7D" w:rsidRPr="006F10FA" w:rsidP="00091F7D" w14:paraId="5AF765DB" w14:textId="77777777">
      <w:pPr>
        <w:pStyle w:val="ListParagraph"/>
        <w:numPr>
          <w:ilvl w:val="0"/>
          <w:numId w:val="12"/>
        </w:numPr>
        <w:spacing w:before="100" w:beforeAutospacing="1" w:after="100" w:afterAutospacing="1" w:line="240" w:lineRule="auto"/>
        <w:rPr>
          <w:rFonts w:eastAsia="Times New Roman" w:cs="Times New Roman"/>
        </w:rPr>
      </w:pPr>
      <w:r w:rsidRPr="006F10FA">
        <w:rPr>
          <w:rFonts w:eastAsia="Times New Roman" w:cs="Times New Roman"/>
        </w:rPr>
        <w:t xml:space="preserve">Identify Federal programs and initiatives where HBCUs are not well represented, and improve HBCUs participation in those programs and </w:t>
      </w:r>
      <w:r w:rsidRPr="006F10FA">
        <w:rPr>
          <w:rFonts w:eastAsia="Times New Roman" w:cs="Times New Roman"/>
        </w:rPr>
        <w:t>initiatives</w:t>
      </w:r>
    </w:p>
    <w:p w:rsidR="00091F7D" w:rsidRPr="00091F7D" w:rsidP="00091F7D" w14:paraId="600B77F8" w14:textId="77777777">
      <w:pPr>
        <w:numPr>
          <w:ilvl w:val="0"/>
          <w:numId w:val="12"/>
        </w:numPr>
        <w:spacing w:before="100" w:beforeAutospacing="1" w:after="100" w:afterAutospacing="1" w:line="240" w:lineRule="auto"/>
        <w:rPr>
          <w:rFonts w:eastAsia="Times New Roman" w:cs="Times New Roman"/>
        </w:rPr>
      </w:pPr>
      <w:r w:rsidRPr="00091F7D">
        <w:rPr>
          <w:rFonts w:eastAsia="Times New Roman" w:cs="Times New Roman"/>
        </w:rPr>
        <w:t xml:space="preserve">Develop a reference manual/curriculum on how to do business with Federal Government for the </w:t>
      </w:r>
      <w:r w:rsidRPr="00091F7D">
        <w:rPr>
          <w:rFonts w:eastAsia="Times New Roman" w:cs="Times New Roman"/>
        </w:rPr>
        <w:t>schools</w:t>
      </w:r>
    </w:p>
    <w:p w:rsidR="00091F7D" w:rsidRPr="00091F7D" w:rsidP="00091F7D" w14:paraId="33065723" w14:textId="77777777">
      <w:pPr>
        <w:numPr>
          <w:ilvl w:val="0"/>
          <w:numId w:val="12"/>
        </w:numPr>
        <w:spacing w:before="100" w:beforeAutospacing="1" w:after="100" w:afterAutospacing="1" w:line="240" w:lineRule="auto"/>
        <w:rPr>
          <w:rFonts w:eastAsia="Times New Roman" w:cs="Times New Roman"/>
        </w:rPr>
      </w:pPr>
      <w:r w:rsidRPr="00091F7D">
        <w:rPr>
          <w:rFonts w:eastAsia="Times New Roman" w:cs="Times New Roman"/>
        </w:rPr>
        <w:t xml:space="preserve">Develop WIN strategies using existing small business rules/regulations to leverage potential </w:t>
      </w:r>
      <w:r w:rsidRPr="00091F7D">
        <w:rPr>
          <w:rFonts w:eastAsia="Times New Roman" w:cs="Times New Roman"/>
        </w:rPr>
        <w:t>opportunities</w:t>
      </w:r>
    </w:p>
    <w:p w:rsidR="00091F7D" w:rsidRPr="00091F7D" w:rsidP="00091F7D" w14:paraId="15499EBA" w14:textId="77777777">
      <w:pPr>
        <w:numPr>
          <w:ilvl w:val="0"/>
          <w:numId w:val="12"/>
        </w:numPr>
        <w:spacing w:before="100" w:beforeAutospacing="1" w:after="100" w:afterAutospacing="1" w:line="240" w:lineRule="auto"/>
        <w:rPr>
          <w:rFonts w:eastAsia="Times New Roman" w:cs="Times New Roman"/>
        </w:rPr>
      </w:pPr>
      <w:r w:rsidRPr="00091F7D">
        <w:rPr>
          <w:rFonts w:eastAsia="Times New Roman" w:cs="Times New Roman"/>
        </w:rPr>
        <w:t xml:space="preserve">Encourage public-sector, private-sector, and community involvement in improving the overall capacity of </w:t>
      </w:r>
      <w:r w:rsidRPr="00091F7D">
        <w:rPr>
          <w:rFonts w:eastAsia="Times New Roman" w:cs="Times New Roman"/>
        </w:rPr>
        <w:t>HBCUs</w:t>
      </w:r>
    </w:p>
    <w:p w:rsidR="00091F7D" w:rsidRPr="00F7449A" w:rsidP="00091F7D" w14:paraId="445B0436" w14:textId="77777777">
      <w:pPr>
        <w:numPr>
          <w:ilvl w:val="0"/>
          <w:numId w:val="12"/>
        </w:numPr>
        <w:spacing w:before="100" w:beforeAutospacing="1" w:after="100" w:afterAutospacing="1" w:line="240" w:lineRule="auto"/>
        <w:rPr>
          <w:rFonts w:eastAsia="Times New Roman" w:cs="Times New Roman"/>
        </w:rPr>
      </w:pPr>
      <w:r w:rsidRPr="00F7449A">
        <w:rPr>
          <w:rFonts w:eastAsia="Times New Roman" w:cs="Times New Roman"/>
        </w:rPr>
        <w:t xml:space="preserve">Seek funding to continue the contract support for the </w:t>
      </w:r>
      <w:r w:rsidRPr="00F7449A">
        <w:rPr>
          <w:rFonts w:eastAsia="Times New Roman" w:cs="Times New Roman"/>
        </w:rPr>
        <w:t>initiative</w:t>
      </w:r>
    </w:p>
    <w:p w:rsidR="00091F7D" w:rsidRPr="00091F7D" w:rsidP="00091F7D" w14:paraId="72BD5FC2" w14:textId="374D3D47">
      <w:pPr>
        <w:rPr>
          <w:rFonts w:eastAsia="Times New Roman" w:cs="Times New Roman"/>
        </w:rPr>
      </w:pPr>
      <w:r w:rsidRPr="00EA246E">
        <w:rPr>
          <w:rFonts w:eastAsia="Times New Roman" w:cs="Times New Roman"/>
        </w:rPr>
        <w:t>Before the user can access the</w:t>
      </w:r>
      <w:r w:rsidRPr="00EA246E" w:rsidR="006F10FA">
        <w:rPr>
          <w:rFonts w:eastAsia="Times New Roman" w:cs="Times New Roman"/>
        </w:rPr>
        <w:t xml:space="preserve"> HBCU </w:t>
      </w:r>
      <w:r w:rsidRPr="00EA246E" w:rsidR="006262D1">
        <w:rPr>
          <w:rFonts w:eastAsia="Times New Roman" w:cs="Times New Roman"/>
        </w:rPr>
        <w:t>p</w:t>
      </w:r>
      <w:r w:rsidRPr="00EA246E" w:rsidR="006F10FA">
        <w:rPr>
          <w:rFonts w:eastAsia="Times New Roman" w:cs="Times New Roman"/>
        </w:rPr>
        <w:t>re-solicitation portal,</w:t>
      </w:r>
      <w:r w:rsidRPr="00EA246E" w:rsidR="00E91578">
        <w:rPr>
          <w:rFonts w:eastAsia="Times New Roman" w:cs="Times New Roman"/>
        </w:rPr>
        <w:t xml:space="preserve"> see Attachment 1 “Collection Entry Screens”, </w:t>
      </w:r>
      <w:r w:rsidRPr="00EA246E" w:rsidR="00846237">
        <w:rPr>
          <w:rFonts w:eastAsia="Times New Roman" w:cs="Times New Roman"/>
        </w:rPr>
        <w:t xml:space="preserve">the user will register for </w:t>
      </w:r>
      <w:r w:rsidRPr="00EA246E" w:rsidR="00450742">
        <w:rPr>
          <w:rFonts w:eastAsia="Times New Roman" w:cs="Times New Roman"/>
        </w:rPr>
        <w:t xml:space="preserve">an account </w:t>
      </w:r>
      <w:r w:rsidRPr="00EA246E" w:rsidR="00846237">
        <w:rPr>
          <w:rFonts w:eastAsia="Times New Roman" w:cs="Times New Roman"/>
        </w:rPr>
        <w:t xml:space="preserve">that will be authorized by </w:t>
      </w:r>
      <w:r w:rsidRPr="00EA246E" w:rsidR="00A14010">
        <w:rPr>
          <w:rFonts w:eastAsia="Times New Roman" w:cs="Times New Roman"/>
        </w:rPr>
        <w:t>the NIH SBPO staff</w:t>
      </w:r>
      <w:r w:rsidRPr="00EA246E">
        <w:rPr>
          <w:rFonts w:eastAsia="Times New Roman" w:cs="Times New Roman"/>
        </w:rPr>
        <w:t xml:space="preserve"> with a secure password</w:t>
      </w:r>
      <w:r w:rsidRPr="00EA246E" w:rsidR="00450742">
        <w:rPr>
          <w:rFonts w:eastAsia="Times New Roman" w:cs="Times New Roman"/>
        </w:rPr>
        <w:t>.</w:t>
      </w:r>
      <w:r w:rsidR="00450742">
        <w:rPr>
          <w:rFonts w:eastAsia="Times New Roman" w:cs="Times New Roman"/>
        </w:rPr>
        <w:t xml:space="preserve"> </w:t>
      </w:r>
      <w:r w:rsidRPr="00091F7D">
        <w:rPr>
          <w:rFonts w:eastAsia="Times New Roman" w:cs="Times New Roman"/>
        </w:rPr>
        <w:t xml:space="preserve">  This allow</w:t>
      </w:r>
      <w:r w:rsidR="00EA1C3E">
        <w:rPr>
          <w:rFonts w:eastAsia="Times New Roman" w:cs="Times New Roman"/>
        </w:rPr>
        <w:t>s</w:t>
      </w:r>
      <w:r w:rsidRPr="00091F7D">
        <w:rPr>
          <w:rFonts w:eastAsia="Times New Roman" w:cs="Times New Roman"/>
        </w:rPr>
        <w:t xml:space="preserve"> them to report on grants and contracts</w:t>
      </w:r>
      <w:r w:rsidR="006262D1">
        <w:rPr>
          <w:rFonts w:eastAsia="Times New Roman" w:cs="Times New Roman"/>
        </w:rPr>
        <w:t xml:space="preserve"> of interest and </w:t>
      </w:r>
      <w:r w:rsidR="00B54618">
        <w:rPr>
          <w:rFonts w:eastAsia="Times New Roman" w:cs="Times New Roman"/>
        </w:rPr>
        <w:t xml:space="preserve">view </w:t>
      </w:r>
      <w:r w:rsidRPr="00091F7D" w:rsidR="00B54618">
        <w:rPr>
          <w:rFonts w:eastAsia="Times New Roman" w:cs="Times New Roman"/>
        </w:rPr>
        <w:t>grant</w:t>
      </w:r>
      <w:r w:rsidRPr="00091F7D">
        <w:rPr>
          <w:rFonts w:eastAsia="Times New Roman" w:cs="Times New Roman"/>
        </w:rPr>
        <w:t xml:space="preserve"> and contract </w:t>
      </w:r>
      <w:r w:rsidR="00A204C1">
        <w:rPr>
          <w:rFonts w:eastAsia="Times New Roman" w:cs="Times New Roman"/>
        </w:rPr>
        <w:t>opportunities</w:t>
      </w:r>
      <w:r w:rsidR="006262D1">
        <w:rPr>
          <w:rFonts w:eastAsia="Times New Roman" w:cs="Times New Roman"/>
        </w:rPr>
        <w:t>.</w:t>
      </w:r>
      <w:r w:rsidRPr="00091F7D">
        <w:rPr>
          <w:rFonts w:eastAsia="Times New Roman" w:cs="Times New Roman"/>
        </w:rPr>
        <w:t xml:space="preserve">  </w:t>
      </w:r>
    </w:p>
    <w:p w:rsidR="00091F7D" w:rsidRPr="00091F7D" w:rsidP="00091F7D" w14:paraId="660F9501" w14:textId="14DD9E04">
      <w:pPr>
        <w:rPr>
          <w:rFonts w:eastAsia="Times New Roman" w:cs="Times New Roman"/>
        </w:rPr>
      </w:pPr>
      <w:r w:rsidRPr="00091F7D">
        <w:rPr>
          <w:rFonts w:eastAsia="Times New Roman" w:cs="Times New Roman"/>
        </w:rPr>
        <w:t xml:space="preserve">The </w:t>
      </w:r>
      <w:r w:rsidR="006F10FA">
        <w:rPr>
          <w:rFonts w:eastAsia="Times New Roman" w:cs="Times New Roman"/>
        </w:rPr>
        <w:t xml:space="preserve">HBCU </w:t>
      </w:r>
      <w:r w:rsidR="006262D1">
        <w:rPr>
          <w:rFonts w:eastAsia="Times New Roman" w:cs="Times New Roman"/>
        </w:rPr>
        <w:t>p</w:t>
      </w:r>
      <w:r w:rsidR="006F10FA">
        <w:rPr>
          <w:rFonts w:eastAsia="Times New Roman" w:cs="Times New Roman"/>
        </w:rPr>
        <w:t>re-solicitation portal</w:t>
      </w:r>
      <w:r w:rsidRPr="00091F7D" w:rsidR="006F10FA">
        <w:rPr>
          <w:rFonts w:eastAsia="Times New Roman" w:cs="Times New Roman"/>
        </w:rPr>
        <w:t xml:space="preserve"> </w:t>
      </w:r>
      <w:r w:rsidRPr="00091F7D">
        <w:rPr>
          <w:rFonts w:eastAsia="Times New Roman" w:cs="Times New Roman"/>
        </w:rPr>
        <w:t>provide</w:t>
      </w:r>
      <w:r w:rsidR="00EA1C3E">
        <w:rPr>
          <w:rFonts w:eastAsia="Times New Roman" w:cs="Times New Roman"/>
        </w:rPr>
        <w:t>s</w:t>
      </w:r>
      <w:r w:rsidRPr="00091F7D">
        <w:rPr>
          <w:rFonts w:eastAsia="Times New Roman" w:cs="Times New Roman"/>
        </w:rPr>
        <w:t xml:space="preserve"> a central repository for HBCUs and </w:t>
      </w:r>
      <w:r w:rsidR="00CF4D15">
        <w:rPr>
          <w:rFonts w:eastAsia="Times New Roman" w:cs="Times New Roman"/>
        </w:rPr>
        <w:t xml:space="preserve">small businesses </w:t>
      </w:r>
      <w:r w:rsidRPr="00091F7D">
        <w:rPr>
          <w:rFonts w:eastAsia="Times New Roman" w:cs="Times New Roman"/>
        </w:rPr>
        <w:t xml:space="preserve">to report </w:t>
      </w:r>
      <w:r w:rsidR="006262D1">
        <w:rPr>
          <w:rFonts w:eastAsia="Times New Roman" w:cs="Times New Roman"/>
        </w:rPr>
        <w:t>Federal</w:t>
      </w:r>
      <w:r w:rsidRPr="00091F7D" w:rsidR="006262D1">
        <w:rPr>
          <w:rFonts w:eastAsia="Times New Roman" w:cs="Times New Roman"/>
        </w:rPr>
        <w:t xml:space="preserve"> </w:t>
      </w:r>
      <w:r w:rsidRPr="00091F7D">
        <w:rPr>
          <w:rFonts w:eastAsia="Times New Roman" w:cs="Times New Roman"/>
        </w:rPr>
        <w:t>grants and contracts</w:t>
      </w:r>
      <w:r w:rsidR="006262D1">
        <w:rPr>
          <w:rFonts w:eastAsia="Times New Roman" w:cs="Times New Roman"/>
        </w:rPr>
        <w:t xml:space="preserve"> of interest</w:t>
      </w:r>
      <w:r w:rsidRPr="00091F7D">
        <w:rPr>
          <w:rFonts w:eastAsia="Times New Roman" w:cs="Times New Roman"/>
        </w:rPr>
        <w:t>.  The system allow</w:t>
      </w:r>
      <w:r w:rsidR="00EA1C3E">
        <w:rPr>
          <w:rFonts w:eastAsia="Times New Roman" w:cs="Times New Roman"/>
        </w:rPr>
        <w:t>s</w:t>
      </w:r>
      <w:r w:rsidRPr="00091F7D">
        <w:rPr>
          <w:rFonts w:eastAsia="Times New Roman" w:cs="Times New Roman"/>
        </w:rPr>
        <w:t xml:space="preserve"> them to see what grants and contracts are available through periodic data </w:t>
      </w:r>
      <w:r w:rsidR="006262D1">
        <w:rPr>
          <w:rFonts w:eastAsia="Times New Roman" w:cs="Times New Roman"/>
        </w:rPr>
        <w:t>uploads</w:t>
      </w:r>
      <w:r w:rsidRPr="00091F7D" w:rsidR="006262D1">
        <w:rPr>
          <w:rFonts w:eastAsia="Times New Roman" w:cs="Times New Roman"/>
        </w:rPr>
        <w:t xml:space="preserve"> </w:t>
      </w:r>
      <w:r w:rsidRPr="00091F7D">
        <w:rPr>
          <w:rFonts w:eastAsia="Times New Roman" w:cs="Times New Roman"/>
        </w:rPr>
        <w:t xml:space="preserve">from grants.nih.gov, NIH RePORTER, </w:t>
      </w:r>
      <w:r w:rsidR="006262D1">
        <w:rPr>
          <w:rFonts w:eastAsia="Times New Roman" w:cs="Times New Roman"/>
        </w:rPr>
        <w:t>sam.gov,</w:t>
      </w:r>
      <w:r w:rsidRPr="00091F7D">
        <w:rPr>
          <w:rFonts w:eastAsia="Times New Roman" w:cs="Times New Roman"/>
        </w:rPr>
        <w:t xml:space="preserve"> and FPDS.gov.  The data </w:t>
      </w:r>
      <w:r w:rsidR="006262D1">
        <w:rPr>
          <w:rFonts w:eastAsia="Times New Roman" w:cs="Times New Roman"/>
        </w:rPr>
        <w:t>up</w:t>
      </w:r>
      <w:r w:rsidRPr="00091F7D">
        <w:rPr>
          <w:rFonts w:eastAsia="Times New Roman" w:cs="Times New Roman"/>
        </w:rPr>
        <w:t xml:space="preserve">loaded from these sites will reduce the </w:t>
      </w:r>
      <w:r w:rsidR="006262D1">
        <w:rPr>
          <w:rFonts w:eastAsia="Times New Roman" w:cs="Times New Roman"/>
        </w:rPr>
        <w:t xml:space="preserve">user’s reporting </w:t>
      </w:r>
      <w:r w:rsidRPr="00091F7D">
        <w:rPr>
          <w:rFonts w:eastAsia="Times New Roman" w:cs="Times New Roman"/>
        </w:rPr>
        <w:t xml:space="preserve">effort by prepopulating </w:t>
      </w:r>
      <w:r w:rsidR="00A204C1">
        <w:rPr>
          <w:rFonts w:eastAsia="Times New Roman" w:cs="Times New Roman"/>
        </w:rPr>
        <w:t xml:space="preserve">about </w:t>
      </w:r>
      <w:r w:rsidRPr="00EB1132" w:rsidR="00846237">
        <w:rPr>
          <w:rFonts w:eastAsia="Times New Roman" w:cs="Times New Roman"/>
        </w:rPr>
        <w:t>95</w:t>
      </w:r>
      <w:r w:rsidR="009273A9">
        <w:rPr>
          <w:rFonts w:eastAsia="Times New Roman" w:cs="Times New Roman"/>
        </w:rPr>
        <w:t xml:space="preserve">% of the data input fields.  </w:t>
      </w:r>
      <w:r w:rsidR="006262D1">
        <w:rPr>
          <w:rFonts w:eastAsia="Times New Roman" w:cs="Times New Roman"/>
        </w:rPr>
        <w:t>C</w:t>
      </w:r>
      <w:r w:rsidRPr="00091F7D">
        <w:rPr>
          <w:rFonts w:eastAsia="Times New Roman" w:cs="Times New Roman"/>
        </w:rPr>
        <w:t xml:space="preserve">onsolidating </w:t>
      </w:r>
      <w:r w:rsidR="006262D1">
        <w:rPr>
          <w:rFonts w:eastAsia="Times New Roman" w:cs="Times New Roman"/>
        </w:rPr>
        <w:t xml:space="preserve">the </w:t>
      </w:r>
      <w:r w:rsidR="00802BB3">
        <w:rPr>
          <w:rFonts w:eastAsia="Times New Roman" w:cs="Times New Roman"/>
        </w:rPr>
        <w:t xml:space="preserve">upcoming </w:t>
      </w:r>
      <w:r w:rsidRPr="00091F7D" w:rsidR="00802BB3">
        <w:rPr>
          <w:rFonts w:eastAsia="Times New Roman" w:cs="Times New Roman"/>
        </w:rPr>
        <w:t>grants</w:t>
      </w:r>
      <w:r w:rsidRPr="00091F7D">
        <w:rPr>
          <w:rFonts w:eastAsia="Times New Roman" w:cs="Times New Roman"/>
        </w:rPr>
        <w:t xml:space="preserve"> and contracts in</w:t>
      </w:r>
      <w:r w:rsidR="009273A9">
        <w:rPr>
          <w:rFonts w:eastAsia="Times New Roman" w:cs="Times New Roman"/>
        </w:rPr>
        <w:t>to</w:t>
      </w:r>
      <w:r w:rsidRPr="00091F7D">
        <w:rPr>
          <w:rFonts w:eastAsia="Times New Roman" w:cs="Times New Roman"/>
        </w:rPr>
        <w:t xml:space="preserve"> this system</w:t>
      </w:r>
      <w:r w:rsidR="009273A9">
        <w:rPr>
          <w:rFonts w:eastAsia="Times New Roman" w:cs="Times New Roman"/>
        </w:rPr>
        <w:t xml:space="preserve"> </w:t>
      </w:r>
      <w:r w:rsidRPr="00091F7D">
        <w:rPr>
          <w:rFonts w:eastAsia="Times New Roman" w:cs="Times New Roman"/>
        </w:rPr>
        <w:t>decrease</w:t>
      </w:r>
      <w:r w:rsidR="001E3042">
        <w:rPr>
          <w:rFonts w:eastAsia="Times New Roman" w:cs="Times New Roman"/>
        </w:rPr>
        <w:t>s</w:t>
      </w:r>
      <w:r w:rsidRPr="00091F7D">
        <w:rPr>
          <w:rFonts w:eastAsia="Times New Roman" w:cs="Times New Roman"/>
        </w:rPr>
        <w:t xml:space="preserve"> the burden on the HBCUs and </w:t>
      </w:r>
      <w:r w:rsidR="00183E2E">
        <w:rPr>
          <w:rFonts w:eastAsia="Times New Roman" w:cs="Times New Roman"/>
        </w:rPr>
        <w:t xml:space="preserve">businesses </w:t>
      </w:r>
      <w:r w:rsidRPr="00091F7D">
        <w:rPr>
          <w:rFonts w:eastAsia="Times New Roman" w:cs="Times New Roman"/>
        </w:rPr>
        <w:t>by giving them</w:t>
      </w:r>
      <w:r w:rsidR="00183E2E">
        <w:rPr>
          <w:rFonts w:eastAsia="Times New Roman" w:cs="Times New Roman"/>
        </w:rPr>
        <w:t xml:space="preserve"> one site to access </w:t>
      </w:r>
      <w:r w:rsidR="00BB12F3">
        <w:rPr>
          <w:rFonts w:eastAsia="Times New Roman" w:cs="Times New Roman"/>
        </w:rPr>
        <w:t xml:space="preserve">NIH </w:t>
      </w:r>
      <w:r w:rsidR="00183E2E">
        <w:rPr>
          <w:rFonts w:eastAsia="Times New Roman" w:cs="Times New Roman"/>
        </w:rPr>
        <w:t xml:space="preserve">funding opportunities. </w:t>
      </w:r>
      <w:r w:rsidRPr="00091F7D">
        <w:rPr>
          <w:rFonts w:eastAsia="Times New Roman" w:cs="Times New Roman"/>
        </w:rPr>
        <w:t xml:space="preserve"> The information entered by an </w:t>
      </w:r>
      <w:r w:rsidRPr="00091F7D">
        <w:rPr>
          <w:rFonts w:eastAsia="Times New Roman" w:cs="Times New Roman"/>
        </w:rPr>
        <w:t>HBCU</w:t>
      </w:r>
      <w:r w:rsidRPr="00091F7D">
        <w:rPr>
          <w:rFonts w:eastAsia="Times New Roman" w:cs="Times New Roman"/>
        </w:rPr>
        <w:t xml:space="preserve"> or </w:t>
      </w:r>
      <w:r w:rsidR="006262D1">
        <w:rPr>
          <w:rFonts w:eastAsia="Times New Roman" w:cs="Times New Roman"/>
        </w:rPr>
        <w:t>a business</w:t>
      </w:r>
      <w:r w:rsidR="00CF4D15">
        <w:rPr>
          <w:rFonts w:eastAsia="Times New Roman" w:cs="Times New Roman"/>
        </w:rPr>
        <w:t xml:space="preserve"> i</w:t>
      </w:r>
      <w:r w:rsidRPr="00091F7D">
        <w:rPr>
          <w:rFonts w:eastAsia="Times New Roman" w:cs="Times New Roman"/>
        </w:rPr>
        <w:t xml:space="preserve">s viewable only by that HBCU or </w:t>
      </w:r>
      <w:r w:rsidR="00CF4D15">
        <w:rPr>
          <w:rFonts w:eastAsia="Times New Roman" w:cs="Times New Roman"/>
        </w:rPr>
        <w:t>business</w:t>
      </w:r>
      <w:r w:rsidRPr="00091F7D">
        <w:rPr>
          <w:rFonts w:eastAsia="Times New Roman" w:cs="Times New Roman"/>
        </w:rPr>
        <w:t xml:space="preserve"> and the NIH SBPO staff.  </w:t>
      </w:r>
    </w:p>
    <w:p w:rsidR="00091F7D" w:rsidRPr="00091F7D" w:rsidP="00091F7D" w14:paraId="7ED42731" w14:textId="0E68E955">
      <w:pPr>
        <w:rPr>
          <w:rFonts w:eastAsia="Times New Roman" w:cs="Times New Roman"/>
        </w:rPr>
      </w:pPr>
      <w:r w:rsidRPr="00091F7D">
        <w:rPr>
          <w:rFonts w:eastAsia="Times New Roman" w:cs="Times New Roman"/>
        </w:rPr>
        <w:t xml:space="preserve">Another advantage of the </w:t>
      </w:r>
      <w:r w:rsidR="009273A9">
        <w:rPr>
          <w:rFonts w:eastAsia="Times New Roman" w:cs="Times New Roman"/>
        </w:rPr>
        <w:t xml:space="preserve">HBCU </w:t>
      </w:r>
      <w:r w:rsidR="006262D1">
        <w:rPr>
          <w:rFonts w:eastAsia="Times New Roman" w:cs="Times New Roman"/>
        </w:rPr>
        <w:t>p</w:t>
      </w:r>
      <w:r w:rsidR="009273A9">
        <w:rPr>
          <w:rFonts w:eastAsia="Times New Roman" w:cs="Times New Roman"/>
        </w:rPr>
        <w:t>re-solicitation</w:t>
      </w:r>
      <w:r w:rsidRPr="00091F7D">
        <w:rPr>
          <w:rFonts w:eastAsia="Times New Roman" w:cs="Times New Roman"/>
        </w:rPr>
        <w:t xml:space="preserve"> </w:t>
      </w:r>
      <w:r w:rsidR="009273A9">
        <w:rPr>
          <w:rFonts w:eastAsia="Times New Roman" w:cs="Times New Roman"/>
        </w:rPr>
        <w:t xml:space="preserve">portal </w:t>
      </w:r>
      <w:r w:rsidRPr="00091F7D">
        <w:rPr>
          <w:rFonts w:eastAsia="Times New Roman" w:cs="Times New Roman"/>
        </w:rPr>
        <w:t>is the</w:t>
      </w:r>
      <w:r w:rsidR="009273A9">
        <w:rPr>
          <w:rFonts w:eastAsia="Times New Roman" w:cs="Times New Roman"/>
        </w:rPr>
        <w:t xml:space="preserve"> </w:t>
      </w:r>
      <w:r w:rsidRPr="00091F7D">
        <w:rPr>
          <w:rFonts w:eastAsia="Times New Roman" w:cs="Times New Roman"/>
        </w:rPr>
        <w:t>guidanc</w:t>
      </w:r>
      <w:r w:rsidR="009273A9">
        <w:rPr>
          <w:rFonts w:eastAsia="Times New Roman" w:cs="Times New Roman"/>
        </w:rPr>
        <w:t>e</w:t>
      </w:r>
      <w:r w:rsidR="006262D1">
        <w:rPr>
          <w:rFonts w:eastAsia="Times New Roman" w:cs="Times New Roman"/>
        </w:rPr>
        <w:t xml:space="preserve"> provided by the NIH SBPO staff</w:t>
      </w:r>
      <w:r w:rsidR="009273A9">
        <w:rPr>
          <w:rFonts w:eastAsia="Times New Roman" w:cs="Times New Roman"/>
        </w:rPr>
        <w:t xml:space="preserve"> </w:t>
      </w:r>
      <w:r w:rsidRPr="00091F7D">
        <w:rPr>
          <w:rFonts w:eastAsia="Times New Roman" w:cs="Times New Roman"/>
        </w:rPr>
        <w:t xml:space="preserve">when </w:t>
      </w:r>
      <w:r w:rsidR="009273A9">
        <w:rPr>
          <w:rFonts w:eastAsia="Times New Roman" w:cs="Times New Roman"/>
        </w:rPr>
        <w:t xml:space="preserve">users </w:t>
      </w:r>
      <w:r w:rsidR="00BB12F3">
        <w:rPr>
          <w:rFonts w:eastAsia="Times New Roman" w:cs="Times New Roman"/>
        </w:rPr>
        <w:t>indicate an opportunity of interest</w:t>
      </w:r>
      <w:r w:rsidRPr="00091F7D">
        <w:rPr>
          <w:rFonts w:eastAsia="Times New Roman" w:cs="Times New Roman"/>
        </w:rPr>
        <w:t xml:space="preserve">.  The </w:t>
      </w:r>
      <w:r w:rsidR="00251AD6">
        <w:rPr>
          <w:rFonts w:eastAsia="Times New Roman" w:cs="Times New Roman"/>
        </w:rPr>
        <w:t xml:space="preserve">HBCU </w:t>
      </w:r>
      <w:r w:rsidR="00BB12F3">
        <w:rPr>
          <w:rFonts w:eastAsia="Times New Roman" w:cs="Times New Roman"/>
        </w:rPr>
        <w:t>p</w:t>
      </w:r>
      <w:r w:rsidR="00251AD6">
        <w:rPr>
          <w:rFonts w:eastAsia="Times New Roman" w:cs="Times New Roman"/>
        </w:rPr>
        <w:t>re-solicitation portal</w:t>
      </w:r>
      <w:r w:rsidRPr="00091F7D" w:rsidR="00251AD6">
        <w:rPr>
          <w:rFonts w:eastAsia="Times New Roman" w:cs="Times New Roman"/>
        </w:rPr>
        <w:t xml:space="preserve"> </w:t>
      </w:r>
      <w:r w:rsidRPr="00091F7D">
        <w:rPr>
          <w:rFonts w:eastAsia="Times New Roman" w:cs="Times New Roman"/>
        </w:rPr>
        <w:t xml:space="preserve">also offers a social </w:t>
      </w:r>
      <w:r w:rsidR="0024025D">
        <w:rPr>
          <w:rFonts w:eastAsia="Times New Roman" w:cs="Times New Roman"/>
        </w:rPr>
        <w:t xml:space="preserve">networking </w:t>
      </w:r>
      <w:r w:rsidRPr="00091F7D">
        <w:rPr>
          <w:rFonts w:eastAsia="Times New Roman" w:cs="Times New Roman"/>
        </w:rPr>
        <w:t xml:space="preserve">platform that allows for and promotes collaboration between the </w:t>
      </w:r>
      <w:r w:rsidR="000F6F78">
        <w:rPr>
          <w:rFonts w:eastAsia="Times New Roman" w:cs="Times New Roman"/>
        </w:rPr>
        <w:t xml:space="preserve">NIH SBPO staff, </w:t>
      </w:r>
      <w:r w:rsidRPr="00091F7D">
        <w:rPr>
          <w:rFonts w:eastAsia="Times New Roman" w:cs="Times New Roman"/>
        </w:rPr>
        <w:t xml:space="preserve">HBCUs and </w:t>
      </w:r>
      <w:r w:rsidR="00BB12F3">
        <w:rPr>
          <w:rFonts w:eastAsia="Times New Roman" w:cs="Times New Roman"/>
        </w:rPr>
        <w:t xml:space="preserve">their </w:t>
      </w:r>
      <w:r w:rsidR="00CF4D15">
        <w:rPr>
          <w:rFonts w:eastAsia="Times New Roman" w:cs="Times New Roman"/>
        </w:rPr>
        <w:t>busines</w:t>
      </w:r>
      <w:r w:rsidR="00BB12F3">
        <w:rPr>
          <w:rFonts w:eastAsia="Times New Roman" w:cs="Times New Roman"/>
        </w:rPr>
        <w:t>s partners</w:t>
      </w:r>
      <w:r w:rsidRPr="00091F7D">
        <w:rPr>
          <w:rFonts w:eastAsia="Times New Roman" w:cs="Times New Roman"/>
        </w:rPr>
        <w:t xml:space="preserve">.   </w:t>
      </w:r>
    </w:p>
    <w:p w:rsidR="000F3043" w:rsidRPr="00091F7D" w:rsidP="00091F7D" w14:paraId="2BF08F38" w14:textId="575889DC">
      <w:pPr>
        <w:rPr>
          <w:rFonts w:eastAsia="Times New Roman" w:cs="Times New Roman"/>
        </w:rPr>
      </w:pPr>
      <w:r w:rsidRPr="00091F7D">
        <w:rPr>
          <w:rFonts w:eastAsia="Times New Roman" w:cs="Times New Roman"/>
        </w:rPr>
        <w:t>This</w:t>
      </w:r>
      <w:r w:rsidR="00251AD6">
        <w:rPr>
          <w:rFonts w:eastAsia="Times New Roman" w:cs="Times New Roman"/>
        </w:rPr>
        <w:t xml:space="preserve"> HBCU </w:t>
      </w:r>
      <w:r w:rsidR="00BB12F3">
        <w:rPr>
          <w:rFonts w:eastAsia="Times New Roman" w:cs="Times New Roman"/>
        </w:rPr>
        <w:t>p</w:t>
      </w:r>
      <w:r w:rsidR="00251AD6">
        <w:rPr>
          <w:rFonts w:eastAsia="Times New Roman" w:cs="Times New Roman"/>
        </w:rPr>
        <w:t>re-solicitation portal</w:t>
      </w:r>
      <w:r w:rsidRPr="00091F7D" w:rsidR="00251AD6">
        <w:rPr>
          <w:rFonts w:eastAsia="Times New Roman" w:cs="Times New Roman"/>
        </w:rPr>
        <w:t xml:space="preserve"> </w:t>
      </w:r>
      <w:r w:rsidRPr="00091F7D">
        <w:rPr>
          <w:rFonts w:eastAsia="Times New Roman" w:cs="Times New Roman"/>
        </w:rPr>
        <w:t>replace</w:t>
      </w:r>
      <w:r w:rsidR="001E3042">
        <w:rPr>
          <w:rFonts w:eastAsia="Times New Roman" w:cs="Times New Roman"/>
        </w:rPr>
        <w:t>s</w:t>
      </w:r>
      <w:r w:rsidRPr="00091F7D">
        <w:rPr>
          <w:rFonts w:eastAsia="Times New Roman" w:cs="Times New Roman"/>
        </w:rPr>
        <w:t xml:space="preserve"> a manual process that is done by the NIH SBPO to satisfy government reporting requirements.  This reporting </w:t>
      </w:r>
      <w:r w:rsidR="001E3042">
        <w:rPr>
          <w:rFonts w:eastAsia="Times New Roman" w:cs="Times New Roman"/>
        </w:rPr>
        <w:t>p</w:t>
      </w:r>
      <w:r w:rsidRPr="00091F7D">
        <w:rPr>
          <w:rFonts w:eastAsia="Times New Roman" w:cs="Times New Roman"/>
        </w:rPr>
        <w:t>rovide</w:t>
      </w:r>
      <w:r w:rsidR="001E3042">
        <w:rPr>
          <w:rFonts w:eastAsia="Times New Roman" w:cs="Times New Roman"/>
        </w:rPr>
        <w:t>s</w:t>
      </w:r>
      <w:r w:rsidRPr="00091F7D">
        <w:rPr>
          <w:rFonts w:eastAsia="Times New Roman" w:cs="Times New Roman"/>
        </w:rPr>
        <w:t xml:space="preserve"> the </w:t>
      </w:r>
      <w:r w:rsidR="000F6F78">
        <w:rPr>
          <w:rFonts w:eastAsia="Times New Roman" w:cs="Times New Roman"/>
        </w:rPr>
        <w:t>NIH SBPO</w:t>
      </w:r>
      <w:r w:rsidRPr="00091F7D" w:rsidR="00A204C1">
        <w:rPr>
          <w:rFonts w:eastAsia="Times New Roman" w:cs="Times New Roman"/>
        </w:rPr>
        <w:t xml:space="preserve"> </w:t>
      </w:r>
      <w:r w:rsidRPr="00091F7D">
        <w:rPr>
          <w:rFonts w:eastAsia="Times New Roman" w:cs="Times New Roman"/>
        </w:rPr>
        <w:t xml:space="preserve">staff insight </w:t>
      </w:r>
      <w:r w:rsidR="00BB12F3">
        <w:rPr>
          <w:rFonts w:eastAsia="Times New Roman" w:cs="Times New Roman"/>
        </w:rPr>
        <w:t xml:space="preserve">into the HBCU/business partner team’s grant and contract interests and providing baseline data to analyze unsuccessful and successful application rates. </w:t>
      </w:r>
      <w:r w:rsidRPr="00091F7D">
        <w:rPr>
          <w:rFonts w:eastAsia="Times New Roman" w:cs="Times New Roman"/>
        </w:rPr>
        <w:t xml:space="preserve"> </w:t>
      </w:r>
      <w:r w:rsidR="00BB12F3">
        <w:rPr>
          <w:rFonts w:eastAsia="Times New Roman" w:cs="Times New Roman"/>
        </w:rPr>
        <w:t>T</w:t>
      </w:r>
      <w:r w:rsidR="0024025D">
        <w:rPr>
          <w:rFonts w:eastAsia="Times New Roman" w:cs="Times New Roman"/>
        </w:rPr>
        <w:t xml:space="preserve">he information collected </w:t>
      </w:r>
      <w:r w:rsidR="00BB12F3">
        <w:rPr>
          <w:rFonts w:eastAsia="Times New Roman" w:cs="Times New Roman"/>
        </w:rPr>
        <w:t xml:space="preserve">also </w:t>
      </w:r>
      <w:r w:rsidR="0024025D">
        <w:rPr>
          <w:rFonts w:eastAsia="Times New Roman" w:cs="Times New Roman"/>
        </w:rPr>
        <w:t>provide data regarding HBCUs engagement with NIH Institutes or Centers (ICs)</w:t>
      </w:r>
      <w:r w:rsidR="00221530">
        <w:rPr>
          <w:rFonts w:eastAsia="Times New Roman" w:cs="Times New Roman"/>
        </w:rPr>
        <w:t xml:space="preserve">, contract </w:t>
      </w:r>
      <w:r w:rsidR="00BB12F3">
        <w:rPr>
          <w:rFonts w:eastAsia="Times New Roman" w:cs="Times New Roman"/>
        </w:rPr>
        <w:t xml:space="preserve">offices, </w:t>
      </w:r>
      <w:r w:rsidR="00221530">
        <w:rPr>
          <w:rFonts w:eastAsia="Times New Roman" w:cs="Times New Roman"/>
        </w:rPr>
        <w:t>and programs</w:t>
      </w:r>
      <w:r w:rsidR="00BB12F3">
        <w:rPr>
          <w:rFonts w:eastAsia="Times New Roman" w:cs="Times New Roman"/>
        </w:rPr>
        <w:t>,</w:t>
      </w:r>
      <w:r w:rsidR="00221530">
        <w:rPr>
          <w:rFonts w:eastAsia="Times New Roman" w:cs="Times New Roman"/>
        </w:rPr>
        <w:t xml:space="preserve"> </w:t>
      </w:r>
      <w:r w:rsidR="00BB12F3">
        <w:rPr>
          <w:rFonts w:eastAsia="Times New Roman" w:cs="Times New Roman"/>
        </w:rPr>
        <w:t>potentially revealing NIH hot spots and areas where HBCUs may be underutilized.</w:t>
      </w:r>
    </w:p>
    <w:p w:rsidR="00A14010" w:rsidP="000F3043" w14:paraId="46B31A1B" w14:textId="77777777">
      <w:pPr>
        <w:pStyle w:val="Heading2"/>
        <w:spacing w:line="480" w:lineRule="auto"/>
        <w:rPr>
          <w:rFonts w:asciiTheme="minorHAnsi" w:hAnsiTheme="minorHAnsi" w:cstheme="minorHAnsi"/>
          <w:b/>
          <w:color w:val="auto"/>
          <w:sz w:val="22"/>
          <w:szCs w:val="22"/>
        </w:rPr>
      </w:pPr>
      <w:bookmarkStart w:id="0" w:name="_Toc443881743"/>
      <w:bookmarkStart w:id="1" w:name="_Toc451592232"/>
      <w:bookmarkStart w:id="2" w:name="_Toc5610273"/>
      <w:bookmarkStart w:id="3" w:name="_Toc99178779"/>
    </w:p>
    <w:p w:rsidR="000F3043" w:rsidRPr="00714BFA" w:rsidP="000F3043" w14:paraId="5FFD5194" w14:textId="77777777">
      <w:pPr>
        <w:pStyle w:val="Heading2"/>
        <w:spacing w:line="480" w:lineRule="auto"/>
        <w:rPr>
          <w:rFonts w:asciiTheme="minorHAnsi" w:hAnsiTheme="minorHAnsi" w:cstheme="minorHAnsi"/>
          <w:b/>
          <w:color w:val="auto"/>
          <w:sz w:val="22"/>
          <w:szCs w:val="22"/>
        </w:rPr>
      </w:pPr>
      <w:r w:rsidRPr="00714BFA">
        <w:rPr>
          <w:rFonts w:asciiTheme="minorHAnsi" w:hAnsiTheme="minorHAnsi" w:cstheme="minorHAnsi"/>
          <w:b/>
          <w:color w:val="auto"/>
          <w:sz w:val="22"/>
          <w:szCs w:val="22"/>
        </w:rPr>
        <w:t>A.2    Purpose and Use of the Information</w:t>
      </w:r>
      <w:bookmarkEnd w:id="0"/>
      <w:bookmarkEnd w:id="1"/>
      <w:bookmarkEnd w:id="2"/>
      <w:bookmarkEnd w:id="3"/>
      <w:r w:rsidRPr="00714BFA">
        <w:rPr>
          <w:rFonts w:asciiTheme="minorHAnsi" w:hAnsiTheme="minorHAnsi" w:cstheme="minorHAnsi"/>
          <w:b/>
          <w:color w:val="auto"/>
          <w:sz w:val="22"/>
          <w:szCs w:val="22"/>
        </w:rPr>
        <w:t xml:space="preserve"> Collection</w:t>
      </w:r>
    </w:p>
    <w:p w:rsidR="00E34187" w:rsidRPr="00E34187" w:rsidP="00E34187" w14:paraId="142F7774" w14:textId="2563EE90">
      <w:pPr>
        <w:rPr>
          <w:rFonts w:eastAsia="Times New Roman" w:cs="Times New Roman"/>
        </w:rPr>
      </w:pPr>
      <w:r w:rsidRPr="00E34187">
        <w:rPr>
          <w:rFonts w:eastAsia="Times New Roman" w:cs="Times New Roman"/>
        </w:rPr>
        <w:t>The purpose</w:t>
      </w:r>
      <w:r w:rsidR="00121F24">
        <w:rPr>
          <w:rFonts w:eastAsia="Times New Roman" w:cs="Times New Roman"/>
        </w:rPr>
        <w:t xml:space="preserve"> and use</w:t>
      </w:r>
      <w:r w:rsidRPr="00E34187">
        <w:rPr>
          <w:rFonts w:eastAsia="Times New Roman" w:cs="Times New Roman"/>
        </w:rPr>
        <w:t xml:space="preserve"> of the information collect</w:t>
      </w:r>
      <w:r w:rsidR="0046316B">
        <w:rPr>
          <w:rFonts w:eastAsia="Times New Roman" w:cs="Times New Roman"/>
        </w:rPr>
        <w:t>ed</w:t>
      </w:r>
      <w:r w:rsidRPr="00E34187">
        <w:rPr>
          <w:rFonts w:eastAsia="Times New Roman" w:cs="Times New Roman"/>
        </w:rPr>
        <w:t xml:space="preserve"> provide</w:t>
      </w:r>
      <w:r w:rsidR="0046316B">
        <w:rPr>
          <w:rFonts w:eastAsia="Times New Roman" w:cs="Times New Roman"/>
        </w:rPr>
        <w:t>s</w:t>
      </w:r>
      <w:r w:rsidRPr="00E34187">
        <w:rPr>
          <w:rFonts w:eastAsia="Times New Roman" w:cs="Times New Roman"/>
        </w:rPr>
        <w:t xml:space="preserve"> the </w:t>
      </w:r>
      <w:r>
        <w:rPr>
          <w:rFonts w:eastAsia="Times New Roman" w:cs="Times New Roman"/>
        </w:rPr>
        <w:t>NIH SBPO</w:t>
      </w:r>
      <w:r w:rsidRPr="00E34187">
        <w:rPr>
          <w:rFonts w:eastAsia="Times New Roman" w:cs="Times New Roman"/>
        </w:rPr>
        <w:t xml:space="preserve"> staff with insight </w:t>
      </w:r>
      <w:r w:rsidR="00BB12F3">
        <w:rPr>
          <w:rFonts w:eastAsia="Times New Roman" w:cs="Times New Roman"/>
        </w:rPr>
        <w:t>in</w:t>
      </w:r>
      <w:r w:rsidRPr="00E34187">
        <w:rPr>
          <w:rFonts w:eastAsia="Times New Roman" w:cs="Times New Roman"/>
        </w:rPr>
        <w:t xml:space="preserve">to HBCUs and </w:t>
      </w:r>
      <w:r w:rsidR="00BB12F3">
        <w:rPr>
          <w:rFonts w:eastAsia="Times New Roman" w:cs="Times New Roman"/>
        </w:rPr>
        <w:t xml:space="preserve">their </w:t>
      </w:r>
      <w:r w:rsidR="00CF4D15">
        <w:rPr>
          <w:rFonts w:eastAsia="Times New Roman" w:cs="Times New Roman"/>
        </w:rPr>
        <w:t xml:space="preserve">business </w:t>
      </w:r>
      <w:r w:rsidR="00BB12F3">
        <w:rPr>
          <w:rFonts w:eastAsia="Times New Roman" w:cs="Times New Roman"/>
        </w:rPr>
        <w:t xml:space="preserve">partner’s </w:t>
      </w:r>
      <w:r w:rsidRPr="00E34187">
        <w:rPr>
          <w:rFonts w:eastAsia="Times New Roman" w:cs="Times New Roman"/>
        </w:rPr>
        <w:t>interest</w:t>
      </w:r>
      <w:r>
        <w:rPr>
          <w:rFonts w:eastAsia="Times New Roman" w:cs="Times New Roman"/>
        </w:rPr>
        <w:t xml:space="preserve">s </w:t>
      </w:r>
      <w:r w:rsidRPr="00E34187">
        <w:rPr>
          <w:rFonts w:eastAsia="Times New Roman" w:cs="Times New Roman"/>
        </w:rPr>
        <w:t xml:space="preserve">in </w:t>
      </w:r>
      <w:r>
        <w:rPr>
          <w:rFonts w:eastAsia="Times New Roman" w:cs="Times New Roman"/>
        </w:rPr>
        <w:t xml:space="preserve">various </w:t>
      </w:r>
      <w:r w:rsidRPr="00E34187">
        <w:rPr>
          <w:rFonts w:eastAsia="Times New Roman" w:cs="Times New Roman"/>
        </w:rPr>
        <w:t xml:space="preserve">government grants and contracts </w:t>
      </w:r>
      <w:r w:rsidR="00BB12F3">
        <w:rPr>
          <w:rFonts w:eastAsia="Times New Roman" w:cs="Times New Roman"/>
        </w:rPr>
        <w:t>relevant</w:t>
      </w:r>
      <w:r w:rsidRPr="00E34187" w:rsidR="00BB12F3">
        <w:rPr>
          <w:rFonts w:eastAsia="Times New Roman" w:cs="Times New Roman"/>
        </w:rPr>
        <w:t xml:space="preserve"> </w:t>
      </w:r>
      <w:r w:rsidRPr="00E34187">
        <w:rPr>
          <w:rFonts w:eastAsia="Times New Roman" w:cs="Times New Roman"/>
        </w:rPr>
        <w:t xml:space="preserve">to their </w:t>
      </w:r>
      <w:r w:rsidR="00BB12F3">
        <w:rPr>
          <w:rFonts w:eastAsia="Times New Roman" w:cs="Times New Roman"/>
        </w:rPr>
        <w:t>organizations</w:t>
      </w:r>
      <w:r w:rsidRPr="00E34187">
        <w:rPr>
          <w:rFonts w:eastAsia="Times New Roman" w:cs="Times New Roman"/>
        </w:rPr>
        <w:t xml:space="preserve">.  </w:t>
      </w:r>
      <w:r w:rsidR="000F6F78">
        <w:rPr>
          <w:rFonts w:eastAsia="Times New Roman" w:cs="Times New Roman"/>
        </w:rPr>
        <w:t xml:space="preserve">This analysis will also </w:t>
      </w:r>
      <w:r w:rsidRPr="00E34187">
        <w:rPr>
          <w:rFonts w:eastAsia="Times New Roman" w:cs="Times New Roman"/>
        </w:rPr>
        <w:t xml:space="preserve">help the </w:t>
      </w:r>
      <w:r w:rsidR="000F6F78">
        <w:rPr>
          <w:rFonts w:eastAsia="Times New Roman" w:cs="Times New Roman"/>
        </w:rPr>
        <w:t xml:space="preserve">NIH SBPO </w:t>
      </w:r>
      <w:r w:rsidRPr="00E34187">
        <w:rPr>
          <w:rFonts w:eastAsia="Times New Roman" w:cs="Times New Roman"/>
        </w:rPr>
        <w:t xml:space="preserve">staff to inform these entities of grants and contracts </w:t>
      </w:r>
      <w:r w:rsidR="00BB12F3">
        <w:rPr>
          <w:rFonts w:eastAsia="Times New Roman" w:cs="Times New Roman"/>
        </w:rPr>
        <w:t>opportunities</w:t>
      </w:r>
      <w:r w:rsidRPr="00E34187" w:rsidR="00BB12F3">
        <w:rPr>
          <w:rFonts w:eastAsia="Times New Roman" w:cs="Times New Roman"/>
        </w:rPr>
        <w:t xml:space="preserve"> </w:t>
      </w:r>
      <w:r w:rsidRPr="00E34187">
        <w:rPr>
          <w:rFonts w:eastAsia="Times New Roman" w:cs="Times New Roman"/>
        </w:rPr>
        <w:t xml:space="preserve">that they may otherwise not realize are available.  Reporting this information is voluntary by the HBCUs and </w:t>
      </w:r>
      <w:r w:rsidR="00BB12F3">
        <w:rPr>
          <w:rFonts w:eastAsia="Times New Roman" w:cs="Times New Roman"/>
        </w:rPr>
        <w:t>their business partners</w:t>
      </w:r>
      <w:r w:rsidRPr="00E34187">
        <w:rPr>
          <w:rFonts w:eastAsia="Times New Roman" w:cs="Times New Roman"/>
        </w:rPr>
        <w:t xml:space="preserve">; however, </w:t>
      </w:r>
      <w:r w:rsidR="00BB12F3">
        <w:rPr>
          <w:rFonts w:eastAsia="Times New Roman" w:cs="Times New Roman"/>
        </w:rPr>
        <w:t>providing grants and contracts</w:t>
      </w:r>
      <w:r w:rsidRPr="00E34187">
        <w:rPr>
          <w:rFonts w:eastAsia="Times New Roman" w:cs="Times New Roman"/>
        </w:rPr>
        <w:t xml:space="preserve"> </w:t>
      </w:r>
      <w:r w:rsidR="00BB12F3">
        <w:rPr>
          <w:rFonts w:eastAsia="Times New Roman" w:cs="Times New Roman"/>
        </w:rPr>
        <w:t xml:space="preserve">of interest enables the </w:t>
      </w:r>
      <w:r w:rsidR="008D32C1">
        <w:rPr>
          <w:rFonts w:eastAsia="Times New Roman" w:cs="Times New Roman"/>
        </w:rPr>
        <w:t>NIH SBPO</w:t>
      </w:r>
      <w:r w:rsidR="00BB12F3">
        <w:rPr>
          <w:rFonts w:eastAsia="Times New Roman" w:cs="Times New Roman"/>
        </w:rPr>
        <w:t xml:space="preserve"> to</w:t>
      </w:r>
      <w:r w:rsidRPr="00E34187">
        <w:rPr>
          <w:rFonts w:eastAsia="Times New Roman" w:cs="Times New Roman"/>
        </w:rPr>
        <w:t xml:space="preserve"> make informed suggestions regarding other grants and contracts and </w:t>
      </w:r>
      <w:r w:rsidRPr="00E34187" w:rsidR="009C2B94">
        <w:rPr>
          <w:rFonts w:eastAsia="Times New Roman" w:cs="Times New Roman"/>
        </w:rPr>
        <w:t>reduc</w:t>
      </w:r>
      <w:r w:rsidR="009C2B94">
        <w:rPr>
          <w:rFonts w:eastAsia="Times New Roman" w:cs="Times New Roman"/>
        </w:rPr>
        <w:t>e</w:t>
      </w:r>
      <w:r w:rsidR="00BB12F3">
        <w:rPr>
          <w:rFonts w:eastAsia="Times New Roman" w:cs="Times New Roman"/>
        </w:rPr>
        <w:t>s</w:t>
      </w:r>
      <w:r w:rsidRPr="00E34187" w:rsidR="009C2B94">
        <w:rPr>
          <w:rFonts w:eastAsia="Times New Roman" w:cs="Times New Roman"/>
        </w:rPr>
        <w:t xml:space="preserve"> </w:t>
      </w:r>
      <w:r w:rsidRPr="00E34187">
        <w:rPr>
          <w:rFonts w:eastAsia="Times New Roman" w:cs="Times New Roman"/>
        </w:rPr>
        <w:t>the burden of research on the user</w:t>
      </w:r>
      <w:r w:rsidRPr="00C62177">
        <w:rPr>
          <w:rFonts w:eastAsia="Times New Roman" w:cs="Times New Roman"/>
        </w:rPr>
        <w:t xml:space="preserve">. </w:t>
      </w:r>
      <w:r w:rsidRPr="00EA246E" w:rsidR="00EB442D">
        <w:rPr>
          <w:rFonts w:eastAsia="Times New Roman" w:cs="Times New Roman"/>
        </w:rPr>
        <w:t>S</w:t>
      </w:r>
      <w:r w:rsidRPr="00EA246E" w:rsidR="00221530">
        <w:rPr>
          <w:rFonts w:eastAsia="Times New Roman" w:cs="Times New Roman"/>
        </w:rPr>
        <w:t xml:space="preserve">mart logic </w:t>
      </w:r>
      <w:r w:rsidRPr="00EA246E" w:rsidR="00021AD8">
        <w:rPr>
          <w:rFonts w:eastAsia="Times New Roman" w:cs="Times New Roman"/>
        </w:rPr>
        <w:t xml:space="preserve">is </w:t>
      </w:r>
      <w:r w:rsidRPr="00EA246E" w:rsidR="00221530">
        <w:rPr>
          <w:rFonts w:eastAsia="Times New Roman" w:cs="Times New Roman"/>
        </w:rPr>
        <w:t xml:space="preserve">utilized to match HBCUs and small businesses to potential opportunities. Matching </w:t>
      </w:r>
      <w:r w:rsidRPr="00EA246E" w:rsidR="00021AD8">
        <w:rPr>
          <w:rFonts w:eastAsia="Times New Roman" w:cs="Times New Roman"/>
        </w:rPr>
        <w:t>is</w:t>
      </w:r>
      <w:r w:rsidRPr="00EA246E" w:rsidR="00221530">
        <w:rPr>
          <w:rFonts w:eastAsia="Times New Roman" w:cs="Times New Roman"/>
        </w:rPr>
        <w:t xml:space="preserve"> based on past opportunities the HBCUs and small business have indicated they are interested in</w:t>
      </w:r>
      <w:r w:rsidRPr="00EA246E" w:rsidR="006C07E9">
        <w:rPr>
          <w:rFonts w:eastAsia="Times New Roman" w:cs="Times New Roman"/>
        </w:rPr>
        <w:t xml:space="preserve"> </w:t>
      </w:r>
      <w:r w:rsidRPr="00EA246E" w:rsidR="00650F29">
        <w:rPr>
          <w:rFonts w:eastAsia="Times New Roman" w:cs="Times New Roman"/>
        </w:rPr>
        <w:t>and</w:t>
      </w:r>
      <w:r w:rsidRPr="00EA246E" w:rsidR="006C07E9">
        <w:rPr>
          <w:rFonts w:eastAsia="Times New Roman" w:cs="Times New Roman"/>
        </w:rPr>
        <w:t xml:space="preserve"> based on the users selected </w:t>
      </w:r>
      <w:r w:rsidRPr="00EA246E" w:rsidR="00650F29">
        <w:rPr>
          <w:rFonts w:eastAsia="Times New Roman" w:cs="Times New Roman"/>
        </w:rPr>
        <w:t xml:space="preserve">NIH </w:t>
      </w:r>
      <w:r w:rsidRPr="00EA246E" w:rsidR="006C07E9">
        <w:rPr>
          <w:rFonts w:eastAsia="Times New Roman" w:cs="Times New Roman"/>
        </w:rPr>
        <w:t xml:space="preserve">ICs and </w:t>
      </w:r>
      <w:r w:rsidRPr="00EA246E" w:rsidR="00650F29">
        <w:rPr>
          <w:rFonts w:eastAsia="Times New Roman" w:cs="Times New Roman"/>
        </w:rPr>
        <w:t xml:space="preserve">organizational </w:t>
      </w:r>
      <w:r w:rsidRPr="00EA246E" w:rsidR="006C07E9">
        <w:rPr>
          <w:rFonts w:eastAsia="Times New Roman" w:cs="Times New Roman"/>
        </w:rPr>
        <w:t>capabilities entered in their profile</w:t>
      </w:r>
      <w:r w:rsidRPr="00EA246E" w:rsidR="00221530">
        <w:rPr>
          <w:rFonts w:eastAsia="Times New Roman" w:cs="Times New Roman"/>
        </w:rPr>
        <w:t xml:space="preserve">.  </w:t>
      </w:r>
      <w:r w:rsidRPr="00EA246E" w:rsidR="006C07E9">
        <w:rPr>
          <w:rFonts w:eastAsia="Times New Roman" w:cs="Times New Roman"/>
        </w:rPr>
        <w:t xml:space="preserve">HBCUs and </w:t>
      </w:r>
      <w:r w:rsidRPr="00EA246E" w:rsidR="00650F29">
        <w:rPr>
          <w:rFonts w:eastAsia="Times New Roman" w:cs="Times New Roman"/>
        </w:rPr>
        <w:t xml:space="preserve">their </w:t>
      </w:r>
      <w:r w:rsidRPr="00EA246E" w:rsidR="006C07E9">
        <w:rPr>
          <w:rFonts w:eastAsia="Times New Roman" w:cs="Times New Roman"/>
        </w:rPr>
        <w:t>business</w:t>
      </w:r>
      <w:r w:rsidRPr="00EA246E" w:rsidR="00650F29">
        <w:rPr>
          <w:rFonts w:eastAsia="Times New Roman" w:cs="Times New Roman"/>
        </w:rPr>
        <w:t xml:space="preserve"> partners</w:t>
      </w:r>
      <w:r w:rsidRPr="00EA246E" w:rsidR="006C07E9">
        <w:rPr>
          <w:rFonts w:eastAsia="Times New Roman" w:cs="Times New Roman"/>
        </w:rPr>
        <w:t xml:space="preserve"> can accept or reject recommended opportunities allowing the smart logic to learn </w:t>
      </w:r>
      <w:r w:rsidRPr="00EA246E" w:rsidR="00650F29">
        <w:rPr>
          <w:rFonts w:eastAsia="Times New Roman" w:cs="Times New Roman"/>
        </w:rPr>
        <w:t>schools’</w:t>
      </w:r>
      <w:r w:rsidRPr="00EA246E" w:rsidR="006C07E9">
        <w:rPr>
          <w:rFonts w:eastAsia="Times New Roman" w:cs="Times New Roman"/>
        </w:rPr>
        <w:t xml:space="preserve"> preferences over time and improve opportunit</w:t>
      </w:r>
      <w:r w:rsidRPr="00EA246E" w:rsidR="001F1750">
        <w:rPr>
          <w:rFonts w:eastAsia="Times New Roman" w:cs="Times New Roman"/>
        </w:rPr>
        <w:t xml:space="preserve">y </w:t>
      </w:r>
      <w:r w:rsidRPr="00EA246E" w:rsidR="006C07E9">
        <w:rPr>
          <w:rFonts w:eastAsia="Times New Roman" w:cs="Times New Roman"/>
        </w:rPr>
        <w:t>matches that</w:t>
      </w:r>
      <w:r w:rsidRPr="00EA246E" w:rsidR="001F1750">
        <w:rPr>
          <w:rFonts w:eastAsia="Times New Roman" w:cs="Times New Roman"/>
        </w:rPr>
        <w:t xml:space="preserve"> are</w:t>
      </w:r>
      <w:r w:rsidRPr="00EA246E" w:rsidR="006C07E9">
        <w:rPr>
          <w:rFonts w:eastAsia="Times New Roman" w:cs="Times New Roman"/>
        </w:rPr>
        <w:t xml:space="preserve"> </w:t>
      </w:r>
      <w:r w:rsidRPr="00EA246E" w:rsidR="0071305E">
        <w:rPr>
          <w:rFonts w:eastAsia="Times New Roman" w:cs="Times New Roman"/>
        </w:rPr>
        <w:t xml:space="preserve">presented to them through their </w:t>
      </w:r>
      <w:r w:rsidRPr="00EA246E" w:rsidR="00221530">
        <w:rPr>
          <w:rFonts w:eastAsia="Times New Roman" w:cs="Times New Roman"/>
        </w:rPr>
        <w:t>dashboard.</w:t>
      </w:r>
      <w:r w:rsidRPr="00EA246E" w:rsidR="00541BEB">
        <w:rPr>
          <w:rFonts w:eastAsia="Times New Roman" w:cs="Times New Roman"/>
        </w:rPr>
        <w:t xml:space="preserve"> The</w:t>
      </w:r>
      <w:r w:rsidRPr="00EA246E" w:rsidR="00C62177">
        <w:rPr>
          <w:rFonts w:eastAsia="Times New Roman" w:cs="Times New Roman"/>
        </w:rPr>
        <w:t xml:space="preserve"> registration feature</w:t>
      </w:r>
      <w:r w:rsidRPr="00EA246E" w:rsidR="00541BEB">
        <w:rPr>
          <w:rFonts w:eastAsia="Times New Roman" w:cs="Times New Roman"/>
        </w:rPr>
        <w:t xml:space="preserve"> will</w:t>
      </w:r>
      <w:r w:rsidRPr="00EA246E" w:rsidR="00C62177">
        <w:rPr>
          <w:rFonts w:eastAsia="Times New Roman" w:cs="Times New Roman"/>
        </w:rPr>
        <w:t xml:space="preserve"> allow a user to register</w:t>
      </w:r>
      <w:r w:rsidRPr="00EA246E" w:rsidR="00541BEB">
        <w:rPr>
          <w:rFonts w:eastAsia="Times New Roman" w:cs="Times New Roman"/>
        </w:rPr>
        <w:t xml:space="preserve"> for access to the HBCU Pre-solicitation portal.  After the NIH SBPO reviews the access request </w:t>
      </w:r>
      <w:r w:rsidRPr="00EA246E" w:rsidR="00C62177">
        <w:rPr>
          <w:rFonts w:eastAsia="Times New Roman" w:cs="Times New Roman"/>
        </w:rPr>
        <w:t xml:space="preserve">and determines to grant access, </w:t>
      </w:r>
      <w:r w:rsidRPr="00EA246E" w:rsidR="00541BEB">
        <w:rPr>
          <w:rFonts w:eastAsia="Times New Roman" w:cs="Times New Roman"/>
        </w:rPr>
        <w:t>the user receive</w:t>
      </w:r>
      <w:r w:rsidRPr="00EA246E" w:rsidR="00021AD8">
        <w:rPr>
          <w:rFonts w:eastAsia="Times New Roman" w:cs="Times New Roman"/>
        </w:rPr>
        <w:t>s</w:t>
      </w:r>
      <w:r w:rsidRPr="00EA246E" w:rsidR="00541BEB">
        <w:rPr>
          <w:rFonts w:eastAsia="Times New Roman" w:cs="Times New Roman"/>
        </w:rPr>
        <w:t xml:space="preserve"> their user-id and secure password</w:t>
      </w:r>
      <w:r w:rsidRPr="00EA246E" w:rsidR="00C62177">
        <w:rPr>
          <w:rFonts w:eastAsia="Times New Roman" w:cs="Times New Roman"/>
        </w:rPr>
        <w:t xml:space="preserve">. </w:t>
      </w:r>
      <w:r w:rsidRPr="00EA246E" w:rsidR="00775A11">
        <w:rPr>
          <w:rFonts w:eastAsia="Times New Roman" w:cs="Times New Roman"/>
        </w:rPr>
        <w:t>The reporting feature provides valuable insight to the NIH SBPO regarding</w:t>
      </w:r>
      <w:r w:rsidRPr="00EA246E" w:rsidR="00A20A73">
        <w:rPr>
          <w:rFonts w:eastAsia="Times New Roman" w:cs="Times New Roman"/>
        </w:rPr>
        <w:t xml:space="preserve"> the efficacy and quality of the</w:t>
      </w:r>
      <w:r w:rsidRPr="00EA246E" w:rsidR="00775A11">
        <w:rPr>
          <w:rFonts w:eastAsia="Times New Roman" w:cs="Times New Roman"/>
        </w:rPr>
        <w:t xml:space="preserve"> HBCUs and</w:t>
      </w:r>
      <w:r w:rsidRPr="00EA246E" w:rsidR="00A20A73">
        <w:rPr>
          <w:rFonts w:eastAsia="Times New Roman" w:cs="Times New Roman"/>
        </w:rPr>
        <w:t xml:space="preserve"> their teaming partners </w:t>
      </w:r>
      <w:r w:rsidRPr="00EA246E" w:rsidR="00CA4ACB">
        <w:rPr>
          <w:rFonts w:eastAsia="Times New Roman" w:cs="Times New Roman"/>
        </w:rPr>
        <w:t xml:space="preserve">by </w:t>
      </w:r>
      <w:r w:rsidRPr="00EA246E" w:rsidR="00646592">
        <w:rPr>
          <w:rFonts w:eastAsia="Times New Roman" w:cs="Times New Roman"/>
        </w:rPr>
        <w:t xml:space="preserve">allowing them to </w:t>
      </w:r>
      <w:r w:rsidRPr="00EA246E" w:rsidR="00775A11">
        <w:rPr>
          <w:rFonts w:eastAsia="Times New Roman" w:cs="Times New Roman"/>
        </w:rPr>
        <w:t>evaluat</w:t>
      </w:r>
      <w:r w:rsidRPr="00EA246E" w:rsidR="00646592">
        <w:rPr>
          <w:rFonts w:eastAsia="Times New Roman" w:cs="Times New Roman"/>
        </w:rPr>
        <w:t>e</w:t>
      </w:r>
      <w:r w:rsidRPr="00EA246E" w:rsidR="00775A11">
        <w:rPr>
          <w:rFonts w:eastAsia="Times New Roman" w:cs="Times New Roman"/>
        </w:rPr>
        <w:t xml:space="preserve"> each other.  The reporting</w:t>
      </w:r>
      <w:r w:rsidRPr="00EA246E" w:rsidR="00A20A73">
        <w:rPr>
          <w:rFonts w:eastAsia="Times New Roman" w:cs="Times New Roman"/>
        </w:rPr>
        <w:t xml:space="preserve"> feature</w:t>
      </w:r>
      <w:r w:rsidRPr="00EA246E" w:rsidR="00775A11">
        <w:rPr>
          <w:rFonts w:eastAsia="Times New Roman" w:cs="Times New Roman"/>
        </w:rPr>
        <w:t xml:space="preserve"> also</w:t>
      </w:r>
      <w:r w:rsidRPr="00EA246E" w:rsidR="00A20A73">
        <w:rPr>
          <w:rFonts w:eastAsia="Times New Roman" w:cs="Times New Roman"/>
        </w:rPr>
        <w:t xml:space="preserve"> provide</w:t>
      </w:r>
      <w:r w:rsidRPr="00EA246E" w:rsidR="00021AD8">
        <w:rPr>
          <w:rFonts w:eastAsia="Times New Roman" w:cs="Times New Roman"/>
        </w:rPr>
        <w:t>s</w:t>
      </w:r>
      <w:r w:rsidRPr="00EA246E" w:rsidR="00A20A73">
        <w:rPr>
          <w:rFonts w:eastAsia="Times New Roman" w:cs="Times New Roman"/>
        </w:rPr>
        <w:t xml:space="preserve"> feedback to</w:t>
      </w:r>
      <w:r w:rsidRPr="00EA246E" w:rsidR="00775A11">
        <w:rPr>
          <w:rFonts w:eastAsia="Times New Roman" w:cs="Times New Roman"/>
        </w:rPr>
        <w:t xml:space="preserve"> the NIH SBPO </w:t>
      </w:r>
      <w:r w:rsidRPr="00EA246E" w:rsidR="00A20A73">
        <w:rPr>
          <w:rFonts w:eastAsia="Times New Roman" w:cs="Times New Roman"/>
        </w:rPr>
        <w:t>on the efficacy, quality and impact of trainings offered by NIH to</w:t>
      </w:r>
      <w:r w:rsidRPr="00EA246E" w:rsidR="00775A11">
        <w:rPr>
          <w:rFonts w:eastAsia="Times New Roman" w:cs="Times New Roman"/>
        </w:rPr>
        <w:t xml:space="preserve"> the HBCU’s and </w:t>
      </w:r>
      <w:r w:rsidRPr="00EA246E" w:rsidR="00D8013D">
        <w:rPr>
          <w:rFonts w:eastAsia="Times New Roman" w:cs="Times New Roman"/>
        </w:rPr>
        <w:t>teaming partners</w:t>
      </w:r>
      <w:r w:rsidRPr="00EA246E" w:rsidR="00CA4ACB">
        <w:rPr>
          <w:rFonts w:eastAsia="Times New Roman" w:cs="Times New Roman"/>
        </w:rPr>
        <w:t xml:space="preserve">.  </w:t>
      </w:r>
      <w:r w:rsidRPr="00EA246E" w:rsidR="00A20A73">
        <w:rPr>
          <w:rFonts w:eastAsia="Times New Roman" w:cs="Times New Roman"/>
        </w:rPr>
        <w:t xml:space="preserve">The reporting feature also enables </w:t>
      </w:r>
      <w:r w:rsidRPr="00EA246E" w:rsidR="00CA4ACB">
        <w:rPr>
          <w:rFonts w:eastAsia="Times New Roman" w:cs="Times New Roman"/>
        </w:rPr>
        <w:t xml:space="preserve">the NIH SBPO </w:t>
      </w:r>
      <w:r w:rsidRPr="00EA246E" w:rsidR="00A20A73">
        <w:rPr>
          <w:rFonts w:eastAsia="Times New Roman" w:cs="Times New Roman"/>
        </w:rPr>
        <w:t xml:space="preserve">to </w:t>
      </w:r>
      <w:r w:rsidRPr="00EA246E" w:rsidR="00CA4ACB">
        <w:rPr>
          <w:rFonts w:eastAsia="Times New Roman" w:cs="Times New Roman"/>
        </w:rPr>
        <w:t xml:space="preserve">monitor if adequate </w:t>
      </w:r>
      <w:r w:rsidRPr="00EA246E" w:rsidR="00A20A73">
        <w:rPr>
          <w:rFonts w:eastAsia="Times New Roman" w:cs="Times New Roman"/>
        </w:rPr>
        <w:t xml:space="preserve">engagement </w:t>
      </w:r>
      <w:r w:rsidRPr="00EA246E" w:rsidR="00646592">
        <w:rPr>
          <w:rFonts w:eastAsia="Times New Roman" w:cs="Times New Roman"/>
        </w:rPr>
        <w:t>is</w:t>
      </w:r>
      <w:r w:rsidRPr="00EA246E" w:rsidR="00CA4ACB">
        <w:rPr>
          <w:rFonts w:eastAsia="Times New Roman" w:cs="Times New Roman"/>
        </w:rPr>
        <w:t xml:space="preserve"> </w:t>
      </w:r>
      <w:r w:rsidRPr="00EA246E" w:rsidR="00A20A73">
        <w:rPr>
          <w:rFonts w:eastAsia="Times New Roman" w:cs="Times New Roman"/>
        </w:rPr>
        <w:t xml:space="preserve">occurring </w:t>
      </w:r>
      <w:r w:rsidRPr="00EA246E" w:rsidR="00CA4ACB">
        <w:rPr>
          <w:rFonts w:eastAsia="Times New Roman" w:cs="Times New Roman"/>
        </w:rPr>
        <w:t xml:space="preserve">between the HBCUs and </w:t>
      </w:r>
      <w:r w:rsidRPr="00EA246E" w:rsidR="00D8013D">
        <w:rPr>
          <w:rFonts w:eastAsia="Times New Roman" w:cs="Times New Roman"/>
        </w:rPr>
        <w:t>teaming partners</w:t>
      </w:r>
      <w:r w:rsidRPr="00EA246E" w:rsidR="00A20A73">
        <w:rPr>
          <w:rFonts w:eastAsia="Times New Roman" w:cs="Times New Roman"/>
        </w:rPr>
        <w:t>. Finally, the feature allows the system users to evaluate the SBPO’s customer service and overall value provided by</w:t>
      </w:r>
      <w:r w:rsidRPr="00EA246E" w:rsidR="00CA4ACB">
        <w:rPr>
          <w:rFonts w:eastAsia="Times New Roman" w:cs="Times New Roman"/>
        </w:rPr>
        <w:t xml:space="preserve"> the PEI program</w:t>
      </w:r>
      <w:r w:rsidRPr="00EA246E" w:rsidR="00A20A73">
        <w:rPr>
          <w:rFonts w:eastAsia="Times New Roman" w:cs="Times New Roman"/>
        </w:rPr>
        <w:t>.</w:t>
      </w:r>
      <w:r w:rsidR="00775A11">
        <w:rPr>
          <w:rFonts w:eastAsia="Times New Roman" w:cs="Times New Roman"/>
        </w:rPr>
        <w:t xml:space="preserve">  </w:t>
      </w:r>
      <w:r w:rsidR="00221530">
        <w:rPr>
          <w:rFonts w:eastAsia="Times New Roman" w:cs="Times New Roman"/>
        </w:rPr>
        <w:t xml:space="preserve">  </w:t>
      </w:r>
    </w:p>
    <w:p w:rsidR="00E34187" w:rsidP="00E34187" w14:paraId="7C066B10" w14:textId="09932480">
      <w:pPr>
        <w:rPr>
          <w:rFonts w:eastAsia="Times New Roman" w:cs="Times New Roman"/>
        </w:rPr>
      </w:pPr>
      <w:r w:rsidRPr="00E34187">
        <w:rPr>
          <w:rFonts w:eastAsia="Times New Roman" w:cs="Times New Roman"/>
        </w:rPr>
        <w:t>This effort by the NIH</w:t>
      </w:r>
      <w:r w:rsidR="00121F24">
        <w:rPr>
          <w:rFonts w:eastAsia="Times New Roman" w:cs="Times New Roman"/>
        </w:rPr>
        <w:t xml:space="preserve"> SBPO </w:t>
      </w:r>
      <w:r w:rsidRPr="00E34187">
        <w:rPr>
          <w:rFonts w:eastAsia="Times New Roman" w:cs="Times New Roman"/>
        </w:rPr>
        <w:t xml:space="preserve">staff to inform HBCUs and </w:t>
      </w:r>
      <w:r w:rsidR="006C07E9">
        <w:rPr>
          <w:rFonts w:eastAsia="Times New Roman" w:cs="Times New Roman"/>
        </w:rPr>
        <w:t xml:space="preserve">small businesses </w:t>
      </w:r>
      <w:r w:rsidRPr="00E34187">
        <w:rPr>
          <w:rFonts w:eastAsia="Times New Roman" w:cs="Times New Roman"/>
        </w:rPr>
        <w:t xml:space="preserve">about grants and contracts ties directly into the Presidential Executive Order 13779 where </w:t>
      </w:r>
      <w:r w:rsidR="00AE3940">
        <w:rPr>
          <w:rFonts w:eastAsia="Times New Roman" w:cs="Times New Roman"/>
        </w:rPr>
        <w:t xml:space="preserve">the </w:t>
      </w:r>
      <w:r w:rsidRPr="00E34187">
        <w:rPr>
          <w:rFonts w:eastAsia="Times New Roman" w:cs="Times New Roman"/>
        </w:rPr>
        <w:t>agency intends to increase the capacity of HBCUs to compete effec</w:t>
      </w:r>
      <w:r w:rsidR="00121F24">
        <w:rPr>
          <w:rFonts w:eastAsia="Times New Roman" w:cs="Times New Roman"/>
        </w:rPr>
        <w:t xml:space="preserve">tively for grants and contracts </w:t>
      </w:r>
      <w:r w:rsidR="00650F29">
        <w:rPr>
          <w:rFonts w:eastAsia="Times New Roman" w:cs="Times New Roman"/>
        </w:rPr>
        <w:t xml:space="preserve">in areas </w:t>
      </w:r>
      <w:r w:rsidRPr="00E34187">
        <w:rPr>
          <w:rFonts w:eastAsia="Times New Roman" w:cs="Times New Roman"/>
        </w:rPr>
        <w:t xml:space="preserve">where HBCU’s are not well represented.  </w:t>
      </w:r>
    </w:p>
    <w:p w:rsidR="00F26730" w:rsidP="00E34187" w14:paraId="2A4029FE" w14:textId="4559836B">
      <w:pPr>
        <w:rPr>
          <w:rFonts w:eastAsia="Times New Roman" w:cs="Times New Roman"/>
        </w:rPr>
      </w:pPr>
      <w:r>
        <w:rPr>
          <w:rFonts w:eastAsia="Times New Roman" w:cs="Times New Roman"/>
          <w:highlight w:val="yellow"/>
        </w:rPr>
        <w:t>Over the past three years the system appears to be helping HBCUs find opportunities more quickly through the system itself and the knowledge that</w:t>
      </w:r>
      <w:r w:rsidR="00F32E53">
        <w:rPr>
          <w:rFonts w:eastAsia="Times New Roman" w:cs="Times New Roman"/>
          <w:highlight w:val="yellow"/>
        </w:rPr>
        <w:t xml:space="preserve"> is</w:t>
      </w:r>
      <w:r>
        <w:rPr>
          <w:rFonts w:eastAsia="Times New Roman" w:cs="Times New Roman"/>
          <w:highlight w:val="yellow"/>
        </w:rPr>
        <w:t xml:space="preserve"> provided to the NIH SBPO staff </w:t>
      </w:r>
      <w:r w:rsidR="00F32E53">
        <w:rPr>
          <w:rFonts w:eastAsia="Times New Roman" w:cs="Times New Roman"/>
          <w:highlight w:val="yellow"/>
        </w:rPr>
        <w:t xml:space="preserve">about the HBCUs </w:t>
      </w:r>
      <w:r>
        <w:rPr>
          <w:rFonts w:eastAsia="Times New Roman" w:cs="Times New Roman"/>
          <w:highlight w:val="yellow"/>
        </w:rPr>
        <w:t xml:space="preserve">to help HBCU identify opportunities.  </w:t>
      </w:r>
      <w:r w:rsidR="00F32E53">
        <w:rPr>
          <w:rFonts w:eastAsia="Times New Roman" w:cs="Times New Roman"/>
          <w:highlight w:val="yellow"/>
        </w:rPr>
        <w:t>Having access to a list of potential business partners greatly reduce</w:t>
      </w:r>
      <w:r w:rsidR="008F534B">
        <w:rPr>
          <w:rFonts w:eastAsia="Times New Roman" w:cs="Times New Roman"/>
          <w:highlight w:val="yellow"/>
        </w:rPr>
        <w:t>s</w:t>
      </w:r>
      <w:r w:rsidR="00F32E53">
        <w:rPr>
          <w:rFonts w:eastAsia="Times New Roman" w:cs="Times New Roman"/>
          <w:highlight w:val="yellow"/>
        </w:rPr>
        <w:t xml:space="preserve"> the burden on the HBCUs as they look for a business partner to work with.  </w:t>
      </w:r>
      <w:r>
        <w:rPr>
          <w:rFonts w:eastAsia="Times New Roman" w:cs="Times New Roman"/>
          <w:highlight w:val="yellow"/>
        </w:rPr>
        <w:t xml:space="preserve">System adoption by the HBCUs </w:t>
      </w:r>
      <w:r w:rsidR="00F32E53">
        <w:rPr>
          <w:rFonts w:eastAsia="Times New Roman" w:cs="Times New Roman"/>
          <w:highlight w:val="yellow"/>
        </w:rPr>
        <w:t>is</w:t>
      </w:r>
      <w:r w:rsidR="008F534B">
        <w:rPr>
          <w:rFonts w:eastAsia="Times New Roman" w:cs="Times New Roman"/>
          <w:highlight w:val="yellow"/>
        </w:rPr>
        <w:t xml:space="preserve"> good </w:t>
      </w:r>
      <w:r w:rsidR="00F32E53">
        <w:rPr>
          <w:rFonts w:eastAsia="Times New Roman" w:cs="Times New Roman"/>
          <w:highlight w:val="yellow"/>
        </w:rPr>
        <w:t>and was helped through the NIH SBPO’s educational materials, in person and remote trainings and seminars and the NIH SBPO’s quick access to the cohort that is participating in the program.</w:t>
      </w:r>
      <w:r w:rsidR="00FD3AC4">
        <w:rPr>
          <w:rFonts w:eastAsia="Times New Roman" w:cs="Times New Roman"/>
          <w:highlight w:val="yellow"/>
        </w:rPr>
        <w:t xml:space="preserve">  The HBCU’s and business partners have greatly benefited from the consolidation of opportunities from four different sites into the portal. </w:t>
      </w:r>
      <w:r w:rsidR="00F32E53">
        <w:rPr>
          <w:rFonts w:eastAsia="Times New Roman" w:cs="Times New Roman"/>
          <w:highlight w:val="yellow"/>
        </w:rPr>
        <w:t xml:space="preserve">The NIH SBPO has benefited from the automated reporting that is provided by the system which was manually done through spreadsheets in the past.   </w:t>
      </w:r>
    </w:p>
    <w:p w:rsidR="00A00CF8" w:rsidRPr="00E35DD1" w:rsidP="00E34187" w14:paraId="2B488269" w14:textId="77777777">
      <w:pPr>
        <w:rPr>
          <w:b/>
          <w:color w:val="000000" w:themeColor="text1"/>
        </w:rPr>
      </w:pPr>
      <w:r w:rsidRPr="00E35DD1">
        <w:rPr>
          <w:b/>
          <w:color w:val="000000" w:themeColor="text1"/>
        </w:rPr>
        <w:t>A.3     Use of Information Technology and Burden Reduction</w:t>
      </w:r>
    </w:p>
    <w:p w:rsidR="00F221B0" w:rsidRPr="00F221B0" w:rsidP="00F221B0" w14:paraId="17BFB623" w14:textId="77777777">
      <w:pPr>
        <w:rPr>
          <w:rFonts w:eastAsia="Times New Roman" w:cs="Times New Roman"/>
        </w:rPr>
      </w:pPr>
      <w:r w:rsidRPr="00F221B0">
        <w:rPr>
          <w:rFonts w:eastAsia="Times New Roman" w:cs="Times New Roman"/>
        </w:rPr>
        <w:t>The collection database is a web base</w:t>
      </w:r>
      <w:r w:rsidR="00AF263F">
        <w:rPr>
          <w:rFonts w:eastAsia="Times New Roman" w:cs="Times New Roman"/>
        </w:rPr>
        <w:t>d application</w:t>
      </w:r>
      <w:r w:rsidRPr="00F221B0">
        <w:rPr>
          <w:rFonts w:eastAsia="Times New Roman" w:cs="Times New Roman"/>
        </w:rPr>
        <w:t xml:space="preserve"> and can be accessible through the </w:t>
      </w:r>
      <w:r w:rsidR="00AF263F">
        <w:rPr>
          <w:rFonts w:eastAsia="Times New Roman" w:cs="Times New Roman"/>
        </w:rPr>
        <w:t>following</w:t>
      </w:r>
      <w:r w:rsidRPr="00F221B0" w:rsidR="00AF263F">
        <w:rPr>
          <w:rFonts w:eastAsia="Times New Roman" w:cs="Times New Roman"/>
        </w:rPr>
        <w:t xml:space="preserve"> </w:t>
      </w:r>
      <w:r w:rsidRPr="00F221B0">
        <w:rPr>
          <w:rFonts w:eastAsia="Times New Roman" w:cs="Times New Roman"/>
        </w:rPr>
        <w:t>Web site:</w:t>
      </w:r>
      <w:r w:rsidRPr="00843CAA">
        <w:rPr>
          <w:rFonts w:ascii="Arial" w:hAnsi="Arial" w:cs="Arial"/>
        </w:rPr>
        <w:t xml:space="preserve">   </w:t>
      </w:r>
      <w:r w:rsidR="00121F24">
        <w:rPr>
          <w:rFonts w:ascii="Arial" w:hAnsi="Arial" w:cs="Arial"/>
        </w:rPr>
        <w:t>(</w:t>
      </w:r>
      <w:hyperlink r:id="rId8" w:history="1">
        <w:r w:rsidRPr="00843CAA">
          <w:rPr>
            <w:rStyle w:val="Hyperlink"/>
            <w:rFonts w:ascii="Arial" w:hAnsi="Arial" w:cs="Arial"/>
          </w:rPr>
          <w:t>https://oamp.hbcu.od.nih.gov/oamp/login.do</w:t>
        </w:r>
      </w:hyperlink>
      <w:r w:rsidR="00121F24">
        <w:rPr>
          <w:rFonts w:ascii="Arial" w:hAnsi="Arial" w:cs="Arial"/>
        </w:rPr>
        <w:t xml:space="preserve">). </w:t>
      </w:r>
      <w:r w:rsidRPr="00F221B0">
        <w:rPr>
          <w:rFonts w:eastAsia="Times New Roman" w:cs="Times New Roman"/>
        </w:rPr>
        <w:t>Features of the data collection system include, but are not limited to the following elements:</w:t>
      </w:r>
    </w:p>
    <w:p w:rsidR="00F221B0" w:rsidRPr="00F221B0" w:rsidP="00F221B0" w14:paraId="30BB14D6" w14:textId="77777777">
      <w:pPr>
        <w:pStyle w:val="ListParagraph"/>
        <w:numPr>
          <w:ilvl w:val="0"/>
          <w:numId w:val="13"/>
        </w:numPr>
        <w:spacing w:after="200" w:line="276" w:lineRule="auto"/>
        <w:rPr>
          <w:rFonts w:eastAsia="Times New Roman" w:cs="Times New Roman"/>
        </w:rPr>
      </w:pPr>
      <w:r w:rsidRPr="00F221B0">
        <w:rPr>
          <w:rFonts w:eastAsia="Times New Roman" w:cs="Times New Roman"/>
        </w:rPr>
        <w:t xml:space="preserve">Create a user </w:t>
      </w:r>
      <w:r w:rsidRPr="00F221B0">
        <w:rPr>
          <w:rFonts w:eastAsia="Times New Roman" w:cs="Times New Roman"/>
        </w:rPr>
        <w:t>account</w:t>
      </w:r>
      <w:r w:rsidR="00AE3940">
        <w:rPr>
          <w:rFonts w:eastAsia="Times New Roman" w:cs="Times New Roman"/>
        </w:rPr>
        <w:t xml:space="preserve"> </w:t>
      </w:r>
      <w:r w:rsidRPr="00F221B0">
        <w:rPr>
          <w:rFonts w:eastAsia="Times New Roman" w:cs="Times New Roman"/>
        </w:rPr>
        <w:t xml:space="preserve"> </w:t>
      </w:r>
    </w:p>
    <w:p w:rsidR="00F221B0" w:rsidRPr="00F221B0" w:rsidP="00F221B0" w14:paraId="141B3175" w14:textId="2A3E3B82">
      <w:pPr>
        <w:pStyle w:val="ListParagraph"/>
        <w:numPr>
          <w:ilvl w:val="0"/>
          <w:numId w:val="13"/>
        </w:numPr>
        <w:spacing w:after="200" w:line="276" w:lineRule="auto"/>
        <w:rPr>
          <w:rFonts w:eastAsia="Times New Roman" w:cs="Times New Roman"/>
        </w:rPr>
      </w:pPr>
      <w:r w:rsidRPr="00C62177">
        <w:rPr>
          <w:rFonts w:eastAsia="Times New Roman" w:cs="Times New Roman"/>
        </w:rPr>
        <w:t>Select</w:t>
      </w:r>
      <w:r w:rsidRPr="00F221B0">
        <w:rPr>
          <w:rFonts w:eastAsia="Times New Roman" w:cs="Times New Roman"/>
        </w:rPr>
        <w:t xml:space="preserve"> grants an HBCU or </w:t>
      </w:r>
      <w:r w:rsidR="006C07E9">
        <w:rPr>
          <w:rFonts w:eastAsia="Times New Roman" w:cs="Times New Roman"/>
        </w:rPr>
        <w:t xml:space="preserve">small business </w:t>
      </w:r>
      <w:r w:rsidRPr="00F221B0">
        <w:rPr>
          <w:rFonts w:eastAsia="Times New Roman" w:cs="Times New Roman"/>
        </w:rPr>
        <w:t xml:space="preserve">is interested </w:t>
      </w:r>
      <w:r w:rsidRPr="00F221B0">
        <w:rPr>
          <w:rFonts w:eastAsia="Times New Roman" w:cs="Times New Roman"/>
        </w:rPr>
        <w:t>in</w:t>
      </w:r>
      <w:r w:rsidRPr="00F221B0">
        <w:rPr>
          <w:rFonts w:eastAsia="Times New Roman" w:cs="Times New Roman"/>
        </w:rPr>
        <w:t xml:space="preserve"> </w:t>
      </w:r>
    </w:p>
    <w:p w:rsidR="00F221B0" w:rsidRPr="00F221B0" w:rsidP="00F221B0" w14:paraId="72451591" w14:textId="307DC27E">
      <w:pPr>
        <w:pStyle w:val="ListParagraph"/>
        <w:numPr>
          <w:ilvl w:val="0"/>
          <w:numId w:val="13"/>
        </w:numPr>
        <w:spacing w:after="200" w:line="276" w:lineRule="auto"/>
        <w:rPr>
          <w:rFonts w:eastAsia="Times New Roman" w:cs="Times New Roman"/>
        </w:rPr>
      </w:pPr>
      <w:r w:rsidRPr="00C62177">
        <w:rPr>
          <w:rFonts w:eastAsia="Times New Roman" w:cs="Times New Roman"/>
        </w:rPr>
        <w:t>Select</w:t>
      </w:r>
      <w:r>
        <w:rPr>
          <w:rFonts w:eastAsia="Times New Roman" w:cs="Times New Roman"/>
        </w:rPr>
        <w:t xml:space="preserve"> </w:t>
      </w:r>
      <w:r w:rsidRPr="00F221B0">
        <w:rPr>
          <w:rFonts w:eastAsia="Times New Roman" w:cs="Times New Roman"/>
        </w:rPr>
        <w:t>contract</w:t>
      </w:r>
      <w:r>
        <w:rPr>
          <w:rFonts w:eastAsia="Times New Roman" w:cs="Times New Roman"/>
        </w:rPr>
        <w:t>s</w:t>
      </w:r>
      <w:r w:rsidRPr="00F221B0">
        <w:rPr>
          <w:rFonts w:eastAsia="Times New Roman" w:cs="Times New Roman"/>
        </w:rPr>
        <w:t xml:space="preserve"> an HBCU or </w:t>
      </w:r>
      <w:r w:rsidR="00CF4D15">
        <w:rPr>
          <w:rFonts w:eastAsia="Times New Roman" w:cs="Times New Roman"/>
        </w:rPr>
        <w:t>small business</w:t>
      </w:r>
      <w:r w:rsidRPr="00F221B0">
        <w:rPr>
          <w:rFonts w:eastAsia="Times New Roman" w:cs="Times New Roman"/>
        </w:rPr>
        <w:t xml:space="preserve"> is interested </w:t>
      </w:r>
      <w:r w:rsidRPr="00F221B0">
        <w:rPr>
          <w:rFonts w:eastAsia="Times New Roman" w:cs="Times New Roman"/>
        </w:rPr>
        <w:t>in</w:t>
      </w:r>
    </w:p>
    <w:p w:rsidR="00F221B0" w:rsidRPr="00F221B0" w:rsidP="00F221B0" w14:paraId="5F594121" w14:textId="77777777">
      <w:pPr>
        <w:pStyle w:val="ListParagraph"/>
        <w:numPr>
          <w:ilvl w:val="0"/>
          <w:numId w:val="13"/>
        </w:numPr>
        <w:spacing w:after="200" w:line="276" w:lineRule="auto"/>
        <w:rPr>
          <w:rFonts w:eastAsia="Times New Roman" w:cs="Times New Roman"/>
        </w:rPr>
      </w:pPr>
      <w:r w:rsidRPr="00F221B0">
        <w:rPr>
          <w:rFonts w:eastAsia="Times New Roman" w:cs="Times New Roman"/>
        </w:rPr>
        <w:t xml:space="preserve">Dashboard to </w:t>
      </w:r>
      <w:r w:rsidR="00121F24">
        <w:rPr>
          <w:rFonts w:eastAsia="Times New Roman" w:cs="Times New Roman"/>
        </w:rPr>
        <w:t xml:space="preserve">display </w:t>
      </w:r>
      <w:r w:rsidRPr="00F221B0">
        <w:rPr>
          <w:rFonts w:eastAsia="Times New Roman" w:cs="Times New Roman"/>
        </w:rPr>
        <w:t>grants and contracts</w:t>
      </w:r>
      <w:r w:rsidR="001C3A13">
        <w:rPr>
          <w:rFonts w:eastAsia="Times New Roman" w:cs="Times New Roman"/>
        </w:rPr>
        <w:t xml:space="preserve"> that</w:t>
      </w:r>
      <w:r w:rsidRPr="00F221B0">
        <w:rPr>
          <w:rFonts w:eastAsia="Times New Roman" w:cs="Times New Roman"/>
        </w:rPr>
        <w:t xml:space="preserve"> have been entered</w:t>
      </w:r>
      <w:r w:rsidR="00121F24">
        <w:rPr>
          <w:rFonts w:eastAsia="Times New Roman" w:cs="Times New Roman"/>
        </w:rPr>
        <w:t xml:space="preserve"> and other</w:t>
      </w:r>
      <w:r w:rsidR="00AF263F">
        <w:rPr>
          <w:rFonts w:eastAsia="Times New Roman" w:cs="Times New Roman"/>
        </w:rPr>
        <w:t xml:space="preserve"> o</w:t>
      </w:r>
      <w:r w:rsidR="001C3A13">
        <w:rPr>
          <w:rFonts w:eastAsia="Times New Roman" w:cs="Times New Roman"/>
        </w:rPr>
        <w:t xml:space="preserve">pportunities are </w:t>
      </w:r>
      <w:r w:rsidR="001C3A13">
        <w:rPr>
          <w:rFonts w:eastAsia="Times New Roman" w:cs="Times New Roman"/>
        </w:rPr>
        <w:t>available</w:t>
      </w:r>
    </w:p>
    <w:p w:rsidR="00F221B0" w:rsidRPr="00F221B0" w:rsidP="00F221B0" w14:paraId="7E2466BA" w14:textId="77777777">
      <w:pPr>
        <w:pStyle w:val="ListParagraph"/>
        <w:numPr>
          <w:ilvl w:val="0"/>
          <w:numId w:val="13"/>
        </w:numPr>
        <w:spacing w:after="200" w:line="276" w:lineRule="auto"/>
        <w:rPr>
          <w:rFonts w:eastAsia="Times New Roman" w:cs="Times New Roman"/>
        </w:rPr>
      </w:pPr>
      <w:r w:rsidRPr="00F221B0">
        <w:rPr>
          <w:rFonts w:eastAsia="Times New Roman" w:cs="Times New Roman"/>
        </w:rPr>
        <w:t xml:space="preserve">Facility to ask for </w:t>
      </w:r>
      <w:r w:rsidRPr="00F221B0">
        <w:rPr>
          <w:rFonts w:eastAsia="Times New Roman" w:cs="Times New Roman"/>
        </w:rPr>
        <w:t>assistance</w:t>
      </w:r>
      <w:r w:rsidRPr="00F221B0">
        <w:rPr>
          <w:rFonts w:eastAsia="Times New Roman" w:cs="Times New Roman"/>
        </w:rPr>
        <w:t xml:space="preserve"> </w:t>
      </w:r>
    </w:p>
    <w:p w:rsidR="00F221B0" w:rsidP="00F221B0" w14:paraId="5585E24F" w14:textId="76F5DF68">
      <w:pPr>
        <w:pStyle w:val="ListParagraph"/>
        <w:numPr>
          <w:ilvl w:val="0"/>
          <w:numId w:val="13"/>
        </w:numPr>
        <w:spacing w:after="200" w:line="276" w:lineRule="auto"/>
        <w:rPr>
          <w:rFonts w:eastAsia="Times New Roman" w:cs="Times New Roman"/>
        </w:rPr>
      </w:pPr>
      <w:r w:rsidRPr="00F221B0">
        <w:rPr>
          <w:rFonts w:eastAsia="Times New Roman" w:cs="Times New Roman"/>
        </w:rPr>
        <w:t xml:space="preserve">Collaboration facility with other </w:t>
      </w:r>
      <w:r w:rsidR="00CF4D15">
        <w:rPr>
          <w:rFonts w:eastAsia="Times New Roman" w:cs="Times New Roman"/>
        </w:rPr>
        <w:t xml:space="preserve">small businesses </w:t>
      </w:r>
      <w:r w:rsidRPr="00F221B0">
        <w:rPr>
          <w:rFonts w:eastAsia="Times New Roman" w:cs="Times New Roman"/>
        </w:rPr>
        <w:t>and HBCUs</w:t>
      </w:r>
    </w:p>
    <w:p w:rsidR="00EB442D" w:rsidRPr="00CE08B4" w:rsidP="00CE08B4" w14:paraId="0210210C" w14:textId="6E6FE42A">
      <w:pPr>
        <w:pStyle w:val="ListParagraph"/>
        <w:numPr>
          <w:ilvl w:val="0"/>
          <w:numId w:val="13"/>
        </w:numPr>
        <w:spacing w:after="200" w:line="276" w:lineRule="auto"/>
        <w:rPr>
          <w:rFonts w:eastAsia="Times New Roman" w:cs="Times New Roman"/>
        </w:rPr>
      </w:pPr>
      <w:r w:rsidRPr="00CE08B4">
        <w:rPr>
          <w:rFonts w:eastAsia="Times New Roman" w:cs="Times New Roman"/>
        </w:rPr>
        <w:t>Registration</w:t>
      </w:r>
    </w:p>
    <w:p w:rsidR="00EB442D" w:rsidRPr="00CE08B4" w:rsidP="00CE08B4" w14:paraId="66E1BCE7" w14:textId="12E49AC3">
      <w:pPr>
        <w:pStyle w:val="ListParagraph"/>
        <w:numPr>
          <w:ilvl w:val="0"/>
          <w:numId w:val="13"/>
        </w:numPr>
        <w:spacing w:after="200" w:line="276" w:lineRule="auto"/>
        <w:rPr>
          <w:rFonts w:eastAsia="Times New Roman" w:cs="Times New Roman"/>
        </w:rPr>
      </w:pPr>
      <w:r w:rsidRPr="00CE08B4">
        <w:rPr>
          <w:rFonts w:eastAsia="Times New Roman" w:cs="Times New Roman"/>
        </w:rPr>
        <w:t xml:space="preserve">Monthly, Quarterly, and </w:t>
      </w:r>
      <w:r w:rsidRPr="00CE08B4" w:rsidR="008F454C">
        <w:rPr>
          <w:rFonts w:eastAsia="Times New Roman" w:cs="Times New Roman"/>
        </w:rPr>
        <w:t>Annual</w:t>
      </w:r>
      <w:r w:rsidRPr="00CE08B4">
        <w:rPr>
          <w:rFonts w:eastAsia="Times New Roman" w:cs="Times New Roman"/>
        </w:rPr>
        <w:t xml:space="preserve"> reporting from the HBCU or small business user </w:t>
      </w:r>
    </w:p>
    <w:p w:rsidR="00F221B0" w:rsidRPr="00F221B0" w:rsidP="00F221B0" w14:paraId="0C47CA8B" w14:textId="37635635">
      <w:pPr>
        <w:rPr>
          <w:rFonts w:eastAsia="Times New Roman" w:cs="Times New Roman"/>
        </w:rPr>
      </w:pPr>
      <w:r>
        <w:rPr>
          <w:rFonts w:eastAsia="Times New Roman" w:cs="Times New Roman"/>
        </w:rPr>
        <w:t>Additionally</w:t>
      </w:r>
      <w:r w:rsidRPr="00F221B0">
        <w:rPr>
          <w:rFonts w:eastAsia="Times New Roman" w:cs="Times New Roman"/>
        </w:rPr>
        <w:t xml:space="preserve">, the </w:t>
      </w:r>
      <w:r>
        <w:rPr>
          <w:rFonts w:eastAsia="Times New Roman" w:cs="Times New Roman"/>
        </w:rPr>
        <w:t>site provides the users access to</w:t>
      </w:r>
      <w:r w:rsidRPr="00F221B0">
        <w:rPr>
          <w:rFonts w:eastAsia="Times New Roman" w:cs="Times New Roman"/>
        </w:rPr>
        <w:t xml:space="preserve"> </w:t>
      </w:r>
      <w:r w:rsidR="00650F29">
        <w:rPr>
          <w:rFonts w:eastAsia="Times New Roman" w:cs="Times New Roman"/>
        </w:rPr>
        <w:t>content</w:t>
      </w:r>
      <w:r>
        <w:rPr>
          <w:rFonts w:eastAsia="Times New Roman" w:cs="Times New Roman"/>
        </w:rPr>
        <w:t xml:space="preserve"> offer</w:t>
      </w:r>
      <w:r w:rsidR="00650F29">
        <w:rPr>
          <w:rFonts w:eastAsia="Times New Roman" w:cs="Times New Roman"/>
        </w:rPr>
        <w:t>ing</w:t>
      </w:r>
      <w:r>
        <w:rPr>
          <w:rFonts w:eastAsia="Times New Roman" w:cs="Times New Roman"/>
        </w:rPr>
        <w:t xml:space="preserve"> guidance when the users are interested in pursuing a grant or contract.</w:t>
      </w:r>
      <w:r w:rsidRPr="00F221B0">
        <w:rPr>
          <w:rFonts w:eastAsia="Times New Roman" w:cs="Times New Roman"/>
        </w:rPr>
        <w:t xml:space="preserve"> </w:t>
      </w:r>
    </w:p>
    <w:p w:rsidR="00F221B0" w:rsidRPr="00F221B0" w:rsidP="00F221B0" w14:paraId="3931E1CE" w14:textId="77777777">
      <w:pPr>
        <w:rPr>
          <w:rFonts w:eastAsia="Times New Roman" w:cs="Times New Roman"/>
        </w:rPr>
      </w:pPr>
      <w:r w:rsidRPr="00F221B0">
        <w:rPr>
          <w:rFonts w:eastAsia="Times New Roman" w:cs="Times New Roman"/>
        </w:rPr>
        <w:t>There is no cost associated to using this system</w:t>
      </w:r>
      <w:r w:rsidR="00AE3940">
        <w:rPr>
          <w:rFonts w:eastAsia="Times New Roman" w:cs="Times New Roman"/>
        </w:rPr>
        <w:t xml:space="preserve"> from an end user perspective</w:t>
      </w:r>
      <w:r w:rsidRPr="00F221B0">
        <w:rPr>
          <w:rFonts w:eastAsia="Times New Roman" w:cs="Times New Roman"/>
        </w:rPr>
        <w:t xml:space="preserve">. </w:t>
      </w:r>
    </w:p>
    <w:p w:rsidR="001F684C" w:rsidRPr="00F221B0" w:rsidP="001F684C" w14:paraId="49B0753A" w14:textId="05C3DE9C">
      <w:pPr>
        <w:rPr>
          <w:rFonts w:eastAsia="Times New Roman" w:cs="Times New Roman"/>
        </w:rPr>
      </w:pPr>
      <w:r w:rsidRPr="00F221B0">
        <w:rPr>
          <w:rFonts w:eastAsia="Times New Roman" w:cs="Times New Roman"/>
        </w:rPr>
        <w:t xml:space="preserve">The </w:t>
      </w:r>
      <w:r w:rsidR="00DF38C3">
        <w:rPr>
          <w:rFonts w:eastAsia="Times New Roman" w:cs="Times New Roman"/>
        </w:rPr>
        <w:t xml:space="preserve">HBCU </w:t>
      </w:r>
      <w:r w:rsidR="00650F29">
        <w:rPr>
          <w:rFonts w:eastAsia="Times New Roman" w:cs="Times New Roman"/>
        </w:rPr>
        <w:t>p</w:t>
      </w:r>
      <w:r w:rsidR="00DF38C3">
        <w:rPr>
          <w:rFonts w:eastAsia="Times New Roman" w:cs="Times New Roman"/>
        </w:rPr>
        <w:t xml:space="preserve">re-solicitation portal </w:t>
      </w:r>
      <w:r>
        <w:rPr>
          <w:rFonts w:eastAsia="Times New Roman" w:cs="Times New Roman"/>
        </w:rPr>
        <w:t xml:space="preserve">loads data from the following sources: </w:t>
      </w:r>
      <w:r w:rsidRPr="00F221B0">
        <w:rPr>
          <w:rFonts w:eastAsia="Times New Roman" w:cs="Times New Roman"/>
        </w:rPr>
        <w:t xml:space="preserve">grants.nih.gov, NIH RePORTER, </w:t>
      </w:r>
      <w:r w:rsidR="00F26D72">
        <w:rPr>
          <w:rFonts w:eastAsia="Times New Roman" w:cs="Times New Roman"/>
        </w:rPr>
        <w:t>sam.gov</w:t>
      </w:r>
      <w:r w:rsidRPr="00F221B0" w:rsidR="00F26D72">
        <w:rPr>
          <w:rFonts w:eastAsia="Times New Roman" w:cs="Times New Roman"/>
        </w:rPr>
        <w:t xml:space="preserve"> </w:t>
      </w:r>
      <w:r w:rsidRPr="00F221B0">
        <w:rPr>
          <w:rFonts w:eastAsia="Times New Roman" w:cs="Times New Roman"/>
        </w:rPr>
        <w:t>and FPDS</w:t>
      </w:r>
      <w:r>
        <w:rPr>
          <w:rFonts w:eastAsia="Times New Roman" w:cs="Times New Roman"/>
        </w:rPr>
        <w:t xml:space="preserve">.gov. This process reduces the data entry burden of the users when entering information regarding grants and contracts of interest.  </w:t>
      </w:r>
    </w:p>
    <w:p w:rsidR="008D32C1" w:rsidP="00F221B0" w14:paraId="118E004C" w14:textId="2134D071">
      <w:pPr>
        <w:rPr>
          <w:rFonts w:eastAsia="Times New Roman" w:cs="Times New Roman"/>
        </w:rPr>
      </w:pPr>
      <w:r w:rsidRPr="00F221B0">
        <w:rPr>
          <w:rFonts w:eastAsia="Times New Roman" w:cs="Times New Roman"/>
        </w:rPr>
        <w:t xml:space="preserve">A Privacy </w:t>
      </w:r>
      <w:r w:rsidR="00AB268B">
        <w:rPr>
          <w:rFonts w:eastAsia="Times New Roman" w:cs="Times New Roman"/>
        </w:rPr>
        <w:t>I</w:t>
      </w:r>
      <w:r w:rsidRPr="00F221B0">
        <w:rPr>
          <w:rFonts w:eastAsia="Times New Roman" w:cs="Times New Roman"/>
        </w:rPr>
        <w:t xml:space="preserve">mpact Assessment (PIA) has been completed and submitted for the </w:t>
      </w:r>
      <w:r>
        <w:rPr>
          <w:rFonts w:eastAsia="Times New Roman" w:cs="Times New Roman"/>
        </w:rPr>
        <w:t xml:space="preserve">HBCU </w:t>
      </w:r>
      <w:r w:rsidR="00650F29">
        <w:rPr>
          <w:rFonts w:eastAsia="Times New Roman" w:cs="Times New Roman"/>
        </w:rPr>
        <w:t>p</w:t>
      </w:r>
      <w:r>
        <w:rPr>
          <w:rFonts w:eastAsia="Times New Roman" w:cs="Times New Roman"/>
        </w:rPr>
        <w:t>re-solicitation portal</w:t>
      </w:r>
      <w:r w:rsidR="00AB268B">
        <w:rPr>
          <w:rFonts w:eastAsia="Times New Roman" w:cs="Times New Roman"/>
        </w:rPr>
        <w:t xml:space="preserve">, see </w:t>
      </w:r>
      <w:r w:rsidR="009F151D">
        <w:rPr>
          <w:rFonts w:eastAsia="Times New Roman" w:cs="Times New Roman"/>
        </w:rPr>
        <w:t>A</w:t>
      </w:r>
      <w:r w:rsidR="00AB268B">
        <w:rPr>
          <w:rFonts w:eastAsia="Times New Roman" w:cs="Times New Roman"/>
        </w:rPr>
        <w:t>ttachment</w:t>
      </w:r>
      <w:r w:rsidR="009F151D">
        <w:rPr>
          <w:rFonts w:eastAsia="Times New Roman" w:cs="Times New Roman"/>
        </w:rPr>
        <w:t xml:space="preserve"> 3</w:t>
      </w:r>
      <w:r w:rsidR="00AB268B">
        <w:rPr>
          <w:rFonts w:eastAsia="Times New Roman" w:cs="Times New Roman"/>
        </w:rPr>
        <w:t xml:space="preserve"> “Privacy Impact Assessment”</w:t>
      </w:r>
      <w:r>
        <w:rPr>
          <w:rFonts w:eastAsia="Times New Roman" w:cs="Times New Roman"/>
        </w:rPr>
        <w:t xml:space="preserve">. </w:t>
      </w:r>
    </w:p>
    <w:p w:rsidR="00A14010" w:rsidP="00F221B0" w14:paraId="0FAE2F5D" w14:textId="77777777">
      <w:pPr>
        <w:rPr>
          <w:rFonts w:ascii="Arial" w:hAnsi="Arial" w:cs="Arial"/>
        </w:rPr>
      </w:pPr>
    </w:p>
    <w:p w:rsidR="00685B30" w:rsidRPr="00C4161B" w:rsidP="00685B30" w14:paraId="285BCEC4" w14:textId="77777777">
      <w:pPr>
        <w:pStyle w:val="Heading2"/>
        <w:spacing w:line="480" w:lineRule="auto"/>
        <w:ind w:left="720" w:hanging="720"/>
        <w:rPr>
          <w:rFonts w:asciiTheme="minorHAnsi" w:hAnsiTheme="minorHAnsi"/>
          <w:b/>
          <w:color w:val="auto"/>
          <w:sz w:val="22"/>
          <w:szCs w:val="22"/>
        </w:rPr>
      </w:pPr>
      <w:bookmarkStart w:id="4" w:name="_Toc443881745"/>
      <w:bookmarkStart w:id="5" w:name="_Toc451592234"/>
      <w:bookmarkStart w:id="6" w:name="_Toc5610275"/>
      <w:bookmarkStart w:id="7" w:name="_Toc99178781"/>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4"/>
      <w:bookmarkEnd w:id="5"/>
      <w:bookmarkEnd w:id="6"/>
      <w:bookmarkEnd w:id="7"/>
    </w:p>
    <w:p w:rsidR="00AF0DDE" w:rsidP="00685B30" w14:paraId="6517EFB8" w14:textId="097B862B">
      <w:r>
        <w:t xml:space="preserve">Currently, there is no </w:t>
      </w:r>
      <w:r w:rsidR="00650F29">
        <w:t>web-based</w:t>
      </w:r>
      <w:r>
        <w:t xml:space="preserve"> system to collect information regarding which grants and contracts the </w:t>
      </w:r>
      <w:r>
        <w:t>HBCUs</w:t>
      </w:r>
      <w:r>
        <w:t xml:space="preserve"> and </w:t>
      </w:r>
      <w:r w:rsidR="00650F29">
        <w:t xml:space="preserve">their </w:t>
      </w:r>
      <w:r w:rsidR="00CF4D15">
        <w:t>business</w:t>
      </w:r>
      <w:r w:rsidR="00650F29">
        <w:t xml:space="preserve"> partners</w:t>
      </w:r>
      <w:r w:rsidR="00CF4D15">
        <w:t xml:space="preserve"> </w:t>
      </w:r>
      <w:r>
        <w:t>ma</w:t>
      </w:r>
      <w:r w:rsidR="001F684C">
        <w:t>y be interested in applying for.</w:t>
      </w:r>
      <w:r>
        <w:t xml:space="preserve"> </w:t>
      </w:r>
      <w:r w:rsidR="00AC4229">
        <w:t xml:space="preserve">When HBCU and </w:t>
      </w:r>
      <w:r w:rsidR="00CF4D15">
        <w:t>business</w:t>
      </w:r>
      <w:r w:rsidR="00AC4229">
        <w:t xml:space="preserve"> users add a grant or contract opportunity</w:t>
      </w:r>
      <w:r w:rsidR="00157D63">
        <w:t xml:space="preserve"> </w:t>
      </w:r>
      <w:r w:rsidR="001F684C">
        <w:t>using the portal,</w:t>
      </w:r>
      <w:r w:rsidR="00AC4229">
        <w:t xml:space="preserve"> </w:t>
      </w:r>
      <w:r>
        <w:t>most of the information will already be in the system due to the periodic data load</w:t>
      </w:r>
      <w:r w:rsidR="001F684C">
        <w:t>s from various sources.  The HB</w:t>
      </w:r>
      <w:r>
        <w:t>C</w:t>
      </w:r>
      <w:r w:rsidR="001F684C">
        <w:t xml:space="preserve">Us and </w:t>
      </w:r>
      <w:r w:rsidR="00CF4D15">
        <w:t>business</w:t>
      </w:r>
      <w:r w:rsidR="00650F29">
        <w:t xml:space="preserve"> partners</w:t>
      </w:r>
      <w:r w:rsidR="00CF4D15">
        <w:t xml:space="preserve"> </w:t>
      </w:r>
      <w:r w:rsidR="001F684C">
        <w:t xml:space="preserve">select the </w:t>
      </w:r>
      <w:r>
        <w:t>grant or contract they are interested in and</w:t>
      </w:r>
      <w:r w:rsidR="00C52526">
        <w:t xml:space="preserve"> </w:t>
      </w:r>
      <w:r w:rsidR="001F684C">
        <w:t xml:space="preserve">approximately </w:t>
      </w:r>
      <w:r w:rsidRPr="00EB1132" w:rsidR="00EB442D">
        <w:t>9</w:t>
      </w:r>
      <w:r w:rsidRPr="00EB1132" w:rsidR="00151FC0">
        <w:t>5</w:t>
      </w:r>
      <w:r w:rsidR="00C52526">
        <w:t xml:space="preserve">% of </w:t>
      </w:r>
      <w:r>
        <w:t xml:space="preserve">the information </w:t>
      </w:r>
      <w:r w:rsidR="00021AD8">
        <w:t xml:space="preserve">is </w:t>
      </w:r>
      <w:r>
        <w:t xml:space="preserve">automatically populated. </w:t>
      </w:r>
      <w:r w:rsidR="005A636C">
        <w:t xml:space="preserve">In </w:t>
      </w:r>
      <w:r w:rsidR="00EB442D">
        <w:t>addition,</w:t>
      </w:r>
      <w:r w:rsidR="005A636C">
        <w:t xml:space="preserve"> the users benefit from</w:t>
      </w:r>
      <w:r>
        <w:t xml:space="preserve"> the ability of the NIH staff to </w:t>
      </w:r>
      <w:r w:rsidR="00D94327">
        <w:t xml:space="preserve">analyze </w:t>
      </w:r>
      <w:r>
        <w:t xml:space="preserve">and understand </w:t>
      </w:r>
      <w:r w:rsidR="005A636C">
        <w:t xml:space="preserve">their interest and </w:t>
      </w:r>
      <w:r>
        <w:t>potentially present other possibilities of grants and contracts that they would not have</w:t>
      </w:r>
      <w:r w:rsidR="00AE3940">
        <w:t xml:space="preserve"> been aware of</w:t>
      </w:r>
      <w:r w:rsidR="005A636C">
        <w:t>.</w:t>
      </w:r>
      <w:r w:rsidR="00E072C2">
        <w:t xml:space="preserve"> </w:t>
      </w:r>
      <w:r w:rsidR="00EE5D27">
        <w:t>This online platform will support collaboration between</w:t>
      </w:r>
      <w:r>
        <w:t xml:space="preserve"> the NIH SBPO and the</w:t>
      </w:r>
      <w:r w:rsidR="00EE5D27">
        <w:t xml:space="preserve"> hundreds of HBCU </w:t>
      </w:r>
      <w:r w:rsidR="00CF4D15">
        <w:t>and business</w:t>
      </w:r>
      <w:r w:rsidR="00EE5D27">
        <w:t xml:space="preserve"> teaming partners</w:t>
      </w:r>
      <w:r>
        <w:t xml:space="preserve"> </w:t>
      </w:r>
      <w:r w:rsidR="00650F29">
        <w:t xml:space="preserve">enabling </w:t>
      </w:r>
      <w:r w:rsidR="008971AB">
        <w:t>efficient</w:t>
      </w:r>
      <w:r w:rsidR="00650F29">
        <w:t xml:space="preserve"> communication</w:t>
      </w:r>
      <w:r w:rsidR="008971AB">
        <w:t xml:space="preserve">.  </w:t>
      </w:r>
      <w:r>
        <w:t xml:space="preserve">Currently these </w:t>
      </w:r>
      <w:r w:rsidR="00EE5D27">
        <w:t>partnership</w:t>
      </w:r>
      <w:r>
        <w:t xml:space="preserve">s </w:t>
      </w:r>
      <w:r w:rsidR="005A636C">
        <w:t>take place</w:t>
      </w:r>
      <w:r>
        <w:t xml:space="preserve"> in person which requires funding and time for travel </w:t>
      </w:r>
      <w:r w:rsidR="00650F29">
        <w:t xml:space="preserve">increasing expenses. </w:t>
      </w:r>
    </w:p>
    <w:p w:rsidR="008C2095" w:rsidP="00685B30" w14:paraId="625460B9" w14:textId="73819832">
      <w:r w:rsidRPr="00EA246E">
        <w:t xml:space="preserve">The HBCUs and </w:t>
      </w:r>
      <w:r w:rsidRPr="00EA246E" w:rsidR="00CF4D15">
        <w:t>business</w:t>
      </w:r>
      <w:r w:rsidRPr="00EA246E" w:rsidR="00650F29">
        <w:t>es</w:t>
      </w:r>
      <w:r w:rsidRPr="00EA246E">
        <w:t xml:space="preserve"> also benefit from the smart logic functionality that will match schools and teaming partners with grant and contract opportunities that are displayed on the system’s dashboard.</w:t>
      </w:r>
      <w:r w:rsidRPr="003D21CF">
        <w:t xml:space="preserve">  This</w:t>
      </w:r>
      <w:r>
        <w:t xml:space="preserve"> will relieve the users of the burden of </w:t>
      </w:r>
      <w:r w:rsidR="005A636C">
        <w:t>perform</w:t>
      </w:r>
      <w:r>
        <w:t>ing</w:t>
      </w:r>
      <w:r w:rsidR="005A636C">
        <w:t xml:space="preserve"> research and analysis.</w:t>
      </w:r>
    </w:p>
    <w:p w:rsidR="00037860" w:rsidP="00685B30" w14:paraId="228FA764" w14:textId="77777777"/>
    <w:p w:rsidR="00685B30" w:rsidRPr="00C4161B" w:rsidP="00685B30" w14:paraId="22DC2A10" w14:textId="459E601A">
      <w:pPr>
        <w:pStyle w:val="Heading2"/>
        <w:spacing w:line="480" w:lineRule="auto"/>
        <w:ind w:left="720" w:hanging="720"/>
        <w:rPr>
          <w:rFonts w:asciiTheme="minorHAnsi" w:hAnsiTheme="minorHAnsi"/>
          <w:b/>
          <w:color w:val="auto"/>
          <w:sz w:val="22"/>
          <w:szCs w:val="22"/>
        </w:rPr>
      </w:pPr>
      <w:r>
        <w:t xml:space="preserve"> </w:t>
      </w:r>
      <w:bookmarkStart w:id="8" w:name="_Toc443881746"/>
      <w:bookmarkStart w:id="9" w:name="_Toc451592235"/>
      <w:bookmarkStart w:id="10" w:name="_Toc5610276"/>
      <w:bookmarkStart w:id="11" w:name="_Toc99178782"/>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8"/>
      <w:bookmarkEnd w:id="9"/>
      <w:bookmarkEnd w:id="10"/>
      <w:bookmarkEnd w:id="11"/>
    </w:p>
    <w:p w:rsidR="00D614C8" w:rsidRPr="00D85B7E" w:rsidP="004716CF" w14:paraId="73465B6F" w14:textId="463FC769">
      <w:pPr>
        <w:pStyle w:val="P1-StandPara"/>
        <w:spacing w:line="240" w:lineRule="auto"/>
        <w:ind w:firstLine="0"/>
        <w:rPr>
          <w:rFonts w:asciiTheme="minorHAnsi" w:eastAsiaTheme="minorEastAsia" w:hAnsiTheme="minorHAnsi" w:cstheme="minorBidi"/>
          <w:szCs w:val="22"/>
        </w:rPr>
      </w:pPr>
      <w:r>
        <w:rPr>
          <w:rFonts w:asciiTheme="minorHAnsi" w:eastAsiaTheme="minorEastAsia" w:hAnsiTheme="minorHAnsi" w:cstheme="minorBidi"/>
          <w:szCs w:val="22"/>
        </w:rPr>
        <w:t xml:space="preserve">The </w:t>
      </w:r>
      <w:r w:rsidR="003D5672">
        <w:rPr>
          <w:rFonts w:asciiTheme="minorHAnsi" w:eastAsiaTheme="minorEastAsia" w:hAnsiTheme="minorHAnsi" w:cstheme="minorBidi"/>
          <w:szCs w:val="22"/>
        </w:rPr>
        <w:t xml:space="preserve">HBCU </w:t>
      </w:r>
      <w:r w:rsidR="00650F29">
        <w:rPr>
          <w:rFonts w:asciiTheme="minorHAnsi" w:eastAsiaTheme="minorEastAsia" w:hAnsiTheme="minorHAnsi" w:cstheme="minorBidi"/>
          <w:szCs w:val="22"/>
        </w:rPr>
        <w:t>p</w:t>
      </w:r>
      <w:r w:rsidR="003D5672">
        <w:rPr>
          <w:rFonts w:asciiTheme="minorHAnsi" w:eastAsiaTheme="minorEastAsia" w:hAnsiTheme="minorHAnsi" w:cstheme="minorBidi"/>
          <w:szCs w:val="22"/>
        </w:rPr>
        <w:t xml:space="preserve">re-solicitation portal </w:t>
      </w:r>
      <w:r>
        <w:rPr>
          <w:rFonts w:asciiTheme="minorHAnsi" w:eastAsiaTheme="minorEastAsia" w:hAnsiTheme="minorHAnsi" w:cstheme="minorBidi"/>
          <w:szCs w:val="22"/>
        </w:rPr>
        <w:t xml:space="preserve">benefits users by providing them access to consolidated data from different sources on one platform. </w:t>
      </w:r>
      <w:r w:rsidR="00650F29">
        <w:rPr>
          <w:rFonts w:asciiTheme="minorHAnsi" w:eastAsiaTheme="minorEastAsia" w:hAnsiTheme="minorHAnsi" w:cstheme="minorBidi"/>
          <w:szCs w:val="22"/>
        </w:rPr>
        <w:t>While the HBCUs in our program are not restricted in selecting either a large or small teaming partner, subcontracting with small businesses is recommended for training purposes. Additionally</w:t>
      </w:r>
      <w:r w:rsidRPr="00D85B7E" w:rsidR="008971AB">
        <w:rPr>
          <w:rFonts w:asciiTheme="minorHAnsi" w:eastAsiaTheme="minorEastAsia" w:hAnsiTheme="minorHAnsi" w:cstheme="minorBidi"/>
          <w:szCs w:val="22"/>
        </w:rPr>
        <w:t xml:space="preserve">, </w:t>
      </w:r>
      <w:r w:rsidRPr="00D85B7E" w:rsidR="003D5672">
        <w:rPr>
          <w:rFonts w:asciiTheme="minorHAnsi" w:eastAsiaTheme="minorEastAsia" w:hAnsiTheme="minorHAnsi" w:cstheme="minorBidi"/>
          <w:szCs w:val="22"/>
        </w:rPr>
        <w:t xml:space="preserve">smart </w:t>
      </w:r>
      <w:r w:rsidRPr="00B212CC" w:rsidR="003D5672">
        <w:rPr>
          <w:rFonts w:asciiTheme="minorHAnsi" w:eastAsiaTheme="minorEastAsia" w:hAnsiTheme="minorHAnsi" w:cstheme="minorBidi"/>
          <w:szCs w:val="22"/>
        </w:rPr>
        <w:t>logic</w:t>
      </w:r>
      <w:r w:rsidRPr="00B212CC" w:rsidR="008971AB">
        <w:rPr>
          <w:rFonts w:asciiTheme="minorHAnsi" w:eastAsiaTheme="minorEastAsia" w:hAnsiTheme="minorHAnsi" w:cstheme="minorBidi"/>
          <w:szCs w:val="22"/>
        </w:rPr>
        <w:t xml:space="preserve"> </w:t>
      </w:r>
      <w:r w:rsidRPr="00B212CC" w:rsidR="003D5672">
        <w:rPr>
          <w:rFonts w:asciiTheme="minorHAnsi" w:eastAsiaTheme="minorEastAsia" w:hAnsiTheme="minorHAnsi" w:cstheme="minorBidi"/>
          <w:szCs w:val="22"/>
        </w:rPr>
        <w:t>match</w:t>
      </w:r>
      <w:r w:rsidRPr="00B212CC" w:rsidR="00A756D1">
        <w:rPr>
          <w:rFonts w:asciiTheme="minorHAnsi" w:eastAsiaTheme="minorEastAsia" w:hAnsiTheme="minorHAnsi" w:cstheme="minorBidi"/>
          <w:szCs w:val="22"/>
        </w:rPr>
        <w:t>es</w:t>
      </w:r>
      <w:r w:rsidRPr="00B212CC" w:rsidR="00FD0DA1">
        <w:rPr>
          <w:rFonts w:asciiTheme="minorHAnsi" w:eastAsiaTheme="minorEastAsia" w:hAnsiTheme="minorHAnsi" w:cstheme="minorBidi"/>
          <w:szCs w:val="22"/>
        </w:rPr>
        <w:t xml:space="preserve"> </w:t>
      </w:r>
      <w:r w:rsidRPr="00B212CC" w:rsidR="0024552F">
        <w:rPr>
          <w:rFonts w:asciiTheme="minorHAnsi" w:eastAsiaTheme="minorEastAsia" w:hAnsiTheme="minorHAnsi" w:cstheme="minorBidi"/>
          <w:szCs w:val="22"/>
        </w:rPr>
        <w:t xml:space="preserve">prospective </w:t>
      </w:r>
      <w:r w:rsidRPr="00B212CC" w:rsidR="008971AB">
        <w:rPr>
          <w:rFonts w:asciiTheme="minorHAnsi" w:eastAsiaTheme="minorEastAsia" w:hAnsiTheme="minorHAnsi" w:cstheme="minorBidi"/>
          <w:szCs w:val="22"/>
        </w:rPr>
        <w:t xml:space="preserve">grant and contract </w:t>
      </w:r>
      <w:r w:rsidRPr="00B212CC" w:rsidR="003D5672">
        <w:rPr>
          <w:rFonts w:asciiTheme="minorHAnsi" w:eastAsiaTheme="minorEastAsia" w:hAnsiTheme="minorHAnsi" w:cstheme="minorBidi"/>
          <w:szCs w:val="22"/>
        </w:rPr>
        <w:t xml:space="preserve">opportunities with the </w:t>
      </w:r>
      <w:r w:rsidRPr="00B212CC" w:rsidR="008971AB">
        <w:rPr>
          <w:rFonts w:asciiTheme="minorHAnsi" w:eastAsiaTheme="minorEastAsia" w:hAnsiTheme="minorHAnsi" w:cstheme="minorBidi"/>
          <w:szCs w:val="22"/>
        </w:rPr>
        <w:t xml:space="preserve">HBCUs and </w:t>
      </w:r>
      <w:r w:rsidRPr="00C46FF6" w:rsidR="00CF4D15">
        <w:rPr>
          <w:rFonts w:asciiTheme="minorHAnsi" w:eastAsiaTheme="minorEastAsia" w:hAnsiTheme="minorHAnsi" w:cstheme="minorBidi"/>
          <w:szCs w:val="22"/>
        </w:rPr>
        <w:t>businesses</w:t>
      </w:r>
      <w:r w:rsidRPr="00C46FF6" w:rsidR="008971AB">
        <w:rPr>
          <w:rFonts w:asciiTheme="minorHAnsi" w:eastAsiaTheme="minorEastAsia" w:hAnsiTheme="minorHAnsi" w:cstheme="minorBidi"/>
          <w:szCs w:val="22"/>
        </w:rPr>
        <w:t xml:space="preserve">.  The online </w:t>
      </w:r>
      <w:r w:rsidRPr="00C46FF6" w:rsidR="003D5672">
        <w:rPr>
          <w:rFonts w:asciiTheme="minorHAnsi" w:eastAsiaTheme="minorEastAsia" w:hAnsiTheme="minorHAnsi" w:cstheme="minorBidi"/>
          <w:szCs w:val="22"/>
        </w:rPr>
        <w:t xml:space="preserve">collaboration </w:t>
      </w:r>
      <w:r w:rsidRPr="00C46FF6">
        <w:rPr>
          <w:rFonts w:asciiTheme="minorHAnsi" w:eastAsiaTheme="minorEastAsia" w:hAnsiTheme="minorHAnsi" w:cstheme="minorBidi"/>
          <w:szCs w:val="22"/>
        </w:rPr>
        <w:t>platform</w:t>
      </w:r>
      <w:r w:rsidRPr="00D85B7E">
        <w:rPr>
          <w:rFonts w:asciiTheme="minorHAnsi" w:eastAsiaTheme="minorEastAsia" w:hAnsiTheme="minorHAnsi" w:cstheme="minorBidi"/>
          <w:szCs w:val="22"/>
        </w:rPr>
        <w:t xml:space="preserve"> make</w:t>
      </w:r>
      <w:r w:rsidR="006419B7">
        <w:rPr>
          <w:rFonts w:asciiTheme="minorHAnsi" w:eastAsiaTheme="minorEastAsia" w:hAnsiTheme="minorHAnsi" w:cstheme="minorBidi"/>
          <w:szCs w:val="22"/>
        </w:rPr>
        <w:t>s</w:t>
      </w:r>
      <w:r w:rsidRPr="00D85B7E">
        <w:rPr>
          <w:rFonts w:asciiTheme="minorHAnsi" w:eastAsiaTheme="minorEastAsia" w:hAnsiTheme="minorHAnsi" w:cstheme="minorBidi"/>
          <w:szCs w:val="22"/>
        </w:rPr>
        <w:t xml:space="preserve"> communications more efficient between NIH SBPO and the HBCU</w:t>
      </w:r>
      <w:r w:rsidR="00455548">
        <w:rPr>
          <w:rFonts w:asciiTheme="minorHAnsi" w:eastAsiaTheme="minorEastAsia" w:hAnsiTheme="minorHAnsi" w:cstheme="minorBidi"/>
          <w:szCs w:val="22"/>
        </w:rPr>
        <w:t>s</w:t>
      </w:r>
      <w:r w:rsidRPr="00D85B7E">
        <w:rPr>
          <w:rFonts w:asciiTheme="minorHAnsi" w:eastAsiaTheme="minorEastAsia" w:hAnsiTheme="minorHAnsi" w:cstheme="minorBidi"/>
          <w:szCs w:val="22"/>
        </w:rPr>
        <w:t xml:space="preserve"> and </w:t>
      </w:r>
      <w:r w:rsidR="00F26D72">
        <w:rPr>
          <w:rFonts w:asciiTheme="minorHAnsi" w:eastAsiaTheme="minorEastAsia" w:hAnsiTheme="minorHAnsi" w:cstheme="minorBidi"/>
          <w:szCs w:val="22"/>
        </w:rPr>
        <w:t>their business</w:t>
      </w:r>
      <w:r w:rsidRPr="00D85B7E">
        <w:rPr>
          <w:rFonts w:asciiTheme="minorHAnsi" w:eastAsiaTheme="minorEastAsia" w:hAnsiTheme="minorHAnsi" w:cstheme="minorBidi"/>
          <w:szCs w:val="22"/>
        </w:rPr>
        <w:t xml:space="preserve"> teaming partners. </w:t>
      </w:r>
      <w:r w:rsidR="006E1C1C">
        <w:rPr>
          <w:rFonts w:asciiTheme="minorHAnsi" w:eastAsiaTheme="minorEastAsia" w:hAnsiTheme="minorHAnsi" w:cstheme="minorBidi"/>
          <w:szCs w:val="22"/>
        </w:rPr>
        <w:t xml:space="preserve"> </w:t>
      </w:r>
      <w:r w:rsidRPr="00B212CC" w:rsidR="006E1C1C">
        <w:rPr>
          <w:rFonts w:asciiTheme="minorHAnsi" w:eastAsiaTheme="minorEastAsia" w:hAnsiTheme="minorHAnsi" w:cstheme="minorBidi"/>
          <w:szCs w:val="22"/>
        </w:rPr>
        <w:t xml:space="preserve">The reporting feature provides one consolidated system for the user to go to for reporting instead of using </w:t>
      </w:r>
      <w:r w:rsidRPr="00B212CC" w:rsidR="00F1069C">
        <w:rPr>
          <w:rFonts w:asciiTheme="minorHAnsi" w:eastAsiaTheme="minorEastAsia" w:hAnsiTheme="minorHAnsi" w:cstheme="minorBidi"/>
          <w:szCs w:val="22"/>
        </w:rPr>
        <w:t xml:space="preserve">an external different reporting tool. </w:t>
      </w:r>
    </w:p>
    <w:p w:rsidR="00B62CB4" w:rsidP="004716CF" w14:paraId="6D2EB74B" w14:textId="77777777">
      <w:pPr>
        <w:pStyle w:val="P1-StandPara"/>
        <w:spacing w:line="240" w:lineRule="auto"/>
        <w:ind w:firstLine="0"/>
        <w:rPr>
          <w:rFonts w:asciiTheme="minorHAnsi" w:eastAsiaTheme="minorEastAsia" w:hAnsiTheme="minorHAnsi" w:cstheme="minorBidi"/>
          <w:szCs w:val="22"/>
        </w:rPr>
      </w:pPr>
    </w:p>
    <w:p w:rsidR="00877708" w:rsidP="004716CF" w14:paraId="2871DCFA" w14:textId="77777777">
      <w:pPr>
        <w:pStyle w:val="P1-StandPara"/>
        <w:spacing w:line="240" w:lineRule="auto"/>
        <w:ind w:firstLine="0"/>
        <w:rPr>
          <w:rFonts w:asciiTheme="minorHAnsi" w:eastAsiaTheme="minorEastAsia" w:hAnsiTheme="minorHAnsi" w:cstheme="minorBidi"/>
          <w:szCs w:val="22"/>
        </w:rPr>
      </w:pPr>
    </w:p>
    <w:p w:rsidR="00685B30" w:rsidRPr="00C4161B" w:rsidP="00685B30" w14:paraId="4A757487" w14:textId="77777777">
      <w:pPr>
        <w:pStyle w:val="Heading2"/>
        <w:spacing w:line="480" w:lineRule="auto"/>
        <w:ind w:left="720" w:hanging="720"/>
        <w:rPr>
          <w:rFonts w:asciiTheme="minorHAnsi" w:hAnsiTheme="minorHAnsi"/>
          <w:b/>
          <w:color w:val="auto"/>
          <w:sz w:val="22"/>
          <w:szCs w:val="22"/>
        </w:rPr>
      </w:pPr>
      <w:bookmarkStart w:id="12" w:name="_Toc443881747"/>
      <w:bookmarkStart w:id="13" w:name="_Toc451592236"/>
      <w:bookmarkStart w:id="14" w:name="_Toc5610277"/>
      <w:bookmarkStart w:id="15" w:name="_Toc99178783"/>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2"/>
      <w:bookmarkEnd w:id="13"/>
      <w:bookmarkEnd w:id="14"/>
      <w:bookmarkEnd w:id="15"/>
    </w:p>
    <w:p w:rsidR="00D5097D" w:rsidRPr="00F94B73" w:rsidP="00685B30" w14:paraId="3406EF1C" w14:textId="17D1DE97">
      <w:r>
        <w:t xml:space="preserve">The current manual tracking effort used to collect information regarding the </w:t>
      </w:r>
      <w:r w:rsidR="00650F29">
        <w:t xml:space="preserve">grant and contract </w:t>
      </w:r>
      <w:r>
        <w:t xml:space="preserve">interests of the HBCU’s and </w:t>
      </w:r>
      <w:r w:rsidR="00650F29">
        <w:t xml:space="preserve">their </w:t>
      </w:r>
      <w:r>
        <w:t>business</w:t>
      </w:r>
      <w:r w:rsidR="00650F29">
        <w:t xml:space="preserve"> teaming </w:t>
      </w:r>
      <w:r w:rsidR="006F30E1">
        <w:t>partners indicates</w:t>
      </w:r>
      <w:r w:rsidR="00650F29">
        <w:t xml:space="preserve"> </w:t>
      </w:r>
      <w:r>
        <w:t xml:space="preserve">that these entities historically </w:t>
      </w:r>
      <w:r w:rsidR="00650F29">
        <w:t>show</w:t>
      </w:r>
      <w:r>
        <w:t xml:space="preserve"> interest in up to 10 contracts and 10 grants on a yearly basis.</w:t>
      </w:r>
      <w:r w:rsidR="009F151D">
        <w:t xml:space="preserve">  This process uses a spreadsheet as the tool to collect the data about contracts and grants.  </w:t>
      </w:r>
      <w:r>
        <w:t xml:space="preserve">The number of 10 contracts and 10 grants </w:t>
      </w:r>
      <w:r w:rsidRPr="00DB311E">
        <w:t xml:space="preserve">is </w:t>
      </w:r>
      <w:r w:rsidRPr="00DE14D6">
        <w:t>determined f</w:t>
      </w:r>
      <w:r w:rsidRPr="00DB311E">
        <w:t>r</w:t>
      </w:r>
      <w:r>
        <w:t xml:space="preserve">om the research done by the NIH SBPO staff in conjunction with the HBCUs and businesses considering </w:t>
      </w:r>
      <w:r w:rsidR="00650F29">
        <w:t xml:space="preserve">previous </w:t>
      </w:r>
      <w:r>
        <w:t>cont</w:t>
      </w:r>
      <w:r w:rsidR="00650F29">
        <w:t>r</w:t>
      </w:r>
      <w:r>
        <w:t xml:space="preserve">act and grant </w:t>
      </w:r>
      <w:r w:rsidR="00650F29">
        <w:t>awards</w:t>
      </w:r>
      <w:r>
        <w:t xml:space="preserve">.  The users of the HBCU </w:t>
      </w:r>
      <w:r w:rsidR="00650F29">
        <w:t>p</w:t>
      </w:r>
      <w:r>
        <w:t xml:space="preserve">re-solicitation portal can access the system as many times as desired and use the </w:t>
      </w:r>
      <w:r w:rsidR="00650F29">
        <w:t xml:space="preserve">consolidated </w:t>
      </w:r>
      <w:r>
        <w:t xml:space="preserve">information from the four sites to </w:t>
      </w:r>
      <w:r w:rsidR="00650F29">
        <w:t xml:space="preserve">identify available </w:t>
      </w:r>
      <w:r>
        <w:t>government contracts and grants</w:t>
      </w:r>
      <w:r w:rsidR="00650F29">
        <w:t>.</w:t>
      </w:r>
      <w:r>
        <w:t xml:space="preserve">  The HBCU </w:t>
      </w:r>
      <w:r w:rsidR="00650F29">
        <w:t>p</w:t>
      </w:r>
      <w:r>
        <w:t xml:space="preserve">re-solicitation portal does not restrict the user from looking at other sites to gain understanding of </w:t>
      </w:r>
      <w:r w:rsidR="00650F29">
        <w:t xml:space="preserve">available </w:t>
      </w:r>
      <w:r>
        <w:t>contracts and grants; however, the HB</w:t>
      </w:r>
      <w:r w:rsidR="00434DBC">
        <w:t>CU</w:t>
      </w:r>
      <w:r>
        <w:t xml:space="preserve"> </w:t>
      </w:r>
      <w:r w:rsidR="00650F29">
        <w:t>p</w:t>
      </w:r>
      <w:r>
        <w:t>re-solicitation portal consolidat</w:t>
      </w:r>
      <w:r w:rsidR="00650F29">
        <w:t>es</w:t>
      </w:r>
      <w:r>
        <w:t xml:space="preserve"> government cont</w:t>
      </w:r>
      <w:r w:rsidR="00650F29">
        <w:t>r</w:t>
      </w:r>
      <w:r>
        <w:t xml:space="preserve">acts and grants from four of the sites that </w:t>
      </w:r>
      <w:r w:rsidR="00650F29">
        <w:t>are normally</w:t>
      </w:r>
      <w:r>
        <w:t xml:space="preserve"> accessed to obtain this information.  </w:t>
      </w:r>
      <w:r w:rsidRPr="00EA246E" w:rsidR="00812744">
        <w:t xml:space="preserve">The </w:t>
      </w:r>
      <w:r w:rsidRPr="00EA246E">
        <w:t>auto-matching</w:t>
      </w:r>
      <w:r w:rsidRPr="00EA246E" w:rsidR="00812744">
        <w:t xml:space="preserve"> feature</w:t>
      </w:r>
      <w:r w:rsidRPr="00EA246E">
        <w:t xml:space="preserve"> </w:t>
      </w:r>
      <w:r w:rsidRPr="00F94B73">
        <w:t xml:space="preserve">of </w:t>
      </w:r>
      <w:r w:rsidRPr="00F94B73" w:rsidR="00650F29">
        <w:t>contract</w:t>
      </w:r>
      <w:r w:rsidRPr="00F94B73">
        <w:t xml:space="preserve"> and grant</w:t>
      </w:r>
      <w:r w:rsidRPr="00F94B73" w:rsidR="006905F8">
        <w:t xml:space="preserve"> opportunities </w:t>
      </w:r>
      <w:r w:rsidRPr="00F94B73">
        <w:t xml:space="preserve">to the HBCUs and </w:t>
      </w:r>
      <w:r w:rsidRPr="00F94B73" w:rsidR="006905F8">
        <w:t xml:space="preserve">their </w:t>
      </w:r>
      <w:r w:rsidRPr="00F94B73">
        <w:t>business</w:t>
      </w:r>
      <w:r w:rsidRPr="00F94B73" w:rsidR="006905F8">
        <w:t xml:space="preserve"> partners</w:t>
      </w:r>
      <w:r w:rsidRPr="00F94B73">
        <w:t xml:space="preserve">, the HBCU </w:t>
      </w:r>
      <w:r w:rsidRPr="00F94B73" w:rsidR="006905F8">
        <w:t>p</w:t>
      </w:r>
      <w:r w:rsidRPr="00F94B73">
        <w:t>re-solicitation portal</w:t>
      </w:r>
      <w:r w:rsidRPr="00F94B73" w:rsidR="00BB7D66">
        <w:t xml:space="preserve"> </w:t>
      </w:r>
      <w:r w:rsidRPr="00F94B73">
        <w:t>help</w:t>
      </w:r>
      <w:r w:rsidRPr="00F94B73" w:rsidR="00BB7D66">
        <w:t>s</w:t>
      </w:r>
      <w:r w:rsidRPr="00F94B73">
        <w:t xml:space="preserve"> them be better informed of opportunities that they may not be aware of and reduce</w:t>
      </w:r>
      <w:r w:rsidRPr="00F94B73" w:rsidR="00BB7D66">
        <w:t>s</w:t>
      </w:r>
      <w:r w:rsidRPr="00F94B73">
        <w:t xml:space="preserve"> the burden of researching </w:t>
      </w:r>
      <w:r w:rsidRPr="00F94B73" w:rsidR="006905F8">
        <w:t xml:space="preserve">these opportunities on one of the four </w:t>
      </w:r>
      <w:r w:rsidR="001B54B9">
        <w:t xml:space="preserve">government </w:t>
      </w:r>
      <w:r w:rsidRPr="00F94B73" w:rsidR="006F30E1">
        <w:t>websites</w:t>
      </w:r>
      <w:r w:rsidRPr="00F94B73">
        <w:t xml:space="preserve">.  Since the availability of these contracts and grants can be sporadic, </w:t>
      </w:r>
      <w:r w:rsidR="001B54B9">
        <w:t xml:space="preserve">the HBCUs </w:t>
      </w:r>
      <w:r w:rsidRPr="00F94B73" w:rsidR="006905F8">
        <w:t xml:space="preserve">will </w:t>
      </w:r>
      <w:r w:rsidRPr="00F94B73">
        <w:t xml:space="preserve">enter their </w:t>
      </w:r>
      <w:r w:rsidRPr="00F94B73" w:rsidR="006905F8">
        <w:t>opportunities of interest</w:t>
      </w:r>
      <w:r w:rsidRPr="00F94B73">
        <w:t xml:space="preserve"> into the HBCU </w:t>
      </w:r>
      <w:r w:rsidRPr="00F94B73" w:rsidR="006905F8">
        <w:t>p</w:t>
      </w:r>
      <w:r w:rsidRPr="00F94B73">
        <w:t>re-solicitation portal</w:t>
      </w:r>
      <w:r w:rsidRPr="00F94B73" w:rsidR="006905F8">
        <w:t xml:space="preserve"> once the contract or grant is published to one of our four data sources</w:t>
      </w:r>
      <w:r w:rsidRPr="00F94B73">
        <w:t xml:space="preserve">.  Only after these entities have determined interest in a particular contract or grant will they voluntarily enter the information into the HBCU </w:t>
      </w:r>
      <w:r w:rsidRPr="00F94B73" w:rsidR="006905F8">
        <w:t>p</w:t>
      </w:r>
      <w:r w:rsidRPr="00F94B73">
        <w:t xml:space="preserve">re-solicitation portal which has been estimated to take up to </w:t>
      </w:r>
      <w:r w:rsidRPr="00F94B73" w:rsidR="006F30E1">
        <w:t>10</w:t>
      </w:r>
      <w:r w:rsidRPr="00F94B73">
        <w:t xml:space="preserve"> minutes per grant or contract.  There will be a beneficial consequence to the government if this information is collected because of the mandate to generate metrics regarding grants and contracts the HBCUs are interested in pursuing.  Through the collection </w:t>
      </w:r>
      <w:r w:rsidRPr="00F94B73" w:rsidR="00402DA1">
        <w:t xml:space="preserve">and analysis </w:t>
      </w:r>
      <w:r w:rsidRPr="00F94B73">
        <w:t>of this information the NIH SBPO can better serve the HBCUs</w:t>
      </w:r>
      <w:r w:rsidRPr="00F94B73" w:rsidR="00B012E4">
        <w:t xml:space="preserve"> </w:t>
      </w:r>
      <w:r w:rsidRPr="00F94B73" w:rsidR="00402DA1">
        <w:t xml:space="preserve">and </w:t>
      </w:r>
      <w:r w:rsidRPr="00F94B73">
        <w:t>promote equitable participation in Federal programs.</w:t>
      </w:r>
    </w:p>
    <w:p w:rsidR="00037860" w:rsidP="00B212CC" w14:paraId="5EF80C94" w14:textId="50A4760C">
      <w:r w:rsidRPr="00EA246E">
        <w:t>On a monthly basis the reporting feature gives the HBCU’s the opportunity to provide feedback to the NIH SBPO regarding the</w:t>
      </w:r>
      <w:r w:rsidRPr="00EA246E" w:rsidR="00B212CC">
        <w:t xml:space="preserve"> HBCU’s</w:t>
      </w:r>
      <w:r w:rsidRPr="00EA246E">
        <w:t xml:space="preserve"> engagement with the teaming partners, trainings offered by NIH they have </w:t>
      </w:r>
      <w:r w:rsidRPr="00EA246E" w:rsidR="00C46FF6">
        <w:t xml:space="preserve">partaken of </w:t>
      </w:r>
      <w:r w:rsidRPr="00EA246E">
        <w:t xml:space="preserve">and their evaluation of the training.  </w:t>
      </w:r>
      <w:r w:rsidRPr="00EA246E" w:rsidR="00B212CC">
        <w:rPr>
          <w:rFonts w:eastAsia="Times New Roman" w:cs="Times New Roman"/>
        </w:rPr>
        <w:t xml:space="preserve">The reporting feature enables the NIH SBPO to monitor if adequate engagement is occurring between the HBCUs and teaming partners. </w:t>
      </w:r>
      <w:r w:rsidRPr="00EA246E">
        <w:t xml:space="preserve">On a quarterly basis the </w:t>
      </w:r>
      <w:r w:rsidRPr="00EA246E" w:rsidR="00C22CA4">
        <w:t>reporting feature provides a feedback mechanism for the HBCU’s and teaming partners to evaluate each other and provide feedback on the PEI Program to the NIH SBPO. On an annu</w:t>
      </w:r>
      <w:r w:rsidRPr="00EA246E" w:rsidR="00B212CC">
        <w:t>a</w:t>
      </w:r>
      <w:r w:rsidRPr="00EA246E" w:rsidR="00C22CA4">
        <w:t>l basis the reporting provides more opportunity for the HBCU’s to evaluate their teaming partners and give evaluation and feedback on the SBPO’s customer service.</w:t>
      </w:r>
      <w:r w:rsidR="00C22CA4">
        <w:t xml:space="preserve"> </w:t>
      </w:r>
      <w:bookmarkStart w:id="16" w:name="_Toc443881748"/>
      <w:bookmarkStart w:id="17" w:name="_Toc451592237"/>
      <w:bookmarkStart w:id="18" w:name="_Toc5610278"/>
      <w:bookmarkStart w:id="19" w:name="_Toc99178784"/>
    </w:p>
    <w:p w:rsidR="00037860" w:rsidP="00B212CC" w14:paraId="50518DCA" w14:textId="77777777">
      <w:pPr>
        <w:rPr>
          <w:b/>
        </w:rPr>
      </w:pPr>
    </w:p>
    <w:p w:rsidR="00685B30" w:rsidRPr="00C4161B" w:rsidP="00B212CC" w14:paraId="76C5E2FB" w14:textId="7C157A0C">
      <w:pPr>
        <w:rPr>
          <w:b/>
        </w:rPr>
      </w:pPr>
      <w:r w:rsidRPr="00C4161B">
        <w:rPr>
          <w:b/>
        </w:rPr>
        <w:t>A.7</w:t>
      </w:r>
      <w:r w:rsidRPr="00C4161B">
        <w:rPr>
          <w:b/>
        </w:rPr>
        <w:tab/>
        <w:t>Special Circumstances Relating to the Guidelines of 5 CFR 1320.5</w:t>
      </w:r>
      <w:bookmarkEnd w:id="16"/>
      <w:bookmarkEnd w:id="17"/>
      <w:bookmarkEnd w:id="18"/>
      <w:bookmarkEnd w:id="19"/>
    </w:p>
    <w:p w:rsidR="00D13439" w:rsidRPr="0060597D" w:rsidP="00D13439" w14:paraId="20A1B1B2" w14:textId="4810AFC5">
      <w:pPr>
        <w:autoSpaceDE w:val="0"/>
        <w:autoSpaceDN w:val="0"/>
        <w:adjustRightInd w:val="0"/>
        <w:spacing w:after="0" w:line="240" w:lineRule="auto"/>
      </w:pPr>
      <w:r>
        <w:t xml:space="preserve">Special circumstances relating to these guidelines do not apply to the </w:t>
      </w:r>
      <w:r w:rsidRPr="0060597D">
        <w:t>information collect</w:t>
      </w:r>
      <w:r w:rsidR="0060597D">
        <w:t xml:space="preserve">ed through the HBCU </w:t>
      </w:r>
      <w:r w:rsidR="006905F8">
        <w:t>p</w:t>
      </w:r>
      <w:r w:rsidR="0060597D">
        <w:t>re-solicitation portal</w:t>
      </w:r>
      <w:r>
        <w:t xml:space="preserve">. </w:t>
      </w:r>
      <w:r w:rsidR="0060597D">
        <w:t xml:space="preserve"> </w:t>
      </w:r>
      <w:r w:rsidR="005E3493">
        <w:t>I</w:t>
      </w:r>
      <w:r w:rsidR="0060597D">
        <w:t>ndi</w:t>
      </w:r>
      <w:r w:rsidRPr="0060597D">
        <w:t xml:space="preserve">viduals </w:t>
      </w:r>
      <w:r w:rsidR="005E3493">
        <w:t xml:space="preserve">voluntarily </w:t>
      </w:r>
      <w:r w:rsidRPr="0060597D">
        <w:t>submit th</w:t>
      </w:r>
      <w:r w:rsidR="005E3493">
        <w:t>is</w:t>
      </w:r>
      <w:r w:rsidRPr="0060597D">
        <w:t xml:space="preserve"> information to</w:t>
      </w:r>
      <w:r w:rsidR="005E3493">
        <w:t xml:space="preserve"> the NIH SBPO. </w:t>
      </w:r>
    </w:p>
    <w:p w:rsidR="00D13439" w:rsidRPr="00E35DD1" w:rsidP="00D13439" w14:paraId="762AAC8A" w14:textId="77777777">
      <w:pPr>
        <w:pStyle w:val="a"/>
        <w:tabs>
          <w:tab w:val="left" w:pos="720"/>
        </w:tabs>
        <w:ind w:left="0"/>
        <w:rPr>
          <w:rFonts w:asciiTheme="minorHAnsi" w:hAnsiTheme="minorHAnsi"/>
          <w:sz w:val="22"/>
          <w:szCs w:val="22"/>
        </w:rPr>
      </w:pPr>
    </w:p>
    <w:p w:rsidR="00685B30" w:rsidRPr="00E35DD1" w:rsidP="00E35DD1" w14:paraId="5E2A10C8" w14:textId="77777777">
      <w:pPr>
        <w:pStyle w:val="P1-StandPara"/>
        <w:spacing w:line="240" w:lineRule="auto"/>
        <w:ind w:firstLine="0"/>
        <w:rPr>
          <w:rFonts w:asciiTheme="minorHAnsi" w:hAnsiTheme="minorHAnsi"/>
          <w:szCs w:val="22"/>
        </w:rPr>
      </w:pPr>
    </w:p>
    <w:p w:rsidR="0036208F" w:rsidRPr="00C4161B" w:rsidP="00E35DD1" w14:paraId="0ED2C32B" w14:textId="77777777">
      <w:pPr>
        <w:pStyle w:val="Heading2"/>
        <w:ind w:left="720" w:hanging="720"/>
        <w:rPr>
          <w:rFonts w:asciiTheme="minorHAnsi" w:hAnsiTheme="minorHAnsi"/>
          <w:b/>
          <w:color w:val="auto"/>
          <w:sz w:val="22"/>
          <w:szCs w:val="22"/>
        </w:rPr>
      </w:pPr>
      <w:bookmarkStart w:id="20" w:name="_Toc443881749"/>
      <w:bookmarkStart w:id="21" w:name="_Toc451592238"/>
      <w:bookmarkStart w:id="22" w:name="_Toc5610279"/>
      <w:bookmarkStart w:id="23" w:name="_Toc99178785"/>
      <w:r w:rsidRPr="00C4161B">
        <w:rPr>
          <w:rFonts w:asciiTheme="minorHAnsi" w:hAnsiTheme="minorHAnsi"/>
          <w:b/>
          <w:color w:val="auto"/>
          <w:sz w:val="22"/>
          <w:szCs w:val="22"/>
        </w:rPr>
        <w:t>A.8.1</w:t>
      </w:r>
      <w:r w:rsidRPr="00C4161B">
        <w:rPr>
          <w:rFonts w:asciiTheme="minorHAnsi" w:hAnsiTheme="minorHAnsi"/>
          <w:b/>
          <w:color w:val="auto"/>
          <w:sz w:val="22"/>
          <w:szCs w:val="22"/>
        </w:rPr>
        <w:tab/>
        <w:t xml:space="preserve">Comments in Response to the Federal Register Notice </w:t>
      </w:r>
    </w:p>
    <w:p w:rsidR="0036208F" w:rsidRPr="0036208F" w:rsidP="00E35DD1" w14:paraId="4695FB6C" w14:textId="77777777">
      <w:pPr>
        <w:pStyle w:val="Heading2"/>
        <w:ind w:left="720" w:hanging="720"/>
        <w:rPr>
          <w:rFonts w:asciiTheme="minorHAnsi" w:hAnsiTheme="minorHAnsi"/>
          <w:szCs w:val="22"/>
        </w:rPr>
      </w:pPr>
    </w:p>
    <w:bookmarkEnd w:id="20"/>
    <w:bookmarkEnd w:id="21"/>
    <w:bookmarkEnd w:id="22"/>
    <w:bookmarkEnd w:id="23"/>
    <w:p w:rsidR="000B6C18" w:rsidP="00685B30" w14:paraId="02DB3DEC" w14:textId="5672BC10">
      <w:r>
        <w:t xml:space="preserve">Notification of this information collection for the HBCU </w:t>
      </w:r>
      <w:r w:rsidR="00E54712">
        <w:t>P</w:t>
      </w:r>
      <w:r>
        <w:t xml:space="preserve">re-solicitation portal was originally published on </w:t>
      </w:r>
      <w:r w:rsidRPr="00EA246E" w:rsidR="00B14757">
        <w:rPr>
          <w:highlight w:val="yellow"/>
        </w:rPr>
        <w:t>Friday</w:t>
      </w:r>
      <w:r w:rsidRPr="00EA246E" w:rsidR="00133B2A">
        <w:rPr>
          <w:highlight w:val="yellow"/>
        </w:rPr>
        <w:t xml:space="preserve">, October </w:t>
      </w:r>
      <w:r w:rsidRPr="00EA246E" w:rsidR="00F94B73">
        <w:rPr>
          <w:highlight w:val="yellow"/>
        </w:rPr>
        <w:t>27</w:t>
      </w:r>
      <w:r w:rsidRPr="00EA246E" w:rsidR="00133B2A">
        <w:rPr>
          <w:highlight w:val="yellow"/>
        </w:rPr>
        <w:t>, 20</w:t>
      </w:r>
      <w:r w:rsidRPr="00EA246E" w:rsidR="00F94B73">
        <w:rPr>
          <w:highlight w:val="yellow"/>
        </w:rPr>
        <w:t>23</w:t>
      </w:r>
      <w:r w:rsidRPr="00EA246E" w:rsidR="00133B2A">
        <w:rPr>
          <w:highlight w:val="yellow"/>
        </w:rPr>
        <w:t xml:space="preserve"> </w:t>
      </w:r>
      <w:r w:rsidRPr="00EA246E">
        <w:rPr>
          <w:highlight w:val="yellow"/>
        </w:rPr>
        <w:t xml:space="preserve">(Vol. </w:t>
      </w:r>
      <w:r w:rsidRPr="00EA246E" w:rsidR="009D5029">
        <w:rPr>
          <w:highlight w:val="yellow"/>
        </w:rPr>
        <w:t>8</w:t>
      </w:r>
      <w:r w:rsidRPr="00EA246E" w:rsidR="00890810">
        <w:rPr>
          <w:highlight w:val="yellow"/>
        </w:rPr>
        <w:t>8</w:t>
      </w:r>
      <w:r w:rsidRPr="00EA246E">
        <w:rPr>
          <w:highlight w:val="yellow"/>
        </w:rPr>
        <w:t xml:space="preserve">, No. </w:t>
      </w:r>
      <w:r w:rsidRPr="00EA246E" w:rsidR="009D5029">
        <w:rPr>
          <w:highlight w:val="yellow"/>
        </w:rPr>
        <w:t>2</w:t>
      </w:r>
      <w:r w:rsidRPr="00EA246E" w:rsidR="00890810">
        <w:rPr>
          <w:highlight w:val="yellow"/>
        </w:rPr>
        <w:t>07</w:t>
      </w:r>
      <w:r w:rsidRPr="00EA246E">
        <w:rPr>
          <w:highlight w:val="yellow"/>
        </w:rPr>
        <w:t xml:space="preserve"> on pages </w:t>
      </w:r>
      <w:r w:rsidRPr="00EA246E" w:rsidR="00890810">
        <w:rPr>
          <w:highlight w:val="yellow"/>
        </w:rPr>
        <w:t>73864-73865</w:t>
      </w:r>
      <w:r w:rsidRPr="00EA246E" w:rsidR="00133B2A">
        <w:rPr>
          <w:highlight w:val="yellow"/>
        </w:rPr>
        <w:t>)</w:t>
      </w:r>
      <w:r w:rsidRPr="00EA246E">
        <w:rPr>
          <w:highlight w:val="yellow"/>
        </w:rPr>
        <w:t>.</w:t>
      </w:r>
      <w:r>
        <w:t xml:space="preserve">  Th</w:t>
      </w:r>
      <w:r w:rsidR="00296DC2">
        <w:t xml:space="preserve">ere were no comments received </w:t>
      </w:r>
      <w:r>
        <w:t xml:space="preserve">during the 60-day notice.   </w:t>
      </w:r>
    </w:p>
    <w:p w:rsidR="00A14010" w:rsidRPr="0036208F" w:rsidP="00685B30" w14:paraId="2FE3387D" w14:textId="77777777"/>
    <w:p w:rsidR="0036208F" w:rsidP="0036208F" w14:paraId="3AFADE44" w14:textId="77777777">
      <w:pPr>
        <w:pStyle w:val="Heading2"/>
        <w:ind w:left="720" w:hanging="720"/>
        <w:rPr>
          <w:rFonts w:asciiTheme="minorHAnsi" w:hAnsiTheme="minorHAnsi"/>
          <w:b/>
          <w:color w:val="auto"/>
          <w:sz w:val="22"/>
          <w:szCs w:val="22"/>
        </w:rPr>
      </w:pPr>
      <w:r w:rsidRPr="00C4161B">
        <w:rPr>
          <w:rFonts w:asciiTheme="minorHAnsi" w:hAnsiTheme="minorHAnsi"/>
          <w:b/>
          <w:color w:val="auto"/>
          <w:sz w:val="22"/>
          <w:szCs w:val="22"/>
        </w:rPr>
        <w:t>A.8.2</w:t>
      </w:r>
      <w:r w:rsidRPr="00C4161B">
        <w:rPr>
          <w:rFonts w:asciiTheme="minorHAnsi" w:hAnsiTheme="minorHAnsi"/>
          <w:b/>
          <w:color w:val="auto"/>
          <w:sz w:val="22"/>
          <w:szCs w:val="22"/>
        </w:rPr>
        <w:tab/>
        <w:t>Efforts to Consult Outside Agency</w:t>
      </w:r>
    </w:p>
    <w:p w:rsidR="000266E3" w:rsidRPr="000859AB" w:rsidP="000859AB" w14:paraId="7580B0F2" w14:textId="77777777"/>
    <w:p w:rsidR="002F7CF4" w:rsidP="00442B5B" w14:paraId="0530D24B" w14:textId="33B77C00">
      <w:r>
        <w:t xml:space="preserve">There were no outside agencies consulted for the HBCU </w:t>
      </w:r>
      <w:r w:rsidR="00E54712">
        <w:t>P</w:t>
      </w:r>
      <w:r>
        <w:t xml:space="preserve">re-solicitation portal. </w:t>
      </w:r>
    </w:p>
    <w:p w:rsidR="00A14010" w:rsidP="00442B5B" w14:paraId="3D0031BB" w14:textId="77777777"/>
    <w:p w:rsidR="00685B30" w:rsidRPr="00E35DD1" w:rsidP="00685B30" w14:paraId="4B80AC66" w14:textId="77777777">
      <w:pPr>
        <w:pStyle w:val="P1-StandPara"/>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rsidR="00CF4D6B" w:rsidP="00CF4D6B" w14:paraId="22629A40" w14:textId="77777777">
      <w:pPr>
        <w:autoSpaceDE w:val="0"/>
        <w:autoSpaceDN w:val="0"/>
        <w:adjustRightInd w:val="0"/>
        <w:spacing w:after="0" w:line="240" w:lineRule="auto"/>
      </w:pPr>
      <w:r w:rsidRPr="0092123D">
        <w:t>Neither payments nor gifts will be distributed to individuals to encourage the completion and submission of grant and contract data into the system</w:t>
      </w:r>
      <w:r>
        <w:t>.</w:t>
      </w:r>
    </w:p>
    <w:p w:rsidR="00CF4D6B" w:rsidP="00CF4D6B" w14:paraId="3BC450E2" w14:textId="77777777">
      <w:pPr>
        <w:autoSpaceDE w:val="0"/>
        <w:autoSpaceDN w:val="0"/>
        <w:adjustRightInd w:val="0"/>
        <w:spacing w:after="0" w:line="240" w:lineRule="auto"/>
      </w:pPr>
    </w:p>
    <w:p w:rsidR="00CF4D6B" w:rsidP="00CF4D6B" w14:paraId="755FBA73" w14:textId="68744B46">
      <w:r>
        <w:t xml:space="preserve">The HBCUs and </w:t>
      </w:r>
      <w:r w:rsidR="00CF4D15">
        <w:t xml:space="preserve">small businesses </w:t>
      </w:r>
      <w:r>
        <w:t>that choose to report into the system will benefit from</w:t>
      </w:r>
      <w:r w:rsidR="00336839">
        <w:t xml:space="preserve"> a consolidation of government grants</w:t>
      </w:r>
      <w:r>
        <w:t xml:space="preserve"> and contract</w:t>
      </w:r>
      <w:r w:rsidR="00336839">
        <w:t xml:space="preserve">s in one system.  </w:t>
      </w:r>
      <w:r w:rsidR="005E3493">
        <w:t xml:space="preserve">Analysis performed by the NIH SBPO </w:t>
      </w:r>
      <w:r w:rsidR="00336839">
        <w:t xml:space="preserve">may lead them to opportunities they may otherwise never be aware of.  </w:t>
      </w:r>
      <w:r w:rsidR="0043701E">
        <w:t xml:space="preserve">The tool provides awareness of HBCUs and </w:t>
      </w:r>
      <w:r w:rsidR="00CF4D15">
        <w:t xml:space="preserve">small businesses </w:t>
      </w:r>
      <w:r w:rsidR="0043701E">
        <w:t xml:space="preserve">and their capabilities, promoting collaboration between potential teaming partners.  </w:t>
      </w:r>
    </w:p>
    <w:p w:rsidR="00CF4D6B" w:rsidRPr="00E35DD1" w:rsidP="00685B30" w14:paraId="7480D180" w14:textId="77777777"/>
    <w:p w:rsidR="00685B30" w:rsidRPr="00E35DD1" w:rsidP="00685B30" w14:paraId="0CF201EE" w14:textId="77777777">
      <w:pPr>
        <w:pStyle w:val="P1-StandPara"/>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rsidR="001F17B2" w:rsidRPr="00DA0950" w:rsidP="001F17B2" w14:paraId="3B40C6A0" w14:textId="57B5C273">
      <w:pPr>
        <w:autoSpaceDE w:val="0"/>
        <w:autoSpaceDN w:val="0"/>
        <w:adjustRightInd w:val="0"/>
        <w:spacing w:after="0" w:line="240" w:lineRule="auto"/>
        <w:rPr>
          <w:rFonts w:eastAsia="Times New Roman" w:cs="Times New Roman"/>
        </w:rPr>
      </w:pPr>
      <w:r w:rsidRPr="00DA0950">
        <w:rPr>
          <w:rFonts w:eastAsia="Times New Roman" w:cs="Times New Roman"/>
        </w:rPr>
        <w:t xml:space="preserve">The information collected/entered by the user is available only to that user and </w:t>
      </w:r>
      <w:r w:rsidR="00FC6B18">
        <w:rPr>
          <w:rFonts w:eastAsia="Times New Roman" w:cs="Times New Roman"/>
        </w:rPr>
        <w:t xml:space="preserve">the </w:t>
      </w:r>
      <w:r w:rsidRPr="00DA0950">
        <w:rPr>
          <w:rFonts w:eastAsia="Times New Roman" w:cs="Times New Roman"/>
        </w:rPr>
        <w:t xml:space="preserve">NIH </w:t>
      </w:r>
      <w:r w:rsidR="00FC6B18">
        <w:rPr>
          <w:rFonts w:eastAsia="Times New Roman" w:cs="Times New Roman"/>
        </w:rPr>
        <w:t xml:space="preserve">SBPO </w:t>
      </w:r>
      <w:r w:rsidRPr="00DA0950">
        <w:rPr>
          <w:rFonts w:eastAsia="Times New Roman" w:cs="Times New Roman"/>
        </w:rPr>
        <w:t xml:space="preserve">staff.  The information </w:t>
      </w:r>
      <w:r>
        <w:rPr>
          <w:rFonts w:eastAsia="Times New Roman" w:cs="Times New Roman"/>
        </w:rPr>
        <w:t xml:space="preserve">will </w:t>
      </w:r>
      <w:r w:rsidRPr="00DA0950">
        <w:rPr>
          <w:rFonts w:eastAsia="Times New Roman" w:cs="Times New Roman"/>
        </w:rPr>
        <w:t>be used for government reporting requirements.</w:t>
      </w:r>
      <w:r w:rsidR="00B95CF3">
        <w:rPr>
          <w:rFonts w:eastAsia="Times New Roman" w:cs="Times New Roman"/>
        </w:rPr>
        <w:t xml:space="preserve">  The use of this information </w:t>
      </w:r>
      <w:r w:rsidR="00AD258B">
        <w:rPr>
          <w:rFonts w:eastAsia="Times New Roman" w:cs="Times New Roman"/>
        </w:rPr>
        <w:t xml:space="preserve">will adhere to </w:t>
      </w:r>
      <w:r w:rsidR="00AD258B">
        <w:t>NIH SORN</w:t>
      </w:r>
      <w:r w:rsidR="00A55DAE">
        <w:t xml:space="preserve"> </w:t>
      </w:r>
      <w:r w:rsidR="00AD258B">
        <w:t xml:space="preserve"> </w:t>
      </w:r>
      <w:hyperlink r:id="rId9" w:history="1">
        <w:r w:rsidR="00AD258B">
          <w:rPr>
            <w:rStyle w:val="Hyperlink"/>
          </w:rPr>
          <w:t>09-25-0156</w:t>
        </w:r>
      </w:hyperlink>
      <w:r w:rsidR="00AD258B">
        <w:t xml:space="preserve"> </w:t>
      </w:r>
      <w:r w:rsidRPr="00A55DAE" w:rsidR="00A55DAE">
        <w:t xml:space="preserve">“Records of Participants in Programs and Respondents in Surveys Used to Evaluate Programs of the Public Health Service, HHS/PHS/NIH/OD.” </w:t>
      </w:r>
      <w:r w:rsidR="00AD258B">
        <w:t>(</w:t>
      </w:r>
      <w:r w:rsidR="00AD258B">
        <w:t>see</w:t>
      </w:r>
      <w:r w:rsidR="00AD258B">
        <w:t xml:space="preserve"> page 60765).</w:t>
      </w:r>
      <w:r w:rsidRPr="00DA0950">
        <w:rPr>
          <w:rFonts w:eastAsia="Times New Roman" w:cs="Times New Roman"/>
        </w:rPr>
        <w:t xml:space="preserve"> </w:t>
      </w:r>
    </w:p>
    <w:p w:rsidR="001F17B2" w:rsidRPr="00DA0950" w:rsidP="001F17B2" w14:paraId="3F10C6AF" w14:textId="5716B72C">
      <w:pPr>
        <w:autoSpaceDE w:val="0"/>
        <w:autoSpaceDN w:val="0"/>
        <w:adjustRightInd w:val="0"/>
        <w:spacing w:after="0" w:line="240" w:lineRule="auto"/>
        <w:rPr>
          <w:rFonts w:eastAsia="Times New Roman" w:cs="Times New Roman"/>
        </w:rPr>
      </w:pPr>
    </w:p>
    <w:p w:rsidR="001F17B2" w:rsidP="001F17B2" w14:paraId="01A30A42" w14:textId="0799F4C3">
      <w:pPr>
        <w:pStyle w:val="P1-StandPara"/>
        <w:spacing w:line="240" w:lineRule="auto"/>
        <w:ind w:firstLine="0"/>
        <w:rPr>
          <w:rFonts w:ascii="ArialMT" w:hAnsi="ArialMT" w:cs="ArialMT"/>
        </w:rPr>
      </w:pPr>
      <w:r w:rsidRPr="00DA0950">
        <w:rPr>
          <w:rFonts w:asciiTheme="minorHAnsi" w:hAnsiTheme="minorHAnsi"/>
          <w:szCs w:val="22"/>
        </w:rPr>
        <w:t xml:space="preserve">The HBCUs and </w:t>
      </w:r>
      <w:r w:rsidR="00CF4D15">
        <w:rPr>
          <w:rFonts w:asciiTheme="minorHAnsi" w:hAnsiTheme="minorHAnsi"/>
          <w:szCs w:val="22"/>
        </w:rPr>
        <w:t xml:space="preserve">small businesses </w:t>
      </w:r>
      <w:r w:rsidRPr="00637A5E" w:rsidR="006F30E1">
        <w:rPr>
          <w:rFonts w:asciiTheme="minorHAnsi" w:hAnsiTheme="minorHAnsi"/>
          <w:szCs w:val="22"/>
        </w:rPr>
        <w:t xml:space="preserve">use </w:t>
      </w:r>
      <w:r w:rsidRPr="00EA246E" w:rsidR="006F30E1">
        <w:rPr>
          <w:rFonts w:asciiTheme="minorHAnsi" w:hAnsiTheme="minorHAnsi"/>
          <w:szCs w:val="22"/>
        </w:rPr>
        <w:t xml:space="preserve">the registration feature </w:t>
      </w:r>
      <w:r w:rsidRPr="00637A5E" w:rsidR="006F30E1">
        <w:rPr>
          <w:rFonts w:asciiTheme="minorHAnsi" w:hAnsiTheme="minorHAnsi"/>
          <w:szCs w:val="22"/>
        </w:rPr>
        <w:t>to</w:t>
      </w:r>
      <w:r w:rsidRPr="00EB1132" w:rsidR="006F30E1">
        <w:rPr>
          <w:rFonts w:asciiTheme="minorHAnsi" w:hAnsiTheme="minorHAnsi"/>
          <w:szCs w:val="22"/>
        </w:rPr>
        <w:t xml:space="preserve"> obtain</w:t>
      </w:r>
      <w:r w:rsidR="006F30E1">
        <w:rPr>
          <w:rFonts w:asciiTheme="minorHAnsi" w:hAnsiTheme="minorHAnsi"/>
          <w:szCs w:val="22"/>
        </w:rPr>
        <w:t xml:space="preserve"> </w:t>
      </w:r>
      <w:r w:rsidRPr="00DA0950">
        <w:rPr>
          <w:rFonts w:asciiTheme="minorHAnsi" w:hAnsiTheme="minorHAnsi"/>
          <w:szCs w:val="22"/>
        </w:rPr>
        <w:t xml:space="preserve">login credentials, including "strong" passwords that conform to standards used by the NIH Center for Information Technology, and the online tools these individuals use to enter data are restricted to HBCU and </w:t>
      </w:r>
      <w:r w:rsidR="00CF4D15">
        <w:rPr>
          <w:rFonts w:asciiTheme="minorHAnsi" w:hAnsiTheme="minorHAnsi"/>
          <w:szCs w:val="22"/>
        </w:rPr>
        <w:t xml:space="preserve">small business </w:t>
      </w:r>
      <w:r w:rsidRPr="00DA0950">
        <w:rPr>
          <w:rFonts w:asciiTheme="minorHAnsi" w:hAnsiTheme="minorHAnsi"/>
          <w:szCs w:val="22"/>
        </w:rPr>
        <w:t>approved users. Users receive login credentials, including randomly generated or user-defined passwords, when they first appl</w:t>
      </w:r>
      <w:r>
        <w:rPr>
          <w:rFonts w:ascii="ArialMT" w:hAnsi="ArialMT" w:cs="ArialMT"/>
        </w:rPr>
        <w:t>y.</w:t>
      </w:r>
    </w:p>
    <w:p w:rsidR="001F17B2" w:rsidP="001F17B2" w14:paraId="66CD41EB" w14:textId="77777777">
      <w:pPr>
        <w:pStyle w:val="P1-StandPara"/>
        <w:spacing w:line="240" w:lineRule="auto"/>
        <w:ind w:firstLine="0"/>
        <w:rPr>
          <w:rFonts w:ascii="ArialMT" w:hAnsi="ArialMT" w:cs="ArialMT"/>
        </w:rPr>
      </w:pPr>
    </w:p>
    <w:p w:rsidR="001F17B2" w:rsidRPr="001F17B2" w:rsidP="001F17B2" w14:paraId="6B66BA33" w14:textId="6229F8DA">
      <w:pPr>
        <w:pStyle w:val="P1-StandPara"/>
        <w:spacing w:line="240" w:lineRule="auto"/>
        <w:ind w:firstLine="0"/>
        <w:rPr>
          <w:rFonts w:asciiTheme="minorHAnsi" w:hAnsiTheme="minorHAnsi"/>
          <w:szCs w:val="22"/>
        </w:rPr>
      </w:pPr>
      <w:r w:rsidRPr="001F17B2">
        <w:rPr>
          <w:rFonts w:asciiTheme="minorHAnsi" w:hAnsiTheme="minorHAnsi"/>
          <w:szCs w:val="22"/>
        </w:rPr>
        <w:t xml:space="preserve">PII collected when an account is being provisioned for access to the HBCU </w:t>
      </w:r>
      <w:r w:rsidR="00E54712">
        <w:rPr>
          <w:rFonts w:asciiTheme="minorHAnsi" w:hAnsiTheme="minorHAnsi"/>
          <w:szCs w:val="22"/>
        </w:rPr>
        <w:t>P</w:t>
      </w:r>
      <w:r w:rsidRPr="001F17B2">
        <w:rPr>
          <w:rFonts w:asciiTheme="minorHAnsi" w:hAnsiTheme="minorHAnsi"/>
          <w:szCs w:val="22"/>
        </w:rPr>
        <w:t xml:space="preserve">re-solicitation portal includes: </w:t>
      </w:r>
    </w:p>
    <w:p w:rsidR="001F17B2" w:rsidRPr="001F17B2" w:rsidP="001F17B2" w14:paraId="5F02160F" w14:textId="77777777">
      <w:pPr>
        <w:pStyle w:val="P1-StandPara"/>
        <w:numPr>
          <w:ilvl w:val="0"/>
          <w:numId w:val="21"/>
        </w:numPr>
        <w:spacing w:line="240" w:lineRule="auto"/>
        <w:rPr>
          <w:rFonts w:asciiTheme="minorHAnsi" w:hAnsiTheme="minorHAnsi"/>
          <w:szCs w:val="22"/>
        </w:rPr>
      </w:pPr>
      <w:r w:rsidRPr="001F17B2">
        <w:rPr>
          <w:rFonts w:asciiTheme="minorHAnsi" w:hAnsiTheme="minorHAnsi"/>
          <w:szCs w:val="22"/>
        </w:rPr>
        <w:t>Name</w:t>
      </w:r>
    </w:p>
    <w:p w:rsidR="001F17B2" w:rsidRPr="001F17B2" w:rsidP="001F17B2" w14:paraId="6E152E10" w14:textId="77777777">
      <w:pPr>
        <w:pStyle w:val="P1-StandPara"/>
        <w:numPr>
          <w:ilvl w:val="0"/>
          <w:numId w:val="21"/>
        </w:numPr>
        <w:spacing w:line="240" w:lineRule="auto"/>
        <w:rPr>
          <w:rFonts w:asciiTheme="minorHAnsi" w:hAnsiTheme="minorHAnsi"/>
          <w:szCs w:val="22"/>
        </w:rPr>
      </w:pPr>
      <w:r w:rsidRPr="001F17B2">
        <w:rPr>
          <w:rFonts w:asciiTheme="minorHAnsi" w:hAnsiTheme="minorHAnsi"/>
          <w:szCs w:val="22"/>
        </w:rPr>
        <w:t>Email Address</w:t>
      </w:r>
    </w:p>
    <w:p w:rsidR="001F17B2" w:rsidRPr="001F17B2" w:rsidP="001F17B2" w14:paraId="3D951C3D" w14:textId="77777777">
      <w:pPr>
        <w:pStyle w:val="P1-StandPara"/>
        <w:numPr>
          <w:ilvl w:val="0"/>
          <w:numId w:val="21"/>
        </w:numPr>
        <w:spacing w:line="240" w:lineRule="auto"/>
        <w:rPr>
          <w:rFonts w:asciiTheme="minorHAnsi" w:hAnsiTheme="minorHAnsi"/>
          <w:szCs w:val="22"/>
        </w:rPr>
      </w:pPr>
      <w:r w:rsidRPr="001F17B2">
        <w:rPr>
          <w:rFonts w:asciiTheme="minorHAnsi" w:hAnsiTheme="minorHAnsi"/>
          <w:szCs w:val="22"/>
        </w:rPr>
        <w:t xml:space="preserve">Phone Numbers </w:t>
      </w:r>
    </w:p>
    <w:p w:rsidR="001F17B2" w:rsidP="001F17B2" w14:paraId="1C6936E4" w14:textId="77777777">
      <w:pPr>
        <w:pStyle w:val="P1-StandPara"/>
        <w:numPr>
          <w:ilvl w:val="0"/>
          <w:numId w:val="21"/>
        </w:numPr>
        <w:spacing w:line="240" w:lineRule="auto"/>
        <w:rPr>
          <w:rFonts w:ascii="ArialMT" w:hAnsi="ArialMT" w:cs="ArialMT"/>
        </w:rPr>
      </w:pPr>
      <w:r w:rsidRPr="001F17B2">
        <w:rPr>
          <w:rFonts w:asciiTheme="minorHAnsi" w:hAnsiTheme="minorHAnsi"/>
          <w:szCs w:val="22"/>
        </w:rPr>
        <w:t xml:space="preserve">Mailing Addresses </w:t>
      </w:r>
    </w:p>
    <w:p w:rsidR="001F17B2" w:rsidP="001F17B2" w14:paraId="0B6B7D6E" w14:textId="77777777">
      <w:pPr>
        <w:pStyle w:val="P1-StandPara"/>
        <w:spacing w:line="240" w:lineRule="auto"/>
        <w:ind w:firstLine="0"/>
        <w:rPr>
          <w:rFonts w:ascii="ArialMT" w:hAnsi="ArialMT" w:cs="ArialMT"/>
        </w:rPr>
      </w:pPr>
    </w:p>
    <w:p w:rsidR="00654729" w:rsidP="00E35DD1" w14:paraId="2088586F" w14:textId="1C117500">
      <w:pPr>
        <w:pStyle w:val="P1-StandPara"/>
        <w:spacing w:line="240" w:lineRule="auto"/>
        <w:ind w:firstLine="0"/>
        <w:rPr>
          <w:rFonts w:asciiTheme="minorHAnsi" w:hAnsiTheme="minorHAnsi"/>
          <w:szCs w:val="22"/>
        </w:rPr>
      </w:pPr>
      <w:r w:rsidRPr="00C25E9C">
        <w:rPr>
          <w:rFonts w:asciiTheme="minorHAnsi" w:hAnsiTheme="minorHAnsi"/>
          <w:szCs w:val="22"/>
        </w:rPr>
        <w:t>The Rules of Behavior (ROB)</w:t>
      </w:r>
      <w:r w:rsidRPr="00C25E9C" w:rsidR="00563636">
        <w:rPr>
          <w:rFonts w:asciiTheme="minorHAnsi" w:hAnsiTheme="minorHAnsi"/>
          <w:szCs w:val="22"/>
        </w:rPr>
        <w:t xml:space="preserve"> are </w:t>
      </w:r>
      <w:r w:rsidRPr="00C25E9C">
        <w:rPr>
          <w:rFonts w:asciiTheme="minorHAnsi" w:hAnsiTheme="minorHAnsi"/>
          <w:szCs w:val="22"/>
        </w:rPr>
        <w:t xml:space="preserve">displayed on the HBCU </w:t>
      </w:r>
      <w:r w:rsidR="00E54712">
        <w:rPr>
          <w:rFonts w:asciiTheme="minorHAnsi" w:hAnsiTheme="minorHAnsi"/>
          <w:szCs w:val="22"/>
        </w:rPr>
        <w:t>P</w:t>
      </w:r>
      <w:r w:rsidRPr="00C25E9C">
        <w:rPr>
          <w:rFonts w:asciiTheme="minorHAnsi" w:hAnsiTheme="minorHAnsi"/>
          <w:szCs w:val="22"/>
        </w:rPr>
        <w:t>re-solicitation portal website</w:t>
      </w:r>
      <w:r w:rsidRPr="00C25E9C" w:rsidR="00563636">
        <w:rPr>
          <w:rFonts w:asciiTheme="minorHAnsi" w:hAnsiTheme="minorHAnsi"/>
          <w:szCs w:val="22"/>
        </w:rPr>
        <w:t>, see attachment</w:t>
      </w:r>
      <w:r w:rsidR="00A55DAE">
        <w:rPr>
          <w:rFonts w:asciiTheme="minorHAnsi" w:hAnsiTheme="minorHAnsi"/>
          <w:szCs w:val="22"/>
        </w:rPr>
        <w:t xml:space="preserve"> 2</w:t>
      </w:r>
      <w:r w:rsidRPr="00C25E9C" w:rsidR="00563636">
        <w:rPr>
          <w:rFonts w:asciiTheme="minorHAnsi" w:hAnsiTheme="minorHAnsi"/>
          <w:szCs w:val="22"/>
        </w:rPr>
        <w:t xml:space="preserve"> “Rules of Behavior”.</w:t>
      </w:r>
      <w:r w:rsidRPr="00C25E9C">
        <w:rPr>
          <w:rFonts w:asciiTheme="minorHAnsi" w:hAnsiTheme="minorHAnsi"/>
          <w:szCs w:val="22"/>
        </w:rPr>
        <w:t xml:space="preserve"> </w:t>
      </w:r>
    </w:p>
    <w:p w:rsidR="00037860" w:rsidP="00E35DD1" w14:paraId="64C238BF" w14:textId="0A07D6A0">
      <w:pPr>
        <w:pStyle w:val="P1-StandPara"/>
        <w:spacing w:line="240" w:lineRule="auto"/>
        <w:ind w:firstLine="0"/>
        <w:rPr>
          <w:rFonts w:asciiTheme="minorHAnsi" w:hAnsiTheme="minorHAnsi"/>
          <w:szCs w:val="22"/>
        </w:rPr>
      </w:pPr>
    </w:p>
    <w:p w:rsidR="00037860" w:rsidP="00E35DD1" w14:paraId="69C1666E" w14:textId="77777777">
      <w:pPr>
        <w:pStyle w:val="P1-StandPara"/>
        <w:spacing w:line="240" w:lineRule="auto"/>
        <w:ind w:firstLine="0"/>
        <w:rPr>
          <w:rFonts w:asciiTheme="minorHAnsi" w:hAnsiTheme="minorHAnsi"/>
          <w:szCs w:val="22"/>
        </w:rPr>
      </w:pPr>
    </w:p>
    <w:p w:rsidR="000266E3" w:rsidRPr="00E35DD1" w:rsidP="00E35DD1" w14:paraId="1AA92193" w14:textId="77777777">
      <w:pPr>
        <w:pStyle w:val="P1-StandPara"/>
        <w:spacing w:line="240" w:lineRule="auto"/>
        <w:ind w:firstLine="0"/>
        <w:rPr>
          <w:rFonts w:asciiTheme="minorHAnsi" w:hAnsiTheme="minorHAnsi"/>
          <w:szCs w:val="22"/>
        </w:rPr>
      </w:pPr>
    </w:p>
    <w:p w:rsidR="00685B30" w:rsidRPr="00E35DD1" w:rsidP="00685B30" w14:paraId="56264C2A" w14:textId="77777777">
      <w:pPr>
        <w:pStyle w:val="P1-StandPara"/>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rsidR="000266E3" w:rsidP="000859AB" w14:paraId="78E8BA20" w14:textId="77777777">
      <w:pPr>
        <w:pStyle w:val="NormalWeb"/>
        <w:shd w:val="clear" w:color="auto" w:fill="FFFFFF"/>
        <w:spacing w:before="0" w:beforeAutospacing="0" w:after="225" w:afterAutospacing="0"/>
        <w:rPr>
          <w:rFonts w:asciiTheme="minorHAnsi" w:hAnsiTheme="minorHAnsi"/>
          <w:color w:val="000000"/>
          <w:szCs w:val="22"/>
        </w:rPr>
      </w:pPr>
      <w:r w:rsidRPr="00C25E9C">
        <w:rPr>
          <w:rFonts w:asciiTheme="minorHAnsi" w:hAnsiTheme="minorHAnsi"/>
          <w:color w:val="000000"/>
          <w:sz w:val="22"/>
          <w:szCs w:val="22"/>
        </w:rPr>
        <w:t xml:space="preserve">The HBCU </w:t>
      </w:r>
      <w:r w:rsidR="00E54712">
        <w:rPr>
          <w:rFonts w:asciiTheme="minorHAnsi" w:hAnsiTheme="minorHAnsi"/>
          <w:color w:val="000000"/>
          <w:sz w:val="22"/>
          <w:szCs w:val="22"/>
        </w:rPr>
        <w:t>P</w:t>
      </w:r>
      <w:r w:rsidRPr="00C25E9C">
        <w:rPr>
          <w:rFonts w:asciiTheme="minorHAnsi" w:hAnsiTheme="minorHAnsi"/>
          <w:color w:val="000000"/>
          <w:sz w:val="22"/>
          <w:szCs w:val="22"/>
        </w:rPr>
        <w:t>re-solicitation portal does not contain sensitive questions as described</w:t>
      </w:r>
      <w:r w:rsidRPr="00C25E9C" w:rsidR="003338BF">
        <w:rPr>
          <w:rFonts w:asciiTheme="minorHAnsi" w:hAnsiTheme="minorHAnsi"/>
          <w:color w:val="000000"/>
          <w:sz w:val="22"/>
          <w:szCs w:val="22"/>
        </w:rPr>
        <w:t xml:space="preserve"> in sections A.11. </w:t>
      </w:r>
    </w:p>
    <w:p w:rsidR="00A90901" w:rsidP="000859AB" w14:paraId="64153872" w14:textId="60152F28">
      <w:pPr>
        <w:pStyle w:val="NormalWeb"/>
        <w:shd w:val="clear" w:color="auto" w:fill="FFFFFF"/>
        <w:spacing w:before="0" w:beforeAutospacing="0" w:after="225" w:afterAutospacing="0"/>
      </w:pPr>
    </w:p>
    <w:p w:rsidR="00190C83" w:rsidP="00F90486" w14:paraId="6F09958E" w14:textId="62C612E1">
      <w:pPr>
        <w:pStyle w:val="P1-StandPara"/>
        <w:spacing w:line="240" w:lineRule="auto"/>
        <w:ind w:firstLine="0"/>
        <w:rPr>
          <w:b/>
          <w:smallCaps/>
          <w:color w:val="000000" w:themeColor="text1"/>
        </w:rPr>
      </w:pPr>
      <w:r>
        <w:rPr>
          <w:rFonts w:ascii="ArialMT" w:hAnsi="ArialMT" w:cs="ArialMT"/>
        </w:rPr>
        <w:t xml:space="preserve"> </w:t>
      </w:r>
      <w:r w:rsidRPr="00E35DD1" w:rsidR="00685B30">
        <w:rPr>
          <w:b/>
        </w:rPr>
        <w:t>A.12</w:t>
      </w:r>
      <w:r w:rsidR="00BF491C">
        <w:rPr>
          <w:b/>
        </w:rPr>
        <w:t>.1</w:t>
      </w:r>
      <w:r w:rsidRPr="00E35DD1" w:rsidR="00685B30">
        <w:rPr>
          <w:b/>
        </w:rPr>
        <w:tab/>
        <w:t>Estimates of Hour Burden Including Annualized Hourly Costs</w:t>
      </w:r>
    </w:p>
    <w:p w:rsidR="005C4013" w:rsidP="0086248B" w14:paraId="5DBB60D8" w14:textId="77777777">
      <w:pPr>
        <w:spacing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b/>
      </w:r>
    </w:p>
    <w:p w:rsidR="00B012E4" w:rsidP="000859AB" w14:paraId="1481EF14" w14:textId="2BB995B1">
      <w:r w:rsidRPr="00A14010">
        <w:t xml:space="preserve">The estimated time to enter the information about a grant or contract into the system is </w:t>
      </w:r>
      <w:r w:rsidRPr="00A14010" w:rsidR="00D34124">
        <w:t>approximately</w:t>
      </w:r>
      <w:r w:rsidR="008C43EE">
        <w:t xml:space="preserve"> </w:t>
      </w:r>
      <w:r w:rsidRPr="00EB1132" w:rsidR="006F30E1">
        <w:t>10</w:t>
      </w:r>
      <w:r w:rsidRPr="00A14010">
        <w:t>-minutes, which is based on the NIH contractor experience when testing the application. Users can revisit the data they have entered to change information they have provided regarding grants and contracts. Because these changes are not required for the information collected, time associated with these actions is not included in the estimate to enter the data</w:t>
      </w:r>
      <w:r w:rsidR="00E9380F">
        <w:t xml:space="preserve">. </w:t>
      </w:r>
      <w:r w:rsidRPr="00B212CC" w:rsidR="00E9380F">
        <w:t>Additionally, it has been estimated through testing cycles that the user would spend up to 15 minutes registering for an account and 15 minutes completing the monthly, quarterly, and annual reports respectively.</w:t>
      </w:r>
      <w:r w:rsidR="00CB266F">
        <w:t xml:space="preserve">  </w:t>
      </w:r>
      <w:r w:rsidRPr="00EA246E" w:rsidR="00CB266F">
        <w:t>The HBCUs</w:t>
      </w:r>
      <w:r w:rsidR="00E20D57">
        <w:t xml:space="preserve">, </w:t>
      </w:r>
      <w:r w:rsidRPr="005B4F3E" w:rsidR="00E20D57">
        <w:rPr>
          <w:highlight w:val="yellow"/>
        </w:rPr>
        <w:t>see attachment 4 “PEI HBCU Application</w:t>
      </w:r>
      <w:r w:rsidR="00BD3A9C">
        <w:t>”</w:t>
      </w:r>
      <w:r w:rsidR="00E20D57">
        <w:t>,</w:t>
      </w:r>
      <w:r w:rsidR="002157A0">
        <w:t xml:space="preserve"> </w:t>
      </w:r>
      <w:r w:rsidRPr="00EA246E" w:rsidR="00CB266F">
        <w:t>and small businesses</w:t>
      </w:r>
      <w:r w:rsidR="00E20D57">
        <w:t xml:space="preserve">, </w:t>
      </w:r>
      <w:r w:rsidRPr="004B7D46" w:rsidR="00E20D57">
        <w:rPr>
          <w:highlight w:val="yellow"/>
        </w:rPr>
        <w:t xml:space="preserve">see </w:t>
      </w:r>
      <w:r w:rsidRPr="00E20D57" w:rsidR="00E20D57">
        <w:rPr>
          <w:highlight w:val="yellow"/>
        </w:rPr>
        <w:t>a</w:t>
      </w:r>
      <w:r w:rsidRPr="005B4F3E" w:rsidR="00E20D57">
        <w:rPr>
          <w:highlight w:val="yellow"/>
        </w:rPr>
        <w:t>ttachment 5 “PEI Business Partner Application</w:t>
      </w:r>
      <w:r w:rsidR="00E20D57">
        <w:t>”,</w:t>
      </w:r>
      <w:r w:rsidRPr="00EA246E" w:rsidR="00CB266F">
        <w:t xml:space="preserve"> will have to complete an application to participate</w:t>
      </w:r>
      <w:r w:rsidRPr="00EA246E" w:rsidR="00037860">
        <w:t xml:space="preserve"> in</w:t>
      </w:r>
      <w:r w:rsidRPr="00EA246E" w:rsidR="00CB266F">
        <w:t xml:space="preserve"> the PEI initiative, it has been estimated that it will take 45 minutes to complete the application.</w:t>
      </w:r>
      <w:r w:rsidR="00CB266F">
        <w:t xml:space="preserve"> </w:t>
      </w:r>
    </w:p>
    <w:p w:rsidR="00BA3B33" w:rsidP="000859AB" w14:paraId="7BDF4BF1" w14:textId="10C96254">
      <w:pPr>
        <w:jc w:val="center"/>
      </w:pPr>
      <w:r w:rsidRPr="00A14010">
        <w:t xml:space="preserve">Table A12-1 Estimate </w:t>
      </w:r>
      <w:r w:rsidR="00E91578">
        <w:t xml:space="preserve">Annualized Burden Hours </w:t>
      </w:r>
    </w:p>
    <w:tbl>
      <w:tblPr>
        <w:tblW w:w="9270" w:type="dxa"/>
        <w:tblBorders>
          <w:top w:val="single" w:sz="0" w:space="0" w:color="auto"/>
          <w:left w:val="single" w:sz="0" w:space="0" w:color="auto"/>
          <w:bottom w:val="single" w:sz="0" w:space="0" w:color="auto"/>
          <w:right w:val="single" w:sz="0" w:space="0" w:color="auto"/>
          <w:insideH w:val="single" w:sz="1" w:space="0" w:color="000000"/>
          <w:insideV w:val="single" w:sz="1" w:space="0" w:color="000000"/>
        </w:tblBorders>
        <w:tblLayout w:type="fixed"/>
        <w:tblCellMar>
          <w:left w:w="0" w:type="dxa"/>
          <w:right w:w="0" w:type="dxa"/>
        </w:tblCellMar>
        <w:tblLook w:val="0000"/>
      </w:tblPr>
      <w:tblGrid>
        <w:gridCol w:w="2070"/>
        <w:gridCol w:w="1440"/>
        <w:gridCol w:w="1260"/>
        <w:gridCol w:w="1440"/>
        <w:gridCol w:w="1710"/>
        <w:gridCol w:w="1350"/>
      </w:tblGrid>
      <w:tr w14:paraId="65B8B21D" w14:textId="77777777" w:rsidTr="00654729">
        <w:tblPrEx>
          <w:tblW w:w="9270" w:type="dxa"/>
          <w:tblBorders>
            <w:top w:val="single" w:sz="0" w:space="0" w:color="auto"/>
            <w:left w:val="single" w:sz="0" w:space="0" w:color="auto"/>
            <w:bottom w:val="single" w:sz="0" w:space="0" w:color="auto"/>
            <w:right w:val="single" w:sz="0" w:space="0" w:color="auto"/>
            <w:insideH w:val="single" w:sz="1" w:space="0" w:color="000000"/>
            <w:insideV w:val="single" w:sz="1" w:space="0" w:color="000000"/>
          </w:tblBorders>
          <w:tblLayout w:type="fixed"/>
          <w:tblCellMar>
            <w:left w:w="0" w:type="dxa"/>
            <w:right w:w="0" w:type="dxa"/>
          </w:tblCellMar>
          <w:tblLook w:val="0000"/>
        </w:tblPrEx>
        <w:tc>
          <w:tcPr>
            <w:tcW w:w="2070" w:type="dxa"/>
            <w:tcBorders>
              <w:top w:val="single" w:sz="0" w:space="0" w:color="auto"/>
              <w:left w:val="single" w:sz="0" w:space="0" w:color="auto"/>
              <w:bottom w:val="single" w:sz="1" w:space="0" w:color="000000"/>
              <w:right w:val="single" w:sz="1" w:space="0" w:color="000000"/>
            </w:tcBorders>
            <w:shd w:val="clear" w:color="auto" w:fill="D3D3D3"/>
            <w:noWrap/>
          </w:tcPr>
          <w:p w:rsidR="00654729" w:rsidRPr="00654729" w:rsidP="00AA1005" w14:paraId="311A31A2" w14:textId="77777777">
            <w:pPr>
              <w:jc w:val="center"/>
              <w:rPr>
                <w:b/>
              </w:rPr>
            </w:pPr>
            <w:r w:rsidRPr="00654729">
              <w:rPr>
                <w:b/>
              </w:rPr>
              <w:t>Form Name</w:t>
            </w:r>
          </w:p>
        </w:tc>
        <w:tc>
          <w:tcPr>
            <w:tcW w:w="1440" w:type="dxa"/>
            <w:tcBorders>
              <w:top w:val="single" w:sz="0" w:space="0" w:color="auto"/>
              <w:left w:val="single" w:sz="1" w:space="0" w:color="000000"/>
              <w:bottom w:val="single" w:sz="1" w:space="0" w:color="000000"/>
              <w:right w:val="single" w:sz="1" w:space="0" w:color="000000"/>
            </w:tcBorders>
            <w:shd w:val="clear" w:color="auto" w:fill="D3D3D3"/>
          </w:tcPr>
          <w:p w:rsidR="00654729" w:rsidRPr="00654729" w:rsidP="00AA1005" w14:paraId="54EED410" w14:textId="77777777">
            <w:pPr>
              <w:jc w:val="center"/>
              <w:rPr>
                <w:b/>
              </w:rPr>
            </w:pPr>
            <w:r w:rsidRPr="00654729">
              <w:rPr>
                <w:b/>
              </w:rPr>
              <w:t>Type of Respondent</w:t>
            </w:r>
          </w:p>
        </w:tc>
        <w:tc>
          <w:tcPr>
            <w:tcW w:w="1260" w:type="dxa"/>
            <w:tcBorders>
              <w:top w:val="single" w:sz="0" w:space="0" w:color="auto"/>
              <w:left w:val="single" w:sz="1" w:space="0" w:color="000000"/>
              <w:bottom w:val="single" w:sz="1" w:space="0" w:color="000000"/>
              <w:right w:val="single" w:sz="1" w:space="0" w:color="000000"/>
            </w:tcBorders>
            <w:shd w:val="clear" w:color="auto" w:fill="D3D3D3"/>
          </w:tcPr>
          <w:p w:rsidR="00654729" w:rsidRPr="00654729" w:rsidP="00AA1005" w14:paraId="694A5D33" w14:textId="77777777">
            <w:pPr>
              <w:jc w:val="center"/>
              <w:rPr>
                <w:b/>
              </w:rPr>
            </w:pPr>
            <w:r w:rsidRPr="00654729">
              <w:rPr>
                <w:b/>
              </w:rPr>
              <w:t>Number</w:t>
            </w:r>
          </w:p>
          <w:p w:rsidR="00654729" w:rsidRPr="00654729" w:rsidP="00AA1005" w14:paraId="64E6633D" w14:textId="77777777">
            <w:pPr>
              <w:jc w:val="center"/>
              <w:rPr>
                <w:b/>
              </w:rPr>
            </w:pPr>
            <w:r w:rsidRPr="00654729">
              <w:rPr>
                <w:b/>
              </w:rPr>
              <w:t>of Respondents</w:t>
            </w:r>
          </w:p>
        </w:tc>
        <w:tc>
          <w:tcPr>
            <w:tcW w:w="1440" w:type="dxa"/>
            <w:tcBorders>
              <w:top w:val="single" w:sz="0" w:space="0" w:color="auto"/>
              <w:left w:val="single" w:sz="1" w:space="0" w:color="000000"/>
              <w:bottom w:val="single" w:sz="1" w:space="0" w:color="000000"/>
              <w:right w:val="single" w:sz="1" w:space="0" w:color="000000"/>
            </w:tcBorders>
            <w:shd w:val="clear" w:color="auto" w:fill="D3D3D3"/>
          </w:tcPr>
          <w:p w:rsidR="00654729" w:rsidRPr="00654729" w:rsidP="00AA1005" w14:paraId="757A02B5" w14:textId="77777777">
            <w:pPr>
              <w:jc w:val="center"/>
              <w:rPr>
                <w:b/>
              </w:rPr>
            </w:pPr>
            <w:r w:rsidRPr="00654729">
              <w:rPr>
                <w:b/>
              </w:rPr>
              <w:t>Number of Responses per Respondent</w:t>
            </w:r>
          </w:p>
        </w:tc>
        <w:tc>
          <w:tcPr>
            <w:tcW w:w="1710" w:type="dxa"/>
            <w:tcBorders>
              <w:top w:val="single" w:sz="0" w:space="0" w:color="auto"/>
              <w:left w:val="single" w:sz="1" w:space="0" w:color="000000"/>
              <w:bottom w:val="single" w:sz="1" w:space="0" w:color="000000"/>
              <w:right w:val="single" w:sz="1" w:space="0" w:color="000000"/>
            </w:tcBorders>
            <w:shd w:val="clear" w:color="auto" w:fill="D3D3D3"/>
          </w:tcPr>
          <w:p w:rsidR="00654729" w:rsidRPr="00654729" w:rsidP="00AA1005" w14:paraId="64C6DB01" w14:textId="77777777">
            <w:pPr>
              <w:jc w:val="center"/>
              <w:rPr>
                <w:b/>
              </w:rPr>
            </w:pPr>
            <w:r w:rsidRPr="00654729">
              <w:rPr>
                <w:b/>
              </w:rPr>
              <w:t>Average Burden Per Response</w:t>
            </w:r>
          </w:p>
          <w:p w:rsidR="00654729" w:rsidRPr="00654729" w:rsidP="00AA1005" w14:paraId="3BCC9BF1" w14:textId="77777777">
            <w:pPr>
              <w:jc w:val="center"/>
              <w:rPr>
                <w:b/>
              </w:rPr>
            </w:pPr>
            <w:r w:rsidRPr="00654729">
              <w:rPr>
                <w:b/>
              </w:rPr>
              <w:t>(</w:t>
            </w:r>
            <w:r w:rsidRPr="00654729">
              <w:rPr>
                <w:b/>
              </w:rPr>
              <w:t>in</w:t>
            </w:r>
            <w:r w:rsidRPr="00654729">
              <w:rPr>
                <w:b/>
              </w:rPr>
              <w:t xml:space="preserve"> hours)</w:t>
            </w:r>
          </w:p>
        </w:tc>
        <w:tc>
          <w:tcPr>
            <w:tcW w:w="1350" w:type="dxa"/>
            <w:tcBorders>
              <w:top w:val="single" w:sz="0" w:space="0" w:color="auto"/>
              <w:left w:val="single" w:sz="1" w:space="0" w:color="000000"/>
              <w:bottom w:val="single" w:sz="1" w:space="0" w:color="000000"/>
              <w:right w:val="single" w:sz="0" w:space="0" w:color="auto"/>
            </w:tcBorders>
            <w:shd w:val="clear" w:color="auto" w:fill="D3D3D3"/>
          </w:tcPr>
          <w:p w:rsidR="00654729" w:rsidRPr="00654729" w:rsidP="00AA1005" w14:paraId="33873994" w14:textId="77777777">
            <w:pPr>
              <w:jc w:val="center"/>
              <w:rPr>
                <w:b/>
              </w:rPr>
            </w:pPr>
            <w:r w:rsidRPr="00654729">
              <w:rPr>
                <w:b/>
              </w:rPr>
              <w:t>Total Annual Burden Hour</w:t>
            </w:r>
          </w:p>
        </w:tc>
      </w:tr>
      <w:tr w14:paraId="4ED9C141" w14:textId="77777777" w:rsidTr="00654729">
        <w:tblPrEx>
          <w:tblW w:w="9270" w:type="dxa"/>
          <w:tblLayout w:type="fixed"/>
          <w:tblCellMar>
            <w:left w:w="0" w:type="dxa"/>
            <w:right w:w="0" w:type="dxa"/>
          </w:tblCellMar>
          <w:tblLook w:val="0000"/>
        </w:tblPrEx>
        <w:tc>
          <w:tcPr>
            <w:tcW w:w="2070" w:type="dxa"/>
            <w:tcBorders>
              <w:top w:val="single" w:sz="1" w:space="0" w:color="000000"/>
              <w:left w:val="single" w:sz="0" w:space="0" w:color="auto"/>
              <w:bottom w:val="single" w:sz="1" w:space="0" w:color="000000"/>
              <w:right w:val="single" w:sz="1" w:space="0" w:color="000000"/>
            </w:tcBorders>
            <w:shd w:val="clear" w:color="auto" w:fill="D3D3D3"/>
            <w:noWrap/>
          </w:tcPr>
          <w:p w:rsidR="00654729" w:rsidRPr="00654729" w:rsidP="00AA1005" w14:paraId="7995EA15" w14:textId="22BFC383">
            <w:pPr>
              <w:jc w:val="center"/>
              <w:rPr>
                <w:b/>
              </w:rPr>
            </w:pPr>
            <w:r w:rsidRPr="00654729">
              <w:rPr>
                <w:b/>
              </w:rPr>
              <w:t>HBCU Pre-Solicitation Portal for Contracts and Grants</w:t>
            </w:r>
            <w:r w:rsidR="00906C95">
              <w:rPr>
                <w:b/>
              </w:rPr>
              <w:t xml:space="preserve"> (Attachment Number 1)</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654729" w:rsidP="00AA1005" w14:paraId="074228E2" w14:textId="77777777">
            <w:pPr>
              <w:jc w:val="center"/>
              <w:rPr>
                <w:b/>
              </w:rPr>
            </w:pPr>
            <w:r w:rsidRPr="00654729">
              <w:rPr>
                <w:b/>
              </w:rPr>
              <w:t>Private Sector</w:t>
            </w:r>
          </w:p>
        </w:tc>
        <w:tc>
          <w:tcPr>
            <w:tcW w:w="126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A246E" w:rsidP="00AA1005" w14:paraId="10272651" w14:textId="0AA58849">
            <w:pPr>
              <w:jc w:val="center"/>
              <w:rPr>
                <w:b/>
                <w:highlight w:val="yellow"/>
              </w:rPr>
            </w:pPr>
            <w:r w:rsidRPr="00EA246E">
              <w:rPr>
                <w:b/>
                <w:highlight w:val="yellow"/>
              </w:rPr>
              <w:t>62</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A246E" w:rsidP="00AA1005" w14:paraId="48F5BE74" w14:textId="77777777">
            <w:pPr>
              <w:jc w:val="center"/>
              <w:rPr>
                <w:b/>
                <w:highlight w:val="yellow"/>
              </w:rPr>
            </w:pPr>
            <w:r w:rsidRPr="00EA246E">
              <w:rPr>
                <w:b/>
                <w:highlight w:val="yellow"/>
              </w:rPr>
              <w:t>18  </w:t>
            </w:r>
          </w:p>
        </w:tc>
        <w:tc>
          <w:tcPr>
            <w:tcW w:w="171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A246E" w:rsidP="00AA1005" w14:paraId="1698377E" w14:textId="77777777">
            <w:pPr>
              <w:jc w:val="center"/>
              <w:rPr>
                <w:b/>
                <w:highlight w:val="yellow"/>
              </w:rPr>
            </w:pPr>
            <w:r w:rsidRPr="00EA246E">
              <w:rPr>
                <w:b/>
                <w:highlight w:val="yellow"/>
              </w:rPr>
              <w:t>45/60  </w:t>
            </w:r>
          </w:p>
        </w:tc>
        <w:tc>
          <w:tcPr>
            <w:tcW w:w="1350" w:type="dxa"/>
            <w:tcBorders>
              <w:top w:val="single" w:sz="1" w:space="0" w:color="000000"/>
              <w:left w:val="single" w:sz="1" w:space="0" w:color="000000"/>
              <w:bottom w:val="single" w:sz="1" w:space="0" w:color="000000"/>
              <w:right w:val="single" w:sz="0" w:space="0" w:color="auto"/>
            </w:tcBorders>
            <w:shd w:val="clear" w:color="auto" w:fill="D3D3D3"/>
          </w:tcPr>
          <w:p w:rsidR="00654729" w:rsidRPr="00EA246E" w:rsidP="00AA1005" w14:paraId="68959DF5" w14:textId="0B69FD2A">
            <w:pPr>
              <w:jc w:val="center"/>
              <w:rPr>
                <w:b/>
                <w:highlight w:val="yellow"/>
              </w:rPr>
            </w:pPr>
            <w:r w:rsidRPr="00EA246E">
              <w:rPr>
                <w:b/>
                <w:highlight w:val="yellow"/>
              </w:rPr>
              <w:t>837   </w:t>
            </w:r>
          </w:p>
        </w:tc>
      </w:tr>
      <w:tr w14:paraId="3D116215" w14:textId="77777777" w:rsidTr="00654729">
        <w:tblPrEx>
          <w:tblW w:w="9270" w:type="dxa"/>
          <w:tblLayout w:type="fixed"/>
          <w:tblCellMar>
            <w:left w:w="0" w:type="dxa"/>
            <w:right w:w="0" w:type="dxa"/>
          </w:tblCellMar>
          <w:tblLook w:val="0000"/>
        </w:tblPrEx>
        <w:tc>
          <w:tcPr>
            <w:tcW w:w="2070" w:type="dxa"/>
            <w:tcBorders>
              <w:top w:val="single" w:sz="1" w:space="0" w:color="000000"/>
              <w:left w:val="single" w:sz="0" w:space="0" w:color="auto"/>
              <w:bottom w:val="single" w:sz="1" w:space="0" w:color="000000"/>
              <w:right w:val="single" w:sz="1" w:space="0" w:color="000000"/>
            </w:tcBorders>
            <w:shd w:val="clear" w:color="auto" w:fill="D3D3D3"/>
            <w:noWrap/>
          </w:tcPr>
          <w:p w:rsidR="00654729" w:rsidRPr="00037860" w:rsidP="00AA1005" w14:paraId="12D7C11E" w14:textId="616DAE6E">
            <w:pPr>
              <w:jc w:val="center"/>
              <w:rPr>
                <w:b/>
                <w:highlight w:val="yellow"/>
              </w:rPr>
            </w:pPr>
            <w:r w:rsidRPr="00EA246E">
              <w:rPr>
                <w:b/>
              </w:rPr>
              <w:t>Application for Small Business</w:t>
            </w:r>
            <w:r w:rsidR="00906C95">
              <w:rPr>
                <w:b/>
              </w:rPr>
              <w:t xml:space="preserve"> </w:t>
            </w:r>
            <w:r w:rsidRPr="004B7D46" w:rsidR="00906C95">
              <w:rPr>
                <w:b/>
                <w:highlight w:val="yellow"/>
              </w:rPr>
              <w:t>(</w:t>
            </w:r>
            <w:r w:rsidRPr="004B7D46" w:rsidR="00906C95">
              <w:rPr>
                <w:b/>
                <w:highlight w:val="yellow"/>
              </w:rPr>
              <w:t>Attachment  Number</w:t>
            </w:r>
            <w:r w:rsidRPr="004B7D46" w:rsidR="00906C95">
              <w:rPr>
                <w:b/>
                <w:highlight w:val="yellow"/>
              </w:rPr>
              <w:t xml:space="preserve"> </w:t>
            </w:r>
            <w:r w:rsidRPr="004B7D46" w:rsidR="004B7D46">
              <w:rPr>
                <w:b/>
                <w:highlight w:val="yellow"/>
              </w:rPr>
              <w:t>5</w:t>
            </w:r>
            <w:r w:rsidRPr="004B7D46" w:rsidR="00906C95">
              <w:rPr>
                <w:b/>
                <w:highlight w:val="yellow"/>
              </w:rPr>
              <w:t>)</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037860" w:rsidP="00AA1005" w14:paraId="7A1861F4" w14:textId="77777777">
            <w:pPr>
              <w:jc w:val="center"/>
              <w:rPr>
                <w:b/>
                <w:highlight w:val="yellow"/>
              </w:rPr>
            </w:pPr>
            <w:r w:rsidRPr="00EA246E">
              <w:rPr>
                <w:b/>
              </w:rPr>
              <w:t>Private Sector</w:t>
            </w:r>
          </w:p>
        </w:tc>
        <w:tc>
          <w:tcPr>
            <w:tcW w:w="126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1472C77A" w14:textId="7C21E0E9">
            <w:pPr>
              <w:jc w:val="center"/>
              <w:rPr>
                <w:b/>
                <w:highlight w:val="yellow"/>
              </w:rPr>
            </w:pPr>
            <w:r w:rsidRPr="00EF0FA4">
              <w:rPr>
                <w:b/>
                <w:highlight w:val="yellow"/>
              </w:rPr>
              <w:t>43</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125B5449" w14:textId="77777777">
            <w:pPr>
              <w:jc w:val="center"/>
              <w:rPr>
                <w:b/>
                <w:highlight w:val="yellow"/>
              </w:rPr>
            </w:pPr>
            <w:r w:rsidRPr="00EF0FA4">
              <w:rPr>
                <w:b/>
                <w:highlight w:val="yellow"/>
              </w:rPr>
              <w:t>1</w:t>
            </w:r>
          </w:p>
        </w:tc>
        <w:tc>
          <w:tcPr>
            <w:tcW w:w="171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54BD3A80" w14:textId="77777777">
            <w:pPr>
              <w:jc w:val="center"/>
              <w:rPr>
                <w:b/>
                <w:highlight w:val="yellow"/>
              </w:rPr>
            </w:pPr>
            <w:r w:rsidRPr="00EF0FA4">
              <w:rPr>
                <w:b/>
                <w:highlight w:val="yellow"/>
              </w:rPr>
              <w:t>45/60</w:t>
            </w:r>
          </w:p>
        </w:tc>
        <w:tc>
          <w:tcPr>
            <w:tcW w:w="1350" w:type="dxa"/>
            <w:tcBorders>
              <w:top w:val="single" w:sz="1" w:space="0" w:color="000000"/>
              <w:left w:val="single" w:sz="1" w:space="0" w:color="000000"/>
              <w:bottom w:val="single" w:sz="1" w:space="0" w:color="000000"/>
              <w:right w:val="single" w:sz="0" w:space="0" w:color="auto"/>
            </w:tcBorders>
            <w:shd w:val="clear" w:color="auto" w:fill="D3D3D3"/>
          </w:tcPr>
          <w:p w:rsidR="00654729" w:rsidRPr="00EF0FA4" w:rsidP="00AA1005" w14:paraId="7A7A335D" w14:textId="3ABE54BD">
            <w:pPr>
              <w:jc w:val="center"/>
              <w:rPr>
                <w:b/>
                <w:highlight w:val="yellow"/>
              </w:rPr>
            </w:pPr>
            <w:r w:rsidRPr="00EF0FA4">
              <w:rPr>
                <w:b/>
                <w:highlight w:val="yellow"/>
              </w:rPr>
              <w:t>32</w:t>
            </w:r>
          </w:p>
        </w:tc>
      </w:tr>
      <w:tr w14:paraId="78F405FC" w14:textId="77777777" w:rsidTr="00654729">
        <w:tblPrEx>
          <w:tblW w:w="9270" w:type="dxa"/>
          <w:tblLayout w:type="fixed"/>
          <w:tblCellMar>
            <w:left w:w="0" w:type="dxa"/>
            <w:right w:w="0" w:type="dxa"/>
          </w:tblCellMar>
          <w:tblLook w:val="0000"/>
        </w:tblPrEx>
        <w:tc>
          <w:tcPr>
            <w:tcW w:w="2070" w:type="dxa"/>
            <w:tcBorders>
              <w:top w:val="single" w:sz="1" w:space="0" w:color="000000"/>
              <w:left w:val="single" w:sz="0" w:space="0" w:color="auto"/>
              <w:bottom w:val="single" w:sz="1" w:space="0" w:color="000000"/>
              <w:right w:val="single" w:sz="1" w:space="0" w:color="000000"/>
            </w:tcBorders>
            <w:shd w:val="clear" w:color="auto" w:fill="D3D3D3"/>
            <w:noWrap/>
          </w:tcPr>
          <w:p w:rsidR="00654729" w:rsidRPr="00EA246E" w:rsidP="00AA1005" w14:paraId="5EEC9DAA" w14:textId="13D48A57">
            <w:pPr>
              <w:jc w:val="center"/>
              <w:rPr>
                <w:b/>
              </w:rPr>
            </w:pPr>
            <w:r w:rsidRPr="00EA246E">
              <w:rPr>
                <w:b/>
              </w:rPr>
              <w:t xml:space="preserve">Application for </w:t>
            </w:r>
            <w:r w:rsidRPr="00EA246E">
              <w:rPr>
                <w:b/>
              </w:rPr>
              <w:t>Universities</w:t>
            </w:r>
            <w:r w:rsidR="00906C95">
              <w:rPr>
                <w:b/>
              </w:rPr>
              <w:t xml:space="preserve">  </w:t>
            </w:r>
            <w:r w:rsidRPr="004B7D46" w:rsidR="00906C95">
              <w:rPr>
                <w:b/>
                <w:highlight w:val="yellow"/>
              </w:rPr>
              <w:t>(</w:t>
            </w:r>
            <w:r w:rsidRPr="004B7D46" w:rsidR="00906C95">
              <w:rPr>
                <w:b/>
                <w:highlight w:val="yellow"/>
              </w:rPr>
              <w:t xml:space="preserve">Attachment Number </w:t>
            </w:r>
            <w:r w:rsidRPr="004B7D46" w:rsidR="004B7D46">
              <w:rPr>
                <w:b/>
                <w:highlight w:val="yellow"/>
              </w:rPr>
              <w:t>4</w:t>
            </w:r>
            <w:r w:rsidRPr="004B7D46" w:rsidR="00906C95">
              <w:rPr>
                <w:b/>
                <w:highlight w:val="yellow"/>
              </w:rPr>
              <w:t>)</w:t>
            </w:r>
            <w:r w:rsidR="00906C95">
              <w:rPr>
                <w:b/>
              </w:rPr>
              <w:t xml:space="preserve"> </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A246E" w:rsidP="00AA1005" w14:paraId="36695B06" w14:textId="77777777">
            <w:pPr>
              <w:jc w:val="center"/>
              <w:rPr>
                <w:b/>
              </w:rPr>
            </w:pPr>
            <w:r w:rsidRPr="00EA246E">
              <w:rPr>
                <w:b/>
              </w:rPr>
              <w:t>Private Sector</w:t>
            </w:r>
          </w:p>
        </w:tc>
        <w:tc>
          <w:tcPr>
            <w:tcW w:w="126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02D5CDF9" w14:textId="32C5A782">
            <w:pPr>
              <w:jc w:val="center"/>
              <w:rPr>
                <w:b/>
                <w:highlight w:val="yellow"/>
              </w:rPr>
            </w:pPr>
            <w:r w:rsidRPr="00EF0FA4">
              <w:rPr>
                <w:b/>
                <w:highlight w:val="yellow"/>
              </w:rPr>
              <w:t>19</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5F4B864C" w14:textId="77777777">
            <w:pPr>
              <w:jc w:val="center"/>
              <w:rPr>
                <w:b/>
                <w:highlight w:val="yellow"/>
              </w:rPr>
            </w:pPr>
            <w:r w:rsidRPr="00EF0FA4">
              <w:rPr>
                <w:b/>
                <w:highlight w:val="yellow"/>
              </w:rPr>
              <w:t>1</w:t>
            </w:r>
          </w:p>
        </w:tc>
        <w:tc>
          <w:tcPr>
            <w:tcW w:w="171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6F6BFE55" w14:textId="77777777">
            <w:pPr>
              <w:jc w:val="center"/>
              <w:rPr>
                <w:b/>
                <w:highlight w:val="yellow"/>
              </w:rPr>
            </w:pPr>
            <w:r w:rsidRPr="00EF0FA4">
              <w:rPr>
                <w:b/>
                <w:highlight w:val="yellow"/>
              </w:rPr>
              <w:t>45/60</w:t>
            </w:r>
          </w:p>
        </w:tc>
        <w:tc>
          <w:tcPr>
            <w:tcW w:w="1350" w:type="dxa"/>
            <w:tcBorders>
              <w:top w:val="single" w:sz="1" w:space="0" w:color="000000"/>
              <w:left w:val="single" w:sz="1" w:space="0" w:color="000000"/>
              <w:bottom w:val="single" w:sz="1" w:space="0" w:color="000000"/>
              <w:right w:val="single" w:sz="0" w:space="0" w:color="auto"/>
            </w:tcBorders>
            <w:shd w:val="clear" w:color="auto" w:fill="D3D3D3"/>
          </w:tcPr>
          <w:p w:rsidR="00654729" w:rsidRPr="00EF0FA4" w:rsidP="00AA1005" w14:paraId="1D08E2DD" w14:textId="63B7FFB0">
            <w:pPr>
              <w:jc w:val="center"/>
              <w:rPr>
                <w:b/>
                <w:highlight w:val="yellow"/>
              </w:rPr>
            </w:pPr>
            <w:r w:rsidRPr="00EF0FA4">
              <w:rPr>
                <w:b/>
                <w:highlight w:val="yellow"/>
              </w:rPr>
              <w:t>14</w:t>
            </w:r>
          </w:p>
        </w:tc>
      </w:tr>
      <w:tr w14:paraId="47A21C7D" w14:textId="77777777" w:rsidTr="00654729">
        <w:tblPrEx>
          <w:tblW w:w="9270" w:type="dxa"/>
          <w:tblLayout w:type="fixed"/>
          <w:tblCellMar>
            <w:left w:w="0" w:type="dxa"/>
            <w:right w:w="0" w:type="dxa"/>
          </w:tblCellMar>
          <w:tblLook w:val="0000"/>
        </w:tblPrEx>
        <w:tc>
          <w:tcPr>
            <w:tcW w:w="2070" w:type="dxa"/>
            <w:tcBorders>
              <w:top w:val="single" w:sz="1" w:space="0" w:color="000000"/>
              <w:left w:val="single" w:sz="0" w:space="0" w:color="auto"/>
              <w:bottom w:val="single" w:sz="1" w:space="0" w:color="000000"/>
              <w:right w:val="single" w:sz="1" w:space="0" w:color="000000"/>
            </w:tcBorders>
            <w:shd w:val="clear" w:color="auto" w:fill="D3D3D3"/>
            <w:noWrap/>
          </w:tcPr>
          <w:p w:rsidR="00654729" w:rsidRPr="00654729" w:rsidP="00AA1005" w14:paraId="44967C3F" w14:textId="77777777">
            <w:pPr>
              <w:jc w:val="center"/>
              <w:rPr>
                <w:b/>
              </w:rPr>
            </w:pPr>
            <w:r w:rsidRPr="00654729">
              <w:rPr>
                <w:b/>
              </w:rPr>
              <w:t>Total</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654729" w:rsidP="00AA1005" w14:paraId="5C2965B6" w14:textId="77777777">
            <w:pPr>
              <w:jc w:val="center"/>
              <w:rPr>
                <w:b/>
              </w:rPr>
            </w:pPr>
          </w:p>
        </w:tc>
        <w:tc>
          <w:tcPr>
            <w:tcW w:w="126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3B2FD561" w14:textId="24D8FE7F">
            <w:pPr>
              <w:jc w:val="center"/>
              <w:rPr>
                <w:b/>
                <w:highlight w:val="yellow"/>
              </w:rPr>
            </w:pPr>
            <w:r w:rsidRPr="00EF0FA4">
              <w:rPr>
                <w:b/>
                <w:highlight w:val="yellow"/>
              </w:rPr>
              <w:t>62</w:t>
            </w:r>
          </w:p>
        </w:tc>
        <w:tc>
          <w:tcPr>
            <w:tcW w:w="144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3519B10C" w14:textId="33A815C5">
            <w:pPr>
              <w:jc w:val="center"/>
              <w:rPr>
                <w:b/>
                <w:highlight w:val="yellow"/>
              </w:rPr>
            </w:pPr>
            <w:r w:rsidRPr="00EF0FA4">
              <w:rPr>
                <w:b/>
                <w:highlight w:val="yellow"/>
              </w:rPr>
              <w:t>1178</w:t>
            </w:r>
          </w:p>
        </w:tc>
        <w:tc>
          <w:tcPr>
            <w:tcW w:w="1710" w:type="dxa"/>
            <w:tcBorders>
              <w:top w:val="single" w:sz="1" w:space="0" w:color="000000"/>
              <w:left w:val="single" w:sz="1" w:space="0" w:color="000000"/>
              <w:bottom w:val="single" w:sz="1" w:space="0" w:color="000000"/>
              <w:right w:val="single" w:sz="1" w:space="0" w:color="000000"/>
            </w:tcBorders>
            <w:shd w:val="clear" w:color="auto" w:fill="D3D3D3"/>
          </w:tcPr>
          <w:p w:rsidR="00654729" w:rsidRPr="00EF0FA4" w:rsidP="00AA1005" w14:paraId="35A9E5CA" w14:textId="77777777">
            <w:pPr>
              <w:jc w:val="center"/>
              <w:rPr>
                <w:b/>
                <w:highlight w:val="yellow"/>
              </w:rPr>
            </w:pPr>
          </w:p>
        </w:tc>
        <w:tc>
          <w:tcPr>
            <w:tcW w:w="1350" w:type="dxa"/>
            <w:tcBorders>
              <w:top w:val="single" w:sz="1" w:space="0" w:color="000000"/>
              <w:left w:val="single" w:sz="1" w:space="0" w:color="000000"/>
              <w:bottom w:val="single" w:sz="1" w:space="0" w:color="000000"/>
              <w:right w:val="single" w:sz="0" w:space="0" w:color="auto"/>
            </w:tcBorders>
            <w:shd w:val="clear" w:color="auto" w:fill="D3D3D3"/>
          </w:tcPr>
          <w:p w:rsidR="00654729" w:rsidRPr="00EF0FA4" w:rsidP="00AA1005" w14:paraId="51E13459" w14:textId="5257F2EB">
            <w:pPr>
              <w:jc w:val="center"/>
              <w:rPr>
                <w:b/>
                <w:highlight w:val="yellow"/>
              </w:rPr>
            </w:pPr>
            <w:r w:rsidRPr="00EF0FA4">
              <w:rPr>
                <w:b/>
                <w:highlight w:val="yellow"/>
              </w:rPr>
              <w:t>883</w:t>
            </w:r>
          </w:p>
        </w:tc>
      </w:tr>
    </w:tbl>
    <w:p w:rsidR="00574842" w:rsidP="0086248B" w14:paraId="3B4E8A6D" w14:textId="77777777">
      <w:pPr>
        <w:spacing w:after="0" w:line="240" w:lineRule="auto"/>
        <w:rPr>
          <w:rFonts w:eastAsia="Times New Roman" w:cs="Times New Roman"/>
          <w:b/>
          <w:smallCaps/>
          <w:color w:val="000000" w:themeColor="text1"/>
        </w:rPr>
      </w:pPr>
    </w:p>
    <w:p w:rsidR="00EE245F" w:rsidRPr="00FC2A7D" w:rsidP="0086248B" w14:paraId="118BD2BA" w14:textId="77777777">
      <w:pPr>
        <w:spacing w:after="0" w:line="240" w:lineRule="auto"/>
        <w:rPr>
          <w:b/>
        </w:rPr>
      </w:pPr>
      <w:r w:rsidRPr="00717158">
        <w:rPr>
          <w:rFonts w:eastAsia="Times New Roman" w:cs="Times New Roman"/>
          <w:b/>
          <w:smallCaps/>
          <w:color w:val="000000" w:themeColor="text1"/>
        </w:rPr>
        <w:t>A.12-2</w:t>
      </w:r>
      <w:r>
        <w:rPr>
          <w:rFonts w:eastAsia="Times New Roman" w:cs="Times New Roman"/>
          <w:b/>
          <w:smallCaps/>
          <w:color w:val="000000" w:themeColor="text1"/>
        </w:rPr>
        <w:t xml:space="preserve">   </w:t>
      </w:r>
      <w:r w:rsidRPr="00FC2A7D" w:rsidR="00BF491C">
        <w:rPr>
          <w:b/>
        </w:rPr>
        <w:t>Annual Cost to respondent</w:t>
      </w:r>
    </w:p>
    <w:p w:rsidR="00EE245F" w:rsidRPr="00FC2A7D" w:rsidP="0086248B" w14:paraId="3C1FE0A5" w14:textId="77777777">
      <w:pPr>
        <w:spacing w:after="0" w:line="240" w:lineRule="auto"/>
        <w:rPr>
          <w:b/>
        </w:rPr>
      </w:pPr>
    </w:p>
    <w:p w:rsidR="00F066A8" w:rsidP="000859AB" w14:paraId="2DF9E0D3" w14:textId="69028159">
      <w:pPr>
        <w:jc w:val="center"/>
        <w:rPr>
          <w:rFonts w:ascii="ArialMT" w:hAnsi="ArialMT" w:cs="ArialMT"/>
        </w:rPr>
      </w:pPr>
      <w:r w:rsidRPr="00FC2A7D">
        <w:t xml:space="preserve">Table A12-2 Annualized cost to </w:t>
      </w:r>
      <w:r w:rsidR="000B2A03">
        <w:t>Respondent</w:t>
      </w:r>
    </w:p>
    <w:tbl>
      <w:tblPr>
        <w:tblStyle w:val="TableGrid"/>
        <w:tblW w:w="0" w:type="auto"/>
        <w:tblInd w:w="108" w:type="dxa"/>
        <w:tblLayout w:type="fixed"/>
        <w:tblLook w:val="04A0"/>
      </w:tblPr>
      <w:tblGrid>
        <w:gridCol w:w="2070"/>
        <w:gridCol w:w="1440"/>
        <w:gridCol w:w="2700"/>
        <w:gridCol w:w="3060"/>
      </w:tblGrid>
      <w:tr w14:paraId="01162C12" w14:textId="77777777" w:rsidTr="00877708">
        <w:tblPrEx>
          <w:tblW w:w="0" w:type="auto"/>
          <w:tblInd w:w="108" w:type="dxa"/>
          <w:tblLayout w:type="fixed"/>
          <w:tblLook w:val="04A0"/>
        </w:tblPrEx>
        <w:tc>
          <w:tcPr>
            <w:tcW w:w="2070" w:type="dxa"/>
            <w:shd w:val="clear" w:color="auto" w:fill="BFBFBF" w:themeFill="background1" w:themeFillShade="BF"/>
          </w:tcPr>
          <w:p w:rsidR="00477C55" w:rsidRPr="00F90486" w:rsidP="000859AB" w14:paraId="3E0B7080" w14:textId="6B8CADBB">
            <w:pPr>
              <w:spacing w:after="160" w:line="259" w:lineRule="auto"/>
              <w:jc w:val="center"/>
              <w:rPr>
                <w:rFonts w:asciiTheme="minorHAnsi" w:hAnsiTheme="minorHAnsi"/>
                <w:b/>
                <w:sz w:val="22"/>
                <w:szCs w:val="22"/>
              </w:rPr>
            </w:pPr>
            <w:r w:rsidRPr="00F90486">
              <w:rPr>
                <w:rFonts w:asciiTheme="minorHAnsi" w:hAnsiTheme="minorHAnsi"/>
                <w:b/>
                <w:sz w:val="22"/>
                <w:szCs w:val="22"/>
              </w:rPr>
              <w:t>Type of Respondent</w:t>
            </w:r>
            <w:r>
              <w:rPr>
                <w:rFonts w:asciiTheme="minorHAnsi" w:hAnsiTheme="minorHAnsi"/>
                <w:b/>
                <w:sz w:val="22"/>
                <w:szCs w:val="22"/>
              </w:rPr>
              <w:t>s</w:t>
            </w:r>
          </w:p>
        </w:tc>
        <w:tc>
          <w:tcPr>
            <w:tcW w:w="1440" w:type="dxa"/>
            <w:shd w:val="clear" w:color="auto" w:fill="BFBFBF" w:themeFill="background1" w:themeFillShade="BF"/>
          </w:tcPr>
          <w:p w:rsidR="00477C55" w:rsidRPr="00F90486" w:rsidP="000859AB" w14:paraId="57E7B1F8" w14:textId="77777777">
            <w:pPr>
              <w:spacing w:after="160" w:line="259" w:lineRule="auto"/>
              <w:jc w:val="center"/>
              <w:rPr>
                <w:rFonts w:asciiTheme="minorHAnsi" w:hAnsiTheme="minorHAnsi"/>
                <w:b/>
                <w:sz w:val="22"/>
                <w:szCs w:val="22"/>
              </w:rPr>
            </w:pPr>
            <w:r w:rsidRPr="00F90486">
              <w:rPr>
                <w:rFonts w:asciiTheme="minorHAnsi" w:hAnsiTheme="minorHAnsi"/>
                <w:b/>
                <w:sz w:val="22"/>
                <w:szCs w:val="22"/>
              </w:rPr>
              <w:t>Total Annual Burden Hours</w:t>
            </w:r>
          </w:p>
        </w:tc>
        <w:tc>
          <w:tcPr>
            <w:tcW w:w="2700" w:type="dxa"/>
            <w:shd w:val="clear" w:color="auto" w:fill="BFBFBF" w:themeFill="background1" w:themeFillShade="BF"/>
          </w:tcPr>
          <w:p w:rsidR="00477C55" w:rsidRPr="00F90486" w:rsidP="000859AB" w14:paraId="6EA35E44" w14:textId="78B49EC8">
            <w:pPr>
              <w:spacing w:after="160" w:line="259" w:lineRule="auto"/>
              <w:jc w:val="center"/>
              <w:rPr>
                <w:rFonts w:asciiTheme="minorHAnsi" w:hAnsiTheme="minorHAnsi"/>
                <w:b/>
                <w:sz w:val="22"/>
                <w:szCs w:val="22"/>
              </w:rPr>
            </w:pPr>
            <w:r w:rsidRPr="00F90486">
              <w:rPr>
                <w:rFonts w:asciiTheme="minorHAnsi" w:hAnsiTheme="minorHAnsi"/>
                <w:b/>
                <w:sz w:val="22"/>
                <w:szCs w:val="22"/>
              </w:rPr>
              <w:t>Hourly</w:t>
            </w:r>
            <w:r>
              <w:rPr>
                <w:rFonts w:asciiTheme="minorHAnsi" w:hAnsiTheme="minorHAnsi"/>
                <w:b/>
                <w:sz w:val="22"/>
                <w:szCs w:val="22"/>
              </w:rPr>
              <w:t xml:space="preserve"> </w:t>
            </w:r>
            <w:r w:rsidR="00E91578">
              <w:rPr>
                <w:rFonts w:asciiTheme="minorHAnsi" w:hAnsiTheme="minorHAnsi"/>
                <w:b/>
                <w:sz w:val="22"/>
                <w:szCs w:val="22"/>
              </w:rPr>
              <w:t>Respondent</w:t>
            </w:r>
            <w:r w:rsidRPr="00F90486">
              <w:rPr>
                <w:rFonts w:asciiTheme="minorHAnsi" w:hAnsiTheme="minorHAnsi"/>
                <w:b/>
                <w:sz w:val="22"/>
                <w:szCs w:val="22"/>
              </w:rPr>
              <w:t xml:space="preserve"> Wage Rate</w:t>
            </w:r>
            <w:r>
              <w:rPr>
                <w:rFonts w:asciiTheme="minorHAnsi" w:hAnsiTheme="minorHAnsi"/>
                <w:b/>
                <w:sz w:val="22"/>
                <w:szCs w:val="22"/>
              </w:rPr>
              <w:t>*</w:t>
            </w:r>
          </w:p>
        </w:tc>
        <w:tc>
          <w:tcPr>
            <w:tcW w:w="3060" w:type="dxa"/>
            <w:shd w:val="clear" w:color="auto" w:fill="BFBFBF" w:themeFill="background1" w:themeFillShade="BF"/>
          </w:tcPr>
          <w:p w:rsidR="00477C55" w:rsidRPr="00F90486" w:rsidP="000859AB" w14:paraId="0C645B7B" w14:textId="2029156A">
            <w:pPr>
              <w:spacing w:after="160" w:line="259" w:lineRule="auto"/>
              <w:jc w:val="center"/>
              <w:rPr>
                <w:rFonts w:asciiTheme="minorHAnsi" w:hAnsiTheme="minorHAnsi"/>
                <w:b/>
                <w:sz w:val="22"/>
                <w:szCs w:val="22"/>
              </w:rPr>
            </w:pPr>
            <w:r w:rsidRPr="00F90486">
              <w:rPr>
                <w:rFonts w:asciiTheme="minorHAnsi" w:hAnsiTheme="minorHAnsi"/>
                <w:b/>
                <w:sz w:val="22"/>
                <w:szCs w:val="22"/>
              </w:rPr>
              <w:t>Respondent Costs</w:t>
            </w:r>
          </w:p>
        </w:tc>
      </w:tr>
      <w:tr w14:paraId="5863997E" w14:textId="77777777" w:rsidTr="00877708">
        <w:tblPrEx>
          <w:tblW w:w="0" w:type="auto"/>
          <w:tblInd w:w="108" w:type="dxa"/>
          <w:tblLayout w:type="fixed"/>
          <w:tblLook w:val="04A0"/>
        </w:tblPrEx>
        <w:tc>
          <w:tcPr>
            <w:tcW w:w="2070" w:type="dxa"/>
          </w:tcPr>
          <w:p w:rsidR="009A3D8B" w:rsidRPr="001377E5" w:rsidP="009A3D8B" w14:paraId="24BA056F" w14:textId="423B448D">
            <w:pPr>
              <w:jc w:val="center"/>
              <w:rPr>
                <w:rFonts w:asciiTheme="minorHAnsi" w:hAnsiTheme="minorHAnsi"/>
                <w:sz w:val="22"/>
                <w:szCs w:val="22"/>
              </w:rPr>
            </w:pPr>
            <w:r w:rsidRPr="001377E5">
              <w:rPr>
                <w:rFonts w:asciiTheme="minorHAnsi" w:hAnsiTheme="minorHAnsi"/>
                <w:sz w:val="22"/>
                <w:szCs w:val="22"/>
              </w:rPr>
              <w:t>Financial Analyst</w:t>
            </w:r>
            <w:r w:rsidR="009B5C71">
              <w:rPr>
                <w:rFonts w:asciiTheme="minorHAnsi" w:hAnsiTheme="minorHAnsi"/>
                <w:sz w:val="22"/>
                <w:szCs w:val="22"/>
              </w:rPr>
              <w:t xml:space="preserve"> and Advisors (13-2050)</w:t>
            </w:r>
          </w:p>
        </w:tc>
        <w:tc>
          <w:tcPr>
            <w:tcW w:w="1440" w:type="dxa"/>
          </w:tcPr>
          <w:p w:rsidR="009A3D8B" w:rsidRPr="00037860" w:rsidP="009A3D8B" w14:paraId="0F6F3411" w14:textId="09B07EF8">
            <w:pPr>
              <w:jc w:val="center"/>
              <w:rPr>
                <w:rFonts w:asciiTheme="minorHAnsi" w:hAnsiTheme="minorHAnsi"/>
                <w:sz w:val="22"/>
                <w:szCs w:val="22"/>
                <w:highlight w:val="yellow"/>
              </w:rPr>
            </w:pPr>
            <w:r>
              <w:rPr>
                <w:highlight w:val="yellow"/>
              </w:rPr>
              <w:t>442</w:t>
            </w:r>
          </w:p>
        </w:tc>
        <w:tc>
          <w:tcPr>
            <w:tcW w:w="2700" w:type="dxa"/>
          </w:tcPr>
          <w:p w:rsidR="009A3D8B" w:rsidRPr="00EA246E" w:rsidP="009A3D8B" w14:paraId="382D2141" w14:textId="130EFEBC">
            <w:pPr>
              <w:jc w:val="center"/>
              <w:rPr>
                <w:rFonts w:asciiTheme="minorHAnsi" w:hAnsiTheme="minorHAnsi"/>
                <w:sz w:val="22"/>
                <w:szCs w:val="22"/>
                <w:highlight w:val="yellow"/>
              </w:rPr>
            </w:pPr>
            <w:r w:rsidRPr="00EA246E">
              <w:rPr>
                <w:rFonts w:asciiTheme="minorHAnsi" w:hAnsiTheme="minorHAnsi"/>
                <w:sz w:val="22"/>
                <w:szCs w:val="22"/>
                <w:highlight w:val="yellow"/>
              </w:rPr>
              <w:t>$</w:t>
            </w:r>
            <w:r w:rsidRPr="00EA246E" w:rsidR="00E9034A">
              <w:rPr>
                <w:rFonts w:asciiTheme="minorHAnsi" w:hAnsiTheme="minorHAnsi"/>
                <w:sz w:val="22"/>
                <w:szCs w:val="22"/>
                <w:highlight w:val="yellow"/>
              </w:rPr>
              <w:t>56.14</w:t>
            </w:r>
          </w:p>
        </w:tc>
        <w:tc>
          <w:tcPr>
            <w:tcW w:w="3060" w:type="dxa"/>
          </w:tcPr>
          <w:p w:rsidR="009A3D8B" w:rsidRPr="00037860" w:rsidP="009A3D8B" w14:paraId="3661937B" w14:textId="5303B780">
            <w:pPr>
              <w:jc w:val="center"/>
              <w:rPr>
                <w:rFonts w:asciiTheme="minorHAnsi" w:hAnsiTheme="minorHAnsi"/>
                <w:sz w:val="22"/>
                <w:szCs w:val="22"/>
                <w:highlight w:val="yellow"/>
              </w:rPr>
            </w:pPr>
            <w:r w:rsidRPr="00037860">
              <w:rPr>
                <w:highlight w:val="yellow"/>
              </w:rPr>
              <w:t>$</w:t>
            </w:r>
            <w:r w:rsidR="00A47127">
              <w:rPr>
                <w:highlight w:val="yellow"/>
              </w:rPr>
              <w:t>24,813.</w:t>
            </w:r>
            <w:r w:rsidR="004B7D46">
              <w:rPr>
                <w:highlight w:val="yellow"/>
              </w:rPr>
              <w:t>88</w:t>
            </w:r>
          </w:p>
        </w:tc>
      </w:tr>
      <w:tr w14:paraId="77FCD736" w14:textId="77777777" w:rsidTr="00877708">
        <w:tblPrEx>
          <w:tblW w:w="0" w:type="auto"/>
          <w:tblInd w:w="108" w:type="dxa"/>
          <w:tblLayout w:type="fixed"/>
          <w:tblLook w:val="04A0"/>
        </w:tblPrEx>
        <w:tc>
          <w:tcPr>
            <w:tcW w:w="2070" w:type="dxa"/>
          </w:tcPr>
          <w:p w:rsidR="009A3D8B" w:rsidRPr="001377E5" w:rsidP="009A3D8B" w14:paraId="446D4B84" w14:textId="2E8C989D">
            <w:pPr>
              <w:jc w:val="center"/>
              <w:rPr>
                <w:rFonts w:asciiTheme="minorHAnsi" w:hAnsiTheme="minorHAnsi"/>
                <w:sz w:val="22"/>
                <w:szCs w:val="22"/>
              </w:rPr>
            </w:pPr>
            <w:r w:rsidRPr="001377E5">
              <w:rPr>
                <w:rFonts w:asciiTheme="minorHAnsi" w:hAnsiTheme="minorHAnsi"/>
                <w:sz w:val="22"/>
                <w:szCs w:val="22"/>
              </w:rPr>
              <w:t>Management Analyst</w:t>
            </w:r>
            <w:r w:rsidR="009B5C71">
              <w:rPr>
                <w:rFonts w:asciiTheme="minorHAnsi" w:hAnsiTheme="minorHAnsi"/>
                <w:sz w:val="22"/>
                <w:szCs w:val="22"/>
              </w:rPr>
              <w:t xml:space="preserve"> (13-1111)</w:t>
            </w:r>
          </w:p>
        </w:tc>
        <w:tc>
          <w:tcPr>
            <w:tcW w:w="1440" w:type="dxa"/>
          </w:tcPr>
          <w:p w:rsidR="009A3D8B" w:rsidRPr="00037860" w:rsidP="009A3D8B" w14:paraId="2FF6F267" w14:textId="50A3874F">
            <w:pPr>
              <w:jc w:val="center"/>
              <w:rPr>
                <w:rFonts w:asciiTheme="minorHAnsi" w:hAnsiTheme="minorHAnsi"/>
                <w:sz w:val="22"/>
                <w:szCs w:val="22"/>
                <w:highlight w:val="yellow"/>
              </w:rPr>
            </w:pPr>
            <w:r>
              <w:rPr>
                <w:highlight w:val="yellow"/>
              </w:rPr>
              <w:t>442</w:t>
            </w:r>
          </w:p>
        </w:tc>
        <w:tc>
          <w:tcPr>
            <w:tcW w:w="2700" w:type="dxa"/>
          </w:tcPr>
          <w:p w:rsidR="009A3D8B" w:rsidRPr="00EA246E" w:rsidP="009A3D8B" w14:paraId="2FBE1F07" w14:textId="6DD4A064">
            <w:pPr>
              <w:jc w:val="center"/>
              <w:rPr>
                <w:rFonts w:asciiTheme="minorHAnsi" w:hAnsiTheme="minorHAnsi"/>
                <w:sz w:val="22"/>
                <w:szCs w:val="22"/>
                <w:highlight w:val="yellow"/>
              </w:rPr>
            </w:pPr>
            <w:r w:rsidRPr="00EA246E">
              <w:rPr>
                <w:rFonts w:asciiTheme="minorHAnsi" w:hAnsiTheme="minorHAnsi"/>
                <w:sz w:val="22"/>
                <w:szCs w:val="22"/>
                <w:highlight w:val="yellow"/>
              </w:rPr>
              <w:t>$</w:t>
            </w:r>
            <w:r w:rsidR="009B5C71">
              <w:rPr>
                <w:rFonts w:asciiTheme="minorHAnsi" w:hAnsiTheme="minorHAnsi"/>
                <w:sz w:val="22"/>
                <w:szCs w:val="22"/>
                <w:highlight w:val="yellow"/>
              </w:rPr>
              <w:t>50.32</w:t>
            </w:r>
          </w:p>
        </w:tc>
        <w:tc>
          <w:tcPr>
            <w:tcW w:w="3060" w:type="dxa"/>
          </w:tcPr>
          <w:p w:rsidR="009A3D8B" w:rsidRPr="00037860" w:rsidP="009A3D8B" w14:paraId="2BB91F91" w14:textId="15F4CE22">
            <w:pPr>
              <w:jc w:val="center"/>
              <w:rPr>
                <w:rFonts w:asciiTheme="minorHAnsi" w:hAnsiTheme="minorHAnsi"/>
                <w:sz w:val="22"/>
                <w:szCs w:val="22"/>
                <w:highlight w:val="yellow"/>
              </w:rPr>
            </w:pPr>
            <w:r w:rsidRPr="00037860">
              <w:rPr>
                <w:highlight w:val="yellow"/>
              </w:rPr>
              <w:t>$</w:t>
            </w:r>
            <w:r w:rsidR="009B5C71">
              <w:rPr>
                <w:highlight w:val="yellow"/>
              </w:rPr>
              <w:t>22,241.44</w:t>
            </w:r>
          </w:p>
        </w:tc>
      </w:tr>
      <w:tr w14:paraId="6D661890" w14:textId="77777777" w:rsidTr="00877708">
        <w:tblPrEx>
          <w:tblW w:w="0" w:type="auto"/>
          <w:tblInd w:w="108" w:type="dxa"/>
          <w:tblLayout w:type="fixed"/>
          <w:tblLook w:val="04A0"/>
        </w:tblPrEx>
        <w:tc>
          <w:tcPr>
            <w:tcW w:w="2070" w:type="dxa"/>
          </w:tcPr>
          <w:p w:rsidR="009A3D8B" w:rsidRPr="001377E5" w:rsidP="009A3D8B" w14:paraId="08AC3501" w14:textId="07BA8ECA">
            <w:pPr>
              <w:jc w:val="center"/>
              <w:rPr>
                <w:rFonts w:asciiTheme="minorHAnsi" w:hAnsiTheme="minorHAnsi"/>
                <w:b/>
                <w:sz w:val="22"/>
                <w:szCs w:val="22"/>
              </w:rPr>
            </w:pPr>
            <w:r w:rsidRPr="001377E5">
              <w:rPr>
                <w:rFonts w:asciiTheme="minorHAnsi" w:hAnsiTheme="minorHAnsi"/>
                <w:b/>
                <w:sz w:val="22"/>
                <w:szCs w:val="22"/>
              </w:rPr>
              <w:t>TOTAL</w:t>
            </w:r>
          </w:p>
        </w:tc>
        <w:tc>
          <w:tcPr>
            <w:tcW w:w="1440" w:type="dxa"/>
          </w:tcPr>
          <w:p w:rsidR="009A3D8B" w:rsidRPr="00654729" w:rsidP="009A3D8B" w14:paraId="517A1478" w14:textId="50D32024">
            <w:pPr>
              <w:jc w:val="center"/>
              <w:rPr>
                <w:rFonts w:asciiTheme="minorHAnsi" w:hAnsiTheme="minorHAnsi"/>
                <w:sz w:val="22"/>
                <w:szCs w:val="22"/>
                <w:highlight w:val="yellow"/>
              </w:rPr>
            </w:pPr>
          </w:p>
        </w:tc>
        <w:tc>
          <w:tcPr>
            <w:tcW w:w="2700" w:type="dxa"/>
            <w:shd w:val="clear" w:color="auto" w:fill="BFBFBF" w:themeFill="background1" w:themeFillShade="BF"/>
          </w:tcPr>
          <w:p w:rsidR="009A3D8B" w:rsidRPr="001377E5" w:rsidP="009A3D8B" w14:paraId="537026C5" w14:textId="77777777">
            <w:pPr>
              <w:jc w:val="center"/>
              <w:rPr>
                <w:rFonts w:asciiTheme="minorHAnsi" w:hAnsiTheme="minorHAnsi"/>
                <w:sz w:val="22"/>
                <w:szCs w:val="22"/>
              </w:rPr>
            </w:pPr>
          </w:p>
        </w:tc>
        <w:tc>
          <w:tcPr>
            <w:tcW w:w="3060" w:type="dxa"/>
          </w:tcPr>
          <w:p w:rsidR="009A3D8B" w:rsidRPr="00037860" w:rsidP="009A3D8B" w14:paraId="108C31FB" w14:textId="690B0506">
            <w:pPr>
              <w:jc w:val="center"/>
              <w:rPr>
                <w:rFonts w:asciiTheme="minorHAnsi" w:hAnsiTheme="minorHAnsi"/>
                <w:sz w:val="22"/>
                <w:szCs w:val="22"/>
                <w:highlight w:val="yellow"/>
              </w:rPr>
            </w:pPr>
            <w:r w:rsidRPr="00037860">
              <w:rPr>
                <w:highlight w:val="yellow"/>
              </w:rPr>
              <w:t>$</w:t>
            </w:r>
            <w:r w:rsidR="009B5C71">
              <w:rPr>
                <w:highlight w:val="yellow"/>
              </w:rPr>
              <w:t>47,055</w:t>
            </w:r>
            <w:r w:rsidR="004B7D46">
              <w:rPr>
                <w:highlight w:val="yellow"/>
              </w:rPr>
              <w:t>.</w:t>
            </w:r>
            <w:r w:rsidR="009B5C71">
              <w:rPr>
                <w:highlight w:val="yellow"/>
              </w:rPr>
              <w:t>32</w:t>
            </w:r>
          </w:p>
        </w:tc>
      </w:tr>
      <w:tr w14:paraId="1E0519D7" w14:textId="77777777" w:rsidTr="00877708">
        <w:tblPrEx>
          <w:tblW w:w="0" w:type="auto"/>
          <w:tblInd w:w="108" w:type="dxa"/>
          <w:tblLayout w:type="fixed"/>
          <w:tblLook w:val="04A0"/>
        </w:tblPrEx>
        <w:tc>
          <w:tcPr>
            <w:tcW w:w="2070" w:type="dxa"/>
            <w:tcBorders>
              <w:top w:val="single" w:sz="4" w:space="0" w:color="auto"/>
              <w:left w:val="nil"/>
              <w:bottom w:val="nil"/>
              <w:right w:val="nil"/>
            </w:tcBorders>
          </w:tcPr>
          <w:p w:rsidR="00477C55" w:rsidRPr="00F90486" w:rsidP="00D34124" w14:paraId="0C508C22" w14:textId="28A413C8">
            <w:pPr>
              <w:rPr>
                <w:rFonts w:asciiTheme="minorHAnsi" w:hAnsiTheme="minorHAnsi" w:cs="ArialMT"/>
                <w:b/>
                <w:sz w:val="22"/>
                <w:szCs w:val="22"/>
              </w:rPr>
            </w:pPr>
          </w:p>
        </w:tc>
        <w:tc>
          <w:tcPr>
            <w:tcW w:w="1440" w:type="dxa"/>
            <w:tcBorders>
              <w:top w:val="single" w:sz="4" w:space="0" w:color="auto"/>
              <w:left w:val="nil"/>
              <w:bottom w:val="nil"/>
              <w:right w:val="nil"/>
            </w:tcBorders>
          </w:tcPr>
          <w:p w:rsidR="00477C55" w:rsidRPr="00F90486" w:rsidP="004359D7" w14:paraId="091CAA74" w14:textId="0BC299AD">
            <w:pPr>
              <w:rPr>
                <w:rFonts w:asciiTheme="minorHAnsi" w:hAnsiTheme="minorHAnsi" w:cs="ArialMT"/>
                <w:b/>
                <w:sz w:val="22"/>
                <w:szCs w:val="22"/>
              </w:rPr>
            </w:pPr>
          </w:p>
        </w:tc>
        <w:tc>
          <w:tcPr>
            <w:tcW w:w="2700" w:type="dxa"/>
            <w:tcBorders>
              <w:top w:val="single" w:sz="4" w:space="0" w:color="auto"/>
              <w:left w:val="nil"/>
              <w:bottom w:val="nil"/>
              <w:right w:val="nil"/>
            </w:tcBorders>
          </w:tcPr>
          <w:p w:rsidR="00477C55" w:rsidRPr="00F90486" w:rsidP="006A35BF" w14:paraId="2BC3DD2A" w14:textId="438E35C6">
            <w:pPr>
              <w:rPr>
                <w:rFonts w:asciiTheme="minorHAnsi" w:hAnsiTheme="minorHAnsi" w:cs="ArialMT"/>
                <w:b/>
                <w:sz w:val="22"/>
                <w:szCs w:val="22"/>
              </w:rPr>
            </w:pPr>
          </w:p>
        </w:tc>
        <w:tc>
          <w:tcPr>
            <w:tcW w:w="3060" w:type="dxa"/>
            <w:tcBorders>
              <w:top w:val="single" w:sz="4" w:space="0" w:color="auto"/>
              <w:left w:val="nil"/>
              <w:bottom w:val="nil"/>
              <w:right w:val="nil"/>
            </w:tcBorders>
          </w:tcPr>
          <w:p w:rsidR="00477C55" w:rsidRPr="00F90486" w:rsidP="006C457C" w14:paraId="14085081" w14:textId="5B6E2D62">
            <w:pPr>
              <w:rPr>
                <w:rFonts w:asciiTheme="minorHAnsi" w:hAnsiTheme="minorHAnsi" w:cs="ArialMT"/>
                <w:b/>
                <w:sz w:val="22"/>
                <w:szCs w:val="22"/>
              </w:rPr>
            </w:pPr>
          </w:p>
        </w:tc>
      </w:tr>
    </w:tbl>
    <w:p w:rsidR="004F1110" w:rsidP="00FF72FC" w14:paraId="4302B719" w14:textId="1014FE9D">
      <w:pPr>
        <w:rPr>
          <w:rStyle w:val="Hyperlink"/>
          <w:rFonts w:eastAsia="Times New Roman" w:cs="Times New Roman"/>
        </w:rPr>
      </w:pPr>
      <w:r w:rsidRPr="0042466E">
        <w:rPr>
          <w:rFonts w:eastAsia="Times New Roman" w:cs="Times New Roman"/>
          <w:highlight w:val="yellow"/>
        </w:rPr>
        <w:t xml:space="preserve">* </w:t>
      </w:r>
      <w:r w:rsidRPr="00C46FF6">
        <w:rPr>
          <w:rFonts w:eastAsia="Times New Roman" w:cs="Times New Roman"/>
          <w:highlight w:val="yellow"/>
        </w:rPr>
        <w:t xml:space="preserve">Bureau of Labor Statistics: The General Public rate was obtained from the </w:t>
      </w:r>
      <w:hyperlink r:id="rId10" w:anchor="00-0000" w:history="1">
        <w:r w:rsidRPr="00A52688" w:rsidR="00A52688">
          <w:rPr>
            <w:rStyle w:val="Hyperlink"/>
            <w:rFonts w:eastAsia="Times New Roman" w:cs="Times New Roman"/>
            <w:highlight w:val="yellow"/>
          </w:rPr>
          <w:t>http://www.bls.gov/oes/2022/may/oes_nat.htm#00-0000</w:t>
        </w:r>
      </w:hyperlink>
    </w:p>
    <w:p w:rsidR="004F1110" w:rsidRPr="00CA369F" w:rsidP="00FF72FC" w14:paraId="1078890E" w14:textId="77777777">
      <w:pPr>
        <w:rPr>
          <w:rFonts w:eastAsia="Times New Roman" w:cs="Times New Roman"/>
          <w:color w:val="0000FF"/>
          <w:u w:val="single"/>
        </w:rPr>
      </w:pPr>
    </w:p>
    <w:p w:rsidR="00FF72FC" w:rsidRPr="00E35DD1" w:rsidP="00FF72FC" w14:paraId="1239021C" w14:textId="2E18CAF5">
      <w:pPr>
        <w:rPr>
          <w:b/>
        </w:rPr>
      </w:pPr>
      <w:r w:rsidRPr="00E35DD1">
        <w:rPr>
          <w:b/>
        </w:rPr>
        <w:t>A.13</w:t>
      </w:r>
      <w:r w:rsidRPr="00E35DD1">
        <w:rPr>
          <w:b/>
        </w:rPr>
        <w:tab/>
        <w:t>Estimate of Other Total Annual Cost Burden to Respondents or Record Keepers</w:t>
      </w:r>
      <w:r w:rsidR="00641BB5">
        <w:rPr>
          <w:b/>
        </w:rPr>
        <w:t xml:space="preserve"> </w:t>
      </w:r>
    </w:p>
    <w:p w:rsidR="000266E3" w:rsidP="0067789C" w14:paraId="49B149E0" w14:textId="003AE292">
      <w:pPr>
        <w:spacing w:before="100" w:beforeAutospacing="1" w:after="100" w:afterAutospacing="1"/>
      </w:pPr>
      <w:r>
        <w:t>There are no capital costs, operating costs, or maintenance costs to report.</w:t>
      </w:r>
    </w:p>
    <w:p w:rsidR="00FF72FC" w:rsidRPr="005C4013" w:rsidP="00F90486" w14:paraId="54EB1BD4" w14:textId="77777777">
      <w:pPr>
        <w:pStyle w:val="Heading2"/>
        <w:tabs>
          <w:tab w:val="left" w:pos="720"/>
        </w:tabs>
        <w:spacing w:line="480" w:lineRule="auto"/>
        <w:rPr>
          <w:rFonts w:asciiTheme="minorHAnsi" w:hAnsiTheme="minorHAnsi"/>
          <w:b/>
          <w:color w:val="auto"/>
          <w:sz w:val="22"/>
          <w:szCs w:val="22"/>
        </w:rPr>
      </w:pPr>
      <w:r w:rsidRPr="005C4013">
        <w:rPr>
          <w:rFonts w:asciiTheme="minorHAnsi" w:hAnsiTheme="minorHAnsi"/>
          <w:b/>
          <w:color w:val="auto"/>
          <w:sz w:val="22"/>
          <w:szCs w:val="22"/>
        </w:rPr>
        <w:t>A.14</w:t>
      </w:r>
      <w:r w:rsidRPr="005C4013">
        <w:rPr>
          <w:rFonts w:asciiTheme="minorHAnsi" w:hAnsiTheme="minorHAnsi"/>
          <w:b/>
          <w:color w:val="auto"/>
          <w:sz w:val="22"/>
          <w:szCs w:val="22"/>
        </w:rPr>
        <w:tab/>
        <w:t xml:space="preserve">Annualized Cost to the Federal Government  </w:t>
      </w:r>
    </w:p>
    <w:p w:rsidR="0037291F" w:rsidRPr="00EF0FA4" w:rsidP="00FF72FC" w14:paraId="5A978801" w14:textId="2CCFFF70">
      <w:r w:rsidRPr="00EF0FA4">
        <w:t xml:space="preserve">The HBCU </w:t>
      </w:r>
      <w:r w:rsidRPr="00EF0FA4" w:rsidR="0024025D">
        <w:t>P</w:t>
      </w:r>
      <w:r w:rsidRPr="00EF0FA4">
        <w:t xml:space="preserve">re-solicitation portal is a new system and the cost to the federal government </w:t>
      </w:r>
      <w:r w:rsidRPr="00EF0FA4" w:rsidR="0069581F">
        <w:t>to</w:t>
      </w:r>
      <w:r w:rsidRPr="00EF0FA4">
        <w:t xml:space="preserve"> develop and deploy the application al</w:t>
      </w:r>
      <w:r w:rsidRPr="00EF0FA4" w:rsidR="0069581F">
        <w:t xml:space="preserve">ong with the cost of NIH SBPO staff is described in the table below. </w:t>
      </w:r>
      <w:r w:rsidRPr="00EF0FA4">
        <w:t xml:space="preserve">  </w:t>
      </w:r>
    </w:p>
    <w:tbl>
      <w:tblPr>
        <w:tblW w:w="9419" w:type="dxa"/>
        <w:jc w:val="center"/>
        <w:tblCellMar>
          <w:left w:w="0" w:type="dxa"/>
          <w:right w:w="0" w:type="dxa"/>
        </w:tblCellMar>
        <w:tblLook w:val="04A0"/>
      </w:tblPr>
      <w:tblGrid>
        <w:gridCol w:w="2309"/>
        <w:gridCol w:w="1807"/>
        <w:gridCol w:w="1330"/>
        <w:gridCol w:w="1158"/>
        <w:gridCol w:w="1025"/>
        <w:gridCol w:w="1790"/>
      </w:tblGrid>
      <w:tr w14:paraId="0BA510C1" w14:textId="77777777" w:rsidTr="00247209">
        <w:tblPrEx>
          <w:tblW w:w="9419" w:type="dxa"/>
          <w:jc w:val="center"/>
          <w:tblCellMar>
            <w:left w:w="0" w:type="dxa"/>
            <w:right w:w="0" w:type="dxa"/>
          </w:tblCellMar>
          <w:tblLook w:val="04A0"/>
        </w:tblPrEx>
        <w:trPr>
          <w:trHeight w:val="556"/>
          <w:jc w:val="center"/>
        </w:trPr>
        <w:tc>
          <w:tcPr>
            <w:tcW w:w="230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69581F" w:rsidRPr="00EF0FA4" w:rsidP="007C3611" w14:paraId="02496F1A" w14:textId="77777777">
            <w:pPr>
              <w:rPr>
                <w:rFonts w:eastAsia="Times New Roman" w:cs="Times New Roman"/>
                <w:b/>
              </w:rPr>
            </w:pPr>
            <w:r w:rsidRPr="00EF0FA4">
              <w:rPr>
                <w:rFonts w:eastAsia="Times New Roman" w:cs="Times New Roman"/>
                <w:b/>
              </w:rPr>
              <w:t>Cost Descriptions</w:t>
            </w:r>
          </w:p>
        </w:tc>
        <w:tc>
          <w:tcPr>
            <w:tcW w:w="1807"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69581F" w:rsidRPr="00EF0FA4" w:rsidP="007C3611" w14:paraId="377FCFA5" w14:textId="6A64DE90">
            <w:pPr>
              <w:rPr>
                <w:rFonts w:eastAsia="Times New Roman" w:cs="Times New Roman"/>
                <w:b/>
                <w:bCs/>
              </w:rPr>
            </w:pPr>
            <w:r w:rsidRPr="00EF0FA4">
              <w:rPr>
                <w:rFonts w:eastAsia="Times New Roman" w:cs="Times New Roman"/>
                <w:b/>
              </w:rPr>
              <w:t xml:space="preserve">  Grade/Step</w:t>
            </w:r>
          </w:p>
        </w:tc>
        <w:tc>
          <w:tcPr>
            <w:tcW w:w="13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hideMark/>
          </w:tcPr>
          <w:p w:rsidR="0069581F" w:rsidRPr="00EF0FA4" w:rsidP="007C3611" w14:paraId="3D4DCE46" w14:textId="377F696B">
            <w:pPr>
              <w:rPr>
                <w:rFonts w:eastAsia="Times New Roman" w:cs="Times New Roman"/>
                <w:b/>
              </w:rPr>
            </w:pPr>
            <w:r w:rsidRPr="00EF0FA4">
              <w:rPr>
                <w:rFonts w:eastAsia="Times New Roman" w:cs="Times New Roman"/>
                <w:b/>
              </w:rPr>
              <w:t>Salary</w:t>
            </w:r>
            <w:r w:rsidRPr="00EF0FA4" w:rsidR="00142832">
              <w:rPr>
                <w:rFonts w:eastAsia="Times New Roman" w:cs="Times New Roman"/>
                <w:b/>
              </w:rPr>
              <w:t>*</w:t>
            </w:r>
          </w:p>
        </w:tc>
        <w:tc>
          <w:tcPr>
            <w:tcW w:w="115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hideMark/>
          </w:tcPr>
          <w:p w:rsidR="0069581F" w:rsidRPr="00EF0FA4" w:rsidP="007C3611" w14:paraId="6CEF2B65" w14:textId="77777777">
            <w:pPr>
              <w:rPr>
                <w:rFonts w:eastAsia="Times New Roman" w:cs="Times New Roman"/>
                <w:b/>
              </w:rPr>
            </w:pPr>
            <w:r w:rsidRPr="00EF0FA4">
              <w:rPr>
                <w:rFonts w:eastAsia="Times New Roman" w:cs="Times New Roman"/>
                <w:b/>
              </w:rPr>
              <w:t>% of Effort</w:t>
            </w:r>
          </w:p>
        </w:tc>
        <w:tc>
          <w:tcPr>
            <w:tcW w:w="1025" w:type="dxa"/>
            <w:tcBorders>
              <w:top w:val="single" w:sz="8" w:space="0" w:color="auto"/>
              <w:left w:val="nil"/>
              <w:bottom w:val="single" w:sz="8" w:space="0" w:color="auto"/>
              <w:right w:val="single" w:sz="8" w:space="0" w:color="auto"/>
            </w:tcBorders>
            <w:shd w:val="clear" w:color="auto" w:fill="BFBFBF" w:themeFill="background1" w:themeFillShade="BF"/>
          </w:tcPr>
          <w:p w:rsidR="0069581F" w:rsidRPr="00EF0FA4" w:rsidP="00F90486" w14:paraId="2E60A4F9" w14:textId="247436F2">
            <w:pPr>
              <w:spacing w:after="0" w:line="240" w:lineRule="auto"/>
              <w:rPr>
                <w:rFonts w:eastAsia="Times New Roman" w:cs="Times New Roman"/>
                <w:b/>
                <w:bCs/>
              </w:rPr>
            </w:pPr>
            <w:r w:rsidRPr="00EF0FA4">
              <w:rPr>
                <w:rFonts w:eastAsia="Times New Roman" w:cs="Times New Roman"/>
                <w:b/>
                <w:bCs/>
              </w:rPr>
              <w:t>Fringe</w:t>
            </w:r>
            <w:r w:rsidRPr="00EF0FA4" w:rsidR="00F90486">
              <w:rPr>
                <w:rFonts w:eastAsia="Times New Roman" w:cs="Times New Roman"/>
                <w:b/>
                <w:bCs/>
              </w:rPr>
              <w:t xml:space="preserve"> (</w:t>
            </w:r>
            <w:r w:rsidRPr="00EF0FA4">
              <w:rPr>
                <w:rFonts w:eastAsia="Times New Roman" w:cs="Times New Roman"/>
                <w:b/>
                <w:bCs/>
              </w:rPr>
              <w:t>if applicable)</w:t>
            </w:r>
          </w:p>
        </w:tc>
        <w:tc>
          <w:tcPr>
            <w:tcW w:w="1790" w:type="dxa"/>
            <w:tcBorders>
              <w:top w:val="single" w:sz="8" w:space="0" w:color="auto"/>
              <w:left w:val="nil"/>
              <w:bottom w:val="single" w:sz="8" w:space="0" w:color="auto"/>
              <w:right w:val="single" w:sz="8" w:space="0" w:color="auto"/>
            </w:tcBorders>
            <w:shd w:val="clear" w:color="auto" w:fill="BFBFBF" w:themeFill="background1" w:themeFillShade="BF"/>
          </w:tcPr>
          <w:p w:rsidR="0069581F" w:rsidRPr="00EF0FA4" w:rsidP="00F90486" w14:paraId="4CA5B1DC" w14:textId="77777777">
            <w:pPr>
              <w:spacing w:after="0" w:line="240" w:lineRule="auto"/>
              <w:rPr>
                <w:rFonts w:eastAsia="Times New Roman" w:cs="Times New Roman"/>
                <w:b/>
                <w:bCs/>
              </w:rPr>
            </w:pPr>
            <w:r w:rsidRPr="00EF0FA4">
              <w:rPr>
                <w:rFonts w:eastAsia="Times New Roman" w:cs="Times New Roman"/>
                <w:b/>
                <w:bCs/>
              </w:rPr>
              <w:t>Total Cost to Gov’t</w:t>
            </w:r>
          </w:p>
        </w:tc>
      </w:tr>
      <w:tr w14:paraId="0B068FEF"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568068B2" w14:textId="77777777">
            <w:pPr>
              <w:spacing w:after="0" w:line="240" w:lineRule="auto"/>
              <w:rPr>
                <w:rFonts w:eastAsia="Calibri" w:cs="Times New Roman"/>
                <w:b/>
                <w:color w:val="000000"/>
              </w:rPr>
            </w:pPr>
            <w:r w:rsidRPr="00EF0FA4">
              <w:rPr>
                <w:rFonts w:eastAsia="Calibri" w:cs="Times New Roman"/>
                <w:b/>
                <w:color w:val="000000"/>
              </w:rPr>
              <w:t>Federal Oversight</w:t>
            </w:r>
          </w:p>
        </w:tc>
        <w:tc>
          <w:tcPr>
            <w:tcW w:w="1807" w:type="dxa"/>
            <w:tcBorders>
              <w:top w:val="nil"/>
              <w:left w:val="nil"/>
              <w:bottom w:val="single" w:sz="8" w:space="0" w:color="auto"/>
              <w:right w:val="single" w:sz="8" w:space="0" w:color="auto"/>
            </w:tcBorders>
          </w:tcPr>
          <w:p w:rsidR="0069581F" w:rsidRPr="00EF0FA4" w:rsidP="00D34124" w14:paraId="173D516E" w14:textId="77777777">
            <w:pPr>
              <w:spacing w:after="0" w:line="240" w:lineRule="auto"/>
              <w:jc w:val="right"/>
              <w:rPr>
                <w:rFonts w:eastAsia="Calibri" w:cs="Times New Roman"/>
                <w:color w:val="000000"/>
              </w:rPr>
            </w:pP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2669977E" w14:textId="77777777">
            <w:pPr>
              <w:spacing w:after="0" w:line="240" w:lineRule="auto"/>
              <w:rPr>
                <w:rFonts w:eastAsia="Times New Roman" w:cs="Times New Roman"/>
              </w:rPr>
            </w:pP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3BE58EE5" w14:textId="77777777">
            <w:pPr>
              <w:spacing w:after="0" w:line="240" w:lineRule="auto"/>
              <w:rPr>
                <w:rFonts w:eastAsia="Times New Roman" w:cs="Times New Roman"/>
              </w:rPr>
            </w:pP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70A7C406"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F0FA4" w:rsidP="0069581F" w14:paraId="6F181C67" w14:textId="77777777">
            <w:pPr>
              <w:spacing w:after="0" w:line="240" w:lineRule="auto"/>
              <w:jc w:val="right"/>
              <w:rPr>
                <w:rFonts w:eastAsia="Times New Roman" w:cs="Times New Roman"/>
              </w:rPr>
            </w:pPr>
          </w:p>
        </w:tc>
      </w:tr>
      <w:tr w14:paraId="4F8B428B"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14:paraId="55927499" w14:textId="6851BF74">
            <w:pPr>
              <w:spacing w:after="0" w:line="240" w:lineRule="auto"/>
              <w:rPr>
                <w:rFonts w:eastAsia="Calibri" w:cs="Times New Roman"/>
              </w:rPr>
            </w:pPr>
            <w:r w:rsidRPr="00EF0FA4">
              <w:rPr>
                <w:rFonts w:eastAsia="Calibri" w:cs="Times New Roman"/>
              </w:rPr>
              <w:t>Program Analyst</w:t>
            </w:r>
          </w:p>
          <w:p w:rsidR="00533D66" w:rsidRPr="00EF0FA4" w14:paraId="6E900724" w14:textId="77777777">
            <w:pPr>
              <w:spacing w:after="0" w:line="240" w:lineRule="auto"/>
              <w:rPr>
                <w:rFonts w:eastAsia="Calibri" w:cs="Times New Roman"/>
              </w:rPr>
            </w:pPr>
          </w:p>
          <w:p w:rsidR="00533D66" w:rsidRPr="00EF0FA4" w14:paraId="15CC88B0" w14:textId="5D62E363">
            <w:pPr>
              <w:spacing w:after="0" w:line="240" w:lineRule="auto"/>
              <w:rPr>
                <w:rFonts w:eastAsia="Calibri" w:cs="Times New Roman"/>
              </w:rPr>
            </w:pPr>
          </w:p>
        </w:tc>
        <w:tc>
          <w:tcPr>
            <w:tcW w:w="1807" w:type="dxa"/>
            <w:tcBorders>
              <w:top w:val="nil"/>
              <w:left w:val="nil"/>
              <w:bottom w:val="single" w:sz="8" w:space="0" w:color="auto"/>
              <w:right w:val="single" w:sz="8" w:space="0" w:color="auto"/>
            </w:tcBorders>
          </w:tcPr>
          <w:p w:rsidR="0069581F" w:rsidRPr="00EF0FA4" w14:paraId="62A478A4" w14:textId="7F7AAF44">
            <w:pPr>
              <w:spacing w:after="0" w:line="240" w:lineRule="auto"/>
              <w:rPr>
                <w:rFonts w:eastAsia="Calibri" w:cs="Times New Roman"/>
              </w:rPr>
            </w:pPr>
            <w:r w:rsidRPr="00EF0FA4">
              <w:rPr>
                <w:rFonts w:eastAsia="Calibri" w:cs="Times New Roman"/>
              </w:rPr>
              <w:t>Grade 9/Step</w:t>
            </w:r>
            <w:r w:rsidRPr="00EF0FA4" w:rsidR="00BB0FFA">
              <w:rPr>
                <w:rFonts w:eastAsia="Calibri" w:cs="Times New Roman"/>
              </w:rPr>
              <w:t>1</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A246E" w14:paraId="4D391FBC" w14:textId="4B843E6C">
            <w:pPr>
              <w:spacing w:after="0" w:line="240" w:lineRule="auto"/>
              <w:rPr>
                <w:rFonts w:eastAsia="Calibri" w:cs="Times New Roman"/>
                <w:highlight w:val="yellow"/>
              </w:rPr>
            </w:pPr>
            <w:r w:rsidRPr="00EA246E">
              <w:rPr>
                <w:rFonts w:eastAsia="Calibri" w:cs="Times New Roman"/>
                <w:highlight w:val="yellow"/>
              </w:rPr>
              <w:t>$</w:t>
            </w:r>
            <w:r w:rsidRPr="00EA246E" w:rsidR="00E9034A">
              <w:rPr>
                <w:rFonts w:eastAsia="Calibri" w:cs="Times New Roman"/>
                <w:highlight w:val="yellow"/>
              </w:rPr>
              <w:t>64,957</w:t>
            </w:r>
            <w:r w:rsidRPr="00EA246E" w:rsidR="000B2A03">
              <w:rPr>
                <w:rFonts w:eastAsia="Calibri" w:cs="Times New Roman"/>
                <w:highlight w:val="yellow"/>
              </w:rPr>
              <w:t>.00</w:t>
            </w:r>
          </w:p>
          <w:p w:rsidR="00533D66" w:rsidRPr="00EA246E" w14:paraId="23833C66" w14:textId="77777777">
            <w:pPr>
              <w:spacing w:after="0" w:line="240" w:lineRule="auto"/>
              <w:rPr>
                <w:rFonts w:eastAsia="Calibri" w:cs="Times New Roman"/>
                <w:highlight w:val="yellow"/>
              </w:rPr>
            </w:pPr>
          </w:p>
          <w:p w:rsidR="00533D66" w:rsidRPr="00EA246E" w14:paraId="5AB507F7" w14:textId="30E2A378">
            <w:pPr>
              <w:spacing w:after="0" w:line="240" w:lineRule="auto"/>
              <w:rPr>
                <w:rFonts w:eastAsia="Calibri" w:cs="Times New Roman"/>
                <w:highlight w:val="yellow"/>
              </w:rPr>
            </w:pP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0E6D5B" w14:paraId="6DFF6725" w14:textId="54315877">
            <w:pPr>
              <w:spacing w:after="0" w:line="240" w:lineRule="auto"/>
              <w:rPr>
                <w:rFonts w:eastAsia="Calibri" w:cs="Times New Roman"/>
              </w:rPr>
            </w:pPr>
            <w:r w:rsidRPr="00EF0FA4">
              <w:rPr>
                <w:rFonts w:eastAsia="Calibri" w:cs="Times New Roman"/>
              </w:rPr>
              <w:t>12</w:t>
            </w:r>
            <w:r w:rsidR="009B5C71">
              <w:rPr>
                <w:rFonts w:eastAsia="Calibri" w:cs="Times New Roman"/>
              </w:rPr>
              <w:t>.</w:t>
            </w:r>
            <w:r w:rsidRPr="00EF0FA4">
              <w:rPr>
                <w:rFonts w:eastAsia="Calibri" w:cs="Times New Roman"/>
              </w:rPr>
              <w:t xml:space="preserve">5% (5 hours </w:t>
            </w:r>
            <w:r w:rsidRPr="00EF0FA4" w:rsidR="00D85B7E">
              <w:rPr>
                <w:rFonts w:eastAsia="Calibri" w:cs="Times New Roman"/>
              </w:rPr>
              <w:t>per week</w:t>
            </w:r>
            <w:r w:rsidRPr="00EF0FA4">
              <w:rPr>
                <w:rFonts w:eastAsia="Calibri" w:cs="Times New Roman"/>
              </w:rPr>
              <w:t>)</w:t>
            </w: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7A24DD2A"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A246E" w:rsidP="00BB0FFA" w14:paraId="734595A8" w14:textId="2B5B9F7C">
            <w:pPr>
              <w:spacing w:after="0" w:line="240" w:lineRule="auto"/>
              <w:jc w:val="right"/>
              <w:rPr>
                <w:rFonts w:eastAsia="Times New Roman" w:cs="Times New Roman"/>
                <w:highlight w:val="yellow"/>
              </w:rPr>
            </w:pPr>
            <w:r w:rsidRPr="00EA246E">
              <w:rPr>
                <w:rFonts w:eastAsia="Times New Roman" w:cs="Times New Roman"/>
                <w:highlight w:val="yellow"/>
              </w:rPr>
              <w:t>$</w:t>
            </w:r>
            <w:r w:rsidRPr="00EA246E" w:rsidR="00D45BF0">
              <w:rPr>
                <w:rFonts w:eastAsia="Times New Roman" w:cs="Times New Roman"/>
                <w:highlight w:val="yellow"/>
              </w:rPr>
              <w:t>8,119.63</w:t>
            </w:r>
          </w:p>
        </w:tc>
      </w:tr>
      <w:tr w14:paraId="469C3692"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14:paraId="266EF00F" w14:textId="77777777">
            <w:pPr>
              <w:spacing w:after="0" w:line="240" w:lineRule="auto"/>
              <w:rPr>
                <w:rFonts w:eastAsia="Calibri" w:cs="Times New Roman"/>
              </w:rPr>
            </w:pPr>
            <w:r w:rsidRPr="00EF0FA4">
              <w:rPr>
                <w:rFonts w:eastAsia="Calibri" w:cs="Times New Roman"/>
              </w:rPr>
              <w:t>Program Manager</w:t>
            </w:r>
          </w:p>
          <w:p w:rsidR="00533D66" w:rsidRPr="00EF0FA4" w14:paraId="08FC2C38" w14:textId="77777777">
            <w:pPr>
              <w:spacing w:after="0" w:line="240" w:lineRule="auto"/>
              <w:rPr>
                <w:rFonts w:eastAsia="Calibri" w:cs="Times New Roman"/>
              </w:rPr>
            </w:pPr>
          </w:p>
          <w:p w:rsidR="00533D66" w:rsidRPr="00EF0FA4" w14:paraId="2C84B9B8" w14:textId="765B1A81">
            <w:pPr>
              <w:spacing w:after="0" w:line="240" w:lineRule="auto"/>
              <w:rPr>
                <w:rFonts w:eastAsia="Calibri" w:cs="Times New Roman"/>
              </w:rPr>
            </w:pPr>
          </w:p>
        </w:tc>
        <w:tc>
          <w:tcPr>
            <w:tcW w:w="1807" w:type="dxa"/>
            <w:tcBorders>
              <w:top w:val="nil"/>
              <w:left w:val="nil"/>
              <w:bottom w:val="single" w:sz="8" w:space="0" w:color="auto"/>
              <w:right w:val="single" w:sz="8" w:space="0" w:color="auto"/>
            </w:tcBorders>
          </w:tcPr>
          <w:p w:rsidR="0069581F" w:rsidRPr="00EF0FA4" w14:paraId="7AD59EE8" w14:textId="20A2B24D">
            <w:pPr>
              <w:spacing w:after="0" w:line="240" w:lineRule="auto"/>
              <w:rPr>
                <w:rFonts w:eastAsia="Calibri" w:cs="Times New Roman"/>
              </w:rPr>
            </w:pPr>
            <w:r w:rsidRPr="00EF0FA4">
              <w:rPr>
                <w:rFonts w:eastAsia="Calibri" w:cs="Times New Roman"/>
              </w:rPr>
              <w:t>Grade 14/Step</w:t>
            </w:r>
            <w:r w:rsidRPr="00EF0FA4" w:rsidR="00BB0FFA">
              <w:rPr>
                <w:rFonts w:eastAsia="Calibri" w:cs="Times New Roman"/>
              </w:rPr>
              <w:t>9</w:t>
            </w: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A246E" w:rsidP="000859AB" w14:paraId="7CB0EB5E" w14:textId="75022140">
            <w:pPr>
              <w:spacing w:after="0" w:line="240" w:lineRule="auto"/>
              <w:rPr>
                <w:rFonts w:eastAsia="Calibri" w:cs="Times New Roman"/>
                <w:highlight w:val="yellow"/>
              </w:rPr>
            </w:pPr>
            <w:r w:rsidRPr="00EA246E">
              <w:rPr>
                <w:rFonts w:eastAsia="Calibri" w:cs="Times New Roman"/>
                <w:highlight w:val="yellow"/>
              </w:rPr>
              <w:t>$</w:t>
            </w:r>
            <w:r w:rsidRPr="00EA246E" w:rsidR="00D45BF0">
              <w:rPr>
                <w:rFonts w:eastAsia="Calibri" w:cs="Times New Roman"/>
                <w:highlight w:val="yellow"/>
              </w:rPr>
              <w:t>167,663</w:t>
            </w:r>
            <w:r w:rsidRPr="00EA246E" w:rsidR="000B2A03">
              <w:rPr>
                <w:rFonts w:eastAsia="Calibri" w:cs="Times New Roman"/>
                <w:highlight w:val="yellow"/>
              </w:rPr>
              <w:t>.00</w:t>
            </w:r>
          </w:p>
          <w:p w:rsidR="00533D66" w:rsidRPr="00EA246E" w:rsidP="000859AB" w14:paraId="2A427EF1" w14:textId="77777777">
            <w:pPr>
              <w:spacing w:after="0" w:line="240" w:lineRule="auto"/>
              <w:rPr>
                <w:rFonts w:eastAsia="Calibri" w:cs="Times New Roman"/>
                <w:highlight w:val="yellow"/>
              </w:rPr>
            </w:pPr>
          </w:p>
          <w:p w:rsidR="00533D66" w:rsidRPr="00EA246E" w:rsidP="000859AB" w14:paraId="703E2D07" w14:textId="59A256B8">
            <w:pPr>
              <w:spacing w:after="0" w:line="240" w:lineRule="auto"/>
              <w:rPr>
                <w:rFonts w:eastAsia="Calibri" w:cs="Times New Roman"/>
                <w:highlight w:val="yellow"/>
              </w:rPr>
            </w:pP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0E6D5B" w14:paraId="1C526466" w14:textId="363B1450">
            <w:pPr>
              <w:spacing w:after="0" w:line="240" w:lineRule="auto"/>
              <w:rPr>
                <w:rFonts w:eastAsia="Calibri" w:cs="Times New Roman"/>
              </w:rPr>
            </w:pPr>
            <w:r w:rsidRPr="00EF0FA4">
              <w:rPr>
                <w:rFonts w:eastAsia="Calibri" w:cs="Times New Roman"/>
              </w:rPr>
              <w:t>12</w:t>
            </w:r>
            <w:r w:rsidR="009B5C71">
              <w:rPr>
                <w:rFonts w:eastAsia="Calibri" w:cs="Times New Roman"/>
              </w:rPr>
              <w:t>.</w:t>
            </w:r>
            <w:r w:rsidRPr="00EF0FA4">
              <w:rPr>
                <w:rFonts w:eastAsia="Calibri" w:cs="Times New Roman"/>
              </w:rPr>
              <w:t>5% (5 hours per week)</w:t>
            </w: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1FE26477"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A246E" w:rsidP="0069581F" w14:paraId="4B34E0AD" w14:textId="6DC27FD8">
            <w:pPr>
              <w:spacing w:after="0" w:line="240" w:lineRule="auto"/>
              <w:jc w:val="right"/>
              <w:rPr>
                <w:rFonts w:eastAsia="Times New Roman" w:cs="Times New Roman"/>
                <w:highlight w:val="yellow"/>
              </w:rPr>
            </w:pPr>
            <w:r w:rsidRPr="00EA246E">
              <w:rPr>
                <w:rFonts w:eastAsia="Times New Roman" w:cs="Times New Roman"/>
                <w:highlight w:val="yellow"/>
              </w:rPr>
              <w:t>$</w:t>
            </w:r>
            <w:r w:rsidRPr="00EA246E" w:rsidR="00D45BF0">
              <w:rPr>
                <w:rFonts w:eastAsia="Times New Roman" w:cs="Times New Roman"/>
                <w:highlight w:val="yellow"/>
              </w:rPr>
              <w:t>20,957.88</w:t>
            </w:r>
          </w:p>
        </w:tc>
      </w:tr>
      <w:tr w14:paraId="0C4BB4EA"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71E66431" w14:textId="77777777">
            <w:pPr>
              <w:spacing w:after="0" w:line="240" w:lineRule="auto"/>
              <w:rPr>
                <w:rFonts w:eastAsia="Calibri" w:cs="Times New Roman"/>
              </w:rPr>
            </w:pPr>
          </w:p>
        </w:tc>
        <w:tc>
          <w:tcPr>
            <w:tcW w:w="1807" w:type="dxa"/>
            <w:tcBorders>
              <w:top w:val="nil"/>
              <w:left w:val="nil"/>
              <w:bottom w:val="single" w:sz="8" w:space="0" w:color="auto"/>
              <w:right w:val="single" w:sz="8" w:space="0" w:color="auto"/>
            </w:tcBorders>
          </w:tcPr>
          <w:p w:rsidR="0069581F" w:rsidRPr="00EF0FA4" w:rsidP="00D34124" w14:paraId="2E9E8DE2" w14:textId="77777777">
            <w:pPr>
              <w:spacing w:after="0" w:line="240" w:lineRule="auto"/>
              <w:rPr>
                <w:rFonts w:eastAsia="Calibri" w:cs="Times New Roman"/>
              </w:rPr>
            </w:pP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13B5E81A" w14:textId="77777777">
            <w:pPr>
              <w:spacing w:after="0" w:line="240" w:lineRule="auto"/>
              <w:rPr>
                <w:rFonts w:eastAsia="Calibri" w:cs="Times New Roman"/>
              </w:rPr>
            </w:pP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4495EE7C" w14:textId="77777777">
            <w:pPr>
              <w:spacing w:after="0" w:line="240" w:lineRule="auto"/>
              <w:rPr>
                <w:rFonts w:eastAsia="Calibri" w:cs="Times New Roman"/>
              </w:rPr>
            </w:pP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46EAD800"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F0FA4" w:rsidP="0069581F" w14:paraId="3A6D4062" w14:textId="77777777">
            <w:pPr>
              <w:spacing w:after="0" w:line="240" w:lineRule="auto"/>
              <w:jc w:val="right"/>
              <w:rPr>
                <w:rFonts w:eastAsia="Times New Roman" w:cs="Times New Roman"/>
              </w:rPr>
            </w:pPr>
          </w:p>
        </w:tc>
      </w:tr>
      <w:tr w14:paraId="3A0A7DBF"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4F682928" w14:textId="77777777">
            <w:pPr>
              <w:spacing w:after="0" w:line="240" w:lineRule="auto"/>
              <w:rPr>
                <w:rFonts w:eastAsia="Calibri" w:cs="Times New Roman"/>
                <w:b/>
              </w:rPr>
            </w:pPr>
            <w:r w:rsidRPr="00EF0FA4">
              <w:rPr>
                <w:rFonts w:eastAsia="Calibri" w:cs="Times New Roman"/>
                <w:b/>
              </w:rPr>
              <w:t>Contractor Cost</w:t>
            </w:r>
          </w:p>
        </w:tc>
        <w:tc>
          <w:tcPr>
            <w:tcW w:w="1807"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69FFCD8D" w14:textId="77777777">
            <w:pPr>
              <w:spacing w:after="0" w:line="240" w:lineRule="auto"/>
              <w:rPr>
                <w:rFonts w:eastAsia="Calibri" w:cs="Times New Roman"/>
              </w:rPr>
            </w:pP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A246E" w:rsidP="00D34124" w14:paraId="157D9B41" w14:textId="77777777">
            <w:pPr>
              <w:spacing w:after="0" w:line="240" w:lineRule="auto"/>
              <w:rPr>
                <w:rFonts w:eastAsia="Calibri" w:cs="Times New Roman"/>
              </w:rPr>
            </w:pPr>
            <w:r w:rsidRPr="00EA246E">
              <w:rPr>
                <w:rFonts w:eastAsia="Calibri" w:cs="Times New Roman"/>
              </w:rPr>
              <w:t xml:space="preserve"> </w:t>
            </w: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9581F" w:rsidRPr="00EA246E" w:rsidP="00D34124" w14:paraId="0EB9B7DA" w14:textId="77777777">
            <w:pPr>
              <w:spacing w:after="0" w:line="240" w:lineRule="auto"/>
              <w:rPr>
                <w:rFonts w:eastAsia="Calibri" w:cs="Times New Roman"/>
              </w:rPr>
            </w:pPr>
          </w:p>
        </w:tc>
        <w:tc>
          <w:tcPr>
            <w:tcW w:w="1025" w:type="dxa"/>
            <w:tcBorders>
              <w:top w:val="nil"/>
              <w:left w:val="nil"/>
              <w:bottom w:val="single" w:sz="8" w:space="0" w:color="auto"/>
              <w:right w:val="single" w:sz="8" w:space="0" w:color="auto"/>
            </w:tcBorders>
          </w:tcPr>
          <w:p w:rsidR="0069581F" w:rsidRPr="00EA246E" w:rsidP="00D34124" w14:paraId="05CED242" w14:textId="77777777">
            <w:pPr>
              <w:spacing w:after="0" w:line="240" w:lineRule="auto"/>
              <w:rPr>
                <w:rFonts w:eastAsia="Calibri" w:cs="Times New Roman"/>
              </w:rPr>
            </w:pPr>
          </w:p>
        </w:tc>
        <w:tc>
          <w:tcPr>
            <w:tcW w:w="1790" w:type="dxa"/>
            <w:tcBorders>
              <w:top w:val="nil"/>
              <w:left w:val="nil"/>
              <w:bottom w:val="single" w:sz="8" w:space="0" w:color="auto"/>
              <w:right w:val="single" w:sz="8" w:space="0" w:color="auto"/>
            </w:tcBorders>
          </w:tcPr>
          <w:p w:rsidR="0069581F" w:rsidRPr="00EF0FA4" w:rsidP="00CD079C" w14:paraId="6A64D9F5" w14:textId="59AF7B60">
            <w:pPr>
              <w:spacing w:after="0" w:line="240" w:lineRule="auto"/>
              <w:jc w:val="right"/>
              <w:rPr>
                <w:rFonts w:eastAsia="Times New Roman" w:cs="Times New Roman"/>
                <w:strike/>
              </w:rPr>
            </w:pPr>
            <w:r w:rsidRPr="00EA246E">
              <w:rPr>
                <w:highlight w:val="yellow"/>
              </w:rPr>
              <w:t>$</w:t>
            </w:r>
            <w:r w:rsidRPr="00EA246E" w:rsidR="00F329EE">
              <w:rPr>
                <w:highlight w:val="yellow"/>
              </w:rPr>
              <w:t>632,590.00</w:t>
            </w:r>
          </w:p>
        </w:tc>
      </w:tr>
      <w:tr w14:paraId="5EC0AA98"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3F86D7E3" w14:textId="77777777">
            <w:pPr>
              <w:spacing w:after="0" w:line="240" w:lineRule="auto"/>
              <w:rPr>
                <w:rFonts w:eastAsia="Calibri" w:cs="Times New Roman"/>
              </w:rPr>
            </w:pPr>
            <w:r w:rsidRPr="00EF0FA4">
              <w:rPr>
                <w:rFonts w:eastAsia="Calibri" w:cs="Times New Roman"/>
              </w:rPr>
              <w:t xml:space="preserve">Travel </w:t>
            </w:r>
          </w:p>
        </w:tc>
        <w:tc>
          <w:tcPr>
            <w:tcW w:w="1807"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3314EE97" w14:textId="77777777">
            <w:pPr>
              <w:spacing w:after="0" w:line="240" w:lineRule="auto"/>
              <w:rPr>
                <w:rFonts w:eastAsia="Calibri" w:cs="Times New Roman"/>
              </w:rPr>
            </w:pPr>
          </w:p>
        </w:tc>
        <w:tc>
          <w:tcPr>
            <w:tcW w:w="13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69581F" w:rsidRPr="00EF0FA4" w:rsidP="00D34124" w14:paraId="4511E980" w14:textId="77777777">
            <w:pPr>
              <w:spacing w:after="0" w:line="240" w:lineRule="auto"/>
              <w:rPr>
                <w:rFonts w:eastAsia="Calibri" w:cs="Times New Roman"/>
              </w:rPr>
            </w:pPr>
          </w:p>
        </w:tc>
        <w:tc>
          <w:tcPr>
            <w:tcW w:w="115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69581F" w:rsidRPr="00EF0FA4" w:rsidP="00D34124" w14:paraId="5B37BAC0" w14:textId="77777777">
            <w:pPr>
              <w:spacing w:after="0" w:line="240" w:lineRule="auto"/>
              <w:rPr>
                <w:rFonts w:eastAsia="Calibri" w:cs="Times New Roman"/>
              </w:rPr>
            </w:pP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F0FA4" w:rsidP="00D34124" w14:paraId="04043D22"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F0FA4" w:rsidP="0069581F" w14:paraId="31A9EB9D" w14:textId="77777777">
            <w:pPr>
              <w:spacing w:after="0" w:line="240" w:lineRule="auto"/>
              <w:jc w:val="right"/>
              <w:rPr>
                <w:rFonts w:eastAsia="Times New Roman" w:cs="Times New Roman"/>
              </w:rPr>
            </w:pPr>
            <w:r w:rsidRPr="00EF0FA4">
              <w:rPr>
                <w:rFonts w:eastAsia="Times New Roman" w:cs="Times New Roman"/>
              </w:rPr>
              <w:t>0</w:t>
            </w:r>
          </w:p>
        </w:tc>
      </w:tr>
      <w:tr w14:paraId="2592349F"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9581F" w:rsidRPr="00EF0FA4" w:rsidP="00D34124" w14:paraId="205D6AC7" w14:textId="77777777">
            <w:pPr>
              <w:spacing w:after="0" w:line="240" w:lineRule="auto"/>
              <w:rPr>
                <w:rFonts w:eastAsia="Calibri" w:cs="Times New Roman"/>
                <w:color w:val="1F497D"/>
              </w:rPr>
            </w:pPr>
            <w:r w:rsidRPr="00EF0FA4">
              <w:rPr>
                <w:rFonts w:eastAsia="Calibri" w:cs="Times New Roman"/>
                <w:color w:val="000000"/>
              </w:rPr>
              <w:t>Other Cost</w:t>
            </w:r>
          </w:p>
        </w:tc>
        <w:tc>
          <w:tcPr>
            <w:tcW w:w="1807" w:type="dxa"/>
            <w:tcBorders>
              <w:top w:val="nil"/>
              <w:left w:val="nil"/>
              <w:bottom w:val="single" w:sz="8" w:space="0" w:color="auto"/>
              <w:right w:val="single" w:sz="8" w:space="0" w:color="auto"/>
            </w:tcBorders>
            <w:shd w:val="clear" w:color="auto" w:fill="BFBFBF" w:themeFill="background1" w:themeFillShade="BF"/>
          </w:tcPr>
          <w:p w:rsidR="0069581F" w:rsidRPr="00EA246E" w:rsidP="00D34124" w14:paraId="3AD61ACD" w14:textId="77777777">
            <w:pPr>
              <w:spacing w:after="0" w:line="240" w:lineRule="auto"/>
              <w:rPr>
                <w:rFonts w:eastAsia="Calibri" w:cs="Times New Roman"/>
                <w:color w:val="000000"/>
              </w:rPr>
            </w:pPr>
          </w:p>
        </w:tc>
        <w:tc>
          <w:tcPr>
            <w:tcW w:w="13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69581F" w:rsidRPr="00EA246E" w:rsidP="00D34124" w14:paraId="42CF0164" w14:textId="77777777">
            <w:pPr>
              <w:spacing w:after="0" w:line="240" w:lineRule="auto"/>
              <w:rPr>
                <w:rFonts w:eastAsia="Calibri" w:cs="Times New Roman"/>
              </w:rPr>
            </w:pPr>
          </w:p>
        </w:tc>
        <w:tc>
          <w:tcPr>
            <w:tcW w:w="115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69581F" w:rsidRPr="00EA246E" w:rsidP="00D34124" w14:paraId="1A7527C8" w14:textId="77777777">
            <w:pPr>
              <w:spacing w:after="0" w:line="240" w:lineRule="auto"/>
              <w:rPr>
                <w:rFonts w:eastAsia="Calibri" w:cs="Times New Roman"/>
              </w:rPr>
            </w:pP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A246E" w:rsidP="00D34124" w14:paraId="1B83DDF4" w14:textId="77777777">
            <w:pPr>
              <w:spacing w:after="0" w:line="240" w:lineRule="auto"/>
              <w:rPr>
                <w:rFonts w:eastAsia="Calibri" w:cs="Times New Roman"/>
              </w:rPr>
            </w:pPr>
          </w:p>
        </w:tc>
        <w:tc>
          <w:tcPr>
            <w:tcW w:w="1790" w:type="dxa"/>
            <w:tcBorders>
              <w:top w:val="nil"/>
              <w:left w:val="nil"/>
              <w:bottom w:val="single" w:sz="8" w:space="0" w:color="auto"/>
              <w:right w:val="single" w:sz="8" w:space="0" w:color="auto"/>
            </w:tcBorders>
          </w:tcPr>
          <w:p w:rsidR="0069581F" w:rsidRPr="00EF0FA4" w:rsidP="0069581F" w14:paraId="2CE69942" w14:textId="77777777">
            <w:pPr>
              <w:spacing w:after="0" w:line="240" w:lineRule="auto"/>
              <w:jc w:val="right"/>
              <w:rPr>
                <w:rFonts w:eastAsia="Calibri" w:cs="Times New Roman"/>
              </w:rPr>
            </w:pPr>
            <w:r w:rsidRPr="00EF0FA4">
              <w:rPr>
                <w:rFonts w:eastAsia="Calibri" w:cs="Times New Roman"/>
              </w:rPr>
              <w:t>0</w:t>
            </w:r>
          </w:p>
        </w:tc>
      </w:tr>
      <w:tr w14:paraId="5B93EE47"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9581F" w:rsidRPr="00EF0FA4" w:rsidP="00D34124" w14:paraId="74F981B7" w14:textId="77777777">
            <w:pPr>
              <w:spacing w:after="0" w:line="240" w:lineRule="auto"/>
              <w:rPr>
                <w:rFonts w:eastAsia="Calibri" w:cs="Times New Roman"/>
                <w:bCs/>
                <w:color w:val="000000"/>
              </w:rPr>
            </w:pPr>
          </w:p>
        </w:tc>
        <w:tc>
          <w:tcPr>
            <w:tcW w:w="1807" w:type="dxa"/>
            <w:tcBorders>
              <w:top w:val="nil"/>
              <w:left w:val="nil"/>
              <w:bottom w:val="single" w:sz="8" w:space="0" w:color="auto"/>
              <w:right w:val="single" w:sz="8" w:space="0" w:color="auto"/>
            </w:tcBorders>
            <w:shd w:val="clear" w:color="auto" w:fill="BFBFBF" w:themeFill="background1" w:themeFillShade="BF"/>
          </w:tcPr>
          <w:p w:rsidR="0069581F" w:rsidRPr="00EA246E" w:rsidP="00D34124" w14:paraId="22F22E09" w14:textId="77777777">
            <w:pPr>
              <w:spacing w:after="0" w:line="240" w:lineRule="auto"/>
              <w:rPr>
                <w:rFonts w:eastAsia="Calibri" w:cs="Times New Roman"/>
              </w:rPr>
            </w:pPr>
          </w:p>
        </w:tc>
        <w:tc>
          <w:tcPr>
            <w:tcW w:w="13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69581F" w:rsidRPr="00EA246E" w:rsidP="00D34124" w14:paraId="3FDCE01E" w14:textId="77777777">
            <w:pPr>
              <w:spacing w:after="0" w:line="240" w:lineRule="auto"/>
              <w:rPr>
                <w:rFonts w:eastAsia="Times New Roman" w:cs="Times New Roman"/>
              </w:rPr>
            </w:pPr>
          </w:p>
        </w:tc>
        <w:tc>
          <w:tcPr>
            <w:tcW w:w="115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rsidR="0069581F" w:rsidRPr="00EA246E" w:rsidP="00D34124" w14:paraId="178EB85E" w14:textId="77777777">
            <w:pPr>
              <w:spacing w:after="0" w:line="240" w:lineRule="auto"/>
              <w:rPr>
                <w:rFonts w:eastAsia="Calibri" w:cs="Times New Roman"/>
                <w:b/>
              </w:rPr>
            </w:pPr>
          </w:p>
        </w:tc>
        <w:tc>
          <w:tcPr>
            <w:tcW w:w="1025" w:type="dxa"/>
            <w:tcBorders>
              <w:top w:val="nil"/>
              <w:left w:val="nil"/>
              <w:bottom w:val="single" w:sz="8" w:space="0" w:color="auto"/>
              <w:right w:val="single" w:sz="8" w:space="0" w:color="auto"/>
            </w:tcBorders>
            <w:shd w:val="clear" w:color="auto" w:fill="BFBFBF" w:themeFill="background1" w:themeFillShade="BF"/>
          </w:tcPr>
          <w:p w:rsidR="0069581F" w:rsidRPr="00EA246E" w:rsidP="00D34124" w14:paraId="59439CFA" w14:textId="77777777">
            <w:pPr>
              <w:spacing w:after="0" w:line="240" w:lineRule="auto"/>
              <w:rPr>
                <w:rFonts w:eastAsia="Times New Roman" w:cs="Times New Roman"/>
                <w:b/>
              </w:rPr>
            </w:pPr>
          </w:p>
        </w:tc>
        <w:tc>
          <w:tcPr>
            <w:tcW w:w="1790" w:type="dxa"/>
            <w:tcBorders>
              <w:top w:val="nil"/>
              <w:left w:val="nil"/>
              <w:bottom w:val="single" w:sz="8" w:space="0" w:color="auto"/>
              <w:right w:val="single" w:sz="8" w:space="0" w:color="auto"/>
            </w:tcBorders>
          </w:tcPr>
          <w:p w:rsidR="0069581F" w:rsidRPr="00EA246E" w:rsidP="0069581F" w14:paraId="11EA10D1" w14:textId="77777777">
            <w:pPr>
              <w:spacing w:after="0" w:line="240" w:lineRule="auto"/>
              <w:jc w:val="right"/>
              <w:rPr>
                <w:rFonts w:eastAsia="Times New Roman" w:cs="Times New Roman"/>
                <w:b/>
              </w:rPr>
            </w:pPr>
          </w:p>
        </w:tc>
      </w:tr>
      <w:tr w14:paraId="06C57A12" w14:textId="77777777" w:rsidTr="00247209">
        <w:tblPrEx>
          <w:tblW w:w="9419" w:type="dxa"/>
          <w:jc w:val="center"/>
          <w:tblCellMar>
            <w:left w:w="0" w:type="dxa"/>
            <w:right w:w="0" w:type="dxa"/>
          </w:tblCellMar>
          <w:tblLook w:val="04A0"/>
        </w:tblPrEx>
        <w:trPr>
          <w:trHeight w:val="254"/>
          <w:jc w:val="center"/>
        </w:trPr>
        <w:tc>
          <w:tcPr>
            <w:tcW w:w="23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9581F" w:rsidRPr="00EF0FA4" w:rsidP="00D34124" w14:paraId="5528F727" w14:textId="77777777">
            <w:pPr>
              <w:spacing w:after="0" w:line="240" w:lineRule="auto"/>
              <w:rPr>
                <w:rFonts w:eastAsia="Times New Roman" w:cs="Times New Roman"/>
                <w:b/>
              </w:rPr>
            </w:pPr>
            <w:r w:rsidRPr="00EF0FA4">
              <w:rPr>
                <w:rFonts w:eastAsia="Times New Roman" w:cs="Times New Roman"/>
                <w:b/>
              </w:rPr>
              <w:t>Total</w:t>
            </w:r>
          </w:p>
        </w:tc>
        <w:tc>
          <w:tcPr>
            <w:tcW w:w="1807" w:type="dxa"/>
            <w:tcBorders>
              <w:top w:val="nil"/>
              <w:left w:val="nil"/>
              <w:bottom w:val="single" w:sz="8" w:space="0" w:color="auto"/>
              <w:right w:val="single" w:sz="8" w:space="0" w:color="auto"/>
            </w:tcBorders>
          </w:tcPr>
          <w:p w:rsidR="0069581F" w:rsidRPr="00EA246E" w:rsidP="00D34124" w14:paraId="1F9E7973" w14:textId="77777777">
            <w:pPr>
              <w:spacing w:after="0" w:line="240" w:lineRule="auto"/>
              <w:rPr>
                <w:rFonts w:eastAsia="Calibri" w:cs="Times New Roman"/>
              </w:rPr>
            </w:pPr>
          </w:p>
        </w:tc>
        <w:tc>
          <w:tcPr>
            <w:tcW w:w="13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9581F" w:rsidRPr="00EA246E" w:rsidP="00D34124" w14:paraId="1DA5E1EF" w14:textId="77777777">
            <w:pPr>
              <w:spacing w:after="0" w:line="240" w:lineRule="auto"/>
              <w:rPr>
                <w:rFonts w:eastAsia="Times New Roman" w:cs="Times New Roman"/>
              </w:rPr>
            </w:pPr>
          </w:p>
        </w:tc>
        <w:tc>
          <w:tcPr>
            <w:tcW w:w="11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9581F" w:rsidRPr="00EA246E" w:rsidP="00D34124" w14:paraId="7FD9474A" w14:textId="77777777">
            <w:pPr>
              <w:spacing w:after="0" w:line="240" w:lineRule="auto"/>
              <w:rPr>
                <w:rFonts w:eastAsia="Times New Roman" w:cs="Times New Roman"/>
              </w:rPr>
            </w:pPr>
          </w:p>
        </w:tc>
        <w:tc>
          <w:tcPr>
            <w:tcW w:w="1025" w:type="dxa"/>
            <w:tcBorders>
              <w:top w:val="nil"/>
              <w:left w:val="nil"/>
              <w:bottom w:val="single" w:sz="8" w:space="0" w:color="auto"/>
              <w:right w:val="single" w:sz="8" w:space="0" w:color="auto"/>
            </w:tcBorders>
          </w:tcPr>
          <w:p w:rsidR="0069581F" w:rsidRPr="00EA246E" w:rsidP="00D34124" w14:paraId="4D90EE4C" w14:textId="77777777">
            <w:pPr>
              <w:spacing w:after="0" w:line="240" w:lineRule="auto"/>
              <w:rPr>
                <w:rFonts w:eastAsia="Times New Roman" w:cs="Times New Roman"/>
              </w:rPr>
            </w:pPr>
          </w:p>
        </w:tc>
        <w:tc>
          <w:tcPr>
            <w:tcW w:w="1790" w:type="dxa"/>
            <w:tcBorders>
              <w:top w:val="nil"/>
              <w:left w:val="nil"/>
              <w:bottom w:val="single" w:sz="8" w:space="0" w:color="auto"/>
              <w:right w:val="single" w:sz="8" w:space="0" w:color="auto"/>
            </w:tcBorders>
          </w:tcPr>
          <w:p w:rsidR="0069581F" w:rsidRPr="00EF0FA4" w:rsidP="00BB0FFA" w14:paraId="4C12C2BC" w14:textId="7E1F4B65">
            <w:pPr>
              <w:spacing w:after="0" w:line="240" w:lineRule="auto"/>
              <w:jc w:val="right"/>
              <w:rPr>
                <w:rFonts w:eastAsia="Times New Roman" w:cs="Times New Roman"/>
                <w:highlight w:val="yellow"/>
              </w:rPr>
            </w:pPr>
            <w:r w:rsidRPr="00EA246E">
              <w:rPr>
                <w:highlight w:val="yellow"/>
              </w:rPr>
              <w:t>$</w:t>
            </w:r>
            <w:r w:rsidRPr="00EA246E" w:rsidR="001E71F7">
              <w:rPr>
                <w:highlight w:val="yellow"/>
              </w:rPr>
              <w:t>661,667.51</w:t>
            </w:r>
          </w:p>
        </w:tc>
      </w:tr>
    </w:tbl>
    <w:p w:rsidR="00142832" w:rsidP="00142832" w14:paraId="3610A464" w14:textId="7DE93CD0">
      <w:pPr>
        <w:rPr>
          <w:color w:val="002060"/>
        </w:rPr>
      </w:pPr>
      <w:r w:rsidRPr="00EA246E">
        <w:rPr>
          <w:highlight w:val="yellow"/>
        </w:rPr>
        <w:t>*</w:t>
      </w:r>
      <w:r w:rsidRPr="00EA246E">
        <w:rPr>
          <w:sz w:val="18"/>
          <w:szCs w:val="18"/>
          <w:highlight w:val="yellow"/>
        </w:rPr>
        <w:t>the</w:t>
      </w:r>
      <w:r w:rsidRPr="00EA246E">
        <w:rPr>
          <w:highlight w:val="yellow"/>
        </w:rPr>
        <w:t xml:space="preserve"> </w:t>
      </w:r>
      <w:r w:rsidRPr="00EA246E">
        <w:rPr>
          <w:sz w:val="18"/>
          <w:szCs w:val="18"/>
          <w:highlight w:val="yellow"/>
        </w:rPr>
        <w:t>Salary in table above is cited from</w:t>
      </w:r>
      <w:r w:rsidRPr="00EA246E">
        <w:rPr>
          <w:highlight w:val="yellow"/>
        </w:rPr>
        <w:t xml:space="preserve"> </w:t>
      </w:r>
      <w:hyperlink r:id="rId11" w:history="1">
        <w:r w:rsidRPr="00EA246E" w:rsidR="00CE72F7">
          <w:rPr>
            <w:rStyle w:val="Hyperlink"/>
            <w:highlight w:val="yellow"/>
          </w:rPr>
          <w:t>https://www.opm.gov/policy-data-oversight/pay-leave/salaries-wages/salary-tables/23Tables/html/DCB.aspx</w:t>
        </w:r>
      </w:hyperlink>
    </w:p>
    <w:p w:rsidR="005B4F3E" w:rsidP="00FF72FC" w14:paraId="3B987512" w14:textId="77777777"/>
    <w:p w:rsidR="00743E5A" w:rsidP="00FF72FC" w14:paraId="5B557E36" w14:textId="119C64E5">
      <w:r>
        <w:t xml:space="preserve">The annual cost for the support of the HBCU </w:t>
      </w:r>
      <w:r w:rsidR="0024025D">
        <w:t>P</w:t>
      </w:r>
      <w:r>
        <w:t xml:space="preserve">re-solicitation portal is approximately </w:t>
      </w:r>
      <w:r w:rsidRPr="00EA246E">
        <w:rPr>
          <w:highlight w:val="yellow"/>
        </w:rPr>
        <w:t>$</w:t>
      </w:r>
      <w:r w:rsidR="00EA246E">
        <w:rPr>
          <w:highlight w:val="yellow"/>
        </w:rPr>
        <w:t>661,667.51</w:t>
      </w:r>
      <w:r>
        <w:t xml:space="preserve">annually.  </w:t>
      </w:r>
    </w:p>
    <w:p w:rsidR="005B4F3E" w:rsidP="00FF72FC" w14:paraId="5FB59567" w14:textId="77777777">
      <w:pPr>
        <w:rPr>
          <w:b/>
        </w:rPr>
      </w:pPr>
    </w:p>
    <w:p w:rsidR="00FF72FC" w:rsidRPr="00E35DD1" w:rsidP="00FF72FC" w14:paraId="631BDB62" w14:textId="62CFF9F8">
      <w:pPr>
        <w:rPr>
          <w:b/>
        </w:rPr>
      </w:pPr>
      <w:r w:rsidRPr="00E35DD1">
        <w:rPr>
          <w:b/>
        </w:rPr>
        <w:t>A.15</w:t>
      </w:r>
      <w:r w:rsidRPr="00E35DD1">
        <w:rPr>
          <w:b/>
        </w:rPr>
        <w:tab/>
        <w:t>Explanation for Program Changes or Adjustments</w:t>
      </w:r>
    </w:p>
    <w:p w:rsidR="005B4F3E" w:rsidP="005B4F3E" w14:paraId="062181AA" w14:textId="21DBC71C">
      <w:pPr>
        <w:spacing w:before="100" w:beforeAutospacing="1" w:after="100" w:afterAutospacing="1"/>
      </w:pPr>
      <w:r>
        <w:rPr>
          <w:highlight w:val="yellow"/>
        </w:rPr>
        <w:t>Over the past three years the application for the HBCU’s and Business Partners has not changed from a functionality perspective. The system currently has 62 respondents participating the program with 883 annualize burden hours.</w:t>
      </w:r>
      <w:r w:rsidR="00E20D57">
        <w:rPr>
          <w:highlight w:val="yellow"/>
        </w:rPr>
        <w:t xml:space="preserve">  The number of respondents participating</w:t>
      </w:r>
      <w:r w:rsidR="00A47127">
        <w:rPr>
          <w:highlight w:val="yellow"/>
        </w:rPr>
        <w:t xml:space="preserve"> in</w:t>
      </w:r>
      <w:r w:rsidR="00E20D57">
        <w:rPr>
          <w:highlight w:val="yellow"/>
        </w:rPr>
        <w:t xml:space="preserve"> the program have increased by 49 and the burden hours have increased by 697</w:t>
      </w:r>
      <w:r w:rsidR="00A47127">
        <w:rPr>
          <w:highlight w:val="yellow"/>
        </w:rPr>
        <w:t xml:space="preserve"> hours</w:t>
      </w:r>
      <w:r w:rsidR="00E20D57">
        <w:rPr>
          <w:highlight w:val="yellow"/>
        </w:rPr>
        <w:t>.</w:t>
      </w:r>
      <w:r>
        <w:rPr>
          <w:highlight w:val="yellow"/>
        </w:rPr>
        <w:t xml:space="preserve"> It is still the standard practice that </w:t>
      </w:r>
      <w:r>
        <w:rPr>
          <w:highlight w:val="yellow"/>
        </w:rPr>
        <w:t>i</w:t>
      </w:r>
      <w:r w:rsidRPr="005B4F3E" w:rsidR="00E22B51">
        <w:rPr>
          <w:highlight w:val="yellow"/>
        </w:rPr>
        <w:t xml:space="preserve">n order </w:t>
      </w:r>
      <w:r>
        <w:rPr>
          <w:highlight w:val="yellow"/>
        </w:rPr>
        <w:t>for</w:t>
      </w:r>
      <w:r>
        <w:rPr>
          <w:highlight w:val="yellow"/>
        </w:rPr>
        <w:t xml:space="preserve"> </w:t>
      </w:r>
      <w:r w:rsidRPr="005B4F3E" w:rsidR="00E22B51">
        <w:rPr>
          <w:highlight w:val="yellow"/>
        </w:rPr>
        <w:t xml:space="preserve">the HBCUs and small businesses </w:t>
      </w:r>
      <w:r>
        <w:rPr>
          <w:highlight w:val="yellow"/>
        </w:rPr>
        <w:t>to</w:t>
      </w:r>
      <w:r w:rsidRPr="005B4F3E" w:rsidR="00E22B51">
        <w:rPr>
          <w:highlight w:val="yellow"/>
        </w:rPr>
        <w:t xml:space="preserve"> be accepted into the PEI Initiative and gain access to the portal, they will have to complete the appropriate application, see attachment 4 “PEI HBCU Application” or </w:t>
      </w:r>
      <w:r>
        <w:rPr>
          <w:highlight w:val="yellow"/>
        </w:rPr>
        <w:t>a</w:t>
      </w:r>
      <w:r w:rsidRPr="005B4F3E" w:rsidR="00E22B51">
        <w:rPr>
          <w:highlight w:val="yellow"/>
        </w:rPr>
        <w:t xml:space="preserve">ttachment 5 “PEI Business Partner Application”.  The applications can be accessed through the links on the HBCU webpage </w:t>
      </w:r>
      <w:hyperlink r:id="rId12" w:history="1">
        <w:r w:rsidRPr="005B4F3E" w:rsidR="00E22B51">
          <w:rPr>
            <w:rStyle w:val="Hyperlink"/>
            <w:highlight w:val="yellow"/>
          </w:rPr>
          <w:t>https://oamp.hbcu.od.nih.gov/oamp</w:t>
        </w:r>
      </w:hyperlink>
      <w:r w:rsidRPr="005B4F3E" w:rsidR="00E22B51">
        <w:rPr>
          <w:rStyle w:val="Hyperlink"/>
          <w:highlight w:val="yellow"/>
        </w:rPr>
        <w:t>.</w:t>
      </w:r>
      <w:r w:rsidR="0059505C">
        <w:t xml:space="preserve"> </w:t>
      </w:r>
      <w:r w:rsidR="00E22B51">
        <w:t xml:space="preserve"> </w:t>
      </w:r>
      <w:r w:rsidR="009A3D8B">
        <w:t xml:space="preserve">    </w:t>
      </w:r>
      <w:bookmarkStart w:id="24" w:name="_Toc443881759"/>
      <w:bookmarkStart w:id="25" w:name="_Toc451592246"/>
      <w:bookmarkStart w:id="26" w:name="_Toc5610287"/>
      <w:bookmarkStart w:id="27" w:name="_Toc99178793"/>
    </w:p>
    <w:p w:rsidR="00FF72FC" w:rsidRPr="005C4013" w:rsidP="005B4F3E" w14:paraId="23C59A4A" w14:textId="013C6CAB">
      <w:pPr>
        <w:spacing w:before="100" w:beforeAutospacing="1" w:after="100" w:afterAutospacing="1"/>
        <w:rPr>
          <w:b/>
        </w:rPr>
      </w:pPr>
      <w:r w:rsidRPr="005C4013">
        <w:rPr>
          <w:b/>
        </w:rPr>
        <w:t>A.16</w:t>
      </w:r>
      <w:r w:rsidRPr="005C4013">
        <w:rPr>
          <w:b/>
        </w:rPr>
        <w:tab/>
        <w:t>Plans for Tabulation and Publication and Project Time Schedule</w:t>
      </w:r>
      <w:bookmarkEnd w:id="24"/>
      <w:bookmarkEnd w:id="25"/>
      <w:bookmarkEnd w:id="26"/>
      <w:bookmarkEnd w:id="27"/>
    </w:p>
    <w:p w:rsidR="00476BC7" w:rsidRPr="00476BC7" w:rsidP="00476BC7" w14:paraId="6EBCCD37" w14:textId="7DED37C0">
      <w:r w:rsidRPr="00476BC7">
        <w:t xml:space="preserve">Information collected by the HBCU </w:t>
      </w:r>
      <w:r w:rsidR="0024025D">
        <w:t>P</w:t>
      </w:r>
      <w:r w:rsidRPr="00476BC7">
        <w:t xml:space="preserve">re-solicitation portal will not be published but the NIH SBPO staff will review the data entered by HBCUs and </w:t>
      </w:r>
      <w:r w:rsidR="00CF4D15">
        <w:t xml:space="preserve">small businesses </w:t>
      </w:r>
      <w:r w:rsidRPr="00476BC7">
        <w:t xml:space="preserve">to obtain an understanding of the interests being pursued to perform analysis and suggest relevant opportunities they may want to consider. </w:t>
      </w:r>
    </w:p>
    <w:p w:rsidR="00476BC7" w:rsidP="00476BC7" w14:paraId="5C19A9FE" w14:textId="77777777">
      <w:r w:rsidRPr="00476BC7">
        <w:t>Following list provides a general overview of the process that the NIH SBPO staff will execute:</w:t>
      </w:r>
    </w:p>
    <w:p w:rsidR="00C94882" w:rsidP="000859AB" w14:paraId="041F0455" w14:textId="7B5A440E"/>
    <w:tbl>
      <w:tblPr>
        <w:tblStyle w:val="TableGrid"/>
        <w:tblW w:w="0" w:type="auto"/>
        <w:tblLook w:val="04A0"/>
      </w:tblPr>
      <w:tblGrid>
        <w:gridCol w:w="4825"/>
        <w:gridCol w:w="4813"/>
      </w:tblGrid>
      <w:tr w14:paraId="46D11D32" w14:textId="77777777" w:rsidTr="000859AB">
        <w:tblPrEx>
          <w:tblW w:w="0" w:type="auto"/>
          <w:tblLook w:val="04A0"/>
        </w:tblPrEx>
        <w:tc>
          <w:tcPr>
            <w:tcW w:w="9864" w:type="dxa"/>
            <w:gridSpan w:val="2"/>
            <w:shd w:val="clear" w:color="auto" w:fill="BFBFBF" w:themeFill="background1" w:themeFillShade="BF"/>
          </w:tcPr>
          <w:p w:rsidR="00447EB9" w:rsidRPr="001377E5" w:rsidP="000859AB" w14:paraId="113F5CA0" w14:textId="2F4A94ED">
            <w:pPr>
              <w:jc w:val="center"/>
              <w:rPr>
                <w:rFonts w:asciiTheme="minorHAnsi" w:hAnsiTheme="minorHAnsi"/>
                <w:b/>
                <w:sz w:val="22"/>
                <w:szCs w:val="22"/>
              </w:rPr>
            </w:pPr>
            <w:r w:rsidRPr="001377E5">
              <w:rPr>
                <w:rFonts w:asciiTheme="minorHAnsi" w:hAnsiTheme="minorHAnsi"/>
                <w:b/>
                <w:sz w:val="22"/>
                <w:szCs w:val="22"/>
              </w:rPr>
              <w:t>A.16 – 1 Project Time Schedule</w:t>
            </w:r>
          </w:p>
        </w:tc>
      </w:tr>
      <w:tr w14:paraId="04801558" w14:textId="77777777" w:rsidTr="001377E5">
        <w:tblPrEx>
          <w:tblW w:w="0" w:type="auto"/>
          <w:tblLook w:val="04A0"/>
        </w:tblPrEx>
        <w:tc>
          <w:tcPr>
            <w:tcW w:w="4932" w:type="dxa"/>
            <w:shd w:val="clear" w:color="auto" w:fill="D9D9D9" w:themeFill="background1" w:themeFillShade="D9"/>
          </w:tcPr>
          <w:p w:rsidR="00447EB9" w:rsidRPr="001377E5" w:rsidP="000859AB" w14:paraId="5F59F468" w14:textId="2A41ED72">
            <w:pPr>
              <w:jc w:val="center"/>
              <w:rPr>
                <w:rFonts w:asciiTheme="minorHAnsi" w:hAnsiTheme="minorHAnsi"/>
                <w:b/>
                <w:sz w:val="22"/>
                <w:szCs w:val="22"/>
              </w:rPr>
            </w:pPr>
            <w:r w:rsidRPr="001377E5">
              <w:rPr>
                <w:rFonts w:asciiTheme="minorHAnsi" w:hAnsiTheme="minorHAnsi"/>
                <w:b/>
                <w:sz w:val="22"/>
                <w:szCs w:val="22"/>
              </w:rPr>
              <w:t>Activity</w:t>
            </w:r>
          </w:p>
        </w:tc>
        <w:tc>
          <w:tcPr>
            <w:tcW w:w="4932" w:type="dxa"/>
            <w:shd w:val="clear" w:color="auto" w:fill="D9D9D9" w:themeFill="background1" w:themeFillShade="D9"/>
          </w:tcPr>
          <w:p w:rsidR="00447EB9" w:rsidRPr="001377E5" w:rsidP="000859AB" w14:paraId="1902338B" w14:textId="3E3F051B">
            <w:pPr>
              <w:jc w:val="center"/>
              <w:rPr>
                <w:rFonts w:asciiTheme="minorHAnsi" w:hAnsiTheme="minorHAnsi"/>
                <w:b/>
                <w:sz w:val="22"/>
                <w:szCs w:val="22"/>
              </w:rPr>
            </w:pPr>
            <w:r w:rsidRPr="001377E5">
              <w:rPr>
                <w:rFonts w:asciiTheme="minorHAnsi" w:hAnsiTheme="minorHAnsi"/>
                <w:b/>
                <w:sz w:val="22"/>
                <w:szCs w:val="22"/>
              </w:rPr>
              <w:t>Time Schedule</w:t>
            </w:r>
          </w:p>
        </w:tc>
      </w:tr>
      <w:tr w14:paraId="2569D8F7" w14:textId="77777777" w:rsidTr="000859AB">
        <w:tblPrEx>
          <w:tblW w:w="0" w:type="auto"/>
          <w:tblLook w:val="04A0"/>
        </w:tblPrEx>
        <w:tc>
          <w:tcPr>
            <w:tcW w:w="4932" w:type="dxa"/>
            <w:shd w:val="clear" w:color="auto" w:fill="auto"/>
          </w:tcPr>
          <w:p w:rsidR="00447EB9" w:rsidRPr="001377E5" w:rsidP="00FF72FC" w14:paraId="06C4A94D" w14:textId="2B189B2F">
            <w:pPr>
              <w:rPr>
                <w:rFonts w:asciiTheme="minorHAnsi" w:hAnsiTheme="minorHAnsi"/>
                <w:b/>
                <w:sz w:val="22"/>
                <w:szCs w:val="22"/>
              </w:rPr>
            </w:pPr>
            <w:r w:rsidRPr="001377E5">
              <w:rPr>
                <w:rFonts w:asciiTheme="minorHAnsi" w:hAnsiTheme="minorHAnsi"/>
                <w:sz w:val="22"/>
                <w:szCs w:val="22"/>
              </w:rPr>
              <w:t>Inform HBCUs and small businesses of upcoming NIH events</w:t>
            </w:r>
          </w:p>
        </w:tc>
        <w:tc>
          <w:tcPr>
            <w:tcW w:w="4932" w:type="dxa"/>
            <w:shd w:val="clear" w:color="auto" w:fill="auto"/>
          </w:tcPr>
          <w:p w:rsidR="00447EB9" w:rsidRPr="001377E5" w:rsidP="00142832" w14:paraId="419FAAD7" w14:textId="1E50B9FA">
            <w:pPr>
              <w:rPr>
                <w:rFonts w:asciiTheme="minorHAnsi" w:hAnsiTheme="minorHAnsi"/>
                <w:sz w:val="22"/>
                <w:szCs w:val="22"/>
              </w:rPr>
            </w:pPr>
            <w:r w:rsidRPr="001377E5">
              <w:rPr>
                <w:rFonts w:asciiTheme="minorHAnsi" w:hAnsiTheme="minorHAnsi"/>
                <w:sz w:val="22"/>
                <w:szCs w:val="22"/>
              </w:rPr>
              <w:t>1 - 2 months after OMB approval</w:t>
            </w:r>
          </w:p>
        </w:tc>
      </w:tr>
      <w:tr w14:paraId="24426CEA" w14:textId="77777777" w:rsidTr="000859AB">
        <w:tblPrEx>
          <w:tblW w:w="0" w:type="auto"/>
          <w:tblLook w:val="04A0"/>
        </w:tblPrEx>
        <w:tc>
          <w:tcPr>
            <w:tcW w:w="4932" w:type="dxa"/>
            <w:shd w:val="clear" w:color="auto" w:fill="auto"/>
          </w:tcPr>
          <w:p w:rsidR="00447EB9" w:rsidRPr="001377E5" w:rsidP="00FF72FC" w14:paraId="68B553EB" w14:textId="6A0628E6">
            <w:pPr>
              <w:rPr>
                <w:rFonts w:asciiTheme="minorHAnsi" w:hAnsiTheme="minorHAnsi"/>
                <w:b/>
                <w:sz w:val="22"/>
                <w:szCs w:val="22"/>
              </w:rPr>
            </w:pPr>
            <w:r w:rsidRPr="001377E5">
              <w:rPr>
                <w:rFonts w:asciiTheme="minorHAnsi" w:hAnsiTheme="minorHAnsi"/>
                <w:sz w:val="22"/>
                <w:szCs w:val="22"/>
              </w:rPr>
              <w:t>Respond to any requests for assistance from the HBCU and small business users</w:t>
            </w:r>
          </w:p>
        </w:tc>
        <w:tc>
          <w:tcPr>
            <w:tcW w:w="4932" w:type="dxa"/>
            <w:shd w:val="clear" w:color="auto" w:fill="auto"/>
          </w:tcPr>
          <w:p w:rsidR="00447EB9" w:rsidRPr="001377E5" w:rsidP="00142832" w14:paraId="0F61568F" w14:textId="10DC88A7">
            <w:pPr>
              <w:rPr>
                <w:rFonts w:asciiTheme="minorHAnsi" w:hAnsiTheme="minorHAnsi"/>
                <w:sz w:val="22"/>
                <w:szCs w:val="22"/>
              </w:rPr>
            </w:pPr>
            <w:r w:rsidRPr="001377E5">
              <w:rPr>
                <w:rFonts w:asciiTheme="minorHAnsi" w:hAnsiTheme="minorHAnsi"/>
                <w:sz w:val="22"/>
                <w:szCs w:val="22"/>
              </w:rPr>
              <w:t>1 – 12 months after OMB approval</w:t>
            </w:r>
          </w:p>
        </w:tc>
      </w:tr>
      <w:tr w14:paraId="0EF31F50" w14:textId="77777777" w:rsidTr="00447EB9">
        <w:tblPrEx>
          <w:tblW w:w="0" w:type="auto"/>
          <w:tblLook w:val="04A0"/>
        </w:tblPrEx>
        <w:tc>
          <w:tcPr>
            <w:tcW w:w="4932" w:type="dxa"/>
            <w:shd w:val="clear" w:color="auto" w:fill="auto"/>
          </w:tcPr>
          <w:p w:rsidR="00533D66" w:rsidRPr="001377E5" w:rsidP="00FF72FC" w14:paraId="7EE21D00" w14:textId="6BD94966">
            <w:pPr>
              <w:rPr>
                <w:rFonts w:asciiTheme="minorHAnsi" w:hAnsiTheme="minorHAnsi"/>
                <w:sz w:val="22"/>
                <w:szCs w:val="22"/>
              </w:rPr>
            </w:pPr>
            <w:r w:rsidRPr="001377E5">
              <w:rPr>
                <w:rFonts w:asciiTheme="minorHAnsi" w:hAnsiTheme="minorHAnsi"/>
                <w:sz w:val="22"/>
                <w:szCs w:val="22"/>
              </w:rPr>
              <w:t xml:space="preserve">Pull data from the HBCU Pre-solicitation portal </w:t>
            </w:r>
          </w:p>
        </w:tc>
        <w:tc>
          <w:tcPr>
            <w:tcW w:w="4932" w:type="dxa"/>
            <w:shd w:val="clear" w:color="auto" w:fill="auto"/>
          </w:tcPr>
          <w:p w:rsidR="00533D66" w:rsidRPr="001377E5" w:rsidP="00142832" w14:paraId="437F8A8D" w14:textId="09E1C379">
            <w:pPr>
              <w:rPr>
                <w:rFonts w:asciiTheme="minorHAnsi" w:hAnsiTheme="minorHAnsi"/>
                <w:sz w:val="22"/>
                <w:szCs w:val="22"/>
              </w:rPr>
            </w:pPr>
            <w:r w:rsidRPr="001377E5">
              <w:rPr>
                <w:rFonts w:asciiTheme="minorHAnsi" w:hAnsiTheme="minorHAnsi"/>
                <w:sz w:val="22"/>
                <w:szCs w:val="22"/>
              </w:rPr>
              <w:t>6 – 8 months after OMB approval</w:t>
            </w:r>
          </w:p>
        </w:tc>
      </w:tr>
      <w:tr w14:paraId="2A30D1AA" w14:textId="77777777" w:rsidTr="00447EB9">
        <w:tblPrEx>
          <w:tblW w:w="0" w:type="auto"/>
          <w:tblLook w:val="04A0"/>
        </w:tblPrEx>
        <w:tc>
          <w:tcPr>
            <w:tcW w:w="4932" w:type="dxa"/>
            <w:shd w:val="clear" w:color="auto" w:fill="auto"/>
          </w:tcPr>
          <w:p w:rsidR="00533D66" w:rsidRPr="001377E5" w:rsidP="00FF72FC" w14:paraId="7BFD29DD" w14:textId="35149E59">
            <w:pPr>
              <w:rPr>
                <w:rFonts w:asciiTheme="minorHAnsi" w:hAnsiTheme="minorHAnsi"/>
                <w:sz w:val="22"/>
                <w:szCs w:val="22"/>
              </w:rPr>
            </w:pPr>
            <w:r w:rsidRPr="001377E5">
              <w:rPr>
                <w:rFonts w:asciiTheme="minorHAnsi" w:hAnsiTheme="minorHAnsi"/>
                <w:sz w:val="22"/>
                <w:szCs w:val="22"/>
              </w:rPr>
              <w:t>Perform analysis of interests by HBCUs and small business</w:t>
            </w:r>
          </w:p>
        </w:tc>
        <w:tc>
          <w:tcPr>
            <w:tcW w:w="4932" w:type="dxa"/>
            <w:shd w:val="clear" w:color="auto" w:fill="auto"/>
          </w:tcPr>
          <w:p w:rsidR="00533D66" w:rsidRPr="001377E5" w:rsidP="00142832" w14:paraId="3A3BFB9F" w14:textId="730B884E">
            <w:pPr>
              <w:rPr>
                <w:rFonts w:asciiTheme="minorHAnsi" w:hAnsiTheme="minorHAnsi"/>
                <w:sz w:val="22"/>
                <w:szCs w:val="22"/>
              </w:rPr>
            </w:pPr>
            <w:r w:rsidRPr="001377E5">
              <w:rPr>
                <w:rFonts w:asciiTheme="minorHAnsi" w:hAnsiTheme="minorHAnsi"/>
                <w:sz w:val="22"/>
                <w:szCs w:val="22"/>
              </w:rPr>
              <w:t>9 – 11 months after OMB approval</w:t>
            </w:r>
          </w:p>
        </w:tc>
      </w:tr>
      <w:tr w14:paraId="5799013B" w14:textId="77777777" w:rsidTr="00447EB9">
        <w:tblPrEx>
          <w:tblW w:w="0" w:type="auto"/>
          <w:tblLook w:val="04A0"/>
        </w:tblPrEx>
        <w:tc>
          <w:tcPr>
            <w:tcW w:w="4932" w:type="dxa"/>
            <w:shd w:val="clear" w:color="auto" w:fill="auto"/>
          </w:tcPr>
          <w:p w:rsidR="000266E3" w:rsidRPr="001377E5" w:rsidP="00FF72FC" w14:paraId="70DCB8A2" w14:textId="23DA6B55">
            <w:pPr>
              <w:rPr>
                <w:rFonts w:asciiTheme="minorHAnsi" w:hAnsiTheme="minorHAnsi"/>
                <w:sz w:val="22"/>
                <w:szCs w:val="22"/>
              </w:rPr>
            </w:pPr>
            <w:r w:rsidRPr="001377E5">
              <w:rPr>
                <w:rFonts w:asciiTheme="minorHAnsi" w:hAnsiTheme="minorHAnsi"/>
                <w:sz w:val="22"/>
                <w:szCs w:val="22"/>
              </w:rPr>
              <w:t>Post suggested opportunities to the HBCU Pre-solicitation portal for HBCUs and small businesses</w:t>
            </w:r>
          </w:p>
        </w:tc>
        <w:tc>
          <w:tcPr>
            <w:tcW w:w="4932" w:type="dxa"/>
            <w:shd w:val="clear" w:color="auto" w:fill="auto"/>
          </w:tcPr>
          <w:p w:rsidR="000266E3" w:rsidRPr="001377E5" w:rsidP="00142832" w14:paraId="5EA413D0" w14:textId="2A5EE500">
            <w:pPr>
              <w:rPr>
                <w:rFonts w:asciiTheme="minorHAnsi" w:hAnsiTheme="minorHAnsi"/>
                <w:sz w:val="22"/>
                <w:szCs w:val="22"/>
              </w:rPr>
            </w:pPr>
            <w:r w:rsidRPr="001377E5">
              <w:rPr>
                <w:rFonts w:asciiTheme="minorHAnsi" w:hAnsiTheme="minorHAnsi"/>
                <w:sz w:val="22"/>
                <w:szCs w:val="22"/>
              </w:rPr>
              <w:t>12 months after OMB approval</w:t>
            </w:r>
          </w:p>
        </w:tc>
      </w:tr>
    </w:tbl>
    <w:p w:rsidR="00FC2A7D" w:rsidP="00FF72FC" w14:paraId="566192F3" w14:textId="77777777">
      <w:pPr>
        <w:rPr>
          <w:b/>
        </w:rPr>
      </w:pPr>
    </w:p>
    <w:p w:rsidR="00FF72FC" w:rsidRPr="005C4013" w:rsidP="00FF72FC" w14:paraId="784F517C" w14:textId="77777777">
      <w:pPr>
        <w:rPr>
          <w:b/>
        </w:rPr>
      </w:pPr>
      <w:r w:rsidRPr="005C4013">
        <w:rPr>
          <w:b/>
        </w:rPr>
        <w:t>A.17</w:t>
      </w:r>
      <w:r w:rsidRPr="005C4013">
        <w:rPr>
          <w:b/>
        </w:rPr>
        <w:tab/>
        <w:t>Reason(s) Display of OMB Expiration Date is Inappropriate</w:t>
      </w:r>
    </w:p>
    <w:p w:rsidR="00476BC7" w:rsidRPr="00E35DD1" w:rsidP="00FF72FC" w14:paraId="0FAE3A39" w14:textId="3538D32A">
      <w:r>
        <w:t xml:space="preserve">The OMB number and expiration date will be displayed. </w:t>
      </w:r>
    </w:p>
    <w:p w:rsidR="0057480E" w:rsidRPr="005C4013" w:rsidP="00FF72FC" w14:paraId="29FC6887" w14:textId="77777777">
      <w:pPr>
        <w:rPr>
          <w:b/>
        </w:rPr>
      </w:pPr>
      <w:r w:rsidRPr="005C4013">
        <w:rPr>
          <w:b/>
        </w:rPr>
        <w:t>A.18</w:t>
      </w:r>
      <w:r w:rsidRPr="005C4013">
        <w:rPr>
          <w:b/>
        </w:rPr>
        <w:tab/>
        <w:t>Exceptions to Certification for Paperwork Reduction Act Submissions</w:t>
      </w:r>
    </w:p>
    <w:p w:rsidR="00476BC7" w:rsidRPr="00C94882" w:rsidP="00FF72FC" w14:paraId="5342C6BD" w14:textId="77777777">
      <w:r w:rsidRPr="00024899">
        <w:t xml:space="preserve"> </w:t>
      </w:r>
      <w:r w:rsidRPr="00C25E9C">
        <w:rPr>
          <w:rFonts w:cs="ArialMT"/>
        </w:rPr>
        <w:t>There are no exceptions to the Certification for Paperwork Reduction Act Submissions</w:t>
      </w:r>
      <w:r w:rsidRPr="00C25E9C" w:rsidR="00023B15">
        <w:rPr>
          <w:rFonts w:cs="ArialMT"/>
        </w:rPr>
        <w:t>.</w:t>
      </w:r>
    </w:p>
    <w:sectPr w:rsidSect="00FE6EA5">
      <w:footerReference w:type="even" r:id="rId13"/>
      <w:footerReference w:type="default" r:id="rId14"/>
      <w:pgSz w:w="12240" w:h="15840"/>
      <w:pgMar w:top="1296" w:right="1296" w:bottom="1296" w:left="1296"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F29" w:rsidP="001F17B2" w14:paraId="3FC6F7F0" w14:textId="67714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2BE">
      <w:rPr>
        <w:rStyle w:val="PageNumber"/>
        <w:noProof/>
      </w:rPr>
      <w:t>5</w:t>
    </w:r>
    <w:r>
      <w:rPr>
        <w:rStyle w:val="PageNumber"/>
      </w:rPr>
      <w:fldChar w:fldCharType="end"/>
    </w:r>
  </w:p>
  <w:p w:rsidR="00650F29" w14:paraId="4F2284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F29" w:rsidP="001F17B2" w14:paraId="48F3A4BE" w14:textId="46941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B4B">
      <w:rPr>
        <w:rStyle w:val="PageNumber"/>
        <w:noProof/>
      </w:rPr>
      <w:t>1</w:t>
    </w:r>
    <w:r>
      <w:rPr>
        <w:rStyle w:val="PageNumber"/>
      </w:rPr>
      <w:fldChar w:fldCharType="end"/>
    </w:r>
  </w:p>
  <w:p w:rsidR="00650F29" w:rsidP="001F17B2" w14:paraId="4603DAB9"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1FAB" w14:paraId="1C12863F" w14:textId="77777777">
      <w:pPr>
        <w:spacing w:after="0" w:line="240" w:lineRule="auto"/>
      </w:pPr>
      <w:r>
        <w:separator/>
      </w:r>
    </w:p>
  </w:footnote>
  <w:footnote w:type="continuationSeparator" w:id="1">
    <w:p w:rsidR="00B71FAB" w14:paraId="717D7756" w14:textId="77777777">
      <w:pPr>
        <w:spacing w:after="0" w:line="240" w:lineRule="auto"/>
      </w:pPr>
      <w:r>
        <w:continuationSeparator/>
      </w:r>
    </w:p>
  </w:footnote>
  <w:footnote w:id="2">
    <w:p w:rsidR="00650F29" w:rsidP="002831C8" w14:paraId="673783ED" w14:textId="77777777">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https://sites.ed.gov/whhbcu/about-us/</w:t>
        </w:r>
      </w:hyperlink>
    </w:p>
  </w:footnote>
  <w:footnote w:id="3">
    <w:p w:rsidR="00650F29" w14:paraId="15C55371" w14:textId="168D589B">
      <w:pPr>
        <w:pStyle w:val="FootnoteText"/>
      </w:pPr>
      <w:r>
        <w:rPr>
          <w:rStyle w:val="FootnoteReference"/>
        </w:rPr>
        <w:footnoteRef/>
      </w:r>
      <w:r>
        <w:t xml:space="preserve"> </w:t>
      </w:r>
      <w:hyperlink r:id="rId2" w:history="1">
        <w:r>
          <w:rPr>
            <w:rStyle w:val="Hyperlink"/>
          </w:rPr>
          <w:t>https://www.sba.gov/sites/default/files/advocacy/2018-Small-Business-Profiles-US.pdf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061E9"/>
    <w:multiLevelType w:val="multilevel"/>
    <w:tmpl w:val="CCF69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F23F0A"/>
    <w:multiLevelType w:val="multilevel"/>
    <w:tmpl w:val="524A6D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E82290"/>
    <w:multiLevelType w:val="hybridMultilevel"/>
    <w:tmpl w:val="787E1A84"/>
    <w:lvl w:ilvl="0">
      <w:start w:val="1"/>
      <w:numFmt w:val="bullet"/>
      <w:lvlText w:val=""/>
      <w:lvlJc w:val="left"/>
      <w:pPr>
        <w:ind w:left="720" w:hanging="360"/>
      </w:pPr>
      <w:rPr>
        <w:rFonts w:ascii="Symbol" w:hAnsi="Symbol"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CD6C86"/>
    <w:multiLevelType w:val="multilevel"/>
    <w:tmpl w:val="492A2B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C42FE6"/>
    <w:multiLevelType w:val="hybridMultilevel"/>
    <w:tmpl w:val="9FC6E45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5">
    <w:nsid w:val="1A2A6C0E"/>
    <w:multiLevelType w:val="multilevel"/>
    <w:tmpl w:val="3384A8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F41D25"/>
    <w:multiLevelType w:val="multilevel"/>
    <w:tmpl w:val="843A0A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BD44FD"/>
    <w:multiLevelType w:val="multilevel"/>
    <w:tmpl w:val="AAEE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36FF5"/>
    <w:multiLevelType w:val="multilevel"/>
    <w:tmpl w:val="96445D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F17FDB"/>
    <w:multiLevelType w:val="hybridMultilevel"/>
    <w:tmpl w:val="915290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A41BA3"/>
    <w:multiLevelType w:val="hybridMultilevel"/>
    <w:tmpl w:val="5D18B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E3DB7"/>
    <w:multiLevelType w:val="hybridMultilevel"/>
    <w:tmpl w:val="B030B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DF0F17"/>
    <w:multiLevelType w:val="hybridMultilevel"/>
    <w:tmpl w:val="34703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E4709E"/>
    <w:multiLevelType w:val="multilevel"/>
    <w:tmpl w:val="424A97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D00837"/>
    <w:multiLevelType w:val="hybridMultilevel"/>
    <w:tmpl w:val="970AD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CA7580"/>
    <w:multiLevelType w:val="hybridMultilevel"/>
    <w:tmpl w:val="F8C6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005AA7"/>
    <w:multiLevelType w:val="hybridMultilevel"/>
    <w:tmpl w:val="E58CDB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9D1459"/>
    <w:multiLevelType w:val="hybridMultilevel"/>
    <w:tmpl w:val="B03A0C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3B0375"/>
    <w:multiLevelType w:val="hybridMultilevel"/>
    <w:tmpl w:val="8BFCDB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B953955"/>
    <w:multiLevelType w:val="hybridMultilevel"/>
    <w:tmpl w:val="424E3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7C22B0"/>
    <w:multiLevelType w:val="hybridMultilevel"/>
    <w:tmpl w:val="DC42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1A5102"/>
    <w:multiLevelType w:val="hybridMultilevel"/>
    <w:tmpl w:val="FC34FE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6834717C"/>
    <w:multiLevelType w:val="hybridMultilevel"/>
    <w:tmpl w:val="E3D2A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E70BD3"/>
    <w:multiLevelType w:val="hybridMultilevel"/>
    <w:tmpl w:val="92CE6964"/>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6FB000B7"/>
    <w:multiLevelType w:val="multilevel"/>
    <w:tmpl w:val="401E1A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3863001"/>
    <w:multiLevelType w:val="hybridMultilevel"/>
    <w:tmpl w:val="A20E9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7913021">
    <w:abstractNumId w:val="23"/>
  </w:num>
  <w:num w:numId="2" w16cid:durableId="1996495969">
    <w:abstractNumId w:val="10"/>
  </w:num>
  <w:num w:numId="3" w16cid:durableId="384645963">
    <w:abstractNumId w:val="21"/>
  </w:num>
  <w:num w:numId="4" w16cid:durableId="2003850732">
    <w:abstractNumId w:val="4"/>
  </w:num>
  <w:num w:numId="5" w16cid:durableId="2061319999">
    <w:abstractNumId w:val="13"/>
  </w:num>
  <w:num w:numId="6" w16cid:durableId="537426636">
    <w:abstractNumId w:val="12"/>
  </w:num>
  <w:num w:numId="7" w16cid:durableId="1403407123">
    <w:abstractNumId w:val="16"/>
  </w:num>
  <w:num w:numId="8" w16cid:durableId="284510898">
    <w:abstractNumId w:val="18"/>
  </w:num>
  <w:num w:numId="9" w16cid:durableId="1941527711">
    <w:abstractNumId w:val="17"/>
  </w:num>
  <w:num w:numId="10" w16cid:durableId="971903941">
    <w:abstractNumId w:val="22"/>
  </w:num>
  <w:num w:numId="11" w16cid:durableId="1797522864">
    <w:abstractNumId w:val="7"/>
  </w:num>
  <w:num w:numId="12" w16cid:durableId="1619603781">
    <w:abstractNumId w:val="8"/>
  </w:num>
  <w:num w:numId="13" w16cid:durableId="576014016">
    <w:abstractNumId w:val="15"/>
  </w:num>
  <w:num w:numId="14" w16cid:durableId="1914851661">
    <w:abstractNumId w:val="9"/>
  </w:num>
  <w:num w:numId="15" w16cid:durableId="980889911">
    <w:abstractNumId w:val="3"/>
  </w:num>
  <w:num w:numId="16" w16cid:durableId="807433072">
    <w:abstractNumId w:val="25"/>
  </w:num>
  <w:num w:numId="17" w16cid:durableId="1419400747">
    <w:abstractNumId w:val="1"/>
  </w:num>
  <w:num w:numId="18" w16cid:durableId="28536396">
    <w:abstractNumId w:val="6"/>
  </w:num>
  <w:num w:numId="19" w16cid:durableId="1853839186">
    <w:abstractNumId w:val="5"/>
  </w:num>
  <w:num w:numId="20" w16cid:durableId="253973615">
    <w:abstractNumId w:val="14"/>
  </w:num>
  <w:num w:numId="21" w16cid:durableId="755784373">
    <w:abstractNumId w:val="19"/>
  </w:num>
  <w:num w:numId="22" w16cid:durableId="1222667275">
    <w:abstractNumId w:val="26"/>
  </w:num>
  <w:num w:numId="23" w16cid:durableId="766462540">
    <w:abstractNumId w:val="20"/>
  </w:num>
  <w:num w:numId="24" w16cid:durableId="424107759">
    <w:abstractNumId w:val="11"/>
  </w:num>
  <w:num w:numId="25" w16cid:durableId="160435365">
    <w:abstractNumId w:val="2"/>
  </w:num>
  <w:num w:numId="26" w16cid:durableId="1603295525">
    <w:abstractNumId w:val="0"/>
  </w:num>
  <w:num w:numId="27" w16cid:durableId="344553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07079"/>
    <w:rsid w:val="00007EF6"/>
    <w:rsid w:val="000105E6"/>
    <w:rsid w:val="00010A41"/>
    <w:rsid w:val="00014D5B"/>
    <w:rsid w:val="00021AD8"/>
    <w:rsid w:val="00023B15"/>
    <w:rsid w:val="00024899"/>
    <w:rsid w:val="000266E3"/>
    <w:rsid w:val="00030E83"/>
    <w:rsid w:val="000334E9"/>
    <w:rsid w:val="000339FA"/>
    <w:rsid w:val="000359EA"/>
    <w:rsid w:val="0003775B"/>
    <w:rsid w:val="00037860"/>
    <w:rsid w:val="00037C63"/>
    <w:rsid w:val="000450A1"/>
    <w:rsid w:val="000570D0"/>
    <w:rsid w:val="00061031"/>
    <w:rsid w:val="000657B7"/>
    <w:rsid w:val="00072383"/>
    <w:rsid w:val="00074086"/>
    <w:rsid w:val="00076D98"/>
    <w:rsid w:val="000859AB"/>
    <w:rsid w:val="00091F7D"/>
    <w:rsid w:val="000952B5"/>
    <w:rsid w:val="00095C92"/>
    <w:rsid w:val="000A139A"/>
    <w:rsid w:val="000A166E"/>
    <w:rsid w:val="000B2A03"/>
    <w:rsid w:val="000B43E5"/>
    <w:rsid w:val="000B4D4E"/>
    <w:rsid w:val="000B6C18"/>
    <w:rsid w:val="000C0851"/>
    <w:rsid w:val="000C0D0C"/>
    <w:rsid w:val="000D2D49"/>
    <w:rsid w:val="000D3C0D"/>
    <w:rsid w:val="000D5074"/>
    <w:rsid w:val="000D68DC"/>
    <w:rsid w:val="000E2164"/>
    <w:rsid w:val="000E6D5B"/>
    <w:rsid w:val="000E78A7"/>
    <w:rsid w:val="000F3043"/>
    <w:rsid w:val="000F47CA"/>
    <w:rsid w:val="000F6F78"/>
    <w:rsid w:val="00105ADD"/>
    <w:rsid w:val="00106767"/>
    <w:rsid w:val="001104AC"/>
    <w:rsid w:val="00110E2A"/>
    <w:rsid w:val="00114539"/>
    <w:rsid w:val="0012048D"/>
    <w:rsid w:val="0012069D"/>
    <w:rsid w:val="00121F24"/>
    <w:rsid w:val="00133B2A"/>
    <w:rsid w:val="001377E5"/>
    <w:rsid w:val="00142832"/>
    <w:rsid w:val="00143350"/>
    <w:rsid w:val="00143B4B"/>
    <w:rsid w:val="00151FC0"/>
    <w:rsid w:val="00155A1A"/>
    <w:rsid w:val="00157D63"/>
    <w:rsid w:val="00170EC9"/>
    <w:rsid w:val="00183BC5"/>
    <w:rsid w:val="00183E2E"/>
    <w:rsid w:val="0018432A"/>
    <w:rsid w:val="00190C83"/>
    <w:rsid w:val="00193010"/>
    <w:rsid w:val="00195414"/>
    <w:rsid w:val="001A0ADC"/>
    <w:rsid w:val="001B54B9"/>
    <w:rsid w:val="001B6DCA"/>
    <w:rsid w:val="001C1B80"/>
    <w:rsid w:val="001C3A13"/>
    <w:rsid w:val="001D2738"/>
    <w:rsid w:val="001D446E"/>
    <w:rsid w:val="001D608B"/>
    <w:rsid w:val="001E3042"/>
    <w:rsid w:val="001E71F7"/>
    <w:rsid w:val="001F1750"/>
    <w:rsid w:val="001F17B2"/>
    <w:rsid w:val="001F384D"/>
    <w:rsid w:val="001F4547"/>
    <w:rsid w:val="001F684C"/>
    <w:rsid w:val="002048AE"/>
    <w:rsid w:val="0021028F"/>
    <w:rsid w:val="002125C5"/>
    <w:rsid w:val="00214926"/>
    <w:rsid w:val="002157A0"/>
    <w:rsid w:val="00221530"/>
    <w:rsid w:val="00230659"/>
    <w:rsid w:val="00231E5F"/>
    <w:rsid w:val="0024025D"/>
    <w:rsid w:val="0024232D"/>
    <w:rsid w:val="0024552F"/>
    <w:rsid w:val="00247209"/>
    <w:rsid w:val="00251AD6"/>
    <w:rsid w:val="00255863"/>
    <w:rsid w:val="00255F7C"/>
    <w:rsid w:val="00260023"/>
    <w:rsid w:val="002620A2"/>
    <w:rsid w:val="00263B28"/>
    <w:rsid w:val="00263F66"/>
    <w:rsid w:val="00265F06"/>
    <w:rsid w:val="002670CD"/>
    <w:rsid w:val="002727B4"/>
    <w:rsid w:val="002739AA"/>
    <w:rsid w:val="00276FBD"/>
    <w:rsid w:val="002770FA"/>
    <w:rsid w:val="002818B8"/>
    <w:rsid w:val="002831C8"/>
    <w:rsid w:val="00284858"/>
    <w:rsid w:val="00286EED"/>
    <w:rsid w:val="00291B8C"/>
    <w:rsid w:val="00296BEC"/>
    <w:rsid w:val="00296DC2"/>
    <w:rsid w:val="002B358F"/>
    <w:rsid w:val="002B4729"/>
    <w:rsid w:val="002B5FBE"/>
    <w:rsid w:val="002C08F8"/>
    <w:rsid w:val="002C5D4F"/>
    <w:rsid w:val="002D1D08"/>
    <w:rsid w:val="002D6353"/>
    <w:rsid w:val="002E34D5"/>
    <w:rsid w:val="002F4317"/>
    <w:rsid w:val="002F7CF4"/>
    <w:rsid w:val="00302874"/>
    <w:rsid w:val="00312856"/>
    <w:rsid w:val="0031306D"/>
    <w:rsid w:val="00325402"/>
    <w:rsid w:val="003338BF"/>
    <w:rsid w:val="00336839"/>
    <w:rsid w:val="00340A72"/>
    <w:rsid w:val="0036178A"/>
    <w:rsid w:val="0036208F"/>
    <w:rsid w:val="0037291F"/>
    <w:rsid w:val="00386266"/>
    <w:rsid w:val="00393813"/>
    <w:rsid w:val="003A1DD4"/>
    <w:rsid w:val="003A2DA3"/>
    <w:rsid w:val="003A7626"/>
    <w:rsid w:val="003B4A8C"/>
    <w:rsid w:val="003D115B"/>
    <w:rsid w:val="003D1E39"/>
    <w:rsid w:val="003D21CF"/>
    <w:rsid w:val="003D269C"/>
    <w:rsid w:val="003D5672"/>
    <w:rsid w:val="003E2444"/>
    <w:rsid w:val="003E6446"/>
    <w:rsid w:val="00402DA1"/>
    <w:rsid w:val="00407CE7"/>
    <w:rsid w:val="00421EB5"/>
    <w:rsid w:val="0042466E"/>
    <w:rsid w:val="00434DBC"/>
    <w:rsid w:val="004359D7"/>
    <w:rsid w:val="0043701E"/>
    <w:rsid w:val="00441831"/>
    <w:rsid w:val="00442AB0"/>
    <w:rsid w:val="00442B5B"/>
    <w:rsid w:val="00447EB9"/>
    <w:rsid w:val="00450742"/>
    <w:rsid w:val="00453001"/>
    <w:rsid w:val="00455249"/>
    <w:rsid w:val="00455548"/>
    <w:rsid w:val="0046316B"/>
    <w:rsid w:val="004716CF"/>
    <w:rsid w:val="00472193"/>
    <w:rsid w:val="00476BC7"/>
    <w:rsid w:val="00477C55"/>
    <w:rsid w:val="004939B3"/>
    <w:rsid w:val="00497B81"/>
    <w:rsid w:val="004B4EDD"/>
    <w:rsid w:val="004B7D46"/>
    <w:rsid w:val="004B7E0C"/>
    <w:rsid w:val="004C0C30"/>
    <w:rsid w:val="004C35C5"/>
    <w:rsid w:val="004C4B9F"/>
    <w:rsid w:val="004E2A33"/>
    <w:rsid w:val="004F1110"/>
    <w:rsid w:val="00500C02"/>
    <w:rsid w:val="005150E7"/>
    <w:rsid w:val="005155D5"/>
    <w:rsid w:val="00520554"/>
    <w:rsid w:val="00533D66"/>
    <w:rsid w:val="005359FD"/>
    <w:rsid w:val="00536110"/>
    <w:rsid w:val="00536C12"/>
    <w:rsid w:val="005376D1"/>
    <w:rsid w:val="00541BEB"/>
    <w:rsid w:val="00552B20"/>
    <w:rsid w:val="00563636"/>
    <w:rsid w:val="00571540"/>
    <w:rsid w:val="0057480E"/>
    <w:rsid w:val="00574842"/>
    <w:rsid w:val="00581AB1"/>
    <w:rsid w:val="0058272C"/>
    <w:rsid w:val="00582F36"/>
    <w:rsid w:val="005947A9"/>
    <w:rsid w:val="0059505C"/>
    <w:rsid w:val="005A306C"/>
    <w:rsid w:val="005A4C85"/>
    <w:rsid w:val="005A636C"/>
    <w:rsid w:val="005B37B3"/>
    <w:rsid w:val="005B4F3E"/>
    <w:rsid w:val="005C4013"/>
    <w:rsid w:val="005D2C70"/>
    <w:rsid w:val="005D4845"/>
    <w:rsid w:val="005E188C"/>
    <w:rsid w:val="005E1B3D"/>
    <w:rsid w:val="005E3493"/>
    <w:rsid w:val="005F0306"/>
    <w:rsid w:val="005F2D6A"/>
    <w:rsid w:val="005F341D"/>
    <w:rsid w:val="005F4A54"/>
    <w:rsid w:val="005F5CE0"/>
    <w:rsid w:val="005F619D"/>
    <w:rsid w:val="005F6B05"/>
    <w:rsid w:val="006025A5"/>
    <w:rsid w:val="0060288A"/>
    <w:rsid w:val="0060597D"/>
    <w:rsid w:val="00616124"/>
    <w:rsid w:val="00623307"/>
    <w:rsid w:val="00624A13"/>
    <w:rsid w:val="006262D1"/>
    <w:rsid w:val="00630A6E"/>
    <w:rsid w:val="00631C3D"/>
    <w:rsid w:val="0063462B"/>
    <w:rsid w:val="00637A5E"/>
    <w:rsid w:val="00641209"/>
    <w:rsid w:val="006419B7"/>
    <w:rsid w:val="00641BB5"/>
    <w:rsid w:val="00643F45"/>
    <w:rsid w:val="00644341"/>
    <w:rsid w:val="00646592"/>
    <w:rsid w:val="00647793"/>
    <w:rsid w:val="00650F29"/>
    <w:rsid w:val="00654729"/>
    <w:rsid w:val="0065708D"/>
    <w:rsid w:val="0065770B"/>
    <w:rsid w:val="006602CF"/>
    <w:rsid w:val="00660583"/>
    <w:rsid w:val="0067789C"/>
    <w:rsid w:val="00681F63"/>
    <w:rsid w:val="00682705"/>
    <w:rsid w:val="00685B30"/>
    <w:rsid w:val="006905F8"/>
    <w:rsid w:val="0069581F"/>
    <w:rsid w:val="00696880"/>
    <w:rsid w:val="006A35BF"/>
    <w:rsid w:val="006A45F9"/>
    <w:rsid w:val="006B097F"/>
    <w:rsid w:val="006B624F"/>
    <w:rsid w:val="006C07E9"/>
    <w:rsid w:val="006C1EF6"/>
    <w:rsid w:val="006C457C"/>
    <w:rsid w:val="006E1C1C"/>
    <w:rsid w:val="006E59CF"/>
    <w:rsid w:val="006E70BA"/>
    <w:rsid w:val="006F10FA"/>
    <w:rsid w:val="006F25E3"/>
    <w:rsid w:val="006F30E1"/>
    <w:rsid w:val="00703A8B"/>
    <w:rsid w:val="007063F8"/>
    <w:rsid w:val="00712D5C"/>
    <w:rsid w:val="0071305E"/>
    <w:rsid w:val="007134F4"/>
    <w:rsid w:val="00714BFA"/>
    <w:rsid w:val="00717158"/>
    <w:rsid w:val="00717DC7"/>
    <w:rsid w:val="00721F0D"/>
    <w:rsid w:val="00724BD3"/>
    <w:rsid w:val="0073340B"/>
    <w:rsid w:val="00735B87"/>
    <w:rsid w:val="00743E5A"/>
    <w:rsid w:val="00745E42"/>
    <w:rsid w:val="00756DDA"/>
    <w:rsid w:val="00762F3D"/>
    <w:rsid w:val="00767C53"/>
    <w:rsid w:val="00774B16"/>
    <w:rsid w:val="00775933"/>
    <w:rsid w:val="00775A11"/>
    <w:rsid w:val="00785455"/>
    <w:rsid w:val="007A0CA3"/>
    <w:rsid w:val="007A4296"/>
    <w:rsid w:val="007B0C0C"/>
    <w:rsid w:val="007B655E"/>
    <w:rsid w:val="007C19E6"/>
    <w:rsid w:val="007C1D5C"/>
    <w:rsid w:val="007C3611"/>
    <w:rsid w:val="007C5BBB"/>
    <w:rsid w:val="007D11BF"/>
    <w:rsid w:val="007D402F"/>
    <w:rsid w:val="007D5384"/>
    <w:rsid w:val="007E3C58"/>
    <w:rsid w:val="00802BB3"/>
    <w:rsid w:val="008038BC"/>
    <w:rsid w:val="00805629"/>
    <w:rsid w:val="00812744"/>
    <w:rsid w:val="008127E1"/>
    <w:rsid w:val="00812E7D"/>
    <w:rsid w:val="00820FCC"/>
    <w:rsid w:val="00821E0A"/>
    <w:rsid w:val="00821E4B"/>
    <w:rsid w:val="0082457B"/>
    <w:rsid w:val="00831B80"/>
    <w:rsid w:val="0083296C"/>
    <w:rsid w:val="008359FA"/>
    <w:rsid w:val="00843CAA"/>
    <w:rsid w:val="00844DA8"/>
    <w:rsid w:val="00845DEE"/>
    <w:rsid w:val="00846237"/>
    <w:rsid w:val="0084679E"/>
    <w:rsid w:val="00851780"/>
    <w:rsid w:val="0085285B"/>
    <w:rsid w:val="0085365A"/>
    <w:rsid w:val="0086248B"/>
    <w:rsid w:val="008666A6"/>
    <w:rsid w:val="008721C0"/>
    <w:rsid w:val="00875F01"/>
    <w:rsid w:val="00877708"/>
    <w:rsid w:val="00883A36"/>
    <w:rsid w:val="00886ED4"/>
    <w:rsid w:val="00890810"/>
    <w:rsid w:val="008942E9"/>
    <w:rsid w:val="00894FF4"/>
    <w:rsid w:val="0089575B"/>
    <w:rsid w:val="008971AB"/>
    <w:rsid w:val="00897243"/>
    <w:rsid w:val="008A4B45"/>
    <w:rsid w:val="008B4447"/>
    <w:rsid w:val="008B65D5"/>
    <w:rsid w:val="008B76A7"/>
    <w:rsid w:val="008C2095"/>
    <w:rsid w:val="008C3849"/>
    <w:rsid w:val="008C38B1"/>
    <w:rsid w:val="008C43EE"/>
    <w:rsid w:val="008C5AF4"/>
    <w:rsid w:val="008D32C1"/>
    <w:rsid w:val="008E5546"/>
    <w:rsid w:val="008F454C"/>
    <w:rsid w:val="008F534B"/>
    <w:rsid w:val="008F60F7"/>
    <w:rsid w:val="00903C2F"/>
    <w:rsid w:val="00906C95"/>
    <w:rsid w:val="00912E97"/>
    <w:rsid w:val="009145F7"/>
    <w:rsid w:val="0092123D"/>
    <w:rsid w:val="00922234"/>
    <w:rsid w:val="009235AB"/>
    <w:rsid w:val="0092440E"/>
    <w:rsid w:val="009273A9"/>
    <w:rsid w:val="00940E68"/>
    <w:rsid w:val="00941822"/>
    <w:rsid w:val="009450F8"/>
    <w:rsid w:val="0095194D"/>
    <w:rsid w:val="0095550C"/>
    <w:rsid w:val="009747F4"/>
    <w:rsid w:val="00976490"/>
    <w:rsid w:val="0097710B"/>
    <w:rsid w:val="00977B8E"/>
    <w:rsid w:val="00982AAF"/>
    <w:rsid w:val="00983216"/>
    <w:rsid w:val="00990714"/>
    <w:rsid w:val="00992213"/>
    <w:rsid w:val="009A0AD8"/>
    <w:rsid w:val="009A0F3A"/>
    <w:rsid w:val="009A3D8B"/>
    <w:rsid w:val="009B0946"/>
    <w:rsid w:val="009B54AE"/>
    <w:rsid w:val="009B5C71"/>
    <w:rsid w:val="009C2B94"/>
    <w:rsid w:val="009C3E9D"/>
    <w:rsid w:val="009D5029"/>
    <w:rsid w:val="009D7F18"/>
    <w:rsid w:val="009E54CC"/>
    <w:rsid w:val="009F151D"/>
    <w:rsid w:val="00A00CF8"/>
    <w:rsid w:val="00A063CA"/>
    <w:rsid w:val="00A14010"/>
    <w:rsid w:val="00A145CF"/>
    <w:rsid w:val="00A15D4A"/>
    <w:rsid w:val="00A166A6"/>
    <w:rsid w:val="00A204C1"/>
    <w:rsid w:val="00A20A73"/>
    <w:rsid w:val="00A47127"/>
    <w:rsid w:val="00A50F80"/>
    <w:rsid w:val="00A52688"/>
    <w:rsid w:val="00A55DAE"/>
    <w:rsid w:val="00A6350F"/>
    <w:rsid w:val="00A756D1"/>
    <w:rsid w:val="00A83274"/>
    <w:rsid w:val="00A90901"/>
    <w:rsid w:val="00A91F21"/>
    <w:rsid w:val="00AA1005"/>
    <w:rsid w:val="00AB268B"/>
    <w:rsid w:val="00AB736C"/>
    <w:rsid w:val="00AB77F3"/>
    <w:rsid w:val="00AC313A"/>
    <w:rsid w:val="00AC4229"/>
    <w:rsid w:val="00AD258B"/>
    <w:rsid w:val="00AD593D"/>
    <w:rsid w:val="00AE3940"/>
    <w:rsid w:val="00AE79FE"/>
    <w:rsid w:val="00AE7F08"/>
    <w:rsid w:val="00AF0DDE"/>
    <w:rsid w:val="00AF263F"/>
    <w:rsid w:val="00B00EB3"/>
    <w:rsid w:val="00B012E4"/>
    <w:rsid w:val="00B02FA0"/>
    <w:rsid w:val="00B03736"/>
    <w:rsid w:val="00B1379D"/>
    <w:rsid w:val="00B14757"/>
    <w:rsid w:val="00B1520F"/>
    <w:rsid w:val="00B152BE"/>
    <w:rsid w:val="00B2088B"/>
    <w:rsid w:val="00B212CC"/>
    <w:rsid w:val="00B2487D"/>
    <w:rsid w:val="00B26A62"/>
    <w:rsid w:val="00B2767E"/>
    <w:rsid w:val="00B31022"/>
    <w:rsid w:val="00B314AF"/>
    <w:rsid w:val="00B34412"/>
    <w:rsid w:val="00B34EBB"/>
    <w:rsid w:val="00B40347"/>
    <w:rsid w:val="00B54618"/>
    <w:rsid w:val="00B55D97"/>
    <w:rsid w:val="00B56451"/>
    <w:rsid w:val="00B62CB4"/>
    <w:rsid w:val="00B63354"/>
    <w:rsid w:val="00B67143"/>
    <w:rsid w:val="00B67FD7"/>
    <w:rsid w:val="00B70C76"/>
    <w:rsid w:val="00B71FAB"/>
    <w:rsid w:val="00B75A25"/>
    <w:rsid w:val="00B93C77"/>
    <w:rsid w:val="00B95CF3"/>
    <w:rsid w:val="00B9644D"/>
    <w:rsid w:val="00B96691"/>
    <w:rsid w:val="00BA3B33"/>
    <w:rsid w:val="00BB0FFA"/>
    <w:rsid w:val="00BB12F3"/>
    <w:rsid w:val="00BB1E99"/>
    <w:rsid w:val="00BB7D66"/>
    <w:rsid w:val="00BC6CB3"/>
    <w:rsid w:val="00BD2DEE"/>
    <w:rsid w:val="00BD3A9C"/>
    <w:rsid w:val="00BD6D8F"/>
    <w:rsid w:val="00BE5EFA"/>
    <w:rsid w:val="00BE76A7"/>
    <w:rsid w:val="00BF491C"/>
    <w:rsid w:val="00C02557"/>
    <w:rsid w:val="00C02C97"/>
    <w:rsid w:val="00C0562A"/>
    <w:rsid w:val="00C05C2A"/>
    <w:rsid w:val="00C0698D"/>
    <w:rsid w:val="00C15582"/>
    <w:rsid w:val="00C17E3F"/>
    <w:rsid w:val="00C22CA4"/>
    <w:rsid w:val="00C24013"/>
    <w:rsid w:val="00C24877"/>
    <w:rsid w:val="00C25E9C"/>
    <w:rsid w:val="00C32B18"/>
    <w:rsid w:val="00C335CC"/>
    <w:rsid w:val="00C40F61"/>
    <w:rsid w:val="00C4161B"/>
    <w:rsid w:val="00C46FF6"/>
    <w:rsid w:val="00C52526"/>
    <w:rsid w:val="00C53941"/>
    <w:rsid w:val="00C56069"/>
    <w:rsid w:val="00C57601"/>
    <w:rsid w:val="00C62177"/>
    <w:rsid w:val="00C6547B"/>
    <w:rsid w:val="00C76797"/>
    <w:rsid w:val="00C76FE2"/>
    <w:rsid w:val="00C842D7"/>
    <w:rsid w:val="00C90E57"/>
    <w:rsid w:val="00C94882"/>
    <w:rsid w:val="00C95B41"/>
    <w:rsid w:val="00CA369F"/>
    <w:rsid w:val="00CA40D2"/>
    <w:rsid w:val="00CA4ACB"/>
    <w:rsid w:val="00CB266F"/>
    <w:rsid w:val="00CC46A0"/>
    <w:rsid w:val="00CC7967"/>
    <w:rsid w:val="00CD079C"/>
    <w:rsid w:val="00CD0AA9"/>
    <w:rsid w:val="00CD7E23"/>
    <w:rsid w:val="00CE08B4"/>
    <w:rsid w:val="00CE72F7"/>
    <w:rsid w:val="00CF36BD"/>
    <w:rsid w:val="00CF4D15"/>
    <w:rsid w:val="00CF4D6B"/>
    <w:rsid w:val="00CF518B"/>
    <w:rsid w:val="00D0039D"/>
    <w:rsid w:val="00D0618E"/>
    <w:rsid w:val="00D13439"/>
    <w:rsid w:val="00D2245A"/>
    <w:rsid w:val="00D23325"/>
    <w:rsid w:val="00D34124"/>
    <w:rsid w:val="00D34BE5"/>
    <w:rsid w:val="00D45BF0"/>
    <w:rsid w:val="00D5097D"/>
    <w:rsid w:val="00D55FAC"/>
    <w:rsid w:val="00D5616E"/>
    <w:rsid w:val="00D614C8"/>
    <w:rsid w:val="00D7280E"/>
    <w:rsid w:val="00D8013D"/>
    <w:rsid w:val="00D80E52"/>
    <w:rsid w:val="00D84D6A"/>
    <w:rsid w:val="00D85B7E"/>
    <w:rsid w:val="00D87BBE"/>
    <w:rsid w:val="00D94327"/>
    <w:rsid w:val="00DA0950"/>
    <w:rsid w:val="00DB1217"/>
    <w:rsid w:val="00DB311E"/>
    <w:rsid w:val="00DC0581"/>
    <w:rsid w:val="00DD27C4"/>
    <w:rsid w:val="00DD51ED"/>
    <w:rsid w:val="00DE14D6"/>
    <w:rsid w:val="00DE5570"/>
    <w:rsid w:val="00DF38C3"/>
    <w:rsid w:val="00E03967"/>
    <w:rsid w:val="00E042BF"/>
    <w:rsid w:val="00E072C2"/>
    <w:rsid w:val="00E111E5"/>
    <w:rsid w:val="00E17AE4"/>
    <w:rsid w:val="00E20D57"/>
    <w:rsid w:val="00E22B51"/>
    <w:rsid w:val="00E32CD5"/>
    <w:rsid w:val="00E34187"/>
    <w:rsid w:val="00E35DD1"/>
    <w:rsid w:val="00E36376"/>
    <w:rsid w:val="00E40B35"/>
    <w:rsid w:val="00E465C3"/>
    <w:rsid w:val="00E54712"/>
    <w:rsid w:val="00E56374"/>
    <w:rsid w:val="00E579C3"/>
    <w:rsid w:val="00E67B10"/>
    <w:rsid w:val="00E72390"/>
    <w:rsid w:val="00E74462"/>
    <w:rsid w:val="00E80295"/>
    <w:rsid w:val="00E90323"/>
    <w:rsid w:val="00E9034A"/>
    <w:rsid w:val="00E91578"/>
    <w:rsid w:val="00E918BC"/>
    <w:rsid w:val="00E930F2"/>
    <w:rsid w:val="00E9380F"/>
    <w:rsid w:val="00EA1C3E"/>
    <w:rsid w:val="00EA246E"/>
    <w:rsid w:val="00EA37D2"/>
    <w:rsid w:val="00EB1132"/>
    <w:rsid w:val="00EB442D"/>
    <w:rsid w:val="00EB7E3E"/>
    <w:rsid w:val="00EC0841"/>
    <w:rsid w:val="00EC59FC"/>
    <w:rsid w:val="00ED01A6"/>
    <w:rsid w:val="00ED5793"/>
    <w:rsid w:val="00EE245F"/>
    <w:rsid w:val="00EE5A75"/>
    <w:rsid w:val="00EE5D27"/>
    <w:rsid w:val="00EE6603"/>
    <w:rsid w:val="00EF0FA4"/>
    <w:rsid w:val="00EF1DC1"/>
    <w:rsid w:val="00EF6DFA"/>
    <w:rsid w:val="00F02EC8"/>
    <w:rsid w:val="00F05CB2"/>
    <w:rsid w:val="00F066A8"/>
    <w:rsid w:val="00F1069C"/>
    <w:rsid w:val="00F11972"/>
    <w:rsid w:val="00F1240C"/>
    <w:rsid w:val="00F12774"/>
    <w:rsid w:val="00F12B0B"/>
    <w:rsid w:val="00F12ED1"/>
    <w:rsid w:val="00F14D9F"/>
    <w:rsid w:val="00F221B0"/>
    <w:rsid w:val="00F26730"/>
    <w:rsid w:val="00F26D72"/>
    <w:rsid w:val="00F329EE"/>
    <w:rsid w:val="00F32E53"/>
    <w:rsid w:val="00F33485"/>
    <w:rsid w:val="00F42B69"/>
    <w:rsid w:val="00F43B57"/>
    <w:rsid w:val="00F44CAC"/>
    <w:rsid w:val="00F57360"/>
    <w:rsid w:val="00F60786"/>
    <w:rsid w:val="00F65FCF"/>
    <w:rsid w:val="00F66DA3"/>
    <w:rsid w:val="00F71E2E"/>
    <w:rsid w:val="00F73373"/>
    <w:rsid w:val="00F7449A"/>
    <w:rsid w:val="00F878BD"/>
    <w:rsid w:val="00F90486"/>
    <w:rsid w:val="00F91903"/>
    <w:rsid w:val="00F94B73"/>
    <w:rsid w:val="00FA6338"/>
    <w:rsid w:val="00FB1125"/>
    <w:rsid w:val="00FB1BCA"/>
    <w:rsid w:val="00FB346E"/>
    <w:rsid w:val="00FB7A57"/>
    <w:rsid w:val="00FC2A7D"/>
    <w:rsid w:val="00FC4E9D"/>
    <w:rsid w:val="00FC6B18"/>
    <w:rsid w:val="00FD0DA1"/>
    <w:rsid w:val="00FD2B83"/>
    <w:rsid w:val="00FD3A64"/>
    <w:rsid w:val="00FD3AC4"/>
    <w:rsid w:val="00FD400D"/>
    <w:rsid w:val="00FE50C7"/>
    <w:rsid w:val="00FE65BC"/>
    <w:rsid w:val="00FE68D5"/>
    <w:rsid w:val="00FE6EA5"/>
    <w:rsid w:val="00FE703A"/>
    <w:rsid w:val="00FF30CE"/>
    <w:rsid w:val="00FF72FC"/>
  </w:rsids>
  <w:docVars>
    <w:docVar w:name="__Grammarly_42___1" w:val="H4sIAAAAAAAEAKtWcslP9kxRslIyNDYyNLS0NDKxtLA0MzUxNrZU0lEKTi0uzszPAykwqgUAVLe6v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BE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uiPriority w:val="99"/>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uiPriority w:val="59"/>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1">
    <w:name w:val="Unresolved Mention1"/>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NormalWeb">
    <w:name w:val="Normal (Web)"/>
    <w:basedOn w:val="Normal"/>
    <w:uiPriority w:val="99"/>
    <w:unhideWhenUsed/>
    <w:rsid w:val="00A90901"/>
    <w:pPr>
      <w:spacing w:before="100" w:beforeAutospacing="1" w:after="100" w:afterAutospacing="1" w:line="240" w:lineRule="auto"/>
    </w:pPr>
    <w:rPr>
      <w:rFonts w:ascii="Times New Roman" w:hAnsi="Times New Roman" w:eastAsiaTheme="minorHAnsi" w:cs="Times New Roman"/>
      <w:sz w:val="24"/>
      <w:szCs w:val="24"/>
    </w:rPr>
  </w:style>
  <w:style w:type="paragraph" w:styleId="FootnoteText">
    <w:name w:val="footnote text"/>
    <w:basedOn w:val="Normal"/>
    <w:link w:val="FootnoteTextChar"/>
    <w:uiPriority w:val="99"/>
    <w:semiHidden/>
    <w:unhideWhenUsed/>
    <w:rsid w:val="002831C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831C8"/>
    <w:rPr>
      <w:rFonts w:eastAsiaTheme="minorHAnsi"/>
      <w:sz w:val="20"/>
      <w:szCs w:val="20"/>
    </w:rPr>
  </w:style>
  <w:style w:type="character" w:styleId="FootnoteReference">
    <w:name w:val="footnote reference"/>
    <w:basedOn w:val="DefaultParagraphFont"/>
    <w:uiPriority w:val="99"/>
    <w:semiHidden/>
    <w:unhideWhenUsed/>
    <w:rsid w:val="002831C8"/>
    <w:rPr>
      <w:vertAlign w:val="superscript"/>
    </w:rPr>
  </w:style>
  <w:style w:type="character" w:styleId="UnresolvedMention">
    <w:name w:val="Unresolved Mention"/>
    <w:basedOn w:val="DefaultParagraphFont"/>
    <w:uiPriority w:val="99"/>
    <w:semiHidden/>
    <w:unhideWhenUsed/>
    <w:rsid w:val="0003775B"/>
    <w:rPr>
      <w:color w:val="605E5C"/>
      <w:shd w:val="clear" w:color="auto" w:fill="E1DFDD"/>
    </w:rPr>
  </w:style>
  <w:style w:type="paragraph" w:styleId="Revision">
    <w:name w:val="Revision"/>
    <w:hidden/>
    <w:uiPriority w:val="99"/>
    <w:semiHidden/>
    <w:rsid w:val="00255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2022/may/oes_nat.htm" TargetMode="External" /><Relationship Id="rId11" Type="http://schemas.openxmlformats.org/officeDocument/2006/relationships/hyperlink" Target="https://www.opm.gov/policy-data-oversight/pay-leave/salaries-wages/salary-tables/23Tables/html/DCB.aspx" TargetMode="External" /><Relationship Id="rId12" Type="http://schemas.openxmlformats.org/officeDocument/2006/relationships/hyperlink" Target="https://oamp.hbcu.od.nih.gov/oamp"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mailto:Keondra.Watts@nih.gov" TargetMode="External" /><Relationship Id="rId8" Type="http://schemas.openxmlformats.org/officeDocument/2006/relationships/hyperlink" Target="https://oamp.hbcu.od.nih.gov/oamp/login.do" TargetMode="External" /><Relationship Id="rId9" Type="http://schemas.openxmlformats.org/officeDocument/2006/relationships/hyperlink" Target="https://www.govinfo.gov/content/pkg/FR-2002-09-26/pdf/02-23965.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ites.ed.gov/whhbcu/about-us/" TargetMode="External" /><Relationship Id="rId2" Type="http://schemas.openxmlformats.org/officeDocument/2006/relationships/hyperlink" Target="https://www.sba.gov/sites/default/files/advocacy/2018-Small-Business-Profiles-U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2A8DD-09E0-4459-9FB7-011F0F12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4407</Words>
  <Characters>25126</Characters>
  <Application>Microsoft Office Word</Application>
  <DocSecurity>0</DocSecurity>
  <Lines>209</Lines>
  <Paragraphs>58</Paragraphs>
  <ScaleCrop>false</ScaleCrop>
  <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2024-03-20T15:36:00Z</dcterms:created>
  <dcterms:modified xsi:type="dcterms:W3CDTF">2024-03-20T15:36:00Z</dcterms:modified>
</cp:coreProperties>
</file>