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EF8" w:rsidRPr="009D2EF8" w:rsidP="009D2EF8" w14:paraId="0862440B" w14:textId="77777777">
      <w:pPr>
        <w:jc w:val="center"/>
        <w:rPr>
          <w:rStyle w:val="C2CtrSglS"/>
          <w:b/>
        </w:rPr>
      </w:pPr>
      <w:r w:rsidRPr="009D2EF8">
        <w:rPr>
          <w:rStyle w:val="C2CtrSglS"/>
          <w:b/>
        </w:rPr>
        <w:t>SUPPORTING STATEMENT FOR THE</w:t>
      </w:r>
    </w:p>
    <w:p w:rsidR="009D2EF8" w:rsidRPr="009D2EF8" w:rsidP="009D2EF8" w14:paraId="3CD9078E" w14:textId="77777777">
      <w:pPr>
        <w:jc w:val="center"/>
        <w:rPr>
          <w:rStyle w:val="C2CtrSglS"/>
          <w:b/>
        </w:rPr>
      </w:pPr>
      <w:r w:rsidRPr="009D2EF8">
        <w:rPr>
          <w:rStyle w:val="C2CtrSglS"/>
          <w:b/>
        </w:rPr>
        <w:t xml:space="preserve">GOVERNMENT PERFORMANCE AND RESULTS ACT </w:t>
      </w:r>
    </w:p>
    <w:p w:rsidR="00CF4072" w:rsidP="009D2EF8" w14:paraId="4C702655" w14:textId="6D0396D8">
      <w:pPr>
        <w:jc w:val="center"/>
        <w:rPr>
          <w:rStyle w:val="C2CtrSglS"/>
          <w:b/>
        </w:rPr>
      </w:pPr>
      <w:r w:rsidRPr="009D2EF8">
        <w:rPr>
          <w:rStyle w:val="C2CtrSglS"/>
          <w:b/>
        </w:rPr>
        <w:t>CLIENT/PARTICIPANT OUTCOME MEASURE</w:t>
      </w:r>
    </w:p>
    <w:p w:rsidR="009D2EF8" w:rsidP="009D2EF8" w14:paraId="5B1F4718" w14:textId="77777777">
      <w:pPr>
        <w:jc w:val="center"/>
        <w:rPr>
          <w:b/>
          <w:szCs w:val="24"/>
        </w:rPr>
      </w:pPr>
    </w:p>
    <w:p w:rsidR="00CF4072" w:rsidRPr="00215394" w:rsidP="00CF4072" w14:paraId="1FE55C47" w14:textId="77777777">
      <w:pPr>
        <w:rPr>
          <w:rFonts w:eastAsia="Cambria"/>
          <w:b/>
        </w:rPr>
      </w:pPr>
      <w:r w:rsidRPr="00215394">
        <w:rPr>
          <w:rFonts w:eastAsia="Cambria"/>
          <w:b/>
        </w:rPr>
        <w:t>Check off which applies:</w:t>
      </w:r>
    </w:p>
    <w:p w:rsidR="00CF4072" w:rsidRPr="00215394" w:rsidP="00CF4072" w14:paraId="3D11DCE5" w14:textId="77777777">
      <w:pPr>
        <w:rPr>
          <w:rFonts w:eastAsia="Cambria"/>
        </w:rPr>
      </w:pPr>
      <w:r w:rsidRPr="2591C7D4">
        <w:rPr>
          <w:rFonts w:ascii="MS Gothic" w:eastAsia="MS Gothic" w:hAnsi="MS Gothic"/>
        </w:rPr>
        <w:t>☐</w:t>
      </w:r>
      <w:r w:rsidRPr="2591C7D4">
        <w:rPr>
          <w:rFonts w:eastAsia="Cambria"/>
        </w:rPr>
        <w:t xml:space="preserve"> New </w:t>
      </w:r>
    </w:p>
    <w:p w:rsidR="00CF4072" w:rsidRPr="00215394" w:rsidP="2591C7D4" w14:paraId="71541382" w14:textId="51873242">
      <w:pPr>
        <w:rPr>
          <w:rFonts w:eastAsia="Cambria"/>
        </w:rPr>
      </w:pPr>
      <w:r w:rsidRPr="2591C7D4">
        <w:rPr>
          <w:rFonts w:ascii="MS Gothic" w:eastAsia="MS Gothic" w:hAnsi="MS Gothic"/>
        </w:rPr>
        <w:t>☒</w:t>
      </w:r>
      <w:bookmarkStart w:id="0" w:name="_Hlk169259836"/>
      <w:r w:rsidRPr="2591C7D4">
        <w:rPr>
          <w:rFonts w:eastAsia="Cambria"/>
        </w:rPr>
        <w:t xml:space="preserve"> </w:t>
      </w:r>
      <w:bookmarkEnd w:id="0"/>
      <w:r w:rsidRPr="2591C7D4">
        <w:rPr>
          <w:rFonts w:eastAsia="Cambria"/>
        </w:rPr>
        <w:t xml:space="preserve">Revision </w:t>
      </w:r>
      <w:r w:rsidR="009D2EF8">
        <w:tab/>
      </w:r>
      <w:r w:rsidRPr="2591C7D4">
        <w:rPr>
          <w:rFonts w:eastAsia="Cambria"/>
        </w:rPr>
        <w:t xml:space="preserve"> </w:t>
      </w:r>
      <w:r w:rsidR="009D2EF8">
        <w:tab/>
      </w:r>
      <w:r w:rsidR="009D2EF8">
        <w:tab/>
      </w:r>
    </w:p>
    <w:p w:rsidR="00CF4072" w:rsidRPr="00215394" w:rsidP="00CF4072" w14:paraId="417D45A8" w14:textId="77777777">
      <w:pPr>
        <w:rPr>
          <w:rFonts w:eastAsia="Cambria"/>
        </w:rPr>
      </w:pPr>
      <w:bookmarkStart w:id="1" w:name="_Hlk169259847"/>
      <w:r>
        <w:rPr>
          <w:rFonts w:ascii="MS Gothic" w:eastAsia="MS Gothic" w:hAnsi="MS Gothic" w:cs="MS Gothic" w:hint="eastAsia"/>
        </w:rPr>
        <w:t>☐</w:t>
      </w:r>
      <w:bookmarkEnd w:id="1"/>
      <w:r w:rsidRPr="00215394">
        <w:rPr>
          <w:rFonts w:eastAsia="Cambria"/>
        </w:rPr>
        <w:t xml:space="preserve"> Reinstatement with Change </w:t>
      </w:r>
    </w:p>
    <w:p w:rsidR="00CF4072" w:rsidRPr="00215394" w:rsidP="00CF4072" w14:paraId="7DE6195E" w14:textId="77777777">
      <w:pPr>
        <w:rPr>
          <w:rFonts w:eastAsia="Cambria"/>
        </w:rPr>
      </w:pPr>
      <w:r w:rsidRPr="00215394">
        <w:rPr>
          <w:rFonts w:ascii="MS Gothic" w:eastAsia="MS Gothic" w:hAnsi="MS Gothic" w:cs="MS Gothic"/>
        </w:rPr>
        <w:t>☐</w:t>
      </w:r>
      <w:r w:rsidRPr="00215394">
        <w:rPr>
          <w:rFonts w:eastAsia="Cambria"/>
        </w:rPr>
        <w:t xml:space="preserve"> Reinstatement without Change </w:t>
      </w:r>
    </w:p>
    <w:p w:rsidR="00CF4072" w:rsidRPr="00215394" w:rsidP="2591C7D4" w14:paraId="7F681518" w14:textId="2ECD1C91">
      <w:pPr>
        <w:rPr>
          <w:rFonts w:eastAsia="Cambria"/>
        </w:rPr>
      </w:pPr>
      <w:r w:rsidRPr="2591C7D4">
        <w:rPr>
          <w:rFonts w:ascii="MS Gothic" w:eastAsia="MS Gothic" w:hAnsi="MS Gothic" w:cs="MS Gothic"/>
        </w:rPr>
        <w:t>☐</w:t>
      </w:r>
      <w:r w:rsidRPr="2591C7D4" w:rsidR="009D2EF8">
        <w:rPr>
          <w:rFonts w:eastAsia="Cambria"/>
        </w:rPr>
        <w:t xml:space="preserve"> </w:t>
      </w:r>
      <w:r w:rsidRPr="2591C7D4">
        <w:rPr>
          <w:rFonts w:eastAsia="Cambria"/>
        </w:rPr>
        <w:t>Extension</w:t>
      </w:r>
    </w:p>
    <w:p w:rsidR="00CF4072" w:rsidRPr="00215394" w:rsidP="00CF4072" w14:paraId="56FE33ED" w14:textId="77777777">
      <w:pPr>
        <w:rPr>
          <w:rFonts w:eastAsia="Cambria"/>
        </w:rPr>
      </w:pPr>
      <w:r w:rsidRPr="00215394">
        <w:rPr>
          <w:rFonts w:ascii="MS Gothic" w:eastAsia="MS Gothic" w:hAnsi="MS Gothic" w:cs="MS Gothic"/>
        </w:rPr>
        <w:t>☐</w:t>
      </w:r>
      <w:r w:rsidRPr="00215394">
        <w:rPr>
          <w:rFonts w:eastAsia="Cambria"/>
        </w:rPr>
        <w:t xml:space="preserve"> Emergency</w:t>
      </w:r>
    </w:p>
    <w:p w:rsidR="00CF4072" w:rsidRPr="00215394" w:rsidP="00CF4072" w14:paraId="711AEED3" w14:textId="77777777">
      <w:pPr>
        <w:rPr>
          <w:rFonts w:eastAsia="Cambria"/>
        </w:rPr>
      </w:pPr>
      <w:r w:rsidRPr="00215394">
        <w:rPr>
          <w:rFonts w:ascii="MS Gothic" w:eastAsia="MS Gothic" w:hAnsi="MS Gothic" w:cs="MS Gothic"/>
        </w:rPr>
        <w:t>☐</w:t>
      </w:r>
      <w:r w:rsidRPr="00215394">
        <w:rPr>
          <w:rFonts w:eastAsia="Cambria"/>
        </w:rPr>
        <w:t xml:space="preserve"> Existing</w:t>
      </w:r>
    </w:p>
    <w:p w:rsidR="005A4A00" w:rsidP="005A4A00" w14:paraId="7E56E15E" w14:textId="77777777">
      <w:pPr>
        <w:widowControl w:val="0"/>
        <w:rPr>
          <w:rStyle w:val="SLFlLftSg"/>
        </w:rPr>
      </w:pP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p>
    <w:p w:rsidR="005A4A00" w:rsidP="005A4A00" w14:paraId="6610D512" w14:textId="77777777">
      <w:pPr>
        <w:rPr>
          <w:b/>
        </w:rPr>
      </w:pPr>
      <w:r>
        <w:rPr>
          <w:b/>
        </w:rPr>
        <w:t xml:space="preserve">JUSTIFICATION </w:t>
      </w:r>
    </w:p>
    <w:p w:rsidR="005A4A00" w:rsidP="005A4A00" w14:paraId="2ECB128B" w14:textId="77777777">
      <w:pPr>
        <w:rPr>
          <w:b/>
        </w:rPr>
      </w:pPr>
    </w:p>
    <w:p w:rsidR="005A4A00" w:rsidP="005A4A00" w14:paraId="3F9333C4" w14:textId="77777777">
      <w:pPr>
        <w:rPr>
          <w:b/>
        </w:rPr>
      </w:pPr>
      <w:r>
        <w:rPr>
          <w:b/>
        </w:rPr>
        <w:t>A</w:t>
      </w:r>
      <w:r w:rsidRPr="00446BA6">
        <w:rPr>
          <w:b/>
        </w:rPr>
        <w:t xml:space="preserve">1.     Circumstances </w:t>
      </w:r>
      <w:r w:rsidR="00656DD3">
        <w:rPr>
          <w:b/>
        </w:rPr>
        <w:t>of Information</w:t>
      </w:r>
      <w:r w:rsidRPr="00446BA6">
        <w:rPr>
          <w:b/>
        </w:rPr>
        <w:t xml:space="preserve"> Collection </w:t>
      </w:r>
    </w:p>
    <w:p w:rsidR="005A4A00" w:rsidP="005A4A00" w14:paraId="0D35B4CE" w14:textId="77777777"/>
    <w:p w:rsidR="009D2EF8" w:rsidP="009D2EF8" w14:paraId="3F8D072E" w14:textId="41E36868">
      <w:r>
        <w:t xml:space="preserve">The Substance Abuse and Mental Health Services Administration (SAMHSA) is requesting approval from the Office of Management and Budget (OMB) for </w:t>
      </w:r>
      <w:r w:rsidR="0040552B">
        <w:t>a revision</w:t>
      </w:r>
      <w:r w:rsidRPr="005F31D2" w:rsidR="00FE0C2C">
        <w:t xml:space="preserve"> </w:t>
      </w:r>
      <w:r w:rsidRPr="005F31D2">
        <w:t xml:space="preserve">to the previously approved instrument and data collection activities for the Government Performance and Results Act (GPRA) Center for Substance Abuse Treatment (CSAT) Client/Participant Outcome Measure (OMB No. 0930–0208) which expires on </w:t>
      </w:r>
      <w:r w:rsidRPr="005F31D2" w:rsidR="00FE0C2C">
        <w:t>March</w:t>
      </w:r>
      <w:r w:rsidRPr="005F31D2">
        <w:t xml:space="preserve"> </w:t>
      </w:r>
      <w:r w:rsidRPr="005F31D2" w:rsidR="00FE0C2C">
        <w:t>31</w:t>
      </w:r>
      <w:r w:rsidRPr="005F31D2">
        <w:t>, 202</w:t>
      </w:r>
      <w:r w:rsidRPr="005F31D2" w:rsidR="00FE0C2C">
        <w:t>5</w:t>
      </w:r>
      <w:r w:rsidRPr="005F31D2" w:rsidR="00D84669">
        <w:t xml:space="preserve">. </w:t>
      </w:r>
      <w:r w:rsidRPr="005F31D2">
        <w:t>SAMHSA is requesting approval to extend its existing CSAT Client-level GPRA instrument.</w:t>
      </w:r>
    </w:p>
    <w:p w:rsidR="009D2EF8" w:rsidP="009D2EF8" w14:paraId="20593566" w14:textId="77777777"/>
    <w:p w:rsidR="009D2EF8" w:rsidP="009D2EF8" w14:paraId="19623AB0" w14:textId="17C807F6">
      <w:r>
        <w:t>The tool reflects CSAT’s desire to elicit pertinent client and program level data that can be used to not only guide future programs and practice, but to also respond to stakeholder, congressional</w:t>
      </w:r>
      <w:r w:rsidR="00D84669">
        <w:t>,</w:t>
      </w:r>
      <w:r>
        <w:t xml:space="preserve"> and agency enquiries.</w:t>
      </w:r>
    </w:p>
    <w:p w:rsidR="009D2EF8" w:rsidP="009D2EF8" w14:paraId="687220FE" w14:textId="77777777"/>
    <w:p w:rsidR="009D2EF8" w:rsidP="009D2EF8" w14:paraId="7D688CCE" w14:textId="6DE82FDC">
      <w:r>
        <w:t xml:space="preserve">This information is collected using a client-level instrument that provides SAMHSA with the capacity to report on the performance and outcomes for </w:t>
      </w:r>
      <w:r w:rsidR="00AA7A8B">
        <w:t>all</w:t>
      </w:r>
      <w:r>
        <w:t xml:space="preserve"> its discretionary programs, including: </w:t>
      </w:r>
    </w:p>
    <w:p w:rsidR="600D3DAC" w:rsidP="22F7D941" w14:paraId="5D655095" w14:textId="7F80F983">
      <w:pPr>
        <w:pStyle w:val="ListParagraph"/>
        <w:numPr>
          <w:ilvl w:val="0"/>
          <w:numId w:val="1"/>
        </w:numPr>
        <w:rPr>
          <w:szCs w:val="24"/>
        </w:rPr>
      </w:pPr>
      <w:r>
        <w:t>Numbers of individuals served</w:t>
      </w:r>
      <w:r w:rsidR="00AA7A8B">
        <w:t>;</w:t>
      </w:r>
    </w:p>
    <w:p w:rsidR="009D2EF8" w:rsidP="22F7D941" w14:paraId="2EEEC78D" w14:textId="11F11AB1">
      <w:pPr>
        <w:pStyle w:val="ListParagraph"/>
        <w:numPr>
          <w:ilvl w:val="0"/>
          <w:numId w:val="1"/>
        </w:numPr>
        <w:rPr>
          <w:szCs w:val="24"/>
        </w:rPr>
      </w:pPr>
      <w:r>
        <w:t>Demographic characteristics of individuals served</w:t>
      </w:r>
      <w:r w:rsidR="00AA7A8B">
        <w:t>;</w:t>
      </w:r>
    </w:p>
    <w:p w:rsidR="009D2EF8" w:rsidP="22F7D941" w14:paraId="1DC69D36" w14:textId="632F1A6E">
      <w:pPr>
        <w:pStyle w:val="ListParagraph"/>
        <w:numPr>
          <w:ilvl w:val="0"/>
          <w:numId w:val="1"/>
        </w:numPr>
      </w:pPr>
      <w:r>
        <w:t>Clinical characteristics of individuals served before</w:t>
      </w:r>
      <w:r w:rsidR="07F31DD4">
        <w:t>, d</w:t>
      </w:r>
      <w:r>
        <w:t>uring, and after receipt of services;</w:t>
      </w:r>
      <w:r w:rsidR="5434B859">
        <w:t xml:space="preserve"> and</w:t>
      </w:r>
    </w:p>
    <w:p w:rsidR="009D2EF8" w:rsidP="22F7D941" w14:paraId="2E4126E4" w14:textId="36B55125">
      <w:pPr>
        <w:pStyle w:val="ListParagraph"/>
        <w:numPr>
          <w:ilvl w:val="0"/>
          <w:numId w:val="1"/>
        </w:numPr>
        <w:rPr>
          <w:szCs w:val="24"/>
        </w:rPr>
      </w:pPr>
      <w:r>
        <w:t>Types</w:t>
      </w:r>
      <w:r>
        <w:t xml:space="preserve"> of services and activities provided.  </w:t>
      </w:r>
    </w:p>
    <w:p w:rsidR="009D2EF8" w:rsidP="009D2EF8" w14:paraId="147DC961" w14:textId="77777777"/>
    <w:p w:rsidR="009D2EF8" w:rsidP="009D2EF8" w14:paraId="732897FA" w14:textId="336F3F4E">
      <w:r>
        <w:t xml:space="preserve">To be fully accountable for the spending of federal funds, SAMHSA requires all discretionary programs to collect and report data on all clients served to ensure program goals and objectives are being met. Data collected as part of this package will be used to monitor performance through the </w:t>
      </w:r>
      <w:r w:rsidR="454171F1">
        <w:t xml:space="preserve">applicable </w:t>
      </w:r>
      <w:r>
        <w:t>grant period</w:t>
      </w:r>
      <w:r w:rsidR="37D5EFD1">
        <w:t>s for each program listed.</w:t>
      </w:r>
      <w:r>
        <w:t xml:space="preserve"> </w:t>
      </w:r>
    </w:p>
    <w:p w:rsidR="009D2EF8" w:rsidP="009D2EF8" w14:paraId="500B0871" w14:textId="12ED843B"/>
    <w:p w:rsidR="009D2EF8" w:rsidP="009D2EF8" w14:paraId="173217CD" w14:textId="4DDC53EC">
      <w:r>
        <w:t>Approval of this information collection will allow SAMHSA to continue to meet the Government Performance and Results Modernization Act of 2010 (GPRA) reporting requirements that quantify the effects and accomplishments of its discretionary grant programs</w:t>
      </w:r>
      <w:r w:rsidR="00D84669">
        <w:t>,</w:t>
      </w:r>
      <w:r>
        <w:t xml:space="preserve"> consistent with OMB guidance.  </w:t>
      </w:r>
    </w:p>
    <w:p w:rsidR="009D2EF8" w:rsidP="009D2EF8" w14:paraId="77C7C78B" w14:textId="77777777"/>
    <w:p w:rsidR="009D2EF8" w:rsidP="009D2EF8" w14:paraId="463F28EA" w14:textId="7B80D3EE">
      <w:r>
        <w:t xml:space="preserve">To carry out section 1105(a) (29) of the GPRA, SAMHSA is required to prepare a performance plan for its major programs of activity.  </w:t>
      </w:r>
    </w:p>
    <w:p w:rsidR="009D2EF8" w:rsidP="009D2EF8" w14:paraId="001177F2" w14:textId="77777777"/>
    <w:p w:rsidR="009D2EF8" w:rsidP="009D2EF8" w14:paraId="393337B6" w14:textId="5F62190D">
      <w:r>
        <w:t xml:space="preserve">SAMHSA’s legislative mandate is to increase access to high quality prevention and treatment services and to improve outcomes. Its mission is to </w:t>
      </w:r>
      <w:r w:rsidRPr="00D84669" w:rsidR="00D84669">
        <w:t>lead public health and service delivery efforts that promote mental health, prevent substance misuse, and provide treatments and supports to foster recovery while ensuring equitable access and better outcomes.</w:t>
      </w:r>
      <w:r>
        <w:t xml:space="preserve">  </w:t>
      </w:r>
    </w:p>
    <w:p w:rsidR="009D2EF8" w:rsidP="009D2EF8" w14:paraId="7CED0ED1" w14:textId="77777777"/>
    <w:p w:rsidR="009D2EF8" w:rsidP="009D2EF8" w14:paraId="2D5E5D44" w14:textId="445E320E">
      <w:r>
        <w:t xml:space="preserve">All SAMHSA’s programs and activities are geared toward the achievement of goals related to reducing the impact of substance use and mental health disorders.  GPRA performance monitoring is a collaborative and cooperative aspect of this process.  </w:t>
      </w:r>
    </w:p>
    <w:p w:rsidR="00966C28" w:rsidRPr="00CB3B8E" w:rsidP="005A4A00" w14:paraId="6AECD6E6" w14:textId="77777777"/>
    <w:p w:rsidR="005A4A00" w:rsidRPr="00705E94" w:rsidP="005A4A00" w14:paraId="52EA6CBD" w14:textId="77777777">
      <w:pPr>
        <w:rPr>
          <w:b/>
        </w:rPr>
      </w:pPr>
      <w:r>
        <w:rPr>
          <w:b/>
        </w:rPr>
        <w:t>A</w:t>
      </w:r>
      <w:r w:rsidRPr="00705E94">
        <w:rPr>
          <w:b/>
        </w:rPr>
        <w:t xml:space="preserve">2. </w:t>
      </w:r>
      <w:r>
        <w:rPr>
          <w:b/>
        </w:rPr>
        <w:t xml:space="preserve"> </w:t>
      </w:r>
      <w:r w:rsidRPr="00705E94">
        <w:rPr>
          <w:b/>
        </w:rPr>
        <w:t xml:space="preserve"> </w:t>
      </w:r>
      <w:r w:rsidRPr="00446BA6">
        <w:rPr>
          <w:b/>
          <w:bCs/>
        </w:rPr>
        <w:t xml:space="preserve">  Purposes and Use of Information </w:t>
      </w:r>
    </w:p>
    <w:p w:rsidR="00E6628B" w:rsidRPr="006F61E0" w:rsidP="00E6628B" w14:paraId="065A770A" w14:textId="77777777"/>
    <w:p w:rsidR="009D2EF8" w:rsidP="009D2EF8" w14:paraId="0EBA55B5" w14:textId="1B9B0816">
      <w:r>
        <w:t xml:space="preserve">SAMHSA uses this measure to report on the performance and outcomes of its discretionary services grant programs. The information is used by individuals at three different levels:  the Assistant Secretary and SAMHSA staff, the Center administrators and Government Project Officers (GPOs), and grantees:  </w:t>
      </w:r>
    </w:p>
    <w:p w:rsidR="009D2EF8" w:rsidP="009D2EF8" w14:paraId="1D76B13C" w14:textId="77777777"/>
    <w:p w:rsidR="009D2EF8" w:rsidP="009D2EF8" w14:paraId="6D7A1247" w14:textId="77777777">
      <w:pPr>
        <w:ind w:left="720"/>
      </w:pPr>
      <w:r>
        <w:rPr>
          <w:b/>
        </w:rPr>
        <w:t xml:space="preserve">Assistant Secretary </w:t>
      </w:r>
      <w:r w:rsidRPr="00C42FF7">
        <w:rPr>
          <w:b/>
        </w:rPr>
        <w:t>Level</w:t>
      </w:r>
      <w:r>
        <w:t xml:space="preserve"> – The information is used to inform the Assistant Secretary for Mental Health and Substance Use of the performance and outcomes of the programs funded through the Agency.  The performance is based on the goals of the grant program.  This information serves as the basis of the annual GPRA report to Congress contained in the Justifications of Budget Estimates.  </w:t>
      </w:r>
    </w:p>
    <w:p w:rsidR="009D2EF8" w:rsidP="009D2EF8" w14:paraId="7F1C1291" w14:textId="77777777">
      <w:pPr>
        <w:ind w:firstLine="720"/>
      </w:pPr>
    </w:p>
    <w:p w:rsidR="009D2EF8" w:rsidP="009D2EF8" w14:paraId="730150B7" w14:textId="77777777">
      <w:pPr>
        <w:ind w:left="720"/>
      </w:pPr>
      <w:r w:rsidRPr="00C42FF7">
        <w:rPr>
          <w:b/>
        </w:rPr>
        <w:t>C</w:t>
      </w:r>
      <w:r>
        <w:rPr>
          <w:b/>
        </w:rPr>
        <w:t xml:space="preserve">enter </w:t>
      </w:r>
      <w:r w:rsidRPr="00C42FF7">
        <w:rPr>
          <w:b/>
        </w:rPr>
        <w:t>Level</w:t>
      </w:r>
      <w:r>
        <w:t xml:space="preserve"> – In addition to providing information about the performance of the various programs, the information is used to monitor and manage individual grant projects within each program.  The information is used by GPOs to identify program strengths and weaknesses, to provide an informed basis for providing technical assistance and other support to grantees, to inform funding decisions, and to identify potential issues for additional evaluation. </w:t>
      </w:r>
    </w:p>
    <w:p w:rsidR="009D2EF8" w:rsidP="009D2EF8" w14:paraId="1482690E" w14:textId="77777777">
      <w:pPr>
        <w:ind w:firstLine="720"/>
      </w:pPr>
    </w:p>
    <w:p w:rsidR="009D2EF8" w:rsidP="009D2EF8" w14:paraId="6A04F934" w14:textId="77777777">
      <w:pPr>
        <w:ind w:left="720"/>
      </w:pPr>
      <w:r w:rsidRPr="00C42FF7">
        <w:rPr>
          <w:b/>
        </w:rPr>
        <w:t>Grantee Level</w:t>
      </w:r>
      <w:r>
        <w:t xml:space="preserve"> – In addition to monitoring performance and outcomes, the grantee staff uses the information to improve the quality of treatment and recovery services provided to clients within their projects.  </w:t>
      </w:r>
    </w:p>
    <w:p w:rsidR="009D2EF8" w:rsidP="009D2EF8" w14:paraId="5BD925CB" w14:textId="77777777"/>
    <w:p w:rsidR="009D2EF8" w:rsidP="009D2EF8" w14:paraId="348BB7C9" w14:textId="08B6B6FD">
      <w:r w:rsidRPr="008B512E">
        <w:t xml:space="preserve">SAMHSA and its Centers will use the data for annual reporting required by GPRA </w:t>
      </w:r>
      <w:r>
        <w:t xml:space="preserve">to describe and understand changes in outcomes from </w:t>
      </w:r>
      <w:r w:rsidRPr="008B512E">
        <w:t xml:space="preserve">baseline </w:t>
      </w:r>
      <w:r>
        <w:t xml:space="preserve">to </w:t>
      </w:r>
      <w:r w:rsidRPr="008B512E">
        <w:t xml:space="preserve">follow-up </w:t>
      </w:r>
      <w:r>
        <w:t xml:space="preserve">to discharge.  GPRA requires that SAMHSA’s report for each fiscal year include actual results of performance monitoring for the three preceding fiscal years. The information collected through this revised data collection process allows SAMHSA to report on the results of performance and outcomes in a manner that is </w:t>
      </w:r>
      <w:r>
        <w:rPr>
          <w:szCs w:val="18"/>
        </w:rPr>
        <w:t xml:space="preserve">consistent with SAMHSA specific performance domains, and to assess the accountability and performance of its discretionary and formula grant programs. </w:t>
      </w:r>
    </w:p>
    <w:p w:rsidR="009D2EF8" w:rsidP="009D2EF8" w14:paraId="6F166818" w14:textId="77777777"/>
    <w:p w:rsidR="009D2EF8" w:rsidP="009D2EF8" w14:paraId="49A444E6" w14:textId="77777777">
      <w:r>
        <w:rPr>
          <w:szCs w:val="18"/>
        </w:rPr>
        <w:t xml:space="preserve">Outcomes data reflect the Agency’s desire for consistency in data collected across the Agency.  </w:t>
      </w:r>
      <w:r>
        <w:t>These domains represent SAMHSA CSAT’s focus on the factors that contribute to the success of substance use disorder treatment.</w:t>
      </w:r>
      <w:r>
        <w:rPr>
          <w:szCs w:val="18"/>
        </w:rPr>
        <w:t xml:space="preserve">  T</w:t>
      </w:r>
      <w:r>
        <w:t xml:space="preserve">he CSAT Client/Participant Outcome Measure </w:t>
      </w:r>
      <w:r w:rsidRPr="007B492B">
        <w:t xml:space="preserve">will address </w:t>
      </w:r>
      <w:r>
        <w:t>the following</w:t>
      </w:r>
      <w:r>
        <w:rPr>
          <w:szCs w:val="18"/>
        </w:rPr>
        <w:t xml:space="preserve"> performance domains:</w:t>
      </w:r>
    </w:p>
    <w:p w:rsidR="009D2EF8" w:rsidP="009D2EF8" w14:paraId="3DF3FFD9" w14:textId="77777777">
      <w:pPr>
        <w:rPr>
          <w:szCs w:val="18"/>
        </w:rPr>
      </w:pPr>
    </w:p>
    <w:p w:rsidR="009D2EF8" w:rsidRPr="004E67E2" w:rsidP="009D2EF8" w14:paraId="54AB0EEF" w14:textId="77777777">
      <w:pPr>
        <w:numPr>
          <w:ilvl w:val="0"/>
          <w:numId w:val="4"/>
        </w:numPr>
        <w:rPr>
          <w:b/>
        </w:rPr>
      </w:pPr>
      <w:r>
        <w:rPr>
          <w:szCs w:val="18"/>
        </w:rPr>
        <w:t>Abstinence from Drug / Alcohol Use</w:t>
      </w:r>
    </w:p>
    <w:p w:rsidR="009D2EF8" w:rsidRPr="005C6E0C" w:rsidP="009D2EF8" w14:paraId="4168BE44" w14:textId="77777777">
      <w:pPr>
        <w:numPr>
          <w:ilvl w:val="0"/>
          <w:numId w:val="5"/>
        </w:numPr>
        <w:rPr>
          <w:b/>
        </w:rPr>
      </w:pPr>
      <w:r>
        <w:rPr>
          <w:szCs w:val="18"/>
        </w:rPr>
        <w:t xml:space="preserve">Employment / Education </w:t>
      </w:r>
    </w:p>
    <w:p w:rsidR="009D2EF8" w:rsidRPr="005C6E0C" w:rsidP="009D2EF8" w14:paraId="6A580F91" w14:textId="77777777">
      <w:pPr>
        <w:numPr>
          <w:ilvl w:val="0"/>
          <w:numId w:val="5"/>
        </w:numPr>
        <w:rPr>
          <w:b/>
        </w:rPr>
      </w:pPr>
      <w:r>
        <w:rPr>
          <w:szCs w:val="18"/>
        </w:rPr>
        <w:t xml:space="preserve">Crime and Criminal Justice </w:t>
      </w:r>
    </w:p>
    <w:p w:rsidR="009D2EF8" w:rsidRPr="00555045" w:rsidP="009D2EF8" w14:paraId="4F5A17D9" w14:textId="77777777">
      <w:pPr>
        <w:numPr>
          <w:ilvl w:val="0"/>
          <w:numId w:val="5"/>
        </w:numPr>
        <w:rPr>
          <w:b/>
        </w:rPr>
      </w:pPr>
      <w:r>
        <w:rPr>
          <w:szCs w:val="18"/>
        </w:rPr>
        <w:t>Family and Living Conditions</w:t>
      </w:r>
    </w:p>
    <w:p w:rsidR="009D2EF8" w:rsidRPr="00555337" w:rsidP="009D2EF8" w14:paraId="4E51C86E" w14:textId="77777777">
      <w:pPr>
        <w:numPr>
          <w:ilvl w:val="0"/>
          <w:numId w:val="5"/>
        </w:numPr>
        <w:rPr>
          <w:b/>
        </w:rPr>
      </w:pPr>
      <w:r>
        <w:rPr>
          <w:szCs w:val="18"/>
        </w:rPr>
        <w:t>Social Connectedness</w:t>
      </w:r>
    </w:p>
    <w:p w:rsidR="009D2EF8" w:rsidRPr="001204BC" w:rsidP="009D2EF8" w14:paraId="6996CD61" w14:textId="77777777">
      <w:pPr>
        <w:numPr>
          <w:ilvl w:val="0"/>
          <w:numId w:val="5"/>
        </w:numPr>
        <w:rPr>
          <w:b/>
        </w:rPr>
      </w:pPr>
      <w:r>
        <w:rPr>
          <w:szCs w:val="18"/>
        </w:rPr>
        <w:t>Access / Capacity</w:t>
      </w:r>
    </w:p>
    <w:p w:rsidR="009D2EF8" w:rsidRPr="00C323CA" w:rsidP="009D2EF8" w14:paraId="5951F3E7" w14:textId="77777777">
      <w:pPr>
        <w:numPr>
          <w:ilvl w:val="0"/>
          <w:numId w:val="5"/>
        </w:numPr>
        <w:rPr>
          <w:b/>
        </w:rPr>
      </w:pPr>
      <w:r>
        <w:rPr>
          <w:szCs w:val="18"/>
        </w:rPr>
        <w:t>Retention</w:t>
      </w:r>
    </w:p>
    <w:p w:rsidR="009D2EF8" w:rsidRPr="004E67E2" w:rsidP="009D2EF8" w14:paraId="3806D3D0" w14:textId="77777777">
      <w:pPr>
        <w:numPr>
          <w:ilvl w:val="0"/>
          <w:numId w:val="5"/>
        </w:numPr>
        <w:rPr>
          <w:b/>
        </w:rPr>
      </w:pPr>
      <w:r>
        <w:rPr>
          <w:szCs w:val="18"/>
        </w:rPr>
        <w:t>Recovery</w:t>
      </w:r>
    </w:p>
    <w:p w:rsidR="001C7084" w:rsidRPr="001C7084" w:rsidP="001C7084" w14:paraId="76604901" w14:textId="77777777">
      <w:pPr>
        <w:widowControl w:val="0"/>
      </w:pPr>
    </w:p>
    <w:p w:rsidR="001C7084" w:rsidRPr="001C7084" w:rsidP="001C7084" w14:paraId="66DD9E74" w14:textId="52A68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C7084">
        <w:rPr>
          <w:szCs w:val="24"/>
        </w:rPr>
        <w:t>SAMHSA and its Centers will use the data f</w:t>
      </w:r>
      <w:r w:rsidR="00A22D9C">
        <w:rPr>
          <w:szCs w:val="24"/>
        </w:rPr>
        <w:t>rom the current data collection instrument</w:t>
      </w:r>
      <w:r w:rsidRPr="001C7084">
        <w:rPr>
          <w:szCs w:val="24"/>
        </w:rPr>
        <w:t xml:space="preserve"> </w:t>
      </w:r>
      <w:r w:rsidRPr="00A22D9C" w:rsidR="00A22D9C">
        <w:rPr>
          <w:szCs w:val="24"/>
        </w:rPr>
        <w:t>(OMB No. 0903-0208)</w:t>
      </w:r>
      <w:r w:rsidR="00A22D9C">
        <w:rPr>
          <w:szCs w:val="24"/>
        </w:rPr>
        <w:t xml:space="preserve"> for </w:t>
      </w:r>
      <w:r w:rsidRPr="001C7084">
        <w:rPr>
          <w:szCs w:val="24"/>
        </w:rPr>
        <w:t xml:space="preserve">annual reporting required by GPRA and comparing baseline with discharge and follow-up data. GPRA requires that SAMHSA’s fiscal year report include actual results of performance monitoring for the three preceding fiscal years.  The additional information collected through this process will allow SAMHSA to:  1) report results of these performance outcomes; 2) maintain consistency with SAMHSA-specific performance domains, and 3) assess the accountability and performance of its grant programs including a focus on health equity.  </w:t>
      </w:r>
    </w:p>
    <w:p w:rsidR="001C7084" w:rsidRPr="001C7084" w:rsidP="001C7084" w14:paraId="78D0F954" w14:textId="77777777"/>
    <w:p w:rsidR="001C7084" w:rsidRPr="001C7084" w:rsidP="001C7084" w14:paraId="03F9F864" w14:textId="6D1E4D96">
      <w:r>
        <w:t xml:space="preserve">The tool reflects </w:t>
      </w:r>
      <w:r w:rsidR="00101C26">
        <w:t>SAMHSA</w:t>
      </w:r>
      <w:r>
        <w:t xml:space="preserve">’s desire to elicit pertinent client and program level data that can be used to not only guide future </w:t>
      </w:r>
      <w:r w:rsidR="00101C26">
        <w:t xml:space="preserve">CSAT </w:t>
      </w:r>
      <w:r>
        <w:t>programs and practice, but to also respond to stakeholder, congressional and agency enquiries.</w:t>
      </w:r>
    </w:p>
    <w:p w:rsidR="001C7084" w:rsidRPr="001C7084" w:rsidP="18703B5C" w14:paraId="61CF4545" w14:textId="40CC7898">
      <w:pPr>
        <w:widowControl w:val="0"/>
      </w:pPr>
    </w:p>
    <w:p w:rsidR="001C7084" w:rsidRPr="001C7084" w:rsidP="00AA7A8B" w14:paraId="06FD305A" w14:textId="149580A4">
      <w:pPr>
        <w:widowControl w:val="0"/>
        <w:spacing w:after="120"/>
        <w:rPr>
          <w:b/>
          <w:bCs/>
          <w:szCs w:val="24"/>
        </w:rPr>
      </w:pPr>
      <w:r w:rsidRPr="2F9169D4">
        <w:rPr>
          <w:b/>
          <w:bCs/>
          <w:szCs w:val="24"/>
        </w:rPr>
        <w:t>Proposed Changes to Data Collection Instrument</w:t>
      </w:r>
    </w:p>
    <w:p w:rsidR="001C7084" w:rsidRPr="001C7084" w:rsidP="00AA7A8B" w14:paraId="27BAC4F5" w14:textId="322ED21D">
      <w:pPr>
        <w:widowControl w:val="0"/>
        <w:spacing w:after="120"/>
      </w:pPr>
      <w:r w:rsidRPr="2F9169D4">
        <w:rPr>
          <w:szCs w:val="24"/>
        </w:rPr>
        <w:t xml:space="preserve">SAMHSA is proposing to </w:t>
      </w:r>
      <w:r w:rsidR="00101C26">
        <w:rPr>
          <w:szCs w:val="24"/>
        </w:rPr>
        <w:t>revise</w:t>
      </w:r>
      <w:r w:rsidRPr="2F9169D4">
        <w:rPr>
          <w:szCs w:val="24"/>
        </w:rPr>
        <w:t xml:space="preserve"> the current approved version of the data collection instrument (OMB No. 0930-0</w:t>
      </w:r>
      <w:r w:rsidR="006A363A">
        <w:rPr>
          <w:szCs w:val="24"/>
        </w:rPr>
        <w:t>208</w:t>
      </w:r>
      <w:r w:rsidRPr="2F9169D4">
        <w:rPr>
          <w:szCs w:val="24"/>
        </w:rPr>
        <w:t>) to maintain performance monitoring and outcome measurement of its programs supporting recovery from mental illness and substance use disorders</w:t>
      </w:r>
      <w:r w:rsidR="00B25F1F">
        <w:rPr>
          <w:szCs w:val="24"/>
        </w:rPr>
        <w:t xml:space="preserve"> while SAMHSA completes development of the new client-level services information collection instrument</w:t>
      </w:r>
      <w:r w:rsidRPr="2F9169D4">
        <w:rPr>
          <w:szCs w:val="24"/>
        </w:rPr>
        <w:t xml:space="preserve">. </w:t>
      </w:r>
    </w:p>
    <w:p w:rsidR="00470DE7" w:rsidP="001C7084" w14:paraId="1EA50B25" w14:textId="77777777"/>
    <w:p w:rsidR="001C7084" w:rsidP="001C7084" w14:paraId="4322C06C" w14:textId="55536360">
      <w:r>
        <w:t>SAMHSA</w:t>
      </w:r>
      <w:r w:rsidRPr="001C7084">
        <w:t>’s data collection activities are intended to promote the use of consistent measures among CSAT-funded grantees and contractors.  These measures are a result of extensive examination and recommendations, using consistent criteria, by panels of staff, experts, and grantees</w:t>
      </w:r>
      <w:r w:rsidRPr="001C7084" w:rsidR="00CA1F32">
        <w:t xml:space="preserve">. </w:t>
      </w:r>
      <w:r w:rsidRPr="001C7084">
        <w:t>Wherever feasible, the measures are consistent with or build upon previous data development efforts within CSAT.  These data collection activities are organized to reflect and support the National Outcome Measures domains specified for SAMHSA’s programs providing direct services.</w:t>
      </w:r>
    </w:p>
    <w:p w:rsidR="001C7084" w:rsidRPr="001C7084" w:rsidP="001C7084" w14:paraId="3D778FF7" w14:textId="77777777">
      <w:pPr>
        <w:rPr>
          <w:b/>
        </w:rPr>
      </w:pPr>
    </w:p>
    <w:p w:rsidR="005A4A00" w:rsidRPr="00446BA6" w:rsidP="005A4A00" w14:paraId="69E1AEEF" w14:textId="77777777">
      <w:pPr>
        <w:rPr>
          <w:b/>
        </w:rPr>
      </w:pPr>
      <w:r>
        <w:rPr>
          <w:b/>
        </w:rPr>
        <w:t>A</w:t>
      </w:r>
      <w:r w:rsidRPr="00446BA6">
        <w:rPr>
          <w:b/>
        </w:rPr>
        <w:t xml:space="preserve">3.     Use of Improved Information Technology </w:t>
      </w:r>
    </w:p>
    <w:p w:rsidR="005A4A00" w:rsidP="005A4A00" w14:paraId="1200EB02" w14:textId="77777777"/>
    <w:p w:rsidR="001C7084" w:rsidP="001C7084" w14:paraId="793119B8" w14:textId="693A3406">
      <w:r>
        <w:t>Programs collect client information using a variety of methods, including paper-and-pencil and electronic methods</w:t>
      </w:r>
      <w:r w:rsidR="00CA1F32">
        <w:t xml:space="preserve">. </w:t>
      </w:r>
      <w:r>
        <w:t xml:space="preserve">This project will not interfere with ongoing program collection operations that facilitate information collection at each site. </w:t>
      </w:r>
    </w:p>
    <w:p w:rsidR="001C7084" w:rsidP="001C7084" w14:paraId="6BB4A20D" w14:textId="77777777"/>
    <w:p w:rsidR="001C7084" w:rsidP="001C7084" w14:paraId="0BB9B075" w14:textId="77777777">
      <w:r>
        <w:t xml:space="preserve">A web-based data collection and entry system, SAMHSA’s Performance Accountability and Reporting System (SPARS), has been developed and is currently used and available to all programs for data collection.  This web-based system allows for easy data entry, submission, and reporting to all those who have access to the system.  Levels of access have been defined for users based on their authority and responsibilities regarding the data and reports.  Access to the data and reports is limited to those individuals with a username and password.  A screenshot of the data entry screen on SPARS is below: </w:t>
      </w:r>
    </w:p>
    <w:p w:rsidR="001C7084" w:rsidP="001C7084" w14:paraId="6DB322FC" w14:textId="77777777">
      <w:pPr>
        <w:rPr>
          <w:noProof/>
        </w:rPr>
      </w:pPr>
    </w:p>
    <w:p w:rsidR="001C7084" w:rsidP="001C7084" w14:paraId="0C521D61" w14:textId="77777777">
      <w:r>
        <w:rPr>
          <w:noProof/>
        </w:rPr>
        <w:drawing>
          <wp:inline distT="0" distB="0" distL="0" distR="0">
            <wp:extent cx="5943600" cy="3170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a:srcRect b="5107"/>
                    <a:stretch>
                      <a:fillRect/>
                    </a:stretch>
                  </pic:blipFill>
                  <pic:spPr bwMode="auto">
                    <a:xfrm>
                      <a:off x="0" y="0"/>
                      <a:ext cx="5943600" cy="317071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C7084" w:rsidP="001C7084" w14:paraId="453DC138" w14:textId="77777777"/>
    <w:p w:rsidR="001C7084" w:rsidP="001C7084" w14:paraId="6D2A56E9" w14:textId="78EAB134">
      <w:r>
        <w:t>Programs may submit their data electronically through an upload process.  This facilitates the submission of data while avoiding duplication of the data entry process.</w:t>
      </w:r>
    </w:p>
    <w:p w:rsidR="001C7084" w:rsidP="001C7084" w14:paraId="0C55131F" w14:textId="77777777"/>
    <w:p w:rsidR="00B13A0E" w:rsidRPr="001C7084" w:rsidP="005A4A00" w14:paraId="495BE8BF" w14:textId="62C9032B">
      <w:r>
        <w:t xml:space="preserve">Electronic submission of the data promotes enhanced data quality.  With built-in data quality checks, </w:t>
      </w:r>
      <w:r w:rsidR="00E23615">
        <w:t xml:space="preserve">and </w:t>
      </w:r>
      <w:r>
        <w:t xml:space="preserve">easy access to data outputs and reports, users of the data can feel confident about the quality of the output.  The electronic submission also promotes immediate access to the dataset.  Once the data are put into the web-based system, it is available for access, review, and reporting by all those with access to the system from Center staff to the grantee staff.  </w:t>
      </w:r>
    </w:p>
    <w:p w:rsidR="006803C1" w:rsidP="005A4A00" w14:paraId="2D487756" w14:textId="77777777"/>
    <w:p w:rsidR="005A4A00" w:rsidRPr="00705E94" w:rsidP="005A4A00" w14:paraId="1C40AEEA" w14:textId="77777777">
      <w:pPr>
        <w:rPr>
          <w:b/>
        </w:rPr>
      </w:pPr>
      <w:r>
        <w:rPr>
          <w:b/>
        </w:rPr>
        <w:t>A</w:t>
      </w:r>
      <w:r w:rsidRPr="00705E94">
        <w:rPr>
          <w:b/>
        </w:rPr>
        <w:t xml:space="preserve">4.  </w:t>
      </w:r>
      <w:r>
        <w:rPr>
          <w:b/>
        </w:rPr>
        <w:t xml:space="preserve">   </w:t>
      </w:r>
      <w:r w:rsidRPr="00446BA6">
        <w:rPr>
          <w:b/>
          <w:bCs/>
        </w:rPr>
        <w:t xml:space="preserve">Efforts to Identify Duplication </w:t>
      </w:r>
    </w:p>
    <w:p w:rsidR="005A4A00" w:rsidP="005A4A00" w14:paraId="78831408" w14:textId="77777777"/>
    <w:p w:rsidR="002A1E6A" w:rsidP="002A1E6A" w14:paraId="3DB63CE9" w14:textId="5E9D0EBA">
      <w:r>
        <w:t>The items collected are necessary to assess grantee performance</w:t>
      </w:r>
      <w:r w:rsidR="00906042">
        <w:t xml:space="preserve">. </w:t>
      </w:r>
      <w:r>
        <w:t xml:space="preserve">CSAT is promoting the use of consistent performance and outcomes measures across all programs; this effort will result in less overlap and duplication and will substantially reduce the burden on grantees that results from data demands associated with individual programs. </w:t>
      </w:r>
    </w:p>
    <w:p w:rsidR="002A1E6A" w:rsidP="002A1E6A" w14:paraId="134B920F" w14:textId="77777777">
      <w:pPr>
        <w:rPr>
          <w:szCs w:val="24"/>
        </w:rPr>
      </w:pPr>
    </w:p>
    <w:p w:rsidR="002A1E6A" w:rsidP="002A1E6A" w14:paraId="552F1400" w14:textId="77777777">
      <w:pPr>
        <w:rPr>
          <w:szCs w:val="24"/>
        </w:rPr>
      </w:pPr>
      <w:r w:rsidRPr="00D107E2">
        <w:rPr>
          <w:szCs w:val="24"/>
        </w:rPr>
        <w:t xml:space="preserve">A program-level review of current measures and methods of </w:t>
      </w:r>
      <w:r>
        <w:rPr>
          <w:szCs w:val="24"/>
        </w:rPr>
        <w:t xml:space="preserve">data </w:t>
      </w:r>
      <w:r w:rsidRPr="00D107E2">
        <w:rPr>
          <w:szCs w:val="24"/>
        </w:rPr>
        <w:t>collection was conducted to identify duplication of these data collection efforts.  With th</w:t>
      </w:r>
      <w:r>
        <w:rPr>
          <w:szCs w:val="24"/>
        </w:rPr>
        <w:t xml:space="preserve">e goal of creating questions </w:t>
      </w:r>
      <w:r w:rsidRPr="00D107E2">
        <w:rPr>
          <w:szCs w:val="24"/>
        </w:rPr>
        <w:t>for</w:t>
      </w:r>
      <w:r>
        <w:rPr>
          <w:szCs w:val="24"/>
        </w:rPr>
        <w:t xml:space="preserve"> more </w:t>
      </w:r>
      <w:r>
        <w:rPr>
          <w:szCs w:val="24"/>
        </w:rPr>
        <w:t>precise monitoring of g</w:t>
      </w:r>
      <w:r w:rsidRPr="00D107E2">
        <w:rPr>
          <w:szCs w:val="24"/>
        </w:rPr>
        <w:t xml:space="preserve">rantee performance across the Center, existing </w:t>
      </w:r>
      <w:r>
        <w:rPr>
          <w:szCs w:val="24"/>
        </w:rPr>
        <w:t xml:space="preserve">questions </w:t>
      </w:r>
      <w:r w:rsidRPr="00D107E2">
        <w:rPr>
          <w:szCs w:val="24"/>
        </w:rPr>
        <w:t>were considered for use where appropriate.</w:t>
      </w:r>
      <w:r>
        <w:rPr>
          <w:szCs w:val="24"/>
        </w:rPr>
        <w:t xml:space="preserve">  </w:t>
      </w:r>
      <w:r w:rsidRPr="002A54C9">
        <w:rPr>
          <w:szCs w:val="24"/>
        </w:rPr>
        <w:t>Each of the proposed questions was reviewed and approved by CSAT senior leadership as meeting the performance monitoring and management needs of individual programs and the Center.</w:t>
      </w:r>
      <w:r w:rsidRPr="00D107E2">
        <w:rPr>
          <w:szCs w:val="24"/>
        </w:rPr>
        <w:t xml:space="preserve"> </w:t>
      </w:r>
    </w:p>
    <w:p w:rsidR="002A1E6A" w:rsidP="002A1E6A" w14:paraId="0A1F39F1" w14:textId="77777777">
      <w:pPr>
        <w:rPr>
          <w:szCs w:val="24"/>
        </w:rPr>
      </w:pPr>
    </w:p>
    <w:p w:rsidR="002A1E6A" w:rsidRPr="00143684" w:rsidP="22F7D941" w14:paraId="6AFE8247" w14:textId="2CCE9D08">
      <w:r>
        <w:t xml:space="preserve">SAMHSA will work closely with the grantees to identify whether other data are being collected by the grantee, which may be redundant to the </w:t>
      </w:r>
      <w:r w:rsidR="00E27351">
        <w:t xml:space="preserve">data collection </w:t>
      </w:r>
      <w:r>
        <w:t xml:space="preserve">instrument.  When duplication is identified, SAMHSA and the grantees will identify a priority action plan to reduce the duplicative efforts and streamline the data items to reduce client burden.  </w:t>
      </w:r>
    </w:p>
    <w:p w:rsidR="00BF0412" w:rsidP="005A4A00" w14:paraId="260FFCA7" w14:textId="77777777">
      <w:pPr>
        <w:rPr>
          <w:szCs w:val="24"/>
        </w:rPr>
      </w:pPr>
    </w:p>
    <w:p w:rsidR="005A4A00" w:rsidRPr="00446BA6" w:rsidP="45AA5890" w14:paraId="06429744" w14:textId="77777777">
      <w:pPr>
        <w:rPr>
          <w:b/>
          <w:bCs/>
        </w:rPr>
      </w:pPr>
      <w:r w:rsidRPr="45AA5890">
        <w:rPr>
          <w:b/>
          <w:bCs/>
        </w:rPr>
        <w:t xml:space="preserve">A5.     Involvement of Small Entities </w:t>
      </w:r>
    </w:p>
    <w:p w:rsidR="005A4A00" w:rsidP="005A4A00" w14:paraId="43B1C59F" w14:textId="77777777"/>
    <w:p w:rsidR="005A4A00" w:rsidP="005A4A00" w14:paraId="4B823096" w14:textId="0B6F6205">
      <w:r w:rsidRPr="002A1E6A">
        <w:t xml:space="preserve">Individual grantees vary from small entities to large provider organizations.  Every effort has been made to minimize the number of data items collected from all programs down to the least number of items necessary to accomplish the objectives described within and meet GPRA reporting requirements.  Therefore, there is no significant impact to small entities.  </w:t>
      </w:r>
    </w:p>
    <w:p w:rsidR="002A1E6A" w:rsidP="005A4A00" w14:paraId="42A6DEBC" w14:textId="77777777"/>
    <w:p w:rsidR="005A4A00" w:rsidP="5CEF4FBF" w14:paraId="5C8ED8EF" w14:textId="21E38D52">
      <w:pPr>
        <w:rPr>
          <w:b/>
          <w:bCs/>
          <w:u w:val="single"/>
        </w:rPr>
      </w:pPr>
      <w:r w:rsidRPr="5CEF4FBF">
        <w:rPr>
          <w:b/>
          <w:bCs/>
        </w:rPr>
        <w:t xml:space="preserve">A6.     Consequences </w:t>
      </w:r>
      <w:r w:rsidRPr="5CEF4FBF" w:rsidR="006F5AEF">
        <w:rPr>
          <w:b/>
          <w:bCs/>
        </w:rPr>
        <w:t>i</w:t>
      </w:r>
      <w:r w:rsidRPr="5CEF4FBF">
        <w:rPr>
          <w:b/>
          <w:bCs/>
        </w:rPr>
        <w:t xml:space="preserve">f </w:t>
      </w:r>
      <w:r w:rsidRPr="5CEF4FBF" w:rsidR="006F5AEF">
        <w:rPr>
          <w:b/>
          <w:bCs/>
        </w:rPr>
        <w:t xml:space="preserve">Information Collected </w:t>
      </w:r>
      <w:r w:rsidRPr="5CEF4FBF">
        <w:rPr>
          <w:b/>
          <w:bCs/>
        </w:rPr>
        <w:t>Less Frequently</w:t>
      </w:r>
    </w:p>
    <w:p w:rsidR="005A4A00" w:rsidP="005A4A00" w14:paraId="6F253EFC" w14:textId="77777777">
      <w:pPr>
        <w:rPr>
          <w:rFonts w:ascii="Times" w:hAnsi="Times"/>
        </w:rPr>
      </w:pPr>
    </w:p>
    <w:p w:rsidR="002A1E6A" w:rsidRPr="009A09BA" w:rsidP="002A1E6A" w14:paraId="4EE42476" w14:textId="77777777">
      <w:r w:rsidRPr="009A09BA">
        <w:t>Substance</w:t>
      </w:r>
      <w:r>
        <w:t xml:space="preserve"> use disorder treatment programs</w:t>
      </w:r>
      <w:r w:rsidRPr="009A09BA">
        <w:t xml:space="preserve"> collect</w:t>
      </w:r>
      <w:r>
        <w:t xml:space="preserve"> data at three time</w:t>
      </w:r>
      <w:r w:rsidRPr="009A09BA">
        <w:t xml:space="preserve"> points</w:t>
      </w:r>
      <w:r>
        <w:t>:</w:t>
      </w:r>
      <w:r w:rsidRPr="009A09BA">
        <w:t xml:space="preserve"> intake, </w:t>
      </w:r>
      <w:r>
        <w:t>six</w:t>
      </w:r>
      <w:r w:rsidRPr="009A09BA">
        <w:t xml:space="preserve">-month </w:t>
      </w:r>
      <w:r>
        <w:t>follow-up,</w:t>
      </w:r>
      <w:r w:rsidRPr="001D0E5E">
        <w:t xml:space="preserve"> </w:t>
      </w:r>
      <w:r>
        <w:t xml:space="preserve">and </w:t>
      </w:r>
      <w:r w:rsidRPr="009A09BA">
        <w:t>discharge</w:t>
      </w:r>
      <w:r>
        <w:t>.  Of note, the six-month follow-up data collection may occur after the client has been discharged from the program.  These times points</w:t>
      </w:r>
      <w:r w:rsidRPr="009A09BA">
        <w:t xml:space="preserve"> are part of regular program activity.    </w:t>
      </w:r>
    </w:p>
    <w:p w:rsidR="002A1E6A" w:rsidP="002A1E6A" w14:paraId="2157A64D" w14:textId="77777777"/>
    <w:p w:rsidR="002A1E6A" w:rsidP="002A1E6A" w14:paraId="3A938CDF" w14:textId="77777777">
      <w:r>
        <w:t xml:space="preserve">These data collection points are generally accepted intervals for client assessment and the participants will be asked to respond to the items according to this schedule.  The grantees for adolescent substance use disorder treatment programs are required to collect information additionally at three months follow-up due to the transitory nature of adolescents.  It is more difficult to locate adolescents than adults and, therefore, locating them more frequently and closer to their intake date should increase their follow-up rates.  The data will be reported to SAMHSA on an annual basis in keeping with the GPRA requirements for annual reporting. </w:t>
      </w:r>
    </w:p>
    <w:p w:rsidR="005A4A00" w:rsidRPr="00E04321" w:rsidP="005A4A00" w14:paraId="325619F6" w14:textId="77777777">
      <w:pPr>
        <w:pStyle w:val="Heading2"/>
      </w:pPr>
      <w:r>
        <w:rPr>
          <w:bCs w:val="0"/>
        </w:rPr>
        <w:t>A</w:t>
      </w:r>
      <w:r w:rsidRPr="00446BA6">
        <w:rPr>
          <w:bCs w:val="0"/>
        </w:rPr>
        <w:t>7.</w:t>
      </w:r>
      <w:r w:rsidRPr="00CA4651">
        <w:rPr>
          <w:b w:val="0"/>
        </w:rPr>
        <w:t xml:space="preserve">  </w:t>
      </w:r>
      <w:r>
        <w:rPr>
          <w:b w:val="0"/>
        </w:rPr>
        <w:t xml:space="preserve">    </w:t>
      </w:r>
      <w:r>
        <w:t>Consistency with the Guidelines in</w:t>
      </w:r>
      <w:r w:rsidRPr="00E04321">
        <w:t xml:space="preserve"> 5 CFR1320.5</w:t>
      </w:r>
      <w:r>
        <w:t>(d)(2)</w:t>
      </w:r>
    </w:p>
    <w:p w:rsidR="005A4A00" w:rsidP="005A4A00" w14:paraId="2C2ECB75" w14:textId="77777777">
      <w:r>
        <w:t>This information collection fully complies with 5 CFR 1320.5(d) (2).</w:t>
      </w:r>
    </w:p>
    <w:p w:rsidR="00831065" w:rsidP="005A4A00" w14:paraId="7DA75F09" w14:textId="77777777"/>
    <w:p w:rsidR="00831065" w:rsidP="00831065" w14:paraId="545D3795" w14:textId="5D09A46D">
      <w:pPr>
        <w:numPr>
          <w:ilvl w:val="12"/>
          <w:numId w:val="0"/>
        </w:numPr>
        <w:spacing w:after="240"/>
        <w:rPr>
          <w:szCs w:val="24"/>
        </w:rPr>
      </w:pPr>
      <w:r w:rsidRPr="00554212">
        <w:rPr>
          <w:szCs w:val="24"/>
        </w:rPr>
        <w:t xml:space="preserve">SAMHSA is </w:t>
      </w:r>
      <w:r>
        <w:rPr>
          <w:szCs w:val="24"/>
        </w:rPr>
        <w:t xml:space="preserve">in the process of establishing a new data collection tool for client services which will be used by discretionary grants from both CMHS and CSAT. While working towards this new combined data collection for client services, SAMHSA is </w:t>
      </w:r>
      <w:r w:rsidRPr="00554212">
        <w:rPr>
          <w:szCs w:val="24"/>
        </w:rPr>
        <w:t xml:space="preserve">requesting </w:t>
      </w:r>
      <w:r>
        <w:rPr>
          <w:szCs w:val="24"/>
        </w:rPr>
        <w:t>to extend the time period for data collection using the currently approved tools without change to the tools. As a result, SAMHSA also requests exemption from the OMB Statistical Policy Directive No. 15: Standards for Maintaining, Collecting, and Presenting Federal Data on Race and Ethnicity for this request to renew without change</w:t>
      </w:r>
      <w:r w:rsidR="0040552B">
        <w:rPr>
          <w:szCs w:val="24"/>
        </w:rPr>
        <w:t xml:space="preserve"> to the tool</w:t>
      </w:r>
      <w:r>
        <w:rPr>
          <w:szCs w:val="24"/>
        </w:rPr>
        <w:t xml:space="preserve">.  </w:t>
      </w:r>
    </w:p>
    <w:p w:rsidR="005A4A00" w:rsidRPr="00CA4651" w:rsidP="004A33A7" w14:paraId="6D547E9B" w14:textId="77777777">
      <w:pPr>
        <w:rPr>
          <w:b/>
        </w:rPr>
      </w:pPr>
      <w:r>
        <w:rPr>
          <w:b/>
        </w:rPr>
        <w:t>A</w:t>
      </w:r>
      <w:r w:rsidRPr="00CA4651">
        <w:rPr>
          <w:b/>
        </w:rPr>
        <w:t xml:space="preserve">8.  </w:t>
      </w:r>
      <w:r>
        <w:rPr>
          <w:b/>
        </w:rPr>
        <w:t xml:space="preserve">    </w:t>
      </w:r>
      <w:r>
        <w:rPr>
          <w:b/>
          <w:bCs/>
        </w:rPr>
        <w:t xml:space="preserve">Consultation Outside the Agency </w:t>
      </w:r>
    </w:p>
    <w:p w:rsidR="005A4A00" w:rsidP="005A4A00" w14:paraId="5D89EF47" w14:textId="77777777"/>
    <w:p w:rsidR="005A4A00" w:rsidP="005A4A00" w14:paraId="0FAD5116" w14:textId="3FC63660">
      <w:r>
        <w:t xml:space="preserve">The notice required by 5 CFR 1320.8(d) was published in the </w:t>
      </w:r>
      <w:r w:rsidRPr="2F9169D4">
        <w:rPr>
          <w:i/>
          <w:iCs/>
        </w:rPr>
        <w:t xml:space="preserve">Federal Register </w:t>
      </w:r>
      <w:r>
        <w:t xml:space="preserve">on </w:t>
      </w:r>
      <w:r w:rsidR="00C33D4F">
        <w:t>September 11</w:t>
      </w:r>
      <w:r w:rsidRPr="00925E6F" w:rsidR="00E42550">
        <w:t xml:space="preserve">, </w:t>
      </w:r>
      <w:r w:rsidRPr="00925E6F" w:rsidR="00920965">
        <w:t>20</w:t>
      </w:r>
      <w:r w:rsidRPr="00925E6F" w:rsidR="009C01E2">
        <w:t>2</w:t>
      </w:r>
      <w:r w:rsidR="00C33D4F">
        <w:t>4</w:t>
      </w:r>
      <w:r w:rsidRPr="00925E6F">
        <w:t xml:space="preserve"> (</w:t>
      </w:r>
      <w:r w:rsidRPr="00925E6F" w:rsidR="002A54C9">
        <w:t>8</w:t>
      </w:r>
      <w:r w:rsidR="00C33D4F">
        <w:t>9</w:t>
      </w:r>
      <w:r w:rsidRPr="00925E6F" w:rsidR="002A54C9">
        <w:t xml:space="preserve"> </w:t>
      </w:r>
      <w:r w:rsidRPr="00925E6F">
        <w:t xml:space="preserve">FR </w:t>
      </w:r>
      <w:r w:rsidR="00C33D4F">
        <w:t>7366</w:t>
      </w:r>
      <w:r w:rsidRPr="00925E6F" w:rsidR="009C01E2">
        <w:t>5</w:t>
      </w:r>
      <w:r w:rsidRPr="00925E6F" w:rsidR="00236FCA">
        <w:t>)</w:t>
      </w:r>
      <w:r w:rsidRPr="00925E6F" w:rsidR="00E42550">
        <w:t>.</w:t>
      </w:r>
      <w:r w:rsidRPr="00925E6F" w:rsidR="00581D8D">
        <w:t xml:space="preserve"> </w:t>
      </w:r>
      <w:r w:rsidRPr="00925E6F" w:rsidR="009C01E2">
        <w:t>No comments were received in response to this notice</w:t>
      </w:r>
      <w:r w:rsidRPr="00925E6F" w:rsidR="00581D8D">
        <w:t>.</w:t>
      </w:r>
    </w:p>
    <w:p w:rsidR="000C5B23" w:rsidP="005A4A00" w14:paraId="070C67C0" w14:textId="77777777"/>
    <w:p w:rsidR="5355D8B4" w14:paraId="2CDE3FFB" w14:textId="77777777">
      <w:r w:rsidRPr="5355D8B4">
        <w:rPr>
          <w:b/>
          <w:bCs/>
        </w:rPr>
        <w:t>A9.     Payment to Respondents</w:t>
      </w:r>
      <w:r w:rsidRPr="5355D8B4">
        <w:rPr>
          <w:b/>
          <w:bCs/>
          <w:u w:val="single"/>
        </w:rPr>
        <w:t xml:space="preserve"> </w:t>
      </w:r>
    </w:p>
    <w:p w:rsidR="00280770" w:rsidP="005A4A00" w14:paraId="65495D2C" w14:textId="77777777"/>
    <w:p w:rsidR="002A1E6A" w:rsidP="002A1E6A" w14:paraId="14CCA494" w14:textId="2817F1FD">
      <w:r>
        <w:t>Grantees are asked to budget for data collection in their grant applications and individual grantees are not prohibited from providing payments to their respondents for follow-up data collection, which is customary practice in the field.  If the grantees do provide payment for the follow-up, the maximum incentive is $</w:t>
      </w:r>
      <w:r w:rsidR="08BEF091">
        <w:t>3</w:t>
      </w:r>
      <w:r>
        <w:t xml:space="preserve">0.00 or the equivalent in coupons, transportation tokens, or other items per follow-up.  </w:t>
      </w:r>
    </w:p>
    <w:p w:rsidR="002A1E6A" w:rsidP="002A1E6A" w14:paraId="09D28102" w14:textId="77777777"/>
    <w:p w:rsidR="002A1E6A" w:rsidP="002A1E6A" w14:paraId="6BABE8E4" w14:textId="26231E82">
      <w:r>
        <w:t>Survey research literature suggests that monetary incentives have a strong positive effect on response rates and no known adverse effect on reliability</w:t>
      </w:r>
      <w:r w:rsidR="00BE42BD">
        <w:t>. Individuals</w:t>
      </w:r>
      <w:r>
        <w:t xml:space="preserve"> with substance use disorder research have shown improved response rates when remuneration is offered to respondents.  Individuals with substance use disorder are typically a harder-to-reach population for whom out-of-pocket costs of participation (e.g., transportation, childcare) are significant barriers. </w:t>
      </w:r>
    </w:p>
    <w:p w:rsidR="00EB5036" w:rsidP="005A4A00" w14:paraId="2C21250D" w14:textId="77777777"/>
    <w:p w:rsidR="005A4A00" w:rsidRPr="00446BA6" w:rsidP="00E333F4" w14:paraId="3316BB58" w14:textId="23CCAE73">
      <w:pPr>
        <w:keepLines/>
        <w:rPr>
          <w:b/>
          <w:bCs/>
        </w:rPr>
      </w:pPr>
      <w:r>
        <w:rPr>
          <w:b/>
        </w:rPr>
        <w:t>A</w:t>
      </w:r>
      <w:r w:rsidRPr="00CA4651">
        <w:rPr>
          <w:b/>
        </w:rPr>
        <w:t xml:space="preserve">10.  </w:t>
      </w:r>
      <w:r>
        <w:rPr>
          <w:b/>
        </w:rPr>
        <w:t xml:space="preserve">   </w:t>
      </w:r>
      <w:r w:rsidRPr="00446BA6">
        <w:rPr>
          <w:b/>
          <w:bCs/>
        </w:rPr>
        <w:t>Assurance of Confidentiality</w:t>
      </w:r>
    </w:p>
    <w:p w:rsidR="005A4A00" w:rsidP="005A4A00" w14:paraId="0A1DF4EA" w14:textId="77777777"/>
    <w:p w:rsidR="002A1E6A" w:rsidP="002A1E6A" w14:paraId="799514C0" w14:textId="301F4F85">
      <w:r>
        <w:rPr>
          <w:szCs w:val="24"/>
        </w:rPr>
        <w:t xml:space="preserve">Data will be kept private to the extent allowed by law. </w:t>
      </w:r>
      <w:r>
        <w:rPr>
          <w:szCs w:val="24"/>
        </w:rPr>
        <w:t xml:space="preserve">The information from Grantees and all other potential respondents will be kept private through all points in the data collection and reporting processes.  However, SAMHSA cannot ensure complete confidentiality of client data.  SAMHSA will work with each grantee to prepare an impact assessment protocol.  All data will be closely safeguarded, and no institutional or individual identifiers will be used in reports.  Only aggregated data will be reported.  </w:t>
      </w:r>
      <w:r>
        <w:t>SAMHSA and its contractors will not receive identifiable client records.  Provider-level information will be aggregated to, at least, the level of the grant/cooperative agreement-funding announcement.</w:t>
      </w:r>
    </w:p>
    <w:p w:rsidR="002A1E6A" w:rsidP="002A1E6A" w14:paraId="6749FE09" w14:textId="77777777"/>
    <w:p w:rsidR="002A1E6A" w:rsidP="002A1E6A" w14:paraId="1CA39BE1" w14:textId="26881CC3">
      <w:r>
        <w:t xml:space="preserve">SAMHSA has statutory authority to collect data under the GPRA (Public Law 1103(a), Title 31) and is subject to the Privacy Act for the protection of data.  Federally assisted substance use treatment providers are subject to the federal regulations for </w:t>
      </w:r>
      <w:r w:rsidRPr="00C23A34">
        <w:t>alcohol and substance use patient records (42 CFR Part 2)</w:t>
      </w:r>
      <w:r w:rsidRPr="00C23A34">
        <w:rPr>
          <w:szCs w:val="24"/>
        </w:rPr>
        <w:t xml:space="preserve"> (OMB No. 0930-0092)</w:t>
      </w:r>
      <w:r w:rsidRPr="00C23A34">
        <w:t xml:space="preserve"> which</w:t>
      </w:r>
      <w:r>
        <w:t xml:space="preserve"> govern the protection of patient identifying data.  In some cases, these same providers meet the definition of a </w:t>
      </w:r>
      <w:r w:rsidRPr="000B2D48">
        <w:t>Health Insurance Portability and Accountability Act</w:t>
      </w:r>
      <w:r>
        <w:t xml:space="preserve"> covered entity and are additionally subject to the Privacy Rule (45 CFR Parts 160 and 164) for the protection of individually identifiable data.  </w:t>
      </w:r>
    </w:p>
    <w:p w:rsidR="005A4A00" w:rsidP="005A4A00" w14:paraId="029BF983" w14:textId="77777777">
      <w:pPr>
        <w:rPr>
          <w:b/>
        </w:rPr>
      </w:pPr>
    </w:p>
    <w:p w:rsidR="005A4A00" w:rsidRPr="00CA4651" w:rsidP="005A4A00" w14:paraId="34BFB982" w14:textId="77777777">
      <w:pPr>
        <w:rPr>
          <w:b/>
        </w:rPr>
      </w:pPr>
      <w:r>
        <w:rPr>
          <w:b/>
        </w:rPr>
        <w:t>A</w:t>
      </w:r>
      <w:r w:rsidRPr="00CA4651">
        <w:rPr>
          <w:b/>
        </w:rPr>
        <w:t xml:space="preserve">11.  </w:t>
      </w:r>
      <w:r>
        <w:rPr>
          <w:b/>
        </w:rPr>
        <w:t xml:space="preserve">  </w:t>
      </w:r>
      <w:r>
        <w:rPr>
          <w:b/>
          <w:bCs/>
        </w:rPr>
        <w:t xml:space="preserve">Questions of a Sensitive Nature </w:t>
      </w:r>
    </w:p>
    <w:p w:rsidR="005A4A00" w:rsidP="005A4A00" w14:paraId="3A3C7C6F" w14:textId="77777777"/>
    <w:p w:rsidR="002A1E6A" w:rsidP="002A1E6A" w14:paraId="71432BF6" w14:textId="3DFE357A">
      <w:r w:rsidRPr="00AC48D0">
        <w:t>SAMHSA’s mission is to lead public health and service delivery efforts that promote mental health, prevent substance misuse, and provide treatments and supports to foster recovery while ensuring equitable access and better outcomes.</w:t>
      </w:r>
      <w:r>
        <w:t xml:space="preserve"> </w:t>
      </w:r>
      <w:r>
        <w:t xml:space="preserve">In carrying out this mission, it is necessary for service providers to collect sensitive items such as experiences with violence and trauma, legal involvement, use of alcohol or other drugs, as well as issues of mental health.  The data that will be submitted by each grantee will be based in large part on data that most of the programs are already routinely collecting.  This primarily includes data on client demographics, substance </w:t>
      </w:r>
      <w:r w:rsidR="00FA0763">
        <w:t>u</w:t>
      </w:r>
      <w:r>
        <w:t xml:space="preserve">se </w:t>
      </w:r>
      <w:r>
        <w:t xml:space="preserve">and treatment history, services received, and client outcomes.  These issues are essential to the service/treatment context.  Grant projects use informed consent forms as required and as viewed appropriate by their individual </w:t>
      </w:r>
      <w:r w:rsidRPr="001063A0">
        <w:t>organizations</w:t>
      </w:r>
      <w:r>
        <w:t>.  T</w:t>
      </w:r>
      <w:r w:rsidRPr="00DA5858">
        <w:t>hey</w:t>
      </w:r>
      <w:r>
        <w:t xml:space="preserve"> also use the appropriate forms for minor/adolescent participants requiring parental approval.  Client data are routinely collected and subject to the Federal Regulations on Human Subject Protection (45 CFR Part 46; OMB No. 0925-0404).  Alcohol and drug use client records in federally supported programs are also protected by 42 CFR Part 2.  The informed consent forms usually contain the following elements: </w:t>
      </w:r>
    </w:p>
    <w:p w:rsidR="002A1E6A" w:rsidP="002A1E6A" w14:paraId="38FA7DC5" w14:textId="77777777"/>
    <w:p w:rsidR="002A1E6A" w:rsidP="002A1E6A" w14:paraId="7CB7BCB7" w14:textId="77777777">
      <w:pPr>
        <w:pStyle w:val="ListParagraph"/>
        <w:numPr>
          <w:ilvl w:val="0"/>
          <w:numId w:val="6"/>
        </w:numPr>
      </w:pPr>
      <w:r w:rsidRPr="00052122">
        <w:t>Explanation of the purpose of the program or</w:t>
      </w:r>
      <w:r>
        <w:t xml:space="preserve"> </w:t>
      </w:r>
      <w:r w:rsidRPr="00052122">
        <w:t>research.</w:t>
      </w:r>
    </w:p>
    <w:p w:rsidR="002A1E6A" w:rsidP="002A1E6A" w14:paraId="2FCFA3A1" w14:textId="77777777">
      <w:pPr>
        <w:pStyle w:val="ListParagraph"/>
        <w:numPr>
          <w:ilvl w:val="0"/>
          <w:numId w:val="6"/>
        </w:numPr>
      </w:pPr>
      <w:r w:rsidRPr="00052122">
        <w:t>Expected duration of the subject’s participation.</w:t>
      </w:r>
    </w:p>
    <w:p w:rsidR="002A1E6A" w:rsidP="002A1E6A" w14:paraId="4BC527BC" w14:textId="77777777">
      <w:pPr>
        <w:pStyle w:val="ListParagraph"/>
        <w:numPr>
          <w:ilvl w:val="0"/>
          <w:numId w:val="6"/>
        </w:numPr>
      </w:pPr>
      <w:r w:rsidRPr="00052122">
        <w:t>Description of the procedures to be followed.</w:t>
      </w:r>
    </w:p>
    <w:p w:rsidR="002A1E6A" w:rsidP="002A1E6A" w14:paraId="659245BD" w14:textId="77777777">
      <w:pPr>
        <w:pStyle w:val="ListParagraph"/>
        <w:numPr>
          <w:ilvl w:val="0"/>
          <w:numId w:val="6"/>
        </w:numPr>
      </w:pPr>
      <w:r w:rsidRPr="00052122">
        <w:t>Identification of any p</w:t>
      </w:r>
      <w:r>
        <w:t>rocedures that</w:t>
      </w:r>
      <w:r w:rsidRPr="00052122">
        <w:t xml:space="preserve"> are</w:t>
      </w:r>
      <w:r>
        <w:t xml:space="preserve"> </w:t>
      </w:r>
      <w:r w:rsidRPr="00052122">
        <w:t>experimental.</w:t>
      </w:r>
    </w:p>
    <w:p w:rsidR="002A1E6A" w:rsidP="002A1E6A" w14:paraId="378A59D3" w14:textId="77777777">
      <w:pPr>
        <w:pStyle w:val="ListParagraph"/>
        <w:numPr>
          <w:ilvl w:val="0"/>
          <w:numId w:val="6"/>
        </w:numPr>
      </w:pPr>
      <w:r w:rsidRPr="00052122">
        <w:t>Description of any reasonably foreseeable risks</w:t>
      </w:r>
      <w:r>
        <w:t xml:space="preserve"> </w:t>
      </w:r>
      <w:r w:rsidRPr="00052122">
        <w:t>or discomforts to the subject.</w:t>
      </w:r>
      <w:r>
        <w:t xml:space="preserve"> </w:t>
      </w:r>
    </w:p>
    <w:p w:rsidR="002A1E6A" w:rsidRPr="00052122" w:rsidP="002A1E6A" w14:paraId="51A4B849" w14:textId="77777777">
      <w:pPr>
        <w:pStyle w:val="ListParagraph"/>
        <w:numPr>
          <w:ilvl w:val="0"/>
          <w:numId w:val="6"/>
        </w:numPr>
      </w:pPr>
      <w:r w:rsidRPr="00052122">
        <w:t>Disclosure of appropriate alternative procedures</w:t>
      </w:r>
      <w:r>
        <w:t xml:space="preserve"> </w:t>
      </w:r>
      <w:r w:rsidRPr="00052122">
        <w:t>or courses of treatment.</w:t>
      </w:r>
    </w:p>
    <w:p w:rsidR="002A1E6A" w:rsidRPr="00052122" w:rsidP="002A1E6A" w14:paraId="373EB10C" w14:textId="77777777">
      <w:pPr>
        <w:pStyle w:val="ListParagraph"/>
        <w:numPr>
          <w:ilvl w:val="0"/>
          <w:numId w:val="6"/>
        </w:numPr>
      </w:pPr>
      <w:r w:rsidRPr="00052122">
        <w:t>Statement describing the extent, if any, to which</w:t>
      </w:r>
      <w:r>
        <w:t xml:space="preserve"> </w:t>
      </w:r>
      <w:r w:rsidRPr="00052122">
        <w:t>confidentiality of records identifying the subject</w:t>
      </w:r>
      <w:r>
        <w:t xml:space="preserve"> </w:t>
      </w:r>
      <w:r w:rsidRPr="00052122">
        <w:t>will be maintained.</w:t>
      </w:r>
    </w:p>
    <w:p w:rsidR="002A1E6A" w:rsidP="002A1E6A" w14:paraId="7B1ADBBE" w14:textId="77777777">
      <w:pPr>
        <w:pStyle w:val="ListParagraph"/>
        <w:numPr>
          <w:ilvl w:val="0"/>
          <w:numId w:val="6"/>
        </w:numPr>
      </w:pPr>
      <w:r w:rsidRPr="00052122">
        <w:t>Contact names &amp; phone numbers for participants</w:t>
      </w:r>
      <w:r>
        <w:t xml:space="preserve"> </w:t>
      </w:r>
      <w:r w:rsidRPr="00052122">
        <w:t>to ask questions about program, participant</w:t>
      </w:r>
      <w:r>
        <w:t xml:space="preserve"> </w:t>
      </w:r>
      <w:r w:rsidRPr="00052122">
        <w:t>rights, and injury.</w:t>
      </w:r>
    </w:p>
    <w:p w:rsidR="00372AF8" w:rsidP="00372AF8" w14:paraId="365DB16B" w14:textId="77777777">
      <w:pPr>
        <w:pStyle w:val="ListParagraph"/>
      </w:pPr>
    </w:p>
    <w:p w:rsidR="005A4A00" w:rsidRPr="00CA4651" w:rsidP="005A4A00" w14:paraId="436C2D76" w14:textId="77777777">
      <w:pPr>
        <w:rPr>
          <w:b/>
        </w:rPr>
      </w:pPr>
      <w:r>
        <w:rPr>
          <w:b/>
        </w:rPr>
        <w:t>A</w:t>
      </w:r>
      <w:r w:rsidRPr="00933758">
        <w:rPr>
          <w:b/>
        </w:rPr>
        <w:t xml:space="preserve">12.     </w:t>
      </w:r>
      <w:r w:rsidRPr="00203445">
        <w:rPr>
          <w:b/>
        </w:rPr>
        <w:t>Estimates of Annualized Hour Burden</w:t>
      </w:r>
      <w:r>
        <w:rPr>
          <w:b/>
          <w:u w:val="single"/>
        </w:rPr>
        <w:t xml:space="preserve"> </w:t>
      </w:r>
    </w:p>
    <w:p w:rsidR="005A4A00" w:rsidP="005A4A00" w14:paraId="2818EEAC" w14:textId="77777777"/>
    <w:p w:rsidR="00500A3E" w:rsidP="00500A3E" w14:paraId="11B47EB0" w14:textId="251D2059">
      <w:r>
        <w:t xml:space="preserve">The time to complete the instruments is estimated in Table 1. These estimates are based on current funding and </w:t>
      </w:r>
      <w:r w:rsidR="00524B15">
        <w:t xml:space="preserve">planned </w:t>
      </w:r>
      <w:r>
        <w:t>fiscal year 202</w:t>
      </w:r>
      <w:r w:rsidR="00524B15">
        <w:t>4</w:t>
      </w:r>
      <w:r>
        <w:t xml:space="preserve"> notice of funding announcements and the</w:t>
      </w:r>
      <w:r w:rsidR="00C305FA">
        <w:t xml:space="preserve"> average</w:t>
      </w:r>
      <w:r>
        <w:t xml:space="preserve"> number of consumers served in fiscal year</w:t>
      </w:r>
      <w:r w:rsidR="00C305FA">
        <w:t>s</w:t>
      </w:r>
      <w:r>
        <w:t xml:space="preserve"> </w:t>
      </w:r>
      <w:r w:rsidR="00C305FA">
        <w:t>2022-2023</w:t>
      </w:r>
      <w:r>
        <w:t>; the amount of time required to complete the new questions is based on an informal pilot and prior SAMHSA/CSAT experience in collecting similar data.</w:t>
      </w:r>
    </w:p>
    <w:p w:rsidR="00DF1BA2" w:rsidP="00DF1BA2" w14:paraId="70BACA1F" w14:textId="77777777">
      <w:pPr>
        <w:pStyle w:val="paragraph"/>
        <w:spacing w:before="0" w:beforeAutospacing="0" w:after="0" w:afterAutospacing="0"/>
        <w:textAlignment w:val="baseline"/>
        <w:rPr>
          <w:rStyle w:val="normaltextrun"/>
          <w:color w:val="D13438"/>
          <w:u w:val="single"/>
        </w:rPr>
      </w:pPr>
    </w:p>
    <w:p w:rsidR="00B2047E" w:rsidRPr="00AA7A8B" w:rsidP="2F9169D4" w14:paraId="34A291CC" w14:textId="1A32CD5C">
      <w:r w:rsidRPr="00AA7A8B">
        <w:rPr>
          <w:rStyle w:val="normaltextrun"/>
        </w:rPr>
        <w:t xml:space="preserve">The estimated time to complete the baseline, follow-up, and discharge interviews is </w:t>
      </w:r>
      <w:r w:rsidRPr="00AA7A8B">
        <w:rPr>
          <w:rStyle w:val="normaltextrun"/>
          <w:sz w:val="22"/>
          <w:szCs w:val="22"/>
        </w:rPr>
        <w:t>45 (0.75)</w:t>
      </w:r>
      <w:r w:rsidRPr="00AA7A8B">
        <w:rPr>
          <w:rStyle w:val="normaltextrun"/>
        </w:rPr>
        <w:t xml:space="preserve"> minutes</w:t>
      </w:r>
      <w:r w:rsidRPr="00AA7A8B">
        <w:rPr>
          <w:rStyle w:val="normaltextrun"/>
          <w:sz w:val="22"/>
          <w:szCs w:val="22"/>
        </w:rPr>
        <w:t xml:space="preserve"> each.</w:t>
      </w:r>
      <w:r w:rsidRPr="00AA7A8B">
        <w:rPr>
          <w:rStyle w:val="normaltextrun"/>
        </w:rPr>
        <w:t xml:space="preserve"> </w:t>
      </w:r>
      <w:r w:rsidRPr="00AA7A8B">
        <w:rPr>
          <w:rStyle w:val="normaltextrun"/>
          <w:sz w:val="22"/>
          <w:szCs w:val="22"/>
        </w:rPr>
        <w:t xml:space="preserve">This includes the </w:t>
      </w:r>
      <w:r w:rsidRPr="00AA7A8B">
        <w:rPr>
          <w:rStyle w:val="normaltextrun"/>
        </w:rPr>
        <w:t>complet</w:t>
      </w:r>
      <w:r w:rsidRPr="00AA7A8B">
        <w:rPr>
          <w:rStyle w:val="normaltextrun"/>
          <w:sz w:val="22"/>
          <w:szCs w:val="22"/>
        </w:rPr>
        <w:t>ion of</w:t>
      </w:r>
      <w:r w:rsidRPr="00AA7A8B">
        <w:rPr>
          <w:rStyle w:val="normaltextrun"/>
        </w:rPr>
        <w:t xml:space="preserve"> the administrative sections of the tool for all clients including those who decline an interview. The estimated time to complete</w:t>
      </w:r>
      <w:r w:rsidRPr="00AA7A8B">
        <w:rPr>
          <w:rStyle w:val="normaltextrun"/>
          <w:sz w:val="22"/>
          <w:szCs w:val="22"/>
        </w:rPr>
        <w:t xml:space="preserve"> the SBIRT</w:t>
      </w:r>
      <w:r w:rsidRPr="00AA7A8B">
        <w:rPr>
          <w:rStyle w:val="normaltextrun"/>
        </w:rPr>
        <w:t xml:space="preserve"> program-specific measures was increased from </w:t>
      </w:r>
      <w:r w:rsidRPr="00AA7A8B">
        <w:rPr>
          <w:rStyle w:val="normaltextrun"/>
          <w:sz w:val="22"/>
          <w:szCs w:val="22"/>
        </w:rPr>
        <w:t>12 (0.2)</w:t>
      </w:r>
      <w:r w:rsidRPr="00AA7A8B">
        <w:rPr>
          <w:rStyle w:val="normaltextrun"/>
        </w:rPr>
        <w:t xml:space="preserve"> minutes to </w:t>
      </w:r>
      <w:r w:rsidRPr="00AA7A8B">
        <w:rPr>
          <w:rStyle w:val="normaltextrun"/>
          <w:sz w:val="22"/>
          <w:szCs w:val="22"/>
        </w:rPr>
        <w:t>15</w:t>
      </w:r>
      <w:r w:rsidRPr="00AA7A8B">
        <w:rPr>
          <w:rStyle w:val="normaltextrun"/>
        </w:rPr>
        <w:t xml:space="preserve"> minutes (0.</w:t>
      </w:r>
      <w:r w:rsidRPr="00AA7A8B">
        <w:rPr>
          <w:rStyle w:val="normaltextrun"/>
          <w:sz w:val="22"/>
          <w:szCs w:val="22"/>
        </w:rPr>
        <w:t>25</w:t>
      </w:r>
      <w:r w:rsidRPr="00AA7A8B">
        <w:rPr>
          <w:rStyle w:val="normaltextrun"/>
        </w:rPr>
        <w:t>)</w:t>
      </w:r>
      <w:r w:rsidRPr="00AA7A8B">
        <w:rPr>
          <w:rStyle w:val="normaltextrun"/>
          <w:sz w:val="22"/>
          <w:szCs w:val="22"/>
        </w:rPr>
        <w:t>. </w:t>
      </w:r>
      <w:r w:rsidRPr="00AA7A8B">
        <w:rPr>
          <w:rStyle w:val="eop"/>
          <w:sz w:val="22"/>
          <w:szCs w:val="22"/>
        </w:rPr>
        <w:t> </w:t>
      </w:r>
    </w:p>
    <w:p w:rsidR="00D3704B" w:rsidP="00D3704B" w14:paraId="3AC5AD77" w14:textId="77777777">
      <w:pPr>
        <w:rPr>
          <w:szCs w:val="24"/>
        </w:rPr>
      </w:pPr>
    </w:p>
    <w:p w:rsidR="00D3704B" w:rsidP="2F9169D4" w14:paraId="4B4A634A" w14:textId="29FD0A0E">
      <w:r>
        <w:t>The estimates in this table reflect the maximum annual burden for currently funded discretionary services programs.  The number of clients served in following years is estimated to be the same assuming level funding of the discretionary programs, resulting in the same annual burden estimate for those years.</w:t>
      </w:r>
    </w:p>
    <w:p w:rsidR="00AA7A8B" w14:paraId="74E2EDB0" w14:textId="646ECBE1">
      <w:r>
        <w:br w:type="page"/>
      </w:r>
    </w:p>
    <w:p w:rsidR="00B2047E" w:rsidRPr="00770098" w:rsidP="2F9169D4" w14:paraId="0990597F" w14:textId="77777777"/>
    <w:p w:rsidR="002A1E6A" w:rsidRPr="00770098" w:rsidP="002A1E6A" w14:paraId="15C3AC15" w14:textId="77777777">
      <w:pPr>
        <w:rPr>
          <w:szCs w:val="24"/>
        </w:rPr>
      </w:pPr>
    </w:p>
    <w:p w:rsidR="002A1E6A" w:rsidRPr="00251C85" w:rsidP="002A1E6A" w14:paraId="0EAD55C8" w14:textId="77777777">
      <w:pPr>
        <w:rPr>
          <w:b/>
          <w:sz w:val="22"/>
          <w:szCs w:val="24"/>
        </w:rPr>
      </w:pPr>
      <w:r w:rsidRPr="22F7D941">
        <w:rPr>
          <w:b/>
          <w:bCs/>
          <w:sz w:val="22"/>
          <w:szCs w:val="22"/>
        </w:rPr>
        <w:t xml:space="preserve">Table 1: Estimates of Annualized Hour Burden </w:t>
      </w:r>
    </w:p>
    <w:tbl>
      <w:tblPr>
        <w:tblW w:w="9360" w:type="dxa"/>
        <w:tblInd w:w="-203" w:type="dxa"/>
        <w:tblLook w:val="04A0"/>
      </w:tblPr>
      <w:tblGrid>
        <w:gridCol w:w="1298"/>
        <w:gridCol w:w="1306"/>
        <w:gridCol w:w="1228"/>
        <w:gridCol w:w="1176"/>
        <w:gridCol w:w="1017"/>
        <w:gridCol w:w="996"/>
        <w:gridCol w:w="923"/>
        <w:gridCol w:w="1416"/>
      </w:tblGrid>
      <w:tr w14:paraId="61FBCECA" w14:textId="77777777" w:rsidTr="00D2684D">
        <w:tblPrEx>
          <w:tblW w:w="9360" w:type="dxa"/>
          <w:tblInd w:w="-203" w:type="dxa"/>
          <w:tblLook w:val="04A0"/>
        </w:tblPrEx>
        <w:trPr>
          <w:cantSplit/>
          <w:trHeight w:val="940"/>
        </w:trPr>
        <w:tc>
          <w:tcPr>
            <w:tcW w:w="1332" w:type="dxa"/>
            <w:tcBorders>
              <w:top w:val="double" w:sz="6" w:space="0" w:color="auto"/>
              <w:left w:val="double" w:sz="6" w:space="0" w:color="auto"/>
              <w:bottom w:val="single" w:sz="8" w:space="0" w:color="auto"/>
              <w:right w:val="single" w:sz="8" w:space="0" w:color="auto"/>
            </w:tcBorders>
            <w:shd w:val="clear" w:color="auto" w:fill="EEECE1" w:themeFill="background2"/>
            <w:vAlign w:val="center"/>
            <w:hideMark/>
          </w:tcPr>
          <w:p w:rsidR="002A1E6A" w:rsidRPr="00251C85" w:rsidP="00F87746" w14:paraId="2AC09D51" w14:textId="77777777">
            <w:pPr>
              <w:jc w:val="center"/>
              <w:rPr>
                <w:b/>
                <w:bCs/>
                <w:sz w:val="20"/>
              </w:rPr>
            </w:pPr>
            <w:r w:rsidRPr="00251C85">
              <w:rPr>
                <w:b/>
                <w:bCs/>
                <w:sz w:val="20"/>
              </w:rPr>
              <w:t>SAMHSA Tool</w:t>
            </w:r>
          </w:p>
        </w:tc>
        <w:tc>
          <w:tcPr>
            <w:tcW w:w="1306"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3A600717" w14:textId="77777777">
            <w:pPr>
              <w:jc w:val="center"/>
              <w:rPr>
                <w:b/>
                <w:bCs/>
                <w:sz w:val="20"/>
              </w:rPr>
            </w:pPr>
            <w:r w:rsidRPr="00251C85">
              <w:rPr>
                <w:b/>
                <w:bCs/>
                <w:sz w:val="20"/>
              </w:rPr>
              <w:t>Number of Respondents</w:t>
            </w:r>
          </w:p>
        </w:tc>
        <w:tc>
          <w:tcPr>
            <w:tcW w:w="1228"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10FCCEF5" w14:textId="77777777">
            <w:pPr>
              <w:jc w:val="center"/>
              <w:rPr>
                <w:b/>
                <w:bCs/>
                <w:sz w:val="20"/>
              </w:rPr>
            </w:pPr>
            <w:r w:rsidRPr="00251C85">
              <w:rPr>
                <w:b/>
                <w:bCs/>
                <w:sz w:val="20"/>
              </w:rPr>
              <w:t>Responses per Respondent</w:t>
            </w:r>
          </w:p>
        </w:tc>
        <w:tc>
          <w:tcPr>
            <w:tcW w:w="1176"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4D9C3910" w14:textId="77777777">
            <w:pPr>
              <w:jc w:val="center"/>
              <w:rPr>
                <w:b/>
                <w:bCs/>
                <w:sz w:val="20"/>
              </w:rPr>
            </w:pPr>
            <w:r w:rsidRPr="00251C85">
              <w:rPr>
                <w:b/>
                <w:bCs/>
                <w:sz w:val="20"/>
              </w:rPr>
              <w:t>Total Number of Responses</w:t>
            </w:r>
          </w:p>
        </w:tc>
        <w:tc>
          <w:tcPr>
            <w:tcW w:w="1017"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7D45ED28" w14:textId="77777777">
            <w:pPr>
              <w:jc w:val="center"/>
              <w:rPr>
                <w:b/>
                <w:bCs/>
                <w:sz w:val="20"/>
              </w:rPr>
            </w:pPr>
            <w:r w:rsidRPr="00251C85">
              <w:rPr>
                <w:b/>
                <w:bCs/>
                <w:sz w:val="20"/>
              </w:rPr>
              <w:t>Burden Hours per Response</w:t>
            </w:r>
          </w:p>
        </w:tc>
        <w:tc>
          <w:tcPr>
            <w:tcW w:w="996"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7EA80945" w14:textId="77777777">
            <w:pPr>
              <w:jc w:val="center"/>
              <w:rPr>
                <w:b/>
                <w:bCs/>
                <w:sz w:val="20"/>
              </w:rPr>
            </w:pPr>
            <w:r w:rsidRPr="00251C85">
              <w:rPr>
                <w:b/>
                <w:bCs/>
                <w:sz w:val="20"/>
              </w:rPr>
              <w:t>Total Burden Hours</w:t>
            </w:r>
          </w:p>
        </w:tc>
        <w:tc>
          <w:tcPr>
            <w:tcW w:w="955" w:type="dxa"/>
            <w:tcBorders>
              <w:top w:val="double" w:sz="6" w:space="0" w:color="auto"/>
              <w:left w:val="nil"/>
              <w:bottom w:val="single" w:sz="8" w:space="0" w:color="auto"/>
              <w:right w:val="single" w:sz="8" w:space="0" w:color="auto"/>
            </w:tcBorders>
            <w:shd w:val="clear" w:color="auto" w:fill="EEECE1" w:themeFill="background2"/>
            <w:vAlign w:val="center"/>
            <w:hideMark/>
          </w:tcPr>
          <w:p w:rsidR="002A1E6A" w:rsidRPr="00251C85" w:rsidP="00F87746" w14:paraId="0F789215" w14:textId="77777777">
            <w:pPr>
              <w:jc w:val="center"/>
              <w:rPr>
                <w:b/>
                <w:bCs/>
                <w:sz w:val="20"/>
              </w:rPr>
            </w:pPr>
            <w:r>
              <w:rPr>
                <w:b/>
                <w:bCs/>
                <w:sz w:val="20"/>
              </w:rPr>
              <w:footnoteReference w:customMarkFollows="1" w:id="3"/>
              <w:t xml:space="preserve">Hourly Wage [</w:t>
            </w:r>
            <w:r w:rsidRPr="00251C85">
              <w:rPr>
                <w:b/>
                <w:bCs/>
                <w:sz w:val="20"/>
                <w:vertAlign w:val="superscript"/>
              </w:rPr>
              <w:t>1</w:t>
            </w:r>
            <w:r w:rsidRPr="00251C85">
              <w:rPr>
                <w:b/>
                <w:bCs/>
                <w:sz w:val="20"/>
              </w:rPr>
              <w:t>]</w:t>
            </w:r>
          </w:p>
        </w:tc>
        <w:tc>
          <w:tcPr>
            <w:tcW w:w="1350" w:type="dxa"/>
            <w:tcBorders>
              <w:top w:val="double" w:sz="6" w:space="0" w:color="auto"/>
              <w:left w:val="nil"/>
              <w:bottom w:val="single" w:sz="8" w:space="0" w:color="auto"/>
              <w:right w:val="double" w:sz="6" w:space="0" w:color="auto"/>
            </w:tcBorders>
            <w:shd w:val="clear" w:color="auto" w:fill="EEECE1" w:themeFill="background2"/>
            <w:vAlign w:val="center"/>
            <w:hideMark/>
          </w:tcPr>
          <w:p w:rsidR="002A1E6A" w:rsidRPr="00251C85" w:rsidP="00F87746" w14:paraId="1F88E667" w14:textId="77777777">
            <w:pPr>
              <w:jc w:val="center"/>
              <w:rPr>
                <w:b/>
                <w:bCs/>
                <w:sz w:val="20"/>
              </w:rPr>
            </w:pPr>
            <w:r w:rsidRPr="00251C85">
              <w:rPr>
                <w:b/>
                <w:bCs/>
                <w:sz w:val="20"/>
              </w:rPr>
              <w:t>Total Hour Cost</w:t>
            </w:r>
          </w:p>
        </w:tc>
      </w:tr>
      <w:tr w14:paraId="1D393E0E" w14:textId="77777777" w:rsidTr="00D2684D">
        <w:tblPrEx>
          <w:tblW w:w="9360" w:type="dxa"/>
          <w:tblInd w:w="-203" w:type="dxa"/>
          <w:tblLook w:val="04A0"/>
        </w:tblPrEx>
        <w:trPr>
          <w:trHeight w:val="2610"/>
        </w:trPr>
        <w:tc>
          <w:tcPr>
            <w:tcW w:w="1332" w:type="dxa"/>
            <w:tcBorders>
              <w:top w:val="nil"/>
              <w:left w:val="double" w:sz="6" w:space="0" w:color="auto"/>
              <w:bottom w:val="single" w:sz="8" w:space="0" w:color="auto"/>
              <w:right w:val="single" w:sz="8" w:space="0" w:color="auto"/>
            </w:tcBorders>
            <w:shd w:val="clear" w:color="auto" w:fill="FFFFFF" w:themeFill="background1"/>
            <w:vAlign w:val="center"/>
            <w:hideMark/>
          </w:tcPr>
          <w:p w:rsidR="00D2684D" w:rsidRPr="00251C85" w:rsidP="00D2684D" w14:paraId="1438FF44" w14:textId="77777777">
            <w:pPr>
              <w:rPr>
                <w:color w:val="000000"/>
                <w:sz w:val="20"/>
              </w:rPr>
            </w:pPr>
            <w:r w:rsidRPr="00251C85">
              <w:rPr>
                <w:bCs/>
                <w:color w:val="000000"/>
                <w:sz w:val="20"/>
                <w:szCs w:val="24"/>
              </w:rPr>
              <w:t xml:space="preserve">Baseline Interview Includes SBIRT Brief TX, Referral to TX, and Program-specific questions </w:t>
            </w:r>
          </w:p>
        </w:tc>
        <w:tc>
          <w:tcPr>
            <w:tcW w:w="130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69A58C0C" w14:textId="5AFD57FF">
            <w:pPr>
              <w:jc w:val="center"/>
              <w:rPr>
                <w:color w:val="000000"/>
                <w:sz w:val="20"/>
              </w:rPr>
            </w:pPr>
            <w:r w:rsidRPr="002A24AE">
              <w:rPr>
                <w:color w:val="000000"/>
                <w:sz w:val="20"/>
              </w:rPr>
              <w:t>337,</w:t>
            </w:r>
            <w:r>
              <w:rPr>
                <w:color w:val="000000"/>
                <w:sz w:val="20"/>
              </w:rPr>
              <w:t>857</w:t>
            </w:r>
          </w:p>
        </w:tc>
        <w:tc>
          <w:tcPr>
            <w:tcW w:w="1228"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0EFA98FB" w14:textId="3822FC10">
            <w:pPr>
              <w:jc w:val="center"/>
              <w:rPr>
                <w:color w:val="000000"/>
                <w:sz w:val="20"/>
              </w:rPr>
            </w:pPr>
            <w:r w:rsidRPr="00514FE0">
              <w:rPr>
                <w:color w:val="000000"/>
                <w:sz w:val="20"/>
              </w:rPr>
              <w:t>1</w:t>
            </w:r>
          </w:p>
        </w:tc>
        <w:tc>
          <w:tcPr>
            <w:tcW w:w="117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3ECB88E2" w14:textId="28805A25">
            <w:pPr>
              <w:jc w:val="center"/>
              <w:rPr>
                <w:color w:val="000000"/>
                <w:sz w:val="20"/>
              </w:rPr>
            </w:pPr>
            <w:r w:rsidRPr="002A24AE">
              <w:rPr>
                <w:color w:val="000000"/>
                <w:sz w:val="20"/>
              </w:rPr>
              <w:t>337,</w:t>
            </w:r>
            <w:r>
              <w:rPr>
                <w:color w:val="000000"/>
                <w:sz w:val="20"/>
              </w:rPr>
              <w:t>857</w:t>
            </w:r>
          </w:p>
        </w:tc>
        <w:tc>
          <w:tcPr>
            <w:tcW w:w="1017"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214F2CAE" w14:textId="64A899F4">
            <w:pPr>
              <w:jc w:val="center"/>
              <w:rPr>
                <w:color w:val="000000"/>
                <w:sz w:val="20"/>
              </w:rPr>
            </w:pPr>
            <w:r w:rsidRPr="00514FE0">
              <w:rPr>
                <w:color w:val="000000"/>
                <w:sz w:val="20"/>
              </w:rPr>
              <w:t>0.</w:t>
            </w:r>
            <w:r>
              <w:rPr>
                <w:color w:val="000000"/>
                <w:sz w:val="20"/>
              </w:rPr>
              <w:t>75</w:t>
            </w:r>
          </w:p>
        </w:tc>
        <w:tc>
          <w:tcPr>
            <w:tcW w:w="99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7571DC3C" w14:textId="79386805">
            <w:pPr>
              <w:jc w:val="center"/>
              <w:rPr>
                <w:color w:val="000000"/>
                <w:sz w:val="20"/>
              </w:rPr>
            </w:pPr>
            <w:r>
              <w:rPr>
                <w:color w:val="000000"/>
                <w:sz w:val="20"/>
              </w:rPr>
              <w:t>253,393</w:t>
            </w:r>
          </w:p>
        </w:tc>
        <w:tc>
          <w:tcPr>
            <w:tcW w:w="955"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2C1ADF83" w14:textId="3AC257D5">
            <w:pPr>
              <w:jc w:val="center"/>
              <w:rPr>
                <w:color w:val="000000"/>
                <w:sz w:val="20"/>
              </w:rPr>
            </w:pPr>
            <w:r w:rsidRPr="00514FE0">
              <w:rPr>
                <w:color w:val="000000"/>
                <w:sz w:val="20"/>
              </w:rPr>
              <w:t>$2</w:t>
            </w:r>
            <w:r>
              <w:rPr>
                <w:color w:val="000000"/>
                <w:sz w:val="20"/>
              </w:rPr>
              <w:t>8.89</w:t>
            </w:r>
            <w:r w:rsidRPr="00514FE0">
              <w:rPr>
                <w:color w:val="000000"/>
                <w:sz w:val="20"/>
              </w:rPr>
              <w:t xml:space="preserve"> </w:t>
            </w:r>
          </w:p>
        </w:tc>
        <w:tc>
          <w:tcPr>
            <w:tcW w:w="1350" w:type="dxa"/>
            <w:tcBorders>
              <w:top w:val="nil"/>
              <w:left w:val="nil"/>
              <w:bottom w:val="single" w:sz="8" w:space="0" w:color="auto"/>
              <w:right w:val="double" w:sz="6" w:space="0" w:color="auto"/>
            </w:tcBorders>
            <w:shd w:val="clear" w:color="auto" w:fill="FFFFFF" w:themeFill="background1"/>
            <w:vAlign w:val="center"/>
            <w:hideMark/>
          </w:tcPr>
          <w:p w:rsidR="00D2684D" w:rsidRPr="00251C85" w:rsidP="00D2684D" w14:paraId="1DFD65DB" w14:textId="0B8FE090">
            <w:pPr>
              <w:jc w:val="center"/>
              <w:rPr>
                <w:color w:val="000000"/>
                <w:sz w:val="20"/>
              </w:rPr>
            </w:pPr>
            <w:r w:rsidRPr="00514FE0">
              <w:rPr>
                <w:color w:val="000000"/>
                <w:sz w:val="20"/>
              </w:rPr>
              <w:t>$</w:t>
            </w:r>
            <w:r>
              <w:rPr>
                <w:color w:val="000000"/>
                <w:sz w:val="20"/>
              </w:rPr>
              <w:t>7,320,523</w:t>
            </w:r>
            <w:r w:rsidRPr="00514FE0">
              <w:rPr>
                <w:color w:val="000000"/>
                <w:sz w:val="20"/>
              </w:rPr>
              <w:t xml:space="preserve"> </w:t>
            </w:r>
          </w:p>
        </w:tc>
      </w:tr>
      <w:tr w14:paraId="4F6634AD" w14:textId="77777777" w:rsidTr="00890119">
        <w:tblPrEx>
          <w:tblW w:w="9360" w:type="dxa"/>
          <w:tblInd w:w="-203" w:type="dxa"/>
          <w:tblLook w:val="04A0"/>
        </w:tblPrEx>
        <w:trPr>
          <w:trHeight w:val="2330"/>
        </w:trPr>
        <w:tc>
          <w:tcPr>
            <w:tcW w:w="1332" w:type="dxa"/>
            <w:tcBorders>
              <w:top w:val="nil"/>
              <w:left w:val="double" w:sz="6" w:space="0" w:color="auto"/>
              <w:bottom w:val="single" w:sz="8" w:space="0" w:color="auto"/>
              <w:right w:val="single" w:sz="8" w:space="0" w:color="auto"/>
            </w:tcBorders>
            <w:shd w:val="clear" w:color="auto" w:fill="FFFFFF" w:themeFill="background1"/>
            <w:vAlign w:val="center"/>
            <w:hideMark/>
          </w:tcPr>
          <w:p w:rsidR="00D2684D" w:rsidRPr="00251C85" w:rsidP="00D2684D" w14:paraId="380E5B1B" w14:textId="0123D58A">
            <w:pPr>
              <w:rPr>
                <w:color w:val="0563C1"/>
                <w:sz w:val="20"/>
              </w:rPr>
            </w:pPr>
            <w:r w:rsidRPr="354A1DD2">
              <w:rPr>
                <w:sz w:val="20"/>
              </w:rPr>
              <w:t>Follow-Up Interview with Program-specific questions [</w:t>
            </w:r>
            <w:r w:rsidRPr="354A1DD2">
              <w:rPr>
                <w:sz w:val="20"/>
                <w:vertAlign w:val="superscript"/>
              </w:rPr>
              <w:t>2</w:t>
            </w:r>
            <w:r w:rsidRPr="354A1DD2">
              <w:rPr>
                <w:sz w:val="20"/>
              </w:rPr>
              <w:t xml:space="preserve">] </w:t>
            </w:r>
          </w:p>
        </w:tc>
        <w:tc>
          <w:tcPr>
            <w:tcW w:w="130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19C9E13E" w14:textId="44F00FB9">
            <w:pPr>
              <w:jc w:val="center"/>
              <w:rPr>
                <w:color w:val="000000"/>
                <w:sz w:val="20"/>
              </w:rPr>
            </w:pPr>
            <w:r>
              <w:rPr>
                <w:color w:val="000000"/>
                <w:sz w:val="20"/>
              </w:rPr>
              <w:t>270,286</w:t>
            </w:r>
          </w:p>
        </w:tc>
        <w:tc>
          <w:tcPr>
            <w:tcW w:w="1228"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70D2D778" w14:textId="4603E9E8">
            <w:pPr>
              <w:jc w:val="center"/>
              <w:rPr>
                <w:color w:val="000000"/>
                <w:sz w:val="20"/>
              </w:rPr>
            </w:pPr>
            <w:r w:rsidRPr="00514FE0">
              <w:rPr>
                <w:color w:val="000000"/>
                <w:sz w:val="20"/>
              </w:rPr>
              <w:t>1</w:t>
            </w:r>
          </w:p>
        </w:tc>
        <w:tc>
          <w:tcPr>
            <w:tcW w:w="117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63A10F87" w14:textId="08511A13">
            <w:pPr>
              <w:jc w:val="center"/>
              <w:rPr>
                <w:color w:val="000000"/>
                <w:sz w:val="20"/>
              </w:rPr>
            </w:pPr>
            <w:r>
              <w:rPr>
                <w:color w:val="000000"/>
                <w:sz w:val="20"/>
              </w:rPr>
              <w:t>270,286</w:t>
            </w:r>
          </w:p>
        </w:tc>
        <w:tc>
          <w:tcPr>
            <w:tcW w:w="1017"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34DD8E7A" w14:textId="0A64DA0F">
            <w:pPr>
              <w:jc w:val="center"/>
              <w:rPr>
                <w:color w:val="000000"/>
                <w:sz w:val="20"/>
              </w:rPr>
            </w:pPr>
            <w:r w:rsidRPr="00514FE0">
              <w:rPr>
                <w:color w:val="000000"/>
                <w:sz w:val="20"/>
              </w:rPr>
              <w:t>0.</w:t>
            </w:r>
            <w:r>
              <w:rPr>
                <w:color w:val="000000"/>
                <w:sz w:val="20"/>
              </w:rPr>
              <w:t>75</w:t>
            </w:r>
          </w:p>
        </w:tc>
        <w:tc>
          <w:tcPr>
            <w:tcW w:w="99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32AFAF65" w14:textId="032C68FE">
            <w:pPr>
              <w:jc w:val="center"/>
              <w:rPr>
                <w:color w:val="000000"/>
                <w:sz w:val="20"/>
              </w:rPr>
            </w:pPr>
            <w:r>
              <w:rPr>
                <w:color w:val="000000"/>
                <w:sz w:val="20"/>
              </w:rPr>
              <w:t>202,715</w:t>
            </w:r>
          </w:p>
        </w:tc>
        <w:tc>
          <w:tcPr>
            <w:tcW w:w="955" w:type="dxa"/>
            <w:tcBorders>
              <w:top w:val="nil"/>
              <w:left w:val="nil"/>
              <w:bottom w:val="single" w:sz="4" w:space="0" w:color="auto"/>
              <w:right w:val="single" w:sz="8" w:space="0" w:color="auto"/>
            </w:tcBorders>
            <w:shd w:val="clear" w:color="auto" w:fill="FFFFFF" w:themeFill="background1"/>
            <w:hideMark/>
          </w:tcPr>
          <w:p w:rsidR="00D2684D" w:rsidP="00D2684D" w14:paraId="51A7B2CE" w14:textId="77777777">
            <w:pPr>
              <w:rPr>
                <w:color w:val="000000"/>
                <w:sz w:val="20"/>
              </w:rPr>
            </w:pPr>
          </w:p>
          <w:p w:rsidR="00D2684D" w:rsidP="00D2684D" w14:paraId="298360E1" w14:textId="77777777">
            <w:pPr>
              <w:rPr>
                <w:color w:val="000000"/>
                <w:sz w:val="20"/>
              </w:rPr>
            </w:pPr>
          </w:p>
          <w:p w:rsidR="00D2684D" w:rsidP="00D2684D" w14:paraId="30285BA0" w14:textId="77777777">
            <w:pPr>
              <w:rPr>
                <w:color w:val="000000"/>
                <w:sz w:val="14"/>
              </w:rPr>
            </w:pPr>
          </w:p>
          <w:p w:rsidR="00D2684D" w:rsidRPr="006C768C" w:rsidP="00D2684D" w14:paraId="174FD255" w14:textId="77777777">
            <w:pPr>
              <w:rPr>
                <w:color w:val="000000"/>
                <w:sz w:val="14"/>
                <w:szCs w:val="14"/>
              </w:rPr>
            </w:pPr>
          </w:p>
          <w:p w:rsidR="00D2684D" w:rsidP="00D2684D" w14:paraId="6C44CC1C" w14:textId="77777777">
            <w:pPr>
              <w:rPr>
                <w:color w:val="000000"/>
                <w:sz w:val="20"/>
              </w:rPr>
            </w:pPr>
          </w:p>
          <w:p w:rsidR="00D2684D" w:rsidRPr="00251C85" w:rsidP="00D2684D" w14:paraId="18E87DB3" w14:textId="1F3142CB">
            <w:pPr>
              <w:jc w:val="center"/>
              <w:rPr>
                <w:color w:val="000000"/>
                <w:sz w:val="20"/>
              </w:rPr>
            </w:pPr>
            <w:r>
              <w:rPr>
                <w:color w:val="000000"/>
                <w:sz w:val="20"/>
              </w:rPr>
              <w:t>$</w:t>
            </w:r>
            <w:r w:rsidRPr="005D4A6B">
              <w:rPr>
                <w:color w:val="000000"/>
                <w:sz w:val="20"/>
              </w:rPr>
              <w:t>28.89</w:t>
            </w:r>
          </w:p>
        </w:tc>
        <w:tc>
          <w:tcPr>
            <w:tcW w:w="1350" w:type="dxa"/>
            <w:tcBorders>
              <w:top w:val="nil"/>
              <w:left w:val="nil"/>
              <w:bottom w:val="single" w:sz="4" w:space="0" w:color="auto"/>
              <w:right w:val="double" w:sz="6" w:space="0" w:color="auto"/>
            </w:tcBorders>
            <w:shd w:val="clear" w:color="auto" w:fill="FFFFFF" w:themeFill="background1"/>
            <w:vAlign w:val="center"/>
            <w:hideMark/>
          </w:tcPr>
          <w:p w:rsidR="00D2684D" w:rsidRPr="00251C85" w:rsidP="00D2684D" w14:paraId="2A2B04DC" w14:textId="3E0C20E5">
            <w:pPr>
              <w:jc w:val="center"/>
              <w:rPr>
                <w:color w:val="000000"/>
                <w:sz w:val="20"/>
              </w:rPr>
            </w:pPr>
            <w:r w:rsidRPr="00514FE0">
              <w:rPr>
                <w:color w:val="000000"/>
                <w:sz w:val="20"/>
              </w:rPr>
              <w:t>$</w:t>
            </w:r>
            <w:r>
              <w:rPr>
                <w:color w:val="000000"/>
                <w:sz w:val="20"/>
              </w:rPr>
              <w:t>5,856,436</w:t>
            </w:r>
            <w:r w:rsidRPr="00514FE0">
              <w:rPr>
                <w:color w:val="000000"/>
                <w:sz w:val="20"/>
              </w:rPr>
              <w:t xml:space="preserve"> </w:t>
            </w:r>
          </w:p>
        </w:tc>
      </w:tr>
      <w:tr w14:paraId="5C86BBA5" w14:textId="77777777" w:rsidTr="00890119">
        <w:tblPrEx>
          <w:tblW w:w="9360" w:type="dxa"/>
          <w:tblInd w:w="-203" w:type="dxa"/>
          <w:tblLook w:val="04A0"/>
        </w:tblPrEx>
        <w:trPr>
          <w:trHeight w:val="2320"/>
        </w:trPr>
        <w:tc>
          <w:tcPr>
            <w:tcW w:w="1332" w:type="dxa"/>
            <w:tcBorders>
              <w:top w:val="nil"/>
              <w:left w:val="double" w:sz="6" w:space="0" w:color="auto"/>
              <w:bottom w:val="nil"/>
              <w:right w:val="single" w:sz="4" w:space="0" w:color="auto"/>
            </w:tcBorders>
            <w:shd w:val="clear" w:color="auto" w:fill="FFFFFF" w:themeFill="background1"/>
            <w:vAlign w:val="center"/>
            <w:hideMark/>
          </w:tcPr>
          <w:p w:rsidR="00D2684D" w:rsidRPr="00251C85" w:rsidP="00D2684D" w14:paraId="60096788" w14:textId="2D700CC2">
            <w:r w:rsidRPr="354A1DD2">
              <w:rPr>
                <w:sz w:val="20"/>
              </w:rPr>
              <w:t>Discharge Interview with Program-specific questions [</w:t>
            </w:r>
            <w:r w:rsidRPr="354A1DD2">
              <w:rPr>
                <w:sz w:val="20"/>
                <w:vertAlign w:val="superscript"/>
              </w:rPr>
              <w:t>3</w:t>
            </w:r>
            <w:r w:rsidRPr="354A1DD2">
              <w:rPr>
                <w:sz w:val="20"/>
              </w:rPr>
              <w:t xml:space="preserve">] </w:t>
            </w:r>
          </w:p>
          <w:p w:rsidR="00D2684D" w:rsidRPr="00251C85" w:rsidP="00D2684D" w14:paraId="758B9F7F" w14:textId="0F50984F"/>
          <w:p w:rsidR="00D2684D" w:rsidRPr="00251C85" w:rsidP="00D2684D" w14:paraId="3C7CC91C" w14:textId="2ED9075F"/>
          <w:p w:rsidR="00D2684D" w:rsidRPr="00251C85" w:rsidP="00D2684D" w14:paraId="5B4B5329" w14:textId="50CE1585">
            <w:pPr>
              <w:rPr>
                <w:szCs w:val="24"/>
              </w:rPr>
            </w:pPr>
          </w:p>
          <w:p w:rsidR="00D2684D" w:rsidRPr="00251C85" w:rsidP="00D2684D" w14:paraId="1EFFB900" w14:textId="03A13F4A">
            <w:pPr>
              <w:rPr>
                <w:sz w:val="20"/>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5368FAE8" w14:textId="3415EFDE">
            <w:pPr>
              <w:jc w:val="center"/>
              <w:rPr>
                <w:color w:val="000000"/>
                <w:sz w:val="20"/>
              </w:rPr>
            </w:pPr>
            <w:r>
              <w:rPr>
                <w:color w:val="000000"/>
                <w:sz w:val="20"/>
              </w:rPr>
              <w:t>175,686</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7D6E822D" w14:textId="59184919">
            <w:pPr>
              <w:jc w:val="center"/>
              <w:rPr>
                <w:color w:val="000000"/>
                <w:sz w:val="20"/>
              </w:rPr>
            </w:pPr>
            <w:r w:rsidRPr="00514FE0">
              <w:rPr>
                <w:color w:val="000000"/>
                <w:sz w:val="20"/>
              </w:rPr>
              <w:t>1</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1384E7C5" w14:textId="370670F1">
            <w:pPr>
              <w:jc w:val="center"/>
              <w:rPr>
                <w:color w:val="000000"/>
                <w:sz w:val="20"/>
              </w:rPr>
            </w:pPr>
            <w:r>
              <w:rPr>
                <w:color w:val="000000"/>
                <w:sz w:val="20"/>
              </w:rPr>
              <w:t>175,686</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6CBC27F0" w14:textId="32E885B3">
            <w:pPr>
              <w:jc w:val="center"/>
              <w:rPr>
                <w:color w:val="000000"/>
                <w:sz w:val="20"/>
              </w:rPr>
            </w:pPr>
            <w:r w:rsidRPr="174060C9">
              <w:rPr>
                <w:color w:val="000000" w:themeColor="text1"/>
                <w:sz w:val="20"/>
              </w:rPr>
              <w:t>0.</w:t>
            </w:r>
            <w:r>
              <w:rPr>
                <w:color w:val="000000" w:themeColor="text1"/>
                <w:sz w:val="20"/>
              </w:rPr>
              <w:t>75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095504F2" w14:textId="19815207">
            <w:pPr>
              <w:jc w:val="center"/>
              <w:rPr>
                <w:color w:val="000000"/>
                <w:sz w:val="20"/>
              </w:rPr>
            </w:pPr>
            <w:r>
              <w:rPr>
                <w:color w:val="000000"/>
                <w:sz w:val="20"/>
              </w:rPr>
              <w:t>131,765</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2684D" w:rsidP="00D2684D" w14:paraId="11A4C1BB" w14:textId="77777777">
            <w:pPr>
              <w:jc w:val="center"/>
              <w:rPr>
                <w:color w:val="000000"/>
                <w:sz w:val="20"/>
              </w:rPr>
            </w:pPr>
          </w:p>
          <w:p w:rsidR="00D2684D" w:rsidP="00D2684D" w14:paraId="78A8E9E3" w14:textId="77777777">
            <w:pPr>
              <w:jc w:val="center"/>
              <w:rPr>
                <w:color w:val="000000"/>
                <w:sz w:val="20"/>
              </w:rPr>
            </w:pPr>
          </w:p>
          <w:p w:rsidR="00D2684D" w:rsidP="00D2684D" w14:paraId="0321AA32" w14:textId="77777777">
            <w:pPr>
              <w:jc w:val="center"/>
              <w:rPr>
                <w:color w:val="000000"/>
                <w:sz w:val="20"/>
              </w:rPr>
            </w:pPr>
          </w:p>
          <w:p w:rsidR="00D2684D" w:rsidP="00D2684D" w14:paraId="3D8AF60A" w14:textId="77777777">
            <w:pPr>
              <w:jc w:val="center"/>
              <w:rPr>
                <w:color w:val="000000"/>
                <w:sz w:val="20"/>
              </w:rPr>
            </w:pPr>
          </w:p>
          <w:p w:rsidR="00D2684D" w:rsidP="00D2684D" w14:paraId="170DA81E" w14:textId="77777777">
            <w:pPr>
              <w:rPr>
                <w:color w:val="000000"/>
                <w:sz w:val="20"/>
              </w:rPr>
            </w:pPr>
          </w:p>
          <w:p w:rsidR="00D2684D" w:rsidRPr="00251C85" w:rsidP="00D2684D" w14:paraId="1DAB7AFA" w14:textId="16F0D790">
            <w:pPr>
              <w:jc w:val="center"/>
              <w:rPr>
                <w:color w:val="000000"/>
                <w:sz w:val="20"/>
              </w:rPr>
            </w:pPr>
            <w:r>
              <w:rPr>
                <w:color w:val="000000"/>
                <w:sz w:val="20"/>
              </w:rPr>
              <w:t>$</w:t>
            </w:r>
            <w:r w:rsidRPr="005D4A6B">
              <w:rPr>
                <w:color w:val="000000"/>
                <w:sz w:val="20"/>
              </w:rPr>
              <w:t>28.89</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56999219" w14:textId="5654A352">
            <w:pPr>
              <w:jc w:val="center"/>
              <w:rPr>
                <w:color w:val="000000"/>
                <w:sz w:val="20"/>
              </w:rPr>
            </w:pPr>
            <w:r w:rsidRPr="00514FE0">
              <w:rPr>
                <w:color w:val="000000"/>
                <w:sz w:val="20"/>
              </w:rPr>
              <w:t>$</w:t>
            </w:r>
            <w:r>
              <w:rPr>
                <w:color w:val="000000"/>
                <w:sz w:val="20"/>
              </w:rPr>
              <w:t>3,806,431</w:t>
            </w:r>
            <w:r w:rsidRPr="00514FE0">
              <w:rPr>
                <w:color w:val="000000"/>
                <w:sz w:val="20"/>
              </w:rPr>
              <w:t xml:space="preserve"> </w:t>
            </w:r>
          </w:p>
        </w:tc>
      </w:tr>
      <w:tr w14:paraId="49B54E1C" w14:textId="77777777" w:rsidTr="00AA7A8B">
        <w:tblPrEx>
          <w:tblW w:w="9360" w:type="dxa"/>
          <w:tblInd w:w="-203" w:type="dxa"/>
          <w:tblLook w:val="04A0"/>
        </w:tblPrEx>
        <w:trPr>
          <w:trHeight w:val="300"/>
        </w:trPr>
        <w:tc>
          <w:tcPr>
            <w:tcW w:w="1332" w:type="dxa"/>
            <w:tcBorders>
              <w:top w:val="nil"/>
              <w:left w:val="double" w:sz="6" w:space="0" w:color="auto"/>
              <w:bottom w:val="single" w:sz="8" w:space="0" w:color="auto"/>
              <w:right w:val="single" w:sz="4" w:space="0" w:color="auto"/>
            </w:tcBorders>
            <w:shd w:val="clear" w:color="auto" w:fill="FFFFFF" w:themeFill="background1"/>
            <w:vAlign w:val="center"/>
            <w:hideMark/>
          </w:tcPr>
          <w:p w:rsidR="00D2684D" w:rsidRPr="00251C85" w:rsidP="00D2684D" w14:paraId="37D99EBB" w14:textId="77777777">
            <w:pPr>
              <w:rPr>
                <w:rFonts w:ascii="Calibri" w:hAnsi="Calibri" w:cs="Calibri"/>
                <w:color w:val="0563C1"/>
                <w:sz w:val="22"/>
                <w:szCs w:val="22"/>
                <w:u w:val="single"/>
              </w:rPr>
            </w:pPr>
            <w:r w:rsidRPr="00251C85">
              <w:rPr>
                <w:rFonts w:ascii="Calibri" w:hAnsi="Calibri" w:cs="Calibri"/>
                <w:color w:val="0563C1"/>
                <w:sz w:val="22"/>
                <w:szCs w:val="22"/>
                <w:u w:val="single"/>
              </w:rPr>
              <w:t> </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32AB3417" w14:textId="77777777">
            <w:pPr>
              <w:rPr>
                <w:color w:val="000000"/>
                <w:sz w:val="2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6CFA2D1F" w14:textId="77777777">
            <w:pPr>
              <w:rPr>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54A1E523" w14:textId="77777777">
            <w:pPr>
              <w:rPr>
                <w:color w:val="000000"/>
                <w:sz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61E058B0" w14:textId="77777777">
            <w:pPr>
              <w:rPr>
                <w:color w:val="000000"/>
                <w:sz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76B74422" w14:textId="77777777">
            <w:pPr>
              <w:rPr>
                <w:color w:val="000000"/>
                <w:sz w:val="20"/>
              </w:rPr>
            </w:pPr>
          </w:p>
        </w:tc>
        <w:tc>
          <w:tcPr>
            <w:tcW w:w="955" w:type="dxa"/>
            <w:vMerge/>
            <w:tcBorders>
              <w:top w:val="single" w:sz="4" w:space="0" w:color="auto"/>
              <w:left w:val="single" w:sz="4" w:space="0" w:color="auto"/>
              <w:bottom w:val="single" w:sz="4" w:space="0" w:color="auto"/>
              <w:right w:val="single" w:sz="4" w:space="0" w:color="auto"/>
            </w:tcBorders>
            <w:hideMark/>
          </w:tcPr>
          <w:p w:rsidR="00D2684D" w:rsidRPr="00251C85" w:rsidP="00D2684D" w14:paraId="6FBDB147" w14:textId="77777777">
            <w:pPr>
              <w:rPr>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2684D" w:rsidRPr="00251C85" w:rsidP="00D2684D" w14:paraId="5B46E468" w14:textId="77777777">
            <w:pPr>
              <w:rPr>
                <w:color w:val="000000"/>
                <w:sz w:val="20"/>
              </w:rPr>
            </w:pPr>
          </w:p>
        </w:tc>
      </w:tr>
      <w:tr w14:paraId="6E0F93DE" w14:textId="77777777" w:rsidTr="00890119">
        <w:tblPrEx>
          <w:tblW w:w="9360" w:type="dxa"/>
          <w:tblInd w:w="-203" w:type="dxa"/>
          <w:tblLook w:val="04A0"/>
        </w:tblPrEx>
        <w:trPr>
          <w:trHeight w:val="1050"/>
        </w:trPr>
        <w:tc>
          <w:tcPr>
            <w:tcW w:w="1332" w:type="dxa"/>
            <w:tcBorders>
              <w:top w:val="nil"/>
              <w:left w:val="double" w:sz="6" w:space="0" w:color="auto"/>
              <w:bottom w:val="single" w:sz="8" w:space="0" w:color="auto"/>
              <w:right w:val="single" w:sz="4" w:space="0" w:color="auto"/>
            </w:tcBorders>
            <w:shd w:val="clear" w:color="auto" w:fill="FFFFFF" w:themeFill="background1"/>
            <w:vAlign w:val="center"/>
            <w:hideMark/>
          </w:tcPr>
          <w:p w:rsidR="00D2684D" w:rsidRPr="00251C85" w:rsidP="00D2684D" w14:paraId="4B826A54" w14:textId="77777777">
            <w:pPr>
              <w:rPr>
                <w:color w:val="000000"/>
                <w:sz w:val="20"/>
              </w:rPr>
            </w:pPr>
            <w:r w:rsidRPr="00251C85">
              <w:rPr>
                <w:bCs/>
                <w:color w:val="000000"/>
                <w:sz w:val="20"/>
                <w:szCs w:val="24"/>
              </w:rPr>
              <w:t xml:space="preserve">SBIRT Program –Screening Only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6535F068" w14:textId="4B80FF99">
            <w:pPr>
              <w:jc w:val="center"/>
              <w:rPr>
                <w:color w:val="000000"/>
                <w:sz w:val="20"/>
              </w:rPr>
            </w:pPr>
            <w:r>
              <w:rPr>
                <w:color w:val="000000"/>
                <w:sz w:val="20"/>
              </w:rPr>
              <w:t>150,296</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6154A217" w14:textId="6701AEA8">
            <w:pPr>
              <w:jc w:val="center"/>
              <w:rPr>
                <w:color w:val="000000"/>
                <w:sz w:val="20"/>
              </w:rPr>
            </w:pPr>
            <w:r w:rsidRPr="00514FE0">
              <w:rPr>
                <w:color w:val="000000"/>
                <w:sz w:val="20"/>
              </w:rPr>
              <w:t>1</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06DB442B" w14:textId="38187695">
            <w:pPr>
              <w:jc w:val="center"/>
              <w:rPr>
                <w:color w:val="000000"/>
                <w:sz w:val="20"/>
              </w:rPr>
            </w:pPr>
            <w:r>
              <w:rPr>
                <w:color w:val="000000"/>
                <w:sz w:val="20"/>
              </w:rPr>
              <w:t>150,296</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24D2EA1C" w14:textId="4851E91A">
            <w:pPr>
              <w:jc w:val="center"/>
              <w:rPr>
                <w:color w:val="000000"/>
                <w:sz w:val="20"/>
              </w:rPr>
            </w:pPr>
            <w:r w:rsidRPr="00514FE0">
              <w:rPr>
                <w:color w:val="000000"/>
                <w:sz w:val="20"/>
              </w:rPr>
              <w:t>0.1</w:t>
            </w:r>
            <w:r>
              <w:rPr>
                <w:color w:val="000000"/>
                <w:sz w:val="20"/>
              </w:rPr>
              <w:t>7</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4A6BE866" w14:textId="3FACAA35">
            <w:pPr>
              <w:jc w:val="center"/>
              <w:rPr>
                <w:color w:val="000000"/>
                <w:sz w:val="20"/>
              </w:rPr>
            </w:pPr>
            <w:r>
              <w:rPr>
                <w:color w:val="000000"/>
                <w:sz w:val="20"/>
              </w:rPr>
              <w:t>25,550</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684D" w:rsidP="00D2684D" w14:paraId="4111440E" w14:textId="77777777">
            <w:pPr>
              <w:jc w:val="center"/>
              <w:rPr>
                <w:color w:val="000000"/>
                <w:sz w:val="20"/>
              </w:rPr>
            </w:pPr>
          </w:p>
          <w:p w:rsidR="00D2684D" w:rsidP="00D2684D" w14:paraId="4E6CB409" w14:textId="77777777">
            <w:pPr>
              <w:jc w:val="center"/>
              <w:rPr>
                <w:color w:val="000000"/>
                <w:sz w:val="20"/>
              </w:rPr>
            </w:pPr>
          </w:p>
          <w:p w:rsidR="00D2684D" w:rsidRPr="00251C85" w:rsidP="00D2684D" w14:paraId="28BF5BAF" w14:textId="27C06125">
            <w:pPr>
              <w:jc w:val="center"/>
              <w:rPr>
                <w:color w:val="000000"/>
                <w:sz w:val="20"/>
              </w:rPr>
            </w:pPr>
            <w:r>
              <w:rPr>
                <w:color w:val="000000"/>
                <w:sz w:val="20"/>
              </w:rPr>
              <w:t>$</w:t>
            </w:r>
            <w:r w:rsidRPr="005D4A6B">
              <w:rPr>
                <w:color w:val="000000"/>
                <w:sz w:val="20"/>
              </w:rPr>
              <w:t>28.89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502D1F1E" w14:textId="5EE821B2">
            <w:pPr>
              <w:jc w:val="center"/>
              <w:rPr>
                <w:color w:val="000000"/>
                <w:sz w:val="20"/>
              </w:rPr>
            </w:pPr>
            <w:r w:rsidRPr="00514FE0">
              <w:rPr>
                <w:color w:val="000000"/>
                <w:sz w:val="20"/>
              </w:rPr>
              <w:t>$</w:t>
            </w:r>
            <w:r>
              <w:rPr>
                <w:color w:val="000000"/>
                <w:sz w:val="20"/>
              </w:rPr>
              <w:t>738,140</w:t>
            </w:r>
            <w:r w:rsidRPr="00514FE0">
              <w:rPr>
                <w:color w:val="000000"/>
                <w:sz w:val="20"/>
              </w:rPr>
              <w:t xml:space="preserve"> </w:t>
            </w:r>
          </w:p>
        </w:tc>
      </w:tr>
      <w:tr w14:paraId="59FD66F7" w14:textId="77777777" w:rsidTr="00890119">
        <w:tblPrEx>
          <w:tblW w:w="9360" w:type="dxa"/>
          <w:tblInd w:w="-203" w:type="dxa"/>
          <w:tblLook w:val="04A0"/>
        </w:tblPrEx>
        <w:trPr>
          <w:trHeight w:val="1570"/>
        </w:trPr>
        <w:tc>
          <w:tcPr>
            <w:tcW w:w="1332" w:type="dxa"/>
            <w:tcBorders>
              <w:top w:val="nil"/>
              <w:left w:val="double" w:sz="6" w:space="0" w:color="auto"/>
              <w:bottom w:val="single" w:sz="8" w:space="0" w:color="auto"/>
              <w:right w:val="single" w:sz="8" w:space="0" w:color="auto"/>
            </w:tcBorders>
            <w:shd w:val="clear" w:color="auto" w:fill="FFFFFF" w:themeFill="background1"/>
            <w:vAlign w:val="center"/>
            <w:hideMark/>
          </w:tcPr>
          <w:p w:rsidR="00D2684D" w:rsidRPr="00251C85" w:rsidP="00D2684D" w14:paraId="66A8A0E9" w14:textId="77777777">
            <w:pPr>
              <w:rPr>
                <w:color w:val="000000"/>
                <w:sz w:val="20"/>
              </w:rPr>
            </w:pPr>
            <w:r w:rsidRPr="00251C85">
              <w:rPr>
                <w:bCs/>
                <w:color w:val="000000"/>
                <w:sz w:val="20"/>
                <w:szCs w:val="24"/>
              </w:rPr>
              <w:t>SBIRT Program – Brief Intervention Only  Baseline</w:t>
            </w:r>
          </w:p>
        </w:tc>
        <w:tc>
          <w:tcPr>
            <w:tcW w:w="1306" w:type="dxa"/>
            <w:tcBorders>
              <w:top w:val="single" w:sz="4" w:space="0" w:color="auto"/>
              <w:left w:val="nil"/>
              <w:bottom w:val="single" w:sz="8" w:space="0" w:color="auto"/>
              <w:right w:val="single" w:sz="8" w:space="0" w:color="auto"/>
            </w:tcBorders>
            <w:shd w:val="clear" w:color="auto" w:fill="FFFFFF" w:themeFill="background1"/>
            <w:vAlign w:val="center"/>
            <w:hideMark/>
          </w:tcPr>
          <w:p w:rsidR="00D2684D" w:rsidRPr="00251C85" w:rsidP="00D2684D" w14:paraId="6E31EED2" w14:textId="1E2C5D7F">
            <w:pPr>
              <w:jc w:val="center"/>
              <w:rPr>
                <w:color w:val="000000"/>
                <w:sz w:val="20"/>
              </w:rPr>
            </w:pPr>
            <w:r>
              <w:rPr>
                <w:color w:val="000000"/>
                <w:sz w:val="20"/>
              </w:rPr>
              <w:t>31,481</w:t>
            </w:r>
          </w:p>
        </w:tc>
        <w:tc>
          <w:tcPr>
            <w:tcW w:w="1228" w:type="dxa"/>
            <w:tcBorders>
              <w:top w:val="single" w:sz="4" w:space="0" w:color="auto"/>
              <w:left w:val="nil"/>
              <w:bottom w:val="single" w:sz="8" w:space="0" w:color="auto"/>
              <w:right w:val="single" w:sz="8" w:space="0" w:color="auto"/>
            </w:tcBorders>
            <w:shd w:val="clear" w:color="auto" w:fill="FFFFFF" w:themeFill="background1"/>
            <w:vAlign w:val="center"/>
            <w:hideMark/>
          </w:tcPr>
          <w:p w:rsidR="00D2684D" w:rsidRPr="00251C85" w:rsidP="00D2684D" w14:paraId="0CA3E8E0" w14:textId="41F2A2FE">
            <w:pPr>
              <w:jc w:val="center"/>
              <w:rPr>
                <w:color w:val="000000"/>
                <w:sz w:val="20"/>
              </w:rPr>
            </w:pPr>
            <w:r w:rsidRPr="00514FE0">
              <w:rPr>
                <w:color w:val="000000"/>
                <w:sz w:val="20"/>
              </w:rPr>
              <w:t>1</w:t>
            </w:r>
          </w:p>
        </w:tc>
        <w:tc>
          <w:tcPr>
            <w:tcW w:w="1176" w:type="dxa"/>
            <w:tcBorders>
              <w:top w:val="single" w:sz="4" w:space="0" w:color="auto"/>
              <w:left w:val="nil"/>
              <w:bottom w:val="single" w:sz="8" w:space="0" w:color="auto"/>
              <w:right w:val="single" w:sz="8" w:space="0" w:color="auto"/>
            </w:tcBorders>
            <w:shd w:val="clear" w:color="auto" w:fill="FFFFFF" w:themeFill="background1"/>
            <w:vAlign w:val="center"/>
            <w:hideMark/>
          </w:tcPr>
          <w:p w:rsidR="00D2684D" w:rsidRPr="00251C85" w:rsidP="00D2684D" w14:paraId="07299326" w14:textId="5D150224">
            <w:pPr>
              <w:jc w:val="center"/>
              <w:rPr>
                <w:color w:val="000000"/>
                <w:sz w:val="20"/>
              </w:rPr>
            </w:pPr>
            <w:r>
              <w:rPr>
                <w:color w:val="000000"/>
                <w:sz w:val="20"/>
              </w:rPr>
              <w:t>31,481</w:t>
            </w:r>
          </w:p>
        </w:tc>
        <w:tc>
          <w:tcPr>
            <w:tcW w:w="1017" w:type="dxa"/>
            <w:tcBorders>
              <w:top w:val="single" w:sz="4" w:space="0" w:color="auto"/>
              <w:left w:val="nil"/>
              <w:bottom w:val="single" w:sz="8" w:space="0" w:color="auto"/>
              <w:right w:val="single" w:sz="8" w:space="0" w:color="auto"/>
            </w:tcBorders>
            <w:shd w:val="clear" w:color="auto" w:fill="FFFFFF" w:themeFill="background1"/>
            <w:vAlign w:val="center"/>
            <w:hideMark/>
          </w:tcPr>
          <w:p w:rsidR="00D2684D" w:rsidRPr="00251C85" w:rsidP="00D2684D" w14:paraId="60FECE01" w14:textId="7FDBA756">
            <w:pPr>
              <w:jc w:val="center"/>
              <w:rPr>
                <w:color w:val="000000"/>
                <w:sz w:val="20"/>
              </w:rPr>
            </w:pPr>
            <w:r w:rsidRPr="00514FE0">
              <w:rPr>
                <w:color w:val="000000"/>
                <w:sz w:val="20"/>
              </w:rPr>
              <w:t>0.2</w:t>
            </w:r>
            <w:r>
              <w:rPr>
                <w:color w:val="000000"/>
                <w:sz w:val="20"/>
              </w:rPr>
              <w:t>5</w:t>
            </w:r>
          </w:p>
        </w:tc>
        <w:tc>
          <w:tcPr>
            <w:tcW w:w="996" w:type="dxa"/>
            <w:tcBorders>
              <w:top w:val="single" w:sz="4" w:space="0" w:color="auto"/>
              <w:left w:val="nil"/>
              <w:bottom w:val="single" w:sz="8" w:space="0" w:color="auto"/>
              <w:right w:val="single" w:sz="8" w:space="0" w:color="auto"/>
            </w:tcBorders>
            <w:shd w:val="clear" w:color="auto" w:fill="FFFFFF" w:themeFill="background1"/>
            <w:vAlign w:val="center"/>
            <w:hideMark/>
          </w:tcPr>
          <w:p w:rsidR="00D2684D" w:rsidRPr="00251C85" w:rsidP="00D2684D" w14:paraId="2A31D4DB" w14:textId="2CACB416">
            <w:pPr>
              <w:jc w:val="center"/>
              <w:rPr>
                <w:color w:val="000000"/>
                <w:sz w:val="20"/>
              </w:rPr>
            </w:pPr>
            <w:r>
              <w:rPr>
                <w:color w:val="000000"/>
                <w:sz w:val="20"/>
              </w:rPr>
              <w:t>7,870</w:t>
            </w:r>
          </w:p>
        </w:tc>
        <w:tc>
          <w:tcPr>
            <w:tcW w:w="955" w:type="dxa"/>
            <w:tcBorders>
              <w:top w:val="single" w:sz="4" w:space="0" w:color="auto"/>
              <w:left w:val="nil"/>
              <w:bottom w:val="single" w:sz="8" w:space="0" w:color="auto"/>
              <w:right w:val="single" w:sz="8" w:space="0" w:color="auto"/>
            </w:tcBorders>
            <w:shd w:val="clear" w:color="auto" w:fill="FFFFFF" w:themeFill="background1"/>
            <w:hideMark/>
          </w:tcPr>
          <w:p w:rsidR="00D2684D" w:rsidP="00D2684D" w14:paraId="0FA1D080" w14:textId="77777777">
            <w:pPr>
              <w:jc w:val="center"/>
              <w:rPr>
                <w:color w:val="000000"/>
                <w:sz w:val="20"/>
              </w:rPr>
            </w:pPr>
          </w:p>
          <w:p w:rsidR="00D2684D" w:rsidP="00D2684D" w14:paraId="4DC87E1D" w14:textId="77777777">
            <w:pPr>
              <w:jc w:val="center"/>
              <w:rPr>
                <w:color w:val="000000"/>
                <w:sz w:val="20"/>
              </w:rPr>
            </w:pPr>
          </w:p>
          <w:p w:rsidR="00D2684D" w:rsidP="00D2684D" w14:paraId="1F9B008B" w14:textId="77777777">
            <w:pPr>
              <w:jc w:val="center"/>
              <w:rPr>
                <w:color w:val="000000"/>
                <w:sz w:val="20"/>
              </w:rPr>
            </w:pPr>
          </w:p>
          <w:p w:rsidR="00D2684D" w:rsidRPr="00251C85" w:rsidP="00D2684D" w14:paraId="54BF9CE4" w14:textId="621821A4">
            <w:pPr>
              <w:jc w:val="center"/>
              <w:rPr>
                <w:color w:val="000000"/>
                <w:sz w:val="20"/>
              </w:rPr>
            </w:pPr>
            <w:r>
              <w:rPr>
                <w:color w:val="000000"/>
                <w:sz w:val="20"/>
              </w:rPr>
              <w:t>$</w:t>
            </w:r>
            <w:r w:rsidRPr="005D4A6B">
              <w:rPr>
                <w:color w:val="000000"/>
                <w:sz w:val="20"/>
              </w:rPr>
              <w:t>28.89</w:t>
            </w:r>
          </w:p>
        </w:tc>
        <w:tc>
          <w:tcPr>
            <w:tcW w:w="1350" w:type="dxa"/>
            <w:tcBorders>
              <w:top w:val="single" w:sz="4" w:space="0" w:color="auto"/>
              <w:left w:val="nil"/>
              <w:bottom w:val="single" w:sz="8" w:space="0" w:color="auto"/>
              <w:right w:val="double" w:sz="6" w:space="0" w:color="auto"/>
            </w:tcBorders>
            <w:shd w:val="clear" w:color="auto" w:fill="FFFFFF" w:themeFill="background1"/>
            <w:vAlign w:val="center"/>
            <w:hideMark/>
          </w:tcPr>
          <w:p w:rsidR="00D2684D" w:rsidRPr="00251C85" w:rsidP="00D2684D" w14:paraId="55F2ADAB" w14:textId="7AFCB89C">
            <w:pPr>
              <w:jc w:val="center"/>
              <w:rPr>
                <w:color w:val="000000"/>
                <w:sz w:val="20"/>
              </w:rPr>
            </w:pPr>
            <w:r w:rsidRPr="00514FE0">
              <w:rPr>
                <w:color w:val="000000"/>
                <w:sz w:val="20"/>
              </w:rPr>
              <w:t>$</w:t>
            </w:r>
            <w:r>
              <w:rPr>
                <w:color w:val="000000"/>
                <w:sz w:val="20"/>
              </w:rPr>
              <w:t>227,364</w:t>
            </w:r>
            <w:r w:rsidRPr="00514FE0">
              <w:rPr>
                <w:color w:val="000000"/>
                <w:sz w:val="20"/>
              </w:rPr>
              <w:t xml:space="preserve"> </w:t>
            </w:r>
          </w:p>
        </w:tc>
      </w:tr>
      <w:tr w14:paraId="7D6229B9" w14:textId="77777777" w:rsidTr="00D2684D">
        <w:tblPrEx>
          <w:tblW w:w="9360" w:type="dxa"/>
          <w:tblInd w:w="-203" w:type="dxa"/>
          <w:tblLook w:val="04A0"/>
        </w:tblPrEx>
        <w:trPr>
          <w:trHeight w:val="1880"/>
        </w:trPr>
        <w:tc>
          <w:tcPr>
            <w:tcW w:w="1332" w:type="dxa"/>
            <w:tcBorders>
              <w:top w:val="nil"/>
              <w:left w:val="double" w:sz="6" w:space="0" w:color="auto"/>
              <w:bottom w:val="single" w:sz="8" w:space="0" w:color="auto"/>
              <w:right w:val="single" w:sz="8" w:space="0" w:color="auto"/>
            </w:tcBorders>
            <w:shd w:val="clear" w:color="auto" w:fill="FFFFFF" w:themeFill="background1"/>
            <w:vAlign w:val="center"/>
            <w:hideMark/>
          </w:tcPr>
          <w:p w:rsidR="00D2684D" w:rsidRPr="00251C85" w:rsidP="00D2684D" w14:paraId="6963F682" w14:textId="77777777">
            <w:pPr>
              <w:rPr>
                <w:color w:val="000000"/>
                <w:sz w:val="20"/>
              </w:rPr>
            </w:pPr>
            <w:r w:rsidRPr="00251C85">
              <w:rPr>
                <w:bCs/>
                <w:color w:val="000000"/>
                <w:sz w:val="20"/>
                <w:szCs w:val="24"/>
              </w:rPr>
              <w:t>SBIRT Program – Brief Intervention Only Follow-Up</w:t>
            </w:r>
            <w:r w:rsidRPr="00251C85">
              <w:rPr>
                <w:color w:val="000000"/>
                <w:sz w:val="20"/>
                <w:vertAlign w:val="superscript"/>
              </w:rPr>
              <w:t>2</w:t>
            </w:r>
            <w:r w:rsidRPr="00251C85">
              <w:rPr>
                <w:color w:val="000000"/>
                <w:sz w:val="20"/>
              </w:rPr>
              <w:t xml:space="preserve"> </w:t>
            </w:r>
          </w:p>
        </w:tc>
        <w:tc>
          <w:tcPr>
            <w:tcW w:w="130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3AF4BED4" w14:textId="262FD3C3">
            <w:pPr>
              <w:jc w:val="center"/>
              <w:rPr>
                <w:color w:val="000000"/>
                <w:sz w:val="20"/>
              </w:rPr>
            </w:pPr>
            <w:r>
              <w:rPr>
                <w:color w:val="000000"/>
                <w:sz w:val="20"/>
              </w:rPr>
              <w:t>25,184</w:t>
            </w:r>
          </w:p>
        </w:tc>
        <w:tc>
          <w:tcPr>
            <w:tcW w:w="1228"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5A49B08B" w14:textId="38B5C6A7">
            <w:pPr>
              <w:jc w:val="center"/>
              <w:rPr>
                <w:color w:val="000000"/>
                <w:sz w:val="20"/>
              </w:rPr>
            </w:pPr>
            <w:r w:rsidRPr="00514FE0">
              <w:rPr>
                <w:color w:val="000000"/>
                <w:sz w:val="20"/>
              </w:rPr>
              <w:t>1</w:t>
            </w:r>
          </w:p>
        </w:tc>
        <w:tc>
          <w:tcPr>
            <w:tcW w:w="117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5806A30E" w14:textId="4739479A">
            <w:pPr>
              <w:jc w:val="center"/>
              <w:rPr>
                <w:color w:val="000000"/>
                <w:sz w:val="20"/>
              </w:rPr>
            </w:pPr>
            <w:r>
              <w:rPr>
                <w:color w:val="000000"/>
                <w:sz w:val="20"/>
              </w:rPr>
              <w:t>25,184</w:t>
            </w:r>
          </w:p>
        </w:tc>
        <w:tc>
          <w:tcPr>
            <w:tcW w:w="1017"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11AA32C5" w14:textId="081E4E0E">
            <w:pPr>
              <w:jc w:val="center"/>
              <w:rPr>
                <w:color w:val="000000"/>
                <w:sz w:val="20"/>
              </w:rPr>
            </w:pPr>
            <w:r w:rsidRPr="00514FE0">
              <w:rPr>
                <w:color w:val="000000"/>
                <w:sz w:val="20"/>
              </w:rPr>
              <w:t>0.2</w:t>
            </w:r>
            <w:r>
              <w:rPr>
                <w:color w:val="000000"/>
                <w:sz w:val="20"/>
              </w:rPr>
              <w:t>5</w:t>
            </w:r>
          </w:p>
        </w:tc>
        <w:tc>
          <w:tcPr>
            <w:tcW w:w="996" w:type="dxa"/>
            <w:tcBorders>
              <w:top w:val="nil"/>
              <w:left w:val="nil"/>
              <w:bottom w:val="single" w:sz="8" w:space="0" w:color="auto"/>
              <w:right w:val="single" w:sz="8" w:space="0" w:color="auto"/>
            </w:tcBorders>
            <w:shd w:val="clear" w:color="auto" w:fill="FFFFFF" w:themeFill="background1"/>
            <w:vAlign w:val="center"/>
            <w:hideMark/>
          </w:tcPr>
          <w:p w:rsidR="00D2684D" w:rsidRPr="00251C85" w:rsidP="00D2684D" w14:paraId="496A6B82" w14:textId="73E4293B">
            <w:pPr>
              <w:jc w:val="center"/>
              <w:rPr>
                <w:color w:val="000000"/>
                <w:sz w:val="20"/>
              </w:rPr>
            </w:pPr>
            <w:r>
              <w:rPr>
                <w:color w:val="000000"/>
                <w:sz w:val="20"/>
              </w:rPr>
              <w:t>6,296</w:t>
            </w:r>
          </w:p>
        </w:tc>
        <w:tc>
          <w:tcPr>
            <w:tcW w:w="955" w:type="dxa"/>
            <w:tcBorders>
              <w:top w:val="nil"/>
              <w:left w:val="nil"/>
              <w:bottom w:val="single" w:sz="8" w:space="0" w:color="auto"/>
              <w:right w:val="single" w:sz="8" w:space="0" w:color="auto"/>
            </w:tcBorders>
            <w:shd w:val="clear" w:color="auto" w:fill="FFFFFF" w:themeFill="background1"/>
            <w:hideMark/>
          </w:tcPr>
          <w:p w:rsidR="00D2684D" w:rsidP="00D2684D" w14:paraId="1536B55C" w14:textId="77777777">
            <w:pPr>
              <w:jc w:val="center"/>
              <w:rPr>
                <w:color w:val="000000"/>
                <w:sz w:val="20"/>
              </w:rPr>
            </w:pPr>
          </w:p>
          <w:p w:rsidR="00D2684D" w:rsidP="00D2684D" w14:paraId="6ED83A99" w14:textId="77777777">
            <w:pPr>
              <w:jc w:val="center"/>
              <w:rPr>
                <w:color w:val="000000"/>
                <w:sz w:val="20"/>
              </w:rPr>
            </w:pPr>
          </w:p>
          <w:p w:rsidR="00D2684D" w:rsidP="00D2684D" w14:paraId="784CF7EA" w14:textId="77777777">
            <w:pPr>
              <w:jc w:val="center"/>
              <w:rPr>
                <w:color w:val="000000"/>
                <w:sz w:val="20"/>
              </w:rPr>
            </w:pPr>
          </w:p>
          <w:p w:rsidR="00D2684D" w:rsidP="00D2684D" w14:paraId="3BCFC16C" w14:textId="77777777">
            <w:pPr>
              <w:jc w:val="center"/>
              <w:rPr>
                <w:color w:val="000000"/>
                <w:sz w:val="20"/>
              </w:rPr>
            </w:pPr>
          </w:p>
          <w:p w:rsidR="00D2684D" w:rsidRPr="00251C85" w:rsidP="00D2684D" w14:paraId="12AB400F" w14:textId="1942CBC5">
            <w:pPr>
              <w:jc w:val="center"/>
              <w:rPr>
                <w:color w:val="000000"/>
                <w:sz w:val="20"/>
              </w:rPr>
            </w:pPr>
            <w:r>
              <w:rPr>
                <w:color w:val="000000"/>
                <w:sz w:val="20"/>
              </w:rPr>
              <w:t>$</w:t>
            </w:r>
            <w:r w:rsidRPr="005D4A6B">
              <w:rPr>
                <w:color w:val="000000"/>
                <w:sz w:val="20"/>
              </w:rPr>
              <w:t>28.89</w:t>
            </w:r>
          </w:p>
        </w:tc>
        <w:tc>
          <w:tcPr>
            <w:tcW w:w="1350" w:type="dxa"/>
            <w:tcBorders>
              <w:top w:val="nil"/>
              <w:left w:val="nil"/>
              <w:bottom w:val="single" w:sz="8" w:space="0" w:color="auto"/>
              <w:right w:val="double" w:sz="6" w:space="0" w:color="auto"/>
            </w:tcBorders>
            <w:shd w:val="clear" w:color="auto" w:fill="FFFFFF" w:themeFill="background1"/>
            <w:vAlign w:val="center"/>
            <w:hideMark/>
          </w:tcPr>
          <w:p w:rsidR="00D2684D" w:rsidRPr="00251C85" w:rsidP="00D2684D" w14:paraId="4EC52D28" w14:textId="70C09595">
            <w:pPr>
              <w:jc w:val="center"/>
              <w:rPr>
                <w:color w:val="000000"/>
                <w:sz w:val="20"/>
              </w:rPr>
            </w:pPr>
            <w:r w:rsidRPr="00514FE0">
              <w:rPr>
                <w:color w:val="000000"/>
                <w:sz w:val="20"/>
              </w:rPr>
              <w:t>$</w:t>
            </w:r>
            <w:r>
              <w:rPr>
                <w:color w:val="000000"/>
                <w:sz w:val="20"/>
              </w:rPr>
              <w:t>181,891</w:t>
            </w:r>
            <w:r w:rsidRPr="00514FE0">
              <w:rPr>
                <w:color w:val="000000"/>
                <w:sz w:val="20"/>
              </w:rPr>
              <w:t xml:space="preserve"> </w:t>
            </w:r>
          </w:p>
        </w:tc>
      </w:tr>
      <w:tr w14:paraId="38227693" w14:textId="77777777" w:rsidTr="008068CE">
        <w:tblPrEx>
          <w:tblW w:w="9360" w:type="dxa"/>
          <w:tblInd w:w="-203" w:type="dxa"/>
          <w:tblLook w:val="04A0"/>
        </w:tblPrEx>
        <w:trPr>
          <w:trHeight w:val="1620"/>
        </w:trPr>
        <w:tc>
          <w:tcPr>
            <w:tcW w:w="1332" w:type="dxa"/>
            <w:tcBorders>
              <w:top w:val="nil"/>
              <w:left w:val="double" w:sz="6" w:space="0" w:color="auto"/>
              <w:bottom w:val="single" w:sz="4" w:space="0" w:color="auto"/>
              <w:right w:val="single" w:sz="8" w:space="0" w:color="auto"/>
            </w:tcBorders>
            <w:shd w:val="clear" w:color="auto" w:fill="FFFFFF" w:themeFill="background1"/>
            <w:vAlign w:val="center"/>
            <w:hideMark/>
          </w:tcPr>
          <w:p w:rsidR="00D2684D" w:rsidRPr="00251C85" w:rsidP="00D2684D" w14:paraId="39E7A860" w14:textId="77777777">
            <w:pPr>
              <w:rPr>
                <w:color w:val="000000"/>
                <w:sz w:val="20"/>
              </w:rPr>
            </w:pPr>
            <w:r w:rsidRPr="00251C85">
              <w:rPr>
                <w:bCs/>
                <w:color w:val="000000"/>
                <w:sz w:val="20"/>
                <w:szCs w:val="24"/>
              </w:rPr>
              <w:t>SBIRT Program – Brief Intervention Only Discharge</w:t>
            </w:r>
            <w:r w:rsidRPr="00251C85">
              <w:rPr>
                <w:color w:val="000000"/>
                <w:sz w:val="20"/>
                <w:vertAlign w:val="superscript"/>
              </w:rPr>
              <w:t>3</w:t>
            </w:r>
            <w:r w:rsidRPr="00251C85">
              <w:rPr>
                <w:color w:val="000000"/>
                <w:sz w:val="20"/>
              </w:rPr>
              <w:t xml:space="preserve"> </w:t>
            </w:r>
          </w:p>
        </w:tc>
        <w:tc>
          <w:tcPr>
            <w:tcW w:w="130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0733429F" w14:textId="1BEBDB6C">
            <w:pPr>
              <w:jc w:val="center"/>
              <w:rPr>
                <w:color w:val="000000"/>
                <w:sz w:val="20"/>
              </w:rPr>
            </w:pPr>
            <w:r>
              <w:rPr>
                <w:color w:val="000000"/>
                <w:sz w:val="20"/>
              </w:rPr>
              <w:t>16,370</w:t>
            </w:r>
          </w:p>
        </w:tc>
        <w:tc>
          <w:tcPr>
            <w:tcW w:w="1228"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548F75C6" w14:textId="42C9D5DD">
            <w:pPr>
              <w:jc w:val="center"/>
              <w:rPr>
                <w:color w:val="000000"/>
                <w:sz w:val="20"/>
              </w:rPr>
            </w:pPr>
            <w:r w:rsidRPr="00514FE0">
              <w:rPr>
                <w:color w:val="000000"/>
                <w:sz w:val="20"/>
              </w:rPr>
              <w:t>1</w:t>
            </w:r>
          </w:p>
        </w:tc>
        <w:tc>
          <w:tcPr>
            <w:tcW w:w="117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1EA6069F" w14:textId="4C787F1A">
            <w:pPr>
              <w:jc w:val="center"/>
              <w:rPr>
                <w:color w:val="000000"/>
                <w:sz w:val="20"/>
              </w:rPr>
            </w:pPr>
            <w:r>
              <w:rPr>
                <w:color w:val="000000"/>
                <w:sz w:val="20"/>
              </w:rPr>
              <w:t>16,370</w:t>
            </w:r>
          </w:p>
        </w:tc>
        <w:tc>
          <w:tcPr>
            <w:tcW w:w="1017"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6258C57F" w14:textId="5CF5CF4D">
            <w:pPr>
              <w:jc w:val="center"/>
              <w:rPr>
                <w:color w:val="000000"/>
                <w:sz w:val="20"/>
              </w:rPr>
            </w:pPr>
            <w:r w:rsidRPr="00514FE0">
              <w:rPr>
                <w:color w:val="000000"/>
                <w:sz w:val="20"/>
              </w:rPr>
              <w:t>0.2</w:t>
            </w:r>
            <w:r>
              <w:rPr>
                <w:color w:val="000000"/>
                <w:sz w:val="20"/>
              </w:rPr>
              <w:t>5</w:t>
            </w:r>
          </w:p>
        </w:tc>
        <w:tc>
          <w:tcPr>
            <w:tcW w:w="996" w:type="dxa"/>
            <w:tcBorders>
              <w:top w:val="nil"/>
              <w:left w:val="nil"/>
              <w:bottom w:val="single" w:sz="4" w:space="0" w:color="auto"/>
              <w:right w:val="single" w:sz="8" w:space="0" w:color="auto"/>
            </w:tcBorders>
            <w:shd w:val="clear" w:color="auto" w:fill="FFFFFF" w:themeFill="background1"/>
            <w:vAlign w:val="center"/>
            <w:hideMark/>
          </w:tcPr>
          <w:p w:rsidR="00D2684D" w:rsidRPr="00251C85" w:rsidP="00D2684D" w14:paraId="029D7AC6" w14:textId="0694C305">
            <w:pPr>
              <w:jc w:val="center"/>
              <w:rPr>
                <w:color w:val="000000"/>
                <w:sz w:val="20"/>
              </w:rPr>
            </w:pPr>
            <w:r>
              <w:rPr>
                <w:color w:val="000000"/>
                <w:sz w:val="20"/>
              </w:rPr>
              <w:t>4,093</w:t>
            </w:r>
          </w:p>
        </w:tc>
        <w:tc>
          <w:tcPr>
            <w:tcW w:w="955" w:type="dxa"/>
            <w:tcBorders>
              <w:top w:val="nil"/>
              <w:left w:val="nil"/>
              <w:bottom w:val="single" w:sz="4" w:space="0" w:color="auto"/>
              <w:right w:val="single" w:sz="8" w:space="0" w:color="auto"/>
            </w:tcBorders>
            <w:shd w:val="clear" w:color="auto" w:fill="FFFFFF" w:themeFill="background1"/>
            <w:hideMark/>
          </w:tcPr>
          <w:p w:rsidR="00D2684D" w:rsidP="00D2684D" w14:paraId="762A8EB9" w14:textId="77777777">
            <w:pPr>
              <w:jc w:val="center"/>
              <w:rPr>
                <w:color w:val="000000"/>
                <w:sz w:val="20"/>
              </w:rPr>
            </w:pPr>
          </w:p>
          <w:p w:rsidR="00D2684D" w:rsidP="00D2684D" w14:paraId="59B252A1" w14:textId="77777777">
            <w:pPr>
              <w:jc w:val="center"/>
              <w:rPr>
                <w:color w:val="000000"/>
                <w:sz w:val="20"/>
              </w:rPr>
            </w:pPr>
          </w:p>
          <w:p w:rsidR="00D2684D" w:rsidP="00D2684D" w14:paraId="2918DB68" w14:textId="77777777">
            <w:pPr>
              <w:jc w:val="center"/>
              <w:rPr>
                <w:color w:val="000000"/>
                <w:sz w:val="20"/>
              </w:rPr>
            </w:pPr>
          </w:p>
          <w:p w:rsidR="00D2684D" w:rsidRPr="00251C85" w:rsidP="00D2684D" w14:paraId="6E7BA50A" w14:textId="4BAE947B">
            <w:pPr>
              <w:jc w:val="center"/>
              <w:rPr>
                <w:color w:val="000000"/>
                <w:sz w:val="20"/>
              </w:rPr>
            </w:pPr>
            <w:r>
              <w:rPr>
                <w:color w:val="000000"/>
                <w:sz w:val="20"/>
              </w:rPr>
              <w:t>$</w:t>
            </w:r>
            <w:r w:rsidRPr="005D4A6B">
              <w:rPr>
                <w:color w:val="000000"/>
                <w:sz w:val="20"/>
              </w:rPr>
              <w:t>28.89</w:t>
            </w:r>
          </w:p>
        </w:tc>
        <w:tc>
          <w:tcPr>
            <w:tcW w:w="1350" w:type="dxa"/>
            <w:tcBorders>
              <w:top w:val="nil"/>
              <w:left w:val="nil"/>
              <w:bottom w:val="single" w:sz="4" w:space="0" w:color="auto"/>
              <w:right w:val="double" w:sz="6" w:space="0" w:color="auto"/>
            </w:tcBorders>
            <w:shd w:val="clear" w:color="auto" w:fill="FFFFFF" w:themeFill="background1"/>
            <w:vAlign w:val="center"/>
            <w:hideMark/>
          </w:tcPr>
          <w:p w:rsidR="00D2684D" w:rsidRPr="00251C85" w:rsidP="00D2684D" w14:paraId="187769CC" w14:textId="06D4D296">
            <w:pPr>
              <w:jc w:val="center"/>
              <w:rPr>
                <w:color w:val="000000"/>
                <w:sz w:val="20"/>
              </w:rPr>
            </w:pPr>
            <w:r w:rsidRPr="00514FE0">
              <w:rPr>
                <w:color w:val="000000"/>
                <w:sz w:val="20"/>
              </w:rPr>
              <w:t>$</w:t>
            </w:r>
            <w:r>
              <w:rPr>
                <w:color w:val="000000"/>
                <w:sz w:val="20"/>
              </w:rPr>
              <w:t>118,247</w:t>
            </w:r>
          </w:p>
        </w:tc>
      </w:tr>
      <w:tr w14:paraId="5A873BFB" w14:textId="77777777" w:rsidTr="008068CE">
        <w:tblPrEx>
          <w:tblW w:w="9360" w:type="dxa"/>
          <w:tblInd w:w="-203" w:type="dxa"/>
          <w:tblLook w:val="04A0"/>
        </w:tblPrEx>
        <w:trPr>
          <w:trHeight w:val="290"/>
        </w:trPr>
        <w:tc>
          <w:tcPr>
            <w:tcW w:w="133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1D2BB979" w14:textId="77777777">
            <w:pPr>
              <w:rPr>
                <w:b/>
                <w:bCs/>
                <w:color w:val="000000"/>
                <w:sz w:val="22"/>
                <w:szCs w:val="24"/>
              </w:rPr>
            </w:pPr>
            <w:r w:rsidRPr="00251C85">
              <w:rPr>
                <w:b/>
                <w:bCs/>
                <w:color w:val="000000"/>
                <w:sz w:val="22"/>
                <w:szCs w:val="22"/>
              </w:rPr>
              <w:t>CSAT Total</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31772928" w14:textId="456A21A3">
            <w:pPr>
              <w:jc w:val="center"/>
              <w:rPr>
                <w:b/>
                <w:bCs/>
                <w:color w:val="000000"/>
                <w:sz w:val="22"/>
                <w:szCs w:val="24"/>
              </w:rPr>
            </w:pPr>
            <w:r w:rsidRPr="005A0ABF">
              <w:rPr>
                <w:b/>
                <w:bCs/>
                <w:color w:val="FF0000"/>
                <w:szCs w:val="22"/>
              </w:rPr>
              <w:t>1,007,160</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4372A0F9" w14:textId="69CF6C7E">
            <w:pPr>
              <w:jc w:val="center"/>
              <w:rPr>
                <w:color w:val="000000"/>
                <w:sz w:val="20"/>
              </w:rPr>
            </w:pPr>
          </w:p>
        </w:tc>
        <w:tc>
          <w:tcPr>
            <w:tcW w:w="11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1F964833" w14:textId="42743C8D">
            <w:pPr>
              <w:jc w:val="center"/>
              <w:rPr>
                <w:b/>
                <w:bCs/>
                <w:color w:val="000000"/>
                <w:sz w:val="22"/>
                <w:szCs w:val="24"/>
              </w:rPr>
            </w:pPr>
            <w:r w:rsidRPr="00514FE0">
              <w:rPr>
                <w:b/>
                <w:bCs/>
                <w:color w:val="000000"/>
                <w:szCs w:val="22"/>
              </w:rPr>
              <w:t>1,</w:t>
            </w:r>
            <w:r>
              <w:rPr>
                <w:b/>
                <w:bCs/>
                <w:color w:val="000000"/>
                <w:szCs w:val="22"/>
              </w:rPr>
              <w:t>007</w:t>
            </w:r>
            <w:r w:rsidRPr="00514FE0">
              <w:rPr>
                <w:b/>
                <w:bCs/>
                <w:color w:val="000000"/>
                <w:szCs w:val="22"/>
              </w:rPr>
              <w:t>,</w:t>
            </w:r>
            <w:r>
              <w:rPr>
                <w:b/>
                <w:bCs/>
                <w:color w:val="000000"/>
                <w:szCs w:val="22"/>
              </w:rPr>
              <w:t>160</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635C9AE7" w14:textId="0E905963">
            <w:pPr>
              <w:jc w:val="center"/>
              <w:rPr>
                <w:color w:val="000000"/>
                <w:sz w:val="20"/>
              </w:rPr>
            </w:pP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72AF699B" w14:textId="11E2CCD9">
            <w:pPr>
              <w:jc w:val="center"/>
              <w:rPr>
                <w:b/>
                <w:bCs/>
                <w:color w:val="000000"/>
                <w:sz w:val="22"/>
                <w:szCs w:val="24"/>
              </w:rPr>
            </w:pPr>
            <w:bookmarkStart w:id="2" w:name="_Hlk172633982"/>
            <w:r w:rsidRPr="005A0ABF">
              <w:rPr>
                <w:b/>
                <w:bCs/>
                <w:color w:val="FF0000"/>
              </w:rPr>
              <w:t>631,682</w:t>
            </w:r>
            <w:bookmarkEnd w:id="2"/>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4E734968" w14:textId="273AC2BF">
            <w:pPr>
              <w:jc w:val="center"/>
              <w:rPr>
                <w:b/>
                <w:bCs/>
                <w:color w:val="000000"/>
                <w:sz w:val="20"/>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684D" w:rsidRPr="00251C85" w:rsidP="00D2684D" w14:paraId="37D3FC6A" w14:textId="3A60BFB1">
            <w:pPr>
              <w:jc w:val="center"/>
              <w:rPr>
                <w:b/>
                <w:bCs/>
                <w:color w:val="000000"/>
                <w:sz w:val="22"/>
                <w:szCs w:val="24"/>
              </w:rPr>
            </w:pPr>
            <w:r w:rsidRPr="00514FE0">
              <w:rPr>
                <w:b/>
                <w:bCs/>
                <w:color w:val="000000"/>
                <w:szCs w:val="22"/>
              </w:rPr>
              <w:t>$</w:t>
            </w:r>
            <w:r>
              <w:rPr>
                <w:b/>
                <w:bCs/>
                <w:color w:val="000000"/>
                <w:szCs w:val="22"/>
              </w:rPr>
              <w:t>18,249,032</w:t>
            </w:r>
          </w:p>
        </w:tc>
      </w:tr>
      <w:tr w14:paraId="1710CFF8" w14:textId="77777777" w:rsidTr="00AA7A8B">
        <w:tblPrEx>
          <w:tblW w:w="9360" w:type="dxa"/>
          <w:tblInd w:w="-203" w:type="dxa"/>
          <w:tblLook w:val="04A0"/>
        </w:tblPrEx>
        <w:trPr>
          <w:trHeight w:val="29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11150559" w14:textId="77777777">
            <w:pPr>
              <w:rPr>
                <w:b/>
                <w:bCs/>
                <w:color w:val="000000"/>
                <w:sz w:val="22"/>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6E7ACFCA" w14:textId="77777777">
            <w:pPr>
              <w:rPr>
                <w:b/>
                <w:bCs/>
                <w:color w:val="000000"/>
                <w:sz w:val="22"/>
                <w:szCs w:val="24"/>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78827BE1" w14:textId="77777777">
            <w:pPr>
              <w:rPr>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40D75E8D" w14:textId="77777777">
            <w:pPr>
              <w:rPr>
                <w:b/>
                <w:bCs/>
                <w:color w:val="000000"/>
                <w:sz w:val="22"/>
                <w:szCs w:val="24"/>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21530BC9" w14:textId="77777777">
            <w:pPr>
              <w:rPr>
                <w:color w:val="000000"/>
                <w:sz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09F7D937" w14:textId="77777777">
            <w:pPr>
              <w:rPr>
                <w:b/>
                <w:bCs/>
                <w:color w:val="000000"/>
                <w:sz w:val="22"/>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0454D97E" w14:textId="77777777">
            <w:pPr>
              <w:rPr>
                <w:b/>
                <w:bCs/>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46286754" w14:textId="77777777">
            <w:pPr>
              <w:rPr>
                <w:b/>
                <w:bCs/>
                <w:color w:val="000000"/>
                <w:sz w:val="22"/>
                <w:szCs w:val="24"/>
              </w:rPr>
            </w:pPr>
          </w:p>
        </w:tc>
      </w:tr>
      <w:tr w14:paraId="5BA02034" w14:textId="77777777" w:rsidTr="00AA7A8B">
        <w:tblPrEx>
          <w:tblW w:w="9360" w:type="dxa"/>
          <w:tblInd w:w="-203" w:type="dxa"/>
          <w:tblLook w:val="04A0"/>
        </w:tblPrEx>
        <w:trPr>
          <w:trHeight w:val="290"/>
        </w:trPr>
        <w:tc>
          <w:tcPr>
            <w:tcW w:w="1332"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7B071762" w14:textId="77777777">
            <w:pPr>
              <w:rPr>
                <w:b/>
                <w:bCs/>
                <w:color w:val="000000"/>
                <w:sz w:val="22"/>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5A1916F1" w14:textId="77777777">
            <w:pPr>
              <w:rPr>
                <w:b/>
                <w:bCs/>
                <w:color w:val="000000"/>
                <w:sz w:val="22"/>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0F91FDA3" w14:textId="77777777">
            <w:pPr>
              <w:rPr>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6EBC00C6" w14:textId="77777777">
            <w:pPr>
              <w:rPr>
                <w:b/>
                <w:bCs/>
                <w:color w:val="000000"/>
                <w:sz w:val="22"/>
                <w:szCs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3D768C5D" w14:textId="77777777">
            <w:pPr>
              <w:rPr>
                <w:color w:val="000000"/>
                <w:sz w:val="20"/>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07F39CF0" w14:textId="77777777">
            <w:pPr>
              <w:rPr>
                <w:b/>
                <w:bCs/>
                <w:color w:val="000000"/>
                <w:sz w:val="22"/>
                <w:szCs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27D84BCD" w14:textId="77777777">
            <w:pPr>
              <w:rPr>
                <w:b/>
                <w:bCs/>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2A1E6A" w:rsidRPr="00251C85" w:rsidP="00F87746" w14:paraId="2FE0BC2F" w14:textId="77777777">
            <w:pPr>
              <w:rPr>
                <w:b/>
                <w:bCs/>
                <w:color w:val="000000"/>
                <w:sz w:val="22"/>
                <w:szCs w:val="24"/>
              </w:rPr>
            </w:pPr>
          </w:p>
        </w:tc>
      </w:tr>
      <w:tr w14:paraId="0C07BC93" w14:textId="77777777" w:rsidTr="00AA7A8B">
        <w:tblPrEx>
          <w:tblW w:w="9360" w:type="dxa"/>
          <w:tblInd w:w="-203" w:type="dxa"/>
          <w:tblLook w:val="04A0"/>
        </w:tblPrEx>
        <w:trPr>
          <w:trHeight w:val="30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29004F85" w14:textId="77777777">
            <w:pPr>
              <w:rPr>
                <w:b/>
                <w:bCs/>
                <w:color w:val="000000"/>
                <w:sz w:val="22"/>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0BF778FC" w14:textId="77777777">
            <w:pPr>
              <w:rPr>
                <w:b/>
                <w:bCs/>
                <w:color w:val="000000"/>
                <w:sz w:val="22"/>
                <w:szCs w:val="24"/>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2FE922F4" w14:textId="77777777">
            <w:pPr>
              <w:rPr>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1DEEC874" w14:textId="77777777">
            <w:pPr>
              <w:rPr>
                <w:b/>
                <w:bCs/>
                <w:color w:val="000000"/>
                <w:sz w:val="22"/>
                <w:szCs w:val="24"/>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6C8CCD80" w14:textId="77777777">
            <w:pPr>
              <w:rPr>
                <w:color w:val="000000"/>
                <w:sz w:val="2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70B48CA7" w14:textId="77777777">
            <w:pPr>
              <w:rPr>
                <w:b/>
                <w:bCs/>
                <w:color w:val="000000"/>
                <w:sz w:val="22"/>
                <w:szCs w:val="24"/>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5984C4E6" w14:textId="77777777">
            <w:pPr>
              <w:rPr>
                <w:b/>
                <w:bCs/>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A1E6A" w:rsidRPr="00251C85" w:rsidP="00F87746" w14:paraId="55828A7D" w14:textId="77777777">
            <w:pPr>
              <w:rPr>
                <w:b/>
                <w:bCs/>
                <w:color w:val="000000"/>
                <w:sz w:val="22"/>
                <w:szCs w:val="24"/>
              </w:rPr>
            </w:pPr>
          </w:p>
        </w:tc>
      </w:tr>
    </w:tbl>
    <w:p w:rsidR="002A1E6A" w:rsidRPr="00251C85" w:rsidP="002A1E6A" w14:paraId="1FD9FABE" w14:textId="77777777">
      <w:pPr>
        <w:rPr>
          <w:b/>
          <w:bCs/>
          <w:sz w:val="22"/>
          <w:szCs w:val="24"/>
        </w:rPr>
      </w:pPr>
    </w:p>
    <w:tbl>
      <w:tblPr>
        <w:tblW w:w="9360" w:type="dxa"/>
        <w:tblLook w:val="04A0"/>
      </w:tblPr>
      <w:tblGrid>
        <w:gridCol w:w="9360"/>
      </w:tblGrid>
      <w:tr w14:paraId="0D680E40" w14:textId="77777777" w:rsidTr="354A1DD2">
        <w:tblPrEx>
          <w:tblW w:w="9360" w:type="dxa"/>
          <w:tblLook w:val="04A0"/>
        </w:tblPrEx>
        <w:trPr>
          <w:trHeight w:val="310"/>
        </w:trPr>
        <w:tc>
          <w:tcPr>
            <w:tcW w:w="9360" w:type="dxa"/>
            <w:tcBorders>
              <w:top w:val="nil"/>
              <w:left w:val="nil"/>
              <w:bottom w:val="nil"/>
              <w:right w:val="nil"/>
            </w:tcBorders>
            <w:shd w:val="clear" w:color="auto" w:fill="auto"/>
            <w:noWrap/>
            <w:vAlign w:val="center"/>
            <w:hideMark/>
          </w:tcPr>
          <w:p w:rsidR="002A1E6A" w:rsidRPr="00251C85" w:rsidP="00F87746" w14:paraId="08750C5D" w14:textId="68FE478F">
            <w:pPr>
              <w:rPr>
                <w:sz w:val="20"/>
                <w:szCs w:val="24"/>
              </w:rPr>
            </w:pPr>
            <w:r w:rsidRPr="00251C85">
              <w:rPr>
                <w:sz w:val="20"/>
                <w:szCs w:val="24"/>
                <w:vertAlign w:val="superscript"/>
              </w:rPr>
              <w:t xml:space="preserve"> [1]</w:t>
            </w:r>
            <w:r w:rsidRPr="00251C85">
              <w:rPr>
                <w:sz w:val="20"/>
                <w:szCs w:val="24"/>
              </w:rPr>
              <w:t xml:space="preserve"> The hourly wage estimate is based on the Occupational Employment and Wages, Mean Hourly Wage Rate for 21-1011 Substance Abuse and Behavioral Disorder Counselors = $2</w:t>
            </w:r>
            <w:r w:rsidR="00724FF7">
              <w:rPr>
                <w:sz w:val="20"/>
                <w:szCs w:val="24"/>
              </w:rPr>
              <w:t>8</w:t>
            </w:r>
            <w:r w:rsidRPr="00251C85">
              <w:rPr>
                <w:sz w:val="20"/>
                <w:szCs w:val="24"/>
              </w:rPr>
              <w:t>.</w:t>
            </w:r>
            <w:r w:rsidR="00724FF7">
              <w:rPr>
                <w:sz w:val="20"/>
                <w:szCs w:val="24"/>
              </w:rPr>
              <w:t>89</w:t>
            </w:r>
            <w:r w:rsidRPr="00251C85">
              <w:rPr>
                <w:sz w:val="20"/>
                <w:szCs w:val="24"/>
              </w:rPr>
              <w:t>/hr. as of May 11, 202</w:t>
            </w:r>
            <w:r w:rsidR="00724FF7">
              <w:rPr>
                <w:sz w:val="20"/>
                <w:szCs w:val="24"/>
              </w:rPr>
              <w:t>3</w:t>
            </w:r>
            <w:r w:rsidRPr="00251C85">
              <w:rPr>
                <w:sz w:val="20"/>
                <w:szCs w:val="24"/>
              </w:rPr>
              <w:t xml:space="preserve">.  (http://www.bls.gov/oes/current/oes211011.htm. Accessed on </w:t>
            </w:r>
            <w:r w:rsidR="00724FF7">
              <w:rPr>
                <w:sz w:val="20"/>
                <w:szCs w:val="24"/>
              </w:rPr>
              <w:t>June 20</w:t>
            </w:r>
            <w:r w:rsidRPr="00251C85">
              <w:rPr>
                <w:sz w:val="20"/>
                <w:szCs w:val="24"/>
              </w:rPr>
              <w:t>, 202</w:t>
            </w:r>
            <w:r w:rsidR="00724FF7">
              <w:rPr>
                <w:sz w:val="20"/>
                <w:szCs w:val="24"/>
              </w:rPr>
              <w:t>4</w:t>
            </w:r>
            <w:r w:rsidRPr="00251C85">
              <w:rPr>
                <w:sz w:val="20"/>
                <w:szCs w:val="24"/>
              </w:rPr>
              <w:t>.)</w:t>
            </w:r>
          </w:p>
        </w:tc>
      </w:tr>
      <w:tr w14:paraId="0CF0299E" w14:textId="77777777" w:rsidTr="354A1DD2">
        <w:tblPrEx>
          <w:tblW w:w="9360" w:type="dxa"/>
          <w:tblLook w:val="04A0"/>
        </w:tblPrEx>
        <w:trPr>
          <w:trHeight w:val="290"/>
        </w:trPr>
        <w:tc>
          <w:tcPr>
            <w:tcW w:w="9360" w:type="dxa"/>
            <w:tcBorders>
              <w:top w:val="nil"/>
              <w:left w:val="nil"/>
              <w:bottom w:val="nil"/>
              <w:right w:val="nil"/>
            </w:tcBorders>
            <w:shd w:val="clear" w:color="auto" w:fill="auto"/>
            <w:noWrap/>
            <w:vAlign w:val="center"/>
            <w:hideMark/>
          </w:tcPr>
          <w:p w:rsidR="002A1E6A" w:rsidRPr="00251C85" w:rsidP="00F87746" w14:paraId="6BF76525" w14:textId="6B77876F">
            <w:pPr>
              <w:rPr>
                <w:sz w:val="20"/>
              </w:rPr>
            </w:pPr>
            <w:r w:rsidRPr="354A1DD2">
              <w:rPr>
                <w:sz w:val="20"/>
              </w:rPr>
              <w:t xml:space="preserve"> </w:t>
            </w:r>
            <w:r w:rsidRPr="354A1DD2">
              <w:rPr>
                <w:sz w:val="20"/>
                <w:vertAlign w:val="superscript"/>
              </w:rPr>
              <w:t>[2]</w:t>
            </w:r>
            <w:r w:rsidRPr="354A1DD2">
              <w:rPr>
                <w:sz w:val="20"/>
              </w:rPr>
              <w:t xml:space="preserve"> It is estimated that 80% of baseline clients will complete this interview.</w:t>
            </w:r>
          </w:p>
        </w:tc>
      </w:tr>
      <w:tr w14:paraId="697ACB11" w14:textId="77777777" w:rsidTr="354A1DD2">
        <w:tblPrEx>
          <w:tblW w:w="9360" w:type="dxa"/>
          <w:tblLook w:val="04A0"/>
        </w:tblPrEx>
        <w:trPr>
          <w:trHeight w:val="290"/>
        </w:trPr>
        <w:tc>
          <w:tcPr>
            <w:tcW w:w="9360" w:type="dxa"/>
            <w:tcBorders>
              <w:top w:val="nil"/>
              <w:left w:val="nil"/>
              <w:bottom w:val="nil"/>
              <w:right w:val="nil"/>
            </w:tcBorders>
            <w:shd w:val="clear" w:color="auto" w:fill="auto"/>
            <w:noWrap/>
            <w:vAlign w:val="center"/>
            <w:hideMark/>
          </w:tcPr>
          <w:p w:rsidR="002A1E6A" w:rsidRPr="00251C85" w:rsidP="00F87746" w14:paraId="74793889" w14:textId="2B2AAAAF">
            <w:pPr>
              <w:rPr>
                <w:sz w:val="20"/>
              </w:rPr>
            </w:pPr>
            <w:r w:rsidRPr="354A1DD2">
              <w:rPr>
                <w:sz w:val="20"/>
                <w:vertAlign w:val="superscript"/>
              </w:rPr>
              <w:t xml:space="preserve"> </w:t>
            </w:r>
            <w:r>
              <w:rPr>
                <w:sz w:val="20"/>
                <w:vertAlign w:val="superscript"/>
              </w:rPr>
              <w:footnoteReference w:customMarkFollows="1" w:id="4"/>
              <w:t xml:space="preserve">[3]</w:t>
            </w:r>
            <w:r w:rsidRPr="354A1DD2">
              <w:rPr>
                <w:sz w:val="20"/>
              </w:rPr>
              <w:t xml:space="preserve"> It is estimated that 52% of baseline clients will complete this interview.</w:t>
            </w:r>
            <w:r w:rsidR="00B31A26">
              <w:rPr>
                <w:sz w:val="20"/>
              </w:rPr>
              <w:t xml:space="preserve"> This estimate is based on the results in the following</w:t>
            </w:r>
            <w:r w:rsidR="004D739C">
              <w:rPr>
                <w:sz w:val="20"/>
              </w:rPr>
              <w:t xml:space="preserve">: </w:t>
            </w:r>
            <w:r w:rsidRPr="00AA7A8B" w:rsidR="00B31A26">
              <w:rPr>
                <w:sz w:val="20"/>
              </w:rPr>
              <w:t>Substance Abuse and Mental Health Services Administration (SAMHSA): Treating Concurrent Substance Use Among Adults. SAMHSA Publication No. PEP21-06-02-002. Rockville, MD: National Mental Health and Substance Use Policy Laboratory. Substance Abuse and Mental Health Services Administration, 2021</w:t>
            </w:r>
          </w:p>
        </w:tc>
      </w:tr>
      <w:tr w14:paraId="27B2D4E2" w14:textId="77777777" w:rsidTr="354A1DD2">
        <w:tblPrEx>
          <w:tblW w:w="9360" w:type="dxa"/>
          <w:tblLook w:val="04A0"/>
        </w:tblPrEx>
        <w:trPr>
          <w:trHeight w:val="290"/>
        </w:trPr>
        <w:tc>
          <w:tcPr>
            <w:tcW w:w="9360" w:type="dxa"/>
            <w:tcBorders>
              <w:top w:val="nil"/>
              <w:left w:val="nil"/>
              <w:bottom w:val="nil"/>
              <w:right w:val="nil"/>
            </w:tcBorders>
            <w:shd w:val="clear" w:color="auto" w:fill="auto"/>
            <w:noWrap/>
            <w:vAlign w:val="center"/>
            <w:hideMark/>
          </w:tcPr>
          <w:p w:rsidR="002A1E6A" w:rsidRPr="00251C85" w:rsidP="00F87746" w14:paraId="26CD2936" w14:textId="77777777">
            <w:pPr>
              <w:rPr>
                <w:sz w:val="20"/>
              </w:rPr>
            </w:pPr>
            <w:r w:rsidRPr="00251C85">
              <w:rPr>
                <w:sz w:val="20"/>
              </w:rPr>
              <w:t>Note:  Numbers may not add to the totals due to rounding and some individual participants completing more than one form.</w:t>
            </w:r>
          </w:p>
        </w:tc>
      </w:tr>
    </w:tbl>
    <w:p w:rsidR="002A1E6A" w:rsidP="002A1E6A" w14:paraId="4D633FA0" w14:textId="77777777"/>
    <w:p w:rsidR="005A4A00" w:rsidRPr="00446BA6" w:rsidP="005A4A00" w14:paraId="35F8F437" w14:textId="77777777">
      <w:pPr>
        <w:rPr>
          <w:b/>
          <w:bCs/>
        </w:rPr>
      </w:pPr>
      <w:r>
        <w:rPr>
          <w:b/>
        </w:rPr>
        <w:t>A</w:t>
      </w:r>
      <w:r w:rsidRPr="006A4B05">
        <w:rPr>
          <w:b/>
        </w:rPr>
        <w:t xml:space="preserve">13.  </w:t>
      </w:r>
      <w:r>
        <w:rPr>
          <w:b/>
        </w:rPr>
        <w:t xml:space="preserve">   </w:t>
      </w:r>
      <w:r>
        <w:rPr>
          <w:b/>
          <w:bCs/>
        </w:rPr>
        <w:t xml:space="preserve">Estimates of </w:t>
      </w:r>
      <w:r w:rsidR="00AC3E29">
        <w:rPr>
          <w:b/>
          <w:bCs/>
        </w:rPr>
        <w:t xml:space="preserve">Annualized </w:t>
      </w:r>
      <w:r w:rsidRPr="00446BA6">
        <w:rPr>
          <w:b/>
          <w:bCs/>
        </w:rPr>
        <w:t xml:space="preserve">Cost Burden to Respondents </w:t>
      </w:r>
    </w:p>
    <w:p w:rsidR="005A4A00" w:rsidP="00AA7A8B" w14:paraId="2ABDC2A4" w14:textId="1D294F00">
      <w:pPr>
        <w:tabs>
          <w:tab w:val="left" w:pos="7665"/>
        </w:tabs>
      </w:pPr>
      <w:r>
        <w:tab/>
      </w:r>
    </w:p>
    <w:p w:rsidR="005A4A00" w:rsidP="005A4A00" w14:paraId="4CE0CD31" w14:textId="77777777">
      <w:r>
        <w:t xml:space="preserve">There are </w:t>
      </w:r>
      <w:r w:rsidR="00A93688">
        <w:t xml:space="preserve">no </w:t>
      </w:r>
      <w:r>
        <w:t>capital or startup costs</w:t>
      </w:r>
      <w:r w:rsidR="00A93688">
        <w:t>,</w:t>
      </w:r>
      <w:r>
        <w:t xml:space="preserve"> nor are there any operation and maintenance costs.</w:t>
      </w:r>
    </w:p>
    <w:p w:rsidR="005A4A00" w:rsidP="005A4A00" w14:paraId="672CB2CE" w14:textId="77777777"/>
    <w:p w:rsidR="005A4A00" w:rsidRPr="00203445" w:rsidP="5355D8B4" w14:paraId="38D47927" w14:textId="77777777">
      <w:pPr>
        <w:rPr>
          <w:b/>
          <w:bCs/>
        </w:rPr>
      </w:pPr>
      <w:r w:rsidRPr="5355D8B4">
        <w:rPr>
          <w:b/>
          <w:bCs/>
        </w:rPr>
        <w:t>A14.     Estimates of Annualized Cost to the Government</w:t>
      </w:r>
    </w:p>
    <w:p w:rsidR="005A4A00" w:rsidP="005A4A00" w14:paraId="4A38B1B9" w14:textId="77777777"/>
    <w:p w:rsidR="002A1E6A" w:rsidP="002A1E6A" w14:paraId="34E738F6" w14:textId="77777777">
      <w:r>
        <w:t xml:space="preserve">The principal additional cost to the government for this project is the cost of a contract to collect the data from the various programs and to conduct analyses, which generate routine reports from the data collected.  The reports examine baseline characteristics and changes between baseline, discharge, and each of the follow-up periods.  It is the responsibility of the contractor to work with the GPO when preparing reports that combine the client services data with the annual reports of the project.  </w:t>
      </w:r>
    </w:p>
    <w:p w:rsidR="005A4A00" w:rsidP="005A4A00" w14:paraId="2D6F4DCF" w14:textId="77777777"/>
    <w:p w:rsidR="005A4A00" w:rsidRPr="00851655" w:rsidP="005A4A00" w14:paraId="2208DBA3" w14:textId="4F3CA202">
      <w:r>
        <w:t xml:space="preserve">The estimated annualized cost for a contract for the GPRA mandate </w:t>
      </w:r>
      <w:r w:rsidRPr="0040552B">
        <w:t>is $7.2 million</w:t>
      </w:r>
      <w:r>
        <w:t xml:space="preserve"> and t</w:t>
      </w:r>
      <w:r w:rsidR="000B2D48">
        <w:t>he cost of one full-time equivalent</w:t>
      </w:r>
      <w:r>
        <w:t xml:space="preserve"> staff (25% for one GS-14</w:t>
      </w:r>
      <w:r w:rsidR="00117615">
        <w:t xml:space="preserve"> Step 5</w:t>
      </w:r>
      <w:r w:rsidR="007E6539">
        <w:t>,</w:t>
      </w:r>
      <w:r>
        <w:t xml:space="preserve"> $</w:t>
      </w:r>
      <w:r w:rsidR="00117615">
        <w:t>34,716.50</w:t>
      </w:r>
      <w:r>
        <w:t xml:space="preserve"> and 75% for one GS-12</w:t>
      </w:r>
      <w:r w:rsidR="00117615">
        <w:t xml:space="preserve"> </w:t>
      </w:r>
      <w:r w:rsidR="00117615">
        <w:t>Step 5</w:t>
      </w:r>
      <w:r w:rsidR="007E6539">
        <w:t>,</w:t>
      </w:r>
      <w:r>
        <w:t xml:space="preserve"> $</w:t>
      </w:r>
      <w:r w:rsidR="00841367">
        <w:t>74</w:t>
      </w:r>
      <w:r>
        <w:t>,</w:t>
      </w:r>
      <w:r w:rsidR="00841367">
        <w:t>120.25</w:t>
      </w:r>
      <w:r>
        <w:t xml:space="preserve">) responsible for the CSAT data collection effort is approximately </w:t>
      </w:r>
      <w:r>
        <w:t>$108,837/</w:t>
      </w:r>
      <w:r>
        <w:t>year.</w:t>
      </w:r>
    </w:p>
    <w:p w:rsidR="00117615" w:rsidRPr="00851655" w:rsidP="005A4A00" w14:paraId="73471A24" w14:textId="7F03C320"/>
    <w:p w:rsidR="005A4A00" w:rsidP="005A4A00" w14:paraId="48DEC319" w14:textId="77777777">
      <w:pPr>
        <w:pStyle w:val="Heading2"/>
      </w:pPr>
      <w:bookmarkStart w:id="3" w:name="_Toc88033481"/>
      <w:bookmarkStart w:id="4" w:name="_Toc88277964"/>
      <w:r>
        <w:t>A15.</w:t>
      </w:r>
      <w:r>
        <w:tab/>
      </w:r>
      <w:r w:rsidRPr="00553392">
        <w:t>Changes in Burden</w:t>
      </w:r>
      <w:r>
        <w:t xml:space="preserve"> </w:t>
      </w:r>
      <w:bookmarkEnd w:id="3"/>
      <w:bookmarkEnd w:id="4"/>
    </w:p>
    <w:p w:rsidR="00E839EF" w:rsidRPr="00AA7A8B" w:rsidP="00AA7A8B" w14:paraId="582BC85B" w14:textId="2DC55891">
      <w:pPr>
        <w:rPr>
          <w:rFonts w:ascii="Segoe UI" w:hAnsi="Segoe UI" w:cs="Segoe UI"/>
          <w:sz w:val="18"/>
          <w:szCs w:val="18"/>
        </w:rPr>
      </w:pPr>
      <w:bookmarkStart w:id="5" w:name="_Hlk71807054"/>
      <w:r w:rsidRPr="00AA7A8B">
        <w:t>C</w:t>
      </w:r>
      <w:r w:rsidRPr="00AA7A8B">
        <w:rPr>
          <w:rStyle w:val="normaltextrun"/>
        </w:rPr>
        <w:t xml:space="preserve">urrently, there are 379,037 total burden hours in the OMB-approved </w:t>
      </w:r>
      <w:r w:rsidRPr="00AA7A8B">
        <w:rPr>
          <w:rStyle w:val="normaltextrun"/>
          <w:sz w:val="22"/>
          <w:szCs w:val="22"/>
        </w:rPr>
        <w:t xml:space="preserve">CSAT Client-level GPRA instrument. </w:t>
      </w:r>
      <w:r w:rsidRPr="00AA7A8B">
        <w:rPr>
          <w:rStyle w:val="normaltextrun"/>
        </w:rPr>
        <w:t>SAMHSA is now requesting an increase to 631,682 burden hours. The increase of 252,645 burden hours is due to the following:</w:t>
      </w:r>
      <w:r w:rsidRPr="00AA7A8B">
        <w:rPr>
          <w:rStyle w:val="eop"/>
        </w:rPr>
        <w:t> </w:t>
      </w:r>
    </w:p>
    <w:p w:rsidR="00E839EF" w:rsidRPr="00AA7A8B" w:rsidP="00E839EF" w14:paraId="22B221AE" w14:textId="77777777">
      <w:pPr>
        <w:pStyle w:val="paragraph"/>
        <w:spacing w:before="0" w:beforeAutospacing="0" w:after="0" w:afterAutospacing="0"/>
        <w:textAlignment w:val="baseline"/>
        <w:rPr>
          <w:rStyle w:val="normaltextrun"/>
        </w:rPr>
      </w:pPr>
    </w:p>
    <w:p w:rsidR="00E839EF" w:rsidRPr="00AA7A8B" w:rsidP="00E839EF" w14:paraId="26C2C2CA" w14:textId="77777777">
      <w:pPr>
        <w:pStyle w:val="paragraph"/>
        <w:numPr>
          <w:ilvl w:val="0"/>
          <w:numId w:val="38"/>
        </w:numPr>
        <w:spacing w:before="0" w:beforeAutospacing="0" w:after="0" w:afterAutospacing="0"/>
        <w:textAlignment w:val="baseline"/>
      </w:pPr>
      <w:r w:rsidRPr="00AA7A8B">
        <w:rPr>
          <w:rStyle w:val="normaltextrun"/>
        </w:rPr>
        <w:t>Additional time allocated for interviews, but also improved estimates of the number of clients who would likely consent to complete the interview; and</w:t>
      </w:r>
      <w:r w:rsidRPr="00AA7A8B">
        <w:rPr>
          <w:rStyle w:val="eop"/>
        </w:rPr>
        <w:t> </w:t>
      </w:r>
    </w:p>
    <w:p w:rsidR="00E839EF" w:rsidRPr="00AA7A8B" w:rsidP="00E839EF" w14:paraId="18B78A2A" w14:textId="77777777">
      <w:pPr>
        <w:pStyle w:val="paragraph"/>
        <w:numPr>
          <w:ilvl w:val="0"/>
          <w:numId w:val="38"/>
        </w:numPr>
        <w:spacing w:before="0" w:beforeAutospacing="0" w:after="0" w:afterAutospacing="0"/>
        <w:textAlignment w:val="baseline"/>
      </w:pPr>
      <w:r w:rsidRPr="00AA7A8B">
        <w:rPr>
          <w:rStyle w:val="normaltextrun"/>
        </w:rPr>
        <w:t>Additional time allocated for administrative collection of data by grantees, including the information that is collected for all clients regardless of whether they completed the client-portion of the interview or not.</w:t>
      </w:r>
      <w:r w:rsidRPr="00AA7A8B">
        <w:rPr>
          <w:rStyle w:val="eop"/>
        </w:rPr>
        <w:t> </w:t>
      </w:r>
    </w:p>
    <w:p w:rsidR="00E839EF" w:rsidP="002A1E6A" w14:paraId="53887552" w14:textId="77777777"/>
    <w:p w:rsidR="005A4A00" w:rsidRPr="00E04321" w:rsidP="005A4A00" w14:paraId="0FAE4D88" w14:textId="77777777">
      <w:pPr>
        <w:pStyle w:val="Heading2"/>
      </w:pPr>
      <w:r w:rsidRPr="00B22AA3">
        <w:rPr>
          <w:bCs w:val="0"/>
        </w:rPr>
        <w:t>A16</w:t>
      </w:r>
      <w:r w:rsidRPr="00B22AA3">
        <w:rPr>
          <w:b w:val="0"/>
        </w:rPr>
        <w:t xml:space="preserve">.  </w:t>
      </w:r>
      <w:r w:rsidRPr="00B22AA3">
        <w:rPr>
          <w:b w:val="0"/>
        </w:rPr>
        <w:tab/>
      </w:r>
      <w:r w:rsidRPr="00B22AA3">
        <w:t>Time Schedule</w:t>
      </w:r>
      <w:r>
        <w:t xml:space="preserve">, Publication and Analysis Plans </w:t>
      </w:r>
    </w:p>
    <w:bookmarkEnd w:id="5"/>
    <w:p w:rsidR="002A1E6A" w:rsidP="002A1E6A" w14:paraId="22B240EA" w14:textId="5DB39029">
      <w:r>
        <w:t xml:space="preserve">Data for the annual GPRA plan/report are needed by SAMHSA by September of each year.  The discretionary services program data are readily available through the web-based system.  Data are provided for the most recently completed calendar year to SAMHSA in May to assure analysis in time for the annual GPRA report.  The annual GPRA report must be submitted to the U.S. Department of Health and Human Services and to OMB by September and is included in the President's annual budget request which is released to the public February 1st. Data may be refined and added to the final Presidential budget request after the Department submits its initial GPRA report.  </w:t>
      </w:r>
    </w:p>
    <w:p w:rsidR="002A1E6A" w:rsidP="002A1E6A" w14:paraId="2B711C63" w14:textId="77777777"/>
    <w:p w:rsidR="002A1E6A" w:rsidP="002A1E6A" w14:paraId="2D5AD177" w14:textId="77777777">
      <w:pPr>
        <w:rPr>
          <w:u w:val="single"/>
        </w:rPr>
      </w:pPr>
      <w:r>
        <w:rPr>
          <w:u w:val="single"/>
        </w:rPr>
        <w:t>Analysis/Publication Plans</w:t>
      </w:r>
    </w:p>
    <w:p w:rsidR="002A1E6A" w:rsidP="002A1E6A" w14:paraId="1022915C" w14:textId="77777777">
      <w:pPr>
        <w:rPr>
          <w:u w:val="single"/>
        </w:rPr>
      </w:pPr>
    </w:p>
    <w:p w:rsidR="002A1E6A" w:rsidP="002A1E6A" w14:paraId="192F22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rPr>
      </w:pPr>
      <w:r>
        <w:t xml:space="preserve">Client outcome data will be collected through the web site.  Data will be used to report to Congress regarding the GPRA as specified in the SAMHSA Annual Justifications of Budget Estimates.  </w:t>
      </w:r>
      <w:r w:rsidRPr="002B794E">
        <w:t xml:space="preserve">The data might also be used for specific comparisons relative to </w:t>
      </w:r>
      <w:r>
        <w:t xml:space="preserve">the </w:t>
      </w:r>
      <w:r w:rsidRPr="000B2D48">
        <w:t>Office of National Drug Control Policy</w:t>
      </w:r>
      <w:r>
        <w:t>’s</w:t>
      </w:r>
      <w:r w:rsidRPr="000B2D48">
        <w:t xml:space="preserve"> </w:t>
      </w:r>
      <w:r w:rsidRPr="002B794E">
        <w:t>National Drug Control Strategic Goals, especially for some of the secondary treatment outcomes (e.g., homelessness).</w:t>
      </w:r>
    </w:p>
    <w:p w:rsidR="002A1E6A" w:rsidP="002A1E6A" w14:paraId="40533AA4" w14:textId="77777777"/>
    <w:p w:rsidR="002A1E6A" w:rsidP="002A1E6A" w14:paraId="53FD8AF5" w14:textId="77777777">
      <w:r>
        <w:t xml:space="preserve">In the future, the indicators for clients served under these programs might be compared to similar indicators for clients served under block grant programs as a general indicator of whether the programs are doing better than "typical" services.  This could be done for discretionary services programs as a group or for specific programs.  </w:t>
      </w:r>
    </w:p>
    <w:p w:rsidR="002A1E6A" w:rsidP="002A1E6A" w14:paraId="40C8A9A1" w14:textId="77777777"/>
    <w:p w:rsidR="002A1E6A" w:rsidP="002A1E6A" w14:paraId="6D204A0C" w14:textId="77777777">
      <w:r>
        <w:t xml:space="preserve">SAMHSA and each of its Centers specifically will use the data for annual reporting required by GPRA on the previously stated items, comparing baseline with discharge and follow-up data.  </w:t>
      </w:r>
      <w:r w:rsidRPr="001063A0">
        <w:t xml:space="preserve">The GPRA dataset will consist of each element coded into the reporting categories as seen in Attachment 1.  These data are at the client record level.  The SAMHSA GPRA </w:t>
      </w:r>
      <w:r>
        <w:t xml:space="preserve">performance and </w:t>
      </w:r>
      <w:r w:rsidRPr="001063A0">
        <w:t>client outcome data will be aggregated at the following levels:</w:t>
      </w:r>
      <w:r>
        <w:t xml:space="preserve">  </w:t>
      </w:r>
      <w:r w:rsidRPr="001063A0">
        <w:t xml:space="preserve">Project/Grantee, </w:t>
      </w:r>
      <w:r w:rsidRPr="001063A0">
        <w:t>Program/Division, and Activity.</w:t>
      </w:r>
      <w:r>
        <w:t xml:space="preserve">  The analyses will be organized around SAMHSA's GPRA measures and the measures relating to the National Outcome Measures. </w:t>
      </w:r>
    </w:p>
    <w:p w:rsidR="002A1E6A" w:rsidP="002A1E6A" w14:paraId="0AC58FEB" w14:textId="77777777"/>
    <w:p w:rsidR="002A1E6A" w:rsidP="002A1E6A" w14:paraId="582EF107" w14:textId="1F539748">
      <w:r>
        <w:t>Baseline-level analyses involve using frequency distributions and measures of central tendency to describe the populations across the GPRA client outcomes and by various demographic groups (e.g., gender identity, sexual orientation, race, ethnicity, age, and level of education).</w:t>
      </w:r>
      <w:r>
        <w:t xml:space="preserve"> The client will be followed longitudinally, with the GPRA client outcome items re-administered again at discharge and six months after baseline.  The follow-up data also will be described using frequency distributions and measures of central tendency.  Change will be addressed by comparing the discharge and follow-up measurements with baseline data for each client.  The percent of clients showing the target changes will be calculated on each of the GPRA client outcome measures that are categorical.  For continuous items, mean differences will be calculated. Tables will be constructed to describe the change across projects on client outcomes.</w:t>
      </w:r>
    </w:p>
    <w:p w:rsidR="002A1E6A" w:rsidP="002A1E6A" w14:paraId="1BE17E66" w14:textId="77777777"/>
    <w:p w:rsidR="002A1E6A" w:rsidP="002A1E6A" w14:paraId="34BAD543" w14:textId="28A28B37">
      <w:r>
        <w:t xml:space="preserve">There will also be program-specific analysis of these data because each program may have unique programmatic and performance goals.  The data items collected will be analyzed and presented in GPRA reports using basic descriptive statistics.  On key outcomes (e.g., drug use, criminal involvement, and employment), the proportion of individuals showing improvement from baseline to discharge and follow-up (baseline to discharge, baseline to six months) will be calculated and aggregated at the program level (e.g., discretionary services).  If deemed necessary for CSAT specific issues, the data will be examined at the individual activity level.  The results will be examined for subpopulations of interest within individual activities (e.g., by age, </w:t>
      </w:r>
      <w:r w:rsidR="4A9656A2">
        <w:t xml:space="preserve">by sexual orientation, </w:t>
      </w:r>
      <w:r>
        <w:t>by gender</w:t>
      </w:r>
      <w:r w:rsidR="3127E0C5">
        <w:t xml:space="preserve"> identity</w:t>
      </w:r>
      <w:r>
        <w:t>, by race/ethnicity, etc.).</w:t>
      </w:r>
    </w:p>
    <w:p w:rsidR="00D86BC3" w:rsidRPr="001063A0" w:rsidP="00D86BC3" w14:paraId="7A64E20B" w14:textId="77777777"/>
    <w:p w:rsidR="005A4A00" w:rsidRPr="00446BA6" w:rsidP="005A4A00" w14:paraId="0B40A7C6" w14:textId="77777777">
      <w:pPr>
        <w:rPr>
          <w:b/>
        </w:rPr>
      </w:pPr>
      <w:r>
        <w:rPr>
          <w:b/>
        </w:rPr>
        <w:t>A</w:t>
      </w:r>
      <w:r w:rsidRPr="00446BA6">
        <w:rPr>
          <w:b/>
        </w:rPr>
        <w:t xml:space="preserve">17.     </w:t>
      </w:r>
      <w:r>
        <w:rPr>
          <w:b/>
        </w:rPr>
        <w:t xml:space="preserve">Display of Expiration Date </w:t>
      </w:r>
    </w:p>
    <w:p w:rsidR="005A4A00" w:rsidP="005A4A00" w14:paraId="4A71206F" w14:textId="77777777"/>
    <w:p w:rsidR="005A4A00" w:rsidP="005A4A00" w14:paraId="70F6236E" w14:textId="77777777">
      <w:r>
        <w:t>The expiration date for OMB approval will be displayed on all data collection instruments.</w:t>
      </w:r>
    </w:p>
    <w:p w:rsidR="00D8523D" w:rsidP="005A4A00" w14:paraId="2DBA1C63" w14:textId="77777777"/>
    <w:p w:rsidR="005A4A00" w:rsidRPr="00446BA6" w:rsidP="005A4A00" w14:paraId="57DFCB52" w14:textId="77777777">
      <w:pPr>
        <w:rPr>
          <w:b/>
        </w:rPr>
      </w:pPr>
      <w:r>
        <w:rPr>
          <w:b/>
        </w:rPr>
        <w:t>A</w:t>
      </w:r>
      <w:r w:rsidRPr="00446BA6">
        <w:rPr>
          <w:b/>
        </w:rPr>
        <w:t xml:space="preserve">18.     Exceptions to Certification </w:t>
      </w:r>
      <w:r>
        <w:rPr>
          <w:b/>
        </w:rPr>
        <w:t xml:space="preserve">Statement </w:t>
      </w:r>
    </w:p>
    <w:p w:rsidR="005A4A00" w:rsidP="005A4A00" w14:paraId="3F87DBF6" w14:textId="77777777"/>
    <w:p w:rsidR="005A4A00" w:rsidRPr="000467FD" w:rsidP="005A4A00" w14:paraId="5A0E37AB" w14:textId="77777777">
      <w:pPr>
        <w:rPr>
          <w:strike/>
          <w:szCs w:val="24"/>
        </w:rPr>
      </w:pPr>
      <w:r>
        <w:t>This collection of information involves no exceptions to the Certification for Paperwork Reduction Act Submissions</w:t>
      </w:r>
      <w:r w:rsidR="00E279F8">
        <w:t xml:space="preserve">.  </w:t>
      </w:r>
      <w:r w:rsidRPr="00E333F4" w:rsidR="00CC0FCD">
        <w:t>The certifications are included in this submission.</w:t>
      </w:r>
    </w:p>
    <w:p w:rsidR="005A4A00" w:rsidP="005A4A00" w14:paraId="6E7A8A03" w14:textId="77777777">
      <w:pPr>
        <w:rPr>
          <w:b/>
        </w:rPr>
      </w:pPr>
    </w:p>
    <w:p w:rsidR="00A63615" w14:paraId="19283B60" w14:textId="77777777"/>
    <w:sectPr w:rsidSect="001D0E5E">
      <w:headerReference w:type="even" r:id="rId10"/>
      <w:headerReference w:type="default" r:id="rId11"/>
      <w:footerReference w:type="even" r:id="rId12"/>
      <w:footerReference w:type="default" r:id="rId13"/>
      <w:endnotePr>
        <w:numFmt w:val="lowerLetter"/>
      </w:endnotePr>
      <w:pgSz w:w="12240" w:h="15840"/>
      <w:pgMar w:top="990" w:right="1440" w:bottom="1260" w:left="1440" w:header="1440" w:footer="8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rsidP="001D0E5E" w14:paraId="0223FCB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535" w14:paraId="39A3D5DF"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rsidP="001D0E5E" w14:paraId="79E92583" w14:textId="491C6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6B4">
      <w:rPr>
        <w:rStyle w:val="PageNumber"/>
        <w:noProof/>
      </w:rPr>
      <w:t>4</w:t>
    </w:r>
    <w:r>
      <w:rPr>
        <w:rStyle w:val="PageNumber"/>
      </w:rPr>
      <w:fldChar w:fldCharType="end"/>
    </w:r>
  </w:p>
  <w:p w:rsidR="00A87535" w:rsidP="001D0E5E" w14:paraId="00511DE3"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31FC" w:rsidP="005525FC" w14:paraId="435B013B" w14:textId="77777777">
      <w:r>
        <w:separator/>
      </w:r>
    </w:p>
  </w:footnote>
  <w:footnote w:type="continuationSeparator" w:id="1">
    <w:p w:rsidR="008E31FC" w:rsidP="005525FC" w14:paraId="78618846" w14:textId="77777777">
      <w:r>
        <w:continuationSeparator/>
      </w:r>
    </w:p>
  </w:footnote>
  <w:footnote w:type="continuationNotice" w:id="2">
    <w:p w:rsidR="008E31FC" w14:paraId="6E67FBE3" w14:textId="77777777"/>
  </w:footnote>
  <w:footnote w:id="3">
    <w:p w:rsidR="002A1E6A" w:rsidP="002A1E6A" w14:paraId="738CCC77" w14:textId="77777777"/>
  </w:footnote>
  <w:footnote w:id="4">
    <w:p w:rsidR="002A1E6A" w:rsidP="002A1E6A" w14:paraId="1B0390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14:paraId="3792B399"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14:paraId="400DC42C"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465"/>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C56B11"/>
    <w:multiLevelType w:val="hybridMultilevel"/>
    <w:tmpl w:val="9A902B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42D5D"/>
    <w:multiLevelType w:val="hybridMultilevel"/>
    <w:tmpl w:val="2F9CD9F6"/>
    <w:lvl w:ilvl="0">
      <w:start w:val="1"/>
      <w:numFmt w:val="bullet"/>
      <w:lvlText w:val=""/>
      <w:lvlJc w:val="left"/>
      <w:pPr>
        <w:ind w:left="1800" w:hanging="360"/>
      </w:pPr>
      <w:rPr>
        <w:rFonts w:ascii="Wingdings 2" w:eastAsia="Wingdings 2" w:hAnsi="Wingdings 2"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BE27F58"/>
    <w:multiLevelType w:val="hybridMultilevel"/>
    <w:tmpl w:val="3D7C2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D1543A"/>
    <w:multiLevelType w:val="hybridMultilevel"/>
    <w:tmpl w:val="EC38B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050A3C"/>
    <w:multiLevelType w:val="hybridMultilevel"/>
    <w:tmpl w:val="DA964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7D12B1"/>
    <w:multiLevelType w:val="hybridMultilevel"/>
    <w:tmpl w:val="A71A3AD6"/>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9A2577"/>
    <w:multiLevelType w:val="hybridMultilevel"/>
    <w:tmpl w:val="F4F289D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E6D7F07"/>
    <w:multiLevelType w:val="hybridMultilevel"/>
    <w:tmpl w:val="B7A25E04"/>
    <w:lvl w:ilvl="0">
      <w:start w:val="1"/>
      <w:numFmt w:val="decimal"/>
      <w:lvlText w:val="%1."/>
      <w:lvlJc w:val="left"/>
      <w:pPr>
        <w:ind w:left="720" w:hanging="360"/>
      </w:pPr>
      <w:rPr>
        <w:rFonts w:eastAsia="Calibr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820C34"/>
    <w:multiLevelType w:val="hybridMultilevel"/>
    <w:tmpl w:val="ACAE16C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0">
    <w:nsid w:val="235D530D"/>
    <w:multiLevelType w:val="hybridMultilevel"/>
    <w:tmpl w:val="DAA6C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E16289"/>
    <w:multiLevelType w:val="hybridMultilevel"/>
    <w:tmpl w:val="96D02034"/>
    <w:lvl w:ilvl="0">
      <w:start w:val="1"/>
      <w:numFmt w:val="decimal"/>
      <w:pStyle w:val="QuestionNumbered"/>
      <w:lvlText w:val="%1."/>
      <w:lvlJc w:val="left"/>
      <w:pPr>
        <w:ind w:left="2340" w:hanging="21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557008"/>
    <w:multiLevelType w:val="hybridMultilevel"/>
    <w:tmpl w:val="547CA57A"/>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695319"/>
    <w:multiLevelType w:val="hybridMultilevel"/>
    <w:tmpl w:val="05C6F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DC5AE3"/>
    <w:multiLevelType w:val="hybridMultilevel"/>
    <w:tmpl w:val="F8020156"/>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DC5E6D"/>
    <w:multiLevelType w:val="hybridMultilevel"/>
    <w:tmpl w:val="8702C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0656E2"/>
    <w:multiLevelType w:val="hybridMultilevel"/>
    <w:tmpl w:val="E432F0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C732BA"/>
    <w:multiLevelType w:val="hybridMultilevel"/>
    <w:tmpl w:val="8A96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79E2E95"/>
    <w:multiLevelType w:val="hybridMultilevel"/>
    <w:tmpl w:val="91945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C1698D"/>
    <w:multiLevelType w:val="hybridMultilevel"/>
    <w:tmpl w:val="111A99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0">
    <w:nsid w:val="51CC4DA8"/>
    <w:multiLevelType w:val="hybridMultilevel"/>
    <w:tmpl w:val="B906ADE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CE6D3C"/>
    <w:multiLevelType w:val="hybridMultilevel"/>
    <w:tmpl w:val="0C488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386764C"/>
    <w:multiLevelType w:val="hybridMultilevel"/>
    <w:tmpl w:val="9CECA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C26E11"/>
    <w:multiLevelType w:val="hybridMultilevel"/>
    <w:tmpl w:val="C1E86F7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142F23"/>
    <w:multiLevelType w:val="multilevel"/>
    <w:tmpl w:val="1BC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E32776"/>
    <w:multiLevelType w:val="hybridMultilevel"/>
    <w:tmpl w:val="14685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E84DEB"/>
    <w:multiLevelType w:val="hybridMultilevel"/>
    <w:tmpl w:val="EAB246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5792CC6"/>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4B7B0B"/>
    <w:multiLevelType w:val="hybridMultilevel"/>
    <w:tmpl w:val="225A4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46076D"/>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747C57"/>
    <w:multiLevelType w:val="hybridMultilevel"/>
    <w:tmpl w:val="DFC423E2"/>
    <w:lvl w:ilvl="0">
      <w:start w:val="2"/>
      <w:numFmt w:val="lowerLetter"/>
      <w:lvlText w:val="%1."/>
      <w:lvlJc w:val="lef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2FF5E39"/>
    <w:multiLevelType w:val="hybridMultilevel"/>
    <w:tmpl w:val="058294B2"/>
    <w:lvl w:ilvl="0">
      <w:start w:val="1"/>
      <w:numFmt w:val="decimal"/>
      <w:lvlText w:val="%1."/>
      <w:lvlJc w:val="left"/>
      <w:pPr>
        <w:ind w:left="25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45A6B5B"/>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6B0509"/>
    <w:multiLevelType w:val="hybridMultilevel"/>
    <w:tmpl w:val="B3928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89F3EF3"/>
    <w:multiLevelType w:val="hybridMultilevel"/>
    <w:tmpl w:val="69183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C03CE1"/>
    <w:multiLevelType w:val="hybridMultilevel"/>
    <w:tmpl w:val="A426D4D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D82668"/>
    <w:multiLevelType w:val="hybridMultilevel"/>
    <w:tmpl w:val="3238F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8823813">
    <w:abstractNumId w:val="21"/>
  </w:num>
  <w:num w:numId="2" w16cid:durableId="177165387">
    <w:abstractNumId w:val="4"/>
  </w:num>
  <w:num w:numId="3" w16cid:durableId="1947079421">
    <w:abstractNumId w:val="17"/>
  </w:num>
  <w:num w:numId="4" w16cid:durableId="1241672286">
    <w:abstractNumId w:val="19"/>
  </w:num>
  <w:num w:numId="5" w16cid:durableId="4867054">
    <w:abstractNumId w:val="9"/>
  </w:num>
  <w:num w:numId="6" w16cid:durableId="1924144147">
    <w:abstractNumId w:val="26"/>
  </w:num>
  <w:num w:numId="7" w16cid:durableId="667098057">
    <w:abstractNumId w:val="32"/>
  </w:num>
  <w:num w:numId="8" w16cid:durableId="1908226132">
    <w:abstractNumId w:val="12"/>
  </w:num>
  <w:num w:numId="9" w16cid:durableId="583076045">
    <w:abstractNumId w:val="14"/>
  </w:num>
  <w:num w:numId="10" w16cid:durableId="234323827">
    <w:abstractNumId w:val="0"/>
  </w:num>
  <w:num w:numId="11" w16cid:durableId="1793742424">
    <w:abstractNumId w:val="29"/>
  </w:num>
  <w:num w:numId="12" w16cid:durableId="1905095109">
    <w:abstractNumId w:val="10"/>
  </w:num>
  <w:num w:numId="13" w16cid:durableId="1612545415">
    <w:abstractNumId w:val="34"/>
  </w:num>
  <w:num w:numId="14" w16cid:durableId="1687444039">
    <w:abstractNumId w:val="23"/>
  </w:num>
  <w:num w:numId="15" w16cid:durableId="1168210732">
    <w:abstractNumId w:val="27"/>
  </w:num>
  <w:num w:numId="16" w16cid:durableId="1563564403">
    <w:abstractNumId w:val="8"/>
  </w:num>
  <w:num w:numId="17" w16cid:durableId="1029181461">
    <w:abstractNumId w:val="22"/>
  </w:num>
  <w:num w:numId="18" w16cid:durableId="2136942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9193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0532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30318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3480450">
    <w:abstractNumId w:val="12"/>
  </w:num>
  <w:num w:numId="23" w16cid:durableId="605697712">
    <w:abstractNumId w:val="35"/>
  </w:num>
  <w:num w:numId="24" w16cid:durableId="1804233718">
    <w:abstractNumId w:val="20"/>
  </w:num>
  <w:num w:numId="25" w16cid:durableId="993071860">
    <w:abstractNumId w:val="25"/>
  </w:num>
  <w:num w:numId="26" w16cid:durableId="1284964432">
    <w:abstractNumId w:val="36"/>
  </w:num>
  <w:num w:numId="27" w16cid:durableId="33963395">
    <w:abstractNumId w:val="6"/>
  </w:num>
  <w:num w:numId="28" w16cid:durableId="1502156821">
    <w:abstractNumId w:val="16"/>
  </w:num>
  <w:num w:numId="29" w16cid:durableId="52311245">
    <w:abstractNumId w:val="11"/>
  </w:num>
  <w:num w:numId="30" w16cid:durableId="983850290">
    <w:abstractNumId w:val="2"/>
  </w:num>
  <w:num w:numId="31" w16cid:durableId="1115952353">
    <w:abstractNumId w:val="1"/>
  </w:num>
  <w:num w:numId="32" w16cid:durableId="232592893">
    <w:abstractNumId w:val="3"/>
  </w:num>
  <w:num w:numId="33" w16cid:durableId="1247616303">
    <w:abstractNumId w:val="15"/>
  </w:num>
  <w:num w:numId="34" w16cid:durableId="1127503144">
    <w:abstractNumId w:val="28"/>
  </w:num>
  <w:num w:numId="35" w16cid:durableId="2060325375">
    <w:abstractNumId w:val="5"/>
  </w:num>
  <w:num w:numId="36" w16cid:durableId="1363823223">
    <w:abstractNumId w:val="18"/>
  </w:num>
  <w:num w:numId="37" w16cid:durableId="1483811575">
    <w:abstractNumId w:val="24"/>
  </w:num>
  <w:num w:numId="38" w16cid:durableId="118135423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00"/>
    <w:rsid w:val="000013AA"/>
    <w:rsid w:val="000050DC"/>
    <w:rsid w:val="00005F45"/>
    <w:rsid w:val="00007A6C"/>
    <w:rsid w:val="0001092A"/>
    <w:rsid w:val="00012442"/>
    <w:rsid w:val="000157AD"/>
    <w:rsid w:val="000161FA"/>
    <w:rsid w:val="00022EF6"/>
    <w:rsid w:val="000258EB"/>
    <w:rsid w:val="00026817"/>
    <w:rsid w:val="00032906"/>
    <w:rsid w:val="00033A76"/>
    <w:rsid w:val="0003506C"/>
    <w:rsid w:val="00037573"/>
    <w:rsid w:val="0004153D"/>
    <w:rsid w:val="0004329A"/>
    <w:rsid w:val="000467FD"/>
    <w:rsid w:val="00046FDE"/>
    <w:rsid w:val="00052122"/>
    <w:rsid w:val="00053253"/>
    <w:rsid w:val="00053719"/>
    <w:rsid w:val="00054FD0"/>
    <w:rsid w:val="000562C5"/>
    <w:rsid w:val="0005635B"/>
    <w:rsid w:val="00057843"/>
    <w:rsid w:val="0006157C"/>
    <w:rsid w:val="00061B2C"/>
    <w:rsid w:val="00063D2B"/>
    <w:rsid w:val="00064732"/>
    <w:rsid w:val="00065DF6"/>
    <w:rsid w:val="0006635F"/>
    <w:rsid w:val="00070223"/>
    <w:rsid w:val="000744A0"/>
    <w:rsid w:val="000859CE"/>
    <w:rsid w:val="000869E3"/>
    <w:rsid w:val="0009061A"/>
    <w:rsid w:val="000955CD"/>
    <w:rsid w:val="000A507F"/>
    <w:rsid w:val="000A703E"/>
    <w:rsid w:val="000A799F"/>
    <w:rsid w:val="000B00D8"/>
    <w:rsid w:val="000B069B"/>
    <w:rsid w:val="000B1EA0"/>
    <w:rsid w:val="000B2D48"/>
    <w:rsid w:val="000B3E71"/>
    <w:rsid w:val="000B4D1E"/>
    <w:rsid w:val="000B4D41"/>
    <w:rsid w:val="000B6374"/>
    <w:rsid w:val="000B658E"/>
    <w:rsid w:val="000C4187"/>
    <w:rsid w:val="000C58FE"/>
    <w:rsid w:val="000C5B23"/>
    <w:rsid w:val="000D2BC0"/>
    <w:rsid w:val="000D34D4"/>
    <w:rsid w:val="000D3659"/>
    <w:rsid w:val="000D7035"/>
    <w:rsid w:val="000E0556"/>
    <w:rsid w:val="000E0F3C"/>
    <w:rsid w:val="000E3820"/>
    <w:rsid w:val="000E5A09"/>
    <w:rsid w:val="000E610F"/>
    <w:rsid w:val="000E66A9"/>
    <w:rsid w:val="000E6ADA"/>
    <w:rsid w:val="000F343E"/>
    <w:rsid w:val="000F40CC"/>
    <w:rsid w:val="000F4BFA"/>
    <w:rsid w:val="000F59BB"/>
    <w:rsid w:val="000F66D6"/>
    <w:rsid w:val="00101C26"/>
    <w:rsid w:val="0010283C"/>
    <w:rsid w:val="0010430B"/>
    <w:rsid w:val="001063A0"/>
    <w:rsid w:val="001118EF"/>
    <w:rsid w:val="00114E32"/>
    <w:rsid w:val="00115609"/>
    <w:rsid w:val="001161B1"/>
    <w:rsid w:val="00117615"/>
    <w:rsid w:val="001204BC"/>
    <w:rsid w:val="001215C6"/>
    <w:rsid w:val="001216C5"/>
    <w:rsid w:val="00124F1A"/>
    <w:rsid w:val="0012652E"/>
    <w:rsid w:val="00130E8A"/>
    <w:rsid w:val="00135732"/>
    <w:rsid w:val="00142F2B"/>
    <w:rsid w:val="00143684"/>
    <w:rsid w:val="001449DE"/>
    <w:rsid w:val="00146196"/>
    <w:rsid w:val="00151283"/>
    <w:rsid w:val="001515FB"/>
    <w:rsid w:val="00156508"/>
    <w:rsid w:val="00160E6E"/>
    <w:rsid w:val="00162458"/>
    <w:rsid w:val="00166D31"/>
    <w:rsid w:val="0017469B"/>
    <w:rsid w:val="00180BA7"/>
    <w:rsid w:val="00180BD9"/>
    <w:rsid w:val="00181B78"/>
    <w:rsid w:val="00182A6F"/>
    <w:rsid w:val="00182CB8"/>
    <w:rsid w:val="001839DA"/>
    <w:rsid w:val="001872EC"/>
    <w:rsid w:val="00191597"/>
    <w:rsid w:val="00192A06"/>
    <w:rsid w:val="00196AE3"/>
    <w:rsid w:val="001A2372"/>
    <w:rsid w:val="001A355C"/>
    <w:rsid w:val="001A5ACC"/>
    <w:rsid w:val="001A6955"/>
    <w:rsid w:val="001A7855"/>
    <w:rsid w:val="001A7DF5"/>
    <w:rsid w:val="001B3F32"/>
    <w:rsid w:val="001B6A59"/>
    <w:rsid w:val="001B6C43"/>
    <w:rsid w:val="001B7BB8"/>
    <w:rsid w:val="001C0BEE"/>
    <w:rsid w:val="001C265E"/>
    <w:rsid w:val="001C3990"/>
    <w:rsid w:val="001C426C"/>
    <w:rsid w:val="001C484D"/>
    <w:rsid w:val="001C4F65"/>
    <w:rsid w:val="001C6648"/>
    <w:rsid w:val="001C7084"/>
    <w:rsid w:val="001D0E5E"/>
    <w:rsid w:val="001D17B5"/>
    <w:rsid w:val="001D5CEF"/>
    <w:rsid w:val="001D78F1"/>
    <w:rsid w:val="001E0BF5"/>
    <w:rsid w:val="001E1ED2"/>
    <w:rsid w:val="001E27AD"/>
    <w:rsid w:val="001E2850"/>
    <w:rsid w:val="001E2950"/>
    <w:rsid w:val="001E2F55"/>
    <w:rsid w:val="001F3A20"/>
    <w:rsid w:val="001F5049"/>
    <w:rsid w:val="001F5D76"/>
    <w:rsid w:val="001F7589"/>
    <w:rsid w:val="00203445"/>
    <w:rsid w:val="00205123"/>
    <w:rsid w:val="00207701"/>
    <w:rsid w:val="0021102C"/>
    <w:rsid w:val="00211EF4"/>
    <w:rsid w:val="00215394"/>
    <w:rsid w:val="0021604E"/>
    <w:rsid w:val="002204E2"/>
    <w:rsid w:val="00221D4E"/>
    <w:rsid w:val="002229CC"/>
    <w:rsid w:val="002233E5"/>
    <w:rsid w:val="00227EC8"/>
    <w:rsid w:val="00235487"/>
    <w:rsid w:val="002364C1"/>
    <w:rsid w:val="00236FCA"/>
    <w:rsid w:val="00237728"/>
    <w:rsid w:val="00240CF8"/>
    <w:rsid w:val="002452E2"/>
    <w:rsid w:val="00247734"/>
    <w:rsid w:val="002500F9"/>
    <w:rsid w:val="0025179E"/>
    <w:rsid w:val="00251C85"/>
    <w:rsid w:val="0025788C"/>
    <w:rsid w:val="00257B30"/>
    <w:rsid w:val="00262CB0"/>
    <w:rsid w:val="00267119"/>
    <w:rsid w:val="00267C84"/>
    <w:rsid w:val="0027008C"/>
    <w:rsid w:val="00272493"/>
    <w:rsid w:val="002801DE"/>
    <w:rsid w:val="00280770"/>
    <w:rsid w:val="002819FA"/>
    <w:rsid w:val="00284377"/>
    <w:rsid w:val="00286248"/>
    <w:rsid w:val="00286623"/>
    <w:rsid w:val="00287295"/>
    <w:rsid w:val="002919FC"/>
    <w:rsid w:val="002968F0"/>
    <w:rsid w:val="002A00DE"/>
    <w:rsid w:val="002A1E6A"/>
    <w:rsid w:val="002A24AE"/>
    <w:rsid w:val="002A54C9"/>
    <w:rsid w:val="002B1490"/>
    <w:rsid w:val="002B72A5"/>
    <w:rsid w:val="002B794E"/>
    <w:rsid w:val="002C106B"/>
    <w:rsid w:val="002C377D"/>
    <w:rsid w:val="002C614F"/>
    <w:rsid w:val="002C7CBF"/>
    <w:rsid w:val="002D0FF0"/>
    <w:rsid w:val="002D14EF"/>
    <w:rsid w:val="002D2963"/>
    <w:rsid w:val="002D4AD5"/>
    <w:rsid w:val="002D741B"/>
    <w:rsid w:val="002E450A"/>
    <w:rsid w:val="002E5739"/>
    <w:rsid w:val="002E6A61"/>
    <w:rsid w:val="002F300E"/>
    <w:rsid w:val="003003EC"/>
    <w:rsid w:val="003005B4"/>
    <w:rsid w:val="00303F56"/>
    <w:rsid w:val="003153F7"/>
    <w:rsid w:val="00316D6E"/>
    <w:rsid w:val="00317484"/>
    <w:rsid w:val="00320646"/>
    <w:rsid w:val="00321E02"/>
    <w:rsid w:val="00324D18"/>
    <w:rsid w:val="00324D7D"/>
    <w:rsid w:val="00325D74"/>
    <w:rsid w:val="00325E5C"/>
    <w:rsid w:val="0032799B"/>
    <w:rsid w:val="00330B96"/>
    <w:rsid w:val="00334920"/>
    <w:rsid w:val="00336183"/>
    <w:rsid w:val="003361D1"/>
    <w:rsid w:val="003362BE"/>
    <w:rsid w:val="00336A50"/>
    <w:rsid w:val="003410D9"/>
    <w:rsid w:val="0034286A"/>
    <w:rsid w:val="003441B6"/>
    <w:rsid w:val="003501DB"/>
    <w:rsid w:val="00353023"/>
    <w:rsid w:val="00354648"/>
    <w:rsid w:val="00354744"/>
    <w:rsid w:val="00354A02"/>
    <w:rsid w:val="00356F10"/>
    <w:rsid w:val="00360F12"/>
    <w:rsid w:val="00361339"/>
    <w:rsid w:val="0036171A"/>
    <w:rsid w:val="00361DE3"/>
    <w:rsid w:val="00362E78"/>
    <w:rsid w:val="003640BA"/>
    <w:rsid w:val="00365878"/>
    <w:rsid w:val="00367DCB"/>
    <w:rsid w:val="00372AF8"/>
    <w:rsid w:val="00372B42"/>
    <w:rsid w:val="00375A4F"/>
    <w:rsid w:val="003766A5"/>
    <w:rsid w:val="00376884"/>
    <w:rsid w:val="003802EC"/>
    <w:rsid w:val="0038168D"/>
    <w:rsid w:val="00381CE3"/>
    <w:rsid w:val="00382C52"/>
    <w:rsid w:val="00393F85"/>
    <w:rsid w:val="003A0760"/>
    <w:rsid w:val="003A704A"/>
    <w:rsid w:val="003B4B9F"/>
    <w:rsid w:val="003B5772"/>
    <w:rsid w:val="003B74AF"/>
    <w:rsid w:val="003C05A0"/>
    <w:rsid w:val="003C1A03"/>
    <w:rsid w:val="003C4A42"/>
    <w:rsid w:val="003C58D8"/>
    <w:rsid w:val="003D0119"/>
    <w:rsid w:val="003D15C8"/>
    <w:rsid w:val="003D2A49"/>
    <w:rsid w:val="003D2E9F"/>
    <w:rsid w:val="003D30D1"/>
    <w:rsid w:val="003D74AE"/>
    <w:rsid w:val="003E22A3"/>
    <w:rsid w:val="003E22F0"/>
    <w:rsid w:val="003E2B02"/>
    <w:rsid w:val="003E45D8"/>
    <w:rsid w:val="003E5F1C"/>
    <w:rsid w:val="003F0C70"/>
    <w:rsid w:val="003F2C68"/>
    <w:rsid w:val="004000D7"/>
    <w:rsid w:val="0040552B"/>
    <w:rsid w:val="004078BF"/>
    <w:rsid w:val="004078E9"/>
    <w:rsid w:val="004100E8"/>
    <w:rsid w:val="00410801"/>
    <w:rsid w:val="004175E1"/>
    <w:rsid w:val="00425F5B"/>
    <w:rsid w:val="00426636"/>
    <w:rsid w:val="00430EC0"/>
    <w:rsid w:val="00435DF1"/>
    <w:rsid w:val="00440E6F"/>
    <w:rsid w:val="004421BB"/>
    <w:rsid w:val="00443213"/>
    <w:rsid w:val="00444135"/>
    <w:rsid w:val="00446BA6"/>
    <w:rsid w:val="004501F8"/>
    <w:rsid w:val="00450950"/>
    <w:rsid w:val="00450E86"/>
    <w:rsid w:val="00451D27"/>
    <w:rsid w:val="00457A9D"/>
    <w:rsid w:val="00463468"/>
    <w:rsid w:val="00463DCC"/>
    <w:rsid w:val="004656EB"/>
    <w:rsid w:val="004667B4"/>
    <w:rsid w:val="00470DE7"/>
    <w:rsid w:val="00470ED6"/>
    <w:rsid w:val="00471F46"/>
    <w:rsid w:val="004739CB"/>
    <w:rsid w:val="004754BA"/>
    <w:rsid w:val="0047667C"/>
    <w:rsid w:val="00476770"/>
    <w:rsid w:val="004820B7"/>
    <w:rsid w:val="00483B31"/>
    <w:rsid w:val="00484F16"/>
    <w:rsid w:val="00485DDE"/>
    <w:rsid w:val="004867E6"/>
    <w:rsid w:val="00496988"/>
    <w:rsid w:val="004A33A7"/>
    <w:rsid w:val="004A4369"/>
    <w:rsid w:val="004A6E78"/>
    <w:rsid w:val="004B46B4"/>
    <w:rsid w:val="004B64E9"/>
    <w:rsid w:val="004B708A"/>
    <w:rsid w:val="004C1ED3"/>
    <w:rsid w:val="004C446D"/>
    <w:rsid w:val="004C4FFF"/>
    <w:rsid w:val="004C6359"/>
    <w:rsid w:val="004D123C"/>
    <w:rsid w:val="004D71AC"/>
    <w:rsid w:val="004D739C"/>
    <w:rsid w:val="004E1B0E"/>
    <w:rsid w:val="004E67E2"/>
    <w:rsid w:val="004F06EE"/>
    <w:rsid w:val="004F2205"/>
    <w:rsid w:val="00500889"/>
    <w:rsid w:val="00500A3E"/>
    <w:rsid w:val="005077E6"/>
    <w:rsid w:val="00510DE2"/>
    <w:rsid w:val="0051419E"/>
    <w:rsid w:val="00514F96"/>
    <w:rsid w:val="00514FE0"/>
    <w:rsid w:val="00515213"/>
    <w:rsid w:val="00515F94"/>
    <w:rsid w:val="00516A07"/>
    <w:rsid w:val="0051712C"/>
    <w:rsid w:val="005204AF"/>
    <w:rsid w:val="00524A85"/>
    <w:rsid w:val="00524B15"/>
    <w:rsid w:val="00525EF0"/>
    <w:rsid w:val="00526818"/>
    <w:rsid w:val="005304B1"/>
    <w:rsid w:val="00531090"/>
    <w:rsid w:val="005326B6"/>
    <w:rsid w:val="00536CC1"/>
    <w:rsid w:val="005370AE"/>
    <w:rsid w:val="0053744D"/>
    <w:rsid w:val="005400F3"/>
    <w:rsid w:val="0054463D"/>
    <w:rsid w:val="00544D33"/>
    <w:rsid w:val="005469C1"/>
    <w:rsid w:val="005509EF"/>
    <w:rsid w:val="005525FC"/>
    <w:rsid w:val="00552697"/>
    <w:rsid w:val="00553392"/>
    <w:rsid w:val="00554212"/>
    <w:rsid w:val="00555045"/>
    <w:rsid w:val="00555337"/>
    <w:rsid w:val="005573C8"/>
    <w:rsid w:val="00564974"/>
    <w:rsid w:val="00576A97"/>
    <w:rsid w:val="00577D68"/>
    <w:rsid w:val="00580606"/>
    <w:rsid w:val="00581D8D"/>
    <w:rsid w:val="00581EA9"/>
    <w:rsid w:val="005846B4"/>
    <w:rsid w:val="00585A26"/>
    <w:rsid w:val="00591B23"/>
    <w:rsid w:val="00593D8D"/>
    <w:rsid w:val="00593FFF"/>
    <w:rsid w:val="00595985"/>
    <w:rsid w:val="00596A73"/>
    <w:rsid w:val="005978EF"/>
    <w:rsid w:val="005A0ABF"/>
    <w:rsid w:val="005A3862"/>
    <w:rsid w:val="005A4A00"/>
    <w:rsid w:val="005A7263"/>
    <w:rsid w:val="005B04A2"/>
    <w:rsid w:val="005B22E0"/>
    <w:rsid w:val="005B4F5B"/>
    <w:rsid w:val="005B6398"/>
    <w:rsid w:val="005B65D1"/>
    <w:rsid w:val="005C0A02"/>
    <w:rsid w:val="005C1B8E"/>
    <w:rsid w:val="005C2170"/>
    <w:rsid w:val="005C402B"/>
    <w:rsid w:val="005C6E0C"/>
    <w:rsid w:val="005D1131"/>
    <w:rsid w:val="005D4A6B"/>
    <w:rsid w:val="005E32D3"/>
    <w:rsid w:val="005F25D1"/>
    <w:rsid w:val="005F2A15"/>
    <w:rsid w:val="005F31D2"/>
    <w:rsid w:val="005F36D8"/>
    <w:rsid w:val="005F59B7"/>
    <w:rsid w:val="005F6387"/>
    <w:rsid w:val="006011E6"/>
    <w:rsid w:val="00604424"/>
    <w:rsid w:val="00610C34"/>
    <w:rsid w:val="0061553D"/>
    <w:rsid w:val="006164FA"/>
    <w:rsid w:val="00624704"/>
    <w:rsid w:val="0062FFDF"/>
    <w:rsid w:val="00647236"/>
    <w:rsid w:val="00647340"/>
    <w:rsid w:val="006525A1"/>
    <w:rsid w:val="006537E0"/>
    <w:rsid w:val="00654A00"/>
    <w:rsid w:val="00656DD3"/>
    <w:rsid w:val="00660681"/>
    <w:rsid w:val="006606CD"/>
    <w:rsid w:val="0067073A"/>
    <w:rsid w:val="006735F7"/>
    <w:rsid w:val="00673A73"/>
    <w:rsid w:val="00677E31"/>
    <w:rsid w:val="006803C1"/>
    <w:rsid w:val="006814E8"/>
    <w:rsid w:val="00681531"/>
    <w:rsid w:val="0068210F"/>
    <w:rsid w:val="00682516"/>
    <w:rsid w:val="00686794"/>
    <w:rsid w:val="00691286"/>
    <w:rsid w:val="0069194F"/>
    <w:rsid w:val="006A0F6F"/>
    <w:rsid w:val="006A11C8"/>
    <w:rsid w:val="006A1A9A"/>
    <w:rsid w:val="006A363A"/>
    <w:rsid w:val="006A4B05"/>
    <w:rsid w:val="006A4F24"/>
    <w:rsid w:val="006A520A"/>
    <w:rsid w:val="006B0920"/>
    <w:rsid w:val="006B0CEB"/>
    <w:rsid w:val="006B41C6"/>
    <w:rsid w:val="006B46D8"/>
    <w:rsid w:val="006B6C3F"/>
    <w:rsid w:val="006C02EE"/>
    <w:rsid w:val="006C23D5"/>
    <w:rsid w:val="006C768C"/>
    <w:rsid w:val="006D2CB3"/>
    <w:rsid w:val="006E0F8D"/>
    <w:rsid w:val="006E18E5"/>
    <w:rsid w:val="006E1CC5"/>
    <w:rsid w:val="006E32DE"/>
    <w:rsid w:val="006E396C"/>
    <w:rsid w:val="006E5B79"/>
    <w:rsid w:val="006F1C59"/>
    <w:rsid w:val="006F5AEF"/>
    <w:rsid w:val="006F61E0"/>
    <w:rsid w:val="006F641E"/>
    <w:rsid w:val="00705E94"/>
    <w:rsid w:val="00715B5E"/>
    <w:rsid w:val="00717775"/>
    <w:rsid w:val="00717906"/>
    <w:rsid w:val="00720C3D"/>
    <w:rsid w:val="00720D7B"/>
    <w:rsid w:val="00724C0F"/>
    <w:rsid w:val="00724FF7"/>
    <w:rsid w:val="0072600E"/>
    <w:rsid w:val="00730336"/>
    <w:rsid w:val="00731BEF"/>
    <w:rsid w:val="00735276"/>
    <w:rsid w:val="00742D83"/>
    <w:rsid w:val="00743998"/>
    <w:rsid w:val="00743D19"/>
    <w:rsid w:val="00746A66"/>
    <w:rsid w:val="00750CB2"/>
    <w:rsid w:val="007555F0"/>
    <w:rsid w:val="007603A0"/>
    <w:rsid w:val="00763FC7"/>
    <w:rsid w:val="0076577C"/>
    <w:rsid w:val="00770098"/>
    <w:rsid w:val="0077038B"/>
    <w:rsid w:val="00774007"/>
    <w:rsid w:val="007756B4"/>
    <w:rsid w:val="00786831"/>
    <w:rsid w:val="0078689B"/>
    <w:rsid w:val="00787FB7"/>
    <w:rsid w:val="007933F0"/>
    <w:rsid w:val="0079580C"/>
    <w:rsid w:val="00795FF6"/>
    <w:rsid w:val="00797F92"/>
    <w:rsid w:val="007A0CFD"/>
    <w:rsid w:val="007A5753"/>
    <w:rsid w:val="007B01AC"/>
    <w:rsid w:val="007B092A"/>
    <w:rsid w:val="007B0C1F"/>
    <w:rsid w:val="007B1298"/>
    <w:rsid w:val="007B371D"/>
    <w:rsid w:val="007B492B"/>
    <w:rsid w:val="007C3052"/>
    <w:rsid w:val="007C53F1"/>
    <w:rsid w:val="007C5A2F"/>
    <w:rsid w:val="007D03D3"/>
    <w:rsid w:val="007D2213"/>
    <w:rsid w:val="007D3AFF"/>
    <w:rsid w:val="007D5819"/>
    <w:rsid w:val="007D660A"/>
    <w:rsid w:val="007E0A8B"/>
    <w:rsid w:val="007E3ABB"/>
    <w:rsid w:val="007E46CC"/>
    <w:rsid w:val="007E4CFF"/>
    <w:rsid w:val="007E5D1F"/>
    <w:rsid w:val="007E6539"/>
    <w:rsid w:val="007F5033"/>
    <w:rsid w:val="007F7CBD"/>
    <w:rsid w:val="00800C7B"/>
    <w:rsid w:val="00800CC1"/>
    <w:rsid w:val="008018D3"/>
    <w:rsid w:val="008019DD"/>
    <w:rsid w:val="00806516"/>
    <w:rsid w:val="0080672F"/>
    <w:rsid w:val="008068CE"/>
    <w:rsid w:val="0080738B"/>
    <w:rsid w:val="00810E88"/>
    <w:rsid w:val="00810FDD"/>
    <w:rsid w:val="008143A3"/>
    <w:rsid w:val="00822A67"/>
    <w:rsid w:val="00822B08"/>
    <w:rsid w:val="00831065"/>
    <w:rsid w:val="00831AD1"/>
    <w:rsid w:val="00832F16"/>
    <w:rsid w:val="0083301F"/>
    <w:rsid w:val="00841190"/>
    <w:rsid w:val="00841367"/>
    <w:rsid w:val="00845DD6"/>
    <w:rsid w:val="00847FBD"/>
    <w:rsid w:val="00851655"/>
    <w:rsid w:val="00856E58"/>
    <w:rsid w:val="00860CB0"/>
    <w:rsid w:val="0086114F"/>
    <w:rsid w:val="00863439"/>
    <w:rsid w:val="00864AF5"/>
    <w:rsid w:val="00865A93"/>
    <w:rsid w:val="00866D50"/>
    <w:rsid w:val="0086713B"/>
    <w:rsid w:val="00871014"/>
    <w:rsid w:val="00872008"/>
    <w:rsid w:val="00876838"/>
    <w:rsid w:val="00876890"/>
    <w:rsid w:val="00881A15"/>
    <w:rsid w:val="00885AD5"/>
    <w:rsid w:val="00885FBA"/>
    <w:rsid w:val="00890119"/>
    <w:rsid w:val="008909F8"/>
    <w:rsid w:val="00891279"/>
    <w:rsid w:val="0089175E"/>
    <w:rsid w:val="00894C86"/>
    <w:rsid w:val="008952D6"/>
    <w:rsid w:val="00895356"/>
    <w:rsid w:val="008A222D"/>
    <w:rsid w:val="008A4424"/>
    <w:rsid w:val="008A640C"/>
    <w:rsid w:val="008A6E97"/>
    <w:rsid w:val="008B2DF1"/>
    <w:rsid w:val="008B512E"/>
    <w:rsid w:val="008B5DF4"/>
    <w:rsid w:val="008B7F2C"/>
    <w:rsid w:val="008C0214"/>
    <w:rsid w:val="008C071A"/>
    <w:rsid w:val="008C20AD"/>
    <w:rsid w:val="008C20B9"/>
    <w:rsid w:val="008C480E"/>
    <w:rsid w:val="008C72A9"/>
    <w:rsid w:val="008D480E"/>
    <w:rsid w:val="008D641B"/>
    <w:rsid w:val="008D6BE7"/>
    <w:rsid w:val="008D7D11"/>
    <w:rsid w:val="008E31FC"/>
    <w:rsid w:val="008F045F"/>
    <w:rsid w:val="008F528D"/>
    <w:rsid w:val="008F57EC"/>
    <w:rsid w:val="008F7B2D"/>
    <w:rsid w:val="00900A08"/>
    <w:rsid w:val="00902E9D"/>
    <w:rsid w:val="00906042"/>
    <w:rsid w:val="00907398"/>
    <w:rsid w:val="00911B2D"/>
    <w:rsid w:val="0091326A"/>
    <w:rsid w:val="00916672"/>
    <w:rsid w:val="00917ED6"/>
    <w:rsid w:val="00920965"/>
    <w:rsid w:val="00925E6F"/>
    <w:rsid w:val="009328DF"/>
    <w:rsid w:val="00932B55"/>
    <w:rsid w:val="00933758"/>
    <w:rsid w:val="0093465D"/>
    <w:rsid w:val="0093695C"/>
    <w:rsid w:val="009369B1"/>
    <w:rsid w:val="00937C82"/>
    <w:rsid w:val="009427E7"/>
    <w:rsid w:val="00942BCF"/>
    <w:rsid w:val="00945B50"/>
    <w:rsid w:val="00950D6A"/>
    <w:rsid w:val="00954DB7"/>
    <w:rsid w:val="00954E61"/>
    <w:rsid w:val="00956D70"/>
    <w:rsid w:val="00957655"/>
    <w:rsid w:val="009637E8"/>
    <w:rsid w:val="00966C28"/>
    <w:rsid w:val="00970318"/>
    <w:rsid w:val="0097394B"/>
    <w:rsid w:val="0097557E"/>
    <w:rsid w:val="009758EC"/>
    <w:rsid w:val="00975CE0"/>
    <w:rsid w:val="00976492"/>
    <w:rsid w:val="00977E3E"/>
    <w:rsid w:val="00980FA1"/>
    <w:rsid w:val="00982E9C"/>
    <w:rsid w:val="00983152"/>
    <w:rsid w:val="009845D8"/>
    <w:rsid w:val="00994C04"/>
    <w:rsid w:val="00997334"/>
    <w:rsid w:val="0099795D"/>
    <w:rsid w:val="009A09BA"/>
    <w:rsid w:val="009A449F"/>
    <w:rsid w:val="009A4DE5"/>
    <w:rsid w:val="009B00D5"/>
    <w:rsid w:val="009B32DC"/>
    <w:rsid w:val="009B3CCB"/>
    <w:rsid w:val="009B4883"/>
    <w:rsid w:val="009B6BD0"/>
    <w:rsid w:val="009B7A9C"/>
    <w:rsid w:val="009C01E2"/>
    <w:rsid w:val="009C2CB6"/>
    <w:rsid w:val="009C5981"/>
    <w:rsid w:val="009D2B7E"/>
    <w:rsid w:val="009D2EF8"/>
    <w:rsid w:val="009D5E0C"/>
    <w:rsid w:val="009D7A9F"/>
    <w:rsid w:val="009E3332"/>
    <w:rsid w:val="009E5E3E"/>
    <w:rsid w:val="009F5E27"/>
    <w:rsid w:val="009F6BE1"/>
    <w:rsid w:val="00A00BF1"/>
    <w:rsid w:val="00A016C6"/>
    <w:rsid w:val="00A01715"/>
    <w:rsid w:val="00A01B73"/>
    <w:rsid w:val="00A01F03"/>
    <w:rsid w:val="00A02104"/>
    <w:rsid w:val="00A103DD"/>
    <w:rsid w:val="00A13D90"/>
    <w:rsid w:val="00A202C7"/>
    <w:rsid w:val="00A22D9C"/>
    <w:rsid w:val="00A26E17"/>
    <w:rsid w:val="00A30B8F"/>
    <w:rsid w:val="00A33383"/>
    <w:rsid w:val="00A33997"/>
    <w:rsid w:val="00A33A3A"/>
    <w:rsid w:val="00A44B3A"/>
    <w:rsid w:val="00A501F1"/>
    <w:rsid w:val="00A5134A"/>
    <w:rsid w:val="00A51896"/>
    <w:rsid w:val="00A60A4E"/>
    <w:rsid w:val="00A619E3"/>
    <w:rsid w:val="00A6258C"/>
    <w:rsid w:val="00A63351"/>
    <w:rsid w:val="00A63615"/>
    <w:rsid w:val="00A63CFF"/>
    <w:rsid w:val="00A6741A"/>
    <w:rsid w:val="00A674D9"/>
    <w:rsid w:val="00A67D03"/>
    <w:rsid w:val="00A7063B"/>
    <w:rsid w:val="00A70B33"/>
    <w:rsid w:val="00A712C3"/>
    <w:rsid w:val="00A74641"/>
    <w:rsid w:val="00A74F20"/>
    <w:rsid w:val="00A75D70"/>
    <w:rsid w:val="00A87535"/>
    <w:rsid w:val="00A90181"/>
    <w:rsid w:val="00A93688"/>
    <w:rsid w:val="00AA3AA9"/>
    <w:rsid w:val="00AA7A8B"/>
    <w:rsid w:val="00AB2570"/>
    <w:rsid w:val="00AB5556"/>
    <w:rsid w:val="00AB5730"/>
    <w:rsid w:val="00AC2632"/>
    <w:rsid w:val="00AC3E29"/>
    <w:rsid w:val="00AC3E51"/>
    <w:rsid w:val="00AC48D0"/>
    <w:rsid w:val="00AC521B"/>
    <w:rsid w:val="00AC5C84"/>
    <w:rsid w:val="00AD09DB"/>
    <w:rsid w:val="00AD0D99"/>
    <w:rsid w:val="00AD1CE7"/>
    <w:rsid w:val="00AD48CE"/>
    <w:rsid w:val="00AD7933"/>
    <w:rsid w:val="00AD7A0B"/>
    <w:rsid w:val="00AE0DC1"/>
    <w:rsid w:val="00AE7B99"/>
    <w:rsid w:val="00AF4D38"/>
    <w:rsid w:val="00AF50D5"/>
    <w:rsid w:val="00AF5490"/>
    <w:rsid w:val="00AF74B6"/>
    <w:rsid w:val="00B01A81"/>
    <w:rsid w:val="00B02E56"/>
    <w:rsid w:val="00B048F0"/>
    <w:rsid w:val="00B05D83"/>
    <w:rsid w:val="00B06FBE"/>
    <w:rsid w:val="00B13794"/>
    <w:rsid w:val="00B13A0E"/>
    <w:rsid w:val="00B14A8A"/>
    <w:rsid w:val="00B16C58"/>
    <w:rsid w:val="00B16D43"/>
    <w:rsid w:val="00B16FC3"/>
    <w:rsid w:val="00B2047E"/>
    <w:rsid w:val="00B227F1"/>
    <w:rsid w:val="00B22AA3"/>
    <w:rsid w:val="00B25401"/>
    <w:rsid w:val="00B25F1F"/>
    <w:rsid w:val="00B27069"/>
    <w:rsid w:val="00B31A26"/>
    <w:rsid w:val="00B3293F"/>
    <w:rsid w:val="00B329E7"/>
    <w:rsid w:val="00B34241"/>
    <w:rsid w:val="00B37CD1"/>
    <w:rsid w:val="00B41228"/>
    <w:rsid w:val="00B4235D"/>
    <w:rsid w:val="00B467C7"/>
    <w:rsid w:val="00B55F17"/>
    <w:rsid w:val="00B61134"/>
    <w:rsid w:val="00B747CA"/>
    <w:rsid w:val="00B74B6F"/>
    <w:rsid w:val="00B7594B"/>
    <w:rsid w:val="00B809A0"/>
    <w:rsid w:val="00B810A7"/>
    <w:rsid w:val="00B81B95"/>
    <w:rsid w:val="00B84B3A"/>
    <w:rsid w:val="00B86387"/>
    <w:rsid w:val="00B910D9"/>
    <w:rsid w:val="00B91833"/>
    <w:rsid w:val="00B9448F"/>
    <w:rsid w:val="00B94D60"/>
    <w:rsid w:val="00B9537C"/>
    <w:rsid w:val="00B96572"/>
    <w:rsid w:val="00B96EB2"/>
    <w:rsid w:val="00B9777C"/>
    <w:rsid w:val="00BA0960"/>
    <w:rsid w:val="00BA3340"/>
    <w:rsid w:val="00BA799C"/>
    <w:rsid w:val="00BB742C"/>
    <w:rsid w:val="00BB7437"/>
    <w:rsid w:val="00BC0DEA"/>
    <w:rsid w:val="00BC41EA"/>
    <w:rsid w:val="00BC50A9"/>
    <w:rsid w:val="00BD14A7"/>
    <w:rsid w:val="00BE0EBC"/>
    <w:rsid w:val="00BE174B"/>
    <w:rsid w:val="00BE3F25"/>
    <w:rsid w:val="00BE42BD"/>
    <w:rsid w:val="00BF0412"/>
    <w:rsid w:val="00BF0C69"/>
    <w:rsid w:val="00BF0DFE"/>
    <w:rsid w:val="00BF0F31"/>
    <w:rsid w:val="00BF2D6B"/>
    <w:rsid w:val="00BF3CDD"/>
    <w:rsid w:val="00BF4651"/>
    <w:rsid w:val="00BF4A9E"/>
    <w:rsid w:val="00C010E0"/>
    <w:rsid w:val="00C026B8"/>
    <w:rsid w:val="00C0475A"/>
    <w:rsid w:val="00C05E7E"/>
    <w:rsid w:val="00C07ABE"/>
    <w:rsid w:val="00C1087C"/>
    <w:rsid w:val="00C13467"/>
    <w:rsid w:val="00C221CA"/>
    <w:rsid w:val="00C23A34"/>
    <w:rsid w:val="00C23FF0"/>
    <w:rsid w:val="00C2571B"/>
    <w:rsid w:val="00C276E5"/>
    <w:rsid w:val="00C30107"/>
    <w:rsid w:val="00C305FA"/>
    <w:rsid w:val="00C323CA"/>
    <w:rsid w:val="00C33D4F"/>
    <w:rsid w:val="00C35539"/>
    <w:rsid w:val="00C36EA8"/>
    <w:rsid w:val="00C4017D"/>
    <w:rsid w:val="00C4055F"/>
    <w:rsid w:val="00C42094"/>
    <w:rsid w:val="00C42FF7"/>
    <w:rsid w:val="00C45143"/>
    <w:rsid w:val="00C4676F"/>
    <w:rsid w:val="00C5036D"/>
    <w:rsid w:val="00C53A52"/>
    <w:rsid w:val="00C553F0"/>
    <w:rsid w:val="00C57C3D"/>
    <w:rsid w:val="00C604A8"/>
    <w:rsid w:val="00C606E0"/>
    <w:rsid w:val="00C60F77"/>
    <w:rsid w:val="00C6127D"/>
    <w:rsid w:val="00C625A1"/>
    <w:rsid w:val="00C70B0B"/>
    <w:rsid w:val="00C74897"/>
    <w:rsid w:val="00C84489"/>
    <w:rsid w:val="00C8597F"/>
    <w:rsid w:val="00C87911"/>
    <w:rsid w:val="00C9061F"/>
    <w:rsid w:val="00C95D22"/>
    <w:rsid w:val="00C96901"/>
    <w:rsid w:val="00C972CF"/>
    <w:rsid w:val="00C97B96"/>
    <w:rsid w:val="00CA074D"/>
    <w:rsid w:val="00CA192F"/>
    <w:rsid w:val="00CA1F32"/>
    <w:rsid w:val="00CA4651"/>
    <w:rsid w:val="00CB3B8E"/>
    <w:rsid w:val="00CB6BE5"/>
    <w:rsid w:val="00CB7653"/>
    <w:rsid w:val="00CB7C8D"/>
    <w:rsid w:val="00CC01D2"/>
    <w:rsid w:val="00CC0FCD"/>
    <w:rsid w:val="00CC6840"/>
    <w:rsid w:val="00CD2149"/>
    <w:rsid w:val="00CD23EF"/>
    <w:rsid w:val="00CD47D0"/>
    <w:rsid w:val="00CD60E1"/>
    <w:rsid w:val="00CE2F19"/>
    <w:rsid w:val="00CE38E8"/>
    <w:rsid w:val="00CE651B"/>
    <w:rsid w:val="00CF35DF"/>
    <w:rsid w:val="00CF4072"/>
    <w:rsid w:val="00CF56A8"/>
    <w:rsid w:val="00D03597"/>
    <w:rsid w:val="00D04DA8"/>
    <w:rsid w:val="00D07DB5"/>
    <w:rsid w:val="00D104BF"/>
    <w:rsid w:val="00D107E2"/>
    <w:rsid w:val="00D108FE"/>
    <w:rsid w:val="00D11015"/>
    <w:rsid w:val="00D164BA"/>
    <w:rsid w:val="00D1686A"/>
    <w:rsid w:val="00D226D3"/>
    <w:rsid w:val="00D2305E"/>
    <w:rsid w:val="00D23F63"/>
    <w:rsid w:val="00D241ED"/>
    <w:rsid w:val="00D2684D"/>
    <w:rsid w:val="00D345DF"/>
    <w:rsid w:val="00D3704B"/>
    <w:rsid w:val="00D37A5A"/>
    <w:rsid w:val="00D4139E"/>
    <w:rsid w:val="00D4192C"/>
    <w:rsid w:val="00D4265F"/>
    <w:rsid w:val="00D4343B"/>
    <w:rsid w:val="00D4580A"/>
    <w:rsid w:val="00D46A68"/>
    <w:rsid w:val="00D50669"/>
    <w:rsid w:val="00D50A46"/>
    <w:rsid w:val="00D5135C"/>
    <w:rsid w:val="00D51767"/>
    <w:rsid w:val="00D51863"/>
    <w:rsid w:val="00D54610"/>
    <w:rsid w:val="00D548D9"/>
    <w:rsid w:val="00D56069"/>
    <w:rsid w:val="00D574E9"/>
    <w:rsid w:val="00D575F2"/>
    <w:rsid w:val="00D6076D"/>
    <w:rsid w:val="00D624DB"/>
    <w:rsid w:val="00D66BC0"/>
    <w:rsid w:val="00D6752F"/>
    <w:rsid w:val="00D776A9"/>
    <w:rsid w:val="00D8094C"/>
    <w:rsid w:val="00D82715"/>
    <w:rsid w:val="00D84669"/>
    <w:rsid w:val="00D8523D"/>
    <w:rsid w:val="00D86BC3"/>
    <w:rsid w:val="00D9284C"/>
    <w:rsid w:val="00D9751F"/>
    <w:rsid w:val="00DA07FD"/>
    <w:rsid w:val="00DA2300"/>
    <w:rsid w:val="00DA38EF"/>
    <w:rsid w:val="00DA5858"/>
    <w:rsid w:val="00DA61E6"/>
    <w:rsid w:val="00DB38AC"/>
    <w:rsid w:val="00DB4182"/>
    <w:rsid w:val="00DB5321"/>
    <w:rsid w:val="00DB5838"/>
    <w:rsid w:val="00DC0AAE"/>
    <w:rsid w:val="00DC0E10"/>
    <w:rsid w:val="00DC1143"/>
    <w:rsid w:val="00DC5626"/>
    <w:rsid w:val="00DC7078"/>
    <w:rsid w:val="00DD1159"/>
    <w:rsid w:val="00DD1DBB"/>
    <w:rsid w:val="00DE411C"/>
    <w:rsid w:val="00DE4C7F"/>
    <w:rsid w:val="00DE66CD"/>
    <w:rsid w:val="00DF1BA2"/>
    <w:rsid w:val="00DF2580"/>
    <w:rsid w:val="00DF3430"/>
    <w:rsid w:val="00DF4761"/>
    <w:rsid w:val="00DF6B1D"/>
    <w:rsid w:val="00DF762E"/>
    <w:rsid w:val="00E028A6"/>
    <w:rsid w:val="00E04321"/>
    <w:rsid w:val="00E065CF"/>
    <w:rsid w:val="00E108E5"/>
    <w:rsid w:val="00E110C5"/>
    <w:rsid w:val="00E13AFC"/>
    <w:rsid w:val="00E1737E"/>
    <w:rsid w:val="00E21F2A"/>
    <w:rsid w:val="00E23615"/>
    <w:rsid w:val="00E24C44"/>
    <w:rsid w:val="00E27351"/>
    <w:rsid w:val="00E279F8"/>
    <w:rsid w:val="00E27B27"/>
    <w:rsid w:val="00E30E3D"/>
    <w:rsid w:val="00E324E3"/>
    <w:rsid w:val="00E32C4D"/>
    <w:rsid w:val="00E333F4"/>
    <w:rsid w:val="00E36906"/>
    <w:rsid w:val="00E41597"/>
    <w:rsid w:val="00E42550"/>
    <w:rsid w:val="00E42717"/>
    <w:rsid w:val="00E46DD6"/>
    <w:rsid w:val="00E52334"/>
    <w:rsid w:val="00E5429D"/>
    <w:rsid w:val="00E55E79"/>
    <w:rsid w:val="00E607C1"/>
    <w:rsid w:val="00E62613"/>
    <w:rsid w:val="00E62AA5"/>
    <w:rsid w:val="00E646D7"/>
    <w:rsid w:val="00E649DB"/>
    <w:rsid w:val="00E6628B"/>
    <w:rsid w:val="00E72423"/>
    <w:rsid w:val="00E7452B"/>
    <w:rsid w:val="00E75D2F"/>
    <w:rsid w:val="00E774BC"/>
    <w:rsid w:val="00E80977"/>
    <w:rsid w:val="00E839EF"/>
    <w:rsid w:val="00E855E9"/>
    <w:rsid w:val="00E86EAD"/>
    <w:rsid w:val="00E87D0E"/>
    <w:rsid w:val="00E9007A"/>
    <w:rsid w:val="00E91BAB"/>
    <w:rsid w:val="00E952A9"/>
    <w:rsid w:val="00EA00DB"/>
    <w:rsid w:val="00EA0553"/>
    <w:rsid w:val="00EA2167"/>
    <w:rsid w:val="00EA3E33"/>
    <w:rsid w:val="00EA4566"/>
    <w:rsid w:val="00EA64DB"/>
    <w:rsid w:val="00EB1E81"/>
    <w:rsid w:val="00EB5036"/>
    <w:rsid w:val="00EC2469"/>
    <w:rsid w:val="00EC2A7D"/>
    <w:rsid w:val="00EC3934"/>
    <w:rsid w:val="00ED3AD2"/>
    <w:rsid w:val="00EE24C3"/>
    <w:rsid w:val="00EE41E3"/>
    <w:rsid w:val="00EE6D20"/>
    <w:rsid w:val="00EE6DAA"/>
    <w:rsid w:val="00EE7C2E"/>
    <w:rsid w:val="00EF7865"/>
    <w:rsid w:val="00EF790E"/>
    <w:rsid w:val="00F03BDA"/>
    <w:rsid w:val="00F04D3B"/>
    <w:rsid w:val="00F056A6"/>
    <w:rsid w:val="00F077E5"/>
    <w:rsid w:val="00F1278B"/>
    <w:rsid w:val="00F12900"/>
    <w:rsid w:val="00F252D4"/>
    <w:rsid w:val="00F27340"/>
    <w:rsid w:val="00F30563"/>
    <w:rsid w:val="00F32E94"/>
    <w:rsid w:val="00F338CA"/>
    <w:rsid w:val="00F345EB"/>
    <w:rsid w:val="00F4024A"/>
    <w:rsid w:val="00F40D0E"/>
    <w:rsid w:val="00F40F20"/>
    <w:rsid w:val="00F46E9B"/>
    <w:rsid w:val="00F50381"/>
    <w:rsid w:val="00F52ADD"/>
    <w:rsid w:val="00F54D68"/>
    <w:rsid w:val="00F55979"/>
    <w:rsid w:val="00F55B81"/>
    <w:rsid w:val="00F56AD0"/>
    <w:rsid w:val="00F57D8E"/>
    <w:rsid w:val="00F64A40"/>
    <w:rsid w:val="00F64F82"/>
    <w:rsid w:val="00F7209D"/>
    <w:rsid w:val="00F7238A"/>
    <w:rsid w:val="00F72899"/>
    <w:rsid w:val="00F737BB"/>
    <w:rsid w:val="00F7795A"/>
    <w:rsid w:val="00F80B03"/>
    <w:rsid w:val="00F8102D"/>
    <w:rsid w:val="00F82473"/>
    <w:rsid w:val="00F8388A"/>
    <w:rsid w:val="00F83BA0"/>
    <w:rsid w:val="00F87746"/>
    <w:rsid w:val="00F8787E"/>
    <w:rsid w:val="00F90EDE"/>
    <w:rsid w:val="00F91D6C"/>
    <w:rsid w:val="00F946D5"/>
    <w:rsid w:val="00F963BA"/>
    <w:rsid w:val="00FA0149"/>
    <w:rsid w:val="00FA0763"/>
    <w:rsid w:val="00FA7A32"/>
    <w:rsid w:val="00FB372D"/>
    <w:rsid w:val="00FB3F7C"/>
    <w:rsid w:val="00FB4E5D"/>
    <w:rsid w:val="00FB6ECB"/>
    <w:rsid w:val="00FC17E7"/>
    <w:rsid w:val="00FC2000"/>
    <w:rsid w:val="00FD1298"/>
    <w:rsid w:val="00FD3A14"/>
    <w:rsid w:val="00FD6723"/>
    <w:rsid w:val="00FE0402"/>
    <w:rsid w:val="00FE0C2C"/>
    <w:rsid w:val="00FE1D87"/>
    <w:rsid w:val="00FE3266"/>
    <w:rsid w:val="00FE3941"/>
    <w:rsid w:val="00FE4DF3"/>
    <w:rsid w:val="00FE6343"/>
    <w:rsid w:val="00FE6831"/>
    <w:rsid w:val="00FF5347"/>
    <w:rsid w:val="00FF6520"/>
    <w:rsid w:val="02995EE9"/>
    <w:rsid w:val="02DB0986"/>
    <w:rsid w:val="02E426CD"/>
    <w:rsid w:val="02E815F7"/>
    <w:rsid w:val="03449F7A"/>
    <w:rsid w:val="0351028E"/>
    <w:rsid w:val="038EF6C2"/>
    <w:rsid w:val="039AA0A1"/>
    <w:rsid w:val="03EA5647"/>
    <w:rsid w:val="04022F9A"/>
    <w:rsid w:val="0450CE9D"/>
    <w:rsid w:val="0533E14C"/>
    <w:rsid w:val="056C27EC"/>
    <w:rsid w:val="05913F23"/>
    <w:rsid w:val="05F1125C"/>
    <w:rsid w:val="0622466F"/>
    <w:rsid w:val="0637BC10"/>
    <w:rsid w:val="06C69784"/>
    <w:rsid w:val="06D2C396"/>
    <w:rsid w:val="07CC375E"/>
    <w:rsid w:val="07F31DD4"/>
    <w:rsid w:val="0800BE57"/>
    <w:rsid w:val="0823BB38"/>
    <w:rsid w:val="084F2DE0"/>
    <w:rsid w:val="08BEF091"/>
    <w:rsid w:val="08E11356"/>
    <w:rsid w:val="098F58DB"/>
    <w:rsid w:val="09DAB4B7"/>
    <w:rsid w:val="09FFDA06"/>
    <w:rsid w:val="0A06950B"/>
    <w:rsid w:val="0A0D2B55"/>
    <w:rsid w:val="0A2B01A5"/>
    <w:rsid w:val="0A364E40"/>
    <w:rsid w:val="0A4D4A23"/>
    <w:rsid w:val="0AAAD32F"/>
    <w:rsid w:val="0B92D81E"/>
    <w:rsid w:val="0BF962A3"/>
    <w:rsid w:val="0C02A2E2"/>
    <w:rsid w:val="0C75127C"/>
    <w:rsid w:val="0D2A45DA"/>
    <w:rsid w:val="0D2C08AB"/>
    <w:rsid w:val="0DDAC9F5"/>
    <w:rsid w:val="0DE29697"/>
    <w:rsid w:val="0E2F1544"/>
    <w:rsid w:val="0F0F5911"/>
    <w:rsid w:val="0F3F739D"/>
    <w:rsid w:val="0F5A98DE"/>
    <w:rsid w:val="0FC5A391"/>
    <w:rsid w:val="10442D36"/>
    <w:rsid w:val="104FC979"/>
    <w:rsid w:val="108CCC0E"/>
    <w:rsid w:val="109E12B4"/>
    <w:rsid w:val="10BCEBA8"/>
    <w:rsid w:val="10DB875C"/>
    <w:rsid w:val="10E8D3D4"/>
    <w:rsid w:val="114F2D3D"/>
    <w:rsid w:val="1153BE3F"/>
    <w:rsid w:val="119B68D3"/>
    <w:rsid w:val="11CB5866"/>
    <w:rsid w:val="1203B933"/>
    <w:rsid w:val="12A50EFB"/>
    <w:rsid w:val="12EF8EA0"/>
    <w:rsid w:val="130FF807"/>
    <w:rsid w:val="13F3061C"/>
    <w:rsid w:val="147E6035"/>
    <w:rsid w:val="148B5F01"/>
    <w:rsid w:val="15217A5D"/>
    <w:rsid w:val="15873BCE"/>
    <w:rsid w:val="15A98528"/>
    <w:rsid w:val="15CCB37D"/>
    <w:rsid w:val="16182A32"/>
    <w:rsid w:val="16603914"/>
    <w:rsid w:val="16634150"/>
    <w:rsid w:val="169123F1"/>
    <w:rsid w:val="1726D042"/>
    <w:rsid w:val="174060C9"/>
    <w:rsid w:val="17E66785"/>
    <w:rsid w:val="18450C67"/>
    <w:rsid w:val="18703B5C"/>
    <w:rsid w:val="1915E8B9"/>
    <w:rsid w:val="19532645"/>
    <w:rsid w:val="19651F8E"/>
    <w:rsid w:val="197FD8DC"/>
    <w:rsid w:val="1A09ABAC"/>
    <w:rsid w:val="1A5294A5"/>
    <w:rsid w:val="1AF58119"/>
    <w:rsid w:val="1B472B42"/>
    <w:rsid w:val="1BA6ECB1"/>
    <w:rsid w:val="1C605CFF"/>
    <w:rsid w:val="1C760EE1"/>
    <w:rsid w:val="1C9C4A66"/>
    <w:rsid w:val="1CCAD060"/>
    <w:rsid w:val="1DACF098"/>
    <w:rsid w:val="1E3A2ECD"/>
    <w:rsid w:val="1EA4FB61"/>
    <w:rsid w:val="1EAD89F9"/>
    <w:rsid w:val="1EC95054"/>
    <w:rsid w:val="1F522064"/>
    <w:rsid w:val="20027122"/>
    <w:rsid w:val="218B0189"/>
    <w:rsid w:val="21B4631C"/>
    <w:rsid w:val="225424DA"/>
    <w:rsid w:val="22ABB5BB"/>
    <w:rsid w:val="22B12025"/>
    <w:rsid w:val="22F7D941"/>
    <w:rsid w:val="23863666"/>
    <w:rsid w:val="23976595"/>
    <w:rsid w:val="249EF315"/>
    <w:rsid w:val="24F1A96B"/>
    <w:rsid w:val="2591C7D4"/>
    <w:rsid w:val="25BA9A68"/>
    <w:rsid w:val="25E330EA"/>
    <w:rsid w:val="268D5631"/>
    <w:rsid w:val="26BB6308"/>
    <w:rsid w:val="271E36EF"/>
    <w:rsid w:val="28C0B117"/>
    <w:rsid w:val="2903716D"/>
    <w:rsid w:val="298E127D"/>
    <w:rsid w:val="29A0F67D"/>
    <w:rsid w:val="2A37375C"/>
    <w:rsid w:val="2A9A7962"/>
    <w:rsid w:val="2AE29DEE"/>
    <w:rsid w:val="2AF11D12"/>
    <w:rsid w:val="2B12813F"/>
    <w:rsid w:val="2C5111FF"/>
    <w:rsid w:val="2CD470DB"/>
    <w:rsid w:val="2D91946F"/>
    <w:rsid w:val="2DAD6495"/>
    <w:rsid w:val="2DE22521"/>
    <w:rsid w:val="2E1A3EB0"/>
    <w:rsid w:val="2E717217"/>
    <w:rsid w:val="2E8C2D10"/>
    <w:rsid w:val="2EE90AF1"/>
    <w:rsid w:val="2F1600DB"/>
    <w:rsid w:val="2F2D206E"/>
    <w:rsid w:val="2F9169D4"/>
    <w:rsid w:val="303711D8"/>
    <w:rsid w:val="3065CCFB"/>
    <w:rsid w:val="30C50310"/>
    <w:rsid w:val="311BD38A"/>
    <w:rsid w:val="3127E0C5"/>
    <w:rsid w:val="31558FDE"/>
    <w:rsid w:val="3162295C"/>
    <w:rsid w:val="317EBF37"/>
    <w:rsid w:val="321020C4"/>
    <w:rsid w:val="32BE4D86"/>
    <w:rsid w:val="32C682BC"/>
    <w:rsid w:val="33678BB9"/>
    <w:rsid w:val="33BC6744"/>
    <w:rsid w:val="33F477F3"/>
    <w:rsid w:val="342F7A7C"/>
    <w:rsid w:val="3461ABEA"/>
    <w:rsid w:val="34AC9EC6"/>
    <w:rsid w:val="34E0B39B"/>
    <w:rsid w:val="34EAD12A"/>
    <w:rsid w:val="354A1DD2"/>
    <w:rsid w:val="3582D754"/>
    <w:rsid w:val="359A2EB1"/>
    <w:rsid w:val="36369240"/>
    <w:rsid w:val="365B647C"/>
    <w:rsid w:val="366D35C3"/>
    <w:rsid w:val="370C70E6"/>
    <w:rsid w:val="3774EA2A"/>
    <w:rsid w:val="37CF0750"/>
    <w:rsid w:val="37D262A1"/>
    <w:rsid w:val="37D5EFD1"/>
    <w:rsid w:val="38D1EB60"/>
    <w:rsid w:val="38E0247A"/>
    <w:rsid w:val="3A632298"/>
    <w:rsid w:val="3A6400A6"/>
    <w:rsid w:val="3B45EF7E"/>
    <w:rsid w:val="3B5EC511"/>
    <w:rsid w:val="3C85966D"/>
    <w:rsid w:val="3D3257F0"/>
    <w:rsid w:val="3D4330CE"/>
    <w:rsid w:val="3D45C477"/>
    <w:rsid w:val="3D9D5310"/>
    <w:rsid w:val="3E2AA608"/>
    <w:rsid w:val="3E53C012"/>
    <w:rsid w:val="3E64EEB4"/>
    <w:rsid w:val="3EF64B55"/>
    <w:rsid w:val="3F257260"/>
    <w:rsid w:val="3FAC5C77"/>
    <w:rsid w:val="4000BF15"/>
    <w:rsid w:val="40A470FD"/>
    <w:rsid w:val="4117CC97"/>
    <w:rsid w:val="415FC27B"/>
    <w:rsid w:val="419E1723"/>
    <w:rsid w:val="41B4389C"/>
    <w:rsid w:val="42BFB4CA"/>
    <w:rsid w:val="432FA22F"/>
    <w:rsid w:val="439ECF03"/>
    <w:rsid w:val="43CF15F6"/>
    <w:rsid w:val="43E4FA24"/>
    <w:rsid w:val="45005787"/>
    <w:rsid w:val="454171F1"/>
    <w:rsid w:val="45AA5890"/>
    <w:rsid w:val="45BA2674"/>
    <w:rsid w:val="4659034B"/>
    <w:rsid w:val="46F79339"/>
    <w:rsid w:val="471A4CA8"/>
    <w:rsid w:val="474CFD19"/>
    <w:rsid w:val="478ACE2C"/>
    <w:rsid w:val="47F2A89D"/>
    <w:rsid w:val="48340547"/>
    <w:rsid w:val="484A462A"/>
    <w:rsid w:val="486DC9C1"/>
    <w:rsid w:val="48CECAE0"/>
    <w:rsid w:val="4903B0F6"/>
    <w:rsid w:val="491BE1A8"/>
    <w:rsid w:val="49258DCA"/>
    <w:rsid w:val="49444EA6"/>
    <w:rsid w:val="4965DC17"/>
    <w:rsid w:val="49677DA2"/>
    <w:rsid w:val="49A04912"/>
    <w:rsid w:val="4A0A4F7C"/>
    <w:rsid w:val="4A1CCCBA"/>
    <w:rsid w:val="4A499E10"/>
    <w:rsid w:val="4A944FB0"/>
    <w:rsid w:val="4A9656A2"/>
    <w:rsid w:val="4AE41401"/>
    <w:rsid w:val="4C473CF7"/>
    <w:rsid w:val="4C4A8C11"/>
    <w:rsid w:val="4C53F379"/>
    <w:rsid w:val="4CFCB0EA"/>
    <w:rsid w:val="4D1989FA"/>
    <w:rsid w:val="4D6F12C0"/>
    <w:rsid w:val="4D9336D3"/>
    <w:rsid w:val="4DCE4397"/>
    <w:rsid w:val="4EE19EDD"/>
    <w:rsid w:val="4FD11BCE"/>
    <w:rsid w:val="5090F55A"/>
    <w:rsid w:val="50C04FC4"/>
    <w:rsid w:val="50F17D75"/>
    <w:rsid w:val="51A1C90D"/>
    <w:rsid w:val="51C437DD"/>
    <w:rsid w:val="522A3647"/>
    <w:rsid w:val="528E112F"/>
    <w:rsid w:val="52AFA2D6"/>
    <w:rsid w:val="53504EA0"/>
    <w:rsid w:val="5355D8B4"/>
    <w:rsid w:val="53697019"/>
    <w:rsid w:val="536A0D86"/>
    <w:rsid w:val="53EED198"/>
    <w:rsid w:val="54291E37"/>
    <w:rsid w:val="5434B859"/>
    <w:rsid w:val="545D8358"/>
    <w:rsid w:val="547F968E"/>
    <w:rsid w:val="54EBF70C"/>
    <w:rsid w:val="55573B58"/>
    <w:rsid w:val="555F31B4"/>
    <w:rsid w:val="56725FF6"/>
    <w:rsid w:val="56885A0A"/>
    <w:rsid w:val="569BF16F"/>
    <w:rsid w:val="56B0C405"/>
    <w:rsid w:val="56B73D41"/>
    <w:rsid w:val="56BDB398"/>
    <w:rsid w:val="573DA5E9"/>
    <w:rsid w:val="5742CB4A"/>
    <w:rsid w:val="57C12EAB"/>
    <w:rsid w:val="57CB60DF"/>
    <w:rsid w:val="57F38F8C"/>
    <w:rsid w:val="584E1C13"/>
    <w:rsid w:val="589A8F73"/>
    <w:rsid w:val="58A29456"/>
    <w:rsid w:val="58FE1707"/>
    <w:rsid w:val="59AC8A4E"/>
    <w:rsid w:val="5A7A402B"/>
    <w:rsid w:val="5A985FBB"/>
    <w:rsid w:val="5AD01E1F"/>
    <w:rsid w:val="5B49E3F6"/>
    <w:rsid w:val="5BAB516C"/>
    <w:rsid w:val="5BB9959F"/>
    <w:rsid w:val="5BF056FA"/>
    <w:rsid w:val="5C35B7C9"/>
    <w:rsid w:val="5C7A6DD4"/>
    <w:rsid w:val="5CA62264"/>
    <w:rsid w:val="5CC76AF4"/>
    <w:rsid w:val="5CC93D46"/>
    <w:rsid w:val="5CEF4FBF"/>
    <w:rsid w:val="5D3A83DC"/>
    <w:rsid w:val="5D8D2DA0"/>
    <w:rsid w:val="5DF1DD64"/>
    <w:rsid w:val="5E760ED9"/>
    <w:rsid w:val="5E9E8B3B"/>
    <w:rsid w:val="5F5BCFE0"/>
    <w:rsid w:val="5F9654E5"/>
    <w:rsid w:val="6000DE08"/>
    <w:rsid w:val="600D3DAC"/>
    <w:rsid w:val="6042D3B5"/>
    <w:rsid w:val="60B18A5F"/>
    <w:rsid w:val="610CFDC5"/>
    <w:rsid w:val="6154F72D"/>
    <w:rsid w:val="61E7C384"/>
    <w:rsid w:val="63169F99"/>
    <w:rsid w:val="637EC6D1"/>
    <w:rsid w:val="63A11A40"/>
    <w:rsid w:val="63BDD231"/>
    <w:rsid w:val="63BF3895"/>
    <w:rsid w:val="640C3364"/>
    <w:rsid w:val="64DEA256"/>
    <w:rsid w:val="65EC7EB8"/>
    <w:rsid w:val="66098342"/>
    <w:rsid w:val="66496F14"/>
    <w:rsid w:val="6713D196"/>
    <w:rsid w:val="67543A44"/>
    <w:rsid w:val="6763EEB8"/>
    <w:rsid w:val="67909426"/>
    <w:rsid w:val="6834BD3D"/>
    <w:rsid w:val="684316DE"/>
    <w:rsid w:val="689D577D"/>
    <w:rsid w:val="68C63E0C"/>
    <w:rsid w:val="6966A0A1"/>
    <w:rsid w:val="6A0EB6BC"/>
    <w:rsid w:val="6AE2985A"/>
    <w:rsid w:val="6B30A919"/>
    <w:rsid w:val="6B8B3855"/>
    <w:rsid w:val="6C077007"/>
    <w:rsid w:val="6C12732F"/>
    <w:rsid w:val="6C240236"/>
    <w:rsid w:val="6C888F72"/>
    <w:rsid w:val="6CA9085D"/>
    <w:rsid w:val="6D0D800D"/>
    <w:rsid w:val="6D5BE414"/>
    <w:rsid w:val="6DD3E167"/>
    <w:rsid w:val="6E3A2F9F"/>
    <w:rsid w:val="6E4C9D18"/>
    <w:rsid w:val="6E5480F9"/>
    <w:rsid w:val="6FB6097D"/>
    <w:rsid w:val="6FD728FD"/>
    <w:rsid w:val="705FD3DB"/>
    <w:rsid w:val="7178BA44"/>
    <w:rsid w:val="7187D787"/>
    <w:rsid w:val="71E27E2F"/>
    <w:rsid w:val="7256D7A8"/>
    <w:rsid w:val="73201746"/>
    <w:rsid w:val="73B4AD70"/>
    <w:rsid w:val="73B6D72D"/>
    <w:rsid w:val="74027F83"/>
    <w:rsid w:val="744322EB"/>
    <w:rsid w:val="744DDBC4"/>
    <w:rsid w:val="746DDCA9"/>
    <w:rsid w:val="74BE5B4B"/>
    <w:rsid w:val="74D765CC"/>
    <w:rsid w:val="75048E5E"/>
    <w:rsid w:val="751B2DCB"/>
    <w:rsid w:val="755AFED1"/>
    <w:rsid w:val="759D2C38"/>
    <w:rsid w:val="75A61CCF"/>
    <w:rsid w:val="75D91581"/>
    <w:rsid w:val="75DBA537"/>
    <w:rsid w:val="76842363"/>
    <w:rsid w:val="773D035A"/>
    <w:rsid w:val="77588127"/>
    <w:rsid w:val="7760DDEC"/>
    <w:rsid w:val="7775A055"/>
    <w:rsid w:val="779E72E3"/>
    <w:rsid w:val="77C59C0D"/>
    <w:rsid w:val="77CC296C"/>
    <w:rsid w:val="77EA89F0"/>
    <w:rsid w:val="780F068E"/>
    <w:rsid w:val="7833E82B"/>
    <w:rsid w:val="787D18D7"/>
    <w:rsid w:val="78D24B74"/>
    <w:rsid w:val="78D5FDD5"/>
    <w:rsid w:val="79070178"/>
    <w:rsid w:val="79322169"/>
    <w:rsid w:val="793A13FB"/>
    <w:rsid w:val="794BB0EC"/>
    <w:rsid w:val="7A13CFE7"/>
    <w:rsid w:val="7A2E0637"/>
    <w:rsid w:val="7AB6B115"/>
    <w:rsid w:val="7ADE6AE8"/>
    <w:rsid w:val="7B113077"/>
    <w:rsid w:val="7C3F89AF"/>
    <w:rsid w:val="7C9B9296"/>
    <w:rsid w:val="7CA419B2"/>
    <w:rsid w:val="7D472EEA"/>
    <w:rsid w:val="7D550EA5"/>
    <w:rsid w:val="7D97437A"/>
    <w:rsid w:val="7DBA848C"/>
    <w:rsid w:val="7DE18D18"/>
    <w:rsid w:val="7E65F729"/>
    <w:rsid w:val="7EDC70FB"/>
    <w:rsid w:val="7EEB4A19"/>
    <w:rsid w:val="7F02E938"/>
    <w:rsid w:val="7F0B94E9"/>
    <w:rsid w:val="7FB304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1B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A00"/>
    <w:rPr>
      <w:sz w:val="24"/>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rsid w:val="005A4A00"/>
    <w:pPr>
      <w:tabs>
        <w:tab w:val="center" w:pos="4320"/>
        <w:tab w:val="right" w:pos="8640"/>
      </w:tabs>
    </w:pPr>
  </w:style>
  <w:style w:type="character" w:customStyle="1" w:styleId="FooterChar">
    <w:name w:val="Footer Char"/>
    <w:basedOn w:val="DefaultParagraphFont"/>
    <w:link w:val="Footer"/>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uiPriority w:val="39"/>
    <w:rsid w:val="005A4A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uiPriority w:val="99"/>
    <w:rsid w:val="005A4A00"/>
    <w:rPr>
      <w:sz w:val="16"/>
      <w:szCs w:val="16"/>
    </w:rPr>
  </w:style>
  <w:style w:type="paragraph" w:styleId="CommentText">
    <w:name w:val="annotation text"/>
    <w:basedOn w:val="Normal"/>
    <w:link w:val="CommentTextChar"/>
    <w:uiPriority w:val="99"/>
    <w:rsid w:val="005A4A00"/>
    <w:rPr>
      <w:sz w:val="20"/>
    </w:rPr>
  </w:style>
  <w:style w:type="character" w:customStyle="1" w:styleId="CommentTextChar">
    <w:name w:val="Comment Text Char"/>
    <w:basedOn w:val="DefaultParagraphFont"/>
    <w:link w:val="CommentText"/>
    <w:uiPriority w:val="99"/>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character" w:styleId="Hyperlink">
    <w:name w:val="Hyperlink"/>
    <w:basedOn w:val="DefaultParagraphFont"/>
    <w:uiPriority w:val="99"/>
    <w:unhideWhenUsed/>
    <w:rsid w:val="00937C82"/>
    <w:rPr>
      <w:color w:val="0000FF"/>
      <w:u w:val="single"/>
    </w:rPr>
  </w:style>
  <w:style w:type="paragraph" w:styleId="Revision">
    <w:name w:val="Revision"/>
    <w:hidden/>
    <w:uiPriority w:val="99"/>
    <w:semiHidden/>
    <w:rsid w:val="009F5E27"/>
    <w:rPr>
      <w:sz w:val="24"/>
    </w:rPr>
  </w:style>
  <w:style w:type="paragraph" w:styleId="NoSpacing">
    <w:name w:val="No Spacing"/>
    <w:uiPriority w:val="1"/>
    <w:qFormat/>
    <w:rsid w:val="002C7CBF"/>
    <w:rPr>
      <w:rFonts w:asciiTheme="minorHAnsi" w:eastAsiaTheme="minorHAnsi" w:hAnsiTheme="minorHAnsi" w:cstheme="minorBidi"/>
      <w:sz w:val="22"/>
      <w:szCs w:val="22"/>
    </w:rPr>
  </w:style>
  <w:style w:type="character" w:styleId="FootnoteReference">
    <w:name w:val="footnote reference"/>
    <w:basedOn w:val="DefaultParagraphFont"/>
    <w:semiHidden/>
    <w:unhideWhenUsed/>
    <w:rsid w:val="002E450A"/>
    <w:rPr>
      <w:vertAlign w:val="superscript"/>
    </w:rPr>
  </w:style>
  <w:style w:type="paragraph" w:customStyle="1" w:styleId="QuestionNumbered">
    <w:name w:val="Question Numbered"/>
    <w:basedOn w:val="Normal"/>
    <w:qFormat/>
    <w:rsid w:val="005B4F5B"/>
    <w:pPr>
      <w:keepNext/>
      <w:keepLines/>
      <w:numPr>
        <w:numId w:val="29"/>
      </w:numPr>
      <w:spacing w:before="240" w:after="240"/>
    </w:pPr>
    <w:rPr>
      <w:b/>
      <w:sz w:val="22"/>
      <w:szCs w:val="22"/>
    </w:rPr>
  </w:style>
  <w:style w:type="paragraph" w:customStyle="1" w:styleId="Response">
    <w:name w:val="Response"/>
    <w:basedOn w:val="Normal"/>
    <w:qFormat/>
    <w:rsid w:val="005B4F5B"/>
    <w:pPr>
      <w:tabs>
        <w:tab w:val="left" w:pos="1080"/>
        <w:tab w:val="left" w:pos="2160"/>
        <w:tab w:val="right" w:leader="underscore" w:pos="10800"/>
      </w:tabs>
      <w:ind w:left="1080" w:hanging="360"/>
    </w:pPr>
    <w:rPr>
      <w:sz w:val="22"/>
      <w:szCs w:val="22"/>
    </w:rPr>
  </w:style>
  <w:style w:type="paragraph" w:customStyle="1" w:styleId="QuestionIndent">
    <w:name w:val="QuestionIndent"/>
    <w:basedOn w:val="QuestionNumbered"/>
    <w:qFormat/>
    <w:rsid w:val="005B4F5B"/>
    <w:pPr>
      <w:numPr>
        <w:numId w:val="0"/>
      </w:numPr>
      <w:spacing w:before="480"/>
      <w:ind w:left="1440" w:hanging="720"/>
    </w:pPr>
  </w:style>
  <w:style w:type="table" w:customStyle="1" w:styleId="TableGrid1">
    <w:name w:val="Table Grid1"/>
    <w:basedOn w:val="TableNormal"/>
    <w:next w:val="TableGrid"/>
    <w:uiPriority w:val="39"/>
    <w:rsid w:val="004432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5213"/>
    <w:rPr>
      <w:color w:val="605E5C"/>
      <w:shd w:val="clear" w:color="auto" w:fill="E1DFDD"/>
    </w:rPr>
  </w:style>
  <w:style w:type="character" w:styleId="FollowedHyperlink">
    <w:name w:val="FollowedHyperlink"/>
    <w:basedOn w:val="DefaultParagraphFont"/>
    <w:semiHidden/>
    <w:unhideWhenUsed/>
    <w:rsid w:val="00F57D8E"/>
    <w:rPr>
      <w:color w:val="800080" w:themeColor="followedHyperlink"/>
      <w:u w:val="single"/>
    </w:rPr>
  </w:style>
  <w:style w:type="character" w:customStyle="1" w:styleId="StyleBold">
    <w:name w:val="Style Bold"/>
    <w:rsid w:val="005077E6"/>
    <w:rPr>
      <w:rFonts w:ascii="Arial" w:hAnsi="Arial"/>
      <w:b/>
      <w:bCs/>
      <w:sz w:val="24"/>
    </w:rPr>
  </w:style>
  <w:style w:type="character" w:styleId="UnresolvedMention">
    <w:name w:val="Unresolved Mention"/>
    <w:basedOn w:val="DefaultParagraphFont"/>
    <w:uiPriority w:val="99"/>
    <w:unhideWhenUsed/>
    <w:rsid w:val="00F50381"/>
    <w:rPr>
      <w:color w:val="605E5C"/>
      <w:shd w:val="clear" w:color="auto" w:fill="E1DFDD"/>
    </w:rPr>
  </w:style>
  <w:style w:type="character" w:styleId="Mention">
    <w:name w:val="Mention"/>
    <w:basedOn w:val="DefaultParagraphFont"/>
    <w:uiPriority w:val="99"/>
    <w:unhideWhenUsed/>
    <w:rsid w:val="00F50381"/>
    <w:rPr>
      <w:color w:val="2B579A"/>
      <w:shd w:val="clear" w:color="auto" w:fill="E1DFDD"/>
    </w:rPr>
  </w:style>
  <w:style w:type="paragraph" w:customStyle="1" w:styleId="Default">
    <w:name w:val="Default"/>
    <w:rsid w:val="00B37CD1"/>
    <w:pPr>
      <w:autoSpaceDE w:val="0"/>
      <w:autoSpaceDN w:val="0"/>
      <w:adjustRightInd w:val="0"/>
    </w:pPr>
    <w:rPr>
      <w:color w:val="000000"/>
      <w:sz w:val="24"/>
      <w:szCs w:val="24"/>
    </w:rPr>
  </w:style>
  <w:style w:type="character" w:customStyle="1" w:styleId="normaltextrun">
    <w:name w:val="normaltextrun"/>
    <w:basedOn w:val="DefaultParagraphFont"/>
    <w:rsid w:val="00B2047E"/>
  </w:style>
  <w:style w:type="paragraph" w:customStyle="1" w:styleId="paragraph">
    <w:name w:val="paragraph"/>
    <w:basedOn w:val="Normal"/>
    <w:rsid w:val="00DF1BA2"/>
    <w:pPr>
      <w:spacing w:before="100" w:beforeAutospacing="1" w:after="100" w:afterAutospacing="1"/>
    </w:pPr>
    <w:rPr>
      <w:szCs w:val="24"/>
    </w:rPr>
  </w:style>
  <w:style w:type="character" w:customStyle="1" w:styleId="eop">
    <w:name w:val="eop"/>
    <w:basedOn w:val="DefaultParagraphFont"/>
    <w:rsid w:val="00DF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427f4d-e42e-4019-ba55-233146aba7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E8B283EA9EB54395C4B1B5A8CD9728" ma:contentTypeVersion="14" ma:contentTypeDescription="Create a new document." ma:contentTypeScope="" ma:versionID="6966fde17e3d2b1897454528be48f99d">
  <xsd:schema xmlns:xsd="http://www.w3.org/2001/XMLSchema" xmlns:xs="http://www.w3.org/2001/XMLSchema" xmlns:p="http://schemas.microsoft.com/office/2006/metadata/properties" xmlns:ns3="e6427f4d-e42e-4019-ba55-233146aba75f" xmlns:ns4="6a4af1a8-0188-47fb-ac5f-5c7970e3f58d" targetNamespace="http://schemas.microsoft.com/office/2006/metadata/properties" ma:root="true" ma:fieldsID="9374b73c53f6bdcbcef070ea29a58866" ns3:_="" ns4:_="">
    <xsd:import namespace="e6427f4d-e42e-4019-ba55-233146aba75f"/>
    <xsd:import namespace="6a4af1a8-0188-47fb-ac5f-5c7970e3f5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7f4d-e42e-4019-ba55-233146aba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af1a8-0188-47fb-ac5f-5c7970e3f58d"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18BE-1882-4089-9E79-7BABF9B1740F}">
  <ds:schemaRefs>
    <ds:schemaRef ds:uri="http://schemas.microsoft.com/office/2006/metadata/properties"/>
    <ds:schemaRef ds:uri="http://schemas.microsoft.com/office/infopath/2007/PartnerControls"/>
    <ds:schemaRef ds:uri="e6427f4d-e42e-4019-ba55-233146aba75f"/>
  </ds:schemaRefs>
</ds:datastoreItem>
</file>

<file path=customXml/itemProps2.xml><?xml version="1.0" encoding="utf-8"?>
<ds:datastoreItem xmlns:ds="http://schemas.openxmlformats.org/officeDocument/2006/customXml" ds:itemID="{4EF755AD-8DFA-469A-8AED-D41F912E1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7f4d-e42e-4019-ba55-233146aba75f"/>
    <ds:schemaRef ds:uri="6a4af1a8-0188-47fb-ac5f-5c7970e3f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54CC0-EF4B-4A6D-B6A7-EA8ADA8BEAC1}">
  <ds:schemaRefs>
    <ds:schemaRef ds:uri="http://schemas.microsoft.com/sharepoint/v3/contenttype/forms"/>
  </ds:schemaRefs>
</ds:datastoreItem>
</file>

<file path=customXml/itemProps4.xml><?xml version="1.0" encoding="utf-8"?>
<ds:datastoreItem xmlns:ds="http://schemas.openxmlformats.org/officeDocument/2006/customXml" ds:itemID="{23867DCB-2591-4C52-835B-E0C2AE29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3726</Words>
  <Characters>21833</Characters>
  <Application>Microsoft Office Word</Application>
  <DocSecurity>0</DocSecurity>
  <Lines>181</Lines>
  <Paragraphs>51</Paragraphs>
  <ScaleCrop>false</ScaleCrop>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2024-08-12T18:48:00Z</dcterms:created>
  <dcterms:modified xsi:type="dcterms:W3CDTF">2024-11-20T15:57:00Z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0x010100D0E8B283EA9EB54395C4B1B5A8CD9728</vt:lpwstr>
  </property>
  <property fmtid="{D5CDD505-2E9C-101B-9397-08002B2CF9AE}" pid="3" name="MediaServiceImageTags">
    <vt:lpwstr/>
  </property>
</Properties>
</file>