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59C5" w:rsidRPr="00A85580" w:rsidP="00A85580" w14:paraId="6D822DC7" w14:textId="0481122C">
      <w:pPr>
        <w:jc w:val="center"/>
        <w:rPr>
          <w:rStyle w:val="C2CtrSglS"/>
          <w:rFonts w:ascii="Calibri" w:eastAsia="Calibri" w:hAnsi="Calibri" w:cs="Courier New"/>
          <w:b/>
          <w:sz w:val="24"/>
          <w:szCs w:val="24"/>
        </w:rPr>
      </w:pPr>
      <w:r w:rsidRPr="004559C5">
        <w:rPr>
          <w:sz w:val="24"/>
          <w:szCs w:val="24"/>
          <w:lang w:val="en-CA"/>
        </w:rPr>
        <w:fldChar w:fldCharType="begin"/>
      </w:r>
      <w:r w:rsidRPr="004559C5">
        <w:rPr>
          <w:sz w:val="24"/>
          <w:szCs w:val="24"/>
          <w:lang w:val="en-CA"/>
        </w:rPr>
        <w:instrText xml:space="preserve"> SEQ CHAPTER \h \r 1</w:instrText>
      </w:r>
      <w:r w:rsidRPr="004559C5">
        <w:rPr>
          <w:sz w:val="24"/>
          <w:szCs w:val="24"/>
          <w:lang w:val="en-CA"/>
        </w:rPr>
        <w:fldChar w:fldCharType="separate"/>
      </w:r>
      <w:r w:rsidRPr="004559C5">
        <w:rPr>
          <w:sz w:val="24"/>
          <w:szCs w:val="24"/>
          <w:lang w:val="en-CA"/>
        </w:rPr>
        <w:fldChar w:fldCharType="end"/>
      </w:r>
      <w:r w:rsidRPr="000764CB">
        <w:rPr>
          <w:rStyle w:val="C2CtrSglS"/>
          <w:b/>
          <w:sz w:val="24"/>
          <w:szCs w:val="24"/>
        </w:rPr>
        <w:t xml:space="preserve">SUPPORTING </w:t>
      </w:r>
      <w:r w:rsidRPr="00A85580">
        <w:rPr>
          <w:rStyle w:val="C2CtrSglS"/>
          <w:b/>
          <w:sz w:val="24"/>
          <w:szCs w:val="24"/>
        </w:rPr>
        <w:t>STATEMENT FOR</w:t>
      </w:r>
    </w:p>
    <w:p w:rsidR="000F49ED" w:rsidP="00A85580" w14:paraId="2861FDAA" w14:textId="77777777">
      <w:pPr>
        <w:jc w:val="center"/>
        <w:rPr>
          <w:rStyle w:val="C2CtrSglS"/>
          <w:b/>
          <w:sz w:val="24"/>
          <w:szCs w:val="24"/>
        </w:rPr>
      </w:pPr>
      <w:r>
        <w:rPr>
          <w:rStyle w:val="C2CtrSglS"/>
          <w:b/>
          <w:sz w:val="24"/>
          <w:szCs w:val="24"/>
        </w:rPr>
        <w:t xml:space="preserve">Center for Mental Health Services (CMHS) </w:t>
      </w:r>
    </w:p>
    <w:p w:rsidR="004559C5" w:rsidRPr="00A85580" w:rsidP="00A85580" w14:paraId="36232580" w14:textId="5997B2A0">
      <w:pPr>
        <w:jc w:val="center"/>
        <w:rPr>
          <w:rStyle w:val="C2CtrSglS"/>
          <w:i/>
          <w:sz w:val="24"/>
          <w:szCs w:val="24"/>
        </w:rPr>
      </w:pPr>
      <w:r w:rsidRPr="00A85580">
        <w:rPr>
          <w:rStyle w:val="C2CtrSglS"/>
          <w:b/>
          <w:sz w:val="24"/>
          <w:szCs w:val="24"/>
        </w:rPr>
        <w:t>MENTAL HEALTH CLIENT/</w:t>
      </w:r>
      <w:r w:rsidRPr="00A85580" w:rsidR="00A85580">
        <w:rPr>
          <w:rStyle w:val="C2CtrSglS"/>
          <w:b/>
          <w:sz w:val="24"/>
          <w:szCs w:val="24"/>
        </w:rPr>
        <w:t>C</w:t>
      </w:r>
      <w:r w:rsidRPr="00DF0EF5" w:rsidR="00A85580">
        <w:rPr>
          <w:rStyle w:val="C2CtrSglS"/>
          <w:b/>
          <w:sz w:val="24"/>
          <w:szCs w:val="24"/>
        </w:rPr>
        <w:t xml:space="preserve">ONSUMER </w:t>
      </w:r>
      <w:r w:rsidRPr="00DF0EF5">
        <w:rPr>
          <w:rStyle w:val="C2CtrSglS"/>
          <w:b/>
          <w:sz w:val="24"/>
          <w:szCs w:val="24"/>
        </w:rPr>
        <w:t>OUTCOME MEASURES</w:t>
      </w:r>
    </w:p>
    <w:p w:rsidR="0060743B" w:rsidRPr="00422A1B" w:rsidP="00422A1B" w14:paraId="47513F35" w14:textId="1CCD9F43">
      <w:pPr>
        <w:keepNext/>
        <w:jc w:val="center"/>
        <w:rPr>
          <w:b/>
          <w:bCs/>
          <w:sz w:val="24"/>
          <w:szCs w:val="24"/>
        </w:rPr>
      </w:pPr>
      <w:r w:rsidRPr="00422A1B">
        <w:rPr>
          <w:b/>
          <w:bCs/>
          <w:sz w:val="24"/>
          <w:szCs w:val="24"/>
        </w:rPr>
        <w:t>AND</w:t>
      </w:r>
    </w:p>
    <w:p w:rsidR="00A85580" w:rsidRPr="00422A1B" w:rsidP="00422A1B" w14:paraId="17638B88" w14:textId="7D9DA2A1">
      <w:pPr>
        <w:keepNext/>
        <w:jc w:val="center"/>
        <w:rPr>
          <w:b/>
          <w:bCs/>
          <w:sz w:val="24"/>
          <w:szCs w:val="24"/>
        </w:rPr>
      </w:pPr>
      <w:r w:rsidRPr="00422A1B">
        <w:rPr>
          <w:b/>
          <w:bCs/>
          <w:sz w:val="24"/>
          <w:szCs w:val="24"/>
        </w:rPr>
        <w:t>INFRASTRUCTURE, PR</w:t>
      </w:r>
      <w:r>
        <w:rPr>
          <w:b/>
          <w:bCs/>
          <w:sz w:val="24"/>
          <w:szCs w:val="24"/>
        </w:rPr>
        <w:t xml:space="preserve">EVENTION, AND PROMOTION </w:t>
      </w:r>
      <w:r w:rsidRPr="00422A1B">
        <w:rPr>
          <w:b/>
          <w:bCs/>
          <w:sz w:val="24"/>
          <w:szCs w:val="24"/>
        </w:rPr>
        <w:t>INDICATORS</w:t>
      </w:r>
    </w:p>
    <w:p w:rsidR="0060743B" w:rsidRPr="00422A1B" w:rsidP="00422A1B" w14:paraId="12F2A6E7" w14:textId="77777777">
      <w:pPr>
        <w:jc w:val="center"/>
        <w:rPr>
          <w:b/>
          <w:bCs/>
          <w:sz w:val="24"/>
          <w:szCs w:val="24"/>
        </w:rPr>
      </w:pPr>
    </w:p>
    <w:p w:rsidR="004A18DB" w:rsidRPr="00215394" w:rsidP="004A18DB" w14:paraId="440A3C67" w14:textId="77777777">
      <w:pPr>
        <w:rPr>
          <w:rFonts w:eastAsia="Cambria"/>
          <w:b/>
          <w:sz w:val="24"/>
          <w:szCs w:val="24"/>
        </w:rPr>
      </w:pPr>
      <w:r w:rsidRPr="00215394">
        <w:rPr>
          <w:rFonts w:eastAsia="Cambria"/>
          <w:b/>
          <w:sz w:val="24"/>
          <w:szCs w:val="24"/>
        </w:rPr>
        <w:t>Check off which applies:</w:t>
      </w:r>
    </w:p>
    <w:p w:rsidR="004A18DB" w:rsidRPr="00215394" w:rsidP="004A18DB" w14:paraId="57BC0778" w14:textId="77777777">
      <w:pPr>
        <w:rPr>
          <w:rFonts w:eastAsia="Cambria"/>
          <w:sz w:val="24"/>
          <w:szCs w:val="24"/>
        </w:rPr>
      </w:pPr>
      <w:sdt>
        <w:sdtPr>
          <w:rPr>
            <w:rFonts w:eastAsia="Cambria"/>
            <w:sz w:val="24"/>
            <w:szCs w:val="24"/>
          </w:rPr>
          <w:id w:val="-890880799"/>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215394">
        <w:rPr>
          <w:rFonts w:eastAsia="Cambria"/>
          <w:sz w:val="24"/>
          <w:szCs w:val="24"/>
        </w:rPr>
        <w:t xml:space="preserve"> New </w:t>
      </w:r>
    </w:p>
    <w:p w:rsidR="004A18DB" w:rsidRPr="00215394" w:rsidP="004A18DB" w14:paraId="63776E71" w14:textId="6260FE4B">
      <w:pPr>
        <w:rPr>
          <w:rFonts w:eastAsia="Cambria"/>
          <w:sz w:val="24"/>
          <w:szCs w:val="24"/>
        </w:rPr>
      </w:pPr>
      <w:sdt>
        <w:sdtPr>
          <w:rPr>
            <w:rFonts w:eastAsia="Cambria"/>
            <w:sz w:val="24"/>
            <w:szCs w:val="24"/>
          </w:rPr>
          <w:id w:val="-330531051"/>
          <w14:checkbox>
            <w14:checked w14:val="1"/>
            <w14:checkedState w14:val="2612" w14:font="MS Gothic"/>
            <w14:uncheckedState w14:val="2610" w14:font="MS Gothic"/>
          </w14:checkbox>
        </w:sdtPr>
        <w:sdtContent>
          <w:r w:rsidR="00966BB0">
            <w:rPr>
              <w:rFonts w:ascii="MS Gothic" w:eastAsia="MS Gothic" w:hAnsi="MS Gothic" w:cs="MS Gothic" w:hint="eastAsia"/>
              <w:sz w:val="24"/>
              <w:szCs w:val="24"/>
            </w:rPr>
            <w:t>☒</w:t>
          </w:r>
        </w:sdtContent>
      </w:sdt>
      <w:r w:rsidRPr="00215394">
        <w:rPr>
          <w:rFonts w:eastAsia="Cambria"/>
          <w:sz w:val="24"/>
          <w:szCs w:val="24"/>
        </w:rPr>
        <w:t xml:space="preserve"> Revision </w:t>
      </w:r>
      <w:r w:rsidRPr="00215394">
        <w:rPr>
          <w:rFonts w:eastAsia="Cambria"/>
          <w:sz w:val="24"/>
          <w:szCs w:val="24"/>
        </w:rPr>
        <w:tab/>
        <w:t xml:space="preserve"> </w:t>
      </w:r>
      <w:r w:rsidRPr="00215394">
        <w:rPr>
          <w:rFonts w:eastAsia="Cambria"/>
          <w:sz w:val="24"/>
          <w:szCs w:val="24"/>
        </w:rPr>
        <w:tab/>
      </w:r>
      <w:r w:rsidRPr="00215394">
        <w:rPr>
          <w:rFonts w:eastAsia="Cambria"/>
          <w:sz w:val="24"/>
          <w:szCs w:val="24"/>
        </w:rPr>
        <w:tab/>
      </w:r>
    </w:p>
    <w:p w:rsidR="004A18DB" w:rsidRPr="00215394" w:rsidP="004A18DB" w14:paraId="77D4DBCF" w14:textId="77777777">
      <w:pPr>
        <w:rPr>
          <w:rFonts w:eastAsia="Cambria"/>
          <w:sz w:val="24"/>
          <w:szCs w:val="24"/>
        </w:rPr>
      </w:pPr>
      <w:sdt>
        <w:sdtPr>
          <w:rPr>
            <w:rFonts w:eastAsia="Cambria"/>
            <w:sz w:val="24"/>
            <w:szCs w:val="24"/>
          </w:rPr>
          <w:id w:val="-1627156151"/>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215394">
        <w:rPr>
          <w:rFonts w:eastAsia="Cambria"/>
          <w:sz w:val="24"/>
          <w:szCs w:val="24"/>
        </w:rPr>
        <w:t xml:space="preserve"> Reinstatement with Change </w:t>
      </w:r>
    </w:p>
    <w:p w:rsidR="004A18DB" w:rsidRPr="00215394" w:rsidP="004A18DB" w14:paraId="3C019095" w14:textId="77777777">
      <w:pPr>
        <w:rPr>
          <w:rFonts w:eastAsia="Cambria"/>
          <w:sz w:val="24"/>
          <w:szCs w:val="24"/>
        </w:rPr>
      </w:pPr>
      <w:sdt>
        <w:sdtPr>
          <w:rPr>
            <w:rFonts w:eastAsia="Cambria"/>
            <w:sz w:val="24"/>
            <w:szCs w:val="24"/>
          </w:rPr>
          <w:id w:val="-1343470911"/>
          <w14:checkbox>
            <w14:checked w14:val="0"/>
            <w14:checkedState w14:val="2612" w14:font="MS Gothic"/>
            <w14:uncheckedState w14:val="2610" w14:font="MS Gothic"/>
          </w14:checkbox>
        </w:sdtPr>
        <w:sdtContent>
          <w:r w:rsidRPr="00215394">
            <w:rPr>
              <w:rFonts w:ascii="MS Gothic" w:eastAsia="MS Gothic" w:hAnsi="MS Gothic" w:cs="MS Gothic"/>
              <w:sz w:val="24"/>
              <w:szCs w:val="24"/>
            </w:rPr>
            <w:t>☐</w:t>
          </w:r>
        </w:sdtContent>
      </w:sdt>
      <w:r w:rsidRPr="00215394">
        <w:rPr>
          <w:rFonts w:eastAsia="Cambria"/>
          <w:sz w:val="24"/>
          <w:szCs w:val="24"/>
        </w:rPr>
        <w:t xml:space="preserve"> Reinstatement without Change </w:t>
      </w:r>
    </w:p>
    <w:p w:rsidR="004A18DB" w:rsidRPr="00215394" w:rsidP="004A18DB" w14:paraId="23146BB0" w14:textId="4C1D8CF1">
      <w:pPr>
        <w:rPr>
          <w:rFonts w:eastAsia="Cambria"/>
          <w:sz w:val="24"/>
          <w:szCs w:val="24"/>
        </w:rPr>
      </w:pPr>
      <w:sdt>
        <w:sdtPr>
          <w:rPr>
            <w:rFonts w:eastAsia="Cambria"/>
            <w:sz w:val="24"/>
            <w:szCs w:val="24"/>
          </w:rPr>
          <w:id w:val="1950966554"/>
          <w14:checkbox>
            <w14:checked w14:val="0"/>
            <w14:checkedState w14:val="2612" w14:font="MS Gothic"/>
            <w14:uncheckedState w14:val="2610" w14:font="MS Gothic"/>
          </w14:checkbox>
        </w:sdtPr>
        <w:sdtContent>
          <w:r w:rsidR="00966BB0">
            <w:rPr>
              <w:rFonts w:ascii="MS Gothic" w:eastAsia="MS Gothic" w:hAnsi="MS Gothic" w:cs="MS Gothic" w:hint="eastAsia"/>
              <w:sz w:val="24"/>
              <w:szCs w:val="24"/>
            </w:rPr>
            <w:t>☐</w:t>
          </w:r>
        </w:sdtContent>
      </w:sdt>
      <w:r w:rsidRPr="00215394">
        <w:rPr>
          <w:rFonts w:eastAsia="Cambria"/>
          <w:sz w:val="24"/>
          <w:szCs w:val="24"/>
        </w:rPr>
        <w:t xml:space="preserve"> Extension</w:t>
      </w:r>
    </w:p>
    <w:p w:rsidR="004A18DB" w:rsidRPr="00215394" w:rsidP="004A18DB" w14:paraId="61740452" w14:textId="77777777">
      <w:pPr>
        <w:rPr>
          <w:rFonts w:eastAsia="Cambria"/>
          <w:sz w:val="24"/>
          <w:szCs w:val="24"/>
        </w:rPr>
      </w:pPr>
      <w:sdt>
        <w:sdtPr>
          <w:rPr>
            <w:rFonts w:eastAsia="Cambria"/>
            <w:sz w:val="24"/>
            <w:szCs w:val="24"/>
          </w:rPr>
          <w:id w:val="-936752193"/>
          <w14:checkbox>
            <w14:checked w14:val="0"/>
            <w14:checkedState w14:val="2612" w14:font="MS Gothic"/>
            <w14:uncheckedState w14:val="2610" w14:font="MS Gothic"/>
          </w14:checkbox>
        </w:sdtPr>
        <w:sdtContent>
          <w:r w:rsidRPr="00215394">
            <w:rPr>
              <w:rFonts w:ascii="MS Gothic" w:eastAsia="MS Gothic" w:hAnsi="MS Gothic" w:cs="MS Gothic"/>
              <w:sz w:val="24"/>
              <w:szCs w:val="24"/>
            </w:rPr>
            <w:t>☐</w:t>
          </w:r>
        </w:sdtContent>
      </w:sdt>
      <w:r w:rsidRPr="00215394">
        <w:rPr>
          <w:rFonts w:eastAsia="Cambria"/>
          <w:sz w:val="24"/>
          <w:szCs w:val="24"/>
        </w:rPr>
        <w:t xml:space="preserve"> Emergency</w:t>
      </w:r>
    </w:p>
    <w:p w:rsidR="004A18DB" w:rsidRPr="00215394" w:rsidP="004A18DB" w14:paraId="3AD69F45" w14:textId="77777777">
      <w:pPr>
        <w:rPr>
          <w:rFonts w:eastAsia="Cambria"/>
          <w:sz w:val="24"/>
          <w:szCs w:val="24"/>
        </w:rPr>
      </w:pPr>
      <w:sdt>
        <w:sdtPr>
          <w:rPr>
            <w:rFonts w:eastAsia="Cambria"/>
            <w:sz w:val="24"/>
            <w:szCs w:val="24"/>
          </w:rPr>
          <w:id w:val="-248038668"/>
          <w14:checkbox>
            <w14:checked w14:val="0"/>
            <w14:checkedState w14:val="2612" w14:font="MS Gothic"/>
            <w14:uncheckedState w14:val="2610" w14:font="MS Gothic"/>
          </w14:checkbox>
        </w:sdtPr>
        <w:sdtContent>
          <w:r w:rsidRPr="00215394">
            <w:rPr>
              <w:rFonts w:ascii="MS Gothic" w:eastAsia="MS Gothic" w:hAnsi="MS Gothic" w:cs="MS Gothic"/>
              <w:sz w:val="24"/>
              <w:szCs w:val="24"/>
            </w:rPr>
            <w:t>☐</w:t>
          </w:r>
        </w:sdtContent>
      </w:sdt>
      <w:r w:rsidRPr="00215394">
        <w:rPr>
          <w:rFonts w:eastAsia="Cambria"/>
          <w:sz w:val="24"/>
          <w:szCs w:val="24"/>
        </w:rPr>
        <w:t xml:space="preserve"> Existing</w:t>
      </w:r>
    </w:p>
    <w:p w:rsidR="004A18DB" w:rsidP="00422A1B" w14:paraId="7BDC0DCC" w14:textId="77777777">
      <w:pPr>
        <w:keepNext/>
        <w:keepLines/>
        <w:spacing w:after="120"/>
        <w:rPr>
          <w:b/>
          <w:bCs/>
          <w:sz w:val="24"/>
          <w:szCs w:val="24"/>
        </w:rPr>
      </w:pPr>
    </w:p>
    <w:p w:rsidR="0060743B" w:rsidP="00422A1B" w14:paraId="01F9ACCF" w14:textId="169F646B">
      <w:pPr>
        <w:keepNext/>
        <w:keepLines/>
        <w:spacing w:after="120"/>
        <w:rPr>
          <w:b/>
          <w:bCs/>
          <w:sz w:val="24"/>
          <w:szCs w:val="24"/>
        </w:rPr>
      </w:pPr>
      <w:r>
        <w:rPr>
          <w:b/>
          <w:bCs/>
          <w:sz w:val="24"/>
          <w:szCs w:val="24"/>
        </w:rPr>
        <w:t>JUSTIFICATION</w:t>
      </w:r>
    </w:p>
    <w:p w:rsidR="0060743B" w:rsidP="00422A1B" w14:paraId="2E174E9B" w14:textId="58D50095">
      <w:pPr>
        <w:keepNext/>
        <w:spacing w:after="120"/>
        <w:outlineLvl w:val="0"/>
        <w:rPr>
          <w:b/>
          <w:bCs/>
          <w:sz w:val="24"/>
          <w:szCs w:val="24"/>
        </w:rPr>
      </w:pPr>
      <w:r>
        <w:rPr>
          <w:b/>
          <w:bCs/>
          <w:sz w:val="24"/>
          <w:szCs w:val="24"/>
        </w:rPr>
        <w:t>A</w:t>
      </w:r>
      <w:r>
        <w:rPr>
          <w:b/>
          <w:bCs/>
          <w:sz w:val="24"/>
          <w:szCs w:val="24"/>
        </w:rPr>
        <w:t>1</w:t>
      </w:r>
      <w:r>
        <w:rPr>
          <w:b/>
          <w:bCs/>
          <w:sz w:val="24"/>
          <w:szCs w:val="24"/>
        </w:rPr>
        <w:t>.</w:t>
      </w:r>
      <w:r>
        <w:rPr>
          <w:b/>
          <w:bCs/>
          <w:sz w:val="24"/>
          <w:szCs w:val="24"/>
        </w:rPr>
        <w:tab/>
        <w:t>Circumstances of Information Collection</w:t>
      </w:r>
    </w:p>
    <w:p w:rsidR="00370B6A" w:rsidP="00CC519D" w14:paraId="6674345B" w14:textId="54A4ACDB">
      <w:pPr>
        <w:keepNext/>
        <w:tabs>
          <w:tab w:val="left" w:pos="720"/>
        </w:tabs>
        <w:spacing w:after="120"/>
        <w:rPr>
          <w:sz w:val="24"/>
          <w:szCs w:val="24"/>
        </w:rPr>
      </w:pPr>
      <w:r>
        <w:rPr>
          <w:sz w:val="24"/>
          <w:szCs w:val="24"/>
        </w:rPr>
        <w:t>The Substance Abuse and Mental Health Services Administration (SAMHSA)</w:t>
      </w:r>
      <w:r w:rsidR="000F49ED">
        <w:rPr>
          <w:sz w:val="24"/>
          <w:szCs w:val="24"/>
        </w:rPr>
        <w:t xml:space="preserve"> is requesting </w:t>
      </w:r>
      <w:r w:rsidR="001F1F22">
        <w:rPr>
          <w:sz w:val="24"/>
          <w:szCs w:val="24"/>
        </w:rPr>
        <w:t xml:space="preserve">approval </w:t>
      </w:r>
      <w:r>
        <w:rPr>
          <w:sz w:val="24"/>
          <w:szCs w:val="24"/>
        </w:rPr>
        <w:t>from the Office of Management and Budget (OMB)</w:t>
      </w:r>
      <w:r w:rsidR="001F1F22">
        <w:rPr>
          <w:sz w:val="24"/>
          <w:szCs w:val="24"/>
        </w:rPr>
        <w:t xml:space="preserve"> </w:t>
      </w:r>
      <w:r>
        <w:rPr>
          <w:sz w:val="24"/>
          <w:szCs w:val="24"/>
        </w:rPr>
        <w:t>for</w:t>
      </w:r>
      <w:r w:rsidR="008C760D">
        <w:rPr>
          <w:sz w:val="24"/>
          <w:szCs w:val="24"/>
        </w:rPr>
        <w:t xml:space="preserve"> </w:t>
      </w:r>
      <w:r w:rsidR="00966BB0">
        <w:rPr>
          <w:sz w:val="24"/>
          <w:szCs w:val="24"/>
        </w:rPr>
        <w:t xml:space="preserve">a revision to </w:t>
      </w:r>
      <w:r w:rsidR="00722D84">
        <w:rPr>
          <w:sz w:val="24"/>
          <w:szCs w:val="24"/>
        </w:rPr>
        <w:t>exten</w:t>
      </w:r>
      <w:r w:rsidR="00966BB0">
        <w:rPr>
          <w:sz w:val="24"/>
          <w:szCs w:val="24"/>
        </w:rPr>
        <w:t>d</w:t>
      </w:r>
      <w:r w:rsidR="00722D84">
        <w:rPr>
          <w:sz w:val="24"/>
          <w:szCs w:val="24"/>
        </w:rPr>
        <w:t xml:space="preserve"> the </w:t>
      </w:r>
      <w:r w:rsidR="009C204A">
        <w:rPr>
          <w:sz w:val="24"/>
          <w:szCs w:val="24"/>
        </w:rPr>
        <w:t xml:space="preserve">data collection period </w:t>
      </w:r>
      <w:r w:rsidR="00630283">
        <w:rPr>
          <w:sz w:val="24"/>
          <w:szCs w:val="24"/>
        </w:rPr>
        <w:t xml:space="preserve">of </w:t>
      </w:r>
      <w:r w:rsidR="008C760D">
        <w:rPr>
          <w:sz w:val="24"/>
          <w:szCs w:val="24"/>
        </w:rPr>
        <w:t xml:space="preserve">the previously approved instruments and data collection activities </w:t>
      </w:r>
      <w:r w:rsidRPr="00554212" w:rsidR="00554212">
        <w:rPr>
          <w:sz w:val="24"/>
          <w:szCs w:val="24"/>
        </w:rPr>
        <w:t xml:space="preserve">for the Center </w:t>
      </w:r>
      <w:r w:rsidR="00554212">
        <w:rPr>
          <w:sz w:val="24"/>
          <w:szCs w:val="24"/>
        </w:rPr>
        <w:t xml:space="preserve">Mental Health Services </w:t>
      </w:r>
      <w:r w:rsidR="00E70DC5">
        <w:rPr>
          <w:sz w:val="24"/>
          <w:szCs w:val="24"/>
        </w:rPr>
        <w:t xml:space="preserve">(CMHS) </w:t>
      </w:r>
      <w:r w:rsidRPr="00E70DC5" w:rsidR="00E70DC5">
        <w:rPr>
          <w:sz w:val="24"/>
          <w:szCs w:val="24"/>
        </w:rPr>
        <w:t>Mental Health Client/Consumer Outcome Measures and Infrastructure, Prevention and Promotion Indicators</w:t>
      </w:r>
      <w:r w:rsidR="00E70DC5">
        <w:rPr>
          <w:sz w:val="24"/>
          <w:szCs w:val="24"/>
        </w:rPr>
        <w:t xml:space="preserve"> </w:t>
      </w:r>
      <w:r w:rsidRPr="008C760D" w:rsidR="008C760D">
        <w:rPr>
          <w:sz w:val="24"/>
          <w:szCs w:val="24"/>
        </w:rPr>
        <w:t>(OMB No. 0930-0285)</w:t>
      </w:r>
      <w:r>
        <w:rPr>
          <w:sz w:val="24"/>
          <w:szCs w:val="24"/>
        </w:rPr>
        <w:t xml:space="preserve"> that </w:t>
      </w:r>
      <w:r w:rsidR="008C760D">
        <w:rPr>
          <w:sz w:val="24"/>
          <w:szCs w:val="24"/>
        </w:rPr>
        <w:t xml:space="preserve">expires on </w:t>
      </w:r>
      <w:r w:rsidR="00E70DC5">
        <w:rPr>
          <w:sz w:val="24"/>
          <w:szCs w:val="24"/>
        </w:rPr>
        <w:t>March 30</w:t>
      </w:r>
      <w:r w:rsidR="00FF4BA3">
        <w:rPr>
          <w:sz w:val="24"/>
          <w:szCs w:val="24"/>
        </w:rPr>
        <w:t>, 202</w:t>
      </w:r>
      <w:r w:rsidR="00E70DC5">
        <w:rPr>
          <w:sz w:val="24"/>
          <w:szCs w:val="24"/>
        </w:rPr>
        <w:t>5</w:t>
      </w:r>
      <w:r w:rsidR="00943A62">
        <w:rPr>
          <w:sz w:val="24"/>
          <w:szCs w:val="24"/>
        </w:rPr>
        <w:t>.</w:t>
      </w:r>
    </w:p>
    <w:p w:rsidR="00A85580" w:rsidP="000B0B5A" w14:paraId="420DF11E" w14:textId="6BA00C9F">
      <w:pPr>
        <w:keepNext/>
        <w:tabs>
          <w:tab w:val="left" w:pos="720"/>
        </w:tabs>
        <w:spacing w:after="120"/>
      </w:pPr>
      <w:r w:rsidRPr="00554212">
        <w:rPr>
          <w:sz w:val="24"/>
          <w:szCs w:val="24"/>
        </w:rPr>
        <w:t xml:space="preserve">To be fully accountable for the spending of federal funds, SAMHSA requires all programs to collect and report data to ensure that program goals and objectives are met. Data is collected and used to monitor and improve performance of each program and ensure appropriate and thoughtful spending of federal funds. </w:t>
      </w:r>
    </w:p>
    <w:p w:rsidR="00BB1BAF" w:rsidP="00422A1B" w14:paraId="3F35EA93" w14:textId="38356E48">
      <w:pPr>
        <w:keepNext/>
        <w:tabs>
          <w:tab w:val="left" w:pos="720"/>
        </w:tabs>
        <w:spacing w:after="120"/>
        <w:rPr>
          <w:sz w:val="24"/>
          <w:szCs w:val="24"/>
        </w:rPr>
      </w:pPr>
      <w:r w:rsidRPr="00554212">
        <w:rPr>
          <w:sz w:val="24"/>
          <w:szCs w:val="24"/>
        </w:rPr>
        <w:t>SAMHSA</w:t>
      </w:r>
      <w:r w:rsidRPr="00554212" w:rsidR="008C760D">
        <w:rPr>
          <w:sz w:val="24"/>
          <w:szCs w:val="24"/>
        </w:rPr>
        <w:t xml:space="preserve"> is </w:t>
      </w:r>
      <w:r w:rsidR="00535733">
        <w:rPr>
          <w:sz w:val="24"/>
          <w:szCs w:val="24"/>
        </w:rPr>
        <w:t xml:space="preserve">in the process of establishing a new data collection tool for client services which will be </w:t>
      </w:r>
      <w:r w:rsidR="007B5720">
        <w:rPr>
          <w:sz w:val="24"/>
          <w:szCs w:val="24"/>
        </w:rPr>
        <w:t xml:space="preserve">used </w:t>
      </w:r>
      <w:r w:rsidR="00EA33CD">
        <w:rPr>
          <w:sz w:val="24"/>
          <w:szCs w:val="24"/>
        </w:rPr>
        <w:t xml:space="preserve">by discretionary grants from both CMHS and </w:t>
      </w:r>
      <w:r w:rsidR="001C5E29">
        <w:rPr>
          <w:sz w:val="24"/>
          <w:szCs w:val="24"/>
        </w:rPr>
        <w:t>the Center for Substance Abuse Treatment</w:t>
      </w:r>
      <w:r w:rsidR="00266B18">
        <w:rPr>
          <w:sz w:val="24"/>
          <w:szCs w:val="24"/>
        </w:rPr>
        <w:t xml:space="preserve"> (CSAT)</w:t>
      </w:r>
      <w:r w:rsidR="007B5720">
        <w:rPr>
          <w:sz w:val="24"/>
          <w:szCs w:val="24"/>
        </w:rPr>
        <w:t xml:space="preserve">. While </w:t>
      </w:r>
      <w:r w:rsidR="00115818">
        <w:rPr>
          <w:sz w:val="24"/>
          <w:szCs w:val="24"/>
        </w:rPr>
        <w:t>working towards this new combined data collection,</w:t>
      </w:r>
      <w:r w:rsidR="008870A3">
        <w:rPr>
          <w:sz w:val="24"/>
          <w:szCs w:val="24"/>
        </w:rPr>
        <w:t xml:space="preserve"> SAMHSA is</w:t>
      </w:r>
      <w:r w:rsidR="00115818">
        <w:rPr>
          <w:sz w:val="24"/>
          <w:szCs w:val="24"/>
        </w:rPr>
        <w:t xml:space="preserve"> </w:t>
      </w:r>
      <w:r w:rsidRPr="00554212" w:rsidR="008C760D">
        <w:rPr>
          <w:sz w:val="24"/>
          <w:szCs w:val="24"/>
        </w:rPr>
        <w:t xml:space="preserve">requesting </w:t>
      </w:r>
      <w:r w:rsidR="00E53F7B">
        <w:rPr>
          <w:sz w:val="24"/>
          <w:szCs w:val="24"/>
        </w:rPr>
        <w:t xml:space="preserve">to extend </w:t>
      </w:r>
      <w:r w:rsidR="008D7A9C">
        <w:rPr>
          <w:sz w:val="24"/>
          <w:szCs w:val="24"/>
        </w:rPr>
        <w:t xml:space="preserve">the </w:t>
      </w:r>
      <w:r w:rsidR="008D7A9C">
        <w:rPr>
          <w:sz w:val="24"/>
          <w:szCs w:val="24"/>
        </w:rPr>
        <w:t>time period</w:t>
      </w:r>
      <w:r w:rsidR="008D7A9C">
        <w:rPr>
          <w:sz w:val="24"/>
          <w:szCs w:val="24"/>
        </w:rPr>
        <w:t xml:space="preserve"> for </w:t>
      </w:r>
      <w:r w:rsidR="00E53F7B">
        <w:rPr>
          <w:sz w:val="24"/>
          <w:szCs w:val="24"/>
        </w:rPr>
        <w:t>data collection using the currently approved tools without change</w:t>
      </w:r>
      <w:r w:rsidR="008D7A9C">
        <w:rPr>
          <w:sz w:val="24"/>
          <w:szCs w:val="24"/>
        </w:rPr>
        <w:t xml:space="preserve"> to the tools. </w:t>
      </w:r>
      <w:r w:rsidR="004A18DB">
        <w:rPr>
          <w:sz w:val="24"/>
          <w:szCs w:val="24"/>
        </w:rPr>
        <w:t xml:space="preserve">The </w:t>
      </w:r>
      <w:r w:rsidRPr="00E70DC5" w:rsidR="008D7A9C">
        <w:rPr>
          <w:sz w:val="24"/>
          <w:szCs w:val="24"/>
        </w:rPr>
        <w:t>Mental Health Client/Consumer Outcome Measures and Infrastructure, Prevention and Promotion</w:t>
      </w:r>
      <w:r w:rsidR="00A342E4">
        <w:rPr>
          <w:sz w:val="24"/>
          <w:szCs w:val="24"/>
        </w:rPr>
        <w:t xml:space="preserve"> (IPP)</w:t>
      </w:r>
      <w:r w:rsidRPr="00E70DC5" w:rsidR="008D7A9C">
        <w:rPr>
          <w:sz w:val="24"/>
          <w:szCs w:val="24"/>
        </w:rPr>
        <w:t xml:space="preserve"> Indicators</w:t>
      </w:r>
      <w:r w:rsidR="008D7A9C">
        <w:rPr>
          <w:sz w:val="24"/>
          <w:szCs w:val="24"/>
        </w:rPr>
        <w:t xml:space="preserve"> </w:t>
      </w:r>
      <w:r w:rsidR="000131B4">
        <w:rPr>
          <w:sz w:val="24"/>
          <w:szCs w:val="24"/>
        </w:rPr>
        <w:t xml:space="preserve">for discretionary mental health grant programs </w:t>
      </w:r>
      <w:r w:rsidR="008D7A9C">
        <w:rPr>
          <w:sz w:val="24"/>
          <w:szCs w:val="24"/>
        </w:rPr>
        <w:t>includes:</w:t>
      </w:r>
    </w:p>
    <w:p w:rsidR="008D7A9C" w:rsidRPr="008C45BB" w:rsidP="008C45BB" w14:paraId="3BEADC5D" w14:textId="00BB4FD7">
      <w:pPr>
        <w:pStyle w:val="ListParagraph"/>
        <w:keepNext/>
        <w:numPr>
          <w:ilvl w:val="0"/>
          <w:numId w:val="15"/>
        </w:numPr>
        <w:tabs>
          <w:tab w:val="left" w:pos="720"/>
        </w:tabs>
        <w:spacing w:after="120"/>
        <w:rPr>
          <w:sz w:val="24"/>
          <w:szCs w:val="24"/>
        </w:rPr>
      </w:pPr>
      <w:r w:rsidRPr="008C45BB">
        <w:rPr>
          <w:sz w:val="24"/>
          <w:szCs w:val="24"/>
        </w:rPr>
        <w:t xml:space="preserve">Attachment </w:t>
      </w:r>
      <w:r w:rsidRPr="008C45BB" w:rsidR="00C132F1">
        <w:rPr>
          <w:sz w:val="24"/>
          <w:szCs w:val="24"/>
        </w:rPr>
        <w:t xml:space="preserve">A </w:t>
      </w:r>
      <w:r w:rsidRPr="008C45BB" w:rsidR="00A342E4">
        <w:rPr>
          <w:sz w:val="24"/>
          <w:szCs w:val="24"/>
        </w:rPr>
        <w:t xml:space="preserve">is the client-level survey </w:t>
      </w:r>
      <w:r w:rsidR="008C45BB">
        <w:rPr>
          <w:sz w:val="24"/>
          <w:szCs w:val="24"/>
        </w:rPr>
        <w:t xml:space="preserve">of </w:t>
      </w:r>
      <w:r w:rsidR="000131B4">
        <w:rPr>
          <w:sz w:val="24"/>
          <w:szCs w:val="24"/>
        </w:rPr>
        <w:t>o</w:t>
      </w:r>
      <w:r w:rsidR="008C45BB">
        <w:rPr>
          <w:sz w:val="24"/>
          <w:szCs w:val="24"/>
        </w:rPr>
        <w:t xml:space="preserve">utcome </w:t>
      </w:r>
      <w:r w:rsidR="000131B4">
        <w:rPr>
          <w:sz w:val="24"/>
          <w:szCs w:val="24"/>
        </w:rPr>
        <w:t>m</w:t>
      </w:r>
      <w:r w:rsidR="008C45BB">
        <w:rPr>
          <w:sz w:val="24"/>
          <w:szCs w:val="24"/>
        </w:rPr>
        <w:t>easures</w:t>
      </w:r>
      <w:r w:rsidR="00F437FE">
        <w:rPr>
          <w:sz w:val="24"/>
          <w:szCs w:val="24"/>
        </w:rPr>
        <w:t>.</w:t>
      </w:r>
      <w:r w:rsidR="008C45BB">
        <w:rPr>
          <w:sz w:val="24"/>
          <w:szCs w:val="24"/>
        </w:rPr>
        <w:t xml:space="preserve"> </w:t>
      </w:r>
    </w:p>
    <w:p w:rsidR="00C132F1" w:rsidRPr="008C45BB" w:rsidP="008C45BB" w14:paraId="1D1E8CF3" w14:textId="2CF29764">
      <w:pPr>
        <w:pStyle w:val="ListParagraph"/>
        <w:keepNext/>
        <w:numPr>
          <w:ilvl w:val="0"/>
          <w:numId w:val="15"/>
        </w:numPr>
        <w:tabs>
          <w:tab w:val="left" w:pos="720"/>
        </w:tabs>
        <w:spacing w:after="120"/>
        <w:rPr>
          <w:sz w:val="24"/>
          <w:szCs w:val="24"/>
        </w:rPr>
      </w:pPr>
      <w:r w:rsidRPr="008C45BB">
        <w:rPr>
          <w:sz w:val="24"/>
          <w:szCs w:val="24"/>
        </w:rPr>
        <w:t>Attachment B</w:t>
      </w:r>
      <w:r w:rsidRPr="008C45BB" w:rsidR="003E7CC6">
        <w:rPr>
          <w:sz w:val="24"/>
          <w:szCs w:val="24"/>
        </w:rPr>
        <w:t xml:space="preserve"> lists the </w:t>
      </w:r>
      <w:r w:rsidRPr="008C45BB" w:rsidR="00A342E4">
        <w:rPr>
          <w:sz w:val="24"/>
          <w:szCs w:val="24"/>
        </w:rPr>
        <w:t xml:space="preserve">full set of </w:t>
      </w:r>
      <w:r w:rsidRPr="008C45BB" w:rsidR="003E7CC6">
        <w:rPr>
          <w:sz w:val="24"/>
          <w:szCs w:val="24"/>
        </w:rPr>
        <w:t>IPP indicators</w:t>
      </w:r>
      <w:r w:rsidR="00F437FE">
        <w:rPr>
          <w:sz w:val="24"/>
          <w:szCs w:val="24"/>
        </w:rPr>
        <w:t>.</w:t>
      </w:r>
      <w:r w:rsidRPr="008C45BB" w:rsidR="003E7CC6">
        <w:rPr>
          <w:sz w:val="24"/>
          <w:szCs w:val="24"/>
        </w:rPr>
        <w:t xml:space="preserve"> </w:t>
      </w:r>
    </w:p>
    <w:p w:rsidR="00C132F1" w:rsidRPr="008C45BB" w:rsidP="008C45BB" w14:paraId="3F586A23" w14:textId="71A69837">
      <w:pPr>
        <w:pStyle w:val="ListParagraph"/>
        <w:keepNext/>
        <w:numPr>
          <w:ilvl w:val="0"/>
          <w:numId w:val="15"/>
        </w:numPr>
        <w:tabs>
          <w:tab w:val="left" w:pos="720"/>
        </w:tabs>
        <w:spacing w:after="120"/>
        <w:rPr>
          <w:sz w:val="24"/>
          <w:szCs w:val="24"/>
        </w:rPr>
      </w:pPr>
      <w:r w:rsidRPr="008C45BB">
        <w:rPr>
          <w:sz w:val="24"/>
          <w:szCs w:val="24"/>
        </w:rPr>
        <w:t>Attachment C</w:t>
      </w:r>
      <w:r w:rsidRPr="008C45BB" w:rsidR="003E7CC6">
        <w:rPr>
          <w:sz w:val="24"/>
          <w:szCs w:val="24"/>
        </w:rPr>
        <w:t xml:space="preserve"> is the IPP </w:t>
      </w:r>
      <w:r w:rsidRPr="008C45BB" w:rsidR="00A342E4">
        <w:rPr>
          <w:sz w:val="24"/>
          <w:szCs w:val="24"/>
        </w:rPr>
        <w:t>report form</w:t>
      </w:r>
      <w:r w:rsidR="00F437FE">
        <w:rPr>
          <w:sz w:val="24"/>
          <w:szCs w:val="24"/>
        </w:rPr>
        <w:t>.</w:t>
      </w:r>
    </w:p>
    <w:p w:rsidR="006D716F" w:rsidRPr="00100495" w:rsidP="006D716F" w14:paraId="136CFA2D" w14:textId="77777777">
      <w:pPr>
        <w:pStyle w:val="ListParagraph"/>
        <w:keepNext/>
        <w:tabs>
          <w:tab w:val="left" w:pos="720"/>
        </w:tabs>
        <w:spacing w:after="120"/>
        <w:ind w:left="1440"/>
        <w:contextualSpacing w:val="0"/>
        <w:rPr>
          <w:color w:val="000000" w:themeColor="text1"/>
          <w:sz w:val="24"/>
          <w:szCs w:val="24"/>
        </w:rPr>
      </w:pPr>
    </w:p>
    <w:p w:rsidR="001750AE" w:rsidP="00422A1B" w14:paraId="5314243F" w14:textId="2F6E85D6">
      <w:pPr>
        <w:pStyle w:val="Level1"/>
        <w:spacing w:after="120"/>
        <w:ind w:left="0"/>
      </w:pPr>
      <w:r>
        <w:t xml:space="preserve">These data collection forms </w:t>
      </w:r>
      <w:r w:rsidR="00A32D4D">
        <w:t xml:space="preserve">capture </w:t>
      </w:r>
      <w:r w:rsidR="00A85580">
        <w:t xml:space="preserve">qualitative </w:t>
      </w:r>
      <w:r w:rsidRPr="006B355B" w:rsidR="00B244F7">
        <w:t xml:space="preserve">performance and </w:t>
      </w:r>
      <w:r w:rsidR="00A85580">
        <w:t xml:space="preserve">quantitative </w:t>
      </w:r>
      <w:r w:rsidR="00A32D4D">
        <w:t xml:space="preserve">process, outputs, and </w:t>
      </w:r>
      <w:r w:rsidR="00A85580">
        <w:t>out</w:t>
      </w:r>
      <w:r w:rsidRPr="006B355B" w:rsidR="00B244F7">
        <w:t xml:space="preserve">comes for </w:t>
      </w:r>
      <w:r w:rsidR="006E2BCE">
        <w:t xml:space="preserve">CMHS discretionary </w:t>
      </w:r>
      <w:r w:rsidR="00A85580">
        <w:t xml:space="preserve">grant </w:t>
      </w:r>
      <w:r w:rsidRPr="006B355B" w:rsidR="00B244F7">
        <w:t>programs,</w:t>
      </w:r>
      <w:r w:rsidR="001845B4">
        <w:t xml:space="preserve"> including</w:t>
      </w:r>
      <w:r w:rsidRPr="006B355B" w:rsidR="00B244F7">
        <w:t xml:space="preserve"> demographic characteristics of individuals served; numbers of individuals </w:t>
      </w:r>
      <w:r w:rsidR="00C57BAD">
        <w:t xml:space="preserve">reached, trained, </w:t>
      </w:r>
      <w:r w:rsidRPr="006B355B" w:rsidR="00B244F7">
        <w:t>served</w:t>
      </w:r>
      <w:r w:rsidR="00C57BAD">
        <w:t xml:space="preserve">, </w:t>
      </w:r>
      <w:r w:rsidR="001479B8">
        <w:t xml:space="preserve">or </w:t>
      </w:r>
      <w:r w:rsidR="00C57BAD">
        <w:t>referred</w:t>
      </w:r>
      <w:r w:rsidRPr="006B355B" w:rsidR="00B244F7">
        <w:t>; and characteristics of services and activities provided</w:t>
      </w:r>
      <w:r w:rsidRPr="006B355B" w:rsidR="0016247C">
        <w:t xml:space="preserve">. </w:t>
      </w:r>
    </w:p>
    <w:p w:rsidR="0060743B" w:rsidRPr="00422A1B" w:rsidP="000B0B5A" w14:paraId="5C031BE2" w14:textId="50B96207">
      <w:pPr>
        <w:pStyle w:val="BodyTextIndent2"/>
        <w:spacing w:after="120"/>
        <w:ind w:left="0"/>
        <w:jc w:val="left"/>
      </w:pPr>
      <w:r>
        <w:t xml:space="preserve">Approval of this information collection will allow SAMHSA to continue to meet Government Performance and Results </w:t>
      </w:r>
      <w:r w:rsidR="006B355B">
        <w:t xml:space="preserve">Modernization </w:t>
      </w:r>
      <w:r>
        <w:t xml:space="preserve">Act of </w:t>
      </w:r>
      <w:r w:rsidR="006B355B">
        <w:t xml:space="preserve">2010 </w:t>
      </w:r>
      <w:r>
        <w:t>(GPR</w:t>
      </w:r>
      <w:r w:rsidR="006B355B">
        <w:t>M</w:t>
      </w:r>
      <w:r>
        <w:t>A) reporting requirements that quantify the effects and accomplishments of its programs, which are consistent with OMB guidance</w:t>
      </w:r>
      <w:r w:rsidR="0016247C">
        <w:rPr>
          <w:b/>
          <w:bCs/>
        </w:rPr>
        <w:t xml:space="preserve">.  </w:t>
      </w:r>
    </w:p>
    <w:p w:rsidR="0060743B" w:rsidP="00422A1B" w14:paraId="3BEA1346" w14:textId="593437A7">
      <w:pPr>
        <w:spacing w:after="120"/>
        <w:rPr>
          <w:sz w:val="24"/>
        </w:rPr>
      </w:pPr>
      <w:r>
        <w:rPr>
          <w:sz w:val="24"/>
        </w:rPr>
        <w:t>SAMHSA’s legislative mandate is to increase access to high quality substance abuse and mental health prevention and treatment services and to improve outcomes</w:t>
      </w:r>
      <w:r w:rsidR="0016247C">
        <w:rPr>
          <w:sz w:val="24"/>
        </w:rPr>
        <w:t xml:space="preserve">.  </w:t>
      </w:r>
      <w:r>
        <w:rPr>
          <w:sz w:val="24"/>
        </w:rPr>
        <w:t>Its mission is to improve the quality and availability of treatment and prevention services for substance abuse and mental illness</w:t>
      </w:r>
      <w:r w:rsidR="0016247C">
        <w:rPr>
          <w:sz w:val="24"/>
        </w:rPr>
        <w:t xml:space="preserve">.  </w:t>
      </w:r>
      <w:r>
        <w:rPr>
          <w:sz w:val="24"/>
        </w:rPr>
        <w:t>To support this mission, the Agency’s overarching goals are:</w:t>
      </w:r>
    </w:p>
    <w:p w:rsidR="0060743B" w:rsidRPr="00422A1B" w:rsidP="00581E95" w14:paraId="7062D936" w14:textId="774AFB60">
      <w:pPr>
        <w:pStyle w:val="ListParagraph"/>
        <w:numPr>
          <w:ilvl w:val="0"/>
          <w:numId w:val="5"/>
        </w:numPr>
        <w:spacing w:after="120"/>
        <w:contextualSpacing w:val="0"/>
        <w:rPr>
          <w:sz w:val="24"/>
        </w:rPr>
      </w:pPr>
      <w:r w:rsidRPr="00422A1B">
        <w:rPr>
          <w:sz w:val="24"/>
        </w:rPr>
        <w:t>Accountability—Establish systems to ensure program performance measurement and accountability</w:t>
      </w:r>
      <w:r w:rsidR="00B941CC">
        <w:rPr>
          <w:sz w:val="24"/>
        </w:rPr>
        <w:t>.</w:t>
      </w:r>
    </w:p>
    <w:p w:rsidR="0060743B" w:rsidRPr="00422A1B" w:rsidP="00581E95" w14:paraId="1B33E0E9" w14:textId="129A7E86">
      <w:pPr>
        <w:pStyle w:val="ListParagraph"/>
        <w:numPr>
          <w:ilvl w:val="0"/>
          <w:numId w:val="5"/>
        </w:numPr>
        <w:spacing w:after="120"/>
        <w:contextualSpacing w:val="0"/>
        <w:rPr>
          <w:sz w:val="24"/>
        </w:rPr>
      </w:pPr>
      <w:r w:rsidRPr="00422A1B">
        <w:rPr>
          <w:sz w:val="24"/>
        </w:rPr>
        <w:t>Capacity—Build, maintain, and enhance mental health and substance abuse infrastructure and capacity</w:t>
      </w:r>
      <w:r w:rsidR="00B941CC">
        <w:rPr>
          <w:sz w:val="24"/>
        </w:rPr>
        <w:t>.</w:t>
      </w:r>
    </w:p>
    <w:p w:rsidR="0060743B" w:rsidRPr="00422A1B" w:rsidP="00581E95" w14:paraId="3047FA86" w14:textId="4BF49CD7">
      <w:pPr>
        <w:pStyle w:val="ListParagraph"/>
        <w:numPr>
          <w:ilvl w:val="0"/>
          <w:numId w:val="5"/>
        </w:numPr>
        <w:spacing w:after="120"/>
        <w:contextualSpacing w:val="0"/>
        <w:rPr>
          <w:sz w:val="24"/>
        </w:rPr>
      </w:pPr>
      <w:r w:rsidRPr="00422A1B">
        <w:rPr>
          <w:sz w:val="24"/>
        </w:rPr>
        <w:t>Effectiveness—Enable all communities and providers to deliver effective services</w:t>
      </w:r>
      <w:r w:rsidR="00B941CC">
        <w:rPr>
          <w:sz w:val="24"/>
        </w:rPr>
        <w:t>.</w:t>
      </w:r>
    </w:p>
    <w:p w:rsidR="00255A7A" w:rsidRPr="00074B23" w:rsidP="00074B23" w14:paraId="313FA4A0" w14:textId="1D1C8998">
      <w:pPr>
        <w:spacing w:after="120"/>
        <w:rPr>
          <w:b/>
          <w:sz w:val="24"/>
        </w:rPr>
      </w:pPr>
      <w:r>
        <w:rPr>
          <w:sz w:val="24"/>
        </w:rPr>
        <w:t>Each of these key goals complements SAMHSA’s legislative mandate</w:t>
      </w:r>
      <w:r w:rsidR="0016247C">
        <w:rPr>
          <w:sz w:val="24"/>
        </w:rPr>
        <w:t xml:space="preserve">.  </w:t>
      </w:r>
      <w:r>
        <w:rPr>
          <w:sz w:val="24"/>
        </w:rPr>
        <w:t>All of SAMHSA’s programs and activities are geared toward the achievement of these goals</w:t>
      </w:r>
      <w:r w:rsidR="0023359B">
        <w:rPr>
          <w:sz w:val="24"/>
        </w:rPr>
        <w:t>,</w:t>
      </w:r>
      <w:r>
        <w:rPr>
          <w:sz w:val="24"/>
        </w:rPr>
        <w:t xml:space="preserve"> and GPRA performance monitoring is a collaborative and cooperative aspect of this process.</w:t>
      </w:r>
      <w:r>
        <w:rPr>
          <w:b/>
          <w:sz w:val="24"/>
        </w:rPr>
        <w:t xml:space="preserve"> </w:t>
      </w:r>
      <w:r w:rsidRPr="00104868" w:rsidR="0023359B">
        <w:rPr>
          <w:sz w:val="24"/>
        </w:rPr>
        <w:t>SAMHSA</w:t>
      </w:r>
      <w:r w:rsidR="00074B23">
        <w:rPr>
          <w:sz w:val="24"/>
        </w:rPr>
        <w:t xml:space="preserve"> continues to </w:t>
      </w:r>
      <w:r w:rsidRPr="00104868" w:rsidR="0023359B">
        <w:rPr>
          <w:sz w:val="24"/>
        </w:rPr>
        <w:t xml:space="preserve">use </w:t>
      </w:r>
      <w:r w:rsidRPr="00104868" w:rsidR="007B6D8E">
        <w:rPr>
          <w:sz w:val="24"/>
        </w:rPr>
        <w:t>data collected from its discretionary grant portfolio to e</w:t>
      </w:r>
      <w:r w:rsidRPr="00104868" w:rsidR="0023359B">
        <w:rPr>
          <w:sz w:val="24"/>
        </w:rPr>
        <w:t xml:space="preserve">nhance </w:t>
      </w:r>
      <w:r w:rsidRPr="00104868" w:rsidR="007B6D8E">
        <w:rPr>
          <w:sz w:val="24"/>
        </w:rPr>
        <w:t xml:space="preserve">grantee </w:t>
      </w:r>
      <w:r w:rsidRPr="00104868" w:rsidR="00F058D1">
        <w:rPr>
          <w:sz w:val="24"/>
        </w:rPr>
        <w:t xml:space="preserve">performance and to improve the lives of Americans with mental health and substance </w:t>
      </w:r>
      <w:r w:rsidRPr="00104868" w:rsidR="007B6D8E">
        <w:rPr>
          <w:sz w:val="24"/>
        </w:rPr>
        <w:t>use</w:t>
      </w:r>
      <w:r w:rsidRPr="00104868" w:rsidR="00F058D1">
        <w:rPr>
          <w:sz w:val="24"/>
        </w:rPr>
        <w:t xml:space="preserve"> disorders. </w:t>
      </w:r>
      <w:r w:rsidRPr="00104868" w:rsidR="00D54C5D">
        <w:rPr>
          <w:sz w:val="24"/>
        </w:rPr>
        <w:t xml:space="preserve">The current request seeks approval to </w:t>
      </w:r>
      <w:r w:rsidR="001836DD">
        <w:rPr>
          <w:sz w:val="24"/>
        </w:rPr>
        <w:t>extend the valid period for</w:t>
      </w:r>
      <w:r w:rsidRPr="00104868" w:rsidR="00D54C5D">
        <w:rPr>
          <w:sz w:val="24"/>
        </w:rPr>
        <w:t xml:space="preserve"> </w:t>
      </w:r>
      <w:r w:rsidR="0016247C">
        <w:rPr>
          <w:sz w:val="24"/>
        </w:rPr>
        <w:t>the</w:t>
      </w:r>
      <w:r w:rsidRPr="00104868" w:rsidR="0016247C">
        <w:rPr>
          <w:sz w:val="24"/>
        </w:rPr>
        <w:t xml:space="preserve"> </w:t>
      </w:r>
      <w:r w:rsidRPr="00104868" w:rsidR="00D54C5D">
        <w:rPr>
          <w:sz w:val="24"/>
        </w:rPr>
        <w:t>current data collection tools</w:t>
      </w:r>
      <w:r>
        <w:rPr>
          <w:sz w:val="24"/>
        </w:rPr>
        <w:t xml:space="preserve"> as summarized above</w:t>
      </w:r>
      <w:r w:rsidR="00372676">
        <w:rPr>
          <w:sz w:val="24"/>
        </w:rPr>
        <w:t>.</w:t>
      </w:r>
    </w:p>
    <w:p w:rsidR="0060743B" w:rsidP="00422A1B" w14:paraId="078B0203" w14:textId="12C30D4B">
      <w:pPr>
        <w:spacing w:after="120"/>
        <w:rPr>
          <w:sz w:val="24"/>
          <w:szCs w:val="24"/>
        </w:rPr>
      </w:pPr>
      <w:r>
        <w:rPr>
          <w:b/>
          <w:bCs/>
          <w:sz w:val="24"/>
          <w:szCs w:val="24"/>
        </w:rPr>
        <w:t>A</w:t>
      </w:r>
      <w:r>
        <w:rPr>
          <w:b/>
          <w:bCs/>
          <w:sz w:val="24"/>
          <w:szCs w:val="24"/>
        </w:rPr>
        <w:t>2</w:t>
      </w:r>
      <w:r>
        <w:rPr>
          <w:b/>
          <w:bCs/>
          <w:sz w:val="24"/>
          <w:szCs w:val="24"/>
        </w:rPr>
        <w:t>.</w:t>
      </w:r>
      <w:r>
        <w:rPr>
          <w:b/>
          <w:bCs/>
          <w:sz w:val="24"/>
          <w:szCs w:val="24"/>
        </w:rPr>
        <w:tab/>
        <w:t>Purpose</w:t>
      </w:r>
      <w:r w:rsidR="006B355B">
        <w:rPr>
          <w:b/>
          <w:bCs/>
          <w:sz w:val="24"/>
          <w:szCs w:val="24"/>
        </w:rPr>
        <w:t>s</w:t>
      </w:r>
      <w:r>
        <w:rPr>
          <w:b/>
          <w:bCs/>
          <w:sz w:val="24"/>
          <w:szCs w:val="24"/>
        </w:rPr>
        <w:t xml:space="preserve"> and Use of Information</w:t>
      </w:r>
    </w:p>
    <w:p w:rsidR="00372676" w:rsidP="00422A1B" w14:paraId="2D37A66B" w14:textId="63CDAE08">
      <w:pPr>
        <w:pStyle w:val="BodyText"/>
        <w:spacing w:after="120" w:line="240" w:lineRule="auto"/>
      </w:pPr>
      <w:r>
        <w:t xml:space="preserve">All SAMHSA/Center for Mental Health Services </w:t>
      </w:r>
      <w:r w:rsidR="004B7282">
        <w:t xml:space="preserve">discretionary </w:t>
      </w:r>
      <w:r>
        <w:t xml:space="preserve">grant programs collect and report </w:t>
      </w:r>
      <w:r w:rsidR="004B7282">
        <w:t xml:space="preserve">on </w:t>
      </w:r>
      <w:r w:rsidR="007521AA">
        <w:t xml:space="preserve">an assigned number of </w:t>
      </w:r>
      <w:r w:rsidR="006E013B">
        <w:t>i</w:t>
      </w:r>
      <w:r>
        <w:t xml:space="preserve">nfrastructure, </w:t>
      </w:r>
      <w:r w:rsidR="006E013B">
        <w:t>p</w:t>
      </w:r>
      <w:r>
        <w:t xml:space="preserve">revention, and </w:t>
      </w:r>
      <w:r w:rsidR="006E013B">
        <w:t>m</w:t>
      </w:r>
      <w:r w:rsidR="000F49ED">
        <w:t xml:space="preserve">ental </w:t>
      </w:r>
      <w:r w:rsidR="006E013B">
        <w:t>h</w:t>
      </w:r>
      <w:r w:rsidR="000F49ED">
        <w:t xml:space="preserve">ealth </w:t>
      </w:r>
      <w:r w:rsidR="006E013B">
        <w:t>p</w:t>
      </w:r>
      <w:r>
        <w:t>romotion</w:t>
      </w:r>
      <w:r w:rsidR="007521AA">
        <w:t xml:space="preserve"> indicators according to the required activities of the grant program</w:t>
      </w:r>
      <w:r>
        <w:t xml:space="preserve">. A subset of CMHS discretionary grant programs that provide direct client treatment </w:t>
      </w:r>
      <w:r w:rsidR="00A366DE">
        <w:t>services</w:t>
      </w:r>
      <w:r>
        <w:t xml:space="preserve"> also </w:t>
      </w:r>
      <w:r w:rsidR="00A366DE">
        <w:t xml:space="preserve">collect and report </w:t>
      </w:r>
      <w:r>
        <w:t>client-level</w:t>
      </w:r>
      <w:r w:rsidR="00D32782">
        <w:t xml:space="preserve"> data from </w:t>
      </w:r>
      <w:r w:rsidR="00820A0E">
        <w:t xml:space="preserve">collected through client interviews at enrollment, during treatment, and at the end of treatment </w:t>
      </w:r>
      <w:r>
        <w:t xml:space="preserve">to </w:t>
      </w:r>
      <w:r w:rsidR="00A366DE">
        <w:t>m</w:t>
      </w:r>
      <w:r w:rsidR="00820A0E">
        <w:t xml:space="preserve">onitor </w:t>
      </w:r>
      <w:r w:rsidR="00A366DE">
        <w:t xml:space="preserve">the </w:t>
      </w:r>
      <w:r>
        <w:t xml:space="preserve">performance these grants. </w:t>
      </w:r>
    </w:p>
    <w:p w:rsidR="006B355B" w:rsidP="00422A1B" w14:paraId="6EA75B46" w14:textId="61AE72D8">
      <w:pPr>
        <w:pStyle w:val="BodyText"/>
        <w:spacing w:after="120" w:line="240" w:lineRule="auto"/>
      </w:pPr>
      <w:r>
        <w:t xml:space="preserve">These data </w:t>
      </w:r>
      <w:r w:rsidR="00255A7A">
        <w:t>are use</w:t>
      </w:r>
      <w:r w:rsidRPr="006B355B">
        <w:t>d by individuals at three different levels</w:t>
      </w:r>
      <w:r>
        <w:t xml:space="preserve"> within SAMHSA</w:t>
      </w:r>
      <w:r w:rsidRPr="006B355B">
        <w:t xml:space="preserve">: the </w:t>
      </w:r>
      <w:r w:rsidR="00E47CA8">
        <w:t>Assistant Secretary</w:t>
      </w:r>
      <w:r w:rsidR="00255A7A">
        <w:t xml:space="preserve"> of Substance Abuse and Mental Health Services</w:t>
      </w:r>
      <w:r>
        <w:t xml:space="preserve">; </w:t>
      </w:r>
      <w:r w:rsidRPr="006B355B">
        <w:t>Center</w:t>
      </w:r>
      <w:r>
        <w:t>-level</w:t>
      </w:r>
      <w:r w:rsidRPr="006B355B">
        <w:t xml:space="preserve"> administrators</w:t>
      </w:r>
      <w:r>
        <w:t xml:space="preserve">, </w:t>
      </w:r>
      <w:r w:rsidR="00255A7A">
        <w:t xml:space="preserve">respective leadership teams, and Program Staff (i.e., </w:t>
      </w:r>
      <w:r w:rsidRPr="006B355B">
        <w:t>Government Project Officers</w:t>
      </w:r>
      <w:r w:rsidR="00D95F73">
        <w:t xml:space="preserve"> </w:t>
      </w:r>
      <w:r>
        <w:t>[</w:t>
      </w:r>
      <w:r w:rsidR="00D95F73">
        <w:t>GPOs</w:t>
      </w:r>
      <w:r>
        <w:t>]</w:t>
      </w:r>
      <w:r w:rsidR="00D95F73">
        <w:t>)</w:t>
      </w:r>
      <w:r w:rsidR="00666F06">
        <w:t>; and grantees.</w:t>
      </w:r>
      <w:r w:rsidRPr="006B355B">
        <w:t xml:space="preserve">  </w:t>
      </w:r>
    </w:p>
    <w:p w:rsidR="0060743B" w:rsidP="00422A1B" w14:paraId="2809DF55" w14:textId="2C5CB112">
      <w:pPr>
        <w:spacing w:after="120"/>
        <w:rPr>
          <w:sz w:val="24"/>
        </w:rPr>
      </w:pPr>
      <w:r>
        <w:rPr>
          <w:b/>
          <w:sz w:val="24"/>
        </w:rPr>
        <w:t>Assistant Secretary</w:t>
      </w:r>
      <w:r>
        <w:rPr>
          <w:b/>
          <w:sz w:val="24"/>
        </w:rPr>
        <w:t xml:space="preserve"> Level</w:t>
      </w:r>
      <w:r w:rsidR="00A366DE">
        <w:rPr>
          <w:b/>
          <w:sz w:val="24"/>
        </w:rPr>
        <w:t xml:space="preserve">: </w:t>
      </w:r>
      <w:r>
        <w:rPr>
          <w:sz w:val="24"/>
        </w:rPr>
        <w:t>The information inform</w:t>
      </w:r>
      <w:r w:rsidR="000F49ED">
        <w:rPr>
          <w:sz w:val="24"/>
        </w:rPr>
        <w:t>s</w:t>
      </w:r>
      <w:r>
        <w:rPr>
          <w:sz w:val="24"/>
        </w:rPr>
        <w:t xml:space="preserve"> the </w:t>
      </w:r>
      <w:r w:rsidRPr="006B355B">
        <w:rPr>
          <w:sz w:val="24"/>
        </w:rPr>
        <w:t xml:space="preserve">Assistant Secretary for Mental Health and Substance </w:t>
      </w:r>
      <w:r w:rsidR="00626835">
        <w:rPr>
          <w:sz w:val="24"/>
        </w:rPr>
        <w:t xml:space="preserve">Use </w:t>
      </w:r>
      <w:r>
        <w:rPr>
          <w:sz w:val="24"/>
        </w:rPr>
        <w:t xml:space="preserve">on the performance </w:t>
      </w:r>
      <w:r>
        <w:rPr>
          <w:sz w:val="24"/>
        </w:rPr>
        <w:t xml:space="preserve">and outcomes </w:t>
      </w:r>
      <w:r>
        <w:rPr>
          <w:sz w:val="24"/>
        </w:rPr>
        <w:t xml:space="preserve">of </w:t>
      </w:r>
      <w:r w:rsidR="0073177C">
        <w:rPr>
          <w:sz w:val="24"/>
        </w:rPr>
        <w:t>a</w:t>
      </w:r>
      <w:r w:rsidR="00255A7A">
        <w:rPr>
          <w:sz w:val="24"/>
        </w:rPr>
        <w:t xml:space="preserve">ll funded </w:t>
      </w:r>
      <w:r>
        <w:rPr>
          <w:sz w:val="24"/>
        </w:rPr>
        <w:t>programs</w:t>
      </w:r>
      <w:r w:rsidR="00255A7A">
        <w:rPr>
          <w:sz w:val="24"/>
        </w:rPr>
        <w:t xml:space="preserve">.  </w:t>
      </w:r>
      <w:r>
        <w:rPr>
          <w:sz w:val="24"/>
        </w:rPr>
        <w:t xml:space="preserve">Performance </w:t>
      </w:r>
      <w:r w:rsidR="00BC7626">
        <w:rPr>
          <w:sz w:val="24"/>
        </w:rPr>
        <w:t>is</w:t>
      </w:r>
      <w:r w:rsidR="00A366DE">
        <w:rPr>
          <w:sz w:val="24"/>
        </w:rPr>
        <w:t xml:space="preserve"> </w:t>
      </w:r>
      <w:r w:rsidR="00255A7A">
        <w:rPr>
          <w:sz w:val="24"/>
        </w:rPr>
        <w:t xml:space="preserve">linked to the </w:t>
      </w:r>
      <w:r>
        <w:rPr>
          <w:sz w:val="24"/>
        </w:rPr>
        <w:t xml:space="preserve">goals </w:t>
      </w:r>
      <w:r w:rsidR="00A366DE">
        <w:rPr>
          <w:sz w:val="24"/>
        </w:rPr>
        <w:t xml:space="preserve">and objectives of all grant programs. </w:t>
      </w:r>
      <w:r>
        <w:rPr>
          <w:sz w:val="24"/>
        </w:rPr>
        <w:t xml:space="preserve">The intent is </w:t>
      </w:r>
      <w:r w:rsidR="00A366DE">
        <w:rPr>
          <w:sz w:val="24"/>
        </w:rPr>
        <w:t>for th</w:t>
      </w:r>
      <w:r w:rsidR="000F49ED">
        <w:rPr>
          <w:sz w:val="24"/>
        </w:rPr>
        <w:t>is information to</w:t>
      </w:r>
      <w:r w:rsidR="00A366DE">
        <w:rPr>
          <w:sz w:val="24"/>
        </w:rPr>
        <w:t xml:space="preserve"> </w:t>
      </w:r>
      <w:r>
        <w:rPr>
          <w:sz w:val="24"/>
        </w:rPr>
        <w:t xml:space="preserve">serve as the basis of the annual report to Congress contained in the Justifications of Budget Estimates.  </w:t>
      </w:r>
    </w:p>
    <w:p w:rsidR="0060743B" w:rsidP="00422A1B" w14:paraId="59DE9C3B" w14:textId="7F2F291B">
      <w:pPr>
        <w:spacing w:after="120"/>
        <w:rPr>
          <w:sz w:val="24"/>
        </w:rPr>
      </w:pPr>
      <w:r w:rsidRPr="00DF0EF5">
        <w:rPr>
          <w:b/>
          <w:sz w:val="24"/>
        </w:rPr>
        <w:t>Center Level</w:t>
      </w:r>
      <w:r w:rsidRPr="00422A1B" w:rsidR="00145A08">
        <w:rPr>
          <w:b/>
          <w:sz w:val="24"/>
        </w:rPr>
        <w:t xml:space="preserve"> </w:t>
      </w:r>
      <w:r w:rsidRPr="00422A1B" w:rsidR="00A366DE">
        <w:rPr>
          <w:b/>
          <w:sz w:val="24"/>
        </w:rPr>
        <w:t>Administrators</w:t>
      </w:r>
      <w:r w:rsidR="00A366DE">
        <w:rPr>
          <w:b/>
          <w:sz w:val="24"/>
        </w:rPr>
        <w:t xml:space="preserve">, </w:t>
      </w:r>
      <w:r w:rsidRPr="00422A1B" w:rsidR="00A366DE">
        <w:rPr>
          <w:b/>
          <w:sz w:val="24"/>
        </w:rPr>
        <w:t>Leadership Teams</w:t>
      </w:r>
      <w:r w:rsidR="00A366DE">
        <w:rPr>
          <w:b/>
          <w:sz w:val="24"/>
        </w:rPr>
        <w:t xml:space="preserve">, and Government Project Officers Level: </w:t>
      </w:r>
      <w:r>
        <w:rPr>
          <w:sz w:val="24"/>
        </w:rPr>
        <w:t xml:space="preserve">In addition to providing information </w:t>
      </w:r>
      <w:r w:rsidR="00145A08">
        <w:rPr>
          <w:sz w:val="24"/>
        </w:rPr>
        <w:t xml:space="preserve">about </w:t>
      </w:r>
      <w:r>
        <w:rPr>
          <w:sz w:val="24"/>
        </w:rPr>
        <w:t>the performance of the various programs, th</w:t>
      </w:r>
      <w:r w:rsidR="000F49ED">
        <w:rPr>
          <w:sz w:val="24"/>
        </w:rPr>
        <w:t xml:space="preserve">e </w:t>
      </w:r>
      <w:r>
        <w:rPr>
          <w:sz w:val="24"/>
        </w:rPr>
        <w:t xml:space="preserve">information </w:t>
      </w:r>
      <w:r w:rsidR="00A366DE">
        <w:rPr>
          <w:sz w:val="24"/>
        </w:rPr>
        <w:t>is u</w:t>
      </w:r>
      <w:r>
        <w:rPr>
          <w:sz w:val="24"/>
        </w:rPr>
        <w:t>sed to monitor and manage individual grant projects within each program</w:t>
      </w:r>
      <w:r w:rsidR="0016247C">
        <w:rPr>
          <w:sz w:val="24"/>
        </w:rPr>
        <w:t xml:space="preserve">.  </w:t>
      </w:r>
      <w:r>
        <w:rPr>
          <w:sz w:val="24"/>
        </w:rPr>
        <w:t xml:space="preserve">The information </w:t>
      </w:r>
      <w:r w:rsidR="00A366DE">
        <w:rPr>
          <w:sz w:val="24"/>
        </w:rPr>
        <w:t xml:space="preserve">is </w:t>
      </w:r>
      <w:r w:rsidR="00DF0EF5">
        <w:rPr>
          <w:sz w:val="24"/>
        </w:rPr>
        <w:t xml:space="preserve">also </w:t>
      </w:r>
      <w:r>
        <w:rPr>
          <w:sz w:val="24"/>
        </w:rPr>
        <w:t xml:space="preserve">used </w:t>
      </w:r>
      <w:r w:rsidR="00145A08">
        <w:rPr>
          <w:sz w:val="24"/>
        </w:rPr>
        <w:t xml:space="preserve">by </w:t>
      </w:r>
      <w:r w:rsidR="00D95F73">
        <w:rPr>
          <w:sz w:val="24"/>
        </w:rPr>
        <w:t>GPOs</w:t>
      </w:r>
      <w:r w:rsidR="00145A08">
        <w:rPr>
          <w:sz w:val="24"/>
        </w:rPr>
        <w:t xml:space="preserve"> </w:t>
      </w:r>
      <w:r>
        <w:rPr>
          <w:sz w:val="24"/>
        </w:rPr>
        <w:t xml:space="preserve">to identify </w:t>
      </w:r>
      <w:r w:rsidR="00145A08">
        <w:rPr>
          <w:sz w:val="24"/>
        </w:rPr>
        <w:t xml:space="preserve">program </w:t>
      </w:r>
      <w:r>
        <w:rPr>
          <w:sz w:val="24"/>
        </w:rPr>
        <w:t>strengths and weaknesses</w:t>
      </w:r>
      <w:r w:rsidR="00145A08">
        <w:rPr>
          <w:sz w:val="24"/>
        </w:rPr>
        <w:t>,</w:t>
      </w:r>
      <w:r w:rsidR="00A366DE">
        <w:rPr>
          <w:sz w:val="24"/>
        </w:rPr>
        <w:t xml:space="preserve"> </w:t>
      </w:r>
      <w:r>
        <w:rPr>
          <w:sz w:val="24"/>
        </w:rPr>
        <w:t xml:space="preserve">provide an informed basis for providing technical assistance and other support to grantees, inform continuation </w:t>
      </w:r>
      <w:r w:rsidR="00571600">
        <w:rPr>
          <w:sz w:val="24"/>
        </w:rPr>
        <w:t xml:space="preserve">of </w:t>
      </w:r>
      <w:r>
        <w:rPr>
          <w:sz w:val="24"/>
        </w:rPr>
        <w:t>funding decisions, and identify</w:t>
      </w:r>
      <w:r w:rsidR="00145A08">
        <w:rPr>
          <w:sz w:val="24"/>
        </w:rPr>
        <w:t xml:space="preserve"> </w:t>
      </w:r>
      <w:r>
        <w:rPr>
          <w:sz w:val="24"/>
        </w:rPr>
        <w:t xml:space="preserve">potential </w:t>
      </w:r>
      <w:r w:rsidR="00145A08">
        <w:rPr>
          <w:sz w:val="24"/>
        </w:rPr>
        <w:t xml:space="preserve">issues </w:t>
      </w:r>
      <w:r>
        <w:rPr>
          <w:sz w:val="24"/>
        </w:rPr>
        <w:t xml:space="preserve">for </w:t>
      </w:r>
      <w:r w:rsidR="00063639">
        <w:rPr>
          <w:sz w:val="24"/>
        </w:rPr>
        <w:t>additional</w:t>
      </w:r>
      <w:r w:rsidR="00145A08">
        <w:rPr>
          <w:sz w:val="24"/>
        </w:rPr>
        <w:t xml:space="preserve"> </w:t>
      </w:r>
      <w:r>
        <w:rPr>
          <w:sz w:val="24"/>
        </w:rPr>
        <w:t xml:space="preserve">evaluation.  </w:t>
      </w:r>
    </w:p>
    <w:p w:rsidR="0060743B" w:rsidP="000B0B5A" w14:paraId="789A67EF" w14:textId="72FC7839">
      <w:pPr>
        <w:spacing w:after="120"/>
        <w:rPr>
          <w:sz w:val="24"/>
        </w:rPr>
      </w:pPr>
      <w:r>
        <w:rPr>
          <w:b/>
          <w:sz w:val="24"/>
        </w:rPr>
        <w:t>Grantee Level</w:t>
      </w:r>
      <w:r w:rsidR="000F49ED">
        <w:rPr>
          <w:b/>
          <w:sz w:val="24"/>
        </w:rPr>
        <w:t xml:space="preserve">: </w:t>
      </w:r>
      <w:r>
        <w:rPr>
          <w:sz w:val="24"/>
        </w:rPr>
        <w:t xml:space="preserve">In addition to monitoring performance </w:t>
      </w:r>
      <w:r w:rsidR="00063639">
        <w:rPr>
          <w:sz w:val="24"/>
        </w:rPr>
        <w:t xml:space="preserve">and </w:t>
      </w:r>
      <w:r>
        <w:rPr>
          <w:sz w:val="24"/>
        </w:rPr>
        <w:t>outcomes, the grantee staff can use the information to improve the quality of services</w:t>
      </w:r>
      <w:r w:rsidR="00063639">
        <w:rPr>
          <w:sz w:val="24"/>
        </w:rPr>
        <w:t xml:space="preserve"> </w:t>
      </w:r>
      <w:r>
        <w:rPr>
          <w:sz w:val="24"/>
        </w:rPr>
        <w:t xml:space="preserve">provided to </w:t>
      </w:r>
      <w:r w:rsidR="00A366DE">
        <w:rPr>
          <w:sz w:val="24"/>
        </w:rPr>
        <w:t>their selected population(s) of focus w</w:t>
      </w:r>
      <w:r>
        <w:rPr>
          <w:sz w:val="24"/>
        </w:rPr>
        <w:t xml:space="preserve">ithin their projects.  </w:t>
      </w:r>
    </w:p>
    <w:p w:rsidR="0060743B" w:rsidP="000B0B5A" w14:paraId="408EE777" w14:textId="1E5CF230">
      <w:pPr>
        <w:spacing w:after="120"/>
        <w:rPr>
          <w:sz w:val="24"/>
          <w:szCs w:val="18"/>
        </w:rPr>
      </w:pPr>
      <w:r>
        <w:rPr>
          <w:sz w:val="24"/>
        </w:rPr>
        <w:t>SAMHSA use</w:t>
      </w:r>
      <w:r w:rsidR="00A366DE">
        <w:rPr>
          <w:sz w:val="24"/>
        </w:rPr>
        <w:t>s</w:t>
      </w:r>
      <w:r>
        <w:rPr>
          <w:sz w:val="24"/>
        </w:rPr>
        <w:t xml:space="preserve"> the data collected for annual reporting required by </w:t>
      </w:r>
      <w:r w:rsidR="00141CBE">
        <w:rPr>
          <w:sz w:val="24"/>
          <w:szCs w:val="24"/>
        </w:rPr>
        <w:t>the Government Performance and Results Modernization Act (GPRMA) of 2010</w:t>
      </w:r>
      <w:r w:rsidR="0016247C">
        <w:rPr>
          <w:sz w:val="24"/>
        </w:rPr>
        <w:t xml:space="preserve">. </w:t>
      </w:r>
      <w:r>
        <w:rPr>
          <w:sz w:val="24"/>
        </w:rPr>
        <w:t xml:space="preserve">The information collected through this </w:t>
      </w:r>
      <w:r w:rsidR="00066FC6">
        <w:rPr>
          <w:sz w:val="24"/>
        </w:rPr>
        <w:t>ongoing</w:t>
      </w:r>
      <w:r>
        <w:rPr>
          <w:sz w:val="24"/>
        </w:rPr>
        <w:t xml:space="preserve"> data collection </w:t>
      </w:r>
      <w:r>
        <w:rPr>
          <w:sz w:val="24"/>
        </w:rPr>
        <w:t xml:space="preserve">process will allow SAMHSA to report on the results of these performance </w:t>
      </w:r>
      <w:r w:rsidR="00626835">
        <w:rPr>
          <w:sz w:val="24"/>
        </w:rPr>
        <w:t xml:space="preserve">indicators </w:t>
      </w:r>
      <w:r>
        <w:rPr>
          <w:sz w:val="24"/>
        </w:rPr>
        <w:t xml:space="preserve">and </w:t>
      </w:r>
      <w:r>
        <w:rPr>
          <w:sz w:val="24"/>
        </w:rPr>
        <w:t xml:space="preserve">outcomes </w:t>
      </w:r>
      <w:r>
        <w:rPr>
          <w:sz w:val="24"/>
        </w:rPr>
        <w:t xml:space="preserve">in a manner that is </w:t>
      </w:r>
      <w:r>
        <w:rPr>
          <w:sz w:val="24"/>
          <w:szCs w:val="18"/>
        </w:rPr>
        <w:t xml:space="preserve">consistent with </w:t>
      </w:r>
      <w:r>
        <w:rPr>
          <w:sz w:val="24"/>
          <w:szCs w:val="18"/>
        </w:rPr>
        <w:t xml:space="preserve">SAMHSA </w:t>
      </w:r>
      <w:r>
        <w:rPr>
          <w:sz w:val="24"/>
          <w:szCs w:val="18"/>
        </w:rPr>
        <w:t>specific performance domains</w:t>
      </w:r>
      <w:r>
        <w:rPr>
          <w:sz w:val="24"/>
          <w:szCs w:val="18"/>
        </w:rPr>
        <w:t xml:space="preserve"> and </w:t>
      </w:r>
      <w:r>
        <w:rPr>
          <w:sz w:val="24"/>
          <w:szCs w:val="18"/>
        </w:rPr>
        <w:t xml:space="preserve">to assess the accountability and performance of </w:t>
      </w:r>
      <w:r w:rsidR="008F1C9F">
        <w:rPr>
          <w:sz w:val="24"/>
          <w:szCs w:val="18"/>
        </w:rPr>
        <w:t xml:space="preserve">all </w:t>
      </w:r>
      <w:r>
        <w:rPr>
          <w:sz w:val="24"/>
          <w:szCs w:val="18"/>
        </w:rPr>
        <w:t>discretionary</w:t>
      </w:r>
      <w:r w:rsidR="00A310FE">
        <w:rPr>
          <w:sz w:val="24"/>
          <w:szCs w:val="18"/>
        </w:rPr>
        <w:t xml:space="preserve"> grant programs.</w:t>
      </w:r>
      <w:r>
        <w:rPr>
          <w:sz w:val="24"/>
          <w:szCs w:val="18"/>
        </w:rPr>
        <w:t xml:space="preserve">  </w:t>
      </w:r>
    </w:p>
    <w:p w:rsidR="00076951" w14:paraId="5EF161B7" w14:textId="67DC0DEA">
      <w:pPr>
        <w:spacing w:after="120"/>
        <w:rPr>
          <w:b/>
          <w:sz w:val="24"/>
          <w:szCs w:val="24"/>
        </w:rPr>
      </w:pPr>
      <w:r>
        <w:rPr>
          <w:b/>
          <w:sz w:val="24"/>
          <w:szCs w:val="24"/>
        </w:rPr>
        <w:t>CMHS response to 60-day Federal Register Notice</w:t>
      </w:r>
    </w:p>
    <w:p w:rsidR="008F1C9F" w:rsidP="008F1C9F" w14:paraId="27BC09F6" w14:textId="33A3BD4D">
      <w:pPr>
        <w:autoSpaceDE/>
        <w:autoSpaceDN/>
        <w:adjustRightInd/>
        <w:spacing w:after="120"/>
        <w:rPr>
          <w:rFonts w:eastAsia="Calibri"/>
          <w:sz w:val="24"/>
          <w:szCs w:val="24"/>
        </w:rPr>
      </w:pPr>
      <w:r>
        <w:rPr>
          <w:rFonts w:eastAsia="Calibri"/>
          <w:sz w:val="24"/>
          <w:szCs w:val="24"/>
        </w:rPr>
        <w:t xml:space="preserve">In response to the </w:t>
      </w:r>
      <w:r w:rsidRPr="008F1C9F">
        <w:rPr>
          <w:rFonts w:eastAsia="Calibri"/>
          <w:sz w:val="24"/>
          <w:szCs w:val="24"/>
        </w:rPr>
        <w:t xml:space="preserve">60-day FRN, SAMHSA/CMHS received correspondence and inquiries from </w:t>
      </w:r>
      <w:r w:rsidR="001D5E27">
        <w:rPr>
          <w:rFonts w:eastAsia="Calibri"/>
          <w:sz w:val="24"/>
          <w:szCs w:val="24"/>
        </w:rPr>
        <w:t xml:space="preserve">    </w:t>
      </w:r>
      <w:r w:rsidR="001D5E27">
        <w:rPr>
          <w:rFonts w:eastAsia="Calibri"/>
          <w:sz w:val="24"/>
          <w:szCs w:val="24"/>
        </w:rPr>
        <w:t xml:space="preserve">   </w:t>
      </w:r>
      <w:r>
        <w:rPr>
          <w:rFonts w:eastAsia="Calibri"/>
          <w:sz w:val="24"/>
          <w:szCs w:val="24"/>
        </w:rPr>
        <w:t>(</w:t>
      </w:r>
      <w:r>
        <w:rPr>
          <w:rFonts w:eastAsia="Calibri"/>
          <w:sz w:val="24"/>
          <w:szCs w:val="24"/>
        </w:rPr>
        <w:t>r</w:t>
      </w:r>
      <w:r w:rsidRPr="008F1C9F">
        <w:rPr>
          <w:rFonts w:eastAsia="Calibri"/>
          <w:sz w:val="24"/>
          <w:szCs w:val="24"/>
        </w:rPr>
        <w:t>efer to Attachment C: CMHS/GPRA Public Comment Response Matrix</w:t>
      </w:r>
      <w:r>
        <w:rPr>
          <w:rFonts w:eastAsia="Calibri"/>
          <w:sz w:val="24"/>
          <w:szCs w:val="24"/>
        </w:rPr>
        <w:t>)</w:t>
      </w:r>
      <w:r w:rsidRPr="008F1C9F">
        <w:rPr>
          <w:rFonts w:eastAsia="Calibri"/>
          <w:sz w:val="24"/>
          <w:szCs w:val="24"/>
        </w:rPr>
        <w:t xml:space="preserve">.  </w:t>
      </w:r>
    </w:p>
    <w:p w:rsidR="00066FC6" w:rsidP="008F1C9F" w14:paraId="57865501" w14:textId="77777777">
      <w:pPr>
        <w:autoSpaceDE/>
        <w:autoSpaceDN/>
        <w:adjustRightInd/>
        <w:spacing w:after="120"/>
        <w:rPr>
          <w:rFonts w:eastAsia="Calibri"/>
          <w:sz w:val="24"/>
          <w:szCs w:val="24"/>
        </w:rPr>
      </w:pPr>
    </w:p>
    <w:p w:rsidR="007D0760" w:rsidRPr="00422A1B" w14:paraId="391D3E59" w14:textId="440A97FA">
      <w:pPr>
        <w:spacing w:after="120"/>
        <w:rPr>
          <w:b/>
          <w:sz w:val="24"/>
          <w:szCs w:val="24"/>
        </w:rPr>
      </w:pPr>
      <w:r w:rsidRPr="00422A1B">
        <w:rPr>
          <w:b/>
          <w:sz w:val="24"/>
          <w:szCs w:val="24"/>
        </w:rPr>
        <w:t>Data Collection for Client-level National Outcome Measures</w:t>
      </w:r>
    </w:p>
    <w:p w:rsidR="0060743B" w14:paraId="0A2D35E6" w14:textId="025C2C07">
      <w:pPr>
        <w:spacing w:after="120"/>
        <w:rPr>
          <w:sz w:val="24"/>
          <w:szCs w:val="24"/>
        </w:rPr>
      </w:pPr>
      <w:r>
        <w:rPr>
          <w:sz w:val="24"/>
          <w:szCs w:val="24"/>
        </w:rPr>
        <w:t xml:space="preserve">Client-level national outcome measures </w:t>
      </w:r>
      <w:r w:rsidR="00AE112C">
        <w:rPr>
          <w:sz w:val="24"/>
          <w:szCs w:val="24"/>
        </w:rPr>
        <w:t xml:space="preserve">(NOMs) </w:t>
      </w:r>
      <w:r>
        <w:rPr>
          <w:sz w:val="24"/>
          <w:szCs w:val="24"/>
        </w:rPr>
        <w:t xml:space="preserve">data </w:t>
      </w:r>
      <w:r w:rsidR="0081452E">
        <w:rPr>
          <w:sz w:val="24"/>
          <w:szCs w:val="24"/>
        </w:rPr>
        <w:t>reflect the Agency’s desire for consistency in data collected within the Agency</w:t>
      </w:r>
      <w:r w:rsidR="0016247C">
        <w:rPr>
          <w:sz w:val="24"/>
          <w:szCs w:val="24"/>
        </w:rPr>
        <w:t xml:space="preserve">. </w:t>
      </w:r>
      <w:r w:rsidR="0081452E">
        <w:rPr>
          <w:sz w:val="24"/>
          <w:szCs w:val="24"/>
        </w:rPr>
        <w:t>SAMHSA has i</w:t>
      </w:r>
      <w:r w:rsidR="00817682">
        <w:rPr>
          <w:sz w:val="24"/>
          <w:szCs w:val="24"/>
        </w:rPr>
        <w:t>dentified</w:t>
      </w:r>
      <w:r w:rsidR="0081452E">
        <w:rPr>
          <w:sz w:val="24"/>
          <w:szCs w:val="24"/>
        </w:rPr>
        <w:t xml:space="preserve"> specific performance domains to assess the accountability and performance of its discretionary grants</w:t>
      </w:r>
      <w:r w:rsidR="0016247C">
        <w:rPr>
          <w:sz w:val="24"/>
          <w:szCs w:val="24"/>
        </w:rPr>
        <w:t xml:space="preserve">. </w:t>
      </w:r>
      <w:r w:rsidR="0081452E">
        <w:rPr>
          <w:sz w:val="24"/>
          <w:szCs w:val="24"/>
        </w:rPr>
        <w:t>These domains represent SAMHSA’s focus on the factors that contribute to the suc</w:t>
      </w:r>
      <w:r w:rsidR="00817682">
        <w:rPr>
          <w:sz w:val="24"/>
          <w:szCs w:val="24"/>
        </w:rPr>
        <w:t xml:space="preserve">cess of mental health treatment, and </w:t>
      </w:r>
      <w:r w:rsidR="00AE112C">
        <w:rPr>
          <w:sz w:val="24"/>
          <w:szCs w:val="24"/>
        </w:rPr>
        <w:t>include</w:t>
      </w:r>
      <w:r w:rsidR="00817682">
        <w:rPr>
          <w:sz w:val="24"/>
          <w:szCs w:val="24"/>
        </w:rPr>
        <w:t>:</w:t>
      </w:r>
      <w:r w:rsidR="0081452E">
        <w:rPr>
          <w:sz w:val="24"/>
          <w:szCs w:val="24"/>
        </w:rPr>
        <w:t xml:space="preserve"> </w:t>
      </w:r>
    </w:p>
    <w:p w:rsidR="00F573BC" w:rsidP="00581E95" w14:paraId="01A5846C" w14:textId="77777777">
      <w:pPr>
        <w:pStyle w:val="ListParagraph"/>
        <w:numPr>
          <w:ilvl w:val="0"/>
          <w:numId w:val="7"/>
        </w:numPr>
        <w:spacing w:after="120"/>
        <w:contextualSpacing w:val="0"/>
        <w:rPr>
          <w:bCs/>
          <w:sz w:val="24"/>
        </w:rPr>
      </w:pPr>
      <w:r>
        <w:rPr>
          <w:bCs/>
          <w:sz w:val="24"/>
        </w:rPr>
        <w:t xml:space="preserve">Demographics </w:t>
      </w:r>
    </w:p>
    <w:p w:rsidR="00F573BC" w:rsidP="00581E95" w14:paraId="2958520A" w14:textId="3798F2C0">
      <w:pPr>
        <w:pStyle w:val="ListParagraph"/>
        <w:numPr>
          <w:ilvl w:val="0"/>
          <w:numId w:val="7"/>
        </w:numPr>
        <w:spacing w:after="120"/>
        <w:contextualSpacing w:val="0"/>
        <w:rPr>
          <w:bCs/>
          <w:sz w:val="24"/>
        </w:rPr>
      </w:pPr>
      <w:r>
        <w:rPr>
          <w:bCs/>
          <w:sz w:val="24"/>
        </w:rPr>
        <w:t>Behavioral Health Diagnosis</w:t>
      </w:r>
    </w:p>
    <w:p w:rsidR="00D245E0" w:rsidRPr="00422A1B" w:rsidP="00581E95" w14:paraId="5F42AFAF" w14:textId="3147C4DE">
      <w:pPr>
        <w:pStyle w:val="ListParagraph"/>
        <w:numPr>
          <w:ilvl w:val="0"/>
          <w:numId w:val="7"/>
        </w:numPr>
        <w:spacing w:after="120"/>
        <w:contextualSpacing w:val="0"/>
        <w:rPr>
          <w:bCs/>
          <w:sz w:val="24"/>
        </w:rPr>
      </w:pPr>
      <w:r w:rsidRPr="00422A1B">
        <w:rPr>
          <w:bCs/>
          <w:sz w:val="24"/>
        </w:rPr>
        <w:t>Functioning</w:t>
      </w:r>
    </w:p>
    <w:p w:rsidR="00D245E0" w:rsidP="00581E95" w14:paraId="270D533B" w14:textId="77777777">
      <w:pPr>
        <w:numPr>
          <w:ilvl w:val="0"/>
          <w:numId w:val="7"/>
        </w:numPr>
        <w:spacing w:after="120"/>
        <w:rPr>
          <w:bCs/>
          <w:sz w:val="24"/>
        </w:rPr>
      </w:pPr>
      <w:r w:rsidRPr="00D245E0">
        <w:rPr>
          <w:bCs/>
          <w:sz w:val="24"/>
        </w:rPr>
        <w:t>Stability in Housing</w:t>
      </w:r>
    </w:p>
    <w:p w:rsidR="00D245E0" w:rsidP="00581E95" w14:paraId="0E5D1C1F" w14:textId="77777777">
      <w:pPr>
        <w:numPr>
          <w:ilvl w:val="0"/>
          <w:numId w:val="7"/>
        </w:numPr>
        <w:spacing w:after="120"/>
        <w:rPr>
          <w:bCs/>
          <w:sz w:val="24"/>
        </w:rPr>
      </w:pPr>
      <w:r w:rsidRPr="00D245E0">
        <w:rPr>
          <w:bCs/>
          <w:sz w:val="24"/>
        </w:rPr>
        <w:t>Education and Employment</w:t>
      </w:r>
    </w:p>
    <w:p w:rsidR="00D245E0" w:rsidP="00581E95" w14:paraId="7E01C174" w14:textId="77777777">
      <w:pPr>
        <w:numPr>
          <w:ilvl w:val="0"/>
          <w:numId w:val="7"/>
        </w:numPr>
        <w:spacing w:after="120"/>
        <w:rPr>
          <w:bCs/>
          <w:sz w:val="24"/>
        </w:rPr>
      </w:pPr>
      <w:r>
        <w:rPr>
          <w:bCs/>
          <w:sz w:val="24"/>
        </w:rPr>
        <w:t>Crime and Criminal Justice</w:t>
      </w:r>
    </w:p>
    <w:p w:rsidR="00D245E0" w:rsidP="00581E95" w14:paraId="4F50C58F" w14:textId="77777777">
      <w:pPr>
        <w:numPr>
          <w:ilvl w:val="0"/>
          <w:numId w:val="7"/>
        </w:numPr>
        <w:spacing w:after="120"/>
        <w:rPr>
          <w:bCs/>
          <w:sz w:val="24"/>
        </w:rPr>
      </w:pPr>
      <w:r w:rsidRPr="00D245E0">
        <w:rPr>
          <w:bCs/>
          <w:sz w:val="24"/>
        </w:rPr>
        <w:t>Perception of Care</w:t>
      </w:r>
    </w:p>
    <w:p w:rsidR="00D245E0" w:rsidP="00581E95" w14:paraId="06BFBF15" w14:textId="77777777">
      <w:pPr>
        <w:numPr>
          <w:ilvl w:val="0"/>
          <w:numId w:val="7"/>
        </w:numPr>
        <w:spacing w:after="120"/>
        <w:rPr>
          <w:bCs/>
          <w:sz w:val="24"/>
        </w:rPr>
      </w:pPr>
      <w:r w:rsidRPr="00D245E0">
        <w:rPr>
          <w:bCs/>
          <w:sz w:val="24"/>
        </w:rPr>
        <w:t>Social Connectedness</w:t>
      </w:r>
    </w:p>
    <w:p w:rsidR="005859C0" w:rsidP="00581E95" w14:paraId="346D12BC" w14:textId="160E15E6">
      <w:pPr>
        <w:pStyle w:val="ListParagraph"/>
        <w:numPr>
          <w:ilvl w:val="0"/>
          <w:numId w:val="7"/>
        </w:numPr>
        <w:autoSpaceDE/>
        <w:autoSpaceDN/>
        <w:adjustRightInd/>
        <w:spacing w:after="120"/>
        <w:contextualSpacing w:val="0"/>
        <w:rPr>
          <w:sz w:val="24"/>
          <w:szCs w:val="24"/>
        </w:rPr>
      </w:pPr>
      <w:r>
        <w:rPr>
          <w:sz w:val="24"/>
          <w:szCs w:val="24"/>
        </w:rPr>
        <w:t>Program-</w:t>
      </w:r>
      <w:r w:rsidR="00F573BC">
        <w:rPr>
          <w:sz w:val="24"/>
          <w:szCs w:val="24"/>
        </w:rPr>
        <w:t>S</w:t>
      </w:r>
      <w:r>
        <w:rPr>
          <w:sz w:val="24"/>
          <w:szCs w:val="24"/>
        </w:rPr>
        <w:t xml:space="preserve">pecific </w:t>
      </w:r>
      <w:r w:rsidR="00F573BC">
        <w:rPr>
          <w:sz w:val="24"/>
          <w:szCs w:val="24"/>
        </w:rPr>
        <w:t>M</w:t>
      </w:r>
      <w:r>
        <w:rPr>
          <w:sz w:val="24"/>
          <w:szCs w:val="24"/>
        </w:rPr>
        <w:t>easures</w:t>
      </w:r>
    </w:p>
    <w:p w:rsidR="00422A1B" w14:paraId="3DC0DAC6" w14:textId="5558D4E5">
      <w:pPr>
        <w:pStyle w:val="ListParagraph"/>
        <w:numPr>
          <w:ilvl w:val="0"/>
          <w:numId w:val="7"/>
        </w:numPr>
        <w:autoSpaceDE/>
        <w:autoSpaceDN/>
        <w:adjustRightInd/>
        <w:spacing w:after="120"/>
        <w:contextualSpacing w:val="0"/>
        <w:rPr>
          <w:sz w:val="24"/>
          <w:szCs w:val="24"/>
        </w:rPr>
      </w:pPr>
      <w:r>
        <w:rPr>
          <w:sz w:val="24"/>
          <w:szCs w:val="24"/>
        </w:rPr>
        <w:t>Services Received and Clinical Discharge Status</w:t>
      </w:r>
    </w:p>
    <w:p w:rsidR="00817682" w:rsidRPr="00422A1B" w:rsidP="005F6841" w14:paraId="78D62421" w14:textId="4948AF70">
      <w:pPr>
        <w:autoSpaceDE/>
        <w:autoSpaceDN/>
        <w:adjustRightInd/>
        <w:spacing w:after="120"/>
        <w:rPr>
          <w:sz w:val="24"/>
          <w:szCs w:val="24"/>
        </w:rPr>
      </w:pPr>
      <w:r w:rsidRPr="000B0B5A">
        <w:rPr>
          <w:sz w:val="24"/>
          <w:szCs w:val="24"/>
        </w:rPr>
        <w:t xml:space="preserve">SAMHSA/CMHS </w:t>
      </w:r>
      <w:r w:rsidRPr="000B0B5A" w:rsidR="005859C0">
        <w:rPr>
          <w:sz w:val="24"/>
          <w:szCs w:val="24"/>
        </w:rPr>
        <w:t xml:space="preserve">services </w:t>
      </w:r>
      <w:r w:rsidRPr="000B0B5A">
        <w:rPr>
          <w:sz w:val="24"/>
          <w:szCs w:val="24"/>
        </w:rPr>
        <w:t>grant programs that provide direct treatment to c</w:t>
      </w:r>
      <w:r w:rsidR="0080334E">
        <w:rPr>
          <w:sz w:val="24"/>
          <w:szCs w:val="24"/>
        </w:rPr>
        <w:t>lients</w:t>
      </w:r>
      <w:r w:rsidRPr="000B0B5A" w:rsidR="005859C0">
        <w:rPr>
          <w:sz w:val="24"/>
          <w:szCs w:val="24"/>
        </w:rPr>
        <w:t xml:space="preserve"> </w:t>
      </w:r>
      <w:r w:rsidRPr="000B0B5A">
        <w:rPr>
          <w:sz w:val="24"/>
          <w:szCs w:val="24"/>
        </w:rPr>
        <w:t>currently have an OMB approved data collection</w:t>
      </w:r>
      <w:r w:rsidRPr="000B0B5A" w:rsidR="00C46AFC">
        <w:rPr>
          <w:sz w:val="24"/>
          <w:szCs w:val="24"/>
        </w:rPr>
        <w:t xml:space="preserve"> tool</w:t>
      </w:r>
      <w:r w:rsidRPr="000B0B5A">
        <w:rPr>
          <w:sz w:val="24"/>
          <w:szCs w:val="24"/>
        </w:rPr>
        <w:t xml:space="preserve"> in place</w:t>
      </w:r>
      <w:r w:rsidRPr="000B0B5A" w:rsidR="0016247C">
        <w:rPr>
          <w:sz w:val="24"/>
          <w:szCs w:val="24"/>
        </w:rPr>
        <w:t xml:space="preserve">. </w:t>
      </w:r>
      <w:r w:rsidRPr="000B0B5A" w:rsidR="005859C0">
        <w:rPr>
          <w:sz w:val="24"/>
          <w:szCs w:val="24"/>
        </w:rPr>
        <w:t>T</w:t>
      </w:r>
      <w:r w:rsidRPr="000B0B5A">
        <w:rPr>
          <w:sz w:val="24"/>
          <w:szCs w:val="24"/>
        </w:rPr>
        <w:t xml:space="preserve">his request for approval is </w:t>
      </w:r>
      <w:r w:rsidR="0080334E">
        <w:rPr>
          <w:sz w:val="24"/>
          <w:szCs w:val="24"/>
        </w:rPr>
        <w:t>to extend the valid</w:t>
      </w:r>
      <w:r w:rsidR="00813B9A">
        <w:rPr>
          <w:sz w:val="24"/>
          <w:szCs w:val="24"/>
        </w:rPr>
        <w:t>ity</w:t>
      </w:r>
      <w:r w:rsidR="0080334E">
        <w:rPr>
          <w:sz w:val="24"/>
          <w:szCs w:val="24"/>
        </w:rPr>
        <w:t xml:space="preserve"> period for data collection</w:t>
      </w:r>
      <w:r w:rsidR="005F6841">
        <w:rPr>
          <w:sz w:val="24"/>
          <w:szCs w:val="24"/>
        </w:rPr>
        <w:t xml:space="preserve">. </w:t>
      </w:r>
    </w:p>
    <w:p w:rsidR="00817682" w:rsidRPr="00ED0425" w:rsidP="00422A1B" w14:paraId="08C0E659" w14:textId="17127C1D">
      <w:pPr>
        <w:keepNext/>
        <w:spacing w:after="120"/>
        <w:outlineLvl w:val="2"/>
        <w:rPr>
          <w:b/>
          <w:bCs/>
          <w:sz w:val="24"/>
          <w:szCs w:val="24"/>
        </w:rPr>
      </w:pPr>
      <w:r w:rsidRPr="00ED0425">
        <w:rPr>
          <w:b/>
          <w:bCs/>
          <w:sz w:val="24"/>
          <w:szCs w:val="24"/>
        </w:rPr>
        <w:t>Data Collection for Infrastructure, Prevention, and Promotion Performance Indicators</w:t>
      </w:r>
    </w:p>
    <w:p w:rsidR="00817682" w:rsidP="00422A1B" w14:paraId="3885EB4E" w14:textId="31BA960F">
      <w:pPr>
        <w:autoSpaceDE/>
        <w:autoSpaceDN/>
        <w:adjustRightInd/>
        <w:spacing w:after="120"/>
        <w:rPr>
          <w:sz w:val="24"/>
          <w:szCs w:val="24"/>
        </w:rPr>
      </w:pPr>
      <w:r w:rsidRPr="00817682">
        <w:rPr>
          <w:sz w:val="24"/>
          <w:szCs w:val="24"/>
        </w:rPr>
        <w:t>To facilitate CMHS reporting of GPRA data for programs engaged in substantial infrastructure development, prevention, and mental health promotion activities, the agency has identified 1</w:t>
      </w:r>
      <w:r w:rsidR="002D287B">
        <w:rPr>
          <w:sz w:val="24"/>
          <w:szCs w:val="24"/>
        </w:rPr>
        <w:t>3</w:t>
      </w:r>
      <w:r w:rsidRPr="00817682">
        <w:rPr>
          <w:sz w:val="24"/>
          <w:szCs w:val="24"/>
        </w:rPr>
        <w:t xml:space="preserve"> categories of interest for accountability and performance monitoring</w:t>
      </w:r>
      <w:r w:rsidRPr="00817682" w:rsidR="0016247C">
        <w:rPr>
          <w:sz w:val="24"/>
          <w:szCs w:val="24"/>
        </w:rPr>
        <w:t xml:space="preserve">. </w:t>
      </w:r>
      <w:r w:rsidRPr="00817682">
        <w:rPr>
          <w:sz w:val="24"/>
          <w:szCs w:val="24"/>
        </w:rPr>
        <w:t>The</w:t>
      </w:r>
      <w:r w:rsidR="002D287B">
        <w:rPr>
          <w:sz w:val="24"/>
          <w:szCs w:val="24"/>
        </w:rPr>
        <w:t xml:space="preserve"> </w:t>
      </w:r>
      <w:r w:rsidR="00671728">
        <w:rPr>
          <w:sz w:val="24"/>
          <w:szCs w:val="24"/>
        </w:rPr>
        <w:t>categories are as follows:</w:t>
      </w:r>
      <w:r w:rsidRPr="00817682">
        <w:rPr>
          <w:sz w:val="24"/>
          <w:szCs w:val="24"/>
        </w:rPr>
        <w:t xml:space="preserve"> </w:t>
      </w:r>
    </w:p>
    <w:p w:rsidR="00817682" w:rsidP="00581E95" w14:paraId="4C158FD5" w14:textId="07DDCEB1">
      <w:pPr>
        <w:pStyle w:val="ListParagraph"/>
        <w:numPr>
          <w:ilvl w:val="0"/>
          <w:numId w:val="3"/>
        </w:numPr>
        <w:autoSpaceDE/>
        <w:autoSpaceDN/>
        <w:adjustRightInd/>
        <w:spacing w:after="120"/>
        <w:contextualSpacing w:val="0"/>
        <w:rPr>
          <w:sz w:val="24"/>
          <w:szCs w:val="24"/>
        </w:rPr>
      </w:pPr>
      <w:r>
        <w:rPr>
          <w:sz w:val="24"/>
          <w:szCs w:val="24"/>
        </w:rPr>
        <w:t>Accountability</w:t>
      </w:r>
    </w:p>
    <w:p w:rsidR="00817682" w:rsidP="00581E95" w14:paraId="1DF5243A" w14:textId="634F0D3A">
      <w:pPr>
        <w:pStyle w:val="ListParagraph"/>
        <w:numPr>
          <w:ilvl w:val="0"/>
          <w:numId w:val="3"/>
        </w:numPr>
        <w:autoSpaceDE/>
        <w:autoSpaceDN/>
        <w:adjustRightInd/>
        <w:spacing w:after="120"/>
        <w:contextualSpacing w:val="0"/>
        <w:rPr>
          <w:sz w:val="24"/>
          <w:szCs w:val="24"/>
        </w:rPr>
      </w:pPr>
      <w:r>
        <w:rPr>
          <w:sz w:val="24"/>
          <w:szCs w:val="24"/>
        </w:rPr>
        <w:t>Access</w:t>
      </w:r>
    </w:p>
    <w:p w:rsidR="002D287B" w:rsidP="00581E95" w14:paraId="0D999A90" w14:textId="14240718">
      <w:pPr>
        <w:pStyle w:val="ListParagraph"/>
        <w:numPr>
          <w:ilvl w:val="0"/>
          <w:numId w:val="3"/>
        </w:numPr>
        <w:autoSpaceDE/>
        <w:autoSpaceDN/>
        <w:adjustRightInd/>
        <w:spacing w:after="120"/>
        <w:contextualSpacing w:val="0"/>
        <w:rPr>
          <w:sz w:val="24"/>
          <w:szCs w:val="24"/>
        </w:rPr>
      </w:pPr>
      <w:r>
        <w:rPr>
          <w:sz w:val="24"/>
          <w:szCs w:val="24"/>
        </w:rPr>
        <w:t>Awareness</w:t>
      </w:r>
    </w:p>
    <w:p w:rsidR="00817682" w:rsidP="00581E95" w14:paraId="2ABEABD4" w14:textId="7FAF92A4">
      <w:pPr>
        <w:pStyle w:val="ListParagraph"/>
        <w:numPr>
          <w:ilvl w:val="0"/>
          <w:numId w:val="3"/>
        </w:numPr>
        <w:autoSpaceDE/>
        <w:autoSpaceDN/>
        <w:adjustRightInd/>
        <w:spacing w:after="120"/>
        <w:contextualSpacing w:val="0"/>
        <w:rPr>
          <w:sz w:val="24"/>
          <w:szCs w:val="24"/>
        </w:rPr>
      </w:pPr>
      <w:r w:rsidRPr="000764CB">
        <w:rPr>
          <w:sz w:val="24"/>
          <w:szCs w:val="24"/>
        </w:rPr>
        <w:t>Financing</w:t>
      </w:r>
    </w:p>
    <w:p w:rsidR="002D287B" w:rsidP="00581E95" w14:paraId="314CDC24" w14:textId="77777777">
      <w:pPr>
        <w:pStyle w:val="ListParagraph"/>
        <w:numPr>
          <w:ilvl w:val="0"/>
          <w:numId w:val="3"/>
        </w:numPr>
        <w:autoSpaceDE/>
        <w:autoSpaceDN/>
        <w:adjustRightInd/>
        <w:spacing w:after="120"/>
        <w:contextualSpacing w:val="0"/>
        <w:rPr>
          <w:sz w:val="24"/>
          <w:szCs w:val="24"/>
        </w:rPr>
      </w:pPr>
      <w:r>
        <w:rPr>
          <w:sz w:val="24"/>
          <w:szCs w:val="24"/>
        </w:rPr>
        <w:t>Knowledge, Attitudes, and Beliefs</w:t>
      </w:r>
    </w:p>
    <w:p w:rsidR="002D287B" w:rsidP="00581E95" w14:paraId="518A52A4" w14:textId="5CD44588">
      <w:pPr>
        <w:pStyle w:val="ListParagraph"/>
        <w:numPr>
          <w:ilvl w:val="0"/>
          <w:numId w:val="3"/>
        </w:numPr>
        <w:autoSpaceDE/>
        <w:autoSpaceDN/>
        <w:adjustRightInd/>
        <w:spacing w:after="120"/>
        <w:contextualSpacing w:val="0"/>
        <w:rPr>
          <w:sz w:val="24"/>
          <w:szCs w:val="24"/>
        </w:rPr>
      </w:pPr>
      <w:r>
        <w:rPr>
          <w:sz w:val="24"/>
          <w:szCs w:val="24"/>
        </w:rPr>
        <w:t>Outreach</w:t>
      </w:r>
    </w:p>
    <w:p w:rsidR="002D287B" w:rsidP="00581E95" w14:paraId="65DD6BE2" w14:textId="77777777">
      <w:pPr>
        <w:pStyle w:val="ListParagraph"/>
        <w:numPr>
          <w:ilvl w:val="0"/>
          <w:numId w:val="3"/>
        </w:numPr>
        <w:autoSpaceDE/>
        <w:autoSpaceDN/>
        <w:adjustRightInd/>
        <w:spacing w:after="120"/>
        <w:contextualSpacing w:val="0"/>
        <w:rPr>
          <w:sz w:val="24"/>
          <w:szCs w:val="24"/>
        </w:rPr>
      </w:pPr>
      <w:r w:rsidRPr="000764CB">
        <w:rPr>
          <w:sz w:val="24"/>
          <w:szCs w:val="24"/>
        </w:rPr>
        <w:t>Organizational Change</w:t>
      </w:r>
    </w:p>
    <w:p w:rsidR="00817682" w:rsidP="00581E95" w14:paraId="4FCB9519" w14:textId="6FEE5B97">
      <w:pPr>
        <w:pStyle w:val="ListParagraph"/>
        <w:numPr>
          <w:ilvl w:val="0"/>
          <w:numId w:val="3"/>
        </w:numPr>
        <w:autoSpaceDE/>
        <w:autoSpaceDN/>
        <w:adjustRightInd/>
        <w:spacing w:after="120"/>
        <w:contextualSpacing w:val="0"/>
        <w:rPr>
          <w:sz w:val="24"/>
          <w:szCs w:val="24"/>
        </w:rPr>
      </w:pPr>
      <w:r w:rsidRPr="000764CB">
        <w:rPr>
          <w:sz w:val="24"/>
          <w:szCs w:val="24"/>
        </w:rPr>
        <w:t>Partnership</w:t>
      </w:r>
      <w:r w:rsidR="002D287B">
        <w:rPr>
          <w:sz w:val="24"/>
          <w:szCs w:val="24"/>
        </w:rPr>
        <w:t xml:space="preserve"> and </w:t>
      </w:r>
      <w:r w:rsidRPr="000764CB">
        <w:rPr>
          <w:sz w:val="24"/>
          <w:szCs w:val="24"/>
        </w:rPr>
        <w:t>Collaboration</w:t>
      </w:r>
    </w:p>
    <w:p w:rsidR="002D287B" w:rsidP="00581E95" w14:paraId="3EC69072" w14:textId="3F36C958">
      <w:pPr>
        <w:pStyle w:val="ListParagraph"/>
        <w:numPr>
          <w:ilvl w:val="0"/>
          <w:numId w:val="3"/>
        </w:numPr>
        <w:autoSpaceDE/>
        <w:autoSpaceDN/>
        <w:adjustRightInd/>
        <w:spacing w:after="120"/>
        <w:contextualSpacing w:val="0"/>
        <w:rPr>
          <w:sz w:val="24"/>
          <w:szCs w:val="24"/>
        </w:rPr>
      </w:pPr>
      <w:r>
        <w:rPr>
          <w:sz w:val="24"/>
          <w:szCs w:val="24"/>
        </w:rPr>
        <w:t>Policy Development</w:t>
      </w:r>
    </w:p>
    <w:p w:rsidR="002D287B" w:rsidP="00581E95" w14:paraId="431FB87A" w14:textId="77777777">
      <w:pPr>
        <w:pStyle w:val="ListParagraph"/>
        <w:numPr>
          <w:ilvl w:val="0"/>
          <w:numId w:val="3"/>
        </w:numPr>
        <w:autoSpaceDE/>
        <w:autoSpaceDN/>
        <w:adjustRightInd/>
        <w:spacing w:after="120"/>
        <w:contextualSpacing w:val="0"/>
        <w:rPr>
          <w:sz w:val="24"/>
          <w:szCs w:val="24"/>
        </w:rPr>
      </w:pPr>
      <w:r>
        <w:rPr>
          <w:sz w:val="24"/>
          <w:szCs w:val="24"/>
        </w:rPr>
        <w:t>Referral</w:t>
      </w:r>
    </w:p>
    <w:p w:rsidR="002D287B" w:rsidP="00581E95" w14:paraId="5C932E3A" w14:textId="77777777">
      <w:pPr>
        <w:pStyle w:val="ListParagraph"/>
        <w:numPr>
          <w:ilvl w:val="0"/>
          <w:numId w:val="3"/>
        </w:numPr>
        <w:autoSpaceDE/>
        <w:autoSpaceDN/>
        <w:adjustRightInd/>
        <w:spacing w:after="120"/>
        <w:contextualSpacing w:val="0"/>
        <w:rPr>
          <w:sz w:val="24"/>
          <w:szCs w:val="24"/>
        </w:rPr>
      </w:pPr>
      <w:r>
        <w:rPr>
          <w:sz w:val="24"/>
          <w:szCs w:val="24"/>
        </w:rPr>
        <w:t>Screening</w:t>
      </w:r>
    </w:p>
    <w:p w:rsidR="00817682" w:rsidP="00581E95" w14:paraId="7DB91FF3" w14:textId="0E2EB66C">
      <w:pPr>
        <w:pStyle w:val="ListParagraph"/>
        <w:numPr>
          <w:ilvl w:val="0"/>
          <w:numId w:val="3"/>
        </w:numPr>
        <w:autoSpaceDE/>
        <w:autoSpaceDN/>
        <w:adjustRightInd/>
        <w:spacing w:after="120"/>
        <w:contextualSpacing w:val="0"/>
        <w:rPr>
          <w:sz w:val="24"/>
          <w:szCs w:val="24"/>
        </w:rPr>
      </w:pPr>
      <w:r w:rsidRPr="000764CB">
        <w:rPr>
          <w:sz w:val="24"/>
          <w:szCs w:val="24"/>
        </w:rPr>
        <w:t>Training</w:t>
      </w:r>
    </w:p>
    <w:p w:rsidR="002D287B" w:rsidP="00581E95" w14:paraId="3118F399" w14:textId="592FDC6F">
      <w:pPr>
        <w:pStyle w:val="ListParagraph"/>
        <w:numPr>
          <w:ilvl w:val="0"/>
          <w:numId w:val="3"/>
        </w:numPr>
        <w:autoSpaceDE/>
        <w:autoSpaceDN/>
        <w:adjustRightInd/>
        <w:spacing w:after="120"/>
        <w:contextualSpacing w:val="0"/>
        <w:rPr>
          <w:sz w:val="24"/>
          <w:szCs w:val="24"/>
        </w:rPr>
      </w:pPr>
      <w:r>
        <w:rPr>
          <w:sz w:val="24"/>
          <w:szCs w:val="24"/>
        </w:rPr>
        <w:t>Workforce Development</w:t>
      </w:r>
    </w:p>
    <w:p w:rsidR="0081452E" w:rsidP="00422A1B" w14:paraId="20DF2703" w14:textId="4C947DCD">
      <w:pPr>
        <w:spacing w:after="120"/>
        <w:rPr>
          <w:sz w:val="24"/>
          <w:szCs w:val="24"/>
        </w:rPr>
      </w:pPr>
      <w:r>
        <w:rPr>
          <w:sz w:val="24"/>
          <w:szCs w:val="24"/>
        </w:rPr>
        <w:t xml:space="preserve">Each grant program is assigned </w:t>
      </w:r>
      <w:r w:rsidR="00A865A6">
        <w:rPr>
          <w:sz w:val="24"/>
          <w:szCs w:val="24"/>
        </w:rPr>
        <w:t xml:space="preserve">a set of IPP indicators that are needed to monitor and management performance and implementation of required activities. </w:t>
      </w:r>
      <w:r>
        <w:rPr>
          <w:sz w:val="24"/>
          <w:szCs w:val="24"/>
        </w:rPr>
        <w:t>Grantees are asked to set annual goals for assigned indicators</w:t>
      </w:r>
      <w:r w:rsidR="00D4141B">
        <w:rPr>
          <w:sz w:val="24"/>
          <w:szCs w:val="24"/>
        </w:rPr>
        <w:t xml:space="preserve"> and then to report quarterly on progress against those goals. </w:t>
      </w:r>
      <w:r>
        <w:rPr>
          <w:sz w:val="24"/>
          <w:szCs w:val="24"/>
        </w:rPr>
        <w:t xml:space="preserve"> </w:t>
      </w:r>
    </w:p>
    <w:p w:rsidR="00817682" w:rsidRPr="00ED0425" w:rsidP="00422A1B" w14:paraId="7D12D14C" w14:textId="105D76BD">
      <w:pPr>
        <w:spacing w:after="120"/>
        <w:rPr>
          <w:b/>
          <w:sz w:val="24"/>
          <w:szCs w:val="24"/>
        </w:rPr>
      </w:pPr>
      <w:r w:rsidRPr="00ED0425">
        <w:rPr>
          <w:b/>
          <w:sz w:val="24"/>
          <w:szCs w:val="24"/>
        </w:rPr>
        <w:t xml:space="preserve">Proposed Changes to </w:t>
      </w:r>
      <w:r w:rsidR="00F5477E">
        <w:rPr>
          <w:b/>
          <w:sz w:val="24"/>
          <w:szCs w:val="24"/>
        </w:rPr>
        <w:t>Data Collection Instrument</w:t>
      </w:r>
    </w:p>
    <w:p w:rsidR="00D943AF" w:rsidRPr="00733F01" w:rsidP="00422A1B" w14:paraId="649F284C" w14:textId="40676B13">
      <w:pPr>
        <w:widowControl w:val="0"/>
        <w:spacing w:after="120"/>
        <w:rPr>
          <w:sz w:val="24"/>
        </w:rPr>
      </w:pPr>
      <w:r w:rsidRPr="00817682">
        <w:rPr>
          <w:sz w:val="24"/>
          <w:szCs w:val="24"/>
        </w:rPr>
        <w:t xml:space="preserve">SAMHSA is proposing </w:t>
      </w:r>
      <w:r w:rsidR="00095362">
        <w:rPr>
          <w:sz w:val="24"/>
          <w:szCs w:val="24"/>
        </w:rPr>
        <w:t xml:space="preserve">to </w:t>
      </w:r>
      <w:r w:rsidR="00F5477E">
        <w:rPr>
          <w:sz w:val="24"/>
          <w:szCs w:val="24"/>
        </w:rPr>
        <w:t>extend the current approved versions of the</w:t>
      </w:r>
      <w:r w:rsidR="00095362">
        <w:rPr>
          <w:sz w:val="24"/>
          <w:szCs w:val="24"/>
        </w:rPr>
        <w:t xml:space="preserve"> </w:t>
      </w:r>
      <w:r w:rsidRPr="00817682">
        <w:rPr>
          <w:sz w:val="24"/>
          <w:szCs w:val="24"/>
        </w:rPr>
        <w:t xml:space="preserve">data collection </w:t>
      </w:r>
      <w:r w:rsidRPr="00817682" w:rsidR="00244BCF">
        <w:rPr>
          <w:sz w:val="24"/>
          <w:szCs w:val="24"/>
        </w:rPr>
        <w:t>instrument</w:t>
      </w:r>
      <w:r w:rsidR="00F5477E">
        <w:rPr>
          <w:sz w:val="24"/>
          <w:szCs w:val="24"/>
        </w:rPr>
        <w:t>s</w:t>
      </w:r>
      <w:r w:rsidRPr="00817682" w:rsidR="00244BCF">
        <w:rPr>
          <w:sz w:val="24"/>
          <w:szCs w:val="24"/>
        </w:rPr>
        <w:t xml:space="preserve"> </w:t>
      </w:r>
      <w:r w:rsidR="00244BCF">
        <w:rPr>
          <w:sz w:val="24"/>
          <w:szCs w:val="24"/>
        </w:rPr>
        <w:t>(</w:t>
      </w:r>
      <w:r w:rsidRPr="008C760D">
        <w:rPr>
          <w:sz w:val="24"/>
          <w:szCs w:val="24"/>
        </w:rPr>
        <w:t>OMB No. 0930-0285)</w:t>
      </w:r>
      <w:r>
        <w:rPr>
          <w:sz w:val="24"/>
          <w:szCs w:val="24"/>
        </w:rPr>
        <w:t xml:space="preserve"> </w:t>
      </w:r>
      <w:r w:rsidRPr="00817682">
        <w:rPr>
          <w:sz w:val="24"/>
          <w:szCs w:val="24"/>
        </w:rPr>
        <w:t xml:space="preserve">to </w:t>
      </w:r>
      <w:r w:rsidR="00F5477E">
        <w:rPr>
          <w:sz w:val="24"/>
          <w:szCs w:val="24"/>
        </w:rPr>
        <w:t>maintain</w:t>
      </w:r>
      <w:r w:rsidRPr="00817682">
        <w:rPr>
          <w:sz w:val="24"/>
          <w:szCs w:val="24"/>
        </w:rPr>
        <w:t xml:space="preserve"> </w:t>
      </w:r>
      <w:r>
        <w:rPr>
          <w:sz w:val="24"/>
          <w:szCs w:val="24"/>
        </w:rPr>
        <w:t xml:space="preserve">performance monitoring and </w:t>
      </w:r>
      <w:r w:rsidRPr="00817682">
        <w:rPr>
          <w:sz w:val="24"/>
          <w:szCs w:val="24"/>
        </w:rPr>
        <w:t xml:space="preserve">outcome measurement of its </w:t>
      </w:r>
      <w:r w:rsidR="00244BCF">
        <w:rPr>
          <w:sz w:val="24"/>
          <w:szCs w:val="24"/>
        </w:rPr>
        <w:t>programs</w:t>
      </w:r>
      <w:r w:rsidRPr="00817682">
        <w:rPr>
          <w:sz w:val="24"/>
          <w:szCs w:val="24"/>
        </w:rPr>
        <w:t xml:space="preserve"> supporting </w:t>
      </w:r>
      <w:r w:rsidR="00BB435C">
        <w:rPr>
          <w:sz w:val="24"/>
          <w:szCs w:val="24"/>
        </w:rPr>
        <w:t xml:space="preserve">mental </w:t>
      </w:r>
      <w:r w:rsidR="00DD7783">
        <w:rPr>
          <w:sz w:val="24"/>
          <w:szCs w:val="24"/>
        </w:rPr>
        <w:t xml:space="preserve">and behavioral </w:t>
      </w:r>
      <w:r w:rsidR="00BB435C">
        <w:rPr>
          <w:sz w:val="24"/>
          <w:szCs w:val="24"/>
        </w:rPr>
        <w:t>health</w:t>
      </w:r>
      <w:r w:rsidR="00F5477E">
        <w:rPr>
          <w:sz w:val="24"/>
          <w:szCs w:val="24"/>
        </w:rPr>
        <w:t>.</w:t>
      </w:r>
      <w:r w:rsidR="00671728">
        <w:rPr>
          <w:sz w:val="24"/>
          <w:szCs w:val="24"/>
        </w:rPr>
        <w:t xml:space="preserve"> </w:t>
      </w:r>
    </w:p>
    <w:p w:rsidR="008D03A3" w:rsidP="00422A1B" w14:paraId="169302F6" w14:textId="5EE9CA27">
      <w:pPr>
        <w:spacing w:after="120"/>
        <w:rPr>
          <w:sz w:val="24"/>
          <w:szCs w:val="24"/>
        </w:rPr>
      </w:pPr>
      <w:r>
        <w:rPr>
          <w:sz w:val="24"/>
          <w:szCs w:val="24"/>
        </w:rPr>
        <w:t xml:space="preserve">SAMHSA is requesting approval to </w:t>
      </w:r>
      <w:r>
        <w:rPr>
          <w:sz w:val="24"/>
          <w:szCs w:val="24"/>
        </w:rPr>
        <w:t>extend approval for the current tools:</w:t>
      </w:r>
    </w:p>
    <w:p w:rsidR="008D03A3" w:rsidRPr="008C45BB" w:rsidP="008D03A3" w14:paraId="45D2BC56" w14:textId="39A0978D">
      <w:pPr>
        <w:pStyle w:val="ListParagraph"/>
        <w:keepNext/>
        <w:numPr>
          <w:ilvl w:val="0"/>
          <w:numId w:val="15"/>
        </w:numPr>
        <w:tabs>
          <w:tab w:val="left" w:pos="720"/>
        </w:tabs>
        <w:spacing w:after="120"/>
        <w:rPr>
          <w:sz w:val="24"/>
          <w:szCs w:val="24"/>
        </w:rPr>
      </w:pPr>
      <w:r w:rsidRPr="008C45BB">
        <w:rPr>
          <w:sz w:val="24"/>
          <w:szCs w:val="24"/>
        </w:rPr>
        <w:t xml:space="preserve">Attachment A is the client-level survey </w:t>
      </w:r>
      <w:r>
        <w:rPr>
          <w:sz w:val="24"/>
          <w:szCs w:val="24"/>
        </w:rPr>
        <w:t xml:space="preserve">of </w:t>
      </w:r>
      <w:r w:rsidR="00A16BE1">
        <w:rPr>
          <w:sz w:val="24"/>
          <w:szCs w:val="24"/>
        </w:rPr>
        <w:t>outcome measures</w:t>
      </w:r>
      <w:r w:rsidR="00E81884">
        <w:rPr>
          <w:sz w:val="24"/>
          <w:szCs w:val="24"/>
        </w:rPr>
        <w:t>.</w:t>
      </w:r>
    </w:p>
    <w:p w:rsidR="008D03A3" w:rsidRPr="008C45BB" w:rsidP="008D03A3" w14:paraId="409008DB" w14:textId="60E2C38D">
      <w:pPr>
        <w:pStyle w:val="ListParagraph"/>
        <w:keepNext/>
        <w:numPr>
          <w:ilvl w:val="0"/>
          <w:numId w:val="15"/>
        </w:numPr>
        <w:tabs>
          <w:tab w:val="left" w:pos="720"/>
        </w:tabs>
        <w:spacing w:after="120"/>
        <w:rPr>
          <w:sz w:val="24"/>
          <w:szCs w:val="24"/>
        </w:rPr>
      </w:pPr>
      <w:r w:rsidRPr="008C45BB">
        <w:rPr>
          <w:sz w:val="24"/>
          <w:szCs w:val="24"/>
        </w:rPr>
        <w:t>Attachment B lists the full set of IPP indicators</w:t>
      </w:r>
      <w:r w:rsidR="00E81884">
        <w:rPr>
          <w:sz w:val="24"/>
          <w:szCs w:val="24"/>
        </w:rPr>
        <w:t>.</w:t>
      </w:r>
    </w:p>
    <w:p w:rsidR="008D03A3" w:rsidRPr="008C45BB" w:rsidP="008D03A3" w14:paraId="70B09CB0" w14:textId="7674F56D">
      <w:pPr>
        <w:pStyle w:val="ListParagraph"/>
        <w:keepNext/>
        <w:numPr>
          <w:ilvl w:val="0"/>
          <w:numId w:val="15"/>
        </w:numPr>
        <w:tabs>
          <w:tab w:val="left" w:pos="720"/>
        </w:tabs>
        <w:spacing w:after="120"/>
        <w:rPr>
          <w:sz w:val="24"/>
          <w:szCs w:val="24"/>
        </w:rPr>
      </w:pPr>
      <w:r w:rsidRPr="008C45BB">
        <w:rPr>
          <w:sz w:val="24"/>
          <w:szCs w:val="24"/>
        </w:rPr>
        <w:t>Attachment C is the IPP report form</w:t>
      </w:r>
      <w:r w:rsidR="00E81884">
        <w:rPr>
          <w:sz w:val="24"/>
          <w:szCs w:val="24"/>
        </w:rPr>
        <w:t>.</w:t>
      </w:r>
    </w:p>
    <w:p w:rsidR="00817682" w:rsidRPr="00817682" w:rsidP="00422A1B" w14:paraId="0A55680D" w14:textId="48EC7B47">
      <w:pPr>
        <w:spacing w:after="120"/>
        <w:rPr>
          <w:sz w:val="24"/>
          <w:szCs w:val="24"/>
        </w:rPr>
      </w:pPr>
      <w:r>
        <w:rPr>
          <w:sz w:val="24"/>
          <w:szCs w:val="24"/>
        </w:rPr>
        <w:t>All CMHS data collection activities are intended</w:t>
      </w:r>
      <w:r w:rsidRPr="00817682">
        <w:rPr>
          <w:sz w:val="24"/>
          <w:szCs w:val="24"/>
        </w:rPr>
        <w:t xml:space="preserve"> to promote the use of consistent measures among CMHS-funded </w:t>
      </w:r>
      <w:r w:rsidR="009F7D87">
        <w:rPr>
          <w:sz w:val="24"/>
          <w:szCs w:val="24"/>
        </w:rPr>
        <w:t xml:space="preserve">discretionary </w:t>
      </w:r>
      <w:r w:rsidRPr="00817682">
        <w:rPr>
          <w:sz w:val="24"/>
          <w:szCs w:val="24"/>
        </w:rPr>
        <w:t>grantees</w:t>
      </w:r>
      <w:r w:rsidRPr="00817682" w:rsidR="0016247C">
        <w:rPr>
          <w:sz w:val="24"/>
          <w:szCs w:val="24"/>
        </w:rPr>
        <w:t xml:space="preserve">.  </w:t>
      </w:r>
      <w:r w:rsidRPr="00817682">
        <w:rPr>
          <w:sz w:val="24"/>
          <w:szCs w:val="24"/>
        </w:rPr>
        <w:t>These measures are a result of extensive examination and recommendations, using consistent criteria, by panels of staff, experts, and grantees</w:t>
      </w:r>
      <w:r w:rsidRPr="00817682" w:rsidR="0016247C">
        <w:rPr>
          <w:sz w:val="24"/>
          <w:szCs w:val="24"/>
        </w:rPr>
        <w:t xml:space="preserve">. </w:t>
      </w:r>
      <w:r w:rsidRPr="00817682">
        <w:rPr>
          <w:sz w:val="24"/>
          <w:szCs w:val="24"/>
        </w:rPr>
        <w:t>Wherever feasible, the measures are consistent with or build upon previous data development efforts within CMHS</w:t>
      </w:r>
      <w:r w:rsidRPr="00817682" w:rsidR="0016247C">
        <w:rPr>
          <w:sz w:val="24"/>
          <w:szCs w:val="24"/>
        </w:rPr>
        <w:t xml:space="preserve">. </w:t>
      </w:r>
      <w:r w:rsidRPr="00817682">
        <w:rPr>
          <w:sz w:val="24"/>
          <w:szCs w:val="24"/>
        </w:rPr>
        <w:t xml:space="preserve">These data collection activities are organized to reflect and support the domains specified for SAMHSA’s NOMs for programs providing direct services, and the categories developed by CMHS to specify the infrastructure, prevention, and mental health promotion activities. </w:t>
      </w:r>
    </w:p>
    <w:p w:rsidR="0060743B" w:rsidP="00422A1B" w14:paraId="7CE1A351" w14:textId="3FB5950C">
      <w:pPr>
        <w:pStyle w:val="BodyText"/>
        <w:spacing w:after="120" w:line="240" w:lineRule="auto"/>
        <w:rPr>
          <w:b/>
          <w:bCs/>
        </w:rPr>
      </w:pPr>
      <w:r>
        <w:rPr>
          <w:b/>
          <w:bCs/>
        </w:rPr>
        <w:t>A</w:t>
      </w:r>
      <w:r w:rsidR="00ED0425">
        <w:rPr>
          <w:b/>
          <w:bCs/>
        </w:rPr>
        <w:t>3</w:t>
      </w:r>
      <w:r>
        <w:rPr>
          <w:b/>
          <w:bCs/>
        </w:rPr>
        <w:t>.</w:t>
      </w:r>
      <w:r>
        <w:rPr>
          <w:b/>
          <w:bCs/>
        </w:rPr>
        <w:tab/>
        <w:t xml:space="preserve">Uses of Information Technology </w:t>
      </w:r>
    </w:p>
    <w:p w:rsidR="00A82E77" w:rsidRPr="000764CB" w:rsidP="00422A1B" w14:paraId="3A788601" w14:textId="3FC17864">
      <w:pPr>
        <w:spacing w:after="120"/>
        <w:rPr>
          <w:sz w:val="24"/>
          <w:szCs w:val="24"/>
        </w:rPr>
      </w:pPr>
      <w:r>
        <w:rPr>
          <w:sz w:val="24"/>
          <w:szCs w:val="24"/>
        </w:rPr>
        <w:t xml:space="preserve">Information technology </w:t>
      </w:r>
      <w:r w:rsidR="000F49ED">
        <w:rPr>
          <w:sz w:val="24"/>
          <w:szCs w:val="24"/>
        </w:rPr>
        <w:t xml:space="preserve">is </w:t>
      </w:r>
      <w:r>
        <w:rPr>
          <w:sz w:val="24"/>
          <w:szCs w:val="24"/>
        </w:rPr>
        <w:t>used to reduce program respondent burden</w:t>
      </w:r>
      <w:r w:rsidR="0016247C">
        <w:rPr>
          <w:sz w:val="24"/>
          <w:szCs w:val="24"/>
        </w:rPr>
        <w:t xml:space="preserve">.  </w:t>
      </w:r>
      <w:r w:rsidRPr="000764CB">
        <w:rPr>
          <w:sz w:val="24"/>
          <w:szCs w:val="24"/>
        </w:rPr>
        <w:t>A web-based data co</w:t>
      </w:r>
      <w:r w:rsidR="00E63A25">
        <w:rPr>
          <w:sz w:val="24"/>
          <w:szCs w:val="24"/>
        </w:rPr>
        <w:t>llection and entry system, SAMHS</w:t>
      </w:r>
      <w:r w:rsidRPr="000764CB">
        <w:rPr>
          <w:sz w:val="24"/>
          <w:szCs w:val="24"/>
        </w:rPr>
        <w:t xml:space="preserve">A’s Performance Accountability and Reporting System (SPARS), </w:t>
      </w:r>
      <w:r w:rsidR="000F49ED">
        <w:rPr>
          <w:sz w:val="24"/>
          <w:szCs w:val="24"/>
        </w:rPr>
        <w:t>i</w:t>
      </w:r>
      <w:r w:rsidRPr="000764CB">
        <w:rPr>
          <w:sz w:val="24"/>
          <w:szCs w:val="24"/>
        </w:rPr>
        <w:t>s currently used and available to all</w:t>
      </w:r>
      <w:r w:rsidRPr="00A82E77">
        <w:rPr>
          <w:sz w:val="24"/>
          <w:szCs w:val="24"/>
        </w:rPr>
        <w:t xml:space="preserve"> </w:t>
      </w:r>
      <w:r w:rsidR="00D9490C">
        <w:rPr>
          <w:sz w:val="24"/>
          <w:szCs w:val="24"/>
        </w:rPr>
        <w:t xml:space="preserve">discretionary grant </w:t>
      </w:r>
      <w:r w:rsidRPr="00A82E77">
        <w:rPr>
          <w:sz w:val="24"/>
          <w:szCs w:val="24"/>
        </w:rPr>
        <w:t>programs for data collection</w:t>
      </w:r>
      <w:r w:rsidRPr="00A82E77" w:rsidR="0016247C">
        <w:rPr>
          <w:sz w:val="24"/>
          <w:szCs w:val="24"/>
        </w:rPr>
        <w:t xml:space="preserve">.  </w:t>
      </w:r>
      <w:r w:rsidRPr="000764CB">
        <w:rPr>
          <w:sz w:val="24"/>
          <w:szCs w:val="24"/>
        </w:rPr>
        <w:t xml:space="preserve">This web-based system allows for easy data entry, submission, and reporting to all those who </w:t>
      </w:r>
      <w:r w:rsidRPr="000764CB">
        <w:rPr>
          <w:sz w:val="24"/>
          <w:szCs w:val="24"/>
        </w:rPr>
        <w:t>have access to the system</w:t>
      </w:r>
      <w:r w:rsidRPr="000764CB" w:rsidR="0016247C">
        <w:rPr>
          <w:sz w:val="24"/>
          <w:szCs w:val="24"/>
        </w:rPr>
        <w:t xml:space="preserve">.  </w:t>
      </w:r>
      <w:r w:rsidRPr="000764CB">
        <w:rPr>
          <w:sz w:val="24"/>
          <w:szCs w:val="24"/>
        </w:rPr>
        <w:t>Levels of access have been defined for users based on their authority and responsibilities regarding the data and reports</w:t>
      </w:r>
      <w:r w:rsidRPr="000764CB" w:rsidR="0016247C">
        <w:rPr>
          <w:sz w:val="24"/>
          <w:szCs w:val="24"/>
        </w:rPr>
        <w:t xml:space="preserve">. </w:t>
      </w:r>
      <w:r w:rsidRPr="000764CB">
        <w:rPr>
          <w:sz w:val="24"/>
          <w:szCs w:val="24"/>
        </w:rPr>
        <w:t>Access to the data and reports is limited to those individuals with a username and password</w:t>
      </w:r>
      <w:r w:rsidRPr="000764CB" w:rsidR="0016247C">
        <w:rPr>
          <w:sz w:val="24"/>
          <w:szCs w:val="24"/>
        </w:rPr>
        <w:t xml:space="preserve">. </w:t>
      </w:r>
      <w:r w:rsidRPr="000764CB">
        <w:rPr>
          <w:sz w:val="24"/>
          <w:szCs w:val="24"/>
        </w:rPr>
        <w:t xml:space="preserve">A screenshot of the data entry screen on SPARS is below: </w:t>
      </w:r>
    </w:p>
    <w:p w:rsidR="00A82E77" w:rsidP="00A82E77" w14:paraId="3CB99E8B" w14:textId="77777777">
      <w:pPr>
        <w:rPr>
          <w:noProof/>
        </w:rPr>
      </w:pPr>
    </w:p>
    <w:p w:rsidR="00A82E77" w:rsidP="00A82E77" w14:paraId="38040D98" w14:textId="60757759">
      <w:r w:rsidRPr="007154F7">
        <w:rPr>
          <w:noProof/>
        </w:rPr>
        <w:drawing>
          <wp:inline distT="0" distB="0" distL="0" distR="0">
            <wp:extent cx="5943600" cy="37071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5943600" cy="3707130"/>
                    </a:xfrm>
                    <a:prstGeom prst="rect">
                      <a:avLst/>
                    </a:prstGeom>
                  </pic:spPr>
                </pic:pic>
              </a:graphicData>
            </a:graphic>
          </wp:inline>
        </w:drawing>
      </w:r>
    </w:p>
    <w:p w:rsidR="0060743B" w:rsidP="00A82E77" w14:paraId="22B35E48" w14:textId="77777777">
      <w:pPr>
        <w:ind w:left="720"/>
        <w:rPr>
          <w:sz w:val="24"/>
        </w:rPr>
      </w:pPr>
    </w:p>
    <w:p w:rsidR="0060743B" w:rsidP="00D245E0" w14:paraId="3CFA8993" w14:textId="243B2D6B">
      <w:pPr>
        <w:rPr>
          <w:color w:val="FF0000"/>
          <w:sz w:val="24"/>
          <w:szCs w:val="24"/>
        </w:rPr>
      </w:pPr>
      <w:r>
        <w:rPr>
          <w:sz w:val="24"/>
        </w:rPr>
        <w:t>Electronic submission of the data promotes enhanced data quality</w:t>
      </w:r>
      <w:r w:rsidR="0016247C">
        <w:rPr>
          <w:sz w:val="24"/>
        </w:rPr>
        <w:t xml:space="preserve">.  </w:t>
      </w:r>
      <w:r>
        <w:rPr>
          <w:sz w:val="24"/>
        </w:rPr>
        <w:t xml:space="preserve">With built in data quality </w:t>
      </w:r>
      <w:r w:rsidR="0016247C">
        <w:rPr>
          <w:sz w:val="24"/>
        </w:rPr>
        <w:t>checks</w:t>
      </w:r>
      <w:r>
        <w:rPr>
          <w:sz w:val="24"/>
        </w:rPr>
        <w:t xml:space="preserve"> and easy access to data outputs and reports, users of the data can feel confident about the quality of the output</w:t>
      </w:r>
      <w:r w:rsidR="0016247C">
        <w:rPr>
          <w:sz w:val="24"/>
        </w:rPr>
        <w:t xml:space="preserve">.  </w:t>
      </w:r>
      <w:r>
        <w:rPr>
          <w:sz w:val="24"/>
        </w:rPr>
        <w:t>The electronic submission also promotes immediate access to the dataset</w:t>
      </w:r>
      <w:r w:rsidR="0016247C">
        <w:rPr>
          <w:sz w:val="24"/>
        </w:rPr>
        <w:t xml:space="preserve">.  </w:t>
      </w:r>
      <w:r>
        <w:rPr>
          <w:sz w:val="24"/>
        </w:rPr>
        <w:t xml:space="preserve">Once data are </w:t>
      </w:r>
      <w:r w:rsidR="0007691C">
        <w:rPr>
          <w:sz w:val="24"/>
        </w:rPr>
        <w:t xml:space="preserve">entered </w:t>
      </w:r>
      <w:r>
        <w:rPr>
          <w:sz w:val="24"/>
        </w:rPr>
        <w:t xml:space="preserve">into </w:t>
      </w:r>
      <w:r w:rsidR="000F49ED">
        <w:rPr>
          <w:sz w:val="24"/>
        </w:rPr>
        <w:t xml:space="preserve">SPARS, </w:t>
      </w:r>
      <w:r>
        <w:rPr>
          <w:sz w:val="24"/>
        </w:rPr>
        <w:t xml:space="preserve">it </w:t>
      </w:r>
      <w:r w:rsidR="000F49ED">
        <w:rPr>
          <w:sz w:val="24"/>
        </w:rPr>
        <w:t xml:space="preserve">is </w:t>
      </w:r>
      <w:r>
        <w:rPr>
          <w:sz w:val="24"/>
        </w:rPr>
        <w:t>available for access, review, and reporting by all those with access to the system</w:t>
      </w:r>
      <w:r w:rsidR="000F49ED">
        <w:rPr>
          <w:sz w:val="24"/>
        </w:rPr>
        <w:t>.</w:t>
      </w:r>
      <w:r>
        <w:rPr>
          <w:sz w:val="24"/>
        </w:rPr>
        <w:t xml:space="preserve">  </w:t>
      </w:r>
    </w:p>
    <w:p w:rsidR="0060743B" w:rsidP="006B355B" w14:paraId="727CA809" w14:textId="77777777">
      <w:pPr>
        <w:ind w:left="720"/>
        <w:rPr>
          <w:sz w:val="24"/>
          <w:szCs w:val="24"/>
          <w:highlight w:val="yellow"/>
        </w:rPr>
      </w:pPr>
    </w:p>
    <w:p w:rsidR="0060743B" w:rsidP="006B355B" w14:paraId="33476718" w14:textId="5CF9918D">
      <w:pPr>
        <w:numPr>
          <w:ilvl w:val="12"/>
          <w:numId w:val="0"/>
        </w:numPr>
        <w:spacing w:after="240"/>
        <w:rPr>
          <w:sz w:val="24"/>
          <w:szCs w:val="24"/>
        </w:rPr>
      </w:pPr>
      <w:r>
        <w:rPr>
          <w:b/>
          <w:bCs/>
          <w:sz w:val="24"/>
          <w:szCs w:val="24"/>
        </w:rPr>
        <w:t>A</w:t>
      </w:r>
      <w:r w:rsidR="00ED0425">
        <w:rPr>
          <w:b/>
          <w:bCs/>
          <w:sz w:val="24"/>
          <w:szCs w:val="24"/>
        </w:rPr>
        <w:t>4</w:t>
      </w:r>
      <w:r>
        <w:rPr>
          <w:b/>
          <w:bCs/>
          <w:sz w:val="24"/>
          <w:szCs w:val="24"/>
        </w:rPr>
        <w:t>.</w:t>
      </w:r>
      <w:r>
        <w:rPr>
          <w:b/>
          <w:bCs/>
          <w:sz w:val="24"/>
          <w:szCs w:val="24"/>
        </w:rPr>
        <w:tab/>
        <w:t>Efforts to Identify Duplication</w:t>
      </w:r>
    </w:p>
    <w:p w:rsidR="0060743B" w:rsidP="000764CB" w14:paraId="715BFDF3" w14:textId="556EBBEF">
      <w:pPr>
        <w:numPr>
          <w:ilvl w:val="12"/>
          <w:numId w:val="0"/>
        </w:numPr>
        <w:spacing w:after="240"/>
        <w:rPr>
          <w:sz w:val="24"/>
          <w:szCs w:val="24"/>
        </w:rPr>
      </w:pPr>
      <w:r w:rsidRPr="00D107E2">
        <w:rPr>
          <w:sz w:val="24"/>
          <w:szCs w:val="24"/>
        </w:rPr>
        <w:t xml:space="preserve">The items collected are necessary </w:t>
      </w:r>
      <w:r w:rsidRPr="00D107E2">
        <w:rPr>
          <w:sz w:val="24"/>
          <w:szCs w:val="24"/>
        </w:rPr>
        <w:t>in order to</w:t>
      </w:r>
      <w:r w:rsidRPr="00D107E2">
        <w:rPr>
          <w:sz w:val="24"/>
          <w:szCs w:val="24"/>
        </w:rPr>
        <w:t xml:space="preserve"> assess grantee performance</w:t>
      </w:r>
      <w:r w:rsidRPr="00D107E2" w:rsidR="0016247C">
        <w:rPr>
          <w:sz w:val="24"/>
          <w:szCs w:val="24"/>
        </w:rPr>
        <w:t>.</w:t>
      </w:r>
      <w:r w:rsidR="0016247C">
        <w:rPr>
          <w:sz w:val="24"/>
          <w:szCs w:val="24"/>
        </w:rPr>
        <w:t xml:space="preserve"> </w:t>
      </w:r>
      <w:r w:rsidRPr="00D107E2">
        <w:rPr>
          <w:sz w:val="24"/>
          <w:szCs w:val="24"/>
        </w:rPr>
        <w:t xml:space="preserve">SAMHSA is promoting the use of </w:t>
      </w:r>
      <w:r w:rsidR="00244BCF">
        <w:rPr>
          <w:sz w:val="24"/>
          <w:szCs w:val="24"/>
        </w:rPr>
        <w:t xml:space="preserve">consistent </w:t>
      </w:r>
      <w:r w:rsidRPr="00D107E2">
        <w:rPr>
          <w:sz w:val="24"/>
          <w:szCs w:val="24"/>
        </w:rPr>
        <w:t>performance and outcomes measures across all programs</w:t>
      </w:r>
      <w:r w:rsidR="008F1C9F">
        <w:rPr>
          <w:sz w:val="24"/>
          <w:szCs w:val="24"/>
        </w:rPr>
        <w:t>. T</w:t>
      </w:r>
      <w:r w:rsidRPr="00D107E2">
        <w:rPr>
          <w:sz w:val="24"/>
          <w:szCs w:val="24"/>
        </w:rPr>
        <w:t>his effort will result in less overlap and duplication, substantially reduc</w:t>
      </w:r>
      <w:r w:rsidR="008F1C9F">
        <w:rPr>
          <w:sz w:val="24"/>
          <w:szCs w:val="24"/>
        </w:rPr>
        <w:t>ing t</w:t>
      </w:r>
      <w:r w:rsidRPr="00D107E2">
        <w:rPr>
          <w:sz w:val="24"/>
          <w:szCs w:val="24"/>
        </w:rPr>
        <w:t xml:space="preserve">he burden on grantees that </w:t>
      </w:r>
      <w:r w:rsidR="008F1C9F">
        <w:rPr>
          <w:sz w:val="24"/>
          <w:szCs w:val="24"/>
        </w:rPr>
        <w:t xml:space="preserve">can </w:t>
      </w:r>
      <w:r w:rsidRPr="00D107E2">
        <w:rPr>
          <w:sz w:val="24"/>
          <w:szCs w:val="24"/>
        </w:rPr>
        <w:t>resul</w:t>
      </w:r>
      <w:r w:rsidR="008F1C9F">
        <w:rPr>
          <w:sz w:val="24"/>
          <w:szCs w:val="24"/>
        </w:rPr>
        <w:t xml:space="preserve">t </w:t>
      </w:r>
      <w:r w:rsidRPr="00D107E2">
        <w:rPr>
          <w:sz w:val="24"/>
          <w:szCs w:val="24"/>
        </w:rPr>
        <w:t>from data demands.</w:t>
      </w:r>
      <w:r>
        <w:rPr>
          <w:sz w:val="24"/>
          <w:szCs w:val="24"/>
        </w:rPr>
        <w:t xml:space="preserve"> </w:t>
      </w:r>
    </w:p>
    <w:p w:rsidR="00D107E2" w:rsidRPr="00D107E2" w:rsidP="000764CB" w14:paraId="30497183" w14:textId="32B27B96">
      <w:pPr>
        <w:numPr>
          <w:ilvl w:val="12"/>
          <w:numId w:val="0"/>
        </w:numPr>
        <w:spacing w:after="240"/>
        <w:rPr>
          <w:sz w:val="24"/>
          <w:szCs w:val="24"/>
        </w:rPr>
      </w:pPr>
      <w:r>
        <w:rPr>
          <w:sz w:val="24"/>
          <w:szCs w:val="24"/>
        </w:rPr>
        <w:t>SAMHS</w:t>
      </w:r>
      <w:r w:rsidRPr="00D107E2">
        <w:rPr>
          <w:sz w:val="24"/>
          <w:szCs w:val="24"/>
        </w:rPr>
        <w:t>A will work closely with grantees to identify whether other data are being collected by the grantee, which may be redundant to the GPRA instrument</w:t>
      </w:r>
      <w:r w:rsidRPr="00D107E2" w:rsidR="0016247C">
        <w:rPr>
          <w:sz w:val="24"/>
          <w:szCs w:val="24"/>
        </w:rPr>
        <w:t xml:space="preserve">.  </w:t>
      </w:r>
      <w:r w:rsidRPr="00D107E2">
        <w:rPr>
          <w:sz w:val="24"/>
          <w:szCs w:val="24"/>
        </w:rPr>
        <w:t>When duplication is identified, SAMHSA and the grantees will identify a priority action plan to leverage the duplicative efforts</w:t>
      </w:r>
      <w:r w:rsidR="008F1C9F">
        <w:rPr>
          <w:sz w:val="24"/>
          <w:szCs w:val="24"/>
        </w:rPr>
        <w:t xml:space="preserve"> and</w:t>
      </w:r>
      <w:r w:rsidRPr="00D107E2">
        <w:rPr>
          <w:sz w:val="24"/>
          <w:szCs w:val="24"/>
        </w:rPr>
        <w:t xml:space="preserve"> streamline the </w:t>
      </w:r>
      <w:r w:rsidR="008F1C9F">
        <w:rPr>
          <w:sz w:val="24"/>
          <w:szCs w:val="24"/>
        </w:rPr>
        <w:t xml:space="preserve">process </w:t>
      </w:r>
      <w:r w:rsidRPr="00D107E2">
        <w:rPr>
          <w:sz w:val="24"/>
          <w:szCs w:val="24"/>
        </w:rPr>
        <w:t>to reduce client burden.</w:t>
      </w:r>
    </w:p>
    <w:p w:rsidR="0060743B" w:rsidP="006B355B" w14:paraId="27238CD2" w14:textId="709AE021">
      <w:pPr>
        <w:numPr>
          <w:ilvl w:val="12"/>
          <w:numId w:val="0"/>
        </w:numPr>
        <w:spacing w:after="240"/>
        <w:outlineLvl w:val="0"/>
        <w:rPr>
          <w:b/>
          <w:bCs/>
          <w:sz w:val="24"/>
          <w:szCs w:val="24"/>
        </w:rPr>
      </w:pPr>
      <w:r>
        <w:rPr>
          <w:b/>
          <w:bCs/>
          <w:sz w:val="24"/>
          <w:szCs w:val="24"/>
        </w:rPr>
        <w:t>A</w:t>
      </w:r>
      <w:r w:rsidR="00ED0425">
        <w:rPr>
          <w:b/>
          <w:bCs/>
          <w:sz w:val="24"/>
          <w:szCs w:val="24"/>
        </w:rPr>
        <w:t>5</w:t>
      </w:r>
      <w:r>
        <w:rPr>
          <w:b/>
          <w:bCs/>
          <w:sz w:val="24"/>
          <w:szCs w:val="24"/>
        </w:rPr>
        <w:t>.</w:t>
      </w:r>
      <w:r>
        <w:rPr>
          <w:b/>
          <w:bCs/>
          <w:sz w:val="24"/>
          <w:szCs w:val="24"/>
        </w:rPr>
        <w:tab/>
        <w:t xml:space="preserve">Involvement of Small Entities </w:t>
      </w:r>
    </w:p>
    <w:p w:rsidR="0060743B" w:rsidP="00D245E0" w14:paraId="19DE1FF8" w14:textId="2E027B4D">
      <w:pPr>
        <w:pStyle w:val="BodyTextIndent2"/>
        <w:numPr>
          <w:ilvl w:val="12"/>
          <w:numId w:val="0"/>
        </w:numPr>
        <w:spacing w:after="240"/>
        <w:jc w:val="left"/>
        <w:rPr>
          <w:b/>
          <w:bCs/>
          <w:szCs w:val="20"/>
        </w:rPr>
      </w:pPr>
      <w:r>
        <w:rPr>
          <w:szCs w:val="20"/>
        </w:rPr>
        <w:t xml:space="preserve">Individual grantees vary from small entities </w:t>
      </w:r>
      <w:r w:rsidR="00054A05">
        <w:rPr>
          <w:szCs w:val="20"/>
        </w:rPr>
        <w:t xml:space="preserve">to </w:t>
      </w:r>
      <w:r>
        <w:rPr>
          <w:szCs w:val="20"/>
        </w:rPr>
        <w:t>large provider organizations</w:t>
      </w:r>
      <w:r w:rsidR="0016247C">
        <w:rPr>
          <w:szCs w:val="20"/>
        </w:rPr>
        <w:t xml:space="preserve">.  </w:t>
      </w:r>
      <w:r>
        <w:rPr>
          <w:szCs w:val="20"/>
        </w:rPr>
        <w:t xml:space="preserve">Every effort has been made to reduce the number of data items collected from grantees to the least number required to accomplish the objectives of the effort and to meet GPRA reporting </w:t>
      </w:r>
      <w:r w:rsidR="000F49ED">
        <w:rPr>
          <w:szCs w:val="20"/>
        </w:rPr>
        <w:t>requirements.  Th</w:t>
      </w:r>
      <w:r>
        <w:rPr>
          <w:szCs w:val="20"/>
        </w:rPr>
        <w:t xml:space="preserve">erefore, there is no significant impact </w:t>
      </w:r>
      <w:r w:rsidR="000F49ED">
        <w:rPr>
          <w:szCs w:val="20"/>
        </w:rPr>
        <w:t xml:space="preserve">for </w:t>
      </w:r>
      <w:r>
        <w:rPr>
          <w:szCs w:val="20"/>
        </w:rPr>
        <w:t xml:space="preserve">small entities.  </w:t>
      </w:r>
    </w:p>
    <w:p w:rsidR="0060743B" w:rsidP="006B355B" w14:paraId="797D3219" w14:textId="11C208AE">
      <w:pPr>
        <w:pStyle w:val="Level1"/>
        <w:tabs>
          <w:tab w:val="left" w:pos="720"/>
          <w:tab w:val="left" w:pos="1440"/>
        </w:tabs>
        <w:spacing w:after="240"/>
        <w:ind w:left="0"/>
        <w:rPr>
          <w:b/>
          <w:bCs/>
        </w:rPr>
      </w:pPr>
      <w:r>
        <w:rPr>
          <w:b/>
          <w:bCs/>
        </w:rPr>
        <w:t>A</w:t>
      </w:r>
      <w:r w:rsidR="00ED0425">
        <w:rPr>
          <w:b/>
          <w:bCs/>
        </w:rPr>
        <w:t>6</w:t>
      </w:r>
      <w:r>
        <w:rPr>
          <w:b/>
          <w:bCs/>
        </w:rPr>
        <w:t>.</w:t>
      </w:r>
      <w:r>
        <w:rPr>
          <w:b/>
          <w:bCs/>
        </w:rPr>
        <w:tab/>
        <w:t>Consequences if Information Collected Less Frequently</w:t>
      </w:r>
    </w:p>
    <w:p w:rsidR="009B1D0D" w:rsidP="00D245E0" w14:paraId="0602D692" w14:textId="4C13E061">
      <w:pPr>
        <w:rPr>
          <w:sz w:val="24"/>
          <w:szCs w:val="24"/>
        </w:rPr>
      </w:pPr>
      <w:r>
        <w:rPr>
          <w:sz w:val="24"/>
          <w:szCs w:val="24"/>
          <w:u w:val="single"/>
        </w:rPr>
        <w:t xml:space="preserve">NOMS </w:t>
      </w:r>
      <w:r>
        <w:rPr>
          <w:sz w:val="24"/>
          <w:szCs w:val="24"/>
          <w:u w:val="single"/>
        </w:rPr>
        <w:t xml:space="preserve">Client-level </w:t>
      </w:r>
      <w:r>
        <w:rPr>
          <w:sz w:val="24"/>
          <w:szCs w:val="24"/>
          <w:u w:val="single"/>
        </w:rPr>
        <w:t>D</w:t>
      </w:r>
      <w:r>
        <w:rPr>
          <w:sz w:val="24"/>
          <w:szCs w:val="24"/>
          <w:u w:val="single"/>
        </w:rPr>
        <w:t>ata</w:t>
      </w:r>
    </w:p>
    <w:p w:rsidR="009B1D0D" w:rsidRPr="009B1D0D" w:rsidP="00FF2CD0" w14:paraId="7AB14267" w14:textId="77777777">
      <w:pPr>
        <w:ind w:left="720"/>
        <w:rPr>
          <w:sz w:val="24"/>
          <w:szCs w:val="24"/>
        </w:rPr>
      </w:pPr>
    </w:p>
    <w:p w:rsidR="00FF2CD0" w:rsidRPr="00370B6A" w:rsidP="00D245E0" w14:paraId="69D18CFC" w14:textId="564C84D9">
      <w:pPr>
        <w:rPr>
          <w:sz w:val="24"/>
          <w:szCs w:val="24"/>
        </w:rPr>
      </w:pPr>
      <w:r w:rsidRPr="00370B6A">
        <w:rPr>
          <w:sz w:val="24"/>
          <w:szCs w:val="24"/>
        </w:rPr>
        <w:t xml:space="preserve">Mental health programs typically collect </w:t>
      </w:r>
      <w:r w:rsidRPr="00370B6A" w:rsidR="00244BCF">
        <w:rPr>
          <w:sz w:val="24"/>
          <w:szCs w:val="24"/>
        </w:rPr>
        <w:t xml:space="preserve">client-level </w:t>
      </w:r>
      <w:r w:rsidRPr="00370B6A">
        <w:rPr>
          <w:sz w:val="24"/>
          <w:szCs w:val="24"/>
        </w:rPr>
        <w:t>data at admission and then conduct periodic reassessments of consumers while the individual remains in treatment</w:t>
      </w:r>
      <w:r w:rsidRPr="00370B6A" w:rsidR="0016247C">
        <w:rPr>
          <w:sz w:val="24"/>
          <w:szCs w:val="24"/>
        </w:rPr>
        <w:t xml:space="preserve">. </w:t>
      </w:r>
      <w:r w:rsidRPr="00370B6A">
        <w:rPr>
          <w:sz w:val="24"/>
          <w:szCs w:val="24"/>
        </w:rPr>
        <w:t>When feasible, mental health providers also conduct an assessment when the consumer is discharged</w:t>
      </w:r>
      <w:r w:rsidR="003D1A06">
        <w:rPr>
          <w:sz w:val="24"/>
          <w:szCs w:val="24"/>
        </w:rPr>
        <w:t xml:space="preserve"> and exits services</w:t>
      </w:r>
      <w:r w:rsidRPr="00370B6A" w:rsidR="0016247C">
        <w:rPr>
          <w:sz w:val="24"/>
          <w:szCs w:val="24"/>
        </w:rPr>
        <w:t xml:space="preserve">. </w:t>
      </w:r>
      <w:r w:rsidRPr="00370B6A">
        <w:rPr>
          <w:sz w:val="24"/>
          <w:szCs w:val="24"/>
        </w:rPr>
        <w:t>The data collected for the</w:t>
      </w:r>
      <w:r w:rsidRPr="00370B6A" w:rsidR="00244BCF">
        <w:rPr>
          <w:sz w:val="24"/>
          <w:szCs w:val="24"/>
        </w:rPr>
        <w:t xml:space="preserve"> client-level tool</w:t>
      </w:r>
      <w:r w:rsidR="003D1A06">
        <w:rPr>
          <w:sz w:val="24"/>
          <w:szCs w:val="24"/>
        </w:rPr>
        <w:t xml:space="preserve"> survey</w:t>
      </w:r>
      <w:r w:rsidRPr="00370B6A" w:rsidR="00244BCF">
        <w:rPr>
          <w:sz w:val="24"/>
          <w:szCs w:val="24"/>
        </w:rPr>
        <w:t xml:space="preserve"> </w:t>
      </w:r>
      <w:r w:rsidRPr="00370B6A">
        <w:rPr>
          <w:sz w:val="24"/>
          <w:szCs w:val="24"/>
        </w:rPr>
        <w:t>parallels this model</w:t>
      </w:r>
      <w:r w:rsidRPr="00370B6A" w:rsidR="0016247C">
        <w:rPr>
          <w:sz w:val="24"/>
          <w:szCs w:val="24"/>
        </w:rPr>
        <w:t xml:space="preserve">. </w:t>
      </w:r>
      <w:r w:rsidRPr="00370B6A">
        <w:rPr>
          <w:sz w:val="24"/>
          <w:szCs w:val="24"/>
        </w:rPr>
        <w:t xml:space="preserve">All programs that provide direct services will collect data at baseline/intake, </w:t>
      </w:r>
      <w:r w:rsidRPr="00370B6A" w:rsidR="008F1C9F">
        <w:rPr>
          <w:sz w:val="24"/>
          <w:szCs w:val="24"/>
        </w:rPr>
        <w:t xml:space="preserve">at three or six months </w:t>
      </w:r>
      <w:r w:rsidR="003D1A06">
        <w:rPr>
          <w:sz w:val="24"/>
          <w:szCs w:val="24"/>
        </w:rPr>
        <w:t xml:space="preserve">after </w:t>
      </w:r>
      <w:r w:rsidRPr="00370B6A" w:rsidR="008F1C9F">
        <w:rPr>
          <w:sz w:val="24"/>
          <w:szCs w:val="24"/>
        </w:rPr>
        <w:t xml:space="preserve">project enrollment, and </w:t>
      </w:r>
      <w:r w:rsidRPr="00370B6A">
        <w:rPr>
          <w:sz w:val="24"/>
          <w:szCs w:val="24"/>
        </w:rPr>
        <w:t xml:space="preserve">at </w:t>
      </w:r>
      <w:r w:rsidRPr="00370B6A" w:rsidR="008F1C9F">
        <w:rPr>
          <w:sz w:val="24"/>
          <w:szCs w:val="24"/>
        </w:rPr>
        <w:t>clinical di</w:t>
      </w:r>
      <w:r w:rsidRPr="00370B6A">
        <w:rPr>
          <w:sz w:val="24"/>
          <w:szCs w:val="24"/>
        </w:rPr>
        <w:t xml:space="preserve">scharge. </w:t>
      </w:r>
    </w:p>
    <w:p w:rsidR="00FF2CD0" w:rsidRPr="00370B6A" w:rsidP="00FF2CD0" w14:paraId="6C72FBAC" w14:textId="420F8E44">
      <w:pPr>
        <w:ind w:left="720"/>
        <w:rPr>
          <w:sz w:val="24"/>
          <w:szCs w:val="24"/>
        </w:rPr>
      </w:pPr>
      <w:r w:rsidRPr="00370B6A">
        <w:rPr>
          <w:sz w:val="24"/>
          <w:szCs w:val="24"/>
        </w:rPr>
        <w:t xml:space="preserve"> </w:t>
      </w:r>
    </w:p>
    <w:p w:rsidR="0060743B" w:rsidP="00D245E0" w14:paraId="0D69B3ED" w14:textId="50914F00">
      <w:pPr>
        <w:rPr>
          <w:sz w:val="24"/>
          <w:szCs w:val="24"/>
        </w:rPr>
      </w:pPr>
      <w:r w:rsidRPr="00370B6A">
        <w:rPr>
          <w:sz w:val="24"/>
          <w:szCs w:val="24"/>
        </w:rPr>
        <w:t xml:space="preserve">The baseline data collection is critical for measuring change. Extending the interval for the periodic reassessment beyond the requested intervals could lead to loss of contact with consumers, significantly diminishing the response rates and lowering the value of the data for performance reporting use by losing measurement of intermediate effects. </w:t>
      </w:r>
    </w:p>
    <w:p w:rsidR="006049D9" w:rsidRPr="00370B6A" w:rsidP="00D245E0" w14:paraId="0A49386B" w14:textId="77777777">
      <w:pPr>
        <w:rPr>
          <w:sz w:val="24"/>
          <w:szCs w:val="24"/>
        </w:rPr>
      </w:pPr>
    </w:p>
    <w:p w:rsidR="009B1D0D" w:rsidRPr="009B1D0D" w:rsidP="00D245E0" w14:paraId="28026C01" w14:textId="213D3D79">
      <w:pPr>
        <w:rPr>
          <w:sz w:val="24"/>
          <w:szCs w:val="24"/>
          <w:u w:val="single"/>
        </w:rPr>
      </w:pPr>
      <w:r w:rsidRPr="00370B6A">
        <w:rPr>
          <w:sz w:val="24"/>
          <w:szCs w:val="24"/>
          <w:u w:val="single"/>
        </w:rPr>
        <w:t xml:space="preserve">Infrastructure, </w:t>
      </w:r>
      <w:r w:rsidRPr="00370B6A" w:rsidR="00671728">
        <w:rPr>
          <w:sz w:val="24"/>
          <w:szCs w:val="24"/>
          <w:u w:val="single"/>
        </w:rPr>
        <w:t>P</w:t>
      </w:r>
      <w:r w:rsidRPr="00370B6A">
        <w:rPr>
          <w:sz w:val="24"/>
          <w:szCs w:val="24"/>
          <w:u w:val="single"/>
        </w:rPr>
        <w:t xml:space="preserve">revention, and </w:t>
      </w:r>
      <w:r w:rsidRPr="00370B6A" w:rsidR="00671728">
        <w:rPr>
          <w:sz w:val="24"/>
          <w:szCs w:val="24"/>
          <w:u w:val="single"/>
        </w:rPr>
        <w:t>P</w:t>
      </w:r>
      <w:r w:rsidRPr="00370B6A">
        <w:rPr>
          <w:sz w:val="24"/>
          <w:szCs w:val="24"/>
          <w:u w:val="single"/>
        </w:rPr>
        <w:t xml:space="preserve">romotion </w:t>
      </w:r>
      <w:r w:rsidRPr="00370B6A" w:rsidR="00671728">
        <w:rPr>
          <w:sz w:val="24"/>
          <w:szCs w:val="24"/>
          <w:u w:val="single"/>
        </w:rPr>
        <w:t>D</w:t>
      </w:r>
      <w:r w:rsidRPr="00370B6A" w:rsidR="00C46AFC">
        <w:rPr>
          <w:sz w:val="24"/>
          <w:szCs w:val="24"/>
          <w:u w:val="single"/>
        </w:rPr>
        <w:t>a</w:t>
      </w:r>
      <w:r w:rsidRPr="00370B6A">
        <w:rPr>
          <w:sz w:val="24"/>
          <w:szCs w:val="24"/>
          <w:u w:val="single"/>
        </w:rPr>
        <w:t>ta</w:t>
      </w:r>
    </w:p>
    <w:p w:rsidR="009B1D0D" w:rsidP="009B1D0D" w14:paraId="0255490D" w14:textId="77777777">
      <w:pPr>
        <w:ind w:left="720"/>
        <w:rPr>
          <w:sz w:val="24"/>
          <w:szCs w:val="24"/>
        </w:rPr>
      </w:pPr>
    </w:p>
    <w:p w:rsidR="009B1D0D" w:rsidRPr="009B1D0D" w:rsidP="00D245E0" w14:paraId="7FF61E14" w14:textId="5CFA0C75">
      <w:pPr>
        <w:rPr>
          <w:sz w:val="24"/>
          <w:szCs w:val="24"/>
        </w:rPr>
      </w:pPr>
      <w:r>
        <w:rPr>
          <w:sz w:val="24"/>
          <w:szCs w:val="24"/>
        </w:rPr>
        <w:t>These are no consequences if information is collected less frequently. The q</w:t>
      </w:r>
      <w:r w:rsidRPr="009B1D0D">
        <w:rPr>
          <w:sz w:val="24"/>
          <w:szCs w:val="24"/>
        </w:rPr>
        <w:t xml:space="preserve">uarterly data collection </w:t>
      </w:r>
      <w:r>
        <w:rPr>
          <w:sz w:val="24"/>
          <w:szCs w:val="24"/>
        </w:rPr>
        <w:t xml:space="preserve">and reporting </w:t>
      </w:r>
      <w:r w:rsidRPr="009B1D0D">
        <w:rPr>
          <w:sz w:val="24"/>
          <w:szCs w:val="24"/>
        </w:rPr>
        <w:t>requirement for the infrastructure, prevention, and mental health promotion performance indicators provide</w:t>
      </w:r>
      <w:r w:rsidR="008F1C9F">
        <w:rPr>
          <w:sz w:val="24"/>
          <w:szCs w:val="24"/>
        </w:rPr>
        <w:t>s</w:t>
      </w:r>
      <w:r w:rsidRPr="009B1D0D">
        <w:rPr>
          <w:sz w:val="24"/>
          <w:szCs w:val="24"/>
        </w:rPr>
        <w:t xml:space="preserve"> CMHS with </w:t>
      </w:r>
      <w:r>
        <w:rPr>
          <w:sz w:val="24"/>
          <w:szCs w:val="24"/>
        </w:rPr>
        <w:t xml:space="preserve">sufficient information for </w:t>
      </w:r>
      <w:r w:rsidRPr="009B1D0D">
        <w:rPr>
          <w:sz w:val="24"/>
          <w:szCs w:val="24"/>
        </w:rPr>
        <w:t>appropriate program monitoring</w:t>
      </w:r>
      <w:r>
        <w:rPr>
          <w:sz w:val="24"/>
          <w:szCs w:val="24"/>
        </w:rPr>
        <w:t>/</w:t>
      </w:r>
      <w:r w:rsidRPr="009B1D0D">
        <w:rPr>
          <w:sz w:val="24"/>
          <w:szCs w:val="24"/>
        </w:rPr>
        <w:t xml:space="preserve">management </w:t>
      </w:r>
      <w:r w:rsidR="008F1C9F">
        <w:rPr>
          <w:sz w:val="24"/>
          <w:szCs w:val="24"/>
        </w:rPr>
        <w:t xml:space="preserve">and </w:t>
      </w:r>
      <w:r w:rsidRPr="009B1D0D">
        <w:rPr>
          <w:sz w:val="24"/>
          <w:szCs w:val="24"/>
        </w:rPr>
        <w:t>GPRA performance reporting.</w:t>
      </w:r>
      <w:r>
        <w:rPr>
          <w:sz w:val="24"/>
          <w:szCs w:val="24"/>
        </w:rPr>
        <w:t xml:space="preserve"> There is not a need to report data less than quarterly.</w:t>
      </w:r>
    </w:p>
    <w:p w:rsidR="009B1D0D" w:rsidP="006B355B" w14:paraId="4A8425F4" w14:textId="77777777">
      <w:pPr>
        <w:ind w:left="720"/>
        <w:rPr>
          <w:sz w:val="24"/>
          <w:szCs w:val="24"/>
        </w:rPr>
      </w:pPr>
    </w:p>
    <w:p w:rsidR="0060743B" w:rsidP="006B355B" w14:paraId="1CD37C47" w14:textId="4A94538A">
      <w:pPr>
        <w:numPr>
          <w:ilvl w:val="12"/>
          <w:numId w:val="0"/>
        </w:numPr>
        <w:spacing w:after="240"/>
        <w:outlineLvl w:val="0"/>
        <w:rPr>
          <w:b/>
          <w:bCs/>
          <w:sz w:val="24"/>
          <w:szCs w:val="24"/>
        </w:rPr>
      </w:pPr>
      <w:r>
        <w:rPr>
          <w:b/>
          <w:bCs/>
          <w:sz w:val="24"/>
          <w:szCs w:val="24"/>
        </w:rPr>
        <w:t>A</w:t>
      </w:r>
      <w:r w:rsidR="00ED0425">
        <w:rPr>
          <w:b/>
          <w:bCs/>
          <w:sz w:val="24"/>
          <w:szCs w:val="24"/>
        </w:rPr>
        <w:t>7</w:t>
      </w:r>
      <w:r w:rsidR="009B1D0D">
        <w:rPr>
          <w:b/>
          <w:bCs/>
          <w:sz w:val="24"/>
          <w:szCs w:val="24"/>
        </w:rPr>
        <w:t>.</w:t>
      </w:r>
      <w:r>
        <w:rPr>
          <w:b/>
          <w:bCs/>
          <w:sz w:val="24"/>
          <w:szCs w:val="24"/>
        </w:rPr>
        <w:tab/>
        <w:t>Consistency with the Guidelines in 5 CFR 1320.5(d)(2)</w:t>
      </w:r>
    </w:p>
    <w:p w:rsidR="0060743B" w:rsidP="006B355B" w14:paraId="78537AA5" w14:textId="09B285FC">
      <w:pPr>
        <w:numPr>
          <w:ilvl w:val="12"/>
          <w:numId w:val="0"/>
        </w:numPr>
        <w:spacing w:after="240"/>
        <w:rPr>
          <w:sz w:val="24"/>
          <w:szCs w:val="24"/>
        </w:rPr>
      </w:pPr>
      <w:r>
        <w:rPr>
          <w:sz w:val="24"/>
          <w:szCs w:val="24"/>
        </w:rPr>
        <w:t>This information collection fully complies with the guidelines in 5 CFR 1320.5(d)(2).</w:t>
      </w:r>
    </w:p>
    <w:p w:rsidR="00D24987" w:rsidP="006B355B" w14:paraId="68AF1460" w14:textId="478FCCD4">
      <w:pPr>
        <w:numPr>
          <w:ilvl w:val="12"/>
          <w:numId w:val="0"/>
        </w:numPr>
        <w:spacing w:after="240"/>
        <w:rPr>
          <w:sz w:val="24"/>
          <w:szCs w:val="24"/>
        </w:rPr>
      </w:pPr>
      <w:r w:rsidRPr="00554212">
        <w:rPr>
          <w:sz w:val="24"/>
          <w:szCs w:val="24"/>
        </w:rPr>
        <w:t xml:space="preserve">SAMHSA is </w:t>
      </w:r>
      <w:r>
        <w:rPr>
          <w:sz w:val="24"/>
          <w:szCs w:val="24"/>
        </w:rPr>
        <w:t>in the process of establishing a new data collection tool for client services which will be used by discretionary grants from both CMHS and CSAT. While working towards this new combined data collection</w:t>
      </w:r>
      <w:r w:rsidR="006B54FE">
        <w:rPr>
          <w:sz w:val="24"/>
          <w:szCs w:val="24"/>
        </w:rPr>
        <w:t xml:space="preserve"> for client services</w:t>
      </w:r>
      <w:r>
        <w:rPr>
          <w:sz w:val="24"/>
          <w:szCs w:val="24"/>
        </w:rPr>
        <w:t xml:space="preserve">, SAMHSA is </w:t>
      </w:r>
      <w:r w:rsidRPr="00554212">
        <w:rPr>
          <w:sz w:val="24"/>
          <w:szCs w:val="24"/>
        </w:rPr>
        <w:t xml:space="preserve">requesting </w:t>
      </w:r>
      <w:r>
        <w:rPr>
          <w:sz w:val="24"/>
          <w:szCs w:val="24"/>
        </w:rPr>
        <w:t xml:space="preserve">to extend the </w:t>
      </w:r>
      <w:r>
        <w:rPr>
          <w:sz w:val="24"/>
          <w:szCs w:val="24"/>
        </w:rPr>
        <w:t>time period</w:t>
      </w:r>
      <w:r>
        <w:rPr>
          <w:sz w:val="24"/>
          <w:szCs w:val="24"/>
        </w:rPr>
        <w:t xml:space="preserve"> for data collection using the currently approved tools without change to the tools</w:t>
      </w:r>
      <w:r w:rsidR="00CE4001">
        <w:rPr>
          <w:sz w:val="24"/>
          <w:szCs w:val="24"/>
        </w:rPr>
        <w:t xml:space="preserve">. </w:t>
      </w:r>
      <w:r w:rsidR="00423157">
        <w:rPr>
          <w:sz w:val="24"/>
          <w:szCs w:val="24"/>
        </w:rPr>
        <w:t xml:space="preserve">As a result, SAMHSA also requests exemption from the OMB Statistical Policy Directive No. 15: Standards for </w:t>
      </w:r>
      <w:r w:rsidR="009364B2">
        <w:rPr>
          <w:sz w:val="24"/>
          <w:szCs w:val="24"/>
        </w:rPr>
        <w:t>Maintaining, Collecting, and Presenting Federal Data on Race and Ethnicity</w:t>
      </w:r>
      <w:r w:rsidR="00423157">
        <w:rPr>
          <w:sz w:val="24"/>
          <w:szCs w:val="24"/>
        </w:rPr>
        <w:t xml:space="preserve"> for this </w:t>
      </w:r>
      <w:r w:rsidR="00C65A40">
        <w:rPr>
          <w:sz w:val="24"/>
          <w:szCs w:val="24"/>
        </w:rPr>
        <w:t xml:space="preserve">request to </w:t>
      </w:r>
      <w:r w:rsidR="00423157">
        <w:rPr>
          <w:sz w:val="24"/>
          <w:szCs w:val="24"/>
        </w:rPr>
        <w:t>renew without change</w:t>
      </w:r>
      <w:r w:rsidR="009364B2">
        <w:rPr>
          <w:sz w:val="24"/>
          <w:szCs w:val="24"/>
        </w:rPr>
        <w:t xml:space="preserve">. </w:t>
      </w:r>
      <w:r w:rsidR="00CE4001">
        <w:rPr>
          <w:sz w:val="24"/>
          <w:szCs w:val="24"/>
        </w:rPr>
        <w:t xml:space="preserve"> </w:t>
      </w:r>
    </w:p>
    <w:p w:rsidR="0060743B" w:rsidP="006B355B" w14:paraId="3594F764" w14:textId="1C187EAF">
      <w:pPr>
        <w:pStyle w:val="Heading7"/>
        <w:numPr>
          <w:ilvl w:val="12"/>
          <w:numId w:val="0"/>
        </w:numPr>
        <w:spacing w:after="240"/>
        <w:jc w:val="left"/>
      </w:pPr>
      <w:r>
        <w:t>A</w:t>
      </w:r>
      <w:r w:rsidR="00ED0425">
        <w:t>8</w:t>
      </w:r>
      <w:r w:rsidR="00326EC1">
        <w:t>.</w:t>
      </w:r>
      <w:r>
        <w:tab/>
        <w:t>Consultation Outside the Agency</w:t>
      </w:r>
    </w:p>
    <w:p w:rsidR="00F152F2" w:rsidP="00D245E0" w14:paraId="73B553B7" w14:textId="260B4525">
      <w:pPr>
        <w:rPr>
          <w:rFonts w:ascii="Times" w:hAnsi="Times"/>
          <w:sz w:val="24"/>
          <w:szCs w:val="24"/>
        </w:rPr>
      </w:pPr>
      <w:r w:rsidRPr="00F152F2">
        <w:rPr>
          <w:rFonts w:ascii="Times" w:hAnsi="Times"/>
          <w:sz w:val="24"/>
          <w:szCs w:val="24"/>
        </w:rPr>
        <w:t xml:space="preserve">The notice required by 5 CFR 1320.8(d) was published in the </w:t>
      </w:r>
      <w:r w:rsidRPr="00214CC1">
        <w:rPr>
          <w:rFonts w:ascii="Times" w:hAnsi="Times"/>
          <w:i/>
          <w:sz w:val="24"/>
          <w:szCs w:val="24"/>
        </w:rPr>
        <w:t>Federal Register</w:t>
      </w:r>
      <w:r w:rsidRPr="00F152F2">
        <w:rPr>
          <w:rFonts w:ascii="Times" w:hAnsi="Times"/>
          <w:sz w:val="24"/>
          <w:szCs w:val="24"/>
        </w:rPr>
        <w:t xml:space="preserve"> on </w:t>
      </w:r>
      <w:r w:rsidR="00C130C4">
        <w:rPr>
          <w:rFonts w:ascii="Times" w:hAnsi="Times"/>
          <w:sz w:val="24"/>
          <w:szCs w:val="24"/>
        </w:rPr>
        <w:t>7/18/2024</w:t>
      </w:r>
      <w:r>
        <w:rPr>
          <w:rFonts w:ascii="Times" w:hAnsi="Times"/>
          <w:sz w:val="24"/>
          <w:szCs w:val="24"/>
        </w:rPr>
        <w:t>, 20</w:t>
      </w:r>
      <w:r w:rsidR="00ED0425">
        <w:rPr>
          <w:rFonts w:ascii="Times" w:hAnsi="Times"/>
          <w:sz w:val="24"/>
          <w:szCs w:val="24"/>
        </w:rPr>
        <w:t>2</w:t>
      </w:r>
      <w:r w:rsidR="00E063C2">
        <w:rPr>
          <w:rFonts w:ascii="Times" w:hAnsi="Times"/>
          <w:sz w:val="24"/>
          <w:szCs w:val="24"/>
        </w:rPr>
        <w:t>4</w:t>
      </w:r>
      <w:r w:rsidRPr="00F152F2">
        <w:rPr>
          <w:rFonts w:ascii="Times" w:hAnsi="Times"/>
          <w:sz w:val="24"/>
          <w:szCs w:val="24"/>
        </w:rPr>
        <w:t xml:space="preserve"> (</w:t>
      </w:r>
      <w:r w:rsidR="00C130C4">
        <w:rPr>
          <w:rFonts w:ascii="Times" w:hAnsi="Times"/>
          <w:sz w:val="24"/>
          <w:szCs w:val="24"/>
        </w:rPr>
        <w:t>89 FR 58390</w:t>
      </w:r>
      <w:r>
        <w:rPr>
          <w:rFonts w:ascii="Times" w:hAnsi="Times"/>
          <w:sz w:val="24"/>
          <w:szCs w:val="24"/>
        </w:rPr>
        <w:t>)</w:t>
      </w:r>
      <w:r w:rsidRPr="00F152F2">
        <w:rPr>
          <w:rFonts w:ascii="Times" w:hAnsi="Times"/>
          <w:sz w:val="24"/>
          <w:szCs w:val="24"/>
        </w:rPr>
        <w:t xml:space="preserve">. </w:t>
      </w:r>
      <w:r w:rsidRPr="00F152F2">
        <w:rPr>
          <w:rFonts w:ascii="Times" w:hAnsi="Times"/>
          <w:sz w:val="24"/>
          <w:szCs w:val="24"/>
        </w:rPr>
        <w:t xml:space="preserve"> </w:t>
      </w:r>
      <w:r w:rsidRPr="00ED0425" w:rsidR="00ED0425">
        <w:rPr>
          <w:rFonts w:ascii="Times" w:hAnsi="Times"/>
          <w:sz w:val="24"/>
          <w:szCs w:val="24"/>
        </w:rPr>
        <w:t xml:space="preserve">SAMHSA </w:t>
      </w:r>
      <w:r w:rsidR="00C130C4">
        <w:rPr>
          <w:rFonts w:ascii="Times" w:hAnsi="Times"/>
          <w:sz w:val="24"/>
          <w:szCs w:val="24"/>
        </w:rPr>
        <w:t xml:space="preserve">did not </w:t>
      </w:r>
      <w:r w:rsidRPr="00ED0425" w:rsidR="00ED0425">
        <w:rPr>
          <w:rFonts w:ascii="Times" w:hAnsi="Times"/>
          <w:sz w:val="24"/>
          <w:szCs w:val="24"/>
        </w:rPr>
        <w:t xml:space="preserve">receive public comments from </w:t>
      </w:r>
      <w:r w:rsidR="00C130C4">
        <w:rPr>
          <w:rFonts w:ascii="Times" w:hAnsi="Times"/>
          <w:sz w:val="24"/>
          <w:szCs w:val="24"/>
        </w:rPr>
        <w:t xml:space="preserve">any </w:t>
      </w:r>
      <w:r w:rsidRPr="00ED0425" w:rsidR="00ED0425">
        <w:rPr>
          <w:rFonts w:ascii="Times" w:hAnsi="Times"/>
          <w:sz w:val="24"/>
          <w:szCs w:val="24"/>
        </w:rPr>
        <w:t>entities.</w:t>
      </w:r>
    </w:p>
    <w:p w:rsidR="00F152F2" w:rsidP="006B355B" w14:paraId="34C6EF0B" w14:textId="77777777">
      <w:pPr>
        <w:ind w:left="720"/>
        <w:rPr>
          <w:rFonts w:ascii="Times" w:hAnsi="Times"/>
          <w:sz w:val="24"/>
          <w:szCs w:val="24"/>
        </w:rPr>
      </w:pPr>
    </w:p>
    <w:p w:rsidR="00C5368C" w:rsidP="000764CB" w14:paraId="5C0EEC50" w14:textId="226C8F62">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 w:val="24"/>
          <w:szCs w:val="24"/>
        </w:rPr>
      </w:pPr>
      <w:r>
        <w:rPr>
          <w:rFonts w:ascii="Times" w:hAnsi="Times"/>
          <w:sz w:val="24"/>
          <w:szCs w:val="24"/>
        </w:rPr>
        <w:t xml:space="preserve">When revising the data collection tool in 2021, </w:t>
      </w:r>
      <w:r w:rsidR="0060743B">
        <w:rPr>
          <w:rFonts w:ascii="Times" w:hAnsi="Times"/>
          <w:sz w:val="24"/>
          <w:szCs w:val="24"/>
        </w:rPr>
        <w:t>CMHS consulted both external and internal stakeholders in developing the proposed measures and data collection methodology</w:t>
      </w:r>
      <w:r w:rsidR="0016247C">
        <w:rPr>
          <w:rFonts w:ascii="Times" w:hAnsi="Times"/>
          <w:sz w:val="24"/>
          <w:szCs w:val="24"/>
        </w:rPr>
        <w:t xml:space="preserve">. </w:t>
      </w:r>
      <w:r w:rsidR="0060743B">
        <w:rPr>
          <w:rFonts w:ascii="Times" w:hAnsi="Times"/>
          <w:sz w:val="24"/>
          <w:szCs w:val="24"/>
        </w:rPr>
        <w:t>CMHS obtained feedback and consultation regarding the availability of data, methods and frequency of collection, and the appropriateness of data elements</w:t>
      </w:r>
      <w:r w:rsidR="0016247C">
        <w:rPr>
          <w:rFonts w:ascii="Times" w:hAnsi="Times"/>
          <w:sz w:val="24"/>
          <w:szCs w:val="24"/>
        </w:rPr>
        <w:t xml:space="preserve">.  </w:t>
      </w:r>
      <w:r w:rsidR="0060743B">
        <w:rPr>
          <w:rFonts w:ascii="Times" w:hAnsi="Times"/>
          <w:sz w:val="24"/>
          <w:szCs w:val="24"/>
        </w:rPr>
        <w:t>Development of the measures involved extensive consultation with staff within CMHS and SAMHSA.</w:t>
      </w:r>
    </w:p>
    <w:p w:rsidR="0060743B" w:rsidP="000764CB" w14:paraId="4095B319" w14:textId="01AFB7B4">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 w:val="24"/>
          <w:szCs w:val="24"/>
        </w:rPr>
      </w:pPr>
      <w:r>
        <w:rPr>
          <w:rFonts w:ascii="Times" w:hAnsi="Times"/>
          <w:sz w:val="24"/>
          <w:szCs w:val="24"/>
        </w:rPr>
        <w:t xml:space="preserve"> </w:t>
      </w:r>
    </w:p>
    <w:p w:rsidR="0060743B" w:rsidP="006B355B" w14:paraId="0883CD8C" w14:textId="06BA7EAE">
      <w:pPr>
        <w:numPr>
          <w:ilvl w:val="12"/>
          <w:numId w:val="0"/>
        </w:numPr>
        <w:spacing w:after="240"/>
        <w:outlineLvl w:val="0"/>
        <w:rPr>
          <w:b/>
          <w:bCs/>
          <w:sz w:val="24"/>
          <w:szCs w:val="24"/>
        </w:rPr>
      </w:pPr>
      <w:r>
        <w:rPr>
          <w:b/>
          <w:bCs/>
          <w:sz w:val="24"/>
          <w:szCs w:val="24"/>
        </w:rPr>
        <w:t>A</w:t>
      </w:r>
      <w:r w:rsidR="00ED0425">
        <w:rPr>
          <w:b/>
          <w:bCs/>
          <w:sz w:val="24"/>
          <w:szCs w:val="24"/>
        </w:rPr>
        <w:t>9</w:t>
      </w:r>
      <w:r w:rsidR="009B1D0D">
        <w:rPr>
          <w:b/>
          <w:bCs/>
          <w:sz w:val="24"/>
          <w:szCs w:val="24"/>
        </w:rPr>
        <w:t>.</w:t>
      </w:r>
      <w:r>
        <w:rPr>
          <w:b/>
          <w:bCs/>
          <w:sz w:val="24"/>
          <w:szCs w:val="24"/>
        </w:rPr>
        <w:tab/>
        <w:t>Payment to Respondents</w:t>
      </w:r>
    </w:p>
    <w:p w:rsidR="0060743B" w:rsidP="00D245E0" w14:paraId="43713BA4" w14:textId="4B04485A">
      <w:pPr>
        <w:pStyle w:val="BodyTextIndent2"/>
        <w:numPr>
          <w:ilvl w:val="12"/>
          <w:numId w:val="0"/>
        </w:numPr>
        <w:spacing w:after="240"/>
        <w:jc w:val="left"/>
      </w:pPr>
      <w:r>
        <w:t xml:space="preserve">Per SAMHSA policy, </w:t>
      </w:r>
      <w:r w:rsidR="00914C14">
        <w:t xml:space="preserve">grant funds cannot be used to make direct payments to a client/consumer to enter treatment of continue to participate in prevention or treatment services.  However, a grantee may provide up to a $30 non-cash incentive to a client/consumer to participate in required data collection follow-up.  </w:t>
      </w:r>
    </w:p>
    <w:p w:rsidR="0060743B" w:rsidP="006B355B" w14:paraId="6A09DCDD" w14:textId="327BB477">
      <w:pPr>
        <w:numPr>
          <w:ilvl w:val="12"/>
          <w:numId w:val="0"/>
        </w:numPr>
        <w:spacing w:after="240"/>
        <w:rPr>
          <w:sz w:val="24"/>
          <w:szCs w:val="24"/>
        </w:rPr>
      </w:pPr>
      <w:r>
        <w:rPr>
          <w:b/>
          <w:bCs/>
          <w:sz w:val="24"/>
          <w:szCs w:val="24"/>
        </w:rPr>
        <w:t>A</w:t>
      </w:r>
      <w:r>
        <w:rPr>
          <w:b/>
          <w:bCs/>
          <w:sz w:val="24"/>
          <w:szCs w:val="24"/>
        </w:rPr>
        <w:t>1</w:t>
      </w:r>
      <w:r w:rsidR="00ED0425">
        <w:rPr>
          <w:b/>
          <w:bCs/>
          <w:sz w:val="24"/>
          <w:szCs w:val="24"/>
        </w:rPr>
        <w:t>0</w:t>
      </w:r>
      <w:r>
        <w:rPr>
          <w:b/>
          <w:bCs/>
          <w:sz w:val="24"/>
          <w:szCs w:val="24"/>
        </w:rPr>
        <w:t>.</w:t>
      </w:r>
      <w:r>
        <w:rPr>
          <w:b/>
          <w:bCs/>
          <w:sz w:val="24"/>
          <w:szCs w:val="24"/>
        </w:rPr>
        <w:tab/>
        <w:t>Assurance of Confidentiality</w:t>
      </w:r>
    </w:p>
    <w:p w:rsidR="00F152F2" w:rsidRPr="00F152F2" w:rsidP="00D245E0" w14:paraId="659CDA30" w14:textId="098C524D">
      <w:pPr>
        <w:numPr>
          <w:ilvl w:val="12"/>
          <w:numId w:val="0"/>
        </w:numPr>
        <w:spacing w:after="240"/>
        <w:rPr>
          <w:sz w:val="24"/>
          <w:szCs w:val="24"/>
        </w:rPr>
      </w:pPr>
      <w:r w:rsidRPr="0004438F">
        <w:rPr>
          <w:sz w:val="24"/>
          <w:szCs w:val="24"/>
        </w:rPr>
        <w:t>Data will be kept private to the extent allowed by law</w:t>
      </w:r>
      <w:r>
        <w:rPr>
          <w:sz w:val="24"/>
          <w:szCs w:val="24"/>
        </w:rPr>
        <w:t xml:space="preserve">. </w:t>
      </w:r>
      <w:r w:rsidR="00626835">
        <w:rPr>
          <w:sz w:val="24"/>
          <w:szCs w:val="24"/>
        </w:rPr>
        <w:t>The information from g</w:t>
      </w:r>
      <w:r w:rsidRPr="00F152F2">
        <w:rPr>
          <w:sz w:val="24"/>
          <w:szCs w:val="24"/>
        </w:rPr>
        <w:t>rantees and all other potential respondents will be kept private through all points in the data collection and reporting processes</w:t>
      </w:r>
      <w:r w:rsidRPr="00F152F2" w:rsidR="0016247C">
        <w:rPr>
          <w:sz w:val="24"/>
          <w:szCs w:val="24"/>
        </w:rPr>
        <w:t xml:space="preserve">. </w:t>
      </w:r>
      <w:r w:rsidRPr="00F152F2">
        <w:rPr>
          <w:sz w:val="24"/>
          <w:szCs w:val="24"/>
        </w:rPr>
        <w:t>However, SAMHSA cannot ensure complete confidentiality of client data</w:t>
      </w:r>
      <w:r w:rsidR="00626835">
        <w:rPr>
          <w:sz w:val="24"/>
          <w:szCs w:val="24"/>
        </w:rPr>
        <w:t xml:space="preserve">. </w:t>
      </w:r>
      <w:r w:rsidRPr="00F152F2">
        <w:rPr>
          <w:sz w:val="24"/>
          <w:szCs w:val="24"/>
        </w:rPr>
        <w:t>All data will be closely safeguarded, and no institutional or individual identifiers will be used in reports</w:t>
      </w:r>
      <w:r w:rsidRPr="00F152F2" w:rsidR="0016247C">
        <w:rPr>
          <w:sz w:val="24"/>
          <w:szCs w:val="24"/>
        </w:rPr>
        <w:t xml:space="preserve">. </w:t>
      </w:r>
      <w:r w:rsidRPr="00F152F2">
        <w:rPr>
          <w:sz w:val="24"/>
          <w:szCs w:val="24"/>
        </w:rPr>
        <w:t>Only aggregated data will be reported</w:t>
      </w:r>
      <w:r w:rsidRPr="00F152F2" w:rsidR="0016247C">
        <w:rPr>
          <w:sz w:val="24"/>
          <w:szCs w:val="24"/>
        </w:rPr>
        <w:t xml:space="preserve">.  </w:t>
      </w:r>
      <w:r w:rsidRPr="00F152F2">
        <w:rPr>
          <w:sz w:val="24"/>
          <w:szCs w:val="24"/>
        </w:rPr>
        <w:t>SAMHSA and its contractors will not receive identifiable client records</w:t>
      </w:r>
      <w:r w:rsidRPr="00F152F2" w:rsidR="0016247C">
        <w:rPr>
          <w:sz w:val="24"/>
          <w:szCs w:val="24"/>
        </w:rPr>
        <w:t>.</w:t>
      </w:r>
      <w:r w:rsidR="00717C37">
        <w:rPr>
          <w:sz w:val="24"/>
          <w:szCs w:val="24"/>
        </w:rPr>
        <w:t xml:space="preserve"> </w:t>
      </w:r>
      <w:r w:rsidRPr="00F152F2">
        <w:rPr>
          <w:sz w:val="24"/>
          <w:szCs w:val="24"/>
        </w:rPr>
        <w:t>Provider-level information will be aggregated to, at least, the level of the grant</w:t>
      </w:r>
      <w:r w:rsidR="00572DAB">
        <w:rPr>
          <w:sz w:val="24"/>
          <w:szCs w:val="24"/>
        </w:rPr>
        <w:t xml:space="preserve"> </w:t>
      </w:r>
      <w:r w:rsidRPr="00F152F2">
        <w:rPr>
          <w:sz w:val="24"/>
          <w:szCs w:val="24"/>
        </w:rPr>
        <w:t>funding announcement.</w:t>
      </w:r>
    </w:p>
    <w:p w:rsidR="0060743B" w:rsidP="00D245E0" w14:paraId="176B05C5" w14:textId="1C26316F">
      <w:pPr>
        <w:numPr>
          <w:ilvl w:val="12"/>
          <w:numId w:val="0"/>
        </w:numPr>
        <w:spacing w:after="240"/>
        <w:rPr>
          <w:sz w:val="24"/>
          <w:szCs w:val="24"/>
        </w:rPr>
      </w:pPr>
      <w:r w:rsidRPr="00F152F2">
        <w:rPr>
          <w:sz w:val="24"/>
          <w:szCs w:val="24"/>
        </w:rPr>
        <w:t>SAMHSA has statutory authority to collect data under the Government Performance and Results Act (Public Law 1103(a), Title 31) and is subject to the Privacy Act for the protection of data.  Federally assisted substance abuse treatment providers are subject to the federal regulations for alcohol and substance abuse patient records (42 CFR Part 2) (OMB No. 0930-0092) which govern the protection of patient identifying data</w:t>
      </w:r>
      <w:r w:rsidRPr="00F152F2" w:rsidR="0016247C">
        <w:rPr>
          <w:sz w:val="24"/>
          <w:szCs w:val="24"/>
        </w:rPr>
        <w:t xml:space="preserve">.  </w:t>
      </w:r>
      <w:r w:rsidRPr="00F152F2">
        <w:rPr>
          <w:sz w:val="24"/>
          <w:szCs w:val="24"/>
        </w:rPr>
        <w:t>In some cases, these same providers meet the definition of a HIPAA covered entity and are additionally subject to the Privacy Rule (45 CFR Parts 160 and 164) for the protection of individually identifiable data.</w:t>
      </w:r>
    </w:p>
    <w:p w:rsidR="0060743B" w:rsidP="006B355B" w14:paraId="7FC9173A" w14:textId="445EE04B">
      <w:pPr>
        <w:numPr>
          <w:ilvl w:val="12"/>
          <w:numId w:val="0"/>
        </w:numPr>
        <w:outlineLvl w:val="0"/>
        <w:rPr>
          <w:b/>
          <w:bCs/>
          <w:sz w:val="24"/>
          <w:szCs w:val="24"/>
        </w:rPr>
      </w:pPr>
      <w:r>
        <w:rPr>
          <w:b/>
          <w:bCs/>
          <w:sz w:val="24"/>
          <w:szCs w:val="24"/>
        </w:rPr>
        <w:t>A</w:t>
      </w:r>
      <w:r>
        <w:rPr>
          <w:b/>
          <w:bCs/>
          <w:sz w:val="24"/>
          <w:szCs w:val="24"/>
        </w:rPr>
        <w:t>1</w:t>
      </w:r>
      <w:r w:rsidR="00ED0425">
        <w:rPr>
          <w:b/>
          <w:bCs/>
          <w:sz w:val="24"/>
          <w:szCs w:val="24"/>
        </w:rPr>
        <w:t>1</w:t>
      </w:r>
      <w:r>
        <w:rPr>
          <w:b/>
          <w:bCs/>
          <w:sz w:val="24"/>
          <w:szCs w:val="24"/>
        </w:rPr>
        <w:t>.</w:t>
      </w:r>
      <w:r>
        <w:rPr>
          <w:b/>
          <w:bCs/>
          <w:sz w:val="24"/>
          <w:szCs w:val="24"/>
        </w:rPr>
        <w:tab/>
        <w:t>Questions of a Sensitive Nature</w:t>
      </w:r>
    </w:p>
    <w:p w:rsidR="0060743B" w:rsidP="006B355B" w14:paraId="608D02E8" w14:textId="77777777">
      <w:pPr>
        <w:numPr>
          <w:ilvl w:val="12"/>
          <w:numId w:val="0"/>
        </w:numPr>
        <w:rPr>
          <w:b/>
          <w:bCs/>
          <w:sz w:val="24"/>
          <w:szCs w:val="24"/>
        </w:rPr>
      </w:pPr>
    </w:p>
    <w:p w:rsidR="00572DAB" w:rsidP="00437689" w14:paraId="25AFC1A3" w14:textId="37C1C0D9">
      <w:pPr>
        <w:pStyle w:val="BodyTextIndent2"/>
        <w:spacing w:after="120"/>
        <w:ind w:left="0"/>
        <w:jc w:val="left"/>
        <w:rPr>
          <w:szCs w:val="20"/>
        </w:rPr>
      </w:pPr>
      <w:r>
        <w:rPr>
          <w:szCs w:val="20"/>
        </w:rPr>
        <w:t xml:space="preserve">SAMHSA’s mission is to improve the quality and availability of prevention, early intervention, treatment, and rehabilitation services for substance abuse and mental illnesses, including co-occurring disorders, </w:t>
      </w:r>
      <w:r>
        <w:rPr>
          <w:szCs w:val="20"/>
        </w:rPr>
        <w:t>in order to</w:t>
      </w:r>
      <w:r>
        <w:rPr>
          <w:szCs w:val="20"/>
        </w:rPr>
        <w:t xml:space="preserve"> improve health and reduce illness, death, disability, and cost to society</w:t>
      </w:r>
      <w:r w:rsidR="0016247C">
        <w:rPr>
          <w:szCs w:val="20"/>
        </w:rPr>
        <w:t xml:space="preserve">.  </w:t>
      </w:r>
      <w:r>
        <w:rPr>
          <w:szCs w:val="20"/>
        </w:rPr>
        <w:t>In carrying out this mission</w:t>
      </w:r>
      <w:r w:rsidR="005C5691">
        <w:rPr>
          <w:szCs w:val="20"/>
        </w:rPr>
        <w:t>,</w:t>
      </w:r>
      <w:r>
        <w:rPr>
          <w:szCs w:val="20"/>
        </w:rPr>
        <w:t xml:space="preserve"> it is necessary for service providers to collect sensitive items such as criminal justice involvement as well as issues of mental health</w:t>
      </w:r>
      <w:r w:rsidR="0016247C">
        <w:rPr>
          <w:szCs w:val="20"/>
        </w:rPr>
        <w:t xml:space="preserve">. </w:t>
      </w:r>
      <w:r>
        <w:rPr>
          <w:szCs w:val="20"/>
        </w:rPr>
        <w:t xml:space="preserve">The data that will be submitted by each grantee will be </w:t>
      </w:r>
      <w:r>
        <w:rPr>
          <w:szCs w:val="20"/>
        </w:rPr>
        <w:t>based in large part on</w:t>
      </w:r>
      <w:r>
        <w:rPr>
          <w:szCs w:val="20"/>
        </w:rPr>
        <w:t xml:space="preserve"> data that most of the programs are already routinely collecting</w:t>
      </w:r>
      <w:r w:rsidR="0016247C">
        <w:rPr>
          <w:szCs w:val="20"/>
        </w:rPr>
        <w:t xml:space="preserve">. </w:t>
      </w:r>
      <w:r>
        <w:rPr>
          <w:szCs w:val="20"/>
        </w:rPr>
        <w:t>This primarily includes data on consumer demographics, mental health condition/illness and treatment history, services received, and consumer outcomes</w:t>
      </w:r>
      <w:r w:rsidR="0016247C">
        <w:rPr>
          <w:szCs w:val="20"/>
        </w:rPr>
        <w:t xml:space="preserve">. </w:t>
      </w:r>
      <w:r>
        <w:rPr>
          <w:szCs w:val="20"/>
        </w:rPr>
        <w:t>These issues are essential to the service/treatment context</w:t>
      </w:r>
      <w:r w:rsidR="0016247C">
        <w:rPr>
          <w:szCs w:val="20"/>
        </w:rPr>
        <w:t>.</w:t>
      </w:r>
    </w:p>
    <w:p w:rsidR="003D1C8B" w:rsidP="00437689" w14:paraId="44D0EBAC" w14:textId="10E4D3CC">
      <w:pPr>
        <w:pStyle w:val="BodyTextIndent2"/>
        <w:spacing w:after="120"/>
        <w:ind w:left="0"/>
        <w:jc w:val="left"/>
      </w:pPr>
      <w:r>
        <w:rPr>
          <w:szCs w:val="20"/>
        </w:rPr>
        <w:t>Grant projects use informed consent forms as required and as viewed appropriate by their individual organizations</w:t>
      </w:r>
      <w:r w:rsidR="0016247C">
        <w:rPr>
          <w:szCs w:val="20"/>
        </w:rPr>
        <w:t xml:space="preserve">. </w:t>
      </w:r>
      <w:r>
        <w:rPr>
          <w:szCs w:val="20"/>
        </w:rPr>
        <w:t>They use the appropriate forms for minor/adolescent participants requiring parental approval</w:t>
      </w:r>
      <w:r w:rsidR="0016247C">
        <w:rPr>
          <w:szCs w:val="20"/>
        </w:rPr>
        <w:t xml:space="preserve">. </w:t>
      </w:r>
      <w:r w:rsidRPr="00F152F2" w:rsidR="00F152F2">
        <w:t xml:space="preserve">Client data are routinely collected and subject to the Federal Regulations on Human Subject Protection (45 CFR Part 46; OMB No. 0925-0404). </w:t>
      </w:r>
      <w:r w:rsidR="002661FE">
        <w:t>S</w:t>
      </w:r>
      <w:r w:rsidR="00893EBC">
        <w:t>ubstance use disorder</w:t>
      </w:r>
      <w:r w:rsidRPr="00F152F2" w:rsidR="00F152F2">
        <w:t xml:space="preserve"> </w:t>
      </w:r>
      <w:r w:rsidR="002661FE">
        <w:t xml:space="preserve">patient records </w:t>
      </w:r>
      <w:r w:rsidRPr="00F152F2" w:rsidR="00F152F2">
        <w:t xml:space="preserve">in </w:t>
      </w:r>
      <w:r w:rsidR="00572DAB">
        <w:t>f</w:t>
      </w:r>
      <w:r w:rsidRPr="00F152F2" w:rsidR="00F152F2">
        <w:t>ederally supported programs are also protected by 42 CFR Part 2</w:t>
      </w:r>
      <w:r w:rsidRPr="00F152F2" w:rsidR="0016247C">
        <w:t xml:space="preserve">. </w:t>
      </w:r>
    </w:p>
    <w:p w:rsidR="00F152F2" w:rsidRPr="00F152F2" w:rsidP="00437689" w14:paraId="108CB287" w14:textId="67A70164">
      <w:pPr>
        <w:pStyle w:val="BodyTextIndent2"/>
        <w:spacing w:after="120"/>
        <w:ind w:left="0"/>
        <w:jc w:val="left"/>
      </w:pPr>
      <w:r w:rsidRPr="00F152F2">
        <w:t xml:space="preserve">The informed consent forms contain the following elements: </w:t>
      </w:r>
    </w:p>
    <w:p w:rsidR="00F152F2" w:rsidRPr="00F152F2" w:rsidP="00581E95" w14:paraId="04EB3C64" w14:textId="72A40B90">
      <w:pPr>
        <w:pStyle w:val="BodyTextIndent2"/>
        <w:numPr>
          <w:ilvl w:val="0"/>
          <w:numId w:val="1"/>
        </w:numPr>
        <w:spacing w:after="120"/>
        <w:jc w:val="left"/>
      </w:pPr>
      <w:r>
        <w:t xml:space="preserve">A </w:t>
      </w:r>
      <w:r w:rsidR="003D1C8B">
        <w:t>description of t</w:t>
      </w:r>
      <w:r w:rsidRPr="00F152F2">
        <w:t>he purpose of the program</w:t>
      </w:r>
      <w:r w:rsidR="003D1C8B">
        <w:t xml:space="preserve"> and the procedures to be followed</w:t>
      </w:r>
      <w:r w:rsidRPr="00F152F2">
        <w:t>.</w:t>
      </w:r>
    </w:p>
    <w:p w:rsidR="00F152F2" w:rsidRPr="00F152F2" w:rsidP="00581E95" w14:paraId="4F786E05" w14:textId="6AFB1B50">
      <w:pPr>
        <w:pStyle w:val="BodyTextIndent2"/>
        <w:numPr>
          <w:ilvl w:val="0"/>
          <w:numId w:val="1"/>
        </w:numPr>
        <w:spacing w:after="120"/>
        <w:jc w:val="left"/>
      </w:pPr>
      <w:r>
        <w:t>The ex</w:t>
      </w:r>
      <w:r w:rsidRPr="00F152F2">
        <w:t xml:space="preserve">pected duration of </w:t>
      </w:r>
      <w:r>
        <w:t>client/consumer</w:t>
      </w:r>
      <w:r w:rsidRPr="00F152F2">
        <w:t xml:space="preserve"> participation.</w:t>
      </w:r>
    </w:p>
    <w:p w:rsidR="00572DAB" w:rsidP="00581E95" w14:paraId="3DC948BF" w14:textId="72C445D3">
      <w:pPr>
        <w:pStyle w:val="BodyTextIndent2"/>
        <w:numPr>
          <w:ilvl w:val="0"/>
          <w:numId w:val="1"/>
        </w:numPr>
        <w:spacing w:after="120"/>
        <w:jc w:val="left"/>
      </w:pPr>
      <w:r>
        <w:t>Whether or not client/consumer participation is voluntary.  If participation is voluntary, a statement that the client/consumer may receive services even if they do not participate in or complete the data collection component of the program.</w:t>
      </w:r>
    </w:p>
    <w:p w:rsidR="00572DAB" w:rsidP="00581E95" w14:paraId="3D947434" w14:textId="2BD1B1E3">
      <w:pPr>
        <w:pStyle w:val="BodyTextIndent2"/>
        <w:numPr>
          <w:ilvl w:val="0"/>
          <w:numId w:val="1"/>
        </w:numPr>
        <w:spacing w:after="120"/>
        <w:jc w:val="left"/>
      </w:pPr>
      <w:r>
        <w:t>A client/consumer right to leave the project at any time without adverse effect.</w:t>
      </w:r>
    </w:p>
    <w:p w:rsidR="00572DAB" w:rsidP="00581E95" w14:paraId="56F564D4" w14:textId="0FDF8757">
      <w:pPr>
        <w:pStyle w:val="BodyTextIndent2"/>
        <w:numPr>
          <w:ilvl w:val="0"/>
          <w:numId w:val="1"/>
        </w:numPr>
        <w:spacing w:after="120"/>
        <w:jc w:val="left"/>
      </w:pPr>
      <w:r>
        <w:t xml:space="preserve">Any </w:t>
      </w:r>
      <w:r>
        <w:t>possible risks from project participation and the plan(s) to protect the client/consumer from these risks.</w:t>
      </w:r>
    </w:p>
    <w:p w:rsidR="00F152F2" w:rsidRPr="00F152F2" w:rsidP="00581E95" w14:paraId="5D29CB2F" w14:textId="73C2F282">
      <w:pPr>
        <w:pStyle w:val="BodyTextIndent2"/>
        <w:numPr>
          <w:ilvl w:val="0"/>
          <w:numId w:val="1"/>
        </w:numPr>
        <w:spacing w:after="120"/>
        <w:jc w:val="left"/>
      </w:pPr>
      <w:r>
        <w:t xml:space="preserve">A </w:t>
      </w:r>
      <w:r w:rsidR="00572DAB">
        <w:t>d</w:t>
      </w:r>
      <w:r w:rsidRPr="00F152F2">
        <w:t>isclosure of appropriate alternative procedures or courses of treatment.</w:t>
      </w:r>
    </w:p>
    <w:p w:rsidR="00F152F2" w:rsidRPr="00F152F2" w:rsidP="00581E95" w14:paraId="2764B2C0" w14:textId="25A6ECFD">
      <w:pPr>
        <w:pStyle w:val="BodyTextIndent2"/>
        <w:numPr>
          <w:ilvl w:val="0"/>
          <w:numId w:val="1"/>
        </w:numPr>
        <w:spacing w:after="120"/>
        <w:jc w:val="left"/>
      </w:pPr>
      <w:r>
        <w:t>A s</w:t>
      </w:r>
      <w:r w:rsidRPr="00F152F2">
        <w:t>tatement describing the extent</w:t>
      </w:r>
      <w:r>
        <w:t xml:space="preserve"> t</w:t>
      </w:r>
      <w:r w:rsidRPr="00F152F2">
        <w:t>o which confidentiality of records identifying the subject will be maintained.</w:t>
      </w:r>
    </w:p>
    <w:p w:rsidR="00F152F2" w:rsidP="00581E95" w14:paraId="5D2A4012" w14:textId="3AE9C9B5">
      <w:pPr>
        <w:pStyle w:val="BodyTextIndent2"/>
        <w:numPr>
          <w:ilvl w:val="0"/>
          <w:numId w:val="1"/>
        </w:numPr>
        <w:spacing w:after="120"/>
        <w:jc w:val="left"/>
      </w:pPr>
      <w:r w:rsidRPr="00F152F2">
        <w:t xml:space="preserve">Contact names </w:t>
      </w:r>
      <w:r w:rsidR="00572DAB">
        <w:t>and tele</w:t>
      </w:r>
      <w:r w:rsidRPr="00F152F2">
        <w:t xml:space="preserve">phone numbers for </w:t>
      </w:r>
      <w:r w:rsidR="00572DAB">
        <w:t xml:space="preserve">the client/consumer </w:t>
      </w:r>
      <w:r w:rsidRPr="00F152F2">
        <w:t>to ask questions about program, participant rights, and injury.</w:t>
      </w:r>
    </w:p>
    <w:p w:rsidR="006E1CEC" w:rsidRPr="00F152F2" w:rsidP="006E1CEC" w14:paraId="35EBF561" w14:textId="77777777">
      <w:pPr>
        <w:pStyle w:val="BodyTextIndent2"/>
        <w:spacing w:after="120"/>
        <w:ind w:left="1080"/>
        <w:jc w:val="left"/>
      </w:pPr>
    </w:p>
    <w:p w:rsidR="0060743B" w:rsidRPr="009A4826" w:rsidP="00437689" w14:paraId="1080D368" w14:textId="5D3599E6">
      <w:pPr>
        <w:pStyle w:val="Heading2"/>
        <w:spacing w:after="120" w:line="240" w:lineRule="auto"/>
        <w:ind w:left="0" w:firstLine="0"/>
        <w:rPr>
          <w:sz w:val="24"/>
          <w:szCs w:val="24"/>
        </w:rPr>
      </w:pPr>
      <w:bookmarkStart w:id="0" w:name="_Toc114555967"/>
      <w:r>
        <w:rPr>
          <w:sz w:val="24"/>
          <w:szCs w:val="24"/>
        </w:rPr>
        <w:t>A</w:t>
      </w:r>
      <w:r>
        <w:rPr>
          <w:sz w:val="24"/>
          <w:szCs w:val="24"/>
        </w:rPr>
        <w:t>1</w:t>
      </w:r>
      <w:r w:rsidR="00ED0425">
        <w:rPr>
          <w:sz w:val="24"/>
          <w:szCs w:val="24"/>
        </w:rPr>
        <w:t>2</w:t>
      </w:r>
      <w:r>
        <w:rPr>
          <w:sz w:val="24"/>
          <w:szCs w:val="24"/>
        </w:rPr>
        <w:t>.</w:t>
      </w:r>
      <w:r>
        <w:rPr>
          <w:sz w:val="24"/>
          <w:szCs w:val="24"/>
        </w:rPr>
        <w:t xml:space="preserve">    Estimates of Annualized Hour Burden</w:t>
      </w:r>
      <w:bookmarkEnd w:id="0"/>
      <w:r>
        <w:rPr>
          <w:sz w:val="24"/>
          <w:szCs w:val="24"/>
        </w:rPr>
        <w:t xml:space="preserve">      </w:t>
      </w:r>
    </w:p>
    <w:p w:rsidR="009B1D0D" w:rsidP="00437689" w14:paraId="385F26CA" w14:textId="18B546B4">
      <w:pPr>
        <w:spacing w:after="120"/>
        <w:rPr>
          <w:sz w:val="24"/>
          <w:szCs w:val="24"/>
        </w:rPr>
      </w:pPr>
      <w:r w:rsidRPr="009B1D0D">
        <w:rPr>
          <w:sz w:val="24"/>
          <w:szCs w:val="24"/>
        </w:rPr>
        <w:t>The time to complete the instru</w:t>
      </w:r>
      <w:r w:rsidR="00BC2D38">
        <w:rPr>
          <w:sz w:val="24"/>
          <w:szCs w:val="24"/>
        </w:rPr>
        <w:t xml:space="preserve">ments is estimated in Table </w:t>
      </w:r>
      <w:r w:rsidR="00FB2CC9">
        <w:rPr>
          <w:sz w:val="24"/>
          <w:szCs w:val="24"/>
        </w:rPr>
        <w:t>1</w:t>
      </w:r>
      <w:r w:rsidR="0016247C">
        <w:rPr>
          <w:sz w:val="24"/>
          <w:szCs w:val="24"/>
        </w:rPr>
        <w:t xml:space="preserve">.  </w:t>
      </w:r>
      <w:r w:rsidRPr="009B1D0D">
        <w:rPr>
          <w:sz w:val="24"/>
          <w:szCs w:val="24"/>
        </w:rPr>
        <w:t>These estimates are based on current funding and planned fiscal year 20</w:t>
      </w:r>
      <w:r w:rsidR="003D1C8B">
        <w:rPr>
          <w:sz w:val="24"/>
          <w:szCs w:val="24"/>
        </w:rPr>
        <w:t>2</w:t>
      </w:r>
      <w:r w:rsidR="00B76696">
        <w:rPr>
          <w:sz w:val="24"/>
          <w:szCs w:val="24"/>
        </w:rPr>
        <w:t>4</w:t>
      </w:r>
      <w:r w:rsidRPr="009B1D0D">
        <w:rPr>
          <w:sz w:val="24"/>
          <w:szCs w:val="24"/>
        </w:rPr>
        <w:t xml:space="preserve"> </w:t>
      </w:r>
      <w:r w:rsidR="00B76696">
        <w:rPr>
          <w:sz w:val="24"/>
          <w:szCs w:val="24"/>
        </w:rPr>
        <w:t xml:space="preserve">Notice of </w:t>
      </w:r>
      <w:r w:rsidR="003D1C8B">
        <w:rPr>
          <w:sz w:val="24"/>
          <w:szCs w:val="24"/>
        </w:rPr>
        <w:t xml:space="preserve">Funding Opportunity </w:t>
      </w:r>
      <w:r w:rsidR="00B76696">
        <w:rPr>
          <w:sz w:val="24"/>
          <w:szCs w:val="24"/>
        </w:rPr>
        <w:t>(NOFOs)</w:t>
      </w:r>
      <w:r w:rsidR="003D1C8B">
        <w:rPr>
          <w:sz w:val="24"/>
          <w:szCs w:val="24"/>
        </w:rPr>
        <w:t xml:space="preserve"> a</w:t>
      </w:r>
      <w:r w:rsidR="00BC2D38">
        <w:rPr>
          <w:sz w:val="24"/>
          <w:szCs w:val="24"/>
        </w:rPr>
        <w:t xml:space="preserve">nd the number of </w:t>
      </w:r>
      <w:r w:rsidR="00B76696">
        <w:rPr>
          <w:sz w:val="24"/>
          <w:szCs w:val="24"/>
        </w:rPr>
        <w:t>clients</w:t>
      </w:r>
      <w:r w:rsidR="00BC2D38">
        <w:rPr>
          <w:sz w:val="24"/>
          <w:szCs w:val="24"/>
        </w:rPr>
        <w:t xml:space="preserve"> served</w:t>
      </w:r>
      <w:r w:rsidR="00C278A5">
        <w:rPr>
          <w:sz w:val="24"/>
          <w:szCs w:val="24"/>
        </w:rPr>
        <w:t xml:space="preserve"> and surveyed</w:t>
      </w:r>
      <w:r w:rsidR="00BC2D38">
        <w:rPr>
          <w:sz w:val="24"/>
          <w:szCs w:val="24"/>
        </w:rPr>
        <w:t xml:space="preserve"> in fiscal year 20</w:t>
      </w:r>
      <w:r w:rsidR="003D1C8B">
        <w:rPr>
          <w:sz w:val="24"/>
          <w:szCs w:val="24"/>
        </w:rPr>
        <w:t>2</w:t>
      </w:r>
      <w:r w:rsidR="00C278A5">
        <w:rPr>
          <w:sz w:val="24"/>
          <w:szCs w:val="24"/>
        </w:rPr>
        <w:t>3</w:t>
      </w:r>
      <w:r w:rsidR="0016247C">
        <w:rPr>
          <w:sz w:val="24"/>
          <w:szCs w:val="24"/>
        </w:rPr>
        <w:t>.</w:t>
      </w:r>
      <w:r w:rsidRPr="009B1D0D" w:rsidR="0016247C">
        <w:rPr>
          <w:sz w:val="24"/>
          <w:szCs w:val="24"/>
        </w:rPr>
        <w:t xml:space="preserve"> </w:t>
      </w:r>
      <w:r w:rsidR="00BC2D38">
        <w:rPr>
          <w:sz w:val="24"/>
          <w:szCs w:val="24"/>
        </w:rPr>
        <w:t>T</w:t>
      </w:r>
      <w:r w:rsidRPr="009B1D0D" w:rsidR="00BC2D38">
        <w:rPr>
          <w:sz w:val="24"/>
          <w:szCs w:val="24"/>
        </w:rPr>
        <w:t xml:space="preserve">he </w:t>
      </w:r>
      <w:r w:rsidR="00BC2D38">
        <w:rPr>
          <w:sz w:val="24"/>
          <w:szCs w:val="24"/>
        </w:rPr>
        <w:t xml:space="preserve">amount of </w:t>
      </w:r>
      <w:r w:rsidRPr="009B1D0D" w:rsidR="00BC2D38">
        <w:rPr>
          <w:sz w:val="24"/>
          <w:szCs w:val="24"/>
        </w:rPr>
        <w:t xml:space="preserve">time required to complete the </w:t>
      </w:r>
      <w:r w:rsidR="003D1C8B">
        <w:rPr>
          <w:sz w:val="24"/>
          <w:szCs w:val="24"/>
        </w:rPr>
        <w:t>NOM</w:t>
      </w:r>
      <w:r w:rsidR="00C278A5">
        <w:rPr>
          <w:sz w:val="24"/>
          <w:szCs w:val="24"/>
        </w:rPr>
        <w:t>s</w:t>
      </w:r>
      <w:r w:rsidR="003D1C8B">
        <w:rPr>
          <w:sz w:val="24"/>
          <w:szCs w:val="24"/>
        </w:rPr>
        <w:t xml:space="preserve"> tool and IPP measures </w:t>
      </w:r>
      <w:r w:rsidR="00BC2D38">
        <w:rPr>
          <w:sz w:val="24"/>
          <w:szCs w:val="24"/>
        </w:rPr>
        <w:t xml:space="preserve">is </w:t>
      </w:r>
      <w:r w:rsidRPr="009B1D0D" w:rsidR="00BC2D38">
        <w:rPr>
          <w:sz w:val="24"/>
          <w:szCs w:val="24"/>
        </w:rPr>
        <w:t xml:space="preserve">based on </w:t>
      </w:r>
      <w:r w:rsidR="00BC2D38">
        <w:rPr>
          <w:sz w:val="24"/>
          <w:szCs w:val="24"/>
        </w:rPr>
        <w:t>SAMHSA/</w:t>
      </w:r>
      <w:r w:rsidRPr="009B1D0D" w:rsidR="00BC2D38">
        <w:rPr>
          <w:sz w:val="24"/>
          <w:szCs w:val="24"/>
        </w:rPr>
        <w:t>CMHS experience in collecting similar data</w:t>
      </w:r>
      <w:r w:rsidR="00BC2D38">
        <w:rPr>
          <w:sz w:val="24"/>
          <w:szCs w:val="24"/>
        </w:rPr>
        <w:t>.</w:t>
      </w:r>
      <w:r w:rsidRPr="009B1D0D" w:rsidR="00BC2D38">
        <w:rPr>
          <w:sz w:val="24"/>
          <w:szCs w:val="24"/>
        </w:rPr>
        <w:t xml:space="preserve"> </w:t>
      </w:r>
    </w:p>
    <w:p w:rsidR="002B37EA" w:rsidP="004604B7" w14:paraId="248BA42E" w14:textId="77777777">
      <w:pPr>
        <w:spacing w:after="120"/>
        <w:outlineLvl w:val="0"/>
        <w:rPr>
          <w:sz w:val="24"/>
          <w:szCs w:val="24"/>
        </w:rPr>
      </w:pPr>
    </w:p>
    <w:p w:rsidR="0060743B" w:rsidP="00437689" w14:paraId="393AF534" w14:textId="259E1111">
      <w:pPr>
        <w:spacing w:after="120"/>
        <w:rPr>
          <w:b/>
          <w:sz w:val="24"/>
          <w:szCs w:val="24"/>
        </w:rPr>
      </w:pPr>
      <w:r w:rsidRPr="00D245E0">
        <w:rPr>
          <w:b/>
          <w:sz w:val="24"/>
          <w:szCs w:val="24"/>
        </w:rPr>
        <w:t xml:space="preserve">Table </w:t>
      </w:r>
      <w:r w:rsidR="00A24E4F">
        <w:rPr>
          <w:b/>
          <w:sz w:val="24"/>
          <w:szCs w:val="24"/>
        </w:rPr>
        <w:t>1</w:t>
      </w:r>
      <w:r w:rsidRPr="00D245E0">
        <w:rPr>
          <w:b/>
          <w:sz w:val="24"/>
          <w:szCs w:val="24"/>
        </w:rPr>
        <w:t>: Estimates of Annualized Hour Burden</w:t>
      </w:r>
    </w:p>
    <w:tbl>
      <w:tblPr>
        <w:tblW w:w="5198" w:type="pct"/>
        <w:tblLook w:val="04A0"/>
      </w:tblPr>
      <w:tblGrid>
        <w:gridCol w:w="1647"/>
        <w:gridCol w:w="1306"/>
        <w:gridCol w:w="1228"/>
        <w:gridCol w:w="1094"/>
        <w:gridCol w:w="1017"/>
        <w:gridCol w:w="902"/>
        <w:gridCol w:w="880"/>
        <w:gridCol w:w="1636"/>
      </w:tblGrid>
      <w:tr w14:paraId="0950A381" w14:textId="77777777" w:rsidTr="00D12A4B">
        <w:tblPrEx>
          <w:tblW w:w="5198" w:type="pct"/>
          <w:tblLook w:val="04A0"/>
        </w:tblPrEx>
        <w:trPr>
          <w:trHeight w:val="540"/>
        </w:trPr>
        <w:tc>
          <w:tcPr>
            <w:tcW w:w="1647"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F91853" w:rsidRPr="00F91853" w:rsidP="00F91853" w14:paraId="0ADD0F90" w14:textId="77777777">
            <w:pPr>
              <w:autoSpaceDE/>
              <w:autoSpaceDN/>
              <w:adjustRightInd/>
              <w:jc w:val="center"/>
              <w:rPr>
                <w:b/>
                <w:bCs/>
                <w:color w:val="000000"/>
              </w:rPr>
            </w:pPr>
            <w:r w:rsidRPr="00F91853">
              <w:rPr>
                <w:b/>
                <w:bCs/>
                <w:color w:val="000000"/>
              </w:rPr>
              <w:t>SAMHSA Tool</w:t>
            </w:r>
          </w:p>
        </w:tc>
        <w:tc>
          <w:tcPr>
            <w:tcW w:w="1306" w:type="dxa"/>
            <w:vMerge w:val="restart"/>
            <w:tcBorders>
              <w:top w:val="single" w:sz="8" w:space="0" w:color="auto"/>
              <w:left w:val="single" w:sz="8" w:space="0" w:color="auto"/>
              <w:bottom w:val="nil"/>
              <w:right w:val="single" w:sz="8" w:space="0" w:color="auto"/>
            </w:tcBorders>
            <w:shd w:val="clear" w:color="auto" w:fill="auto"/>
            <w:vAlign w:val="center"/>
            <w:hideMark/>
          </w:tcPr>
          <w:p w:rsidR="00F91853" w:rsidRPr="00F91853" w:rsidP="00F91853" w14:paraId="5DAAB4CB" w14:textId="77777777">
            <w:pPr>
              <w:autoSpaceDE/>
              <w:autoSpaceDN/>
              <w:adjustRightInd/>
              <w:jc w:val="center"/>
              <w:rPr>
                <w:b/>
                <w:bCs/>
                <w:color w:val="000000"/>
              </w:rPr>
            </w:pPr>
            <w:r w:rsidRPr="00F91853">
              <w:rPr>
                <w:b/>
                <w:bCs/>
                <w:color w:val="000000"/>
              </w:rPr>
              <w:t>Number of Respondents</w:t>
            </w:r>
          </w:p>
        </w:tc>
        <w:tc>
          <w:tcPr>
            <w:tcW w:w="1228" w:type="dxa"/>
            <w:vMerge w:val="restart"/>
            <w:tcBorders>
              <w:top w:val="single" w:sz="8" w:space="0" w:color="auto"/>
              <w:left w:val="single" w:sz="8" w:space="0" w:color="auto"/>
              <w:bottom w:val="nil"/>
              <w:right w:val="single" w:sz="8" w:space="0" w:color="auto"/>
            </w:tcBorders>
            <w:shd w:val="clear" w:color="auto" w:fill="auto"/>
            <w:vAlign w:val="center"/>
            <w:hideMark/>
          </w:tcPr>
          <w:p w:rsidR="00F91853" w:rsidRPr="00F91853" w:rsidP="00F91853" w14:paraId="78E6B366" w14:textId="77777777">
            <w:pPr>
              <w:autoSpaceDE/>
              <w:autoSpaceDN/>
              <w:adjustRightInd/>
              <w:jc w:val="center"/>
              <w:rPr>
                <w:b/>
                <w:bCs/>
                <w:color w:val="000000"/>
              </w:rPr>
            </w:pPr>
            <w:r w:rsidRPr="00F91853">
              <w:rPr>
                <w:b/>
                <w:bCs/>
                <w:color w:val="000000"/>
              </w:rPr>
              <w:t>Responses per Respondent</w:t>
            </w:r>
          </w:p>
        </w:tc>
        <w:tc>
          <w:tcPr>
            <w:tcW w:w="1094" w:type="dxa"/>
            <w:vMerge w:val="restart"/>
            <w:tcBorders>
              <w:top w:val="single" w:sz="8" w:space="0" w:color="auto"/>
              <w:left w:val="single" w:sz="8" w:space="0" w:color="auto"/>
              <w:bottom w:val="nil"/>
              <w:right w:val="single" w:sz="8" w:space="0" w:color="auto"/>
            </w:tcBorders>
            <w:shd w:val="clear" w:color="auto" w:fill="auto"/>
            <w:vAlign w:val="center"/>
            <w:hideMark/>
          </w:tcPr>
          <w:p w:rsidR="00F91853" w:rsidRPr="00F91853" w:rsidP="00F91853" w14:paraId="457D4039" w14:textId="77777777">
            <w:pPr>
              <w:autoSpaceDE/>
              <w:autoSpaceDN/>
              <w:adjustRightInd/>
              <w:jc w:val="center"/>
              <w:rPr>
                <w:b/>
                <w:bCs/>
                <w:color w:val="000000"/>
              </w:rPr>
            </w:pPr>
            <w:r w:rsidRPr="00F91853">
              <w:rPr>
                <w:b/>
                <w:bCs/>
                <w:color w:val="000000"/>
              </w:rPr>
              <w:t>Total Responses</w:t>
            </w:r>
          </w:p>
        </w:tc>
        <w:tc>
          <w:tcPr>
            <w:tcW w:w="1017" w:type="dxa"/>
            <w:vMerge w:val="restart"/>
            <w:tcBorders>
              <w:top w:val="single" w:sz="8" w:space="0" w:color="auto"/>
              <w:left w:val="single" w:sz="8" w:space="0" w:color="auto"/>
              <w:bottom w:val="nil"/>
              <w:right w:val="single" w:sz="8" w:space="0" w:color="auto"/>
            </w:tcBorders>
            <w:shd w:val="clear" w:color="auto" w:fill="auto"/>
            <w:vAlign w:val="center"/>
            <w:hideMark/>
          </w:tcPr>
          <w:p w:rsidR="00F91853" w:rsidRPr="00F91853" w:rsidP="00F91853" w14:paraId="7115A165" w14:textId="77777777">
            <w:pPr>
              <w:autoSpaceDE/>
              <w:autoSpaceDN/>
              <w:adjustRightInd/>
              <w:jc w:val="center"/>
              <w:rPr>
                <w:b/>
                <w:bCs/>
                <w:color w:val="000000"/>
              </w:rPr>
            </w:pPr>
            <w:r w:rsidRPr="00F91853">
              <w:rPr>
                <w:b/>
                <w:bCs/>
                <w:color w:val="000000"/>
              </w:rPr>
              <w:t>Hours per Response</w:t>
            </w:r>
          </w:p>
        </w:tc>
        <w:tc>
          <w:tcPr>
            <w:tcW w:w="902" w:type="dxa"/>
            <w:vMerge w:val="restart"/>
            <w:tcBorders>
              <w:top w:val="single" w:sz="8" w:space="0" w:color="auto"/>
              <w:left w:val="single" w:sz="8" w:space="0" w:color="auto"/>
              <w:bottom w:val="nil"/>
              <w:right w:val="single" w:sz="8" w:space="0" w:color="auto"/>
            </w:tcBorders>
            <w:shd w:val="clear" w:color="auto" w:fill="auto"/>
            <w:vAlign w:val="center"/>
            <w:hideMark/>
          </w:tcPr>
          <w:p w:rsidR="00F91853" w:rsidRPr="00F91853" w:rsidP="00F91853" w14:paraId="65DDA5F6" w14:textId="77777777">
            <w:pPr>
              <w:autoSpaceDE/>
              <w:autoSpaceDN/>
              <w:adjustRightInd/>
              <w:jc w:val="center"/>
              <w:rPr>
                <w:b/>
                <w:bCs/>
                <w:color w:val="000000"/>
              </w:rPr>
            </w:pPr>
            <w:r w:rsidRPr="00F91853">
              <w:rPr>
                <w:b/>
                <w:bCs/>
                <w:color w:val="000000"/>
              </w:rPr>
              <w:t>Total Hour Burden</w:t>
            </w:r>
          </w:p>
        </w:tc>
        <w:tc>
          <w:tcPr>
            <w:tcW w:w="880" w:type="dxa"/>
            <w:tcBorders>
              <w:top w:val="single" w:sz="8" w:space="0" w:color="auto"/>
              <w:left w:val="nil"/>
              <w:bottom w:val="nil"/>
              <w:right w:val="single" w:sz="8" w:space="0" w:color="auto"/>
            </w:tcBorders>
            <w:shd w:val="clear" w:color="auto" w:fill="auto"/>
            <w:vAlign w:val="center"/>
            <w:hideMark/>
          </w:tcPr>
          <w:p w:rsidR="00F91853" w:rsidRPr="00F91853" w:rsidP="00F91853" w14:paraId="0334BB64" w14:textId="77777777">
            <w:pPr>
              <w:autoSpaceDE/>
              <w:autoSpaceDN/>
              <w:adjustRightInd/>
              <w:jc w:val="center"/>
              <w:rPr>
                <w:b/>
                <w:bCs/>
                <w:color w:val="000000"/>
              </w:rPr>
            </w:pPr>
            <w:r w:rsidRPr="00F91853">
              <w:rPr>
                <w:b/>
                <w:bCs/>
                <w:color w:val="000000"/>
              </w:rPr>
              <w:t>Hourly</w:t>
            </w:r>
          </w:p>
        </w:tc>
        <w:tc>
          <w:tcPr>
            <w:tcW w:w="1636" w:type="dxa"/>
            <w:tcBorders>
              <w:top w:val="single" w:sz="8" w:space="0" w:color="auto"/>
              <w:left w:val="nil"/>
              <w:bottom w:val="nil"/>
              <w:right w:val="single" w:sz="8" w:space="0" w:color="auto"/>
            </w:tcBorders>
            <w:shd w:val="clear" w:color="auto" w:fill="auto"/>
            <w:vAlign w:val="center"/>
            <w:hideMark/>
          </w:tcPr>
          <w:p w:rsidR="00F91853" w:rsidRPr="00F91853" w:rsidP="00F91853" w14:paraId="1905A9D2" w14:textId="77777777">
            <w:pPr>
              <w:autoSpaceDE/>
              <w:autoSpaceDN/>
              <w:adjustRightInd/>
              <w:jc w:val="center"/>
              <w:rPr>
                <w:b/>
                <w:bCs/>
                <w:color w:val="000000"/>
              </w:rPr>
            </w:pPr>
            <w:r w:rsidRPr="00F91853">
              <w:rPr>
                <w:b/>
                <w:bCs/>
                <w:color w:val="000000"/>
              </w:rPr>
              <w:t>Total Hour</w:t>
            </w:r>
          </w:p>
        </w:tc>
      </w:tr>
      <w:tr w14:paraId="429FE628" w14:textId="77777777" w:rsidTr="00D12A4B">
        <w:tblPrEx>
          <w:tblW w:w="5198" w:type="pct"/>
          <w:tblLook w:val="04A0"/>
        </w:tblPrEx>
        <w:trPr>
          <w:trHeight w:val="528"/>
        </w:trPr>
        <w:tc>
          <w:tcPr>
            <w:tcW w:w="1647" w:type="dxa"/>
            <w:vMerge/>
            <w:tcBorders>
              <w:top w:val="single" w:sz="8" w:space="0" w:color="auto"/>
              <w:left w:val="single" w:sz="8" w:space="0" w:color="auto"/>
              <w:bottom w:val="single" w:sz="4" w:space="0" w:color="000000"/>
              <w:right w:val="single" w:sz="8" w:space="0" w:color="auto"/>
            </w:tcBorders>
            <w:vAlign w:val="center"/>
            <w:hideMark/>
          </w:tcPr>
          <w:p w:rsidR="00F91853" w:rsidRPr="00F91853" w:rsidP="00F91853" w14:paraId="759D378B" w14:textId="77777777">
            <w:pPr>
              <w:autoSpaceDE/>
              <w:autoSpaceDN/>
              <w:adjustRightInd/>
              <w:rPr>
                <w:b/>
                <w:bCs/>
                <w:color w:val="000000"/>
              </w:rPr>
            </w:pPr>
          </w:p>
        </w:tc>
        <w:tc>
          <w:tcPr>
            <w:tcW w:w="1306" w:type="dxa"/>
            <w:vMerge/>
            <w:tcBorders>
              <w:top w:val="single" w:sz="8" w:space="0" w:color="auto"/>
              <w:left w:val="single" w:sz="8" w:space="0" w:color="auto"/>
              <w:bottom w:val="nil"/>
              <w:right w:val="single" w:sz="8" w:space="0" w:color="auto"/>
            </w:tcBorders>
            <w:vAlign w:val="center"/>
            <w:hideMark/>
          </w:tcPr>
          <w:p w:rsidR="00F91853" w:rsidRPr="00F91853" w:rsidP="00F91853" w14:paraId="2B68CBBB" w14:textId="77777777">
            <w:pPr>
              <w:autoSpaceDE/>
              <w:autoSpaceDN/>
              <w:adjustRightInd/>
              <w:rPr>
                <w:b/>
                <w:bCs/>
                <w:color w:val="000000"/>
              </w:rPr>
            </w:pPr>
          </w:p>
        </w:tc>
        <w:tc>
          <w:tcPr>
            <w:tcW w:w="1228" w:type="dxa"/>
            <w:vMerge/>
            <w:tcBorders>
              <w:top w:val="single" w:sz="8" w:space="0" w:color="auto"/>
              <w:left w:val="single" w:sz="8" w:space="0" w:color="auto"/>
              <w:bottom w:val="nil"/>
              <w:right w:val="single" w:sz="8" w:space="0" w:color="auto"/>
            </w:tcBorders>
            <w:vAlign w:val="center"/>
            <w:hideMark/>
          </w:tcPr>
          <w:p w:rsidR="00F91853" w:rsidRPr="00F91853" w:rsidP="00F91853" w14:paraId="6E5C7EB3" w14:textId="77777777">
            <w:pPr>
              <w:autoSpaceDE/>
              <w:autoSpaceDN/>
              <w:adjustRightInd/>
              <w:rPr>
                <w:b/>
                <w:bCs/>
                <w:color w:val="000000"/>
              </w:rPr>
            </w:pPr>
          </w:p>
        </w:tc>
        <w:tc>
          <w:tcPr>
            <w:tcW w:w="1094" w:type="dxa"/>
            <w:vMerge/>
            <w:tcBorders>
              <w:top w:val="single" w:sz="8" w:space="0" w:color="auto"/>
              <w:left w:val="single" w:sz="8" w:space="0" w:color="auto"/>
              <w:bottom w:val="nil"/>
              <w:right w:val="single" w:sz="8" w:space="0" w:color="auto"/>
            </w:tcBorders>
            <w:vAlign w:val="center"/>
            <w:hideMark/>
          </w:tcPr>
          <w:p w:rsidR="00F91853" w:rsidRPr="00F91853" w:rsidP="00F91853" w14:paraId="6D759AF3" w14:textId="77777777">
            <w:pPr>
              <w:autoSpaceDE/>
              <w:autoSpaceDN/>
              <w:adjustRightInd/>
              <w:rPr>
                <w:b/>
                <w:bCs/>
                <w:color w:val="000000"/>
              </w:rPr>
            </w:pPr>
          </w:p>
        </w:tc>
        <w:tc>
          <w:tcPr>
            <w:tcW w:w="1017" w:type="dxa"/>
            <w:vMerge/>
            <w:tcBorders>
              <w:top w:val="single" w:sz="8" w:space="0" w:color="auto"/>
              <w:left w:val="single" w:sz="8" w:space="0" w:color="auto"/>
              <w:bottom w:val="nil"/>
              <w:right w:val="single" w:sz="8" w:space="0" w:color="auto"/>
            </w:tcBorders>
            <w:vAlign w:val="center"/>
            <w:hideMark/>
          </w:tcPr>
          <w:p w:rsidR="00F91853" w:rsidRPr="00F91853" w:rsidP="00F91853" w14:paraId="53C65B48" w14:textId="77777777">
            <w:pPr>
              <w:autoSpaceDE/>
              <w:autoSpaceDN/>
              <w:adjustRightInd/>
              <w:rPr>
                <w:b/>
                <w:bCs/>
                <w:color w:val="000000"/>
              </w:rPr>
            </w:pPr>
          </w:p>
        </w:tc>
        <w:tc>
          <w:tcPr>
            <w:tcW w:w="902" w:type="dxa"/>
            <w:vMerge/>
            <w:tcBorders>
              <w:top w:val="single" w:sz="8" w:space="0" w:color="auto"/>
              <w:left w:val="single" w:sz="8" w:space="0" w:color="auto"/>
              <w:bottom w:val="nil"/>
              <w:right w:val="single" w:sz="8" w:space="0" w:color="auto"/>
            </w:tcBorders>
            <w:vAlign w:val="center"/>
            <w:hideMark/>
          </w:tcPr>
          <w:p w:rsidR="00F91853" w:rsidRPr="00F91853" w:rsidP="00F91853" w14:paraId="7BA8AE7F" w14:textId="77777777">
            <w:pPr>
              <w:autoSpaceDE/>
              <w:autoSpaceDN/>
              <w:adjustRightInd/>
              <w:rPr>
                <w:b/>
                <w:bCs/>
                <w:color w:val="000000"/>
              </w:rPr>
            </w:pPr>
          </w:p>
        </w:tc>
        <w:tc>
          <w:tcPr>
            <w:tcW w:w="880" w:type="dxa"/>
            <w:tcBorders>
              <w:top w:val="nil"/>
              <w:left w:val="nil"/>
              <w:bottom w:val="nil"/>
              <w:right w:val="single" w:sz="8" w:space="0" w:color="auto"/>
            </w:tcBorders>
            <w:shd w:val="clear" w:color="auto" w:fill="auto"/>
            <w:vAlign w:val="center"/>
            <w:hideMark/>
          </w:tcPr>
          <w:p w:rsidR="00F91853" w:rsidRPr="00F91853" w:rsidP="00F91853" w14:paraId="113B3A12" w14:textId="77777777">
            <w:pPr>
              <w:autoSpaceDE/>
              <w:autoSpaceDN/>
              <w:adjustRightInd/>
              <w:jc w:val="center"/>
              <w:rPr>
                <w:b/>
                <w:bCs/>
                <w:color w:val="000000"/>
              </w:rPr>
            </w:pPr>
            <w:r w:rsidRPr="00F91853">
              <w:rPr>
                <w:b/>
                <w:bCs/>
                <w:color w:val="000000"/>
              </w:rPr>
              <w:t>Wage Cost</w:t>
            </w:r>
          </w:p>
        </w:tc>
        <w:tc>
          <w:tcPr>
            <w:tcW w:w="1636" w:type="dxa"/>
            <w:tcBorders>
              <w:top w:val="nil"/>
              <w:left w:val="nil"/>
              <w:bottom w:val="nil"/>
              <w:right w:val="single" w:sz="8" w:space="0" w:color="auto"/>
            </w:tcBorders>
            <w:shd w:val="clear" w:color="auto" w:fill="auto"/>
            <w:vAlign w:val="center"/>
            <w:hideMark/>
          </w:tcPr>
          <w:p w:rsidR="00F91853" w:rsidRPr="00F91853" w:rsidP="00F91853" w14:paraId="282F88CD" w14:textId="77777777">
            <w:pPr>
              <w:autoSpaceDE/>
              <w:autoSpaceDN/>
              <w:adjustRightInd/>
              <w:jc w:val="center"/>
              <w:rPr>
                <w:b/>
                <w:bCs/>
                <w:color w:val="000000"/>
              </w:rPr>
            </w:pPr>
            <w:r w:rsidRPr="00F91853">
              <w:rPr>
                <w:b/>
                <w:bCs/>
                <w:color w:val="000000"/>
              </w:rPr>
              <w:t>Cost</w:t>
            </w:r>
          </w:p>
        </w:tc>
      </w:tr>
      <w:tr w14:paraId="525531DA" w14:textId="77777777" w:rsidTr="00D12A4B">
        <w:tblPrEx>
          <w:tblW w:w="5198" w:type="pct"/>
          <w:tblLook w:val="04A0"/>
        </w:tblPrEx>
        <w:trPr>
          <w:trHeight w:val="528"/>
        </w:trPr>
        <w:tc>
          <w:tcPr>
            <w:tcW w:w="1647" w:type="dxa"/>
            <w:tcBorders>
              <w:top w:val="nil"/>
              <w:left w:val="single" w:sz="8" w:space="0" w:color="auto"/>
              <w:bottom w:val="single" w:sz="4" w:space="0" w:color="auto"/>
              <w:right w:val="single" w:sz="4" w:space="0" w:color="auto"/>
            </w:tcBorders>
            <w:shd w:val="clear" w:color="auto" w:fill="auto"/>
            <w:vAlign w:val="center"/>
            <w:hideMark/>
          </w:tcPr>
          <w:p w:rsidR="00F91853" w:rsidRPr="00F91853" w:rsidP="00F91853" w14:paraId="0B4D6387" w14:textId="77777777">
            <w:pPr>
              <w:autoSpaceDE/>
              <w:autoSpaceDN/>
              <w:adjustRightInd/>
              <w:rPr>
                <w:color w:val="000000"/>
              </w:rPr>
            </w:pPr>
            <w:r w:rsidRPr="00F91853">
              <w:rPr>
                <w:color w:val="000000"/>
              </w:rPr>
              <w:t>Client-level baseline assessment - interview</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F91853" w:rsidRPr="00F91853" w:rsidP="00F91853" w14:paraId="32EFE119" w14:textId="77777777">
            <w:pPr>
              <w:autoSpaceDE/>
              <w:autoSpaceDN/>
              <w:adjustRightInd/>
              <w:jc w:val="center"/>
              <w:rPr>
                <w:color w:val="000000"/>
              </w:rPr>
            </w:pPr>
            <w:r w:rsidRPr="00F91853">
              <w:rPr>
                <w:color w:val="000000"/>
              </w:rPr>
              <w:t>75,600</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rsidR="00F91853" w:rsidRPr="00F91853" w:rsidP="00F91853" w14:paraId="379B589F" w14:textId="77777777">
            <w:pPr>
              <w:autoSpaceDE/>
              <w:autoSpaceDN/>
              <w:adjustRightInd/>
              <w:jc w:val="center"/>
              <w:rPr>
                <w:color w:val="000000"/>
              </w:rPr>
            </w:pPr>
            <w:r w:rsidRPr="00F91853">
              <w:rPr>
                <w:color w:val="000000"/>
              </w:rPr>
              <w:t>1</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F91853" w:rsidRPr="00F91853" w:rsidP="00F91853" w14:paraId="5DA38BC0" w14:textId="77777777">
            <w:pPr>
              <w:autoSpaceDE/>
              <w:autoSpaceDN/>
              <w:adjustRightInd/>
              <w:jc w:val="center"/>
              <w:rPr>
                <w:color w:val="000000"/>
              </w:rPr>
            </w:pPr>
            <w:r w:rsidRPr="00F91853">
              <w:rPr>
                <w:color w:val="000000"/>
              </w:rPr>
              <w:t>75,600</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F91853" w:rsidRPr="00F91853" w:rsidP="00F91853" w14:paraId="6635233C" w14:textId="77777777">
            <w:pPr>
              <w:autoSpaceDE/>
              <w:autoSpaceDN/>
              <w:adjustRightInd/>
              <w:jc w:val="center"/>
              <w:rPr>
                <w:color w:val="000000"/>
              </w:rPr>
            </w:pPr>
            <w:r w:rsidRPr="00F91853">
              <w:rPr>
                <w:color w:val="000000"/>
              </w:rPr>
              <w:t>0.3</w:t>
            </w:r>
          </w:p>
        </w:tc>
        <w:tc>
          <w:tcPr>
            <w:tcW w:w="902" w:type="dxa"/>
            <w:tcBorders>
              <w:top w:val="single" w:sz="4" w:space="0" w:color="auto"/>
              <w:left w:val="nil"/>
              <w:bottom w:val="single" w:sz="4" w:space="0" w:color="auto"/>
              <w:right w:val="single" w:sz="4" w:space="0" w:color="auto"/>
            </w:tcBorders>
            <w:shd w:val="clear" w:color="auto" w:fill="auto"/>
            <w:vAlign w:val="center"/>
            <w:hideMark/>
          </w:tcPr>
          <w:p w:rsidR="00F91853" w:rsidRPr="00F91853" w:rsidP="00F91853" w14:paraId="1F959083" w14:textId="77777777">
            <w:pPr>
              <w:autoSpaceDE/>
              <w:autoSpaceDN/>
              <w:adjustRightInd/>
              <w:jc w:val="center"/>
              <w:rPr>
                <w:color w:val="000000"/>
              </w:rPr>
            </w:pPr>
            <w:r w:rsidRPr="00F91853">
              <w:rPr>
                <w:color w:val="000000"/>
              </w:rPr>
              <w:t>22,680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F91853" w:rsidRPr="00F91853" w:rsidP="00F91853" w14:paraId="47D5B1A7" w14:textId="071572F4">
            <w:pPr>
              <w:autoSpaceDE/>
              <w:autoSpaceDN/>
              <w:adjustRightInd/>
              <w:jc w:val="center"/>
              <w:rPr>
                <w:color w:val="000000"/>
              </w:rPr>
            </w:pPr>
            <w:r w:rsidRPr="00F91853">
              <w:rPr>
                <w:color w:val="000000"/>
              </w:rPr>
              <w:t xml:space="preserve"> $ 26.00 </w:t>
            </w:r>
          </w:p>
        </w:tc>
        <w:tc>
          <w:tcPr>
            <w:tcW w:w="1636" w:type="dxa"/>
            <w:tcBorders>
              <w:top w:val="single" w:sz="4" w:space="0" w:color="auto"/>
              <w:left w:val="nil"/>
              <w:bottom w:val="single" w:sz="4" w:space="0" w:color="auto"/>
              <w:right w:val="single" w:sz="8" w:space="0" w:color="auto"/>
            </w:tcBorders>
            <w:shd w:val="clear" w:color="auto" w:fill="auto"/>
            <w:vAlign w:val="center"/>
            <w:hideMark/>
          </w:tcPr>
          <w:p w:rsidR="00F91853" w:rsidRPr="00F91853" w:rsidP="00F91853" w14:paraId="6C0D391E" w14:textId="2F4182DD">
            <w:pPr>
              <w:autoSpaceDE/>
              <w:autoSpaceDN/>
              <w:adjustRightInd/>
              <w:jc w:val="center"/>
              <w:rPr>
                <w:color w:val="000000"/>
              </w:rPr>
            </w:pPr>
            <w:r w:rsidRPr="00F91853">
              <w:rPr>
                <w:color w:val="000000"/>
              </w:rPr>
              <w:t xml:space="preserve"> $589,680 </w:t>
            </w:r>
          </w:p>
        </w:tc>
      </w:tr>
      <w:tr w14:paraId="77E124E7" w14:textId="77777777" w:rsidTr="00D12A4B">
        <w:tblPrEx>
          <w:tblW w:w="5198" w:type="pct"/>
          <w:tblLook w:val="04A0"/>
        </w:tblPrEx>
        <w:trPr>
          <w:trHeight w:val="792"/>
        </w:trPr>
        <w:tc>
          <w:tcPr>
            <w:tcW w:w="1647" w:type="dxa"/>
            <w:tcBorders>
              <w:top w:val="nil"/>
              <w:left w:val="single" w:sz="8" w:space="0" w:color="auto"/>
              <w:bottom w:val="single" w:sz="4" w:space="0" w:color="auto"/>
              <w:right w:val="single" w:sz="4" w:space="0" w:color="auto"/>
            </w:tcBorders>
            <w:shd w:val="clear" w:color="auto" w:fill="auto"/>
            <w:vAlign w:val="center"/>
            <w:hideMark/>
          </w:tcPr>
          <w:p w:rsidR="00F91853" w:rsidRPr="00F91853" w:rsidP="00F91853" w14:paraId="29665F13" w14:textId="77777777">
            <w:pPr>
              <w:autoSpaceDE/>
              <w:autoSpaceDN/>
              <w:adjustRightInd/>
              <w:rPr>
                <w:color w:val="000000"/>
              </w:rPr>
            </w:pPr>
            <w:r w:rsidRPr="00F91853">
              <w:rPr>
                <w:color w:val="000000"/>
              </w:rPr>
              <w:t>Client-level baseline assessment – administrative</w:t>
            </w:r>
          </w:p>
        </w:tc>
        <w:tc>
          <w:tcPr>
            <w:tcW w:w="1306" w:type="dxa"/>
            <w:tcBorders>
              <w:top w:val="nil"/>
              <w:left w:val="nil"/>
              <w:bottom w:val="single" w:sz="4" w:space="0" w:color="auto"/>
              <w:right w:val="single" w:sz="4" w:space="0" w:color="auto"/>
            </w:tcBorders>
            <w:shd w:val="clear" w:color="auto" w:fill="auto"/>
            <w:vAlign w:val="center"/>
            <w:hideMark/>
          </w:tcPr>
          <w:p w:rsidR="00F91853" w:rsidRPr="00F91853" w:rsidP="00F91853" w14:paraId="575A1E70" w14:textId="77777777">
            <w:pPr>
              <w:autoSpaceDE/>
              <w:autoSpaceDN/>
              <w:adjustRightInd/>
              <w:jc w:val="center"/>
              <w:rPr>
                <w:color w:val="000000"/>
              </w:rPr>
            </w:pPr>
            <w:r w:rsidRPr="00F91853">
              <w:rPr>
                <w:color w:val="000000"/>
              </w:rPr>
              <w:t>84,000</w:t>
            </w:r>
          </w:p>
        </w:tc>
        <w:tc>
          <w:tcPr>
            <w:tcW w:w="1228" w:type="dxa"/>
            <w:tcBorders>
              <w:top w:val="nil"/>
              <w:left w:val="nil"/>
              <w:bottom w:val="single" w:sz="4" w:space="0" w:color="auto"/>
              <w:right w:val="single" w:sz="4" w:space="0" w:color="auto"/>
            </w:tcBorders>
            <w:shd w:val="clear" w:color="auto" w:fill="auto"/>
            <w:vAlign w:val="center"/>
            <w:hideMark/>
          </w:tcPr>
          <w:p w:rsidR="00F91853" w:rsidRPr="00F91853" w:rsidP="00F91853" w14:paraId="374E93EB" w14:textId="77777777">
            <w:pPr>
              <w:autoSpaceDE/>
              <w:autoSpaceDN/>
              <w:adjustRightInd/>
              <w:jc w:val="center"/>
              <w:rPr>
                <w:color w:val="000000"/>
              </w:rPr>
            </w:pPr>
            <w:r w:rsidRPr="00F91853">
              <w:rPr>
                <w:color w:val="000000"/>
              </w:rPr>
              <w:t>1</w:t>
            </w:r>
          </w:p>
        </w:tc>
        <w:tc>
          <w:tcPr>
            <w:tcW w:w="1094" w:type="dxa"/>
            <w:tcBorders>
              <w:top w:val="nil"/>
              <w:left w:val="nil"/>
              <w:bottom w:val="single" w:sz="4" w:space="0" w:color="auto"/>
              <w:right w:val="single" w:sz="4" w:space="0" w:color="auto"/>
            </w:tcBorders>
            <w:shd w:val="clear" w:color="auto" w:fill="auto"/>
            <w:vAlign w:val="center"/>
            <w:hideMark/>
          </w:tcPr>
          <w:p w:rsidR="00F91853" w:rsidRPr="00F91853" w:rsidP="00F91853" w14:paraId="5C8D610E" w14:textId="77777777">
            <w:pPr>
              <w:autoSpaceDE/>
              <w:autoSpaceDN/>
              <w:adjustRightInd/>
              <w:jc w:val="center"/>
              <w:rPr>
                <w:color w:val="000000"/>
              </w:rPr>
            </w:pPr>
            <w:r w:rsidRPr="00F91853">
              <w:rPr>
                <w:color w:val="000000"/>
              </w:rPr>
              <w:t>84,000</w:t>
            </w:r>
          </w:p>
        </w:tc>
        <w:tc>
          <w:tcPr>
            <w:tcW w:w="1017" w:type="dxa"/>
            <w:tcBorders>
              <w:top w:val="nil"/>
              <w:left w:val="nil"/>
              <w:bottom w:val="single" w:sz="4" w:space="0" w:color="auto"/>
              <w:right w:val="single" w:sz="4" w:space="0" w:color="auto"/>
            </w:tcBorders>
            <w:shd w:val="clear" w:color="auto" w:fill="auto"/>
            <w:vAlign w:val="center"/>
            <w:hideMark/>
          </w:tcPr>
          <w:p w:rsidR="00F91853" w:rsidRPr="00F91853" w:rsidP="00F91853" w14:paraId="36D14940" w14:textId="77777777">
            <w:pPr>
              <w:autoSpaceDE/>
              <w:autoSpaceDN/>
              <w:adjustRightInd/>
              <w:jc w:val="center"/>
              <w:rPr>
                <w:color w:val="000000"/>
              </w:rPr>
            </w:pPr>
            <w:r w:rsidRPr="00F91853">
              <w:rPr>
                <w:color w:val="000000"/>
              </w:rPr>
              <w:t>0.1</w:t>
            </w:r>
          </w:p>
        </w:tc>
        <w:tc>
          <w:tcPr>
            <w:tcW w:w="902" w:type="dxa"/>
            <w:tcBorders>
              <w:top w:val="nil"/>
              <w:left w:val="nil"/>
              <w:bottom w:val="single" w:sz="4" w:space="0" w:color="auto"/>
              <w:right w:val="single" w:sz="4" w:space="0" w:color="auto"/>
            </w:tcBorders>
            <w:shd w:val="clear" w:color="auto" w:fill="auto"/>
            <w:vAlign w:val="center"/>
            <w:hideMark/>
          </w:tcPr>
          <w:p w:rsidR="00F91853" w:rsidRPr="00F91853" w:rsidP="00F91853" w14:paraId="15F3FD0F" w14:textId="77777777">
            <w:pPr>
              <w:autoSpaceDE/>
              <w:autoSpaceDN/>
              <w:adjustRightInd/>
              <w:jc w:val="center"/>
              <w:rPr>
                <w:color w:val="000000"/>
              </w:rPr>
            </w:pPr>
            <w:r w:rsidRPr="00F91853">
              <w:rPr>
                <w:color w:val="000000"/>
              </w:rPr>
              <w:t>8,400</w:t>
            </w:r>
          </w:p>
        </w:tc>
        <w:tc>
          <w:tcPr>
            <w:tcW w:w="880" w:type="dxa"/>
            <w:tcBorders>
              <w:top w:val="nil"/>
              <w:left w:val="nil"/>
              <w:bottom w:val="single" w:sz="4" w:space="0" w:color="auto"/>
              <w:right w:val="single" w:sz="4" w:space="0" w:color="auto"/>
            </w:tcBorders>
            <w:shd w:val="clear" w:color="auto" w:fill="auto"/>
            <w:vAlign w:val="center"/>
            <w:hideMark/>
          </w:tcPr>
          <w:p w:rsidR="00F91853" w:rsidRPr="00F91853" w:rsidP="00F91853" w14:paraId="4C3FF600" w14:textId="4A0ED82C">
            <w:pPr>
              <w:autoSpaceDE/>
              <w:autoSpaceDN/>
              <w:adjustRightInd/>
              <w:jc w:val="center"/>
              <w:rPr>
                <w:color w:val="000000"/>
              </w:rPr>
            </w:pPr>
            <w:bookmarkStart w:id="1" w:name="RANGE!G4"/>
            <w:r w:rsidRPr="00F91853">
              <w:rPr>
                <w:color w:val="000000"/>
              </w:rPr>
              <w:t xml:space="preserve"> $ 26.00 </w:t>
            </w:r>
            <w:bookmarkEnd w:id="1"/>
          </w:p>
        </w:tc>
        <w:tc>
          <w:tcPr>
            <w:tcW w:w="1636" w:type="dxa"/>
            <w:tcBorders>
              <w:top w:val="nil"/>
              <w:left w:val="nil"/>
              <w:bottom w:val="single" w:sz="4" w:space="0" w:color="auto"/>
              <w:right w:val="single" w:sz="8" w:space="0" w:color="auto"/>
            </w:tcBorders>
            <w:shd w:val="clear" w:color="auto" w:fill="auto"/>
            <w:vAlign w:val="center"/>
            <w:hideMark/>
          </w:tcPr>
          <w:p w:rsidR="00F91853" w:rsidRPr="00F91853" w:rsidP="00F91853" w14:paraId="4CCD37C3" w14:textId="5323D193">
            <w:pPr>
              <w:autoSpaceDE/>
              <w:autoSpaceDN/>
              <w:adjustRightInd/>
              <w:jc w:val="center"/>
              <w:rPr>
                <w:color w:val="000000"/>
              </w:rPr>
            </w:pPr>
            <w:r w:rsidRPr="00F91853">
              <w:rPr>
                <w:color w:val="000000"/>
              </w:rPr>
              <w:t xml:space="preserve"> $218,400 </w:t>
            </w:r>
          </w:p>
        </w:tc>
      </w:tr>
      <w:tr w14:paraId="64321595" w14:textId="77777777" w:rsidTr="00D12A4B">
        <w:tblPrEx>
          <w:tblW w:w="5198" w:type="pct"/>
          <w:tblLook w:val="04A0"/>
        </w:tblPrEx>
        <w:trPr>
          <w:trHeight w:val="792"/>
        </w:trPr>
        <w:tc>
          <w:tcPr>
            <w:tcW w:w="1647" w:type="dxa"/>
            <w:tcBorders>
              <w:top w:val="nil"/>
              <w:left w:val="single" w:sz="8" w:space="0" w:color="auto"/>
              <w:bottom w:val="single" w:sz="4" w:space="0" w:color="auto"/>
              <w:right w:val="single" w:sz="4" w:space="0" w:color="auto"/>
            </w:tcBorders>
            <w:shd w:val="clear" w:color="auto" w:fill="auto"/>
            <w:vAlign w:val="center"/>
            <w:hideMark/>
          </w:tcPr>
          <w:p w:rsidR="00F91853" w:rsidRPr="00F91853" w:rsidP="00F91853" w14:paraId="1351B5CB" w14:textId="77777777">
            <w:pPr>
              <w:autoSpaceDE/>
              <w:autoSpaceDN/>
              <w:adjustRightInd/>
              <w:rPr>
                <w:color w:val="000000"/>
              </w:rPr>
            </w:pPr>
            <w:r w:rsidRPr="00F91853">
              <w:rPr>
                <w:color w:val="000000"/>
              </w:rPr>
              <w:t xml:space="preserve">Client-level 3- or 6-month reassessment -interview </w:t>
            </w:r>
          </w:p>
        </w:tc>
        <w:tc>
          <w:tcPr>
            <w:tcW w:w="1306" w:type="dxa"/>
            <w:tcBorders>
              <w:top w:val="nil"/>
              <w:left w:val="nil"/>
              <w:bottom w:val="single" w:sz="4" w:space="0" w:color="auto"/>
              <w:right w:val="single" w:sz="4" w:space="0" w:color="auto"/>
            </w:tcBorders>
            <w:shd w:val="clear" w:color="auto" w:fill="auto"/>
            <w:vAlign w:val="center"/>
            <w:hideMark/>
          </w:tcPr>
          <w:p w:rsidR="00F91853" w:rsidRPr="00F91853" w:rsidP="00F91853" w14:paraId="40B7FA99" w14:textId="77777777">
            <w:pPr>
              <w:autoSpaceDE/>
              <w:autoSpaceDN/>
              <w:adjustRightInd/>
              <w:jc w:val="center"/>
              <w:rPr>
                <w:color w:val="000000"/>
              </w:rPr>
            </w:pPr>
            <w:r w:rsidRPr="00F91853">
              <w:rPr>
                <w:color w:val="000000"/>
              </w:rPr>
              <w:t>53,760</w:t>
            </w:r>
          </w:p>
        </w:tc>
        <w:tc>
          <w:tcPr>
            <w:tcW w:w="1228" w:type="dxa"/>
            <w:tcBorders>
              <w:top w:val="nil"/>
              <w:left w:val="nil"/>
              <w:bottom w:val="single" w:sz="4" w:space="0" w:color="auto"/>
              <w:right w:val="single" w:sz="4" w:space="0" w:color="auto"/>
            </w:tcBorders>
            <w:shd w:val="clear" w:color="auto" w:fill="auto"/>
            <w:vAlign w:val="center"/>
            <w:hideMark/>
          </w:tcPr>
          <w:p w:rsidR="00F91853" w:rsidRPr="00F91853" w:rsidP="00F91853" w14:paraId="6D158EDB" w14:textId="77777777">
            <w:pPr>
              <w:autoSpaceDE/>
              <w:autoSpaceDN/>
              <w:adjustRightInd/>
              <w:jc w:val="center"/>
              <w:rPr>
                <w:color w:val="000000"/>
              </w:rPr>
            </w:pPr>
            <w:r w:rsidRPr="00F91853">
              <w:rPr>
                <w:color w:val="000000"/>
              </w:rPr>
              <w:t>1</w:t>
            </w:r>
          </w:p>
        </w:tc>
        <w:tc>
          <w:tcPr>
            <w:tcW w:w="1094" w:type="dxa"/>
            <w:tcBorders>
              <w:top w:val="nil"/>
              <w:left w:val="nil"/>
              <w:bottom w:val="single" w:sz="4" w:space="0" w:color="auto"/>
              <w:right w:val="single" w:sz="4" w:space="0" w:color="auto"/>
            </w:tcBorders>
            <w:shd w:val="clear" w:color="auto" w:fill="auto"/>
            <w:vAlign w:val="center"/>
            <w:hideMark/>
          </w:tcPr>
          <w:p w:rsidR="00F91853" w:rsidRPr="00F91853" w:rsidP="00F91853" w14:paraId="6F164823" w14:textId="77777777">
            <w:pPr>
              <w:autoSpaceDE/>
              <w:autoSpaceDN/>
              <w:adjustRightInd/>
              <w:jc w:val="center"/>
              <w:rPr>
                <w:color w:val="000000"/>
              </w:rPr>
            </w:pPr>
            <w:r w:rsidRPr="00F91853">
              <w:rPr>
                <w:color w:val="000000"/>
              </w:rPr>
              <w:t>53,760</w:t>
            </w:r>
          </w:p>
        </w:tc>
        <w:tc>
          <w:tcPr>
            <w:tcW w:w="1017" w:type="dxa"/>
            <w:tcBorders>
              <w:top w:val="nil"/>
              <w:left w:val="nil"/>
              <w:bottom w:val="single" w:sz="4" w:space="0" w:color="auto"/>
              <w:right w:val="single" w:sz="4" w:space="0" w:color="auto"/>
            </w:tcBorders>
            <w:shd w:val="clear" w:color="auto" w:fill="auto"/>
            <w:vAlign w:val="center"/>
            <w:hideMark/>
          </w:tcPr>
          <w:p w:rsidR="00F91853" w:rsidRPr="00F91853" w:rsidP="00F91853" w14:paraId="44DA6C2A" w14:textId="77777777">
            <w:pPr>
              <w:autoSpaceDE/>
              <w:autoSpaceDN/>
              <w:adjustRightInd/>
              <w:jc w:val="center"/>
              <w:rPr>
                <w:color w:val="000000"/>
              </w:rPr>
            </w:pPr>
            <w:r w:rsidRPr="00F91853">
              <w:rPr>
                <w:color w:val="000000"/>
              </w:rPr>
              <w:t>0.3</w:t>
            </w:r>
          </w:p>
        </w:tc>
        <w:tc>
          <w:tcPr>
            <w:tcW w:w="902" w:type="dxa"/>
            <w:tcBorders>
              <w:top w:val="nil"/>
              <w:left w:val="nil"/>
              <w:bottom w:val="single" w:sz="4" w:space="0" w:color="auto"/>
              <w:right w:val="single" w:sz="4" w:space="0" w:color="auto"/>
            </w:tcBorders>
            <w:shd w:val="clear" w:color="auto" w:fill="auto"/>
            <w:vAlign w:val="center"/>
            <w:hideMark/>
          </w:tcPr>
          <w:p w:rsidR="00F91853" w:rsidRPr="00F91853" w:rsidP="00F91853" w14:paraId="0A744E12" w14:textId="77777777">
            <w:pPr>
              <w:autoSpaceDE/>
              <w:autoSpaceDN/>
              <w:adjustRightInd/>
              <w:jc w:val="center"/>
              <w:rPr>
                <w:color w:val="000000"/>
              </w:rPr>
            </w:pPr>
            <w:r w:rsidRPr="00F91853">
              <w:rPr>
                <w:color w:val="000000"/>
              </w:rPr>
              <w:t>16,128</w:t>
            </w:r>
          </w:p>
        </w:tc>
        <w:tc>
          <w:tcPr>
            <w:tcW w:w="880" w:type="dxa"/>
            <w:tcBorders>
              <w:top w:val="nil"/>
              <w:left w:val="nil"/>
              <w:bottom w:val="single" w:sz="4" w:space="0" w:color="auto"/>
              <w:right w:val="single" w:sz="4" w:space="0" w:color="auto"/>
            </w:tcBorders>
            <w:shd w:val="clear" w:color="auto" w:fill="auto"/>
            <w:vAlign w:val="center"/>
            <w:hideMark/>
          </w:tcPr>
          <w:p w:rsidR="00F91853" w:rsidRPr="00F91853" w:rsidP="00F91853" w14:paraId="2AE3AE9B" w14:textId="40948C40">
            <w:pPr>
              <w:autoSpaceDE/>
              <w:autoSpaceDN/>
              <w:adjustRightInd/>
              <w:jc w:val="center"/>
              <w:rPr>
                <w:color w:val="000000"/>
              </w:rPr>
            </w:pPr>
            <w:r w:rsidRPr="00F91853">
              <w:rPr>
                <w:color w:val="000000"/>
              </w:rPr>
              <w:t xml:space="preserve"> $ 26.00 </w:t>
            </w:r>
          </w:p>
        </w:tc>
        <w:tc>
          <w:tcPr>
            <w:tcW w:w="1636" w:type="dxa"/>
            <w:tcBorders>
              <w:top w:val="nil"/>
              <w:left w:val="nil"/>
              <w:bottom w:val="single" w:sz="4" w:space="0" w:color="auto"/>
              <w:right w:val="single" w:sz="8" w:space="0" w:color="auto"/>
            </w:tcBorders>
            <w:shd w:val="clear" w:color="auto" w:fill="auto"/>
            <w:vAlign w:val="center"/>
            <w:hideMark/>
          </w:tcPr>
          <w:p w:rsidR="00F91853" w:rsidRPr="00F91853" w:rsidP="00F91853" w14:paraId="7BAE2E45" w14:textId="53B00B4C">
            <w:pPr>
              <w:autoSpaceDE/>
              <w:autoSpaceDN/>
              <w:adjustRightInd/>
              <w:jc w:val="center"/>
              <w:rPr>
                <w:color w:val="000000"/>
              </w:rPr>
            </w:pPr>
            <w:r w:rsidRPr="00F91853">
              <w:rPr>
                <w:color w:val="000000"/>
              </w:rPr>
              <w:t xml:space="preserve"> $419,328 </w:t>
            </w:r>
          </w:p>
        </w:tc>
      </w:tr>
      <w:tr w14:paraId="685A9BE9" w14:textId="77777777" w:rsidTr="00D12A4B">
        <w:tblPrEx>
          <w:tblW w:w="5198" w:type="pct"/>
          <w:tblLook w:val="04A0"/>
        </w:tblPrEx>
        <w:trPr>
          <w:trHeight w:val="792"/>
        </w:trPr>
        <w:tc>
          <w:tcPr>
            <w:tcW w:w="1647" w:type="dxa"/>
            <w:tcBorders>
              <w:top w:val="nil"/>
              <w:left w:val="single" w:sz="8" w:space="0" w:color="auto"/>
              <w:bottom w:val="single" w:sz="4" w:space="0" w:color="auto"/>
              <w:right w:val="single" w:sz="4" w:space="0" w:color="auto"/>
            </w:tcBorders>
            <w:shd w:val="clear" w:color="auto" w:fill="auto"/>
            <w:vAlign w:val="center"/>
            <w:hideMark/>
          </w:tcPr>
          <w:p w:rsidR="00F91853" w:rsidRPr="00F91853" w:rsidP="00F91853" w14:paraId="7072F388" w14:textId="77777777">
            <w:pPr>
              <w:autoSpaceDE/>
              <w:autoSpaceDN/>
              <w:adjustRightInd/>
              <w:rPr>
                <w:color w:val="000000"/>
              </w:rPr>
            </w:pPr>
            <w:r w:rsidRPr="00F91853">
              <w:rPr>
                <w:color w:val="000000"/>
              </w:rPr>
              <w:t xml:space="preserve">Client-level 3- or 6-month </w:t>
            </w:r>
            <w:r w:rsidRPr="00F91853">
              <w:rPr>
                <w:color w:val="000000"/>
              </w:rPr>
              <w:t>reassessment -administrative</w:t>
            </w:r>
          </w:p>
        </w:tc>
        <w:tc>
          <w:tcPr>
            <w:tcW w:w="1306" w:type="dxa"/>
            <w:tcBorders>
              <w:top w:val="nil"/>
              <w:left w:val="nil"/>
              <w:bottom w:val="single" w:sz="4" w:space="0" w:color="auto"/>
              <w:right w:val="single" w:sz="4" w:space="0" w:color="auto"/>
            </w:tcBorders>
            <w:shd w:val="clear" w:color="auto" w:fill="auto"/>
            <w:vAlign w:val="center"/>
            <w:hideMark/>
          </w:tcPr>
          <w:p w:rsidR="00F91853" w:rsidRPr="00F91853" w:rsidP="00F91853" w14:paraId="04F592A9" w14:textId="77777777">
            <w:pPr>
              <w:autoSpaceDE/>
              <w:autoSpaceDN/>
              <w:adjustRightInd/>
              <w:jc w:val="center"/>
              <w:rPr>
                <w:color w:val="000000"/>
              </w:rPr>
            </w:pPr>
            <w:r w:rsidRPr="00F91853">
              <w:rPr>
                <w:color w:val="000000"/>
              </w:rPr>
              <w:t>67,200</w:t>
            </w:r>
          </w:p>
        </w:tc>
        <w:tc>
          <w:tcPr>
            <w:tcW w:w="1228" w:type="dxa"/>
            <w:tcBorders>
              <w:top w:val="nil"/>
              <w:left w:val="nil"/>
              <w:bottom w:val="single" w:sz="4" w:space="0" w:color="auto"/>
              <w:right w:val="single" w:sz="4" w:space="0" w:color="auto"/>
            </w:tcBorders>
            <w:shd w:val="clear" w:color="auto" w:fill="auto"/>
            <w:vAlign w:val="center"/>
            <w:hideMark/>
          </w:tcPr>
          <w:p w:rsidR="00F91853" w:rsidRPr="00F91853" w:rsidP="00F91853" w14:paraId="5C080062" w14:textId="77777777">
            <w:pPr>
              <w:autoSpaceDE/>
              <w:autoSpaceDN/>
              <w:adjustRightInd/>
              <w:jc w:val="center"/>
              <w:rPr>
                <w:color w:val="000000"/>
              </w:rPr>
            </w:pPr>
            <w:r w:rsidRPr="00F91853">
              <w:rPr>
                <w:color w:val="000000"/>
              </w:rPr>
              <w:t>1</w:t>
            </w:r>
          </w:p>
        </w:tc>
        <w:tc>
          <w:tcPr>
            <w:tcW w:w="1094" w:type="dxa"/>
            <w:tcBorders>
              <w:top w:val="nil"/>
              <w:left w:val="nil"/>
              <w:bottom w:val="single" w:sz="4" w:space="0" w:color="auto"/>
              <w:right w:val="single" w:sz="4" w:space="0" w:color="auto"/>
            </w:tcBorders>
            <w:shd w:val="clear" w:color="auto" w:fill="auto"/>
            <w:vAlign w:val="center"/>
            <w:hideMark/>
          </w:tcPr>
          <w:p w:rsidR="00F91853" w:rsidRPr="00F91853" w:rsidP="00F91853" w14:paraId="3A03A923" w14:textId="77777777">
            <w:pPr>
              <w:autoSpaceDE/>
              <w:autoSpaceDN/>
              <w:adjustRightInd/>
              <w:jc w:val="center"/>
              <w:rPr>
                <w:color w:val="000000"/>
              </w:rPr>
            </w:pPr>
            <w:r w:rsidRPr="00F91853">
              <w:rPr>
                <w:color w:val="000000"/>
              </w:rPr>
              <w:t>67,200</w:t>
            </w:r>
          </w:p>
        </w:tc>
        <w:tc>
          <w:tcPr>
            <w:tcW w:w="1017" w:type="dxa"/>
            <w:tcBorders>
              <w:top w:val="nil"/>
              <w:left w:val="nil"/>
              <w:bottom w:val="single" w:sz="4" w:space="0" w:color="auto"/>
              <w:right w:val="single" w:sz="4" w:space="0" w:color="auto"/>
            </w:tcBorders>
            <w:shd w:val="clear" w:color="auto" w:fill="auto"/>
            <w:vAlign w:val="center"/>
            <w:hideMark/>
          </w:tcPr>
          <w:p w:rsidR="00F91853" w:rsidRPr="00F91853" w:rsidP="00F91853" w14:paraId="397C6F05" w14:textId="77777777">
            <w:pPr>
              <w:autoSpaceDE/>
              <w:autoSpaceDN/>
              <w:adjustRightInd/>
              <w:jc w:val="center"/>
              <w:rPr>
                <w:color w:val="000000"/>
              </w:rPr>
            </w:pPr>
            <w:r w:rsidRPr="00F91853">
              <w:rPr>
                <w:color w:val="000000"/>
              </w:rPr>
              <w:t>0.1</w:t>
            </w:r>
          </w:p>
        </w:tc>
        <w:tc>
          <w:tcPr>
            <w:tcW w:w="902" w:type="dxa"/>
            <w:tcBorders>
              <w:top w:val="nil"/>
              <w:left w:val="nil"/>
              <w:bottom w:val="single" w:sz="4" w:space="0" w:color="auto"/>
              <w:right w:val="single" w:sz="4" w:space="0" w:color="auto"/>
            </w:tcBorders>
            <w:shd w:val="clear" w:color="auto" w:fill="auto"/>
            <w:vAlign w:val="center"/>
            <w:hideMark/>
          </w:tcPr>
          <w:p w:rsidR="00F91853" w:rsidRPr="00F91853" w:rsidP="00F91853" w14:paraId="75BBDB58" w14:textId="77777777">
            <w:pPr>
              <w:autoSpaceDE/>
              <w:autoSpaceDN/>
              <w:adjustRightInd/>
              <w:jc w:val="center"/>
              <w:rPr>
                <w:color w:val="000000"/>
              </w:rPr>
            </w:pPr>
            <w:r w:rsidRPr="00F91853">
              <w:rPr>
                <w:color w:val="000000"/>
              </w:rPr>
              <w:t>6,720</w:t>
            </w:r>
          </w:p>
        </w:tc>
        <w:tc>
          <w:tcPr>
            <w:tcW w:w="880" w:type="dxa"/>
            <w:tcBorders>
              <w:top w:val="nil"/>
              <w:left w:val="nil"/>
              <w:bottom w:val="single" w:sz="4" w:space="0" w:color="auto"/>
              <w:right w:val="single" w:sz="4" w:space="0" w:color="auto"/>
            </w:tcBorders>
            <w:shd w:val="clear" w:color="auto" w:fill="auto"/>
            <w:vAlign w:val="center"/>
            <w:hideMark/>
          </w:tcPr>
          <w:p w:rsidR="00F91853" w:rsidRPr="00F91853" w:rsidP="00F91853" w14:paraId="42DAB894" w14:textId="4CD55267">
            <w:pPr>
              <w:autoSpaceDE/>
              <w:autoSpaceDN/>
              <w:adjustRightInd/>
              <w:jc w:val="center"/>
              <w:rPr>
                <w:color w:val="000000"/>
              </w:rPr>
            </w:pPr>
            <w:r w:rsidRPr="00F91853">
              <w:rPr>
                <w:color w:val="000000"/>
              </w:rPr>
              <w:t xml:space="preserve"> $ 26.00 </w:t>
            </w:r>
          </w:p>
        </w:tc>
        <w:tc>
          <w:tcPr>
            <w:tcW w:w="1636" w:type="dxa"/>
            <w:tcBorders>
              <w:top w:val="nil"/>
              <w:left w:val="nil"/>
              <w:bottom w:val="single" w:sz="4" w:space="0" w:color="auto"/>
              <w:right w:val="single" w:sz="8" w:space="0" w:color="auto"/>
            </w:tcBorders>
            <w:shd w:val="clear" w:color="auto" w:fill="auto"/>
            <w:vAlign w:val="center"/>
            <w:hideMark/>
          </w:tcPr>
          <w:p w:rsidR="00F91853" w:rsidRPr="00F91853" w:rsidP="00F91853" w14:paraId="5BE7D81C" w14:textId="670649D8">
            <w:pPr>
              <w:autoSpaceDE/>
              <w:autoSpaceDN/>
              <w:adjustRightInd/>
              <w:jc w:val="center"/>
              <w:rPr>
                <w:color w:val="000000"/>
              </w:rPr>
            </w:pPr>
            <w:r w:rsidRPr="00F91853">
              <w:rPr>
                <w:color w:val="000000"/>
              </w:rPr>
              <w:t xml:space="preserve"> $174,720 </w:t>
            </w:r>
          </w:p>
        </w:tc>
      </w:tr>
      <w:tr w14:paraId="68F75DCB" w14:textId="77777777" w:rsidTr="00D12A4B">
        <w:tblPrEx>
          <w:tblW w:w="5198" w:type="pct"/>
          <w:tblLook w:val="04A0"/>
        </w:tblPrEx>
        <w:trPr>
          <w:trHeight w:val="528"/>
        </w:trPr>
        <w:tc>
          <w:tcPr>
            <w:tcW w:w="1647" w:type="dxa"/>
            <w:tcBorders>
              <w:top w:val="nil"/>
              <w:left w:val="single" w:sz="8" w:space="0" w:color="auto"/>
              <w:bottom w:val="single" w:sz="4" w:space="0" w:color="auto"/>
              <w:right w:val="single" w:sz="4" w:space="0" w:color="auto"/>
            </w:tcBorders>
            <w:shd w:val="clear" w:color="auto" w:fill="auto"/>
            <w:vAlign w:val="center"/>
            <w:hideMark/>
          </w:tcPr>
          <w:p w:rsidR="00F91853" w:rsidRPr="00F91853" w:rsidP="00F91853" w14:paraId="771C2F81" w14:textId="77777777">
            <w:pPr>
              <w:autoSpaceDE/>
              <w:autoSpaceDN/>
              <w:adjustRightInd/>
              <w:rPr>
                <w:color w:val="000000"/>
              </w:rPr>
            </w:pPr>
            <w:r w:rsidRPr="00F91853">
              <w:rPr>
                <w:color w:val="000000"/>
              </w:rPr>
              <w:t xml:space="preserve">Client-level discharge assessment - interview </w:t>
            </w:r>
          </w:p>
        </w:tc>
        <w:tc>
          <w:tcPr>
            <w:tcW w:w="1306" w:type="dxa"/>
            <w:tcBorders>
              <w:top w:val="nil"/>
              <w:left w:val="nil"/>
              <w:bottom w:val="single" w:sz="4" w:space="0" w:color="auto"/>
              <w:right w:val="single" w:sz="4" w:space="0" w:color="auto"/>
            </w:tcBorders>
            <w:shd w:val="clear" w:color="auto" w:fill="auto"/>
            <w:vAlign w:val="center"/>
            <w:hideMark/>
          </w:tcPr>
          <w:p w:rsidR="00F91853" w:rsidRPr="00F91853" w:rsidP="00F91853" w14:paraId="0F575D5B" w14:textId="77777777">
            <w:pPr>
              <w:autoSpaceDE/>
              <w:autoSpaceDN/>
              <w:adjustRightInd/>
              <w:jc w:val="center"/>
              <w:rPr>
                <w:color w:val="000000"/>
              </w:rPr>
            </w:pPr>
            <w:r w:rsidRPr="00F91853">
              <w:rPr>
                <w:color w:val="000000"/>
              </w:rPr>
              <w:t>12,500</w:t>
            </w:r>
          </w:p>
        </w:tc>
        <w:tc>
          <w:tcPr>
            <w:tcW w:w="1228" w:type="dxa"/>
            <w:tcBorders>
              <w:top w:val="nil"/>
              <w:left w:val="nil"/>
              <w:bottom w:val="single" w:sz="4" w:space="0" w:color="auto"/>
              <w:right w:val="single" w:sz="4" w:space="0" w:color="auto"/>
            </w:tcBorders>
            <w:shd w:val="clear" w:color="auto" w:fill="auto"/>
            <w:vAlign w:val="center"/>
            <w:hideMark/>
          </w:tcPr>
          <w:p w:rsidR="00F91853" w:rsidRPr="00F91853" w:rsidP="00F91853" w14:paraId="25A51858" w14:textId="77777777">
            <w:pPr>
              <w:autoSpaceDE/>
              <w:autoSpaceDN/>
              <w:adjustRightInd/>
              <w:jc w:val="center"/>
              <w:rPr>
                <w:color w:val="000000"/>
              </w:rPr>
            </w:pPr>
            <w:r w:rsidRPr="00F91853">
              <w:rPr>
                <w:color w:val="000000"/>
              </w:rPr>
              <w:t>1</w:t>
            </w:r>
          </w:p>
        </w:tc>
        <w:tc>
          <w:tcPr>
            <w:tcW w:w="1094" w:type="dxa"/>
            <w:tcBorders>
              <w:top w:val="nil"/>
              <w:left w:val="nil"/>
              <w:bottom w:val="single" w:sz="4" w:space="0" w:color="auto"/>
              <w:right w:val="single" w:sz="4" w:space="0" w:color="auto"/>
            </w:tcBorders>
            <w:shd w:val="clear" w:color="auto" w:fill="auto"/>
            <w:vAlign w:val="center"/>
            <w:hideMark/>
          </w:tcPr>
          <w:p w:rsidR="00F91853" w:rsidRPr="00F91853" w:rsidP="00F91853" w14:paraId="49A3A8DB" w14:textId="77777777">
            <w:pPr>
              <w:autoSpaceDE/>
              <w:autoSpaceDN/>
              <w:adjustRightInd/>
              <w:jc w:val="center"/>
              <w:rPr>
                <w:color w:val="000000"/>
              </w:rPr>
            </w:pPr>
            <w:r w:rsidRPr="00F91853">
              <w:rPr>
                <w:color w:val="000000"/>
              </w:rPr>
              <w:t>12,500</w:t>
            </w:r>
          </w:p>
        </w:tc>
        <w:tc>
          <w:tcPr>
            <w:tcW w:w="1017" w:type="dxa"/>
            <w:tcBorders>
              <w:top w:val="nil"/>
              <w:left w:val="nil"/>
              <w:bottom w:val="single" w:sz="4" w:space="0" w:color="auto"/>
              <w:right w:val="single" w:sz="4" w:space="0" w:color="auto"/>
            </w:tcBorders>
            <w:shd w:val="clear" w:color="auto" w:fill="auto"/>
            <w:vAlign w:val="center"/>
            <w:hideMark/>
          </w:tcPr>
          <w:p w:rsidR="00F91853" w:rsidRPr="00F91853" w:rsidP="00F91853" w14:paraId="2691BEF0" w14:textId="77777777">
            <w:pPr>
              <w:autoSpaceDE/>
              <w:autoSpaceDN/>
              <w:adjustRightInd/>
              <w:jc w:val="center"/>
              <w:rPr>
                <w:color w:val="000000"/>
              </w:rPr>
            </w:pPr>
            <w:r w:rsidRPr="00F91853">
              <w:rPr>
                <w:color w:val="000000"/>
              </w:rPr>
              <w:t>0.3</w:t>
            </w:r>
          </w:p>
        </w:tc>
        <w:tc>
          <w:tcPr>
            <w:tcW w:w="902" w:type="dxa"/>
            <w:tcBorders>
              <w:top w:val="nil"/>
              <w:left w:val="nil"/>
              <w:bottom w:val="single" w:sz="4" w:space="0" w:color="auto"/>
              <w:right w:val="single" w:sz="4" w:space="0" w:color="auto"/>
            </w:tcBorders>
            <w:shd w:val="clear" w:color="auto" w:fill="auto"/>
            <w:vAlign w:val="center"/>
            <w:hideMark/>
          </w:tcPr>
          <w:p w:rsidR="00F91853" w:rsidRPr="00F91853" w:rsidP="00F91853" w14:paraId="4056CDD0" w14:textId="77777777">
            <w:pPr>
              <w:autoSpaceDE/>
              <w:autoSpaceDN/>
              <w:adjustRightInd/>
              <w:jc w:val="center"/>
              <w:rPr>
                <w:color w:val="000000"/>
              </w:rPr>
            </w:pPr>
            <w:r w:rsidRPr="00F91853">
              <w:rPr>
                <w:color w:val="000000"/>
              </w:rPr>
              <w:t>3,750</w:t>
            </w:r>
          </w:p>
        </w:tc>
        <w:tc>
          <w:tcPr>
            <w:tcW w:w="880" w:type="dxa"/>
            <w:tcBorders>
              <w:top w:val="nil"/>
              <w:left w:val="nil"/>
              <w:bottom w:val="single" w:sz="4" w:space="0" w:color="auto"/>
              <w:right w:val="single" w:sz="4" w:space="0" w:color="auto"/>
            </w:tcBorders>
            <w:shd w:val="clear" w:color="auto" w:fill="auto"/>
            <w:vAlign w:val="center"/>
            <w:hideMark/>
          </w:tcPr>
          <w:p w:rsidR="00F91853" w:rsidRPr="00F91853" w:rsidP="00F91853" w14:paraId="5D22691F" w14:textId="6C3B99FF">
            <w:pPr>
              <w:autoSpaceDE/>
              <w:autoSpaceDN/>
              <w:adjustRightInd/>
              <w:jc w:val="center"/>
              <w:rPr>
                <w:color w:val="000000"/>
              </w:rPr>
            </w:pPr>
            <w:r w:rsidRPr="00F91853">
              <w:rPr>
                <w:color w:val="000000"/>
              </w:rPr>
              <w:t xml:space="preserve"> $ 26.00 </w:t>
            </w:r>
          </w:p>
        </w:tc>
        <w:tc>
          <w:tcPr>
            <w:tcW w:w="1636" w:type="dxa"/>
            <w:tcBorders>
              <w:top w:val="nil"/>
              <w:left w:val="nil"/>
              <w:bottom w:val="single" w:sz="4" w:space="0" w:color="auto"/>
              <w:right w:val="single" w:sz="8" w:space="0" w:color="auto"/>
            </w:tcBorders>
            <w:shd w:val="clear" w:color="auto" w:fill="auto"/>
            <w:vAlign w:val="center"/>
            <w:hideMark/>
          </w:tcPr>
          <w:p w:rsidR="00F91853" w:rsidRPr="00F91853" w:rsidP="00F91853" w14:paraId="0C27ABD2" w14:textId="7CB4BFF9">
            <w:pPr>
              <w:autoSpaceDE/>
              <w:autoSpaceDN/>
              <w:adjustRightInd/>
              <w:jc w:val="center"/>
              <w:rPr>
                <w:color w:val="000000"/>
              </w:rPr>
            </w:pPr>
            <w:r w:rsidRPr="00F91853">
              <w:rPr>
                <w:color w:val="000000"/>
              </w:rPr>
              <w:t xml:space="preserve"> $97,500 </w:t>
            </w:r>
          </w:p>
        </w:tc>
      </w:tr>
      <w:tr w14:paraId="316AA860" w14:textId="77777777" w:rsidTr="00D12A4B">
        <w:tblPrEx>
          <w:tblW w:w="5198" w:type="pct"/>
          <w:tblLook w:val="04A0"/>
        </w:tblPrEx>
        <w:trPr>
          <w:trHeight w:val="792"/>
        </w:trPr>
        <w:tc>
          <w:tcPr>
            <w:tcW w:w="1647" w:type="dxa"/>
            <w:tcBorders>
              <w:top w:val="nil"/>
              <w:left w:val="single" w:sz="8" w:space="0" w:color="auto"/>
              <w:bottom w:val="single" w:sz="4" w:space="0" w:color="auto"/>
              <w:right w:val="single" w:sz="4" w:space="0" w:color="auto"/>
            </w:tcBorders>
            <w:shd w:val="clear" w:color="auto" w:fill="auto"/>
            <w:vAlign w:val="center"/>
            <w:hideMark/>
          </w:tcPr>
          <w:p w:rsidR="00F91853" w:rsidRPr="00F91853" w:rsidP="00F91853" w14:paraId="74D63206" w14:textId="77777777">
            <w:pPr>
              <w:autoSpaceDE/>
              <w:autoSpaceDN/>
              <w:adjustRightInd/>
              <w:rPr>
                <w:color w:val="000000"/>
              </w:rPr>
            </w:pPr>
            <w:r w:rsidRPr="00F91853">
              <w:rPr>
                <w:color w:val="000000"/>
              </w:rPr>
              <w:t xml:space="preserve">Client-level discharge assessment </w:t>
            </w:r>
            <w:r w:rsidRPr="00F91853">
              <w:rPr>
                <w:color w:val="000000"/>
              </w:rPr>
              <w:t>-  administrative</w:t>
            </w:r>
          </w:p>
        </w:tc>
        <w:tc>
          <w:tcPr>
            <w:tcW w:w="1306" w:type="dxa"/>
            <w:tcBorders>
              <w:top w:val="nil"/>
              <w:left w:val="nil"/>
              <w:bottom w:val="single" w:sz="4" w:space="0" w:color="auto"/>
              <w:right w:val="single" w:sz="4" w:space="0" w:color="auto"/>
            </w:tcBorders>
            <w:shd w:val="clear" w:color="auto" w:fill="auto"/>
            <w:vAlign w:val="center"/>
            <w:hideMark/>
          </w:tcPr>
          <w:p w:rsidR="00F91853" w:rsidRPr="00F91853" w:rsidP="00F91853" w14:paraId="584A04FE" w14:textId="77777777">
            <w:pPr>
              <w:autoSpaceDE/>
              <w:autoSpaceDN/>
              <w:adjustRightInd/>
              <w:jc w:val="center"/>
              <w:rPr>
                <w:color w:val="000000"/>
              </w:rPr>
            </w:pPr>
            <w:r w:rsidRPr="00F91853">
              <w:rPr>
                <w:color w:val="000000"/>
              </w:rPr>
              <w:t>25,000</w:t>
            </w:r>
          </w:p>
        </w:tc>
        <w:tc>
          <w:tcPr>
            <w:tcW w:w="1228" w:type="dxa"/>
            <w:tcBorders>
              <w:top w:val="nil"/>
              <w:left w:val="nil"/>
              <w:bottom w:val="single" w:sz="4" w:space="0" w:color="auto"/>
              <w:right w:val="single" w:sz="4" w:space="0" w:color="auto"/>
            </w:tcBorders>
            <w:shd w:val="clear" w:color="auto" w:fill="auto"/>
            <w:vAlign w:val="center"/>
            <w:hideMark/>
          </w:tcPr>
          <w:p w:rsidR="00F91853" w:rsidRPr="00F91853" w:rsidP="00F91853" w14:paraId="2AAE6502" w14:textId="77777777">
            <w:pPr>
              <w:autoSpaceDE/>
              <w:autoSpaceDN/>
              <w:adjustRightInd/>
              <w:jc w:val="center"/>
              <w:rPr>
                <w:color w:val="000000"/>
              </w:rPr>
            </w:pPr>
            <w:r w:rsidRPr="00F91853">
              <w:rPr>
                <w:color w:val="000000"/>
              </w:rPr>
              <w:t>1</w:t>
            </w:r>
          </w:p>
        </w:tc>
        <w:tc>
          <w:tcPr>
            <w:tcW w:w="1094" w:type="dxa"/>
            <w:tcBorders>
              <w:top w:val="nil"/>
              <w:left w:val="nil"/>
              <w:bottom w:val="single" w:sz="4" w:space="0" w:color="auto"/>
              <w:right w:val="single" w:sz="4" w:space="0" w:color="auto"/>
            </w:tcBorders>
            <w:shd w:val="clear" w:color="auto" w:fill="auto"/>
            <w:vAlign w:val="center"/>
            <w:hideMark/>
          </w:tcPr>
          <w:p w:rsidR="00F91853" w:rsidRPr="00F91853" w:rsidP="00F91853" w14:paraId="7F65C44E" w14:textId="77777777">
            <w:pPr>
              <w:autoSpaceDE/>
              <w:autoSpaceDN/>
              <w:adjustRightInd/>
              <w:jc w:val="center"/>
              <w:rPr>
                <w:color w:val="000000"/>
              </w:rPr>
            </w:pPr>
            <w:r w:rsidRPr="00F91853">
              <w:rPr>
                <w:color w:val="000000"/>
              </w:rPr>
              <w:t>25,000</w:t>
            </w:r>
          </w:p>
        </w:tc>
        <w:tc>
          <w:tcPr>
            <w:tcW w:w="1017" w:type="dxa"/>
            <w:tcBorders>
              <w:top w:val="nil"/>
              <w:left w:val="nil"/>
              <w:bottom w:val="single" w:sz="4" w:space="0" w:color="auto"/>
              <w:right w:val="single" w:sz="4" w:space="0" w:color="auto"/>
            </w:tcBorders>
            <w:shd w:val="clear" w:color="auto" w:fill="auto"/>
            <w:vAlign w:val="center"/>
            <w:hideMark/>
          </w:tcPr>
          <w:p w:rsidR="00F91853" w:rsidRPr="00F91853" w:rsidP="00F91853" w14:paraId="7E28E895" w14:textId="77777777">
            <w:pPr>
              <w:autoSpaceDE/>
              <w:autoSpaceDN/>
              <w:adjustRightInd/>
              <w:jc w:val="center"/>
              <w:rPr>
                <w:color w:val="000000"/>
              </w:rPr>
            </w:pPr>
            <w:r w:rsidRPr="00F91853">
              <w:rPr>
                <w:color w:val="000000"/>
              </w:rPr>
              <w:t>0.1</w:t>
            </w:r>
          </w:p>
        </w:tc>
        <w:tc>
          <w:tcPr>
            <w:tcW w:w="902" w:type="dxa"/>
            <w:tcBorders>
              <w:top w:val="nil"/>
              <w:left w:val="nil"/>
              <w:bottom w:val="single" w:sz="4" w:space="0" w:color="auto"/>
              <w:right w:val="single" w:sz="4" w:space="0" w:color="auto"/>
            </w:tcBorders>
            <w:shd w:val="clear" w:color="auto" w:fill="auto"/>
            <w:vAlign w:val="center"/>
            <w:hideMark/>
          </w:tcPr>
          <w:p w:rsidR="00F91853" w:rsidRPr="00F91853" w:rsidP="00F91853" w14:paraId="026F8CE6" w14:textId="77777777">
            <w:pPr>
              <w:autoSpaceDE/>
              <w:autoSpaceDN/>
              <w:adjustRightInd/>
              <w:jc w:val="center"/>
              <w:rPr>
                <w:color w:val="000000"/>
              </w:rPr>
            </w:pPr>
            <w:r w:rsidRPr="00F91853">
              <w:rPr>
                <w:color w:val="000000"/>
              </w:rPr>
              <w:t>2,500</w:t>
            </w:r>
          </w:p>
        </w:tc>
        <w:tc>
          <w:tcPr>
            <w:tcW w:w="880" w:type="dxa"/>
            <w:tcBorders>
              <w:top w:val="nil"/>
              <w:left w:val="nil"/>
              <w:bottom w:val="single" w:sz="4" w:space="0" w:color="auto"/>
              <w:right w:val="single" w:sz="4" w:space="0" w:color="auto"/>
            </w:tcBorders>
            <w:shd w:val="clear" w:color="auto" w:fill="auto"/>
            <w:vAlign w:val="center"/>
            <w:hideMark/>
          </w:tcPr>
          <w:p w:rsidR="00F91853" w:rsidRPr="00F91853" w:rsidP="00F91853" w14:paraId="0C7D1545" w14:textId="2C8B8BFE">
            <w:pPr>
              <w:autoSpaceDE/>
              <w:autoSpaceDN/>
              <w:adjustRightInd/>
              <w:jc w:val="center"/>
              <w:rPr>
                <w:color w:val="000000"/>
              </w:rPr>
            </w:pPr>
            <w:r w:rsidRPr="00F91853">
              <w:rPr>
                <w:color w:val="000000"/>
              </w:rPr>
              <w:t xml:space="preserve"> $ 26.00 </w:t>
            </w:r>
          </w:p>
        </w:tc>
        <w:tc>
          <w:tcPr>
            <w:tcW w:w="1636" w:type="dxa"/>
            <w:tcBorders>
              <w:top w:val="nil"/>
              <w:left w:val="nil"/>
              <w:bottom w:val="single" w:sz="4" w:space="0" w:color="auto"/>
              <w:right w:val="single" w:sz="8" w:space="0" w:color="auto"/>
            </w:tcBorders>
            <w:shd w:val="clear" w:color="auto" w:fill="auto"/>
            <w:vAlign w:val="center"/>
            <w:hideMark/>
          </w:tcPr>
          <w:p w:rsidR="00F91853" w:rsidRPr="00F91853" w:rsidP="00F91853" w14:paraId="35A5B702" w14:textId="0DCAFDEA">
            <w:pPr>
              <w:autoSpaceDE/>
              <w:autoSpaceDN/>
              <w:adjustRightInd/>
              <w:jc w:val="center"/>
              <w:rPr>
                <w:color w:val="000000"/>
              </w:rPr>
            </w:pPr>
            <w:r w:rsidRPr="00F91853">
              <w:rPr>
                <w:color w:val="000000"/>
              </w:rPr>
              <w:t xml:space="preserve"> $65,000 </w:t>
            </w:r>
          </w:p>
        </w:tc>
      </w:tr>
      <w:tr w14:paraId="592E6A19" w14:textId="77777777" w:rsidTr="00D12A4B">
        <w:tblPrEx>
          <w:tblW w:w="5198" w:type="pct"/>
          <w:tblLook w:val="04A0"/>
        </w:tblPrEx>
        <w:trPr>
          <w:trHeight w:val="1320"/>
        </w:trPr>
        <w:tc>
          <w:tcPr>
            <w:tcW w:w="1647" w:type="dxa"/>
            <w:tcBorders>
              <w:top w:val="nil"/>
              <w:left w:val="single" w:sz="8" w:space="0" w:color="auto"/>
              <w:bottom w:val="single" w:sz="4" w:space="0" w:color="auto"/>
              <w:right w:val="single" w:sz="4" w:space="0" w:color="auto"/>
            </w:tcBorders>
            <w:shd w:val="clear" w:color="auto" w:fill="auto"/>
            <w:vAlign w:val="center"/>
            <w:hideMark/>
          </w:tcPr>
          <w:p w:rsidR="00F91853" w:rsidRPr="00F91853" w:rsidP="00F91853" w14:paraId="63CA4191" w14:textId="77777777">
            <w:pPr>
              <w:autoSpaceDE/>
              <w:autoSpaceDN/>
              <w:adjustRightInd/>
              <w:rPr>
                <w:color w:val="000000"/>
              </w:rPr>
            </w:pPr>
            <w:r w:rsidRPr="00F91853">
              <w:rPr>
                <w:bCs/>
                <w:color w:val="000000"/>
              </w:rPr>
              <w:t xml:space="preserve">Section H Program Specific Data: baseline, 3- or 6-month reassessment, and clinical discharge </w:t>
            </w:r>
          </w:p>
        </w:tc>
        <w:tc>
          <w:tcPr>
            <w:tcW w:w="1306" w:type="dxa"/>
            <w:tcBorders>
              <w:top w:val="nil"/>
              <w:left w:val="nil"/>
              <w:bottom w:val="single" w:sz="4" w:space="0" w:color="auto"/>
              <w:right w:val="single" w:sz="4" w:space="0" w:color="auto"/>
            </w:tcBorders>
            <w:shd w:val="clear" w:color="auto" w:fill="auto"/>
            <w:vAlign w:val="center"/>
            <w:hideMark/>
          </w:tcPr>
          <w:p w:rsidR="00F91853" w:rsidRPr="00F91853" w:rsidP="00F91853" w14:paraId="61423795" w14:textId="77777777">
            <w:pPr>
              <w:autoSpaceDE/>
              <w:autoSpaceDN/>
              <w:adjustRightInd/>
              <w:jc w:val="center"/>
              <w:rPr>
                <w:color w:val="000000"/>
              </w:rPr>
            </w:pPr>
            <w:r w:rsidRPr="00F91853">
              <w:rPr>
                <w:color w:val="000000"/>
              </w:rPr>
              <w:t>75,000</w:t>
            </w:r>
          </w:p>
        </w:tc>
        <w:tc>
          <w:tcPr>
            <w:tcW w:w="1228" w:type="dxa"/>
            <w:tcBorders>
              <w:top w:val="nil"/>
              <w:left w:val="nil"/>
              <w:bottom w:val="single" w:sz="4" w:space="0" w:color="auto"/>
              <w:right w:val="single" w:sz="4" w:space="0" w:color="auto"/>
            </w:tcBorders>
            <w:shd w:val="clear" w:color="auto" w:fill="auto"/>
            <w:vAlign w:val="center"/>
            <w:hideMark/>
          </w:tcPr>
          <w:p w:rsidR="00F91853" w:rsidRPr="00F91853" w:rsidP="00F91853" w14:paraId="445B3C26" w14:textId="77777777">
            <w:pPr>
              <w:autoSpaceDE/>
              <w:autoSpaceDN/>
              <w:adjustRightInd/>
              <w:jc w:val="center"/>
              <w:rPr>
                <w:color w:val="000000"/>
              </w:rPr>
            </w:pPr>
            <w:r w:rsidRPr="00F91853">
              <w:rPr>
                <w:color w:val="000000"/>
              </w:rPr>
              <w:t>2</w:t>
            </w:r>
          </w:p>
        </w:tc>
        <w:tc>
          <w:tcPr>
            <w:tcW w:w="1094" w:type="dxa"/>
            <w:tcBorders>
              <w:top w:val="nil"/>
              <w:left w:val="nil"/>
              <w:bottom w:val="single" w:sz="4" w:space="0" w:color="auto"/>
              <w:right w:val="single" w:sz="4" w:space="0" w:color="auto"/>
            </w:tcBorders>
            <w:shd w:val="clear" w:color="auto" w:fill="auto"/>
            <w:vAlign w:val="center"/>
            <w:hideMark/>
          </w:tcPr>
          <w:p w:rsidR="00F91853" w:rsidRPr="00F91853" w:rsidP="00F91853" w14:paraId="7B1F62A8" w14:textId="77777777">
            <w:pPr>
              <w:autoSpaceDE/>
              <w:autoSpaceDN/>
              <w:adjustRightInd/>
              <w:jc w:val="center"/>
              <w:rPr>
                <w:color w:val="000000"/>
              </w:rPr>
            </w:pPr>
            <w:r w:rsidRPr="00F91853">
              <w:rPr>
                <w:color w:val="000000"/>
              </w:rPr>
              <w:t>150,000</w:t>
            </w:r>
          </w:p>
        </w:tc>
        <w:tc>
          <w:tcPr>
            <w:tcW w:w="1017" w:type="dxa"/>
            <w:tcBorders>
              <w:top w:val="nil"/>
              <w:left w:val="nil"/>
              <w:bottom w:val="single" w:sz="4" w:space="0" w:color="auto"/>
              <w:right w:val="single" w:sz="4" w:space="0" w:color="auto"/>
            </w:tcBorders>
            <w:shd w:val="clear" w:color="auto" w:fill="auto"/>
            <w:vAlign w:val="center"/>
            <w:hideMark/>
          </w:tcPr>
          <w:p w:rsidR="00F91853" w:rsidRPr="00F91853" w:rsidP="00F91853" w14:paraId="7E18B399" w14:textId="77777777">
            <w:pPr>
              <w:autoSpaceDE/>
              <w:autoSpaceDN/>
              <w:adjustRightInd/>
              <w:jc w:val="center"/>
              <w:rPr>
                <w:color w:val="000000"/>
              </w:rPr>
            </w:pPr>
            <w:r w:rsidRPr="00F91853">
              <w:rPr>
                <w:color w:val="000000"/>
              </w:rPr>
              <w:t>0.1</w:t>
            </w:r>
          </w:p>
        </w:tc>
        <w:tc>
          <w:tcPr>
            <w:tcW w:w="902" w:type="dxa"/>
            <w:tcBorders>
              <w:top w:val="nil"/>
              <w:left w:val="nil"/>
              <w:bottom w:val="single" w:sz="4" w:space="0" w:color="auto"/>
              <w:right w:val="single" w:sz="4" w:space="0" w:color="auto"/>
            </w:tcBorders>
            <w:shd w:val="clear" w:color="auto" w:fill="auto"/>
            <w:vAlign w:val="center"/>
            <w:hideMark/>
          </w:tcPr>
          <w:p w:rsidR="00F91853" w:rsidRPr="00F91853" w:rsidP="00F91853" w14:paraId="14AEFC6E" w14:textId="77777777">
            <w:pPr>
              <w:autoSpaceDE/>
              <w:autoSpaceDN/>
              <w:adjustRightInd/>
              <w:jc w:val="center"/>
              <w:rPr>
                <w:color w:val="000000"/>
              </w:rPr>
            </w:pPr>
            <w:r w:rsidRPr="00F91853">
              <w:rPr>
                <w:color w:val="000000"/>
              </w:rPr>
              <w:t>15,000</w:t>
            </w:r>
          </w:p>
        </w:tc>
        <w:tc>
          <w:tcPr>
            <w:tcW w:w="880" w:type="dxa"/>
            <w:tcBorders>
              <w:top w:val="nil"/>
              <w:left w:val="nil"/>
              <w:bottom w:val="single" w:sz="4" w:space="0" w:color="auto"/>
              <w:right w:val="single" w:sz="4" w:space="0" w:color="auto"/>
            </w:tcBorders>
            <w:shd w:val="clear" w:color="auto" w:fill="auto"/>
            <w:vAlign w:val="center"/>
            <w:hideMark/>
          </w:tcPr>
          <w:p w:rsidR="00F91853" w:rsidRPr="00F91853" w:rsidP="00F91853" w14:paraId="1816C794" w14:textId="19B117B8">
            <w:pPr>
              <w:autoSpaceDE/>
              <w:autoSpaceDN/>
              <w:adjustRightInd/>
              <w:jc w:val="center"/>
              <w:rPr>
                <w:color w:val="000000"/>
              </w:rPr>
            </w:pPr>
            <w:r w:rsidRPr="00F91853">
              <w:rPr>
                <w:color w:val="000000"/>
              </w:rPr>
              <w:t xml:space="preserve"> $</w:t>
            </w:r>
            <w:r w:rsidR="00607FB0">
              <w:rPr>
                <w:color w:val="000000"/>
              </w:rPr>
              <w:t xml:space="preserve"> </w:t>
            </w:r>
            <w:r w:rsidRPr="00F91853">
              <w:rPr>
                <w:color w:val="000000"/>
              </w:rPr>
              <w:t xml:space="preserve">26.00 </w:t>
            </w:r>
          </w:p>
        </w:tc>
        <w:tc>
          <w:tcPr>
            <w:tcW w:w="1636" w:type="dxa"/>
            <w:tcBorders>
              <w:top w:val="nil"/>
              <w:left w:val="nil"/>
              <w:bottom w:val="single" w:sz="4" w:space="0" w:color="auto"/>
              <w:right w:val="single" w:sz="8" w:space="0" w:color="auto"/>
            </w:tcBorders>
            <w:shd w:val="clear" w:color="auto" w:fill="auto"/>
            <w:vAlign w:val="center"/>
            <w:hideMark/>
          </w:tcPr>
          <w:p w:rsidR="00F91853" w:rsidRPr="00F91853" w:rsidP="00F91853" w14:paraId="3CF33469" w14:textId="42DA4C2B">
            <w:pPr>
              <w:autoSpaceDE/>
              <w:autoSpaceDN/>
              <w:adjustRightInd/>
              <w:jc w:val="center"/>
              <w:rPr>
                <w:color w:val="000000"/>
              </w:rPr>
            </w:pPr>
            <w:r w:rsidRPr="00F91853">
              <w:rPr>
                <w:color w:val="000000"/>
              </w:rPr>
              <w:t xml:space="preserve"> $390,000 </w:t>
            </w:r>
          </w:p>
        </w:tc>
      </w:tr>
      <w:tr w14:paraId="4B3B3919" w14:textId="77777777" w:rsidTr="00D12A4B">
        <w:tblPrEx>
          <w:tblW w:w="5198" w:type="pct"/>
          <w:tblLook w:val="04A0"/>
        </w:tblPrEx>
        <w:trPr>
          <w:trHeight w:val="300"/>
        </w:trPr>
        <w:tc>
          <w:tcPr>
            <w:tcW w:w="1647" w:type="dxa"/>
            <w:tcBorders>
              <w:top w:val="nil"/>
              <w:left w:val="single" w:sz="8" w:space="0" w:color="auto"/>
              <w:bottom w:val="single" w:sz="4" w:space="0" w:color="auto"/>
              <w:right w:val="single" w:sz="4" w:space="0" w:color="auto"/>
            </w:tcBorders>
            <w:shd w:val="clear" w:color="auto" w:fill="auto"/>
            <w:vAlign w:val="center"/>
            <w:hideMark/>
          </w:tcPr>
          <w:p w:rsidR="00F91853" w:rsidRPr="00F91853" w:rsidP="00F91853" w14:paraId="64A925A2" w14:textId="77777777">
            <w:pPr>
              <w:autoSpaceDE/>
              <w:autoSpaceDN/>
              <w:adjustRightInd/>
              <w:rPr>
                <w:b/>
                <w:bCs/>
                <w:color w:val="000000"/>
              </w:rPr>
            </w:pPr>
            <w:r w:rsidRPr="00F91853">
              <w:rPr>
                <w:b/>
                <w:bCs/>
                <w:color w:val="000000"/>
              </w:rPr>
              <w:t>Subtotal</w:t>
            </w:r>
          </w:p>
        </w:tc>
        <w:tc>
          <w:tcPr>
            <w:tcW w:w="1306" w:type="dxa"/>
            <w:tcBorders>
              <w:top w:val="nil"/>
              <w:left w:val="nil"/>
              <w:bottom w:val="single" w:sz="4" w:space="0" w:color="auto"/>
              <w:right w:val="single" w:sz="4" w:space="0" w:color="auto"/>
            </w:tcBorders>
            <w:shd w:val="clear" w:color="auto" w:fill="auto"/>
            <w:vAlign w:val="center"/>
            <w:hideMark/>
          </w:tcPr>
          <w:p w:rsidR="00F91853" w:rsidRPr="00F91853" w:rsidP="00F91853" w14:paraId="4815AEEA" w14:textId="77777777">
            <w:pPr>
              <w:autoSpaceDE/>
              <w:autoSpaceDN/>
              <w:adjustRightInd/>
              <w:jc w:val="center"/>
              <w:rPr>
                <w:b/>
                <w:bCs/>
                <w:color w:val="000000"/>
              </w:rPr>
            </w:pPr>
            <w:r w:rsidRPr="00F91853">
              <w:rPr>
                <w:b/>
                <w:bCs/>
                <w:color w:val="000000"/>
              </w:rPr>
              <w:t>393,060</w:t>
            </w:r>
          </w:p>
        </w:tc>
        <w:tc>
          <w:tcPr>
            <w:tcW w:w="1228" w:type="dxa"/>
            <w:tcBorders>
              <w:top w:val="nil"/>
              <w:left w:val="nil"/>
              <w:bottom w:val="single" w:sz="4" w:space="0" w:color="auto"/>
              <w:right w:val="single" w:sz="4" w:space="0" w:color="auto"/>
            </w:tcBorders>
            <w:shd w:val="clear" w:color="auto" w:fill="auto"/>
            <w:vAlign w:val="center"/>
            <w:hideMark/>
          </w:tcPr>
          <w:p w:rsidR="00F91853" w:rsidRPr="00F91853" w:rsidP="00F91853" w14:paraId="02E4128A" w14:textId="22BA0F69">
            <w:pPr>
              <w:autoSpaceDE/>
              <w:autoSpaceDN/>
              <w:adjustRightInd/>
              <w:jc w:val="center"/>
              <w:rPr>
                <w:b/>
                <w:bCs/>
                <w:color w:val="000000"/>
              </w:rPr>
            </w:pPr>
            <w:r w:rsidRPr="00F91853">
              <w:rPr>
                <w:b/>
                <w:bCs/>
                <w:color w:val="000000"/>
              </w:rPr>
              <w:t> </w:t>
            </w:r>
            <w:r w:rsidR="005F364D">
              <w:rPr>
                <w:b/>
                <w:bCs/>
                <w:color w:val="000000"/>
              </w:rPr>
              <w:t>1.14</w:t>
            </w:r>
          </w:p>
        </w:tc>
        <w:tc>
          <w:tcPr>
            <w:tcW w:w="1094" w:type="dxa"/>
            <w:tcBorders>
              <w:top w:val="nil"/>
              <w:left w:val="nil"/>
              <w:bottom w:val="single" w:sz="4" w:space="0" w:color="auto"/>
              <w:right w:val="single" w:sz="4" w:space="0" w:color="auto"/>
            </w:tcBorders>
            <w:shd w:val="clear" w:color="auto" w:fill="auto"/>
            <w:vAlign w:val="center"/>
            <w:hideMark/>
          </w:tcPr>
          <w:p w:rsidR="00F91853" w:rsidRPr="00F91853" w:rsidP="00F91853" w14:paraId="02A7EF36" w14:textId="723AD2DB">
            <w:pPr>
              <w:autoSpaceDE/>
              <w:autoSpaceDN/>
              <w:adjustRightInd/>
              <w:jc w:val="center"/>
              <w:rPr>
                <w:b/>
                <w:bCs/>
                <w:color w:val="000000"/>
              </w:rPr>
            </w:pPr>
            <w:r w:rsidRPr="00F91853">
              <w:rPr>
                <w:b/>
                <w:bCs/>
                <w:color w:val="000000"/>
              </w:rPr>
              <w:t>4</w:t>
            </w:r>
            <w:r w:rsidR="005F364D">
              <w:rPr>
                <w:b/>
                <w:bCs/>
                <w:color w:val="000000"/>
              </w:rPr>
              <w:t>4</w:t>
            </w:r>
            <w:r w:rsidRPr="00F91853">
              <w:rPr>
                <w:b/>
                <w:bCs/>
                <w:color w:val="000000"/>
              </w:rPr>
              <w:t>8,0</w:t>
            </w:r>
            <w:r w:rsidR="005F364D">
              <w:rPr>
                <w:b/>
                <w:bCs/>
                <w:color w:val="000000"/>
              </w:rPr>
              <w:t>88</w:t>
            </w:r>
          </w:p>
        </w:tc>
        <w:tc>
          <w:tcPr>
            <w:tcW w:w="1017" w:type="dxa"/>
            <w:tcBorders>
              <w:top w:val="nil"/>
              <w:left w:val="nil"/>
              <w:bottom w:val="single" w:sz="4" w:space="0" w:color="auto"/>
              <w:right w:val="single" w:sz="4" w:space="0" w:color="auto"/>
            </w:tcBorders>
            <w:shd w:val="clear" w:color="auto" w:fill="auto"/>
            <w:vAlign w:val="center"/>
            <w:hideMark/>
          </w:tcPr>
          <w:p w:rsidR="00F91853" w:rsidRPr="00F91853" w:rsidP="00F91853" w14:paraId="7F908B23" w14:textId="77777777">
            <w:pPr>
              <w:autoSpaceDE/>
              <w:autoSpaceDN/>
              <w:adjustRightInd/>
              <w:jc w:val="center"/>
              <w:rPr>
                <w:b/>
                <w:bCs/>
                <w:color w:val="000000"/>
              </w:rPr>
            </w:pPr>
            <w:r w:rsidRPr="00F91853">
              <w:rPr>
                <w:b/>
                <w:bCs/>
                <w:color w:val="000000"/>
              </w:rPr>
              <w:t> </w:t>
            </w:r>
          </w:p>
        </w:tc>
        <w:tc>
          <w:tcPr>
            <w:tcW w:w="902" w:type="dxa"/>
            <w:tcBorders>
              <w:top w:val="nil"/>
              <w:left w:val="nil"/>
              <w:bottom w:val="single" w:sz="4" w:space="0" w:color="auto"/>
              <w:right w:val="single" w:sz="4" w:space="0" w:color="auto"/>
            </w:tcBorders>
            <w:shd w:val="clear" w:color="auto" w:fill="auto"/>
            <w:vAlign w:val="center"/>
            <w:hideMark/>
          </w:tcPr>
          <w:p w:rsidR="00F91853" w:rsidRPr="00F91853" w:rsidP="00F91853" w14:paraId="6736A81B" w14:textId="77777777">
            <w:pPr>
              <w:autoSpaceDE/>
              <w:autoSpaceDN/>
              <w:adjustRightInd/>
              <w:jc w:val="center"/>
              <w:rPr>
                <w:b/>
                <w:bCs/>
                <w:color w:val="000000"/>
              </w:rPr>
            </w:pPr>
            <w:r w:rsidRPr="00F91853">
              <w:rPr>
                <w:b/>
                <w:bCs/>
                <w:color w:val="000000"/>
              </w:rPr>
              <w:t>75,178</w:t>
            </w:r>
          </w:p>
        </w:tc>
        <w:tc>
          <w:tcPr>
            <w:tcW w:w="880" w:type="dxa"/>
            <w:tcBorders>
              <w:top w:val="nil"/>
              <w:left w:val="nil"/>
              <w:bottom w:val="single" w:sz="4" w:space="0" w:color="auto"/>
              <w:right w:val="single" w:sz="4" w:space="0" w:color="auto"/>
            </w:tcBorders>
            <w:shd w:val="clear" w:color="auto" w:fill="auto"/>
            <w:vAlign w:val="center"/>
            <w:hideMark/>
          </w:tcPr>
          <w:p w:rsidR="00F91853" w:rsidRPr="00F91853" w:rsidP="00F91853" w14:paraId="36DC09D2" w14:textId="77777777">
            <w:pPr>
              <w:autoSpaceDE/>
              <w:autoSpaceDN/>
              <w:adjustRightInd/>
              <w:jc w:val="center"/>
              <w:rPr>
                <w:b/>
                <w:bCs/>
                <w:color w:val="000000"/>
              </w:rPr>
            </w:pPr>
            <w:r w:rsidRPr="00F91853">
              <w:rPr>
                <w:b/>
                <w:bCs/>
                <w:color w:val="000000"/>
              </w:rPr>
              <w:t> </w:t>
            </w:r>
          </w:p>
        </w:tc>
        <w:tc>
          <w:tcPr>
            <w:tcW w:w="1636" w:type="dxa"/>
            <w:tcBorders>
              <w:top w:val="nil"/>
              <w:left w:val="nil"/>
              <w:bottom w:val="single" w:sz="4" w:space="0" w:color="auto"/>
              <w:right w:val="single" w:sz="8" w:space="0" w:color="auto"/>
            </w:tcBorders>
            <w:shd w:val="clear" w:color="auto" w:fill="auto"/>
            <w:vAlign w:val="center"/>
            <w:hideMark/>
          </w:tcPr>
          <w:p w:rsidR="00F91853" w:rsidRPr="00F91853" w:rsidP="00F91853" w14:paraId="32719A5A" w14:textId="58C0BC96">
            <w:pPr>
              <w:autoSpaceDE/>
              <w:autoSpaceDN/>
              <w:adjustRightInd/>
              <w:jc w:val="center"/>
              <w:rPr>
                <w:b/>
                <w:bCs/>
                <w:color w:val="000000"/>
              </w:rPr>
            </w:pPr>
            <w:r w:rsidRPr="00F91853">
              <w:rPr>
                <w:b/>
                <w:bCs/>
                <w:color w:val="000000"/>
              </w:rPr>
              <w:t xml:space="preserve"> $1,954,628 </w:t>
            </w:r>
          </w:p>
        </w:tc>
      </w:tr>
      <w:tr w14:paraId="47E69B46" w14:textId="77777777" w:rsidTr="00D12A4B">
        <w:tblPrEx>
          <w:tblW w:w="5198" w:type="pct"/>
          <w:tblLook w:val="04A0"/>
        </w:tblPrEx>
        <w:trPr>
          <w:trHeight w:val="1596"/>
        </w:trPr>
        <w:tc>
          <w:tcPr>
            <w:tcW w:w="1647" w:type="dxa"/>
            <w:tcBorders>
              <w:top w:val="nil"/>
              <w:left w:val="single" w:sz="8" w:space="0" w:color="auto"/>
              <w:bottom w:val="single" w:sz="4" w:space="0" w:color="auto"/>
              <w:right w:val="single" w:sz="4" w:space="0" w:color="auto"/>
            </w:tcBorders>
            <w:shd w:val="clear" w:color="auto" w:fill="auto"/>
            <w:vAlign w:val="bottom"/>
            <w:hideMark/>
          </w:tcPr>
          <w:p w:rsidR="00F91853" w:rsidRPr="00F91853" w:rsidP="00F91853" w14:paraId="3A0A5C15" w14:textId="2CDA4EDA">
            <w:pPr>
              <w:autoSpaceDE/>
              <w:autoSpaceDN/>
              <w:adjustRightInd/>
              <w:rPr>
                <w:color w:val="000000"/>
              </w:rPr>
            </w:pPr>
            <w:r w:rsidRPr="00F91853">
              <w:rPr>
                <w:color w:val="000000"/>
              </w:rPr>
              <w:t>Infrastructure, prevention, and</w:t>
            </w:r>
            <w:r w:rsidR="00917F02">
              <w:rPr>
                <w:color w:val="000000"/>
              </w:rPr>
              <w:t xml:space="preserve"> </w:t>
            </w:r>
            <w:r w:rsidRPr="00F91853">
              <w:rPr>
                <w:color w:val="000000"/>
              </w:rPr>
              <w:t>promotion  quarterly</w:t>
            </w:r>
            <w:r w:rsidRPr="00F91853">
              <w:rPr>
                <w:color w:val="000000"/>
              </w:rPr>
              <w:t xml:space="preserve"> record abstraction</w:t>
            </w:r>
          </w:p>
        </w:tc>
        <w:tc>
          <w:tcPr>
            <w:tcW w:w="1306" w:type="dxa"/>
            <w:tcBorders>
              <w:top w:val="nil"/>
              <w:left w:val="nil"/>
              <w:bottom w:val="single" w:sz="4" w:space="0" w:color="auto"/>
              <w:right w:val="single" w:sz="4" w:space="0" w:color="auto"/>
            </w:tcBorders>
            <w:shd w:val="clear" w:color="auto" w:fill="auto"/>
            <w:vAlign w:val="center"/>
            <w:hideMark/>
          </w:tcPr>
          <w:p w:rsidR="00F91853" w:rsidRPr="00F91853" w:rsidP="00F91853" w14:paraId="3A7B6FF7" w14:textId="77777777">
            <w:pPr>
              <w:autoSpaceDE/>
              <w:autoSpaceDN/>
              <w:adjustRightInd/>
              <w:jc w:val="center"/>
              <w:rPr>
                <w:color w:val="000000"/>
              </w:rPr>
            </w:pPr>
            <w:r w:rsidRPr="00F91853">
              <w:rPr>
                <w:color w:val="000000"/>
              </w:rPr>
              <w:t xml:space="preserve">        2,000 </w:t>
            </w:r>
          </w:p>
        </w:tc>
        <w:tc>
          <w:tcPr>
            <w:tcW w:w="1228" w:type="dxa"/>
            <w:tcBorders>
              <w:top w:val="nil"/>
              <w:left w:val="nil"/>
              <w:bottom w:val="single" w:sz="4" w:space="0" w:color="auto"/>
              <w:right w:val="single" w:sz="4" w:space="0" w:color="auto"/>
            </w:tcBorders>
            <w:shd w:val="clear" w:color="auto" w:fill="auto"/>
            <w:vAlign w:val="center"/>
            <w:hideMark/>
          </w:tcPr>
          <w:p w:rsidR="00F91853" w:rsidRPr="00F91853" w:rsidP="00F91853" w14:paraId="2C832482" w14:textId="77777777">
            <w:pPr>
              <w:autoSpaceDE/>
              <w:autoSpaceDN/>
              <w:adjustRightInd/>
              <w:jc w:val="center"/>
              <w:rPr>
                <w:color w:val="000000"/>
              </w:rPr>
            </w:pPr>
            <w:r w:rsidRPr="00F91853">
              <w:rPr>
                <w:color w:val="000000"/>
              </w:rPr>
              <w:t>4</w:t>
            </w:r>
          </w:p>
        </w:tc>
        <w:tc>
          <w:tcPr>
            <w:tcW w:w="1094" w:type="dxa"/>
            <w:tcBorders>
              <w:top w:val="nil"/>
              <w:left w:val="nil"/>
              <w:bottom w:val="single" w:sz="4" w:space="0" w:color="auto"/>
              <w:right w:val="single" w:sz="4" w:space="0" w:color="auto"/>
            </w:tcBorders>
            <w:shd w:val="clear" w:color="auto" w:fill="auto"/>
            <w:vAlign w:val="center"/>
            <w:hideMark/>
          </w:tcPr>
          <w:p w:rsidR="00F91853" w:rsidRPr="00F91853" w:rsidP="00F91853" w14:paraId="3E1C5788" w14:textId="77777777">
            <w:pPr>
              <w:autoSpaceDE/>
              <w:autoSpaceDN/>
              <w:adjustRightInd/>
              <w:jc w:val="center"/>
              <w:rPr>
                <w:color w:val="000000"/>
              </w:rPr>
            </w:pPr>
            <w:r w:rsidRPr="00F91853">
              <w:rPr>
                <w:color w:val="000000"/>
              </w:rPr>
              <w:t>8,000</w:t>
            </w:r>
          </w:p>
        </w:tc>
        <w:tc>
          <w:tcPr>
            <w:tcW w:w="1017" w:type="dxa"/>
            <w:tcBorders>
              <w:top w:val="nil"/>
              <w:left w:val="nil"/>
              <w:bottom w:val="single" w:sz="4" w:space="0" w:color="auto"/>
              <w:right w:val="single" w:sz="4" w:space="0" w:color="auto"/>
            </w:tcBorders>
            <w:shd w:val="clear" w:color="auto" w:fill="auto"/>
            <w:vAlign w:val="center"/>
            <w:hideMark/>
          </w:tcPr>
          <w:p w:rsidR="00F91853" w:rsidRPr="00F91853" w:rsidP="00F91853" w14:paraId="6056E11C" w14:textId="77777777">
            <w:pPr>
              <w:autoSpaceDE/>
              <w:autoSpaceDN/>
              <w:adjustRightInd/>
              <w:jc w:val="center"/>
              <w:rPr>
                <w:color w:val="000000"/>
              </w:rPr>
            </w:pPr>
            <w:r w:rsidRPr="00F91853">
              <w:rPr>
                <w:color w:val="000000"/>
              </w:rPr>
              <w:t>8</w:t>
            </w:r>
          </w:p>
        </w:tc>
        <w:tc>
          <w:tcPr>
            <w:tcW w:w="902" w:type="dxa"/>
            <w:tcBorders>
              <w:top w:val="nil"/>
              <w:left w:val="nil"/>
              <w:bottom w:val="single" w:sz="4" w:space="0" w:color="auto"/>
              <w:right w:val="single" w:sz="4" w:space="0" w:color="auto"/>
            </w:tcBorders>
            <w:shd w:val="clear" w:color="auto" w:fill="auto"/>
            <w:vAlign w:val="center"/>
            <w:hideMark/>
          </w:tcPr>
          <w:p w:rsidR="00F91853" w:rsidRPr="00F91853" w:rsidP="00F91853" w14:paraId="0006CDCF" w14:textId="77777777">
            <w:pPr>
              <w:autoSpaceDE/>
              <w:autoSpaceDN/>
              <w:adjustRightInd/>
              <w:jc w:val="center"/>
              <w:rPr>
                <w:color w:val="000000"/>
              </w:rPr>
            </w:pPr>
            <w:r w:rsidRPr="00F91853">
              <w:rPr>
                <w:color w:val="000000"/>
              </w:rPr>
              <w:t>64,000</w:t>
            </w:r>
          </w:p>
        </w:tc>
        <w:tc>
          <w:tcPr>
            <w:tcW w:w="880" w:type="dxa"/>
            <w:tcBorders>
              <w:top w:val="nil"/>
              <w:left w:val="nil"/>
              <w:bottom w:val="single" w:sz="4" w:space="0" w:color="auto"/>
              <w:right w:val="single" w:sz="4" w:space="0" w:color="auto"/>
            </w:tcBorders>
            <w:shd w:val="clear" w:color="auto" w:fill="auto"/>
            <w:vAlign w:val="center"/>
            <w:hideMark/>
          </w:tcPr>
          <w:p w:rsidR="00F91853" w:rsidRPr="00F91853" w:rsidP="00F91853" w14:paraId="2012417D" w14:textId="18F21AEE">
            <w:pPr>
              <w:autoSpaceDE/>
              <w:autoSpaceDN/>
              <w:adjustRightInd/>
              <w:jc w:val="center"/>
              <w:rPr>
                <w:color w:val="000000"/>
              </w:rPr>
            </w:pPr>
            <w:r w:rsidRPr="00F91853">
              <w:rPr>
                <w:color w:val="000000"/>
              </w:rPr>
              <w:t xml:space="preserve"> $ 26.00 </w:t>
            </w:r>
          </w:p>
        </w:tc>
        <w:tc>
          <w:tcPr>
            <w:tcW w:w="1636" w:type="dxa"/>
            <w:tcBorders>
              <w:top w:val="nil"/>
              <w:left w:val="nil"/>
              <w:bottom w:val="single" w:sz="4" w:space="0" w:color="auto"/>
              <w:right w:val="single" w:sz="8" w:space="0" w:color="auto"/>
            </w:tcBorders>
            <w:shd w:val="clear" w:color="auto" w:fill="auto"/>
            <w:vAlign w:val="center"/>
            <w:hideMark/>
          </w:tcPr>
          <w:p w:rsidR="00F91853" w:rsidRPr="00F91853" w:rsidP="00F91853" w14:paraId="7767103B" w14:textId="77BF7DEC">
            <w:pPr>
              <w:autoSpaceDE/>
              <w:autoSpaceDN/>
              <w:adjustRightInd/>
              <w:jc w:val="center"/>
              <w:rPr>
                <w:color w:val="000000"/>
              </w:rPr>
            </w:pPr>
            <w:r w:rsidRPr="00F91853">
              <w:rPr>
                <w:color w:val="000000"/>
              </w:rPr>
              <w:t xml:space="preserve"> $1,664,000 </w:t>
            </w:r>
          </w:p>
        </w:tc>
      </w:tr>
      <w:tr w14:paraId="114E77AC" w14:textId="77777777" w:rsidTr="00D12A4B">
        <w:tblPrEx>
          <w:tblW w:w="5198" w:type="pct"/>
          <w:tblLook w:val="04A0"/>
        </w:tblPrEx>
        <w:trPr>
          <w:trHeight w:val="300"/>
        </w:trPr>
        <w:tc>
          <w:tcPr>
            <w:tcW w:w="1647" w:type="dxa"/>
            <w:tcBorders>
              <w:top w:val="nil"/>
              <w:left w:val="single" w:sz="8" w:space="0" w:color="auto"/>
              <w:bottom w:val="single" w:sz="8" w:space="0" w:color="auto"/>
              <w:right w:val="single" w:sz="4" w:space="0" w:color="auto"/>
            </w:tcBorders>
            <w:shd w:val="clear" w:color="auto" w:fill="auto"/>
            <w:vAlign w:val="center"/>
            <w:hideMark/>
          </w:tcPr>
          <w:p w:rsidR="00F91853" w:rsidRPr="00F91853" w:rsidP="00F91853" w14:paraId="74DF9F5F" w14:textId="77777777">
            <w:pPr>
              <w:autoSpaceDE/>
              <w:autoSpaceDN/>
              <w:adjustRightInd/>
              <w:rPr>
                <w:b/>
                <w:bCs/>
                <w:color w:val="000000"/>
              </w:rPr>
            </w:pPr>
            <w:r w:rsidRPr="00F91853">
              <w:rPr>
                <w:b/>
                <w:bCs/>
                <w:color w:val="000000"/>
              </w:rPr>
              <w:t>Subtotal</w:t>
            </w:r>
          </w:p>
        </w:tc>
        <w:tc>
          <w:tcPr>
            <w:tcW w:w="1306" w:type="dxa"/>
            <w:tcBorders>
              <w:top w:val="nil"/>
              <w:left w:val="nil"/>
              <w:bottom w:val="single" w:sz="8" w:space="0" w:color="auto"/>
              <w:right w:val="single" w:sz="4" w:space="0" w:color="auto"/>
            </w:tcBorders>
            <w:shd w:val="clear" w:color="auto" w:fill="auto"/>
            <w:vAlign w:val="center"/>
            <w:hideMark/>
          </w:tcPr>
          <w:p w:rsidR="00F91853" w:rsidRPr="00F91853" w:rsidP="00F91853" w14:paraId="41F202A3" w14:textId="77777777">
            <w:pPr>
              <w:autoSpaceDE/>
              <w:autoSpaceDN/>
              <w:adjustRightInd/>
              <w:jc w:val="center"/>
              <w:rPr>
                <w:b/>
                <w:bCs/>
                <w:color w:val="000000"/>
              </w:rPr>
            </w:pPr>
            <w:r w:rsidRPr="00F91853">
              <w:rPr>
                <w:b/>
                <w:bCs/>
                <w:color w:val="000000"/>
              </w:rPr>
              <w:t>2,000</w:t>
            </w:r>
          </w:p>
        </w:tc>
        <w:tc>
          <w:tcPr>
            <w:tcW w:w="1228" w:type="dxa"/>
            <w:tcBorders>
              <w:top w:val="nil"/>
              <w:left w:val="nil"/>
              <w:bottom w:val="single" w:sz="8" w:space="0" w:color="auto"/>
              <w:right w:val="single" w:sz="4" w:space="0" w:color="auto"/>
            </w:tcBorders>
            <w:shd w:val="clear" w:color="auto" w:fill="auto"/>
            <w:vAlign w:val="center"/>
            <w:hideMark/>
          </w:tcPr>
          <w:p w:rsidR="00F91853" w:rsidRPr="00F91853" w:rsidP="00F91853" w14:paraId="7C5BFC41" w14:textId="77777777">
            <w:pPr>
              <w:autoSpaceDE/>
              <w:autoSpaceDN/>
              <w:adjustRightInd/>
              <w:jc w:val="center"/>
              <w:rPr>
                <w:b/>
                <w:bCs/>
                <w:color w:val="000000"/>
              </w:rPr>
            </w:pPr>
            <w:r w:rsidRPr="00F91853">
              <w:rPr>
                <w:b/>
                <w:bCs/>
                <w:color w:val="000000"/>
              </w:rPr>
              <w:t> </w:t>
            </w:r>
          </w:p>
        </w:tc>
        <w:tc>
          <w:tcPr>
            <w:tcW w:w="1094" w:type="dxa"/>
            <w:tcBorders>
              <w:top w:val="nil"/>
              <w:left w:val="nil"/>
              <w:bottom w:val="single" w:sz="8" w:space="0" w:color="auto"/>
              <w:right w:val="single" w:sz="4" w:space="0" w:color="auto"/>
            </w:tcBorders>
            <w:shd w:val="clear" w:color="auto" w:fill="auto"/>
            <w:vAlign w:val="center"/>
            <w:hideMark/>
          </w:tcPr>
          <w:p w:rsidR="00F91853" w:rsidRPr="00F91853" w:rsidP="00F91853" w14:paraId="6FE95008" w14:textId="77777777">
            <w:pPr>
              <w:autoSpaceDE/>
              <w:autoSpaceDN/>
              <w:adjustRightInd/>
              <w:jc w:val="center"/>
              <w:rPr>
                <w:b/>
                <w:bCs/>
                <w:color w:val="000000"/>
              </w:rPr>
            </w:pPr>
            <w:r w:rsidRPr="00F91853">
              <w:rPr>
                <w:b/>
                <w:bCs/>
                <w:color w:val="000000"/>
              </w:rPr>
              <w:t>8,000</w:t>
            </w:r>
          </w:p>
        </w:tc>
        <w:tc>
          <w:tcPr>
            <w:tcW w:w="1017" w:type="dxa"/>
            <w:tcBorders>
              <w:top w:val="nil"/>
              <w:left w:val="nil"/>
              <w:bottom w:val="single" w:sz="8" w:space="0" w:color="auto"/>
              <w:right w:val="single" w:sz="4" w:space="0" w:color="auto"/>
            </w:tcBorders>
            <w:shd w:val="clear" w:color="auto" w:fill="auto"/>
            <w:vAlign w:val="center"/>
            <w:hideMark/>
          </w:tcPr>
          <w:p w:rsidR="00F91853" w:rsidRPr="00F91853" w:rsidP="00F91853" w14:paraId="64B03E03" w14:textId="77777777">
            <w:pPr>
              <w:autoSpaceDE/>
              <w:autoSpaceDN/>
              <w:adjustRightInd/>
              <w:jc w:val="center"/>
              <w:rPr>
                <w:b/>
                <w:bCs/>
                <w:color w:val="000000"/>
              </w:rPr>
            </w:pPr>
            <w:r w:rsidRPr="00F91853">
              <w:rPr>
                <w:b/>
                <w:bCs/>
                <w:color w:val="000000"/>
              </w:rPr>
              <w:t> </w:t>
            </w:r>
          </w:p>
        </w:tc>
        <w:tc>
          <w:tcPr>
            <w:tcW w:w="902" w:type="dxa"/>
            <w:tcBorders>
              <w:top w:val="nil"/>
              <w:left w:val="nil"/>
              <w:bottom w:val="single" w:sz="8" w:space="0" w:color="auto"/>
              <w:right w:val="single" w:sz="4" w:space="0" w:color="auto"/>
            </w:tcBorders>
            <w:shd w:val="clear" w:color="auto" w:fill="auto"/>
            <w:vAlign w:val="center"/>
            <w:hideMark/>
          </w:tcPr>
          <w:p w:rsidR="00F91853" w:rsidRPr="00F91853" w:rsidP="00F91853" w14:paraId="5847E3B6" w14:textId="77777777">
            <w:pPr>
              <w:autoSpaceDE/>
              <w:autoSpaceDN/>
              <w:adjustRightInd/>
              <w:jc w:val="center"/>
              <w:rPr>
                <w:b/>
                <w:bCs/>
                <w:color w:val="000000"/>
              </w:rPr>
            </w:pPr>
            <w:r w:rsidRPr="00F91853">
              <w:rPr>
                <w:b/>
                <w:bCs/>
                <w:color w:val="000000"/>
              </w:rPr>
              <w:t>64,000</w:t>
            </w:r>
          </w:p>
        </w:tc>
        <w:tc>
          <w:tcPr>
            <w:tcW w:w="880" w:type="dxa"/>
            <w:tcBorders>
              <w:top w:val="nil"/>
              <w:left w:val="nil"/>
              <w:bottom w:val="single" w:sz="8" w:space="0" w:color="auto"/>
              <w:right w:val="single" w:sz="4" w:space="0" w:color="auto"/>
            </w:tcBorders>
            <w:shd w:val="clear" w:color="auto" w:fill="auto"/>
            <w:vAlign w:val="center"/>
            <w:hideMark/>
          </w:tcPr>
          <w:p w:rsidR="00F91853" w:rsidRPr="00F91853" w:rsidP="00F91853" w14:paraId="58F7A92A" w14:textId="77777777">
            <w:pPr>
              <w:autoSpaceDE/>
              <w:autoSpaceDN/>
              <w:adjustRightInd/>
              <w:jc w:val="center"/>
              <w:rPr>
                <w:b/>
                <w:bCs/>
                <w:color w:val="000000"/>
              </w:rPr>
            </w:pPr>
            <w:r w:rsidRPr="00F91853">
              <w:rPr>
                <w:b/>
                <w:bCs/>
                <w:color w:val="000000"/>
              </w:rPr>
              <w:t> </w:t>
            </w:r>
          </w:p>
        </w:tc>
        <w:tc>
          <w:tcPr>
            <w:tcW w:w="1636" w:type="dxa"/>
            <w:tcBorders>
              <w:top w:val="nil"/>
              <w:left w:val="nil"/>
              <w:bottom w:val="single" w:sz="8" w:space="0" w:color="auto"/>
              <w:right w:val="single" w:sz="8" w:space="0" w:color="auto"/>
            </w:tcBorders>
            <w:shd w:val="clear" w:color="auto" w:fill="auto"/>
            <w:vAlign w:val="center"/>
            <w:hideMark/>
          </w:tcPr>
          <w:p w:rsidR="00F91853" w:rsidRPr="00F91853" w:rsidP="00F91853" w14:paraId="30218740" w14:textId="4EE85151">
            <w:pPr>
              <w:autoSpaceDE/>
              <w:autoSpaceDN/>
              <w:adjustRightInd/>
              <w:jc w:val="center"/>
              <w:rPr>
                <w:b/>
                <w:bCs/>
                <w:color w:val="000000"/>
              </w:rPr>
            </w:pPr>
            <w:r w:rsidRPr="00F91853">
              <w:rPr>
                <w:b/>
                <w:bCs/>
                <w:color w:val="000000"/>
              </w:rPr>
              <w:t xml:space="preserve"> $1,664,000 </w:t>
            </w:r>
          </w:p>
        </w:tc>
      </w:tr>
      <w:tr w14:paraId="451F7694" w14:textId="77777777" w:rsidTr="00D12A4B">
        <w:tblPrEx>
          <w:tblW w:w="5198" w:type="pct"/>
          <w:tblLook w:val="04A0"/>
        </w:tblPrEx>
        <w:trPr>
          <w:trHeight w:val="300"/>
        </w:trPr>
        <w:tc>
          <w:tcPr>
            <w:tcW w:w="1647"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F91853" w:rsidRPr="00F91853" w:rsidP="00F91853" w14:paraId="0A51B7A9" w14:textId="77777777">
            <w:pPr>
              <w:autoSpaceDE/>
              <w:autoSpaceDN/>
              <w:adjustRightInd/>
              <w:rPr>
                <w:b/>
                <w:bCs/>
                <w:color w:val="000000"/>
              </w:rPr>
            </w:pPr>
            <w:r w:rsidRPr="00F91853">
              <w:rPr>
                <w:b/>
                <w:bCs/>
                <w:color w:val="000000"/>
              </w:rPr>
              <w:t>Total</w:t>
            </w:r>
          </w:p>
        </w:tc>
        <w:tc>
          <w:tcPr>
            <w:tcW w:w="1306" w:type="dxa"/>
            <w:tcBorders>
              <w:top w:val="single" w:sz="4" w:space="0" w:color="auto"/>
              <w:left w:val="nil"/>
              <w:bottom w:val="single" w:sz="8" w:space="0" w:color="auto"/>
              <w:right w:val="single" w:sz="4" w:space="0" w:color="auto"/>
            </w:tcBorders>
            <w:shd w:val="clear" w:color="auto" w:fill="auto"/>
            <w:vAlign w:val="center"/>
            <w:hideMark/>
          </w:tcPr>
          <w:p w:rsidR="00F91853" w:rsidRPr="00F91853" w:rsidP="00F91853" w14:paraId="7BFF8E61" w14:textId="77777777">
            <w:pPr>
              <w:autoSpaceDE/>
              <w:autoSpaceDN/>
              <w:adjustRightInd/>
              <w:jc w:val="center"/>
              <w:rPr>
                <w:b/>
                <w:bCs/>
                <w:color w:val="000000"/>
              </w:rPr>
            </w:pPr>
            <w:r w:rsidRPr="00F91853">
              <w:rPr>
                <w:b/>
                <w:bCs/>
                <w:color w:val="000000"/>
              </w:rPr>
              <w:t>395,060</w:t>
            </w:r>
          </w:p>
        </w:tc>
        <w:tc>
          <w:tcPr>
            <w:tcW w:w="1228" w:type="dxa"/>
            <w:tcBorders>
              <w:top w:val="single" w:sz="4" w:space="0" w:color="auto"/>
              <w:left w:val="nil"/>
              <w:bottom w:val="single" w:sz="8" w:space="0" w:color="auto"/>
              <w:right w:val="single" w:sz="4" w:space="0" w:color="auto"/>
            </w:tcBorders>
            <w:shd w:val="clear" w:color="auto" w:fill="auto"/>
            <w:vAlign w:val="center"/>
            <w:hideMark/>
          </w:tcPr>
          <w:p w:rsidR="00F91853" w:rsidRPr="00F91853" w:rsidP="00F91853" w14:paraId="16062417" w14:textId="77777777">
            <w:pPr>
              <w:autoSpaceDE/>
              <w:autoSpaceDN/>
              <w:adjustRightInd/>
              <w:jc w:val="center"/>
              <w:rPr>
                <w:b/>
                <w:bCs/>
                <w:color w:val="000000"/>
              </w:rPr>
            </w:pPr>
            <w:r w:rsidRPr="00F91853">
              <w:rPr>
                <w:b/>
                <w:bCs/>
                <w:color w:val="000000"/>
              </w:rPr>
              <w:t> </w:t>
            </w:r>
          </w:p>
        </w:tc>
        <w:tc>
          <w:tcPr>
            <w:tcW w:w="1094" w:type="dxa"/>
            <w:tcBorders>
              <w:top w:val="single" w:sz="4" w:space="0" w:color="auto"/>
              <w:left w:val="nil"/>
              <w:bottom w:val="single" w:sz="8" w:space="0" w:color="auto"/>
              <w:right w:val="single" w:sz="4" w:space="0" w:color="auto"/>
            </w:tcBorders>
            <w:shd w:val="clear" w:color="auto" w:fill="auto"/>
            <w:vAlign w:val="center"/>
            <w:hideMark/>
          </w:tcPr>
          <w:p w:rsidR="00F91853" w:rsidRPr="005F364D" w:rsidP="00F91853" w14:paraId="04A33BC9" w14:textId="01337C54">
            <w:pPr>
              <w:autoSpaceDE/>
              <w:autoSpaceDN/>
              <w:adjustRightInd/>
              <w:jc w:val="center"/>
              <w:rPr>
                <w:b/>
                <w:bCs/>
                <w:color w:val="FF0000"/>
              </w:rPr>
            </w:pPr>
            <w:r w:rsidRPr="005F364D">
              <w:rPr>
                <w:b/>
                <w:bCs/>
                <w:color w:val="FF0000"/>
              </w:rPr>
              <w:t>456,088</w:t>
            </w:r>
          </w:p>
        </w:tc>
        <w:tc>
          <w:tcPr>
            <w:tcW w:w="1017" w:type="dxa"/>
            <w:tcBorders>
              <w:top w:val="single" w:sz="4" w:space="0" w:color="auto"/>
              <w:left w:val="nil"/>
              <w:bottom w:val="single" w:sz="8" w:space="0" w:color="auto"/>
              <w:right w:val="single" w:sz="4" w:space="0" w:color="auto"/>
            </w:tcBorders>
            <w:shd w:val="clear" w:color="auto" w:fill="auto"/>
            <w:vAlign w:val="center"/>
            <w:hideMark/>
          </w:tcPr>
          <w:p w:rsidR="00F91853" w:rsidRPr="00F91853" w:rsidP="00F91853" w14:paraId="05392EB1" w14:textId="77777777">
            <w:pPr>
              <w:autoSpaceDE/>
              <w:autoSpaceDN/>
              <w:adjustRightInd/>
              <w:jc w:val="center"/>
              <w:rPr>
                <w:b/>
                <w:bCs/>
                <w:color w:val="000000"/>
              </w:rPr>
            </w:pPr>
            <w:r w:rsidRPr="00F91853">
              <w:rPr>
                <w:b/>
                <w:bCs/>
                <w:color w:val="000000"/>
              </w:rPr>
              <w:t> </w:t>
            </w:r>
          </w:p>
        </w:tc>
        <w:tc>
          <w:tcPr>
            <w:tcW w:w="902" w:type="dxa"/>
            <w:tcBorders>
              <w:top w:val="single" w:sz="4" w:space="0" w:color="auto"/>
              <w:left w:val="nil"/>
              <w:bottom w:val="single" w:sz="8" w:space="0" w:color="auto"/>
              <w:right w:val="single" w:sz="4" w:space="0" w:color="auto"/>
            </w:tcBorders>
            <w:shd w:val="clear" w:color="auto" w:fill="auto"/>
            <w:vAlign w:val="center"/>
            <w:hideMark/>
          </w:tcPr>
          <w:p w:rsidR="00F91853" w:rsidRPr="00F91853" w:rsidP="00F91853" w14:paraId="7DC0F744" w14:textId="77777777">
            <w:pPr>
              <w:autoSpaceDE/>
              <w:autoSpaceDN/>
              <w:adjustRightInd/>
              <w:jc w:val="center"/>
              <w:rPr>
                <w:b/>
                <w:bCs/>
                <w:color w:val="000000"/>
              </w:rPr>
            </w:pPr>
            <w:r w:rsidRPr="005F364D">
              <w:rPr>
                <w:b/>
                <w:bCs/>
                <w:color w:val="FF0000"/>
              </w:rPr>
              <w:t>139,178</w:t>
            </w:r>
          </w:p>
        </w:tc>
        <w:tc>
          <w:tcPr>
            <w:tcW w:w="880" w:type="dxa"/>
            <w:tcBorders>
              <w:top w:val="single" w:sz="4" w:space="0" w:color="auto"/>
              <w:left w:val="nil"/>
              <w:bottom w:val="single" w:sz="8" w:space="0" w:color="auto"/>
              <w:right w:val="single" w:sz="4" w:space="0" w:color="auto"/>
            </w:tcBorders>
            <w:shd w:val="clear" w:color="auto" w:fill="auto"/>
            <w:vAlign w:val="center"/>
            <w:hideMark/>
          </w:tcPr>
          <w:p w:rsidR="00F91853" w:rsidRPr="00F91853" w:rsidP="00F91853" w14:paraId="6EDAEA08" w14:textId="77777777">
            <w:pPr>
              <w:autoSpaceDE/>
              <w:autoSpaceDN/>
              <w:adjustRightInd/>
              <w:jc w:val="center"/>
              <w:rPr>
                <w:b/>
                <w:bCs/>
                <w:color w:val="000000"/>
              </w:rPr>
            </w:pPr>
            <w:r w:rsidRPr="00F91853">
              <w:rPr>
                <w:b/>
                <w:bCs/>
                <w:color w:val="000000"/>
              </w:rPr>
              <w:t> </w:t>
            </w:r>
          </w:p>
        </w:tc>
        <w:tc>
          <w:tcPr>
            <w:tcW w:w="1636" w:type="dxa"/>
            <w:tcBorders>
              <w:top w:val="single" w:sz="4" w:space="0" w:color="auto"/>
              <w:left w:val="nil"/>
              <w:bottom w:val="single" w:sz="8" w:space="0" w:color="auto"/>
              <w:right w:val="single" w:sz="4" w:space="0" w:color="auto"/>
            </w:tcBorders>
            <w:shd w:val="clear" w:color="auto" w:fill="auto"/>
            <w:vAlign w:val="center"/>
            <w:hideMark/>
          </w:tcPr>
          <w:p w:rsidR="00F91853" w:rsidRPr="00F91853" w:rsidP="00F91853" w14:paraId="5F511856" w14:textId="10691ED1">
            <w:pPr>
              <w:autoSpaceDE/>
              <w:autoSpaceDN/>
              <w:adjustRightInd/>
              <w:jc w:val="center"/>
              <w:rPr>
                <w:b/>
                <w:bCs/>
                <w:color w:val="000000"/>
              </w:rPr>
            </w:pPr>
            <w:r w:rsidRPr="00F91853">
              <w:rPr>
                <w:b/>
                <w:bCs/>
                <w:color w:val="000000"/>
              </w:rPr>
              <w:t xml:space="preserve"> $3,618,628 </w:t>
            </w:r>
          </w:p>
        </w:tc>
      </w:tr>
    </w:tbl>
    <w:p w:rsidR="00F91853" w:rsidP="00437689" w14:paraId="2D8CF52A" w14:textId="77777777">
      <w:pPr>
        <w:spacing w:after="120"/>
        <w:rPr>
          <w:b/>
          <w:sz w:val="24"/>
          <w:szCs w:val="24"/>
        </w:rPr>
      </w:pPr>
    </w:p>
    <w:p w:rsidR="0060743B" w:rsidP="006B355B" w14:paraId="654F3ABB" w14:textId="43D50374">
      <w:pPr>
        <w:outlineLvl w:val="0"/>
        <w:rPr>
          <w:b/>
          <w:bCs/>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separate"/>
      </w:r>
      <w:r>
        <w:rPr>
          <w:sz w:val="24"/>
          <w:szCs w:val="24"/>
          <w:lang w:val="en-CA"/>
        </w:rPr>
        <w:fldChar w:fldCharType="end"/>
      </w:r>
      <w:r>
        <w:rPr>
          <w:b/>
          <w:bCs/>
          <w:sz w:val="24"/>
          <w:szCs w:val="24"/>
        </w:rPr>
        <w:t>A1</w:t>
      </w:r>
      <w:r w:rsidR="00ED0425">
        <w:rPr>
          <w:b/>
          <w:bCs/>
          <w:sz w:val="24"/>
          <w:szCs w:val="24"/>
        </w:rPr>
        <w:t>3</w:t>
      </w:r>
      <w:r w:rsidR="009B1D0D">
        <w:rPr>
          <w:b/>
          <w:bCs/>
          <w:sz w:val="24"/>
          <w:szCs w:val="24"/>
        </w:rPr>
        <w:t>.</w:t>
      </w:r>
      <w:r>
        <w:rPr>
          <w:b/>
          <w:bCs/>
          <w:sz w:val="24"/>
          <w:szCs w:val="24"/>
        </w:rPr>
        <w:tab/>
        <w:t>Estimates of Annualized Cost Burden to Respondents</w:t>
      </w:r>
    </w:p>
    <w:p w:rsidR="0060743B" w:rsidP="006B355B" w14:paraId="2B8D004F" w14:textId="77777777">
      <w:pPr>
        <w:rPr>
          <w:color w:val="FF0000"/>
          <w:sz w:val="24"/>
          <w:szCs w:val="24"/>
        </w:rPr>
      </w:pPr>
    </w:p>
    <w:p w:rsidR="0060743B" w:rsidP="00380260" w14:paraId="5B51B183" w14:textId="77777777">
      <w:pPr>
        <w:rPr>
          <w:sz w:val="24"/>
          <w:szCs w:val="24"/>
        </w:rPr>
      </w:pPr>
      <w:r>
        <w:rPr>
          <w:sz w:val="24"/>
          <w:szCs w:val="24"/>
        </w:rPr>
        <w:t>There will be no capital, start-up, operation, maintenance, nor purchase costs incurred by the mental health programs participating in this CMHS data collection, or by consumers receiving CMHS-funded treatment services.</w:t>
      </w:r>
    </w:p>
    <w:p w:rsidR="0060743B" w:rsidP="006B355B" w14:paraId="6813CE1F" w14:textId="77777777">
      <w:pPr>
        <w:rPr>
          <w:b/>
          <w:bCs/>
          <w:sz w:val="24"/>
          <w:szCs w:val="24"/>
        </w:rPr>
      </w:pPr>
    </w:p>
    <w:p w:rsidR="0060743B" w:rsidP="006B355B" w14:paraId="5AD76BCD" w14:textId="32A2ED29">
      <w:pPr>
        <w:rPr>
          <w:color w:val="FF0000"/>
          <w:sz w:val="24"/>
          <w:szCs w:val="24"/>
        </w:rPr>
      </w:pPr>
      <w:r>
        <w:rPr>
          <w:b/>
          <w:bCs/>
          <w:sz w:val="24"/>
          <w:szCs w:val="24"/>
        </w:rPr>
        <w:t>A</w:t>
      </w:r>
      <w:r>
        <w:rPr>
          <w:b/>
          <w:bCs/>
          <w:sz w:val="24"/>
          <w:szCs w:val="24"/>
        </w:rPr>
        <w:t>1</w:t>
      </w:r>
      <w:r w:rsidR="00ED0425">
        <w:rPr>
          <w:b/>
          <w:bCs/>
          <w:sz w:val="24"/>
          <w:szCs w:val="24"/>
        </w:rPr>
        <w:t>4</w:t>
      </w:r>
      <w:r>
        <w:rPr>
          <w:b/>
          <w:bCs/>
          <w:sz w:val="24"/>
          <w:szCs w:val="24"/>
        </w:rPr>
        <w:t>.</w:t>
      </w:r>
      <w:r>
        <w:rPr>
          <w:b/>
          <w:bCs/>
          <w:sz w:val="24"/>
          <w:szCs w:val="24"/>
        </w:rPr>
        <w:tab/>
        <w:t xml:space="preserve">Estimates of Annualized Cost to the Government   </w:t>
      </w:r>
    </w:p>
    <w:p w:rsidR="0060743B" w:rsidP="006B355B" w14:paraId="154F90EF" w14:textId="77777777">
      <w:pPr>
        <w:rPr>
          <w:sz w:val="24"/>
          <w:szCs w:val="24"/>
        </w:rPr>
      </w:pPr>
    </w:p>
    <w:p w:rsidR="00F152F2" w:rsidRPr="00F152F2" w:rsidP="000B0B5A" w14:paraId="34EE6266" w14:textId="1CC41BBF">
      <w:pPr>
        <w:spacing w:after="120"/>
        <w:rPr>
          <w:sz w:val="24"/>
          <w:szCs w:val="24"/>
        </w:rPr>
      </w:pPr>
      <w:r w:rsidRPr="00F152F2">
        <w:rPr>
          <w:sz w:val="24"/>
          <w:szCs w:val="24"/>
        </w:rPr>
        <w:t>The principal additional cost to the government for this project is the cost of a contract to collect the data from the various programs and to conduct analyses</w:t>
      </w:r>
      <w:r w:rsidR="00606E55">
        <w:rPr>
          <w:sz w:val="24"/>
          <w:szCs w:val="24"/>
        </w:rPr>
        <w:t>,</w:t>
      </w:r>
      <w:r w:rsidRPr="00F152F2">
        <w:rPr>
          <w:sz w:val="24"/>
          <w:szCs w:val="24"/>
        </w:rPr>
        <w:t xml:space="preserve"> which generate routine reports from the data collected</w:t>
      </w:r>
      <w:r w:rsidRPr="00F152F2" w:rsidR="0016247C">
        <w:rPr>
          <w:sz w:val="24"/>
          <w:szCs w:val="24"/>
        </w:rPr>
        <w:t xml:space="preserve">. </w:t>
      </w:r>
      <w:r w:rsidR="006F0313">
        <w:rPr>
          <w:sz w:val="24"/>
          <w:szCs w:val="24"/>
        </w:rPr>
        <w:t xml:space="preserve">For NOMS, the </w:t>
      </w:r>
      <w:r w:rsidRPr="00F152F2">
        <w:rPr>
          <w:sz w:val="24"/>
          <w:szCs w:val="24"/>
        </w:rPr>
        <w:t xml:space="preserve">reports examine baseline characteristics as well as the changes between baseline, discharge, and </w:t>
      </w:r>
      <w:r w:rsidR="007035B2">
        <w:rPr>
          <w:sz w:val="24"/>
          <w:szCs w:val="24"/>
        </w:rPr>
        <w:t>each of the follow-up periods</w:t>
      </w:r>
      <w:r w:rsidR="0016247C">
        <w:rPr>
          <w:sz w:val="24"/>
          <w:szCs w:val="24"/>
        </w:rPr>
        <w:t xml:space="preserve">.  </w:t>
      </w:r>
      <w:r w:rsidR="006F0313">
        <w:rPr>
          <w:sz w:val="24"/>
          <w:szCs w:val="24"/>
        </w:rPr>
        <w:t xml:space="preserve">For IPP, the reports provide </w:t>
      </w:r>
      <w:r w:rsidR="00B75FEA">
        <w:rPr>
          <w:sz w:val="24"/>
          <w:szCs w:val="24"/>
        </w:rPr>
        <w:t xml:space="preserve">both the quarterly </w:t>
      </w:r>
      <w:r w:rsidR="006F0313">
        <w:rPr>
          <w:sz w:val="24"/>
          <w:szCs w:val="24"/>
        </w:rPr>
        <w:t>number</w:t>
      </w:r>
      <w:r w:rsidR="00B75FEA">
        <w:rPr>
          <w:sz w:val="24"/>
          <w:szCs w:val="24"/>
        </w:rPr>
        <w:t>s reported as well as the result descriptions narrative data.</w:t>
      </w:r>
      <w:r w:rsidR="006F0313">
        <w:rPr>
          <w:sz w:val="24"/>
          <w:szCs w:val="24"/>
        </w:rPr>
        <w:t xml:space="preserve"> </w:t>
      </w:r>
    </w:p>
    <w:p w:rsidR="00F152F2" w:rsidP="000B0B5A" w14:paraId="0B6C0416" w14:textId="642D9E5A">
      <w:pPr>
        <w:spacing w:after="120"/>
        <w:rPr>
          <w:sz w:val="24"/>
          <w:szCs w:val="24"/>
        </w:rPr>
      </w:pPr>
      <w:r w:rsidRPr="006E1CEC">
        <w:rPr>
          <w:sz w:val="24"/>
          <w:szCs w:val="24"/>
        </w:rPr>
        <w:t>The estimated annualized cost for a contract for the GPRA mandate is $</w:t>
      </w:r>
      <w:r w:rsidRPr="006E1CEC" w:rsidR="000D0AC2">
        <w:rPr>
          <w:sz w:val="24"/>
          <w:szCs w:val="24"/>
        </w:rPr>
        <w:t>2</w:t>
      </w:r>
      <w:r w:rsidRPr="006E1CEC">
        <w:rPr>
          <w:sz w:val="24"/>
          <w:szCs w:val="24"/>
        </w:rPr>
        <w:t>,</w:t>
      </w:r>
      <w:r w:rsidRPr="006E1CEC" w:rsidR="000D0AC2">
        <w:rPr>
          <w:sz w:val="24"/>
          <w:szCs w:val="24"/>
        </w:rPr>
        <w:t>200</w:t>
      </w:r>
      <w:r w:rsidRPr="006E1CEC">
        <w:rPr>
          <w:sz w:val="24"/>
          <w:szCs w:val="24"/>
        </w:rPr>
        <w:t>,</w:t>
      </w:r>
      <w:r w:rsidRPr="006E1CEC" w:rsidR="000D0AC2">
        <w:rPr>
          <w:sz w:val="24"/>
          <w:szCs w:val="24"/>
        </w:rPr>
        <w:t xml:space="preserve">000 </w:t>
      </w:r>
      <w:r w:rsidRPr="006E1CEC">
        <w:rPr>
          <w:sz w:val="24"/>
          <w:szCs w:val="24"/>
        </w:rPr>
        <w:t>and the cost of 1 FTE staff (GS-14 100%) responsible for the data collection ef</w:t>
      </w:r>
      <w:r w:rsidRPr="006E1CEC" w:rsidR="006326E2">
        <w:rPr>
          <w:sz w:val="24"/>
          <w:szCs w:val="24"/>
        </w:rPr>
        <w:t xml:space="preserve">fort is approximately $132,000 per </w:t>
      </w:r>
      <w:r w:rsidRPr="006E1CEC">
        <w:rPr>
          <w:sz w:val="24"/>
          <w:szCs w:val="24"/>
        </w:rPr>
        <w:t>year.  The estimated annualized total cost to the government will be $</w:t>
      </w:r>
      <w:r w:rsidRPr="006E1CEC" w:rsidR="000D0AC2">
        <w:rPr>
          <w:sz w:val="24"/>
          <w:szCs w:val="24"/>
        </w:rPr>
        <w:t>2</w:t>
      </w:r>
      <w:r w:rsidRPr="006E1CEC">
        <w:rPr>
          <w:sz w:val="24"/>
          <w:szCs w:val="24"/>
        </w:rPr>
        <w:t>,</w:t>
      </w:r>
      <w:r w:rsidRPr="006E1CEC" w:rsidR="000D0AC2">
        <w:rPr>
          <w:sz w:val="24"/>
          <w:szCs w:val="24"/>
        </w:rPr>
        <w:t>332</w:t>
      </w:r>
      <w:r w:rsidRPr="006E1CEC">
        <w:rPr>
          <w:sz w:val="24"/>
          <w:szCs w:val="24"/>
        </w:rPr>
        <w:t>,</w:t>
      </w:r>
      <w:r w:rsidRPr="006E1CEC" w:rsidR="000D0AC2">
        <w:rPr>
          <w:sz w:val="24"/>
          <w:szCs w:val="24"/>
        </w:rPr>
        <w:t>000</w:t>
      </w:r>
      <w:r w:rsidRPr="006E1CEC">
        <w:rPr>
          <w:sz w:val="24"/>
          <w:szCs w:val="24"/>
        </w:rPr>
        <w:t>.</w:t>
      </w:r>
    </w:p>
    <w:p w:rsidR="006E1CEC" w:rsidP="006E1CEC" w14:paraId="2F7832A0" w14:textId="77777777">
      <w:pPr>
        <w:spacing w:after="120"/>
        <w:rPr>
          <w:b/>
          <w:bCs/>
          <w:iCs/>
          <w:sz w:val="24"/>
          <w:szCs w:val="24"/>
        </w:rPr>
      </w:pPr>
      <w:bookmarkStart w:id="2" w:name="_Toc88033481"/>
      <w:bookmarkStart w:id="3" w:name="_Toc88277964"/>
    </w:p>
    <w:p w:rsidR="006E1CEC" w:rsidRPr="006E1CEC" w:rsidP="006E1CEC" w14:paraId="080DEFF8" w14:textId="53B70644">
      <w:pPr>
        <w:spacing w:after="120"/>
        <w:rPr>
          <w:b/>
          <w:bCs/>
          <w:iCs/>
          <w:sz w:val="24"/>
          <w:szCs w:val="24"/>
        </w:rPr>
      </w:pPr>
      <w:r w:rsidRPr="006E1CEC">
        <w:rPr>
          <w:b/>
          <w:bCs/>
          <w:iCs/>
          <w:sz w:val="24"/>
          <w:szCs w:val="24"/>
        </w:rPr>
        <w:t>A15.</w:t>
      </w:r>
      <w:r w:rsidRPr="006E1CEC">
        <w:rPr>
          <w:b/>
          <w:bCs/>
          <w:iCs/>
          <w:sz w:val="24"/>
          <w:szCs w:val="24"/>
        </w:rPr>
        <w:tab/>
      </w:r>
      <w:bookmarkEnd w:id="2"/>
      <w:bookmarkEnd w:id="3"/>
      <w:r w:rsidRPr="006E1CEC">
        <w:rPr>
          <w:b/>
          <w:bCs/>
          <w:iCs/>
          <w:sz w:val="24"/>
          <w:szCs w:val="24"/>
        </w:rPr>
        <w:t xml:space="preserve">Changes in Burden </w:t>
      </w:r>
    </w:p>
    <w:p w:rsidR="006E1CEC" w:rsidP="006E1CEC" w14:paraId="36A830BD" w14:textId="364B4B1A">
      <w:pPr>
        <w:spacing w:after="120"/>
        <w:outlineLvl w:val="0"/>
        <w:rPr>
          <w:sz w:val="24"/>
          <w:szCs w:val="24"/>
        </w:rPr>
      </w:pPr>
      <w:r w:rsidRPr="009B1D0D">
        <w:rPr>
          <w:sz w:val="24"/>
          <w:szCs w:val="24"/>
        </w:rPr>
        <w:t xml:space="preserve">Currently, there are </w:t>
      </w:r>
      <w:r w:rsidR="00D011C0">
        <w:rPr>
          <w:sz w:val="24"/>
          <w:szCs w:val="24"/>
        </w:rPr>
        <w:t>68,673</w:t>
      </w:r>
      <w:r w:rsidRPr="009B1D0D">
        <w:rPr>
          <w:sz w:val="24"/>
          <w:szCs w:val="24"/>
        </w:rPr>
        <w:t xml:space="preserve"> total burden hours in the OMB</w:t>
      </w:r>
      <w:r>
        <w:rPr>
          <w:sz w:val="24"/>
          <w:szCs w:val="24"/>
        </w:rPr>
        <w:t>-approved</w:t>
      </w:r>
      <w:r w:rsidRPr="009B1D0D">
        <w:rPr>
          <w:sz w:val="24"/>
          <w:szCs w:val="24"/>
        </w:rPr>
        <w:t xml:space="preserve"> </w:t>
      </w:r>
      <w:r>
        <w:rPr>
          <w:sz w:val="24"/>
          <w:szCs w:val="24"/>
        </w:rPr>
        <w:t>NOM</w:t>
      </w:r>
      <w:r w:rsidR="00490C1C">
        <w:rPr>
          <w:sz w:val="24"/>
          <w:szCs w:val="24"/>
        </w:rPr>
        <w:t>s</w:t>
      </w:r>
      <w:r>
        <w:rPr>
          <w:sz w:val="24"/>
          <w:szCs w:val="24"/>
        </w:rPr>
        <w:t xml:space="preserve"> </w:t>
      </w:r>
      <w:r w:rsidR="00B61462">
        <w:rPr>
          <w:sz w:val="24"/>
          <w:szCs w:val="24"/>
        </w:rPr>
        <w:t>client services collection</w:t>
      </w:r>
      <w:r w:rsidRPr="009B1D0D">
        <w:rPr>
          <w:sz w:val="24"/>
          <w:szCs w:val="24"/>
        </w:rPr>
        <w:t xml:space="preserve"> and </w:t>
      </w:r>
      <w:r>
        <w:rPr>
          <w:sz w:val="24"/>
          <w:szCs w:val="24"/>
        </w:rPr>
        <w:t>SAMHSA</w:t>
      </w:r>
      <w:r w:rsidRPr="009B1D0D">
        <w:rPr>
          <w:sz w:val="24"/>
          <w:szCs w:val="24"/>
        </w:rPr>
        <w:t xml:space="preserve"> is </w:t>
      </w:r>
      <w:r>
        <w:rPr>
          <w:sz w:val="24"/>
          <w:szCs w:val="24"/>
        </w:rPr>
        <w:t xml:space="preserve">now </w:t>
      </w:r>
      <w:r w:rsidRPr="009B1D0D">
        <w:rPr>
          <w:sz w:val="24"/>
          <w:szCs w:val="24"/>
        </w:rPr>
        <w:t>requesting</w:t>
      </w:r>
      <w:r>
        <w:rPr>
          <w:sz w:val="24"/>
          <w:szCs w:val="24"/>
        </w:rPr>
        <w:t xml:space="preserve"> a</w:t>
      </w:r>
      <w:r w:rsidR="00D011C0">
        <w:rPr>
          <w:sz w:val="24"/>
          <w:szCs w:val="24"/>
        </w:rPr>
        <w:t>n</w:t>
      </w:r>
      <w:r>
        <w:rPr>
          <w:sz w:val="24"/>
          <w:szCs w:val="24"/>
        </w:rPr>
        <w:t xml:space="preserve"> </w:t>
      </w:r>
      <w:r w:rsidR="00D011C0">
        <w:rPr>
          <w:sz w:val="24"/>
          <w:szCs w:val="24"/>
        </w:rPr>
        <w:t>increase</w:t>
      </w:r>
      <w:r>
        <w:rPr>
          <w:sz w:val="24"/>
          <w:szCs w:val="24"/>
        </w:rPr>
        <w:t xml:space="preserve"> to </w:t>
      </w:r>
      <w:r w:rsidR="003D33FA">
        <w:rPr>
          <w:sz w:val="24"/>
          <w:szCs w:val="24"/>
        </w:rPr>
        <w:t>75,178</w:t>
      </w:r>
      <w:r>
        <w:rPr>
          <w:sz w:val="24"/>
          <w:szCs w:val="24"/>
        </w:rPr>
        <w:t xml:space="preserve"> burden hours. </w:t>
      </w:r>
      <w:r w:rsidRPr="009B1D0D">
        <w:rPr>
          <w:sz w:val="24"/>
          <w:szCs w:val="24"/>
        </w:rPr>
        <w:t>The</w:t>
      </w:r>
      <w:r>
        <w:rPr>
          <w:sz w:val="24"/>
          <w:szCs w:val="24"/>
        </w:rPr>
        <w:t xml:space="preserve"> </w:t>
      </w:r>
      <w:r w:rsidR="003D33FA">
        <w:rPr>
          <w:sz w:val="24"/>
          <w:szCs w:val="24"/>
        </w:rPr>
        <w:t>increase of 6,</w:t>
      </w:r>
      <w:r w:rsidR="00320F4C">
        <w:rPr>
          <w:sz w:val="24"/>
          <w:szCs w:val="24"/>
        </w:rPr>
        <w:t>5</w:t>
      </w:r>
      <w:r w:rsidR="003D33FA">
        <w:rPr>
          <w:sz w:val="24"/>
          <w:szCs w:val="24"/>
        </w:rPr>
        <w:t>05</w:t>
      </w:r>
      <w:r>
        <w:rPr>
          <w:sz w:val="24"/>
          <w:szCs w:val="24"/>
        </w:rPr>
        <w:t xml:space="preserve"> burden hours</w:t>
      </w:r>
      <w:r w:rsidRPr="009B1D0D">
        <w:rPr>
          <w:sz w:val="24"/>
          <w:szCs w:val="24"/>
        </w:rPr>
        <w:t xml:space="preserve"> </w:t>
      </w:r>
      <w:r>
        <w:rPr>
          <w:sz w:val="24"/>
          <w:szCs w:val="24"/>
        </w:rPr>
        <w:t xml:space="preserve">is </w:t>
      </w:r>
      <w:r w:rsidRPr="009B1D0D">
        <w:rPr>
          <w:sz w:val="24"/>
          <w:szCs w:val="24"/>
        </w:rPr>
        <w:t>due to</w:t>
      </w:r>
      <w:r>
        <w:rPr>
          <w:sz w:val="24"/>
          <w:szCs w:val="24"/>
        </w:rPr>
        <w:t xml:space="preserve"> the following:</w:t>
      </w:r>
    </w:p>
    <w:p w:rsidR="00D347D9" w:rsidP="00CE3EE0" w14:paraId="5B2531A9" w14:textId="7E37191E">
      <w:pPr>
        <w:pStyle w:val="ListParagraph"/>
        <w:numPr>
          <w:ilvl w:val="0"/>
          <w:numId w:val="1"/>
        </w:numPr>
        <w:spacing w:after="120"/>
        <w:contextualSpacing w:val="0"/>
        <w:outlineLvl w:val="0"/>
        <w:rPr>
          <w:sz w:val="24"/>
          <w:szCs w:val="24"/>
        </w:rPr>
      </w:pPr>
      <w:r w:rsidRPr="00D347D9">
        <w:rPr>
          <w:sz w:val="24"/>
          <w:szCs w:val="24"/>
        </w:rPr>
        <w:t xml:space="preserve">More </w:t>
      </w:r>
      <w:r w:rsidRPr="00D347D9">
        <w:rPr>
          <w:sz w:val="24"/>
          <w:szCs w:val="24"/>
        </w:rPr>
        <w:t xml:space="preserve">direct services grantees </w:t>
      </w:r>
      <w:r w:rsidR="00260D13">
        <w:rPr>
          <w:sz w:val="24"/>
          <w:szCs w:val="24"/>
        </w:rPr>
        <w:t xml:space="preserve">reporting using the </w:t>
      </w:r>
      <w:r w:rsidR="00260D13">
        <w:rPr>
          <w:sz w:val="24"/>
          <w:szCs w:val="24"/>
        </w:rPr>
        <w:t>tool</w:t>
      </w:r>
      <w:r w:rsidR="00E70C94">
        <w:rPr>
          <w:sz w:val="24"/>
          <w:szCs w:val="24"/>
        </w:rPr>
        <w:t xml:space="preserve"> </w:t>
      </w:r>
    </w:p>
    <w:p w:rsidR="006E1CEC" w:rsidRPr="00D347D9" w:rsidP="00CE3EE0" w14:paraId="78DEA5E8" w14:textId="35ED6034">
      <w:pPr>
        <w:pStyle w:val="ListParagraph"/>
        <w:numPr>
          <w:ilvl w:val="0"/>
          <w:numId w:val="1"/>
        </w:numPr>
        <w:spacing w:after="120"/>
        <w:contextualSpacing w:val="0"/>
        <w:outlineLvl w:val="0"/>
        <w:rPr>
          <w:sz w:val="24"/>
          <w:szCs w:val="24"/>
        </w:rPr>
      </w:pPr>
      <w:r>
        <w:rPr>
          <w:sz w:val="24"/>
          <w:szCs w:val="24"/>
        </w:rPr>
        <w:t>Additional time allocated for interviews</w:t>
      </w:r>
      <w:r w:rsidR="00510A0B">
        <w:rPr>
          <w:sz w:val="24"/>
          <w:szCs w:val="24"/>
        </w:rPr>
        <w:t xml:space="preserve">, but also improved estimates of the number of clients who consent for </w:t>
      </w:r>
      <w:r w:rsidR="00510A0B">
        <w:rPr>
          <w:sz w:val="24"/>
          <w:szCs w:val="24"/>
        </w:rPr>
        <w:t>interview</w:t>
      </w:r>
    </w:p>
    <w:p w:rsidR="006E1CEC" w:rsidP="006E1CEC" w14:paraId="108F9D36" w14:textId="781E91A3">
      <w:pPr>
        <w:pStyle w:val="ListParagraph"/>
        <w:numPr>
          <w:ilvl w:val="0"/>
          <w:numId w:val="1"/>
        </w:numPr>
        <w:spacing w:after="120"/>
        <w:contextualSpacing w:val="0"/>
        <w:outlineLvl w:val="0"/>
        <w:rPr>
          <w:sz w:val="24"/>
          <w:szCs w:val="24"/>
        </w:rPr>
      </w:pPr>
      <w:r>
        <w:rPr>
          <w:sz w:val="24"/>
          <w:szCs w:val="24"/>
        </w:rPr>
        <w:t>Additional time allocated for administrative collection</w:t>
      </w:r>
      <w:r w:rsidR="00442895">
        <w:rPr>
          <w:sz w:val="24"/>
          <w:szCs w:val="24"/>
        </w:rPr>
        <w:t xml:space="preserve"> of data, including the information that is collected for all clients as to whether they completed an interview or </w:t>
      </w:r>
      <w:r w:rsidR="00442895">
        <w:rPr>
          <w:sz w:val="24"/>
          <w:szCs w:val="24"/>
        </w:rPr>
        <w:t>not</w:t>
      </w:r>
    </w:p>
    <w:p w:rsidR="00230F06" w:rsidP="006E1CEC" w14:paraId="067E638E" w14:textId="750F57D2">
      <w:pPr>
        <w:spacing w:after="120"/>
        <w:rPr>
          <w:sz w:val="24"/>
          <w:szCs w:val="24"/>
        </w:rPr>
      </w:pPr>
      <w:r>
        <w:rPr>
          <w:sz w:val="24"/>
          <w:szCs w:val="24"/>
        </w:rPr>
        <w:t xml:space="preserve">The estimated time to complete the baseline, reassessment, and clinical discharge assessment </w:t>
      </w:r>
      <w:r w:rsidR="00496039">
        <w:rPr>
          <w:sz w:val="24"/>
          <w:szCs w:val="24"/>
        </w:rPr>
        <w:t>is</w:t>
      </w:r>
      <w:r w:rsidR="00E1259A">
        <w:rPr>
          <w:sz w:val="24"/>
          <w:szCs w:val="24"/>
        </w:rPr>
        <w:t xml:space="preserve"> </w:t>
      </w:r>
      <w:r w:rsidR="00442895">
        <w:rPr>
          <w:sz w:val="24"/>
          <w:szCs w:val="24"/>
        </w:rPr>
        <w:t>2</w:t>
      </w:r>
      <w:r w:rsidR="00496039">
        <w:rPr>
          <w:sz w:val="24"/>
          <w:szCs w:val="24"/>
        </w:rPr>
        <w:t>0</w:t>
      </w:r>
      <w:r w:rsidR="00442895">
        <w:rPr>
          <w:sz w:val="24"/>
          <w:szCs w:val="24"/>
        </w:rPr>
        <w:t xml:space="preserve"> minutes </w:t>
      </w:r>
      <w:r w:rsidR="00E1259A">
        <w:rPr>
          <w:sz w:val="24"/>
          <w:szCs w:val="24"/>
        </w:rPr>
        <w:t xml:space="preserve">to do the interview </w:t>
      </w:r>
      <w:r w:rsidR="00442895">
        <w:rPr>
          <w:sz w:val="24"/>
          <w:szCs w:val="24"/>
        </w:rPr>
        <w:t xml:space="preserve">(0.3) </w:t>
      </w:r>
      <w:r w:rsidR="00E1259A">
        <w:rPr>
          <w:sz w:val="24"/>
          <w:szCs w:val="24"/>
        </w:rPr>
        <w:t xml:space="preserve">and </w:t>
      </w:r>
      <w:r w:rsidR="00354809">
        <w:rPr>
          <w:sz w:val="24"/>
          <w:szCs w:val="24"/>
        </w:rPr>
        <w:t>6 minutes (0.1) to complete the administrative sections of the tool for all clients including those who decline an interview.</w:t>
      </w:r>
      <w:r w:rsidR="00442895">
        <w:rPr>
          <w:sz w:val="24"/>
          <w:szCs w:val="24"/>
        </w:rPr>
        <w:t xml:space="preserve"> </w:t>
      </w:r>
      <w:r w:rsidR="00354809">
        <w:rPr>
          <w:sz w:val="24"/>
          <w:szCs w:val="24"/>
        </w:rPr>
        <w:t xml:space="preserve">The </w:t>
      </w:r>
      <w:r>
        <w:rPr>
          <w:sz w:val="24"/>
          <w:szCs w:val="24"/>
        </w:rPr>
        <w:t xml:space="preserve">estimated time to complete Section G program-specific measures </w:t>
      </w:r>
      <w:r w:rsidR="004B2E7B">
        <w:rPr>
          <w:sz w:val="24"/>
          <w:szCs w:val="24"/>
        </w:rPr>
        <w:t>w</w:t>
      </w:r>
      <w:r>
        <w:rPr>
          <w:sz w:val="24"/>
          <w:szCs w:val="24"/>
        </w:rPr>
        <w:t xml:space="preserve">as </w:t>
      </w:r>
      <w:r w:rsidR="004B2E7B">
        <w:rPr>
          <w:sz w:val="24"/>
          <w:szCs w:val="24"/>
        </w:rPr>
        <w:t>in</w:t>
      </w:r>
      <w:r>
        <w:rPr>
          <w:sz w:val="24"/>
          <w:szCs w:val="24"/>
        </w:rPr>
        <w:t>creased from 5 minutes</w:t>
      </w:r>
      <w:r w:rsidR="004B2E7B">
        <w:rPr>
          <w:sz w:val="24"/>
          <w:szCs w:val="24"/>
        </w:rPr>
        <w:t xml:space="preserve"> to 6 minutes</w:t>
      </w:r>
      <w:r w:rsidR="002E45C7">
        <w:rPr>
          <w:sz w:val="24"/>
          <w:szCs w:val="24"/>
        </w:rPr>
        <w:t xml:space="preserve"> (0.1)</w:t>
      </w:r>
      <w:r w:rsidR="004B2E7B">
        <w:rPr>
          <w:sz w:val="24"/>
          <w:szCs w:val="24"/>
        </w:rPr>
        <w:t>, including any administrative reporting of physical health measures c</w:t>
      </w:r>
      <w:r w:rsidR="00601213">
        <w:rPr>
          <w:sz w:val="24"/>
          <w:szCs w:val="24"/>
        </w:rPr>
        <w:t xml:space="preserve">ollected as part of routine medical care (not part of the interview). </w:t>
      </w:r>
    </w:p>
    <w:p w:rsidR="00E70C94" w:rsidP="006E1CEC" w14:paraId="4E8724E2" w14:textId="2252DD3A">
      <w:pPr>
        <w:spacing w:after="120"/>
        <w:rPr>
          <w:sz w:val="24"/>
          <w:szCs w:val="24"/>
        </w:rPr>
      </w:pPr>
      <w:r>
        <w:rPr>
          <w:sz w:val="24"/>
          <w:szCs w:val="24"/>
        </w:rPr>
        <w:t xml:space="preserve">Currently, there </w:t>
      </w:r>
      <w:r w:rsidR="00A14CC0">
        <w:rPr>
          <w:sz w:val="24"/>
          <w:szCs w:val="24"/>
        </w:rPr>
        <w:t>are 7,536 total burden hours in the OMB-approved IPP collection. SAMHSA is now request</w:t>
      </w:r>
      <w:r w:rsidR="00057FA5">
        <w:rPr>
          <w:sz w:val="24"/>
          <w:szCs w:val="24"/>
        </w:rPr>
        <w:t>ing</w:t>
      </w:r>
      <w:r w:rsidR="00A14CC0">
        <w:rPr>
          <w:sz w:val="24"/>
          <w:szCs w:val="24"/>
        </w:rPr>
        <w:t xml:space="preserve"> an increase to </w:t>
      </w:r>
      <w:r w:rsidR="00BB06BD">
        <w:rPr>
          <w:sz w:val="24"/>
          <w:szCs w:val="24"/>
        </w:rPr>
        <w:t xml:space="preserve">64,000 burden hours. The increase of </w:t>
      </w:r>
      <w:r>
        <w:rPr>
          <w:sz w:val="24"/>
          <w:szCs w:val="24"/>
        </w:rPr>
        <w:t>56,464 hours is due to:</w:t>
      </w:r>
    </w:p>
    <w:p w:rsidR="00230F06" w:rsidP="00E70C94" w14:paraId="492408A7" w14:textId="29FB193B">
      <w:pPr>
        <w:pStyle w:val="ListParagraph"/>
        <w:numPr>
          <w:ilvl w:val="0"/>
          <w:numId w:val="16"/>
        </w:numPr>
        <w:spacing w:after="120"/>
        <w:rPr>
          <w:sz w:val="24"/>
          <w:szCs w:val="24"/>
        </w:rPr>
      </w:pPr>
      <w:r>
        <w:rPr>
          <w:sz w:val="24"/>
          <w:szCs w:val="24"/>
        </w:rPr>
        <w:t>More CMHS grantees reporting using the tool (doubled to 2,000)</w:t>
      </w:r>
    </w:p>
    <w:p w:rsidR="00E70C94" w:rsidRPr="00E70C94" w:rsidP="00E70C94" w14:paraId="2775CD24" w14:textId="3E1D1453">
      <w:pPr>
        <w:pStyle w:val="ListParagraph"/>
        <w:numPr>
          <w:ilvl w:val="0"/>
          <w:numId w:val="16"/>
        </w:numPr>
        <w:spacing w:after="120"/>
        <w:rPr>
          <w:sz w:val="24"/>
          <w:szCs w:val="24"/>
        </w:rPr>
      </w:pPr>
      <w:r>
        <w:rPr>
          <w:sz w:val="24"/>
          <w:szCs w:val="24"/>
        </w:rPr>
        <w:t xml:space="preserve">Additional time allocated for reporting each quarter, including time need to pull data from internal systems maintained by the </w:t>
      </w:r>
      <w:r>
        <w:rPr>
          <w:sz w:val="24"/>
          <w:szCs w:val="24"/>
        </w:rPr>
        <w:t>grantees</w:t>
      </w:r>
    </w:p>
    <w:p w:rsidR="006E1CEC" w:rsidP="006E1CEC" w14:paraId="24EDD953" w14:textId="39BE0073">
      <w:pPr>
        <w:spacing w:after="120"/>
        <w:rPr>
          <w:sz w:val="24"/>
          <w:szCs w:val="24"/>
        </w:rPr>
      </w:pPr>
      <w:r>
        <w:rPr>
          <w:sz w:val="24"/>
          <w:szCs w:val="24"/>
        </w:rPr>
        <w:t xml:space="preserve">The estimated amount of time to collect and report IPP data </w:t>
      </w:r>
      <w:r w:rsidR="00CD11BD">
        <w:rPr>
          <w:sz w:val="24"/>
          <w:szCs w:val="24"/>
        </w:rPr>
        <w:t>was increased based on grantee feedback</w:t>
      </w:r>
      <w:r>
        <w:rPr>
          <w:sz w:val="24"/>
          <w:szCs w:val="24"/>
        </w:rPr>
        <w:t xml:space="preserve"> </w:t>
      </w:r>
      <w:r w:rsidR="00230F06">
        <w:rPr>
          <w:sz w:val="24"/>
          <w:szCs w:val="24"/>
        </w:rPr>
        <w:t>on time spent reporting from 2 hours to</w:t>
      </w:r>
      <w:r>
        <w:rPr>
          <w:sz w:val="24"/>
          <w:szCs w:val="24"/>
        </w:rPr>
        <w:t xml:space="preserve"> </w:t>
      </w:r>
      <w:r w:rsidR="00CD11BD">
        <w:rPr>
          <w:sz w:val="24"/>
          <w:szCs w:val="24"/>
        </w:rPr>
        <w:t>8</w:t>
      </w:r>
      <w:r>
        <w:rPr>
          <w:sz w:val="24"/>
          <w:szCs w:val="24"/>
        </w:rPr>
        <w:t xml:space="preserve"> hours</w:t>
      </w:r>
      <w:r w:rsidR="00CD11BD">
        <w:rPr>
          <w:sz w:val="24"/>
          <w:szCs w:val="24"/>
        </w:rPr>
        <w:t xml:space="preserve"> per quarter</w:t>
      </w:r>
      <w:r w:rsidR="00230F06">
        <w:rPr>
          <w:sz w:val="24"/>
          <w:szCs w:val="24"/>
        </w:rPr>
        <w:t xml:space="preserve"> per grant</w:t>
      </w:r>
      <w:r>
        <w:rPr>
          <w:sz w:val="24"/>
          <w:szCs w:val="24"/>
        </w:rPr>
        <w:t>.</w:t>
      </w:r>
    </w:p>
    <w:p w:rsidR="006E1CEC" w:rsidP="006E1CEC" w14:paraId="3BF1E3A6" w14:textId="77777777">
      <w:pPr>
        <w:spacing w:after="120"/>
        <w:rPr>
          <w:b/>
          <w:bCs/>
          <w:sz w:val="24"/>
          <w:szCs w:val="24"/>
        </w:rPr>
      </w:pPr>
    </w:p>
    <w:p w:rsidR="0060743B" w:rsidP="006E1CEC" w14:paraId="18EC6D3E" w14:textId="7B19BC13">
      <w:pPr>
        <w:spacing w:after="120"/>
        <w:rPr>
          <w:b/>
          <w:bCs/>
          <w:sz w:val="24"/>
          <w:szCs w:val="24"/>
        </w:rPr>
      </w:pPr>
      <w:r>
        <w:rPr>
          <w:b/>
          <w:bCs/>
          <w:sz w:val="24"/>
          <w:szCs w:val="24"/>
        </w:rPr>
        <w:t>A1</w:t>
      </w:r>
      <w:r w:rsidR="006E1CEC">
        <w:rPr>
          <w:b/>
          <w:bCs/>
          <w:sz w:val="24"/>
          <w:szCs w:val="24"/>
        </w:rPr>
        <w:t>6.</w:t>
      </w:r>
      <w:r>
        <w:rPr>
          <w:b/>
          <w:bCs/>
          <w:sz w:val="24"/>
          <w:szCs w:val="24"/>
        </w:rPr>
        <w:tab/>
        <w:t xml:space="preserve">Time Schedule, Publication and Analysis Plans </w:t>
      </w:r>
    </w:p>
    <w:p w:rsidR="0060743B" w:rsidRPr="000764CB" w14:paraId="4127AFCD" w14:textId="6AC4C35F">
      <w:pPr>
        <w:pStyle w:val="Heading3"/>
        <w:spacing w:before="0" w:after="120"/>
        <w:rPr>
          <w:rFonts w:ascii="Times New Roman" w:hAnsi="Times New Roman"/>
          <w:b w:val="0"/>
          <w:sz w:val="24"/>
          <w:szCs w:val="24"/>
        </w:rPr>
      </w:pPr>
      <w:r>
        <w:rPr>
          <w:rFonts w:ascii="Times New Roman" w:hAnsi="Times New Roman"/>
          <w:b w:val="0"/>
          <w:sz w:val="24"/>
          <w:szCs w:val="24"/>
        </w:rPr>
        <w:t>S</w:t>
      </w:r>
      <w:r w:rsidRPr="000764CB">
        <w:rPr>
          <w:rFonts w:ascii="Times New Roman" w:hAnsi="Times New Roman"/>
          <w:b w:val="0"/>
          <w:sz w:val="24"/>
          <w:szCs w:val="24"/>
        </w:rPr>
        <w:t xml:space="preserve">AMHSA/CMHS </w:t>
      </w:r>
      <w:r>
        <w:rPr>
          <w:rFonts w:ascii="Times New Roman" w:hAnsi="Times New Roman"/>
          <w:b w:val="0"/>
          <w:sz w:val="24"/>
          <w:szCs w:val="24"/>
        </w:rPr>
        <w:t xml:space="preserve">will </w:t>
      </w:r>
      <w:r w:rsidRPr="000764CB">
        <w:rPr>
          <w:rFonts w:ascii="Times New Roman" w:hAnsi="Times New Roman"/>
          <w:b w:val="0"/>
          <w:sz w:val="24"/>
          <w:szCs w:val="24"/>
        </w:rPr>
        <w:t xml:space="preserve">utilize the data </w:t>
      </w:r>
      <w:r>
        <w:rPr>
          <w:rFonts w:ascii="Times New Roman" w:hAnsi="Times New Roman"/>
          <w:b w:val="0"/>
          <w:sz w:val="24"/>
          <w:szCs w:val="24"/>
        </w:rPr>
        <w:t xml:space="preserve">collected from this collection </w:t>
      </w:r>
      <w:r w:rsidRPr="000764CB">
        <w:rPr>
          <w:rFonts w:ascii="Times New Roman" w:hAnsi="Times New Roman"/>
          <w:b w:val="0"/>
          <w:sz w:val="24"/>
          <w:szCs w:val="24"/>
        </w:rPr>
        <w:t>on an ongoing basis to monitor pe</w:t>
      </w:r>
      <w:r w:rsidRPr="00F152F2">
        <w:rPr>
          <w:rFonts w:ascii="Times New Roman" w:hAnsi="Times New Roman"/>
          <w:b w:val="0"/>
          <w:sz w:val="24"/>
          <w:szCs w:val="24"/>
        </w:rPr>
        <w:t>rformance and to respond to GPR</w:t>
      </w:r>
      <w:r w:rsidRPr="000764CB">
        <w:rPr>
          <w:rFonts w:ascii="Times New Roman" w:hAnsi="Times New Roman"/>
          <w:b w:val="0"/>
          <w:sz w:val="24"/>
          <w:szCs w:val="24"/>
        </w:rPr>
        <w:t>MA and other Federal reporting requirements</w:t>
      </w:r>
      <w:r w:rsidRPr="000764CB" w:rsidR="0016247C">
        <w:rPr>
          <w:rFonts w:ascii="Times New Roman" w:hAnsi="Times New Roman"/>
          <w:b w:val="0"/>
          <w:sz w:val="24"/>
          <w:szCs w:val="24"/>
        </w:rPr>
        <w:t xml:space="preserve">.  </w:t>
      </w:r>
      <w:r w:rsidRPr="000764CB">
        <w:rPr>
          <w:rFonts w:ascii="Times New Roman" w:hAnsi="Times New Roman"/>
          <w:b w:val="0"/>
          <w:sz w:val="24"/>
          <w:szCs w:val="24"/>
        </w:rPr>
        <w:t>These data are used to provide the agency with information to document the overall Center performance requirements and to provide information that will assist CMHS in planning and monitoring program goals</w:t>
      </w:r>
      <w:r w:rsidRPr="000764CB" w:rsidR="0016247C">
        <w:rPr>
          <w:rFonts w:ascii="Times New Roman" w:hAnsi="Times New Roman"/>
          <w:b w:val="0"/>
          <w:sz w:val="24"/>
          <w:szCs w:val="24"/>
        </w:rPr>
        <w:t xml:space="preserve">. </w:t>
      </w:r>
      <w:r w:rsidRPr="000764CB">
        <w:rPr>
          <w:rFonts w:ascii="Times New Roman" w:hAnsi="Times New Roman"/>
          <w:b w:val="0"/>
          <w:sz w:val="24"/>
          <w:szCs w:val="24"/>
        </w:rPr>
        <w:t>Descriptive information obtained from program reporting requirements will be reviewed for monitoring and program management</w:t>
      </w:r>
      <w:r w:rsidRPr="000764CB" w:rsidR="0016247C">
        <w:rPr>
          <w:rFonts w:ascii="Times New Roman" w:hAnsi="Times New Roman"/>
          <w:b w:val="0"/>
          <w:sz w:val="24"/>
          <w:szCs w:val="24"/>
        </w:rPr>
        <w:t xml:space="preserve">. </w:t>
      </w:r>
      <w:r w:rsidRPr="000764CB">
        <w:rPr>
          <w:rFonts w:ascii="Times New Roman" w:hAnsi="Times New Roman"/>
          <w:b w:val="0"/>
          <w:sz w:val="24"/>
          <w:szCs w:val="24"/>
        </w:rPr>
        <w:t>Information is used internally by the agency and for performance reports</w:t>
      </w:r>
      <w:r w:rsidR="00020E3F">
        <w:rPr>
          <w:rFonts w:ascii="Times New Roman" w:hAnsi="Times New Roman"/>
          <w:b w:val="0"/>
          <w:sz w:val="24"/>
          <w:szCs w:val="24"/>
        </w:rPr>
        <w:t>.</w:t>
      </w:r>
    </w:p>
    <w:p w:rsidR="0060743B" w:rsidP="00764874" w14:paraId="767005AE" w14:textId="1E2C63D4">
      <w:pPr>
        <w:spacing w:after="120"/>
        <w:rPr>
          <w:sz w:val="24"/>
        </w:rPr>
      </w:pPr>
      <w:r>
        <w:rPr>
          <w:sz w:val="24"/>
        </w:rPr>
        <w:t xml:space="preserve">Data for the annual GPRA plan/report are needed by SAMHSA on an ongoing basis. Data collection will </w:t>
      </w:r>
      <w:r w:rsidR="00280B0B">
        <w:rPr>
          <w:sz w:val="24"/>
        </w:rPr>
        <w:t xml:space="preserve">continue with </w:t>
      </w:r>
      <w:r>
        <w:rPr>
          <w:sz w:val="24"/>
        </w:rPr>
        <w:t>approval from OMB</w:t>
      </w:r>
      <w:r w:rsidR="00280B0B">
        <w:rPr>
          <w:sz w:val="24"/>
        </w:rPr>
        <w:t xml:space="preserve"> for this extension</w:t>
      </w:r>
      <w:r w:rsidR="0016247C">
        <w:rPr>
          <w:sz w:val="24"/>
        </w:rPr>
        <w:t xml:space="preserve">. </w:t>
      </w:r>
      <w:r>
        <w:rPr>
          <w:sz w:val="24"/>
        </w:rPr>
        <w:t xml:space="preserve">Data are provided by CMHS for the most recently completed calendar year to SAMHSA each May </w:t>
      </w:r>
      <w:r>
        <w:rPr>
          <w:sz w:val="24"/>
        </w:rPr>
        <w:t>in order to</w:t>
      </w:r>
      <w:r>
        <w:rPr>
          <w:sz w:val="24"/>
        </w:rPr>
        <w:t xml:space="preserve"> assure analysis in time for the annual GPRA report</w:t>
      </w:r>
      <w:r w:rsidR="0016247C">
        <w:rPr>
          <w:sz w:val="24"/>
        </w:rPr>
        <w:t xml:space="preserve">. </w:t>
      </w:r>
      <w:r>
        <w:rPr>
          <w:sz w:val="24"/>
        </w:rPr>
        <w:t xml:space="preserve">The annual GPRA report must be submitted to the Department of Health and Human Services and to OMB by September and is included in the President's Annual Budget Request, which is released to the public February 1st. Data may be refined and added to the final Presidential Budget Request after the Department submits its initial GPRA report.  </w:t>
      </w:r>
    </w:p>
    <w:p w:rsidR="0060743B" w:rsidP="00764874" w14:paraId="387BA443" w14:textId="15803E64">
      <w:pPr>
        <w:keepNext/>
        <w:keepLines/>
        <w:spacing w:after="120"/>
        <w:outlineLvl w:val="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separate"/>
      </w:r>
      <w:r>
        <w:rPr>
          <w:sz w:val="24"/>
          <w:szCs w:val="24"/>
          <w:lang w:val="en-CA"/>
        </w:rPr>
        <w:fldChar w:fldCharType="end"/>
      </w:r>
      <w:r>
        <w:rPr>
          <w:sz w:val="24"/>
          <w:szCs w:val="24"/>
        </w:rPr>
        <w:t>Data will be available to CMHS staff and grantees through a series of reports available through the web-based system</w:t>
      </w:r>
      <w:r w:rsidR="0016247C">
        <w:rPr>
          <w:sz w:val="24"/>
          <w:szCs w:val="24"/>
        </w:rPr>
        <w:t xml:space="preserve">. </w:t>
      </w:r>
      <w:r>
        <w:rPr>
          <w:sz w:val="24"/>
          <w:szCs w:val="24"/>
        </w:rPr>
        <w:t>Roles will determine user access</w:t>
      </w:r>
      <w:r w:rsidR="0016247C">
        <w:rPr>
          <w:sz w:val="24"/>
          <w:szCs w:val="24"/>
        </w:rPr>
        <w:t xml:space="preserve">. </w:t>
      </w:r>
      <w:r>
        <w:rPr>
          <w:sz w:val="24"/>
          <w:szCs w:val="24"/>
        </w:rPr>
        <w:t>Individual grantees will only be allowed detailed access to data from their grant</w:t>
      </w:r>
      <w:r w:rsidR="0016247C">
        <w:rPr>
          <w:sz w:val="24"/>
          <w:szCs w:val="24"/>
        </w:rPr>
        <w:t xml:space="preserve">. </w:t>
      </w:r>
      <w:r>
        <w:rPr>
          <w:sz w:val="24"/>
          <w:szCs w:val="24"/>
        </w:rPr>
        <w:t>They will also have access to summary information across all grantees in their program</w:t>
      </w:r>
      <w:r w:rsidR="0016247C">
        <w:rPr>
          <w:sz w:val="24"/>
          <w:szCs w:val="24"/>
        </w:rPr>
        <w:t xml:space="preserve">. </w:t>
      </w:r>
      <w:r>
        <w:rPr>
          <w:sz w:val="24"/>
          <w:szCs w:val="24"/>
        </w:rPr>
        <w:t xml:space="preserve">CMHS staff access will be determined by their span of responsibility.  </w:t>
      </w:r>
    </w:p>
    <w:p w:rsidR="0060743B" w:rsidP="00764874" w14:paraId="0CDAC82C" w14:textId="4B25BE6D">
      <w:pPr>
        <w:spacing w:after="120"/>
        <w:rPr>
          <w:sz w:val="24"/>
        </w:rPr>
      </w:pPr>
      <w:r>
        <w:rPr>
          <w:sz w:val="24"/>
          <w:szCs w:val="24"/>
        </w:rPr>
        <w:t xml:space="preserve">The web-based reports on the </w:t>
      </w:r>
      <w:r w:rsidR="00E65B0F">
        <w:rPr>
          <w:sz w:val="24"/>
          <w:szCs w:val="24"/>
        </w:rPr>
        <w:t xml:space="preserve">SPARS </w:t>
      </w:r>
      <w:r>
        <w:rPr>
          <w:sz w:val="24"/>
          <w:szCs w:val="24"/>
        </w:rPr>
        <w:t xml:space="preserve">system </w:t>
      </w:r>
      <w:r w:rsidR="003412D8">
        <w:rPr>
          <w:sz w:val="24"/>
          <w:szCs w:val="24"/>
        </w:rPr>
        <w:t xml:space="preserve">for the direct client services grant programs </w:t>
      </w:r>
      <w:r>
        <w:rPr>
          <w:sz w:val="24"/>
          <w:szCs w:val="24"/>
        </w:rPr>
        <w:t>will include information on the number of consumers served, their demographic characteristics, baseline status, and change scores for the various domains</w:t>
      </w:r>
      <w:r w:rsidR="0016247C">
        <w:rPr>
          <w:sz w:val="24"/>
          <w:szCs w:val="24"/>
        </w:rPr>
        <w:t xml:space="preserve">. </w:t>
      </w:r>
      <w:r w:rsidR="003412D8">
        <w:rPr>
          <w:sz w:val="24"/>
          <w:szCs w:val="24"/>
        </w:rPr>
        <w:t xml:space="preserve">The web-based reports on the SPARS system for the </w:t>
      </w:r>
      <w:r w:rsidR="00B01454">
        <w:rPr>
          <w:sz w:val="24"/>
          <w:szCs w:val="24"/>
        </w:rPr>
        <w:t>CMHS discretionary</w:t>
      </w:r>
      <w:r w:rsidR="003412D8">
        <w:rPr>
          <w:sz w:val="24"/>
          <w:szCs w:val="24"/>
        </w:rPr>
        <w:t xml:space="preserve"> grant programs </w:t>
      </w:r>
      <w:r w:rsidR="00B01454">
        <w:rPr>
          <w:sz w:val="24"/>
          <w:szCs w:val="24"/>
        </w:rPr>
        <w:t xml:space="preserve">reporting on IPP indicators </w:t>
      </w:r>
      <w:r w:rsidR="003412D8">
        <w:rPr>
          <w:sz w:val="24"/>
          <w:szCs w:val="24"/>
        </w:rPr>
        <w:t xml:space="preserve">will include information on the </w:t>
      </w:r>
      <w:r w:rsidR="00B01454">
        <w:rPr>
          <w:sz w:val="24"/>
          <w:szCs w:val="24"/>
        </w:rPr>
        <w:t>process, output, and outcome indicators, for example the number of individuals screened or referred</w:t>
      </w:r>
      <w:r w:rsidR="003412D8">
        <w:rPr>
          <w:sz w:val="24"/>
          <w:szCs w:val="24"/>
        </w:rPr>
        <w:t xml:space="preserve">. </w:t>
      </w:r>
      <w:r>
        <w:rPr>
          <w:sz w:val="24"/>
        </w:rPr>
        <w:t>The data items collected will be analyzed and presented in GPRA reports using basic descriptive statistics</w:t>
      </w:r>
      <w:r w:rsidR="0016247C">
        <w:rPr>
          <w:sz w:val="24"/>
        </w:rPr>
        <w:t xml:space="preserve">. </w:t>
      </w:r>
      <w:r>
        <w:rPr>
          <w:sz w:val="24"/>
        </w:rPr>
        <w:t>Data will be used to report to Congress regarding the GPRA as specified in the SAMHSA Annual Justifications of Budget Estimates</w:t>
      </w:r>
      <w:r w:rsidR="0016247C">
        <w:rPr>
          <w:sz w:val="24"/>
        </w:rPr>
        <w:t xml:space="preserve">.  </w:t>
      </w:r>
      <w:r>
        <w:rPr>
          <w:sz w:val="24"/>
        </w:rPr>
        <w:t>They will also allow CMHS staff to examine performance longitudinally, by program, or individual grantee.</w:t>
      </w:r>
    </w:p>
    <w:p w:rsidR="0060743B" w:rsidP="00764874" w14:paraId="21AC5ED2" w14:textId="4F1D04FB">
      <w:pPr>
        <w:spacing w:after="120"/>
        <w:rPr>
          <w:sz w:val="24"/>
        </w:rPr>
      </w:pPr>
      <w:r>
        <w:rPr>
          <w:sz w:val="24"/>
        </w:rPr>
        <w:t xml:space="preserve">In addition to the reports on the </w:t>
      </w:r>
      <w:r w:rsidR="00E65B0F">
        <w:rPr>
          <w:sz w:val="24"/>
        </w:rPr>
        <w:t xml:space="preserve">SPARS </w:t>
      </w:r>
      <w:r>
        <w:rPr>
          <w:sz w:val="24"/>
        </w:rPr>
        <w:t>web site, data will be utilized for specialized analyses as needs emerge.  Individual grantees will be able to download their own data in into an Excel spreadsheet for further manipulation or to transfer to a statistical package.</w:t>
      </w:r>
    </w:p>
    <w:p w:rsidR="0060743B" w:rsidP="00764874" w14:paraId="5E30C868" w14:textId="65427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4"/>
        </w:rPr>
      </w:pPr>
      <w:r>
        <w:rPr>
          <w:sz w:val="24"/>
        </w:rPr>
        <w:t xml:space="preserve">The expectation is that over time the results will be examined for subpopulations of interest within individual activities (e.g., by </w:t>
      </w:r>
      <w:r w:rsidR="008052F9">
        <w:rPr>
          <w:sz w:val="24"/>
        </w:rPr>
        <w:t xml:space="preserve">age, </w:t>
      </w:r>
      <w:r>
        <w:rPr>
          <w:sz w:val="24"/>
        </w:rPr>
        <w:t>gender</w:t>
      </w:r>
      <w:r w:rsidR="008052F9">
        <w:rPr>
          <w:sz w:val="24"/>
        </w:rPr>
        <w:t>, or diagnosis</w:t>
      </w:r>
      <w:r>
        <w:rPr>
          <w:sz w:val="24"/>
        </w:rPr>
        <w:t>) or in response to emerging policy issues</w:t>
      </w:r>
      <w:r w:rsidR="0016247C">
        <w:rPr>
          <w:sz w:val="24"/>
        </w:rPr>
        <w:t xml:space="preserve">.  </w:t>
      </w:r>
      <w:r>
        <w:rPr>
          <w:sz w:val="24"/>
        </w:rPr>
        <w:t xml:space="preserve">With these </w:t>
      </w:r>
      <w:r w:rsidR="0016247C">
        <w:rPr>
          <w:sz w:val="24"/>
        </w:rPr>
        <w:t>analyses,</w:t>
      </w:r>
      <w:r>
        <w:rPr>
          <w:sz w:val="24"/>
        </w:rPr>
        <w:t xml:space="preserve"> the data would be exported to a statistical package for more elaborate analytic work.</w:t>
      </w:r>
    </w:p>
    <w:p w:rsidR="006E1CEC" w:rsidP="00764874" w14:paraId="41EEDC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w:hAnsi="Times"/>
          <w:sz w:val="24"/>
        </w:rPr>
      </w:pPr>
    </w:p>
    <w:p w:rsidR="0060743B" w:rsidP="00764874" w14:paraId="416692F8" w14:textId="525632C5">
      <w:pPr>
        <w:keepNext/>
        <w:keepLines/>
        <w:spacing w:after="120"/>
        <w:outlineLvl w:val="0"/>
        <w:rPr>
          <w:sz w:val="24"/>
          <w:szCs w:val="24"/>
        </w:rPr>
      </w:pPr>
      <w:r>
        <w:rPr>
          <w:b/>
          <w:bCs/>
          <w:sz w:val="24"/>
          <w:szCs w:val="24"/>
        </w:rPr>
        <w:t>A</w:t>
      </w:r>
      <w:r w:rsidR="006E1CEC">
        <w:rPr>
          <w:b/>
          <w:bCs/>
          <w:sz w:val="24"/>
          <w:szCs w:val="24"/>
        </w:rPr>
        <w:t>17</w:t>
      </w:r>
      <w:r w:rsidR="00095362">
        <w:rPr>
          <w:b/>
          <w:bCs/>
          <w:sz w:val="24"/>
          <w:szCs w:val="24"/>
        </w:rPr>
        <w:t xml:space="preserve">.  </w:t>
      </w:r>
      <w:r>
        <w:rPr>
          <w:b/>
          <w:bCs/>
          <w:sz w:val="24"/>
          <w:szCs w:val="24"/>
        </w:rPr>
        <w:t xml:space="preserve">Display of Expiration Date </w:t>
      </w:r>
    </w:p>
    <w:p w:rsidR="0060743B" w:rsidP="00764874" w14:paraId="1720F9EE" w14:textId="2831CB75">
      <w:pPr>
        <w:spacing w:after="12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separate"/>
      </w:r>
      <w:r>
        <w:rPr>
          <w:sz w:val="24"/>
          <w:szCs w:val="24"/>
          <w:lang w:val="en-CA"/>
        </w:rPr>
        <w:fldChar w:fldCharType="end"/>
      </w:r>
      <w:r>
        <w:rPr>
          <w:sz w:val="24"/>
          <w:szCs w:val="24"/>
        </w:rPr>
        <w:t>The expiration date for OMB approval will be displayed on all data collection instruments</w:t>
      </w:r>
      <w:r w:rsidR="00BB6247">
        <w:rPr>
          <w:sz w:val="24"/>
          <w:szCs w:val="24"/>
        </w:rPr>
        <w:t>.</w:t>
      </w:r>
    </w:p>
    <w:p w:rsidR="006E1CEC" w:rsidP="00764874" w14:paraId="19570865" w14:textId="77777777">
      <w:pPr>
        <w:spacing w:after="120"/>
        <w:rPr>
          <w:sz w:val="24"/>
          <w:szCs w:val="24"/>
        </w:rPr>
      </w:pPr>
    </w:p>
    <w:p w:rsidR="0060743B" w:rsidP="00764874" w14:paraId="72F27FB7" w14:textId="5C0C771D">
      <w:pPr>
        <w:spacing w:after="120"/>
        <w:rPr>
          <w:b/>
          <w:bCs/>
          <w:sz w:val="24"/>
          <w:szCs w:val="24"/>
        </w:rPr>
      </w:pPr>
      <w:r>
        <w:rPr>
          <w:b/>
          <w:bCs/>
          <w:sz w:val="24"/>
          <w:szCs w:val="24"/>
        </w:rPr>
        <w:t>A</w:t>
      </w:r>
      <w:r w:rsidR="008F1C9F">
        <w:rPr>
          <w:b/>
          <w:bCs/>
          <w:sz w:val="24"/>
          <w:szCs w:val="24"/>
        </w:rPr>
        <w:t>1</w:t>
      </w:r>
      <w:r w:rsidR="006E1CEC">
        <w:rPr>
          <w:b/>
          <w:bCs/>
          <w:sz w:val="24"/>
          <w:szCs w:val="24"/>
        </w:rPr>
        <w:t>8</w:t>
      </w:r>
      <w:r w:rsidR="00D245E0">
        <w:rPr>
          <w:b/>
          <w:bCs/>
          <w:sz w:val="24"/>
          <w:szCs w:val="24"/>
        </w:rPr>
        <w:t>.</w:t>
      </w:r>
      <w:r>
        <w:rPr>
          <w:b/>
          <w:bCs/>
          <w:sz w:val="24"/>
          <w:szCs w:val="24"/>
        </w:rPr>
        <w:tab/>
        <w:t>Exceptions to Certification Statement</w:t>
      </w:r>
    </w:p>
    <w:p w:rsidR="00764874" w:rsidP="00581E95" w14:paraId="1972A6B1" w14:textId="0473E549">
      <w:pPr>
        <w:pStyle w:val="BodyTextIndent2"/>
        <w:spacing w:after="120"/>
        <w:ind w:left="0"/>
        <w:jc w:val="left"/>
      </w:pPr>
      <w:r>
        <w:t>This collection of information involves no exceptions to the Certification for Paperwork Reduction Act Submissions</w:t>
      </w:r>
      <w:r w:rsidR="0016247C">
        <w:t xml:space="preserve">.  </w:t>
      </w:r>
      <w:r w:rsidRPr="0054576D">
        <w:t>The certifications are included in this submission.</w:t>
      </w:r>
    </w:p>
    <w:p w:rsidR="00497E02" w:rsidP="00581E95" w14:paraId="6D2FDD76" w14:textId="2D7DA2E9">
      <w:pPr>
        <w:pStyle w:val="BodyTextIndent2"/>
        <w:spacing w:after="120"/>
        <w:ind w:left="0"/>
        <w:jc w:val="left"/>
      </w:pPr>
    </w:p>
    <w:p w:rsidR="002B37EA" w:rsidP="00581E95" w14:paraId="47DF86BC" w14:textId="6540A419">
      <w:pPr>
        <w:pStyle w:val="BodyTextIndent2"/>
        <w:spacing w:after="120"/>
        <w:ind w:left="0"/>
        <w:jc w:val="left"/>
      </w:pPr>
    </w:p>
    <w:p w:rsidR="002B37EA" w:rsidP="00581E95" w14:paraId="7BE4500F" w14:textId="77777777">
      <w:pPr>
        <w:pStyle w:val="BodyTextIndent2"/>
        <w:spacing w:after="120"/>
        <w:ind w:left="0"/>
        <w:jc w:val="left"/>
      </w:pPr>
    </w:p>
    <w:p w:rsidR="00497E02" w:rsidRPr="00497E02" w:rsidP="00581E95" w14:paraId="72F8C9CE" w14:textId="0ADCB5D5">
      <w:pPr>
        <w:pStyle w:val="BodyTextIndent2"/>
        <w:spacing w:after="120"/>
        <w:ind w:left="0"/>
        <w:contextualSpacing/>
        <w:jc w:val="left"/>
        <w:rPr>
          <w:b/>
          <w:bCs/>
        </w:rPr>
      </w:pPr>
      <w:r w:rsidRPr="00497E02">
        <w:rPr>
          <w:b/>
          <w:bCs/>
        </w:rPr>
        <w:t>Attachments:</w:t>
      </w:r>
    </w:p>
    <w:p w:rsidR="00497E02" w:rsidP="00581E95" w14:paraId="50385B22" w14:textId="4EA4E50B">
      <w:pPr>
        <w:pStyle w:val="BodyTextIndent2"/>
        <w:spacing w:after="120"/>
        <w:ind w:left="0"/>
        <w:contextualSpacing/>
        <w:jc w:val="left"/>
      </w:pPr>
      <w:r>
        <w:t>A = NOMS Client-Level Data Collection Tool</w:t>
      </w:r>
    </w:p>
    <w:p w:rsidR="00497E02" w:rsidP="00581E95" w14:paraId="26F3ACB7" w14:textId="48AC2DEC">
      <w:pPr>
        <w:pStyle w:val="BodyTextIndent2"/>
        <w:spacing w:after="120"/>
        <w:ind w:left="0"/>
        <w:contextualSpacing/>
        <w:jc w:val="left"/>
      </w:pPr>
      <w:r>
        <w:t xml:space="preserve">B = </w:t>
      </w:r>
      <w:r w:rsidR="00806BD3">
        <w:t>IPP Measures</w:t>
      </w:r>
    </w:p>
    <w:p w:rsidR="00BF1930" w:rsidP="00581E95" w14:paraId="4E3B501E" w14:textId="467F9BCD">
      <w:pPr>
        <w:pStyle w:val="BodyTextIndent2"/>
        <w:spacing w:after="120"/>
        <w:ind w:left="0"/>
        <w:contextualSpacing/>
        <w:jc w:val="left"/>
      </w:pPr>
      <w:r>
        <w:t xml:space="preserve">C = </w:t>
      </w:r>
      <w:r>
        <w:t>IPP Results Form</w:t>
      </w:r>
    </w:p>
    <w:p w:rsidR="00497E02" w:rsidP="00581E95" w14:paraId="759E850D" w14:textId="5664C1C1">
      <w:pPr>
        <w:pStyle w:val="BodyTextIndent2"/>
        <w:spacing w:after="120"/>
        <w:ind w:left="0"/>
        <w:contextualSpacing/>
        <w:jc w:val="left"/>
      </w:pPr>
      <w:r>
        <w:t xml:space="preserve">D = </w:t>
      </w:r>
      <w:r>
        <w:t>Summary of 60-day Federal Register Notice Comments</w:t>
      </w:r>
    </w:p>
    <w:p w:rsidR="00497E02" w:rsidP="00581E95" w14:paraId="64B034AC" w14:textId="77777777">
      <w:pPr>
        <w:pStyle w:val="BodyTextIndent2"/>
        <w:spacing w:after="120"/>
        <w:ind w:left="0"/>
        <w:jc w:val="left"/>
      </w:pPr>
    </w:p>
    <w:sectPr w:rsidSect="00581E95">
      <w:footerReference w:type="default" r:id="rId9"/>
      <w:footerReference w:type="first" r:id="rId10"/>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35341690"/>
      <w:docPartObj>
        <w:docPartGallery w:val="Page Numbers (Bottom of Page)"/>
        <w:docPartUnique/>
      </w:docPartObj>
    </w:sdtPr>
    <w:sdtEndPr>
      <w:rPr>
        <w:noProof/>
      </w:rPr>
    </w:sdtEndPr>
    <w:sdtContent>
      <w:p w:rsidR="00764874" w14:paraId="577605FC" w14:textId="1F4235B3">
        <w:pPr>
          <w:pStyle w:val="Footer"/>
          <w:jc w:val="center"/>
        </w:pPr>
        <w:r>
          <w:fldChar w:fldCharType="begin"/>
        </w:r>
        <w:r>
          <w:instrText xml:space="preserve"> PAGE   \* MERGEFORMAT </w:instrText>
        </w:r>
        <w:r>
          <w:fldChar w:fldCharType="separate"/>
        </w:r>
        <w:r w:rsidR="005842A5">
          <w:rPr>
            <w:noProof/>
          </w:rPr>
          <w:t>14</w:t>
        </w:r>
        <w:r>
          <w:rPr>
            <w:noProof/>
          </w:rPr>
          <w:fldChar w:fldCharType="end"/>
        </w:r>
      </w:p>
    </w:sdtContent>
  </w:sdt>
  <w:p w:rsidR="00764874" w14:paraId="5F7D63A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21212065"/>
      <w:docPartObj>
        <w:docPartGallery w:val="Page Numbers (Bottom of Page)"/>
        <w:docPartUnique/>
      </w:docPartObj>
    </w:sdtPr>
    <w:sdtEndPr>
      <w:rPr>
        <w:noProof/>
      </w:rPr>
    </w:sdtEndPr>
    <w:sdtContent>
      <w:p w:rsidR="00764874" w14:paraId="5A8759E3" w14:textId="7B858101">
        <w:pPr>
          <w:pStyle w:val="Footer"/>
          <w:jc w:val="center"/>
        </w:pPr>
        <w:r>
          <w:fldChar w:fldCharType="begin"/>
        </w:r>
        <w:r>
          <w:instrText xml:space="preserve"> PAGE   \* MERGEFORMAT </w:instrText>
        </w:r>
        <w:r>
          <w:fldChar w:fldCharType="separate"/>
        </w:r>
        <w:r w:rsidR="00581E95">
          <w:rPr>
            <w:noProof/>
          </w:rPr>
          <w:t>17</w:t>
        </w:r>
        <w:r>
          <w:rPr>
            <w:noProof/>
          </w:rPr>
          <w:fldChar w:fldCharType="end"/>
        </w:r>
      </w:p>
    </w:sdtContent>
  </w:sdt>
  <w:p w:rsidR="00764874" w:rsidRPr="00A06F41" w:rsidP="00A06F41" w14:paraId="3B6D0ED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1C7EE0"/>
    <w:multiLevelType w:val="hybridMultilevel"/>
    <w:tmpl w:val="58E2411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59104FB"/>
    <w:multiLevelType w:val="hybridMultilevel"/>
    <w:tmpl w:val="DC702EDE"/>
    <w:lvl w:ilvl="0">
      <w:start w:val="1"/>
      <w:numFmt w:val="decimal"/>
      <w:pStyle w:val="Question"/>
      <w:lvlText w:val="%1."/>
      <w:lvlJc w:val="left"/>
      <w:pPr>
        <w:ind w:left="631" w:hanging="361"/>
      </w:pPr>
      <w:rPr>
        <w:rFonts w:ascii="Times New Roman" w:eastAsia="Times New Roman" w:hAnsi="Times New Roman" w:hint="default"/>
        <w:b/>
        <w:bCs/>
        <w:sz w:val="22"/>
        <w:szCs w:val="22"/>
      </w:rPr>
    </w:lvl>
    <w:lvl w:ilvl="1">
      <w:start w:val="1"/>
      <w:numFmt w:val="bullet"/>
      <w:lvlText w:val="•"/>
      <w:lvlJc w:val="left"/>
      <w:pPr>
        <w:ind w:left="1570" w:hanging="361"/>
      </w:pPr>
      <w:rPr>
        <w:rFonts w:hint="default"/>
      </w:rPr>
    </w:lvl>
    <w:lvl w:ilvl="2">
      <w:start w:val="1"/>
      <w:numFmt w:val="bullet"/>
      <w:lvlText w:val="•"/>
      <w:lvlJc w:val="left"/>
      <w:pPr>
        <w:ind w:left="2620" w:hanging="361"/>
      </w:pPr>
      <w:rPr>
        <w:rFonts w:hint="default"/>
      </w:rPr>
    </w:lvl>
    <w:lvl w:ilvl="3">
      <w:start w:val="1"/>
      <w:numFmt w:val="bullet"/>
      <w:lvlText w:val="•"/>
      <w:lvlJc w:val="left"/>
      <w:pPr>
        <w:ind w:left="3670" w:hanging="361"/>
      </w:pPr>
      <w:rPr>
        <w:rFonts w:hint="default"/>
      </w:rPr>
    </w:lvl>
    <w:lvl w:ilvl="4">
      <w:start w:val="1"/>
      <w:numFmt w:val="bullet"/>
      <w:lvlText w:val="•"/>
      <w:lvlJc w:val="left"/>
      <w:pPr>
        <w:ind w:left="4720" w:hanging="361"/>
      </w:pPr>
      <w:rPr>
        <w:rFonts w:hint="default"/>
      </w:rPr>
    </w:lvl>
    <w:lvl w:ilvl="5">
      <w:start w:val="1"/>
      <w:numFmt w:val="bullet"/>
      <w:lvlText w:val="•"/>
      <w:lvlJc w:val="left"/>
      <w:pPr>
        <w:ind w:left="5770" w:hanging="361"/>
      </w:pPr>
      <w:rPr>
        <w:rFonts w:hint="default"/>
      </w:rPr>
    </w:lvl>
    <w:lvl w:ilvl="6">
      <w:start w:val="1"/>
      <w:numFmt w:val="bullet"/>
      <w:lvlText w:val="•"/>
      <w:lvlJc w:val="left"/>
      <w:pPr>
        <w:ind w:left="6820" w:hanging="361"/>
      </w:pPr>
      <w:rPr>
        <w:rFonts w:hint="default"/>
      </w:rPr>
    </w:lvl>
    <w:lvl w:ilvl="7">
      <w:start w:val="1"/>
      <w:numFmt w:val="bullet"/>
      <w:lvlText w:val="•"/>
      <w:lvlJc w:val="left"/>
      <w:pPr>
        <w:ind w:left="7870" w:hanging="361"/>
      </w:pPr>
      <w:rPr>
        <w:rFonts w:hint="default"/>
      </w:rPr>
    </w:lvl>
    <w:lvl w:ilvl="8">
      <w:start w:val="1"/>
      <w:numFmt w:val="bullet"/>
      <w:lvlText w:val="•"/>
      <w:lvlJc w:val="left"/>
      <w:pPr>
        <w:ind w:left="8920" w:hanging="361"/>
      </w:pPr>
      <w:rPr>
        <w:rFonts w:hint="default"/>
      </w:rPr>
    </w:lvl>
  </w:abstractNum>
  <w:abstractNum w:abstractNumId="2">
    <w:nsid w:val="162A6FB0"/>
    <w:multiLevelType w:val="hybridMultilevel"/>
    <w:tmpl w:val="540E35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216B54"/>
    <w:multiLevelType w:val="hybridMultilevel"/>
    <w:tmpl w:val="874E4676"/>
    <w:lvl w:ilvl="0">
      <w:start w:val="1"/>
      <w:numFmt w:val="bullet"/>
      <w:lvlText w:val=""/>
      <w:lvlJc w:val="left"/>
      <w:pPr>
        <w:ind w:left="782" w:hanging="360"/>
      </w:pPr>
      <w:rPr>
        <w:rFonts w:ascii="Symbol" w:hAnsi="Symbol" w:hint="default"/>
      </w:rPr>
    </w:lvl>
    <w:lvl w:ilvl="1" w:tentative="1">
      <w:start w:val="1"/>
      <w:numFmt w:val="bullet"/>
      <w:lvlText w:val="o"/>
      <w:lvlJc w:val="left"/>
      <w:pPr>
        <w:ind w:left="1502" w:hanging="360"/>
      </w:pPr>
      <w:rPr>
        <w:rFonts w:ascii="Courier New" w:hAnsi="Courier New" w:cs="Courier New" w:hint="default"/>
      </w:rPr>
    </w:lvl>
    <w:lvl w:ilvl="2" w:tentative="1">
      <w:start w:val="1"/>
      <w:numFmt w:val="bullet"/>
      <w:lvlText w:val=""/>
      <w:lvlJc w:val="left"/>
      <w:pPr>
        <w:ind w:left="2222" w:hanging="360"/>
      </w:pPr>
      <w:rPr>
        <w:rFonts w:ascii="Wingdings" w:hAnsi="Wingdings" w:hint="default"/>
      </w:rPr>
    </w:lvl>
    <w:lvl w:ilvl="3" w:tentative="1">
      <w:start w:val="1"/>
      <w:numFmt w:val="bullet"/>
      <w:lvlText w:val=""/>
      <w:lvlJc w:val="left"/>
      <w:pPr>
        <w:ind w:left="2942" w:hanging="360"/>
      </w:pPr>
      <w:rPr>
        <w:rFonts w:ascii="Symbol" w:hAnsi="Symbol" w:hint="default"/>
      </w:rPr>
    </w:lvl>
    <w:lvl w:ilvl="4" w:tentative="1">
      <w:start w:val="1"/>
      <w:numFmt w:val="bullet"/>
      <w:lvlText w:val="o"/>
      <w:lvlJc w:val="left"/>
      <w:pPr>
        <w:ind w:left="3662" w:hanging="360"/>
      </w:pPr>
      <w:rPr>
        <w:rFonts w:ascii="Courier New" w:hAnsi="Courier New" w:cs="Courier New" w:hint="default"/>
      </w:rPr>
    </w:lvl>
    <w:lvl w:ilvl="5" w:tentative="1">
      <w:start w:val="1"/>
      <w:numFmt w:val="bullet"/>
      <w:lvlText w:val=""/>
      <w:lvlJc w:val="left"/>
      <w:pPr>
        <w:ind w:left="4382" w:hanging="360"/>
      </w:pPr>
      <w:rPr>
        <w:rFonts w:ascii="Wingdings" w:hAnsi="Wingdings" w:hint="default"/>
      </w:rPr>
    </w:lvl>
    <w:lvl w:ilvl="6" w:tentative="1">
      <w:start w:val="1"/>
      <w:numFmt w:val="bullet"/>
      <w:lvlText w:val=""/>
      <w:lvlJc w:val="left"/>
      <w:pPr>
        <w:ind w:left="5102" w:hanging="360"/>
      </w:pPr>
      <w:rPr>
        <w:rFonts w:ascii="Symbol" w:hAnsi="Symbol" w:hint="default"/>
      </w:rPr>
    </w:lvl>
    <w:lvl w:ilvl="7" w:tentative="1">
      <w:start w:val="1"/>
      <w:numFmt w:val="bullet"/>
      <w:lvlText w:val="o"/>
      <w:lvlJc w:val="left"/>
      <w:pPr>
        <w:ind w:left="5822" w:hanging="360"/>
      </w:pPr>
      <w:rPr>
        <w:rFonts w:ascii="Courier New" w:hAnsi="Courier New" w:cs="Courier New" w:hint="default"/>
      </w:rPr>
    </w:lvl>
    <w:lvl w:ilvl="8" w:tentative="1">
      <w:start w:val="1"/>
      <w:numFmt w:val="bullet"/>
      <w:lvlText w:val=""/>
      <w:lvlJc w:val="left"/>
      <w:pPr>
        <w:ind w:left="6542" w:hanging="360"/>
      </w:pPr>
      <w:rPr>
        <w:rFonts w:ascii="Wingdings" w:hAnsi="Wingdings" w:hint="default"/>
      </w:rPr>
    </w:lvl>
  </w:abstractNum>
  <w:abstractNum w:abstractNumId="4">
    <w:nsid w:val="25E16289"/>
    <w:multiLevelType w:val="hybridMultilevel"/>
    <w:tmpl w:val="96D02034"/>
    <w:lvl w:ilvl="0">
      <w:start w:val="1"/>
      <w:numFmt w:val="decimal"/>
      <w:pStyle w:val="QuestionNumbered"/>
      <w:lvlText w:val="%1."/>
      <w:lvlJc w:val="left"/>
      <w:pPr>
        <w:ind w:left="2340" w:hanging="21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27923E79"/>
    <w:multiLevelType w:val="hybridMultilevel"/>
    <w:tmpl w:val="CD606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E565A70"/>
    <w:multiLevelType w:val="hybridMultilevel"/>
    <w:tmpl w:val="6C2688B0"/>
    <w:lvl w:ilvl="0">
      <w:start w:val="0"/>
      <w:numFmt w:val="bullet"/>
      <w:lvlText w:val=""/>
      <w:lvlJc w:val="left"/>
      <w:pPr>
        <w:ind w:left="720" w:hanging="360"/>
      </w:pPr>
      <w:rPr>
        <w:rFonts w:ascii="Symbol" w:eastAsia="Times New Roman" w:hAnsi="Symbol" w:cs="Times New Roman" w:hint="default"/>
        <w:b/>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7">
    <w:nsid w:val="32692125"/>
    <w:multiLevelType w:val="hybridMultilevel"/>
    <w:tmpl w:val="83DE5A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0203E7F"/>
    <w:multiLevelType w:val="hybridMultilevel"/>
    <w:tmpl w:val="8BFCD4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7EE3981"/>
    <w:multiLevelType w:val="hybridMultilevel"/>
    <w:tmpl w:val="B81EF9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3801C6B"/>
    <w:multiLevelType w:val="hybridMultilevel"/>
    <w:tmpl w:val="BE9E48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FE9325F"/>
    <w:multiLevelType w:val="hybridMultilevel"/>
    <w:tmpl w:val="5780635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61E84DEB"/>
    <w:multiLevelType w:val="hybridMultilevel"/>
    <w:tmpl w:val="EAB2466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nsid w:val="6A6033D7"/>
    <w:multiLevelType w:val="hybridMultilevel"/>
    <w:tmpl w:val="F63057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3AA244A"/>
    <w:multiLevelType w:val="hybridMultilevel"/>
    <w:tmpl w:val="4ACA9E54"/>
    <w:lvl w:ilvl="0">
      <w:start w:val="0"/>
      <w:numFmt w:val="bullet"/>
      <w:lvlText w:val=""/>
      <w:lvlJc w:val="left"/>
      <w:pPr>
        <w:ind w:left="1080" w:hanging="360"/>
      </w:pPr>
      <w:rPr>
        <w:rFonts w:ascii="Symbol" w:eastAsia="Times New Roman" w:hAnsi="Symbol" w:cs="Times New Roman" w:hint="default"/>
        <w:b/>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827749834">
    <w:abstractNumId w:val="12"/>
  </w:num>
  <w:num w:numId="2" w16cid:durableId="1046566714">
    <w:abstractNumId w:val="11"/>
  </w:num>
  <w:num w:numId="3" w16cid:durableId="153840911">
    <w:abstractNumId w:val="0"/>
  </w:num>
  <w:num w:numId="4" w16cid:durableId="1406297402">
    <w:abstractNumId w:val="7"/>
  </w:num>
  <w:num w:numId="5" w16cid:durableId="1564174327">
    <w:abstractNumId w:val="9"/>
  </w:num>
  <w:num w:numId="6" w16cid:durableId="2115904865">
    <w:abstractNumId w:val="14"/>
  </w:num>
  <w:num w:numId="7" w16cid:durableId="272904534">
    <w:abstractNumId w:val="6"/>
  </w:num>
  <w:num w:numId="8" w16cid:durableId="1825775425">
    <w:abstractNumId w:val="1"/>
  </w:num>
  <w:num w:numId="9" w16cid:durableId="19694355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1148646">
    <w:abstractNumId w:val="4"/>
  </w:num>
  <w:num w:numId="11" w16cid:durableId="1832519154">
    <w:abstractNumId w:val="8"/>
  </w:num>
  <w:num w:numId="12" w16cid:durableId="1759865359">
    <w:abstractNumId w:val="13"/>
  </w:num>
  <w:num w:numId="13" w16cid:durableId="1475290774">
    <w:abstractNumId w:val="2"/>
  </w:num>
  <w:num w:numId="14" w16cid:durableId="366492143">
    <w:abstractNumId w:val="5"/>
  </w:num>
  <w:num w:numId="15" w16cid:durableId="345987203">
    <w:abstractNumId w:val="10"/>
  </w:num>
  <w:num w:numId="16" w16cid:durableId="63117893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CF9"/>
    <w:rsid w:val="000039E3"/>
    <w:rsid w:val="00007359"/>
    <w:rsid w:val="000131B4"/>
    <w:rsid w:val="00014C81"/>
    <w:rsid w:val="000151FD"/>
    <w:rsid w:val="00020E3F"/>
    <w:rsid w:val="00025EFA"/>
    <w:rsid w:val="0004438F"/>
    <w:rsid w:val="00054A05"/>
    <w:rsid w:val="00057FA5"/>
    <w:rsid w:val="000618F5"/>
    <w:rsid w:val="00063639"/>
    <w:rsid w:val="00066FC6"/>
    <w:rsid w:val="00073C50"/>
    <w:rsid w:val="000744F9"/>
    <w:rsid w:val="00074B23"/>
    <w:rsid w:val="000764CB"/>
    <w:rsid w:val="0007691C"/>
    <w:rsid w:val="00076951"/>
    <w:rsid w:val="000770F6"/>
    <w:rsid w:val="0008269D"/>
    <w:rsid w:val="00095362"/>
    <w:rsid w:val="000B0B5A"/>
    <w:rsid w:val="000C351F"/>
    <w:rsid w:val="000C7471"/>
    <w:rsid w:val="000D0AC2"/>
    <w:rsid w:val="000D0F81"/>
    <w:rsid w:val="000D2E2A"/>
    <w:rsid w:val="000D436F"/>
    <w:rsid w:val="000D7C5B"/>
    <w:rsid w:val="000F2E05"/>
    <w:rsid w:val="000F49ED"/>
    <w:rsid w:val="00100495"/>
    <w:rsid w:val="00104868"/>
    <w:rsid w:val="0010772F"/>
    <w:rsid w:val="00110806"/>
    <w:rsid w:val="00114647"/>
    <w:rsid w:val="00115818"/>
    <w:rsid w:val="001215A9"/>
    <w:rsid w:val="001273C9"/>
    <w:rsid w:val="00141CBE"/>
    <w:rsid w:val="00145510"/>
    <w:rsid w:val="00145A08"/>
    <w:rsid w:val="001479B8"/>
    <w:rsid w:val="001507A3"/>
    <w:rsid w:val="001617FE"/>
    <w:rsid w:val="001622F0"/>
    <w:rsid w:val="0016247C"/>
    <w:rsid w:val="001750AE"/>
    <w:rsid w:val="001809DD"/>
    <w:rsid w:val="001836DD"/>
    <w:rsid w:val="001845B4"/>
    <w:rsid w:val="00194F09"/>
    <w:rsid w:val="001A4F64"/>
    <w:rsid w:val="001B06E2"/>
    <w:rsid w:val="001B4C7B"/>
    <w:rsid w:val="001B4F42"/>
    <w:rsid w:val="001B6C97"/>
    <w:rsid w:val="001B7E6E"/>
    <w:rsid w:val="001C5E29"/>
    <w:rsid w:val="001D3BB1"/>
    <w:rsid w:val="001D5E27"/>
    <w:rsid w:val="001E629D"/>
    <w:rsid w:val="001F1F22"/>
    <w:rsid w:val="00203593"/>
    <w:rsid w:val="00212F78"/>
    <w:rsid w:val="00214CC1"/>
    <w:rsid w:val="00215394"/>
    <w:rsid w:val="00221FA3"/>
    <w:rsid w:val="00223521"/>
    <w:rsid w:val="002264E2"/>
    <w:rsid w:val="00230F06"/>
    <w:rsid w:val="0023359B"/>
    <w:rsid w:val="00242E2E"/>
    <w:rsid w:val="00244BCF"/>
    <w:rsid w:val="00244E81"/>
    <w:rsid w:val="00255A7A"/>
    <w:rsid w:val="00260D13"/>
    <w:rsid w:val="002661FE"/>
    <w:rsid w:val="00266B18"/>
    <w:rsid w:val="00273E37"/>
    <w:rsid w:val="00280B0B"/>
    <w:rsid w:val="00296DEC"/>
    <w:rsid w:val="002A09BA"/>
    <w:rsid w:val="002B37EA"/>
    <w:rsid w:val="002D0505"/>
    <w:rsid w:val="002D287B"/>
    <w:rsid w:val="002D6238"/>
    <w:rsid w:val="002E2960"/>
    <w:rsid w:val="002E2B5A"/>
    <w:rsid w:val="002E45C7"/>
    <w:rsid w:val="002F3E9C"/>
    <w:rsid w:val="002F52EE"/>
    <w:rsid w:val="002F7F08"/>
    <w:rsid w:val="00320F4C"/>
    <w:rsid w:val="00326EC1"/>
    <w:rsid w:val="003278CB"/>
    <w:rsid w:val="003347C1"/>
    <w:rsid w:val="00336DBF"/>
    <w:rsid w:val="003412D8"/>
    <w:rsid w:val="00345252"/>
    <w:rsid w:val="00354809"/>
    <w:rsid w:val="00360AF4"/>
    <w:rsid w:val="00370B6A"/>
    <w:rsid w:val="00370C5B"/>
    <w:rsid w:val="00371DC7"/>
    <w:rsid w:val="00372676"/>
    <w:rsid w:val="00380260"/>
    <w:rsid w:val="003A633C"/>
    <w:rsid w:val="003B234D"/>
    <w:rsid w:val="003B3FB0"/>
    <w:rsid w:val="003C2B04"/>
    <w:rsid w:val="003C5FAF"/>
    <w:rsid w:val="003D1A06"/>
    <w:rsid w:val="003D1C8B"/>
    <w:rsid w:val="003D2C0B"/>
    <w:rsid w:val="003D33FA"/>
    <w:rsid w:val="003E2100"/>
    <w:rsid w:val="003E7487"/>
    <w:rsid w:val="003E7CC6"/>
    <w:rsid w:val="003F0161"/>
    <w:rsid w:val="003F1102"/>
    <w:rsid w:val="00405AFC"/>
    <w:rsid w:val="00406D95"/>
    <w:rsid w:val="004134E7"/>
    <w:rsid w:val="00413B7A"/>
    <w:rsid w:val="00414A77"/>
    <w:rsid w:val="00422A1B"/>
    <w:rsid w:val="00423157"/>
    <w:rsid w:val="00432367"/>
    <w:rsid w:val="00432937"/>
    <w:rsid w:val="00437689"/>
    <w:rsid w:val="00442895"/>
    <w:rsid w:val="00454633"/>
    <w:rsid w:val="004559C5"/>
    <w:rsid w:val="0045609E"/>
    <w:rsid w:val="004604B7"/>
    <w:rsid w:val="004754EF"/>
    <w:rsid w:val="00490C1C"/>
    <w:rsid w:val="00492FAC"/>
    <w:rsid w:val="00496039"/>
    <w:rsid w:val="00496E3C"/>
    <w:rsid w:val="00497E02"/>
    <w:rsid w:val="004A04EE"/>
    <w:rsid w:val="004A18DB"/>
    <w:rsid w:val="004A63B8"/>
    <w:rsid w:val="004B2E7B"/>
    <w:rsid w:val="004B7282"/>
    <w:rsid w:val="004B7FC9"/>
    <w:rsid w:val="004D436B"/>
    <w:rsid w:val="004E0E89"/>
    <w:rsid w:val="004E2234"/>
    <w:rsid w:val="004E36D7"/>
    <w:rsid w:val="004E5D14"/>
    <w:rsid w:val="004E7B5E"/>
    <w:rsid w:val="004F61B4"/>
    <w:rsid w:val="00500B36"/>
    <w:rsid w:val="00507A96"/>
    <w:rsid w:val="00507AE1"/>
    <w:rsid w:val="00510A0B"/>
    <w:rsid w:val="0052145D"/>
    <w:rsid w:val="005332A6"/>
    <w:rsid w:val="00535733"/>
    <w:rsid w:val="00544C58"/>
    <w:rsid w:val="0054576D"/>
    <w:rsid w:val="00553D1A"/>
    <w:rsid w:val="00554212"/>
    <w:rsid w:val="00571600"/>
    <w:rsid w:val="00572AEB"/>
    <w:rsid w:val="00572DAB"/>
    <w:rsid w:val="0057711D"/>
    <w:rsid w:val="00581E95"/>
    <w:rsid w:val="005842A5"/>
    <w:rsid w:val="005859C0"/>
    <w:rsid w:val="00590562"/>
    <w:rsid w:val="00596D8C"/>
    <w:rsid w:val="005A1179"/>
    <w:rsid w:val="005A3928"/>
    <w:rsid w:val="005B18A3"/>
    <w:rsid w:val="005C5691"/>
    <w:rsid w:val="005D6842"/>
    <w:rsid w:val="005E168A"/>
    <w:rsid w:val="005E3581"/>
    <w:rsid w:val="005F364D"/>
    <w:rsid w:val="005F6841"/>
    <w:rsid w:val="00601213"/>
    <w:rsid w:val="006049D9"/>
    <w:rsid w:val="00606E55"/>
    <w:rsid w:val="0060743B"/>
    <w:rsid w:val="00607FB0"/>
    <w:rsid w:val="006157B7"/>
    <w:rsid w:val="00626835"/>
    <w:rsid w:val="00630283"/>
    <w:rsid w:val="006326E2"/>
    <w:rsid w:val="006477CE"/>
    <w:rsid w:val="00652061"/>
    <w:rsid w:val="00654453"/>
    <w:rsid w:val="00654889"/>
    <w:rsid w:val="00666967"/>
    <w:rsid w:val="00666F06"/>
    <w:rsid w:val="00671728"/>
    <w:rsid w:val="00672122"/>
    <w:rsid w:val="0068317A"/>
    <w:rsid w:val="00685BEB"/>
    <w:rsid w:val="00695054"/>
    <w:rsid w:val="00697091"/>
    <w:rsid w:val="006A1FE7"/>
    <w:rsid w:val="006B11E3"/>
    <w:rsid w:val="006B355B"/>
    <w:rsid w:val="006B54FE"/>
    <w:rsid w:val="006C36EC"/>
    <w:rsid w:val="006C38C5"/>
    <w:rsid w:val="006D10A1"/>
    <w:rsid w:val="006D2593"/>
    <w:rsid w:val="006D716F"/>
    <w:rsid w:val="006D737E"/>
    <w:rsid w:val="006E013B"/>
    <w:rsid w:val="006E1CEC"/>
    <w:rsid w:val="006E2A62"/>
    <w:rsid w:val="006E2BCE"/>
    <w:rsid w:val="006F0313"/>
    <w:rsid w:val="006F04C7"/>
    <w:rsid w:val="006F3F3A"/>
    <w:rsid w:val="006F442A"/>
    <w:rsid w:val="0070029E"/>
    <w:rsid w:val="007035B2"/>
    <w:rsid w:val="00706558"/>
    <w:rsid w:val="00711123"/>
    <w:rsid w:val="007154F7"/>
    <w:rsid w:val="00717C37"/>
    <w:rsid w:val="00722D84"/>
    <w:rsid w:val="00730A00"/>
    <w:rsid w:val="0073177C"/>
    <w:rsid w:val="00733F01"/>
    <w:rsid w:val="007453F1"/>
    <w:rsid w:val="00745E5D"/>
    <w:rsid w:val="00750649"/>
    <w:rsid w:val="007521AA"/>
    <w:rsid w:val="00752DB4"/>
    <w:rsid w:val="0076412C"/>
    <w:rsid w:val="00764874"/>
    <w:rsid w:val="00770541"/>
    <w:rsid w:val="007756D0"/>
    <w:rsid w:val="00790C59"/>
    <w:rsid w:val="007A24E6"/>
    <w:rsid w:val="007A3F28"/>
    <w:rsid w:val="007B28B8"/>
    <w:rsid w:val="007B5720"/>
    <w:rsid w:val="007B6D8E"/>
    <w:rsid w:val="007D0760"/>
    <w:rsid w:val="007D0D23"/>
    <w:rsid w:val="007D18FB"/>
    <w:rsid w:val="007D6FD4"/>
    <w:rsid w:val="007D7FA5"/>
    <w:rsid w:val="007E159E"/>
    <w:rsid w:val="007F2F6D"/>
    <w:rsid w:val="007F44C5"/>
    <w:rsid w:val="007F7C49"/>
    <w:rsid w:val="0080334E"/>
    <w:rsid w:val="008052F9"/>
    <w:rsid w:val="008063F4"/>
    <w:rsid w:val="00806BD3"/>
    <w:rsid w:val="0081296D"/>
    <w:rsid w:val="00813B9A"/>
    <w:rsid w:val="0081452E"/>
    <w:rsid w:val="008173F0"/>
    <w:rsid w:val="00817682"/>
    <w:rsid w:val="00820A0E"/>
    <w:rsid w:val="00822831"/>
    <w:rsid w:val="0082537E"/>
    <w:rsid w:val="008355C6"/>
    <w:rsid w:val="00836BD5"/>
    <w:rsid w:val="00837593"/>
    <w:rsid w:val="00840C2D"/>
    <w:rsid w:val="008458B8"/>
    <w:rsid w:val="00846434"/>
    <w:rsid w:val="00847E53"/>
    <w:rsid w:val="00872F9D"/>
    <w:rsid w:val="008870A3"/>
    <w:rsid w:val="00893EBC"/>
    <w:rsid w:val="008B34A7"/>
    <w:rsid w:val="008C164D"/>
    <w:rsid w:val="008C45BB"/>
    <w:rsid w:val="008C760D"/>
    <w:rsid w:val="008D03A3"/>
    <w:rsid w:val="008D7A9C"/>
    <w:rsid w:val="008E3395"/>
    <w:rsid w:val="008E3F2E"/>
    <w:rsid w:val="008E7BEC"/>
    <w:rsid w:val="008F1C9F"/>
    <w:rsid w:val="00901778"/>
    <w:rsid w:val="00906101"/>
    <w:rsid w:val="0090780C"/>
    <w:rsid w:val="00910C4F"/>
    <w:rsid w:val="00914C14"/>
    <w:rsid w:val="00917F02"/>
    <w:rsid w:val="00924ABB"/>
    <w:rsid w:val="00926157"/>
    <w:rsid w:val="009266A8"/>
    <w:rsid w:val="009348CC"/>
    <w:rsid w:val="00935B48"/>
    <w:rsid w:val="009364B2"/>
    <w:rsid w:val="00943A62"/>
    <w:rsid w:val="00945F89"/>
    <w:rsid w:val="009501EA"/>
    <w:rsid w:val="009610CA"/>
    <w:rsid w:val="009629F0"/>
    <w:rsid w:val="00964DFE"/>
    <w:rsid w:val="00966BB0"/>
    <w:rsid w:val="00975522"/>
    <w:rsid w:val="009A0F87"/>
    <w:rsid w:val="009A4826"/>
    <w:rsid w:val="009B1D0D"/>
    <w:rsid w:val="009B53B5"/>
    <w:rsid w:val="009C204A"/>
    <w:rsid w:val="009C2F8C"/>
    <w:rsid w:val="009C3901"/>
    <w:rsid w:val="009D215A"/>
    <w:rsid w:val="009D70D3"/>
    <w:rsid w:val="009E2059"/>
    <w:rsid w:val="009F7850"/>
    <w:rsid w:val="009F7D87"/>
    <w:rsid w:val="00A01AED"/>
    <w:rsid w:val="00A06F41"/>
    <w:rsid w:val="00A14CC0"/>
    <w:rsid w:val="00A15FB8"/>
    <w:rsid w:val="00A16BE1"/>
    <w:rsid w:val="00A20261"/>
    <w:rsid w:val="00A237A8"/>
    <w:rsid w:val="00A24E4F"/>
    <w:rsid w:val="00A310FE"/>
    <w:rsid w:val="00A32D4D"/>
    <w:rsid w:val="00A342E4"/>
    <w:rsid w:val="00A34738"/>
    <w:rsid w:val="00A366DE"/>
    <w:rsid w:val="00A416D9"/>
    <w:rsid w:val="00A509CF"/>
    <w:rsid w:val="00A74EA9"/>
    <w:rsid w:val="00A759E3"/>
    <w:rsid w:val="00A7610A"/>
    <w:rsid w:val="00A82E77"/>
    <w:rsid w:val="00A85580"/>
    <w:rsid w:val="00A865A6"/>
    <w:rsid w:val="00A879AA"/>
    <w:rsid w:val="00AA303A"/>
    <w:rsid w:val="00AA7B67"/>
    <w:rsid w:val="00AB2EA1"/>
    <w:rsid w:val="00AB372E"/>
    <w:rsid w:val="00AB580B"/>
    <w:rsid w:val="00AB6112"/>
    <w:rsid w:val="00AC176D"/>
    <w:rsid w:val="00AC2DA1"/>
    <w:rsid w:val="00AE112C"/>
    <w:rsid w:val="00AE5B97"/>
    <w:rsid w:val="00AF0926"/>
    <w:rsid w:val="00AF550E"/>
    <w:rsid w:val="00B01454"/>
    <w:rsid w:val="00B056AC"/>
    <w:rsid w:val="00B06416"/>
    <w:rsid w:val="00B244F7"/>
    <w:rsid w:val="00B31331"/>
    <w:rsid w:val="00B542B1"/>
    <w:rsid w:val="00B55496"/>
    <w:rsid w:val="00B61462"/>
    <w:rsid w:val="00B64B76"/>
    <w:rsid w:val="00B65547"/>
    <w:rsid w:val="00B75FEA"/>
    <w:rsid w:val="00B76696"/>
    <w:rsid w:val="00B771AD"/>
    <w:rsid w:val="00B775C2"/>
    <w:rsid w:val="00B81836"/>
    <w:rsid w:val="00B941CC"/>
    <w:rsid w:val="00B944E2"/>
    <w:rsid w:val="00B96D29"/>
    <w:rsid w:val="00BA11C4"/>
    <w:rsid w:val="00BB06BD"/>
    <w:rsid w:val="00BB1BAF"/>
    <w:rsid w:val="00BB4278"/>
    <w:rsid w:val="00BB435C"/>
    <w:rsid w:val="00BB6247"/>
    <w:rsid w:val="00BC2D38"/>
    <w:rsid w:val="00BC7626"/>
    <w:rsid w:val="00BC783A"/>
    <w:rsid w:val="00BF1930"/>
    <w:rsid w:val="00C05CF9"/>
    <w:rsid w:val="00C130C4"/>
    <w:rsid w:val="00C132F1"/>
    <w:rsid w:val="00C259A0"/>
    <w:rsid w:val="00C278A5"/>
    <w:rsid w:val="00C37A4F"/>
    <w:rsid w:val="00C46AE1"/>
    <w:rsid w:val="00C46AFC"/>
    <w:rsid w:val="00C47317"/>
    <w:rsid w:val="00C52C82"/>
    <w:rsid w:val="00C5368C"/>
    <w:rsid w:val="00C56016"/>
    <w:rsid w:val="00C57BAD"/>
    <w:rsid w:val="00C65A40"/>
    <w:rsid w:val="00C8076F"/>
    <w:rsid w:val="00C93167"/>
    <w:rsid w:val="00CA3E6E"/>
    <w:rsid w:val="00CC519D"/>
    <w:rsid w:val="00CD11BD"/>
    <w:rsid w:val="00CD68B9"/>
    <w:rsid w:val="00CE3EE0"/>
    <w:rsid w:val="00CE4001"/>
    <w:rsid w:val="00CF5CCD"/>
    <w:rsid w:val="00D011C0"/>
    <w:rsid w:val="00D05B25"/>
    <w:rsid w:val="00D107E2"/>
    <w:rsid w:val="00D12A4B"/>
    <w:rsid w:val="00D16196"/>
    <w:rsid w:val="00D17663"/>
    <w:rsid w:val="00D23860"/>
    <w:rsid w:val="00D245E0"/>
    <w:rsid w:val="00D24987"/>
    <w:rsid w:val="00D25C97"/>
    <w:rsid w:val="00D32782"/>
    <w:rsid w:val="00D347D9"/>
    <w:rsid w:val="00D4141B"/>
    <w:rsid w:val="00D50970"/>
    <w:rsid w:val="00D51ADB"/>
    <w:rsid w:val="00D53BE9"/>
    <w:rsid w:val="00D54C5D"/>
    <w:rsid w:val="00D61D84"/>
    <w:rsid w:val="00D70142"/>
    <w:rsid w:val="00D76FCB"/>
    <w:rsid w:val="00D83DA4"/>
    <w:rsid w:val="00D86F62"/>
    <w:rsid w:val="00D943AF"/>
    <w:rsid w:val="00D9490C"/>
    <w:rsid w:val="00D95F73"/>
    <w:rsid w:val="00DB6AE0"/>
    <w:rsid w:val="00DC5220"/>
    <w:rsid w:val="00DD7783"/>
    <w:rsid w:val="00DE5904"/>
    <w:rsid w:val="00DE5DD6"/>
    <w:rsid w:val="00DE77F7"/>
    <w:rsid w:val="00DF0EF5"/>
    <w:rsid w:val="00E03439"/>
    <w:rsid w:val="00E03671"/>
    <w:rsid w:val="00E063C2"/>
    <w:rsid w:val="00E11765"/>
    <w:rsid w:val="00E1259A"/>
    <w:rsid w:val="00E27D53"/>
    <w:rsid w:val="00E310DF"/>
    <w:rsid w:val="00E361F2"/>
    <w:rsid w:val="00E47CA8"/>
    <w:rsid w:val="00E53F7B"/>
    <w:rsid w:val="00E56340"/>
    <w:rsid w:val="00E56B1C"/>
    <w:rsid w:val="00E63A25"/>
    <w:rsid w:val="00E64618"/>
    <w:rsid w:val="00E65B0F"/>
    <w:rsid w:val="00E67000"/>
    <w:rsid w:val="00E70C94"/>
    <w:rsid w:val="00E70DC5"/>
    <w:rsid w:val="00E81884"/>
    <w:rsid w:val="00E90042"/>
    <w:rsid w:val="00E91E93"/>
    <w:rsid w:val="00E938D2"/>
    <w:rsid w:val="00E9500B"/>
    <w:rsid w:val="00EA22AB"/>
    <w:rsid w:val="00EA2612"/>
    <w:rsid w:val="00EA33CD"/>
    <w:rsid w:val="00ED0425"/>
    <w:rsid w:val="00ED529C"/>
    <w:rsid w:val="00EE150F"/>
    <w:rsid w:val="00EE3149"/>
    <w:rsid w:val="00F00F00"/>
    <w:rsid w:val="00F058D1"/>
    <w:rsid w:val="00F152F2"/>
    <w:rsid w:val="00F153CA"/>
    <w:rsid w:val="00F210EF"/>
    <w:rsid w:val="00F23C57"/>
    <w:rsid w:val="00F254BF"/>
    <w:rsid w:val="00F33B48"/>
    <w:rsid w:val="00F37391"/>
    <w:rsid w:val="00F37E48"/>
    <w:rsid w:val="00F437FE"/>
    <w:rsid w:val="00F531E0"/>
    <w:rsid w:val="00F5477E"/>
    <w:rsid w:val="00F57054"/>
    <w:rsid w:val="00F573BC"/>
    <w:rsid w:val="00F62683"/>
    <w:rsid w:val="00F7760C"/>
    <w:rsid w:val="00F83BFE"/>
    <w:rsid w:val="00F91853"/>
    <w:rsid w:val="00F9758C"/>
    <w:rsid w:val="00F9776B"/>
    <w:rsid w:val="00FA52C2"/>
    <w:rsid w:val="00FB1DB6"/>
    <w:rsid w:val="00FB2CC9"/>
    <w:rsid w:val="00FC2D80"/>
    <w:rsid w:val="00FD1B75"/>
    <w:rsid w:val="00FD5892"/>
    <w:rsid w:val="00FF2CD0"/>
    <w:rsid w:val="00FF4B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C72F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adjustRightInd w:val="0"/>
    </w:pPr>
  </w:style>
  <w:style w:type="paragraph" w:styleId="Heading1">
    <w:name w:val="heading 1"/>
    <w:aliases w:val="H1-Sec.Head"/>
    <w:basedOn w:val="Normal"/>
    <w:next w:val="Normal"/>
    <w:link w:val="Heading1Char"/>
    <w:uiPriority w:val="9"/>
    <w:qFormat/>
    <w:pPr>
      <w:keepNext/>
      <w:jc w:val="center"/>
      <w:outlineLvl w:val="0"/>
    </w:pPr>
    <w:rPr>
      <w:sz w:val="24"/>
      <w:szCs w:val="24"/>
    </w:rPr>
  </w:style>
  <w:style w:type="paragraph" w:styleId="Heading2">
    <w:name w:val="heading 2"/>
    <w:aliases w:val="H2-Sec. Head"/>
    <w:basedOn w:val="Normal"/>
    <w:next w:val="Normal"/>
    <w:link w:val="Heading2Char"/>
    <w:uiPriority w:val="1"/>
    <w:qFormat/>
    <w:pPr>
      <w:keepNext/>
      <w:tabs>
        <w:tab w:val="left" w:pos="1152"/>
      </w:tabs>
      <w:autoSpaceDE/>
      <w:autoSpaceDN/>
      <w:adjustRightInd/>
      <w:spacing w:after="360" w:line="360" w:lineRule="atLeast"/>
      <w:ind w:left="1152" w:hanging="1152"/>
      <w:outlineLvl w:val="1"/>
    </w:pPr>
    <w:rPr>
      <w:b/>
      <w:sz w:val="22"/>
    </w:rPr>
  </w:style>
  <w:style w:type="paragraph" w:styleId="Heading3">
    <w:name w:val="heading 3"/>
    <w:aliases w:val="H3-Sec. Head"/>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center"/>
      <w:outlineLvl w:val="3"/>
    </w:pPr>
    <w:rPr>
      <w:b/>
      <w:sz w:val="24"/>
      <w:szCs w:val="24"/>
    </w:rPr>
  </w:style>
  <w:style w:type="paragraph" w:styleId="Heading5">
    <w:name w:val="heading 5"/>
    <w:basedOn w:val="Normal"/>
    <w:next w:val="Normal"/>
    <w:qFormat/>
    <w:pPr>
      <w:keepNext/>
      <w:jc w:val="center"/>
      <w:outlineLvl w:val="4"/>
    </w:pPr>
    <w:rPr>
      <w:b/>
      <w:sz w:val="28"/>
      <w:szCs w:val="28"/>
    </w:rPr>
  </w:style>
  <w:style w:type="paragraph" w:styleId="Heading6">
    <w:name w:val="heading 6"/>
    <w:basedOn w:val="Normal"/>
    <w:next w:val="Normal"/>
    <w:qFormat/>
    <w:pPr>
      <w:keepNext/>
      <w:jc w:val="both"/>
      <w:outlineLvl w:val="5"/>
    </w:pPr>
    <w:rPr>
      <w:bCs/>
      <w:sz w:val="24"/>
      <w:szCs w:val="22"/>
    </w:rPr>
  </w:style>
  <w:style w:type="paragraph" w:styleId="Heading7">
    <w:name w:val="heading 7"/>
    <w:basedOn w:val="Normal"/>
    <w:next w:val="Normal"/>
    <w:qFormat/>
    <w:pPr>
      <w:keepNext/>
      <w:jc w:val="both"/>
      <w:outlineLvl w:val="6"/>
    </w:pPr>
    <w:rPr>
      <w:b/>
      <w:bCs/>
      <w:sz w:val="24"/>
      <w:szCs w:val="24"/>
    </w:rPr>
  </w:style>
  <w:style w:type="paragraph" w:styleId="Heading8">
    <w:name w:val="heading 8"/>
    <w:basedOn w:val="Normal"/>
    <w:next w:val="Normal"/>
    <w:qFormat/>
    <w:pPr>
      <w:keepNext/>
      <w:tabs>
        <w:tab w:val="left" w:pos="540"/>
        <w:tab w:val="left" w:pos="2573"/>
        <w:tab w:val="left" w:pos="7523"/>
        <w:tab w:val="left" w:pos="8729"/>
        <w:tab w:val="left" w:pos="9935"/>
      </w:tabs>
      <w:ind w:left="540" w:hanging="540"/>
      <w:jc w:val="center"/>
      <w:outlineLvl w:val="7"/>
    </w:pPr>
    <w:rPr>
      <w:b/>
      <w:bCs/>
      <w:sz w:val="24"/>
      <w:szCs w:val="24"/>
    </w:rPr>
  </w:style>
  <w:style w:type="paragraph" w:styleId="Heading9">
    <w:name w:val="heading 9"/>
    <w:basedOn w:val="Normal"/>
    <w:next w:val="Normal"/>
    <w:qFormat/>
    <w:pPr>
      <w:keepNext/>
      <w:ind w:left="720"/>
      <w:jc w:val="both"/>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764874"/>
    <w:rPr>
      <w:sz w:val="24"/>
      <w:szCs w:val="24"/>
    </w:rPr>
  </w:style>
  <w:style w:type="character" w:customStyle="1" w:styleId="Heading2Char">
    <w:name w:val="Heading 2 Char"/>
    <w:aliases w:val="H2-Sec. Head Char"/>
    <w:basedOn w:val="DefaultParagraphFont"/>
    <w:link w:val="Heading2"/>
    <w:uiPriority w:val="1"/>
    <w:rsid w:val="00764874"/>
    <w:rPr>
      <w:b/>
      <w:sz w:val="22"/>
    </w:rPr>
  </w:style>
  <w:style w:type="character" w:customStyle="1" w:styleId="Heading3Char">
    <w:name w:val="Heading 3 Char"/>
    <w:aliases w:val="H3-Sec. Head Char"/>
    <w:basedOn w:val="DefaultParagraphFont"/>
    <w:link w:val="Heading3"/>
    <w:uiPriority w:val="9"/>
    <w:rsid w:val="00764874"/>
    <w:rPr>
      <w:rFonts w:ascii="Arial" w:hAnsi="Arial" w:cs="Arial"/>
      <w:b/>
      <w:bCs/>
      <w:sz w:val="26"/>
      <w:szCs w:val="26"/>
    </w:rPr>
  </w:style>
  <w:style w:type="paragraph" w:customStyle="1" w:styleId="Level1">
    <w:name w:val="Level 1"/>
    <w:pPr>
      <w:autoSpaceDE w:val="0"/>
      <w:autoSpaceDN w:val="0"/>
      <w:adjustRightInd w:val="0"/>
      <w:ind w:left="720"/>
    </w:pPr>
    <w:rPr>
      <w:sz w:val="24"/>
      <w:szCs w:val="24"/>
    </w:rPr>
  </w:style>
  <w:style w:type="paragraph" w:customStyle="1" w:styleId="P1-StandPa1">
    <w:name w:val="P1-Stand Pa1"/>
    <w:pPr>
      <w:autoSpaceDE w:val="0"/>
      <w:autoSpaceDN w:val="0"/>
      <w:adjustRightInd w:val="0"/>
      <w:spacing w:before="240"/>
      <w:ind w:firstLine="1152"/>
      <w:jc w:val="both"/>
    </w:pPr>
    <w:rPr>
      <w:sz w:val="22"/>
      <w:szCs w:val="22"/>
    </w:rPr>
  </w:style>
  <w:style w:type="character" w:customStyle="1" w:styleId="SYSHYPERTEXT">
    <w:name w:val="SYS_HYPERTEXT"/>
    <w:rPr>
      <w:color w:val="0000FF"/>
      <w:u w:val="single"/>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A06F41"/>
  </w:style>
  <w:style w:type="character" w:styleId="PageNumber">
    <w:name w:val="page number"/>
    <w:basedOn w:val="DefaultParagraphFont"/>
  </w:style>
  <w:style w:type="paragraph" w:customStyle="1" w:styleId="P1-StandPara">
    <w:name w:val="P1-Stand Para"/>
    <w:pPr>
      <w:spacing w:before="240"/>
      <w:ind w:firstLine="1152"/>
      <w:jc w:val="both"/>
    </w:pPr>
    <w:rPr>
      <w:sz w:val="22"/>
    </w:rPr>
  </w:style>
  <w:style w:type="paragraph" w:customStyle="1" w:styleId="SL-FlLftSgl">
    <w:name w:val="SL-Fl Lft Sgl"/>
    <w:pPr>
      <w:spacing w:line="240" w:lineRule="atLeast"/>
      <w:jc w:val="both"/>
    </w:pPr>
    <w:rPr>
      <w:sz w:val="22"/>
    </w:rPr>
  </w:style>
  <w:style w:type="character" w:customStyle="1" w:styleId="P1-StandParaChar">
    <w:name w:val="P1-Stand Para Char"/>
    <w:rPr>
      <w:sz w:val="22"/>
      <w:lang w:val="en-US" w:eastAsia="en-US" w:bidi="ar-SA"/>
    </w:rPr>
  </w:style>
  <w:style w:type="character" w:customStyle="1" w:styleId="P1-StandPar">
    <w:name w:val="P1-Stand Par"/>
    <w:rPr>
      <w:sz w:val="22"/>
      <w:szCs w:val="22"/>
    </w:rPr>
  </w:style>
  <w:style w:type="character" w:customStyle="1" w:styleId="P1-StandParaChar1">
    <w:name w:val="P1-Stand Para Char1"/>
    <w:rPr>
      <w:sz w:val="22"/>
      <w:lang w:val="en-US" w:eastAsia="en-US" w:bidi="ar-SA"/>
    </w:rPr>
  </w:style>
  <w:style w:type="character" w:customStyle="1" w:styleId="USER">
    <w:name w:val="USER"/>
    <w:semiHidden/>
    <w:rPr>
      <w:rFonts w:ascii="Arial" w:hAnsi="Arial" w:cs="Arial"/>
      <w:color w:val="auto"/>
      <w:sz w:val="20"/>
      <w:szCs w:val="20"/>
    </w:rPr>
  </w:style>
  <w:style w:type="paragraph" w:customStyle="1" w:styleId="TT-TableTitle">
    <w:name w:val="TT-Table Title"/>
    <w:pPr>
      <w:tabs>
        <w:tab w:val="left" w:pos="1152"/>
      </w:tabs>
      <w:spacing w:line="240" w:lineRule="atLeast"/>
      <w:ind w:left="1152" w:hanging="1152"/>
    </w:pPr>
    <w:rPr>
      <w:sz w:val="2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sid w:val="00764874"/>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764874"/>
    <w:rPr>
      <w:rFonts w:ascii="Tahoma" w:hAnsi="Tahoma" w:cs="Tahoma"/>
      <w:sz w:val="16"/>
      <w:szCs w:val="16"/>
    </w:rPr>
  </w:style>
  <w:style w:type="character" w:styleId="FootnoteReference">
    <w:name w:val="footnote reference"/>
    <w:semiHidden/>
    <w:rPr>
      <w:position w:val="6"/>
      <w:sz w:val="16"/>
      <w:szCs w:val="16"/>
    </w:rPr>
  </w:style>
  <w:style w:type="paragraph" w:styleId="FootnoteText">
    <w:name w:val="footnote text"/>
    <w:aliases w:val="F1"/>
    <w:basedOn w:val="Normal"/>
    <w:semiHidden/>
    <w:pPr>
      <w:autoSpaceDE/>
      <w:autoSpaceDN/>
      <w:adjustRightInd/>
    </w:pPr>
    <w:rPr>
      <w:rFonts w:ascii="Tms Rmn" w:hAnsi="Tms Rmn" w:cs="Tms Rmn"/>
    </w:rPr>
  </w:style>
  <w:style w:type="paragraph" w:styleId="BodyText">
    <w:name w:val="Body Text"/>
    <w:basedOn w:val="Normal"/>
    <w:link w:val="BodyTextChar"/>
    <w:uiPriority w:val="1"/>
    <w:qFormat/>
    <w:pPr>
      <w:autoSpaceDE/>
      <w:autoSpaceDN/>
      <w:adjustRightInd/>
      <w:spacing w:line="480" w:lineRule="atLeast"/>
    </w:pPr>
    <w:rPr>
      <w:rFonts w:cs="Tms Rmn"/>
      <w:sz w:val="24"/>
      <w:szCs w:val="24"/>
    </w:rPr>
  </w:style>
  <w:style w:type="character" w:customStyle="1" w:styleId="BodyTextChar">
    <w:name w:val="Body Text Char"/>
    <w:basedOn w:val="DefaultParagraphFont"/>
    <w:link w:val="BodyText"/>
    <w:uiPriority w:val="1"/>
    <w:rsid w:val="00764874"/>
    <w:rPr>
      <w:rFonts w:cs="Tms Rmn"/>
      <w:sz w:val="24"/>
      <w:szCs w:val="24"/>
    </w:rPr>
  </w:style>
  <w:style w:type="paragraph" w:styleId="BodyTextIndent">
    <w:name w:val="Body Text Indent"/>
    <w:basedOn w:val="Normal"/>
    <w:pPr>
      <w:ind w:left="1080"/>
      <w:jc w:val="both"/>
    </w:pPr>
    <w:rPr>
      <w:sz w:val="24"/>
      <w:szCs w:val="24"/>
    </w:rPr>
  </w:style>
  <w:style w:type="paragraph" w:styleId="BodyTextIndent2">
    <w:name w:val="Body Text Indent 2"/>
    <w:basedOn w:val="Normal"/>
    <w:pPr>
      <w:ind w:left="720"/>
      <w:jc w:val="both"/>
    </w:pPr>
    <w:rPr>
      <w:sz w:val="24"/>
      <w:szCs w:val="24"/>
    </w:rPr>
  </w:style>
  <w:style w:type="paragraph" w:styleId="BodyTextIndent3">
    <w:name w:val="Body Text Indent 3"/>
    <w:basedOn w:val="Normal"/>
    <w:pPr>
      <w:ind w:left="1800"/>
      <w:jc w:val="both"/>
    </w:pPr>
    <w:rPr>
      <w:sz w:val="24"/>
      <w:szCs w:val="24"/>
    </w:rPr>
  </w:style>
  <w:style w:type="paragraph" w:customStyle="1" w:styleId="Quick1">
    <w:name w:val="Quick 1."/>
    <w:basedOn w:val="Normal"/>
    <w:pPr>
      <w:widowControl w:val="0"/>
      <w:autoSpaceDE/>
      <w:autoSpaceDN/>
      <w:adjustRightInd/>
    </w:pPr>
    <w:rPr>
      <w:sz w:val="24"/>
    </w:rPr>
  </w:style>
  <w:style w:type="paragraph" w:customStyle="1" w:styleId="A1-1stLeader">
    <w:name w:val="A1-1st Leader"/>
    <w:pPr>
      <w:tabs>
        <w:tab w:val="left" w:pos="1152"/>
        <w:tab w:val="right" w:leader="dot" w:pos="7200"/>
        <w:tab w:val="right" w:pos="7488"/>
        <w:tab w:val="left" w:pos="7632"/>
      </w:tabs>
      <w:spacing w:line="240" w:lineRule="atLeast"/>
      <w:ind w:left="720"/>
    </w:pPr>
    <w:rPr>
      <w:sz w:val="22"/>
    </w:rPr>
  </w:style>
  <w:style w:type="paragraph" w:customStyle="1" w:styleId="Q1-FirstLevelQuestion">
    <w:name w:val="Q1-First Level Question"/>
    <w:pPr>
      <w:tabs>
        <w:tab w:val="left" w:pos="720"/>
      </w:tabs>
      <w:spacing w:line="240" w:lineRule="atLeast"/>
      <w:ind w:left="720" w:hanging="720"/>
      <w:jc w:val="both"/>
    </w:pPr>
    <w:rPr>
      <w:sz w:val="22"/>
    </w:rPr>
  </w:style>
  <w:style w:type="paragraph" w:customStyle="1" w:styleId="N1-1stBullet">
    <w:name w:val="N1-1st Bullet"/>
    <w:basedOn w:val="Normal"/>
    <w:pPr>
      <w:tabs>
        <w:tab w:val="left" w:pos="1152"/>
      </w:tabs>
      <w:autoSpaceDE/>
      <w:autoSpaceDN/>
      <w:adjustRightInd/>
      <w:spacing w:after="240" w:line="240" w:lineRule="atLeast"/>
      <w:ind w:left="1152" w:hanging="576"/>
      <w:jc w:val="both"/>
    </w:pPr>
    <w:rPr>
      <w:sz w:val="22"/>
    </w:r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rsid w:val="009B1D0D"/>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764874"/>
    <w:rPr>
      <w:b/>
      <w:bCs/>
    </w:rPr>
  </w:style>
  <w:style w:type="character" w:customStyle="1" w:styleId="C2CtrSglS">
    <w:name w:val="C2Ctr Sgl S"/>
    <w:rsid w:val="004559C5"/>
  </w:style>
  <w:style w:type="paragraph" w:styleId="Revision">
    <w:name w:val="Revision"/>
    <w:hidden/>
    <w:uiPriority w:val="99"/>
    <w:semiHidden/>
    <w:rsid w:val="00F152F2"/>
  </w:style>
  <w:style w:type="paragraph" w:styleId="ListParagraph">
    <w:name w:val="List Paragraph"/>
    <w:basedOn w:val="Normal"/>
    <w:uiPriority w:val="34"/>
    <w:qFormat/>
    <w:rsid w:val="008C760D"/>
    <w:pPr>
      <w:ind w:left="720"/>
      <w:contextualSpacing/>
    </w:pPr>
  </w:style>
  <w:style w:type="paragraph" w:customStyle="1" w:styleId="TableParagraph">
    <w:name w:val="Table Paragraph"/>
    <w:basedOn w:val="Normal"/>
    <w:uiPriority w:val="1"/>
    <w:qFormat/>
    <w:rsid w:val="00764874"/>
    <w:pPr>
      <w:widowControl w:val="0"/>
      <w:autoSpaceDE/>
      <w:autoSpaceDN/>
      <w:adjustRightInd/>
    </w:pPr>
    <w:rPr>
      <w:rFonts w:eastAsiaTheme="minorHAnsi" w:cstheme="minorBidi"/>
      <w:sz w:val="22"/>
      <w:szCs w:val="22"/>
    </w:rPr>
  </w:style>
  <w:style w:type="paragraph" w:customStyle="1" w:styleId="Response">
    <w:name w:val="Response"/>
    <w:basedOn w:val="Normal"/>
    <w:qFormat/>
    <w:rsid w:val="00764874"/>
    <w:pPr>
      <w:tabs>
        <w:tab w:val="left" w:pos="1080"/>
        <w:tab w:val="left" w:pos="2160"/>
        <w:tab w:val="right" w:leader="underscore" w:pos="10800"/>
      </w:tabs>
      <w:autoSpaceDE/>
      <w:autoSpaceDN/>
      <w:adjustRightInd/>
      <w:spacing w:before="120" w:after="120"/>
      <w:ind w:left="576" w:right="144"/>
    </w:pPr>
    <w:rPr>
      <w:sz w:val="22"/>
      <w:szCs w:val="22"/>
    </w:rPr>
  </w:style>
  <w:style w:type="table" w:styleId="TableGrid">
    <w:name w:val="Table Grid"/>
    <w:basedOn w:val="TableNormal"/>
    <w:uiPriority w:val="39"/>
    <w:rsid w:val="0076487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4874"/>
    <w:rPr>
      <w:color w:val="0053CC"/>
      <w:u w:val="single"/>
    </w:rPr>
  </w:style>
  <w:style w:type="paragraph" w:styleId="Title">
    <w:name w:val="Title"/>
    <w:basedOn w:val="Normal"/>
    <w:next w:val="Normal"/>
    <w:link w:val="TitleChar"/>
    <w:uiPriority w:val="10"/>
    <w:qFormat/>
    <w:rsid w:val="00764874"/>
    <w:pPr>
      <w:widowControl w:val="0"/>
      <w:autoSpaceDE/>
      <w:autoSpaceDN/>
      <w:adjustRightInd/>
      <w:spacing w:before="480" w:after="240"/>
      <w:jc w:val="center"/>
      <w:outlineLvl w:val="0"/>
    </w:pPr>
    <w:rPr>
      <w:rFonts w:eastAsiaTheme="majorEastAsia"/>
      <w:b/>
      <w:spacing w:val="-10"/>
      <w:kern w:val="28"/>
      <w:sz w:val="50"/>
      <w:szCs w:val="50"/>
    </w:rPr>
  </w:style>
  <w:style w:type="character" w:customStyle="1" w:styleId="TitleChar">
    <w:name w:val="Title Char"/>
    <w:basedOn w:val="DefaultParagraphFont"/>
    <w:link w:val="Title"/>
    <w:uiPriority w:val="10"/>
    <w:rsid w:val="00764874"/>
    <w:rPr>
      <w:rFonts w:eastAsiaTheme="majorEastAsia"/>
      <w:b/>
      <w:spacing w:val="-10"/>
      <w:kern w:val="28"/>
      <w:sz w:val="50"/>
      <w:szCs w:val="50"/>
    </w:rPr>
  </w:style>
  <w:style w:type="paragraph" w:styleId="Subtitle">
    <w:name w:val="Subtitle"/>
    <w:basedOn w:val="Normal"/>
    <w:next w:val="Normal"/>
    <w:link w:val="SubtitleChar"/>
    <w:uiPriority w:val="11"/>
    <w:qFormat/>
    <w:rsid w:val="00764874"/>
    <w:pPr>
      <w:widowControl w:val="0"/>
      <w:numPr>
        <w:ilvl w:val="1"/>
      </w:numPr>
      <w:autoSpaceDE/>
      <w:autoSpaceDN/>
      <w:adjustRightInd/>
      <w:spacing w:before="360" w:after="360"/>
      <w:ind w:left="720"/>
      <w:jc w:val="center"/>
      <w:outlineLvl w:val="1"/>
    </w:pPr>
    <w:rPr>
      <w:rFonts w:eastAsiaTheme="minorEastAsia"/>
      <w:b/>
      <w:spacing w:val="15"/>
      <w:sz w:val="50"/>
      <w:szCs w:val="50"/>
    </w:rPr>
  </w:style>
  <w:style w:type="character" w:customStyle="1" w:styleId="SubtitleChar">
    <w:name w:val="Subtitle Char"/>
    <w:basedOn w:val="DefaultParagraphFont"/>
    <w:link w:val="Subtitle"/>
    <w:uiPriority w:val="11"/>
    <w:rsid w:val="00764874"/>
    <w:rPr>
      <w:rFonts w:eastAsiaTheme="minorEastAsia"/>
      <w:b/>
      <w:spacing w:val="15"/>
      <w:sz w:val="50"/>
      <w:szCs w:val="50"/>
    </w:rPr>
  </w:style>
  <w:style w:type="paragraph" w:customStyle="1" w:styleId="Question">
    <w:name w:val="Question"/>
    <w:basedOn w:val="BodyText"/>
    <w:uiPriority w:val="1"/>
    <w:qFormat/>
    <w:rsid w:val="00764874"/>
    <w:pPr>
      <w:widowControl w:val="0"/>
      <w:numPr>
        <w:numId w:val="8"/>
      </w:numPr>
      <w:tabs>
        <w:tab w:val="left" w:pos="521"/>
      </w:tabs>
      <w:spacing w:before="480" w:after="240" w:line="240" w:lineRule="auto"/>
    </w:pPr>
    <w:rPr>
      <w:rFonts w:cstheme="minorBidi"/>
      <w:b/>
      <w:bCs/>
      <w:spacing w:val="-1"/>
      <w:sz w:val="22"/>
      <w:szCs w:val="22"/>
    </w:rPr>
  </w:style>
  <w:style w:type="paragraph" w:customStyle="1" w:styleId="Heading1b">
    <w:name w:val="Heading 1b"/>
    <w:basedOn w:val="Heading1"/>
    <w:uiPriority w:val="1"/>
    <w:qFormat/>
    <w:rsid w:val="00764874"/>
    <w:pPr>
      <w:keepLines/>
      <w:widowControl w:val="0"/>
      <w:pBdr>
        <w:top w:val="single" w:sz="36" w:space="6" w:color="auto"/>
      </w:pBdr>
      <w:autoSpaceDE/>
      <w:autoSpaceDN/>
      <w:adjustRightInd/>
      <w:spacing w:after="240"/>
      <w:ind w:left="547" w:hanging="547"/>
      <w:jc w:val="left"/>
      <w:outlineLvl w:val="1"/>
    </w:pPr>
    <w:rPr>
      <w:rFonts w:eastAsiaTheme="majorEastAsia" w:cstheme="majorBidi"/>
      <w:b/>
      <w:spacing w:val="-2"/>
      <w:sz w:val="28"/>
      <w:szCs w:val="32"/>
    </w:rPr>
  </w:style>
  <w:style w:type="paragraph" w:styleId="TOC1">
    <w:name w:val="toc 1"/>
    <w:uiPriority w:val="39"/>
    <w:rsid w:val="00764874"/>
    <w:pPr>
      <w:tabs>
        <w:tab w:val="left" w:pos="900"/>
        <w:tab w:val="right" w:leader="dot" w:pos="10080"/>
      </w:tabs>
      <w:spacing w:before="120" w:after="120"/>
      <w:ind w:left="907" w:right="720" w:hanging="619"/>
    </w:pPr>
    <w:rPr>
      <w:caps/>
      <w:noProof/>
      <w:sz w:val="22"/>
    </w:rPr>
  </w:style>
  <w:style w:type="paragraph" w:styleId="TOCHeading">
    <w:name w:val="TOC Heading"/>
    <w:basedOn w:val="Heading1"/>
    <w:next w:val="Normal"/>
    <w:uiPriority w:val="39"/>
    <w:unhideWhenUsed/>
    <w:qFormat/>
    <w:rsid w:val="00764874"/>
    <w:pPr>
      <w:keepLines/>
      <w:autoSpaceDE/>
      <w:autoSpaceDN/>
      <w:adjustRightInd/>
      <w:spacing w:before="240" w:after="240"/>
      <w:jc w:val="left"/>
      <w:outlineLvl w:val="9"/>
    </w:pPr>
    <w:rPr>
      <w:rFonts w:eastAsiaTheme="majorEastAsia" w:cstheme="majorBidi"/>
      <w:b/>
      <w:szCs w:val="32"/>
    </w:rPr>
  </w:style>
  <w:style w:type="paragraph" w:customStyle="1" w:styleId="ablank">
    <w:name w:val="ablank"/>
    <w:basedOn w:val="Normal"/>
    <w:rsid w:val="00764874"/>
    <w:pPr>
      <w:autoSpaceDE/>
      <w:autoSpaceDN/>
      <w:adjustRightInd/>
      <w:spacing w:before="480"/>
      <w:ind w:right="-14"/>
      <w:jc w:val="center"/>
    </w:pPr>
    <w:rPr>
      <w:rFonts w:eastAsia="SimSun"/>
      <w:i/>
      <w:sz w:val="24"/>
      <w:szCs w:val="24"/>
      <w:lang w:eastAsia="zh-CN"/>
    </w:rPr>
  </w:style>
  <w:style w:type="paragraph" w:customStyle="1" w:styleId="QuestionNumbered">
    <w:name w:val="Question Numbered"/>
    <w:basedOn w:val="Normal"/>
    <w:qFormat/>
    <w:rsid w:val="00764874"/>
    <w:pPr>
      <w:keepNext/>
      <w:keepLines/>
      <w:numPr>
        <w:numId w:val="9"/>
      </w:numPr>
      <w:autoSpaceDE/>
      <w:autoSpaceDN/>
      <w:adjustRightInd/>
      <w:spacing w:before="240" w:after="240"/>
    </w:pPr>
    <w:rPr>
      <w:b/>
      <w:sz w:val="22"/>
      <w:szCs w:val="22"/>
    </w:rPr>
  </w:style>
  <w:style w:type="paragraph" w:styleId="EndnoteText">
    <w:name w:val="endnote text"/>
    <w:basedOn w:val="Normal"/>
    <w:link w:val="EndnoteTextChar"/>
    <w:semiHidden/>
    <w:unhideWhenUsed/>
    <w:rsid w:val="002D6238"/>
  </w:style>
  <w:style w:type="character" w:customStyle="1" w:styleId="EndnoteTextChar">
    <w:name w:val="Endnote Text Char"/>
    <w:basedOn w:val="DefaultParagraphFont"/>
    <w:link w:val="EndnoteText"/>
    <w:semiHidden/>
    <w:rsid w:val="002D6238"/>
  </w:style>
  <w:style w:type="character" w:styleId="EndnoteReference">
    <w:name w:val="endnote reference"/>
    <w:basedOn w:val="DefaultParagraphFont"/>
    <w:semiHidden/>
    <w:unhideWhenUsed/>
    <w:rsid w:val="002D62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471f8bb-9c7c-42e9-afaa-c476448c963e">
      <UserInfo>
        <DisplayName>Fuentes, Joel (SAMHSA/CMHS)</DisplayName>
        <AccountId>104</AccountId>
        <AccountType/>
      </UserInfo>
      <UserInfo>
        <DisplayName>De Voursney, David (SAMHSA/CMHS)</DisplayName>
        <AccountId>59</AccountId>
        <AccountType/>
      </UserInfo>
      <UserInfo>
        <DisplayName>Barry, David (SAMHSA/CMHS)</DisplayName>
        <AccountId>58</AccountId>
        <AccountType/>
      </UserInfo>
      <UserInfo>
        <DisplayName>Gentile, Karen (SAMHSA/CMHS)</DisplayName>
        <AccountId>93</AccountId>
        <AccountType/>
      </UserInfo>
      <UserInfo>
        <DisplayName>Sheth, Nima (SAMHSA/CMHS)</DisplayName>
        <AccountId>32</AccountId>
        <AccountType/>
      </UserInfo>
      <UserInfo>
        <DisplayName>Kangas, Heather (SAMHSA/CMHS)</DisplayName>
        <AccountId>17</AccountId>
        <AccountType/>
      </UserInfo>
      <UserInfo>
        <DisplayName>Lichvar, Emily (SAMHSA/CMHS)</DisplayName>
        <AccountId>90</AccountId>
        <AccountType/>
      </UserInfo>
      <UserInfo>
        <DisplayName>Perrotta, Kathryn (SAMHSA/CMHS)</DisplayName>
        <AccountId>30</AccountId>
        <AccountType/>
      </UserInfo>
      <UserInfo>
        <DisplayName>Sapir, Hillel (SAMHSA/CMHS)</DisplayName>
        <AccountId>141</AccountId>
        <AccountType/>
      </UserInfo>
      <UserInfo>
        <DisplayName>Jablon, Dakota (SAMHSA/CMHS)</DisplayName>
        <AccountId>79</AccountId>
        <AccountType/>
      </UserInfo>
      <UserInfo>
        <DisplayName>Hager, Katie (SAMHSA/CMHS)</DisplayName>
        <AccountId>100</AccountId>
        <AccountType/>
      </UserInfo>
      <UserInfo>
        <DisplayName>Lulow, Eric (SAMHSA/CMHS)</DisplayName>
        <AccountId>24</AccountId>
        <AccountType/>
      </UserInfo>
      <UserInfo>
        <DisplayName>Taylor, Jessica (SAMHSA/CMHS)</DisplayName>
        <AccountId>69</AccountId>
        <AccountType/>
      </UserInfo>
      <UserInfo>
        <DisplayName>Richardson, Raphaelle (SAMHSA/CMHS)</DisplayName>
        <AccountId>102</AccountId>
        <AccountType/>
      </UserInfo>
      <UserInfo>
        <DisplayName>Robinson, Maryann (SAMHSA/CMHS)</DisplayName>
        <AccountId>40</AccountId>
        <AccountType/>
      </UserInfo>
      <UserInfo>
        <DisplayName>Kasdin, Tovah (SAMHSA/CMHS)</DisplayName>
        <AccountId>307</AccountId>
        <AccountType/>
      </UserInfo>
      <UserInfo>
        <DisplayName>Bistline, Kathryn (SAMHSA/CMHS)</DisplayName>
        <AccountId>10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62DC36E93C194EADDE358E52FD7F5F" ma:contentTypeVersion="10" ma:contentTypeDescription="Create a new document." ma:contentTypeScope="" ma:versionID="08c830fb4c24467f6e97d201c8a44671">
  <xsd:schema xmlns:xsd="http://www.w3.org/2001/XMLSchema" xmlns:xs="http://www.w3.org/2001/XMLSchema" xmlns:p="http://schemas.microsoft.com/office/2006/metadata/properties" xmlns:ns2="9e06b45a-2e8a-4522-a0f4-8d30d406ee9d" xmlns:ns3="8471f8bb-9c7c-42e9-afaa-c476448c963e" targetNamespace="http://schemas.microsoft.com/office/2006/metadata/properties" ma:root="true" ma:fieldsID="bfa7ef751044af55a5ae10519ce2a662" ns2:_="" ns3:_="">
    <xsd:import namespace="9e06b45a-2e8a-4522-a0f4-8d30d406ee9d"/>
    <xsd:import namespace="8471f8bb-9c7c-42e9-afaa-c476448c96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6b45a-2e8a-4522-a0f4-8d30d406e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71f8bb-9c7c-42e9-afaa-c476448c96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21DB9-39F4-458F-87E0-85D52F855503}">
  <ds:schemaRefs>
    <ds:schemaRef ds:uri="http://schemas.microsoft.com/office/2006/metadata/properties"/>
    <ds:schemaRef ds:uri="http://schemas.microsoft.com/office/infopath/2007/PartnerControls"/>
    <ds:schemaRef ds:uri="8471f8bb-9c7c-42e9-afaa-c476448c963e"/>
  </ds:schemaRefs>
</ds:datastoreItem>
</file>

<file path=customXml/itemProps2.xml><?xml version="1.0" encoding="utf-8"?>
<ds:datastoreItem xmlns:ds="http://schemas.openxmlformats.org/officeDocument/2006/customXml" ds:itemID="{B9190B6E-4F21-4665-9388-16F48B600B05}">
  <ds:schemaRefs>
    <ds:schemaRef ds:uri="http://schemas.microsoft.com/sharepoint/v3/contenttype/forms"/>
  </ds:schemaRefs>
</ds:datastoreItem>
</file>

<file path=customXml/itemProps3.xml><?xml version="1.0" encoding="utf-8"?>
<ds:datastoreItem xmlns:ds="http://schemas.openxmlformats.org/officeDocument/2006/customXml" ds:itemID="{26BE82F1-A4D7-4BCE-B276-09CB46F39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6b45a-2e8a-4522-a0f4-8d30d406ee9d"/>
    <ds:schemaRef ds:uri="8471f8bb-9c7c-42e9-afaa-c476448c9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DE8F97-022E-4559-8074-9E69ED128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3796</Words>
  <Characters>22355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202404 Supporting Statement A (SSA)_0930-0285</dc:title>
  <cp:revision>1</cp:revision>
  <dcterms:created xsi:type="dcterms:W3CDTF">2024-03-28T18:47:00Z</dcterms:created>
  <dcterms:modified xsi:type="dcterms:W3CDTF">2024-10-01T16:20:00Z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0x0101006662DC36E93C194EADDE358E52FD7F5F</vt:lpwstr>
  </property>
</Properties>
</file>