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3D4" w:rsidRPr="00CE23D4" w:rsidP="00CE23D4" w14:paraId="1E698CCE" w14:textId="3BDC3608">
      <w:pPr>
        <w:pStyle w:val="Heading1"/>
        <w:jc w:val="center"/>
        <w:rPr>
          <w:rFonts w:ascii="Tw Cen MT" w:hAnsi="Tw Cen MT" w:cs="Arial"/>
          <w:color w:val="181818"/>
        </w:rPr>
      </w:pPr>
      <w:r>
        <w:rPr>
          <w:rFonts w:ascii="Tw Cen MT" w:hAnsi="Tw Cen MT" w:cs="Arial"/>
          <w:color w:val="181818"/>
        </w:rPr>
        <w:t>G</w:t>
      </w:r>
      <w:r w:rsidRPr="00423366">
        <w:rPr>
          <w:rFonts w:ascii="Tw Cen MT" w:hAnsi="Tw Cen MT" w:cs="Arial"/>
          <w:color w:val="181818"/>
        </w:rPr>
        <w:t xml:space="preserve">arrett Lee Smith </w:t>
      </w:r>
      <w:r w:rsidR="001051C3">
        <w:rPr>
          <w:rFonts w:ascii="Tw Cen MT" w:hAnsi="Tw Cen MT" w:cs="Arial"/>
          <w:color w:val="181818"/>
        </w:rPr>
        <w:t xml:space="preserve">(GLS) </w:t>
      </w:r>
      <w:r>
        <w:rPr>
          <w:rFonts w:ascii="Tw Cen MT" w:hAnsi="Tw Cen MT" w:cs="Arial"/>
          <w:color w:val="181818"/>
        </w:rPr>
        <w:t>State/Trib</w:t>
      </w:r>
      <w:r w:rsidR="001051C3">
        <w:rPr>
          <w:rFonts w:ascii="Tw Cen MT" w:hAnsi="Tw Cen MT" w:cs="Arial"/>
          <w:color w:val="181818"/>
        </w:rPr>
        <w:t>al</w:t>
      </w:r>
      <w:r w:rsidRPr="00423366" w:rsidR="00A47806">
        <w:rPr>
          <w:rFonts w:ascii="Tw Cen MT" w:hAnsi="Tw Cen MT" w:cs="Arial"/>
          <w:color w:val="181818"/>
        </w:rPr>
        <w:t xml:space="preserve"> </w:t>
      </w:r>
      <w:r w:rsidRPr="00CE23D4">
        <w:rPr>
          <w:rFonts w:ascii="Tw Cen MT" w:hAnsi="Tw Cen MT" w:cs="Arial"/>
          <w:color w:val="181818"/>
        </w:rPr>
        <w:t xml:space="preserve">Youth Suicide Prevention </w:t>
      </w:r>
    </w:p>
    <w:p w:rsidR="00A47806" w:rsidRPr="00423366" w:rsidP="00CE23D4" w14:paraId="1E3A20C2" w14:textId="5BD35DBF">
      <w:pPr>
        <w:pStyle w:val="Heading1"/>
        <w:spacing w:before="0"/>
        <w:jc w:val="center"/>
        <w:rPr>
          <w:rFonts w:ascii="Tw Cen MT" w:hAnsi="Tw Cen MT" w:cs="Arial"/>
          <w:color w:val="181818"/>
        </w:rPr>
      </w:pPr>
      <w:r w:rsidRPr="00CE23D4">
        <w:rPr>
          <w:rFonts w:ascii="Tw Cen MT" w:hAnsi="Tw Cen MT" w:cs="Arial"/>
          <w:color w:val="181818"/>
        </w:rPr>
        <w:t>and Early Inte</w:t>
      </w:r>
      <w:r w:rsidR="00477F11">
        <w:rPr>
          <w:rFonts w:ascii="Tw Cen MT" w:hAnsi="Tw Cen MT" w:cs="Arial"/>
          <w:color w:val="181818"/>
        </w:rPr>
        <w:t>r</w:t>
      </w:r>
      <w:r w:rsidRPr="00CE23D4">
        <w:rPr>
          <w:rFonts w:ascii="Tw Cen MT" w:hAnsi="Tw Cen MT" w:cs="Arial"/>
          <w:color w:val="181818"/>
        </w:rPr>
        <w:t xml:space="preserve">vention </w:t>
      </w:r>
      <w:r w:rsidRPr="00423366">
        <w:rPr>
          <w:rFonts w:ascii="Tw Cen MT" w:hAnsi="Tw Cen MT" w:cs="Arial"/>
          <w:color w:val="181818"/>
        </w:rPr>
        <w:t xml:space="preserve">Evaluation </w:t>
      </w:r>
    </w:p>
    <w:p w:rsidR="00A47806" w:rsidRPr="00423366" w:rsidP="00423366" w14:paraId="1A398330" w14:textId="1F460EBE">
      <w:pPr>
        <w:jc w:val="center"/>
        <w:rPr>
          <w:rFonts w:ascii="Tw Cen MT" w:hAnsi="Tw Cen MT"/>
          <w:b/>
          <w:sz w:val="28"/>
          <w:szCs w:val="28"/>
        </w:rPr>
      </w:pPr>
      <w:r w:rsidRPr="00423366">
        <w:rPr>
          <w:rFonts w:ascii="Tw Cen MT" w:hAnsi="Tw Cen MT" w:cs="Arial"/>
          <w:b/>
          <w:color w:val="181818"/>
          <w:sz w:val="28"/>
          <w:szCs w:val="28"/>
        </w:rPr>
        <w:t>Supporting Statement</w:t>
      </w:r>
      <w:r w:rsidR="001051C3">
        <w:rPr>
          <w:rFonts w:ascii="Tw Cen MT" w:hAnsi="Tw Cen MT" w:cs="Arial"/>
          <w:b/>
          <w:color w:val="181818"/>
          <w:sz w:val="28"/>
          <w:szCs w:val="28"/>
        </w:rPr>
        <w:t xml:space="preserve"> B</w:t>
      </w:r>
    </w:p>
    <w:p w:rsidR="00A47806" w:rsidRPr="009756A4" w:rsidP="00A47806" w14:paraId="2B6A8056" w14:textId="77777777">
      <w:pPr>
        <w:tabs>
          <w:tab w:val="left" w:pos="2250"/>
        </w:tabs>
        <w:rPr>
          <w:rFonts w:ascii="Arial" w:hAnsi="Arial" w:cs="Arial"/>
        </w:rPr>
      </w:pPr>
      <w:r>
        <w:rPr>
          <w:rFonts w:ascii="Arial" w:hAnsi="Arial" w:cs="Arial"/>
        </w:rPr>
        <w:tab/>
      </w:r>
    </w:p>
    <w:p w:rsidR="00A47806" w:rsidRPr="009449B0" w:rsidP="004E195B" w14:paraId="2FCA2A0D" w14:textId="11CB6A81">
      <w:pPr>
        <w:pStyle w:val="BodyText"/>
        <w:numPr>
          <w:ilvl w:val="0"/>
          <w:numId w:val="9"/>
        </w:numPr>
        <w:tabs>
          <w:tab w:val="left" w:pos="843"/>
        </w:tabs>
        <w:spacing w:after="200"/>
        <w:rPr>
          <w:rFonts w:ascii="Tw Cen MT" w:hAnsi="Tw Cen MT" w:cs="Arial"/>
          <w:b/>
          <w:bCs/>
          <w:sz w:val="28"/>
          <w:szCs w:val="28"/>
        </w:rPr>
      </w:pPr>
      <w:r w:rsidRPr="51D65489">
        <w:rPr>
          <w:rFonts w:ascii="Tw Cen MT" w:hAnsi="Tw Cen MT" w:cs="Arial"/>
          <w:b/>
          <w:bCs/>
          <w:color w:val="181818"/>
          <w:sz w:val="28"/>
          <w:szCs w:val="28"/>
        </w:rPr>
        <w:t>Collections of Information Employing Statistical Methods</w:t>
      </w:r>
    </w:p>
    <w:p w:rsidR="00A47806" w:rsidRPr="009D6E07" w:rsidP="004E195B" w14:paraId="2F3177AC" w14:textId="0C78273A">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Respondent Universe and Sampling Methods</w:t>
      </w:r>
    </w:p>
    <w:p w:rsidR="001B2E13" w:rsidP="004E195B" w14:paraId="78DBFAF3" w14:textId="2A372C86">
      <w:pPr>
        <w:pStyle w:val="BodyText"/>
        <w:tabs>
          <w:tab w:val="left" w:pos="1563"/>
        </w:tabs>
        <w:spacing w:after="200"/>
        <w:rPr>
          <w:rFonts w:ascii="Times New Roman" w:hAnsi="Times New Roman" w:cs="Times New Roman"/>
          <w:color w:val="181818"/>
          <w:sz w:val="24"/>
          <w:szCs w:val="24"/>
        </w:rPr>
      </w:pPr>
      <w:r>
        <w:rPr>
          <w:rFonts w:ascii="Times New Roman" w:hAnsi="Times New Roman" w:cs="Times New Roman"/>
          <w:color w:val="181818"/>
          <w:sz w:val="24"/>
          <w:szCs w:val="24"/>
        </w:rPr>
        <w:t>Exhibit 1 displays the expected number of respondents to each data collection activity across the three-year OMB period.</w:t>
      </w:r>
    </w:p>
    <w:p w:rsidR="001B2E13" w:rsidRPr="00D45265" w:rsidP="00B53357" w14:paraId="21B3C80E" w14:textId="4EC0B82F">
      <w:pPr>
        <w:pStyle w:val="BodyText"/>
        <w:tabs>
          <w:tab w:val="left" w:pos="1563"/>
        </w:tabs>
        <w:spacing w:after="200"/>
        <w:jc w:val="center"/>
        <w:rPr>
          <w:rFonts w:ascii="Tw Cen MT" w:hAnsi="Tw Cen MT" w:cs="Times New Roman"/>
          <w:b/>
          <w:color w:val="181818"/>
          <w:sz w:val="24"/>
          <w:szCs w:val="24"/>
        </w:rPr>
      </w:pPr>
      <w:r w:rsidRPr="00D45265">
        <w:rPr>
          <w:rFonts w:ascii="Tw Cen MT" w:hAnsi="Tw Cen MT"/>
          <w:b/>
          <w:sz w:val="24"/>
          <w:szCs w:val="24"/>
        </w:rPr>
        <w:t>Exhibit 1. Total Number of Respondents by Data Collection Activity</w:t>
      </w:r>
    </w:p>
    <w:tbl>
      <w:tblPr>
        <w:tblStyle w:val="TableGrid"/>
        <w:tblW w:w="9450" w:type="dxa"/>
        <w:tblInd w:w="-5" w:type="dxa"/>
        <w:tblLayout w:type="fixed"/>
        <w:tblLook w:val="04A0"/>
      </w:tblPr>
      <w:tblGrid>
        <w:gridCol w:w="2362"/>
        <w:gridCol w:w="2363"/>
        <w:gridCol w:w="2362"/>
        <w:gridCol w:w="2363"/>
      </w:tblGrid>
      <w:tr w14:paraId="60BC1894" w14:textId="77777777" w:rsidTr="00371ED7">
        <w:tblPrEx>
          <w:tblW w:w="9450" w:type="dxa"/>
          <w:tblInd w:w="-5" w:type="dxa"/>
          <w:tblLayout w:type="fixed"/>
          <w:tblLook w:val="04A0"/>
        </w:tblPrEx>
        <w:trPr>
          <w:trHeight w:val="432"/>
          <w:tblHeader/>
        </w:trPr>
        <w:tc>
          <w:tcPr>
            <w:tcW w:w="2362" w:type="dxa"/>
            <w:shd w:val="clear" w:color="auto" w:fill="404040" w:themeFill="text1" w:themeFillTint="BF"/>
            <w:tcMar>
              <w:left w:w="58" w:type="dxa"/>
              <w:right w:w="58" w:type="dxa"/>
            </w:tcMar>
            <w:vAlign w:val="center"/>
          </w:tcPr>
          <w:p w:rsidR="00B53357" w:rsidRPr="00CF6DB0" w:rsidP="005F2590" w14:paraId="6DD8EDCC" w14:textId="77777777">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Instrument</w:t>
            </w:r>
          </w:p>
        </w:tc>
        <w:tc>
          <w:tcPr>
            <w:tcW w:w="2363" w:type="dxa"/>
            <w:shd w:val="clear" w:color="auto" w:fill="404040" w:themeFill="text1" w:themeFillTint="BF"/>
            <w:tcMar>
              <w:left w:w="58" w:type="dxa"/>
              <w:right w:w="58" w:type="dxa"/>
            </w:tcMar>
            <w:vAlign w:val="center"/>
          </w:tcPr>
          <w:p w:rsidR="00B53357" w:rsidRPr="00CF6DB0" w:rsidP="005F2590" w14:paraId="36278D1E" w14:textId="3CF99AD4">
            <w:pPr>
              <w:pStyle w:val="SuicideTableHeading1"/>
              <w:rPr>
                <w:rFonts w:ascii="Tw Cen MT" w:hAnsi="Tw Cen MT"/>
                <w:b w:val="0"/>
                <w:color w:val="FFFFFF" w:themeColor="background1"/>
                <w:spacing w:val="-4"/>
                <w:sz w:val="22"/>
                <w:szCs w:val="22"/>
              </w:rPr>
            </w:pPr>
            <w:r>
              <w:rPr>
                <w:rFonts w:ascii="Tw Cen MT" w:hAnsi="Tw Cen MT"/>
                <w:b w:val="0"/>
                <w:color w:val="FFFFFF" w:themeColor="background1"/>
                <w:spacing w:val="-4"/>
                <w:sz w:val="22"/>
                <w:szCs w:val="22"/>
              </w:rPr>
              <w:t>Participating Grantees</w:t>
            </w:r>
          </w:p>
        </w:tc>
        <w:tc>
          <w:tcPr>
            <w:tcW w:w="2362" w:type="dxa"/>
            <w:shd w:val="clear" w:color="auto" w:fill="404040" w:themeFill="text1" w:themeFillTint="BF"/>
            <w:tcMar>
              <w:left w:w="58" w:type="dxa"/>
              <w:right w:w="58" w:type="dxa"/>
            </w:tcMar>
            <w:vAlign w:val="center"/>
          </w:tcPr>
          <w:p w:rsidR="00B53357" w:rsidRPr="00CF6DB0" w:rsidP="005F2590" w14:paraId="265D81DB" w14:textId="1905FA36">
            <w:pPr>
              <w:pStyle w:val="SuicideTableHeading1"/>
              <w:rPr>
                <w:rFonts w:ascii="Tw Cen MT" w:hAnsi="Tw Cen MT"/>
                <w:b w:val="0"/>
                <w:color w:val="FFFFFF" w:themeColor="background1"/>
                <w:spacing w:val="-4"/>
                <w:sz w:val="22"/>
                <w:szCs w:val="22"/>
              </w:rPr>
            </w:pPr>
            <w:r>
              <w:rPr>
                <w:rFonts w:ascii="Tw Cen MT" w:hAnsi="Tw Cen MT"/>
                <w:b w:val="0"/>
                <w:color w:val="FFFFFF" w:themeColor="background1"/>
                <w:spacing w:val="-4"/>
                <w:sz w:val="22"/>
                <w:szCs w:val="22"/>
              </w:rPr>
              <w:t>Respondents per Grantee</w:t>
            </w:r>
          </w:p>
        </w:tc>
        <w:tc>
          <w:tcPr>
            <w:tcW w:w="2363" w:type="dxa"/>
            <w:shd w:val="clear" w:color="auto" w:fill="404040" w:themeFill="text1" w:themeFillTint="BF"/>
            <w:tcMar>
              <w:left w:w="58" w:type="dxa"/>
              <w:right w:w="58" w:type="dxa"/>
            </w:tcMar>
            <w:vAlign w:val="center"/>
          </w:tcPr>
          <w:p w:rsidR="00B53357" w:rsidRPr="00CF6DB0" w:rsidP="005F2590" w14:paraId="6C4B6CBF" w14:textId="419F3035">
            <w:pPr>
              <w:pStyle w:val="SuicideTableHeading1"/>
              <w:rPr>
                <w:rFonts w:ascii="Tw Cen MT" w:hAnsi="Tw Cen MT"/>
                <w:b w:val="0"/>
                <w:color w:val="FFFFFF" w:themeColor="background1"/>
                <w:spacing w:val="-4"/>
                <w:sz w:val="22"/>
                <w:szCs w:val="22"/>
              </w:rPr>
            </w:pPr>
            <w:r>
              <w:rPr>
                <w:rFonts w:ascii="Tw Cen MT" w:hAnsi="Tw Cen MT"/>
                <w:b w:val="0"/>
                <w:color w:val="FFFFFF" w:themeColor="background1"/>
                <w:spacing w:val="-4"/>
                <w:sz w:val="22"/>
                <w:szCs w:val="22"/>
              </w:rPr>
              <w:t>Total Respondents</w:t>
            </w:r>
          </w:p>
        </w:tc>
      </w:tr>
      <w:tr w14:paraId="67452154" w14:textId="77777777" w:rsidTr="00B53357">
        <w:tblPrEx>
          <w:tblW w:w="9450" w:type="dxa"/>
          <w:tblInd w:w="-5" w:type="dxa"/>
          <w:tblLayout w:type="fixed"/>
          <w:tblLook w:val="04A0"/>
        </w:tblPrEx>
        <w:trPr>
          <w:trHeight w:val="287"/>
        </w:trPr>
        <w:tc>
          <w:tcPr>
            <w:tcW w:w="9450" w:type="dxa"/>
            <w:gridSpan w:val="4"/>
            <w:shd w:val="clear" w:color="auto" w:fill="D9D9D9" w:themeFill="background1" w:themeFillShade="D9"/>
            <w:vAlign w:val="center"/>
          </w:tcPr>
          <w:p w:rsidR="00B53357" w:rsidRPr="00CF6DB0" w:rsidP="005F2590" w14:paraId="646C3562" w14:textId="325C943A">
            <w:pPr>
              <w:pStyle w:val="SuicideTableHeading1"/>
              <w:rPr>
                <w:rFonts w:ascii="Tw Cen MT" w:hAnsi="Tw Cen MT"/>
                <w:caps/>
                <w:color w:val="auto"/>
                <w:spacing w:val="-4"/>
                <w:sz w:val="22"/>
                <w:szCs w:val="22"/>
              </w:rPr>
            </w:pPr>
          </w:p>
        </w:tc>
      </w:tr>
      <w:tr w14:paraId="5B701274" w14:textId="77777777" w:rsidTr="00B53357">
        <w:tblPrEx>
          <w:tblW w:w="9450" w:type="dxa"/>
          <w:tblInd w:w="-5" w:type="dxa"/>
          <w:tblLayout w:type="fixed"/>
          <w:tblLook w:val="04A0"/>
        </w:tblPrEx>
        <w:trPr>
          <w:trHeight w:val="314"/>
        </w:trPr>
        <w:tc>
          <w:tcPr>
            <w:tcW w:w="2362" w:type="dxa"/>
            <w:tcMar>
              <w:left w:w="72" w:type="dxa"/>
              <w:right w:w="72" w:type="dxa"/>
            </w:tcMar>
          </w:tcPr>
          <w:p w:rsidR="00B53357" w:rsidRPr="00CF6DB0" w:rsidP="005F2590" w14:paraId="7800A933" w14:textId="77777777">
            <w:pPr>
              <w:jc w:val="left"/>
              <w:rPr>
                <w:rFonts w:ascii="Tw Cen MT" w:hAnsi="Tw Cen MT"/>
                <w:color w:val="000000"/>
                <w:sz w:val="22"/>
                <w:szCs w:val="22"/>
              </w:rPr>
            </w:pPr>
            <w:r w:rsidRPr="00CF6DB0">
              <w:rPr>
                <w:rFonts w:ascii="Tw Cen MT" w:hAnsi="Tw Cen MT"/>
                <w:color w:val="000000"/>
                <w:sz w:val="22"/>
                <w:szCs w:val="22"/>
              </w:rPr>
              <w:t xml:space="preserve">PSI </w:t>
            </w:r>
          </w:p>
        </w:tc>
        <w:tc>
          <w:tcPr>
            <w:tcW w:w="2363" w:type="dxa"/>
            <w:tcMar>
              <w:left w:w="72" w:type="dxa"/>
              <w:right w:w="72" w:type="dxa"/>
            </w:tcMar>
          </w:tcPr>
          <w:p w:rsidR="00B53357" w:rsidRPr="001477B0" w:rsidP="005F2590" w14:paraId="4C68127F" w14:textId="73E86B6D">
            <w:pPr>
              <w:jc w:val="center"/>
              <w:rPr>
                <w:rFonts w:ascii="Tw Cen MT" w:hAnsi="Tw Cen MT"/>
                <w:color w:val="000000"/>
                <w:sz w:val="22"/>
                <w:szCs w:val="22"/>
                <w:highlight w:val="yellow"/>
              </w:rPr>
            </w:pPr>
            <w:r>
              <w:rPr>
                <w:rFonts w:ascii="Tw Cen MT" w:hAnsi="Tw Cen MT"/>
                <w:color w:val="000000"/>
                <w:sz w:val="22"/>
                <w:szCs w:val="22"/>
              </w:rPr>
              <w:t>31</w:t>
            </w:r>
          </w:p>
        </w:tc>
        <w:tc>
          <w:tcPr>
            <w:tcW w:w="2362" w:type="dxa"/>
            <w:tcMar>
              <w:left w:w="72" w:type="dxa"/>
              <w:right w:w="72" w:type="dxa"/>
            </w:tcMar>
          </w:tcPr>
          <w:p w:rsidR="00B53357" w:rsidRPr="00CF6DB0" w:rsidP="005F2590" w14:paraId="4F9A6D79" w14:textId="03F7BFE6">
            <w:pPr>
              <w:jc w:val="center"/>
              <w:rPr>
                <w:rFonts w:ascii="Tw Cen MT" w:hAnsi="Tw Cen MT"/>
                <w:sz w:val="22"/>
                <w:szCs w:val="22"/>
              </w:rPr>
            </w:pPr>
            <w:r>
              <w:rPr>
                <w:rFonts w:ascii="Tw Cen MT" w:hAnsi="Tw Cen MT"/>
                <w:sz w:val="22"/>
                <w:szCs w:val="22"/>
              </w:rPr>
              <w:t>1</w:t>
            </w:r>
          </w:p>
        </w:tc>
        <w:tc>
          <w:tcPr>
            <w:tcW w:w="2363" w:type="dxa"/>
            <w:tcMar>
              <w:left w:w="72" w:type="dxa"/>
              <w:right w:w="72" w:type="dxa"/>
            </w:tcMar>
          </w:tcPr>
          <w:p w:rsidR="00B53357" w:rsidRPr="005F627F" w:rsidP="005F2590" w14:paraId="7266A4E7" w14:textId="5A163608">
            <w:pPr>
              <w:jc w:val="center"/>
              <w:rPr>
                <w:rFonts w:ascii="Tw Cen MT" w:hAnsi="Tw Cen MT"/>
                <w:color w:val="000000"/>
                <w:sz w:val="22"/>
                <w:szCs w:val="22"/>
              </w:rPr>
            </w:pPr>
            <w:r w:rsidRPr="005F627F">
              <w:rPr>
                <w:rFonts w:ascii="Tw Cen MT" w:hAnsi="Tw Cen MT"/>
                <w:color w:val="000000"/>
                <w:sz w:val="22"/>
                <w:szCs w:val="22"/>
              </w:rPr>
              <w:t>31</w:t>
            </w:r>
          </w:p>
        </w:tc>
      </w:tr>
      <w:tr w14:paraId="46D0DE7B" w14:textId="77777777" w:rsidTr="00B53357">
        <w:tblPrEx>
          <w:tblW w:w="9450" w:type="dxa"/>
          <w:tblInd w:w="-5" w:type="dxa"/>
          <w:tblLayout w:type="fixed"/>
          <w:tblLook w:val="04A0"/>
        </w:tblPrEx>
        <w:trPr>
          <w:trHeight w:val="314"/>
        </w:trPr>
        <w:tc>
          <w:tcPr>
            <w:tcW w:w="2362" w:type="dxa"/>
            <w:tcMar>
              <w:left w:w="72" w:type="dxa"/>
              <w:right w:w="72" w:type="dxa"/>
            </w:tcMar>
          </w:tcPr>
          <w:p w:rsidR="00B53357" w:rsidRPr="00CF6DB0" w:rsidP="005F2590" w14:paraId="680FC1AA" w14:textId="77777777">
            <w:pPr>
              <w:jc w:val="left"/>
              <w:rPr>
                <w:rFonts w:ascii="Tw Cen MT" w:hAnsi="Tw Cen MT"/>
                <w:color w:val="000000"/>
                <w:sz w:val="22"/>
                <w:szCs w:val="22"/>
              </w:rPr>
            </w:pPr>
            <w:r w:rsidRPr="00CF6DB0">
              <w:rPr>
                <w:rFonts w:ascii="Tw Cen MT" w:hAnsi="Tw Cen MT"/>
                <w:color w:val="000000"/>
                <w:sz w:val="22"/>
                <w:szCs w:val="22"/>
              </w:rPr>
              <w:t>TASP</w:t>
            </w:r>
          </w:p>
        </w:tc>
        <w:tc>
          <w:tcPr>
            <w:tcW w:w="2363" w:type="dxa"/>
            <w:tcMar>
              <w:left w:w="72" w:type="dxa"/>
              <w:right w:w="72" w:type="dxa"/>
            </w:tcMar>
          </w:tcPr>
          <w:p w:rsidR="00B53357" w:rsidRPr="001477B0" w:rsidP="005F2590" w14:paraId="3F85837B" w14:textId="366E3733">
            <w:pPr>
              <w:jc w:val="center"/>
              <w:rPr>
                <w:rFonts w:ascii="Tw Cen MT" w:hAnsi="Tw Cen MT"/>
                <w:color w:val="000000"/>
                <w:sz w:val="22"/>
                <w:szCs w:val="22"/>
                <w:highlight w:val="yellow"/>
              </w:rPr>
            </w:pPr>
            <w:r>
              <w:rPr>
                <w:rFonts w:ascii="Tw Cen MT" w:hAnsi="Tw Cen MT"/>
                <w:color w:val="000000"/>
                <w:sz w:val="22"/>
                <w:szCs w:val="22"/>
              </w:rPr>
              <w:t>31</w:t>
            </w:r>
          </w:p>
        </w:tc>
        <w:tc>
          <w:tcPr>
            <w:tcW w:w="2362" w:type="dxa"/>
            <w:tcMar>
              <w:left w:w="72" w:type="dxa"/>
              <w:right w:w="72" w:type="dxa"/>
            </w:tcMar>
          </w:tcPr>
          <w:p w:rsidR="00B53357" w:rsidRPr="00CF6DB0" w:rsidP="005F2590" w14:paraId="0011CEAB" w14:textId="0BEDF599">
            <w:pPr>
              <w:jc w:val="center"/>
              <w:rPr>
                <w:rFonts w:ascii="Tw Cen MT" w:hAnsi="Tw Cen MT"/>
                <w:sz w:val="22"/>
                <w:szCs w:val="22"/>
              </w:rPr>
            </w:pPr>
            <w:r>
              <w:rPr>
                <w:rFonts w:ascii="Tw Cen MT" w:hAnsi="Tw Cen MT"/>
                <w:sz w:val="22"/>
                <w:szCs w:val="22"/>
              </w:rPr>
              <w:t>1</w:t>
            </w:r>
          </w:p>
        </w:tc>
        <w:tc>
          <w:tcPr>
            <w:tcW w:w="2363" w:type="dxa"/>
            <w:tcMar>
              <w:left w:w="72" w:type="dxa"/>
              <w:right w:w="72" w:type="dxa"/>
            </w:tcMar>
          </w:tcPr>
          <w:p w:rsidR="00B53357" w:rsidRPr="005F627F" w:rsidP="005F2590" w14:paraId="46322673" w14:textId="68003381">
            <w:pPr>
              <w:jc w:val="center"/>
              <w:rPr>
                <w:rFonts w:ascii="Tw Cen MT" w:hAnsi="Tw Cen MT"/>
                <w:color w:val="000000"/>
                <w:sz w:val="22"/>
                <w:szCs w:val="22"/>
              </w:rPr>
            </w:pPr>
            <w:r w:rsidRPr="005F627F">
              <w:rPr>
                <w:rFonts w:ascii="Tw Cen MT" w:hAnsi="Tw Cen MT"/>
                <w:color w:val="000000"/>
                <w:sz w:val="22"/>
                <w:szCs w:val="22"/>
              </w:rPr>
              <w:t>31</w:t>
            </w:r>
          </w:p>
        </w:tc>
      </w:tr>
      <w:tr w14:paraId="7F477BBE" w14:textId="77777777" w:rsidTr="00371ED7">
        <w:tblPrEx>
          <w:tblW w:w="9450" w:type="dxa"/>
          <w:tblInd w:w="-5" w:type="dxa"/>
          <w:tblLayout w:type="fixed"/>
          <w:tblLook w:val="04A0"/>
        </w:tblPrEx>
        <w:trPr>
          <w:trHeight w:val="317"/>
        </w:trPr>
        <w:tc>
          <w:tcPr>
            <w:tcW w:w="2362" w:type="dxa"/>
            <w:tcMar>
              <w:left w:w="72" w:type="dxa"/>
              <w:right w:w="72" w:type="dxa"/>
            </w:tcMar>
          </w:tcPr>
          <w:p w:rsidR="00B53357" w:rsidRPr="00CF6DB0" w:rsidP="005F2590" w14:paraId="0C850029" w14:textId="4487B98D">
            <w:pPr>
              <w:jc w:val="left"/>
              <w:rPr>
                <w:rFonts w:ascii="Tw Cen MT" w:hAnsi="Tw Cen MT"/>
                <w:color w:val="000000"/>
                <w:sz w:val="22"/>
                <w:szCs w:val="22"/>
              </w:rPr>
            </w:pPr>
            <w:r w:rsidRPr="00CF6DB0">
              <w:rPr>
                <w:rFonts w:ascii="Tw Cen MT" w:hAnsi="Tw Cen MT"/>
                <w:color w:val="000000"/>
                <w:sz w:val="22"/>
                <w:szCs w:val="22"/>
              </w:rPr>
              <w:t>EIRF</w:t>
            </w:r>
            <w:r w:rsidR="003E0267">
              <w:rPr>
                <w:rFonts w:ascii="Tw Cen MT" w:hAnsi="Tw Cen MT"/>
                <w:color w:val="000000"/>
                <w:sz w:val="22"/>
                <w:szCs w:val="22"/>
              </w:rPr>
              <w:t xml:space="preserve">T </w:t>
            </w:r>
            <w:r w:rsidRPr="00CF6DB0">
              <w:rPr>
                <w:rFonts w:ascii="Tw Cen MT" w:hAnsi="Tw Cen MT"/>
                <w:color w:val="000000"/>
                <w:sz w:val="22"/>
                <w:szCs w:val="22"/>
              </w:rPr>
              <w:t xml:space="preserve">Individual Form </w:t>
            </w:r>
          </w:p>
        </w:tc>
        <w:tc>
          <w:tcPr>
            <w:tcW w:w="2363" w:type="dxa"/>
            <w:tcMar>
              <w:left w:w="72" w:type="dxa"/>
              <w:right w:w="72" w:type="dxa"/>
            </w:tcMar>
          </w:tcPr>
          <w:p w:rsidR="00B53357" w:rsidRPr="001477B0" w:rsidP="005F2590" w14:paraId="6563EE3F" w14:textId="3D486A15">
            <w:pPr>
              <w:jc w:val="center"/>
              <w:rPr>
                <w:rFonts w:ascii="Tw Cen MT" w:hAnsi="Tw Cen MT"/>
                <w:color w:val="000000"/>
                <w:sz w:val="22"/>
                <w:szCs w:val="22"/>
                <w:highlight w:val="yellow"/>
              </w:rPr>
            </w:pPr>
            <w:r>
              <w:rPr>
                <w:rFonts w:ascii="Tw Cen MT" w:hAnsi="Tw Cen MT"/>
                <w:color w:val="000000"/>
                <w:sz w:val="22"/>
                <w:szCs w:val="22"/>
              </w:rPr>
              <w:t>31</w:t>
            </w:r>
          </w:p>
        </w:tc>
        <w:tc>
          <w:tcPr>
            <w:tcW w:w="2362" w:type="dxa"/>
            <w:tcMar>
              <w:left w:w="72" w:type="dxa"/>
              <w:right w:w="72" w:type="dxa"/>
            </w:tcMar>
          </w:tcPr>
          <w:p w:rsidR="00B53357" w:rsidRPr="00CF6DB0" w:rsidP="005F2590" w14:paraId="45B7E06C" w14:textId="7A90DB1D">
            <w:pPr>
              <w:jc w:val="center"/>
              <w:rPr>
                <w:rFonts w:ascii="Tw Cen MT" w:hAnsi="Tw Cen MT"/>
                <w:sz w:val="22"/>
                <w:szCs w:val="22"/>
              </w:rPr>
            </w:pPr>
            <w:r>
              <w:rPr>
                <w:rFonts w:ascii="Tw Cen MT" w:hAnsi="Tw Cen MT"/>
                <w:sz w:val="22"/>
                <w:szCs w:val="22"/>
              </w:rPr>
              <w:t>1</w:t>
            </w:r>
          </w:p>
        </w:tc>
        <w:tc>
          <w:tcPr>
            <w:tcW w:w="2363" w:type="dxa"/>
            <w:tcMar>
              <w:left w:w="72" w:type="dxa"/>
              <w:right w:w="72" w:type="dxa"/>
            </w:tcMar>
          </w:tcPr>
          <w:p w:rsidR="00B53357" w:rsidRPr="005F627F" w:rsidP="005F2590" w14:paraId="3A295A8A" w14:textId="0CD83219">
            <w:pPr>
              <w:jc w:val="center"/>
              <w:rPr>
                <w:rFonts w:ascii="Tw Cen MT" w:hAnsi="Tw Cen MT"/>
                <w:color w:val="000000"/>
                <w:sz w:val="22"/>
                <w:szCs w:val="22"/>
              </w:rPr>
            </w:pPr>
            <w:r w:rsidRPr="005F627F">
              <w:rPr>
                <w:rFonts w:ascii="Tw Cen MT" w:hAnsi="Tw Cen MT"/>
                <w:color w:val="000000"/>
                <w:sz w:val="22"/>
                <w:szCs w:val="22"/>
              </w:rPr>
              <w:t>31</w:t>
            </w:r>
          </w:p>
        </w:tc>
      </w:tr>
      <w:tr w14:paraId="61649CB9" w14:textId="77777777" w:rsidTr="00371ED7">
        <w:tblPrEx>
          <w:tblW w:w="9450" w:type="dxa"/>
          <w:tblInd w:w="-5" w:type="dxa"/>
          <w:tblLayout w:type="fixed"/>
          <w:tblLook w:val="04A0"/>
        </w:tblPrEx>
        <w:trPr>
          <w:trHeight w:val="317"/>
        </w:trPr>
        <w:tc>
          <w:tcPr>
            <w:tcW w:w="2362" w:type="dxa"/>
            <w:tcMar>
              <w:left w:w="72" w:type="dxa"/>
              <w:right w:w="72" w:type="dxa"/>
            </w:tcMar>
          </w:tcPr>
          <w:p w:rsidR="00B53357" w:rsidRPr="00CF6DB0" w:rsidP="005F2590" w14:paraId="19619DF6" w14:textId="5BE2969F">
            <w:pPr>
              <w:jc w:val="left"/>
              <w:rPr>
                <w:rFonts w:ascii="Tw Cen MT" w:hAnsi="Tw Cen MT"/>
                <w:color w:val="000000"/>
                <w:sz w:val="22"/>
                <w:szCs w:val="22"/>
              </w:rPr>
            </w:pPr>
            <w:r w:rsidRPr="00CF6DB0">
              <w:rPr>
                <w:rFonts w:ascii="Tw Cen MT" w:hAnsi="Tw Cen MT"/>
                <w:color w:val="000000"/>
                <w:sz w:val="22"/>
                <w:szCs w:val="22"/>
              </w:rPr>
              <w:t>EIRF</w:t>
            </w:r>
            <w:r w:rsidR="003E0267">
              <w:rPr>
                <w:rFonts w:ascii="Tw Cen MT" w:hAnsi="Tw Cen MT"/>
                <w:color w:val="000000"/>
                <w:sz w:val="22"/>
                <w:szCs w:val="22"/>
              </w:rPr>
              <w:t>T</w:t>
            </w:r>
            <w:r w:rsidRPr="00CF6DB0">
              <w:rPr>
                <w:rFonts w:ascii="Tw Cen MT" w:hAnsi="Tw Cen MT"/>
                <w:color w:val="000000"/>
                <w:sz w:val="22"/>
                <w:szCs w:val="22"/>
              </w:rPr>
              <w:t xml:space="preserve"> Screening Form </w:t>
            </w:r>
          </w:p>
        </w:tc>
        <w:tc>
          <w:tcPr>
            <w:tcW w:w="2363" w:type="dxa"/>
            <w:tcMar>
              <w:left w:w="72" w:type="dxa"/>
              <w:right w:w="72" w:type="dxa"/>
            </w:tcMar>
          </w:tcPr>
          <w:p w:rsidR="00B53357" w:rsidRPr="001477B0" w:rsidP="005F2590" w14:paraId="50F59C8A" w14:textId="41623958">
            <w:pPr>
              <w:jc w:val="center"/>
              <w:rPr>
                <w:rFonts w:ascii="Tw Cen MT" w:hAnsi="Tw Cen MT"/>
                <w:color w:val="000000"/>
                <w:sz w:val="22"/>
                <w:szCs w:val="22"/>
                <w:highlight w:val="yellow"/>
              </w:rPr>
            </w:pPr>
            <w:r>
              <w:rPr>
                <w:rFonts w:ascii="Tw Cen MT" w:hAnsi="Tw Cen MT"/>
                <w:color w:val="000000"/>
                <w:sz w:val="22"/>
                <w:szCs w:val="22"/>
              </w:rPr>
              <w:t>31</w:t>
            </w:r>
          </w:p>
        </w:tc>
        <w:tc>
          <w:tcPr>
            <w:tcW w:w="2362" w:type="dxa"/>
            <w:tcMar>
              <w:left w:w="72" w:type="dxa"/>
              <w:right w:w="72" w:type="dxa"/>
            </w:tcMar>
          </w:tcPr>
          <w:p w:rsidR="00B53357" w:rsidRPr="00CF6DB0" w:rsidP="005F2590" w14:paraId="7983407B" w14:textId="6ACDF3C0">
            <w:pPr>
              <w:jc w:val="center"/>
              <w:rPr>
                <w:rFonts w:ascii="Tw Cen MT" w:hAnsi="Tw Cen MT"/>
                <w:sz w:val="22"/>
                <w:szCs w:val="22"/>
              </w:rPr>
            </w:pPr>
            <w:r>
              <w:rPr>
                <w:rFonts w:ascii="Tw Cen MT" w:hAnsi="Tw Cen MT"/>
                <w:sz w:val="22"/>
                <w:szCs w:val="22"/>
              </w:rPr>
              <w:t>1</w:t>
            </w:r>
          </w:p>
        </w:tc>
        <w:tc>
          <w:tcPr>
            <w:tcW w:w="2363" w:type="dxa"/>
            <w:tcMar>
              <w:left w:w="72" w:type="dxa"/>
              <w:right w:w="72" w:type="dxa"/>
            </w:tcMar>
          </w:tcPr>
          <w:p w:rsidR="00B53357" w:rsidRPr="005F627F" w:rsidP="005F2590" w14:paraId="3B4DB388" w14:textId="2AA7B494">
            <w:pPr>
              <w:jc w:val="center"/>
              <w:rPr>
                <w:rFonts w:ascii="Tw Cen MT" w:hAnsi="Tw Cen MT"/>
                <w:color w:val="000000"/>
                <w:sz w:val="22"/>
                <w:szCs w:val="22"/>
              </w:rPr>
            </w:pPr>
            <w:r w:rsidRPr="005F627F">
              <w:rPr>
                <w:rFonts w:ascii="Tw Cen MT" w:hAnsi="Tw Cen MT"/>
                <w:color w:val="000000"/>
                <w:sz w:val="22"/>
                <w:szCs w:val="22"/>
              </w:rPr>
              <w:t>31</w:t>
            </w:r>
          </w:p>
        </w:tc>
      </w:tr>
      <w:tr w14:paraId="4BAF8AE6" w14:textId="77777777" w:rsidTr="00371ED7">
        <w:tblPrEx>
          <w:tblW w:w="9450" w:type="dxa"/>
          <w:tblInd w:w="-5" w:type="dxa"/>
          <w:tblLayout w:type="fixed"/>
          <w:tblLook w:val="04A0"/>
        </w:tblPrEx>
        <w:trPr>
          <w:trHeight w:val="317"/>
        </w:trPr>
        <w:tc>
          <w:tcPr>
            <w:tcW w:w="2362" w:type="dxa"/>
            <w:tcMar>
              <w:left w:w="72" w:type="dxa"/>
              <w:right w:w="72" w:type="dxa"/>
            </w:tcMar>
          </w:tcPr>
          <w:p w:rsidR="00B53357" w:rsidRPr="00CF6DB0" w:rsidP="005F2590" w14:paraId="25A842CD" w14:textId="546078BE">
            <w:pPr>
              <w:jc w:val="left"/>
              <w:rPr>
                <w:rFonts w:ascii="Tw Cen MT" w:hAnsi="Tw Cen MT"/>
                <w:color w:val="000000"/>
                <w:sz w:val="22"/>
                <w:szCs w:val="22"/>
              </w:rPr>
            </w:pPr>
            <w:r>
              <w:rPr>
                <w:rFonts w:ascii="Tw Cen MT" w:hAnsi="Tw Cen MT"/>
                <w:color w:val="000000"/>
                <w:sz w:val="22"/>
                <w:szCs w:val="22"/>
              </w:rPr>
              <w:t xml:space="preserve">TSA-P </w:t>
            </w:r>
            <w:r w:rsidR="003A6C87">
              <w:rPr>
                <w:rFonts w:ascii="Tw Cen MT" w:hAnsi="Tw Cen MT"/>
                <w:color w:val="000000"/>
                <w:sz w:val="22"/>
                <w:szCs w:val="22"/>
              </w:rPr>
              <w:t>&amp;</w:t>
            </w:r>
            <w:r w:rsidRPr="00CF6DB0">
              <w:rPr>
                <w:rFonts w:ascii="Tw Cen MT" w:hAnsi="Tw Cen MT"/>
                <w:color w:val="000000"/>
                <w:sz w:val="22"/>
                <w:szCs w:val="22"/>
              </w:rPr>
              <w:t xml:space="preserve"> Consent to Contact </w:t>
            </w:r>
          </w:p>
        </w:tc>
        <w:tc>
          <w:tcPr>
            <w:tcW w:w="2363" w:type="dxa"/>
            <w:tcMar>
              <w:left w:w="72" w:type="dxa"/>
              <w:right w:w="72" w:type="dxa"/>
            </w:tcMar>
          </w:tcPr>
          <w:p w:rsidR="00B53357" w:rsidRPr="00F2716D" w:rsidP="005F2590" w14:paraId="431784D2" w14:textId="63F1B616">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B53357" w:rsidRPr="00F2716D" w:rsidP="005F2590" w14:paraId="784F37AA" w14:textId="0B8C3975">
            <w:pPr>
              <w:jc w:val="center"/>
              <w:rPr>
                <w:rFonts w:ascii="Tw Cen MT" w:hAnsi="Tw Cen MT"/>
                <w:sz w:val="22"/>
                <w:szCs w:val="22"/>
              </w:rPr>
            </w:pPr>
            <w:r>
              <w:rPr>
                <w:rFonts w:ascii="Tw Cen MT" w:hAnsi="Tw Cen MT"/>
                <w:sz w:val="22"/>
                <w:szCs w:val="22"/>
              </w:rPr>
              <w:t>Approximately 320</w:t>
            </w:r>
          </w:p>
        </w:tc>
        <w:tc>
          <w:tcPr>
            <w:tcW w:w="2363" w:type="dxa"/>
            <w:tcMar>
              <w:left w:w="72" w:type="dxa"/>
              <w:right w:w="72" w:type="dxa"/>
            </w:tcMar>
          </w:tcPr>
          <w:p w:rsidR="00B53357" w:rsidRPr="00F2716D" w:rsidP="005F2590" w14:paraId="12176AA0" w14:textId="6EDDECA2">
            <w:pPr>
              <w:jc w:val="center"/>
              <w:rPr>
                <w:rFonts w:ascii="Tw Cen MT" w:hAnsi="Tw Cen MT"/>
                <w:color w:val="000000"/>
                <w:sz w:val="22"/>
                <w:szCs w:val="22"/>
              </w:rPr>
            </w:pPr>
            <w:r>
              <w:rPr>
                <w:rFonts w:ascii="Tw Cen MT" w:hAnsi="Tw Cen MT"/>
                <w:color w:val="000000"/>
                <w:sz w:val="22"/>
                <w:szCs w:val="22"/>
              </w:rPr>
              <w:t>30,000</w:t>
            </w:r>
          </w:p>
        </w:tc>
      </w:tr>
      <w:tr w14:paraId="1A047544" w14:textId="77777777" w:rsidTr="00371ED7">
        <w:tblPrEx>
          <w:tblW w:w="9450" w:type="dxa"/>
          <w:tblInd w:w="-5" w:type="dxa"/>
          <w:tblLayout w:type="fixed"/>
          <w:tblLook w:val="04A0"/>
        </w:tblPrEx>
        <w:trPr>
          <w:trHeight w:val="317"/>
        </w:trPr>
        <w:tc>
          <w:tcPr>
            <w:tcW w:w="2362" w:type="dxa"/>
            <w:tcMar>
              <w:left w:w="72" w:type="dxa"/>
              <w:right w:w="72" w:type="dxa"/>
            </w:tcMar>
          </w:tcPr>
          <w:p w:rsidR="00B53357" w:rsidRPr="00CF6DB0" w:rsidP="005F2590" w14:paraId="751FD204" w14:textId="08763FD9">
            <w:pPr>
              <w:jc w:val="left"/>
              <w:rPr>
                <w:rFonts w:ascii="Tw Cen MT" w:hAnsi="Tw Cen MT"/>
                <w:color w:val="000000"/>
                <w:sz w:val="22"/>
                <w:szCs w:val="22"/>
              </w:rPr>
            </w:pPr>
            <w:r>
              <w:rPr>
                <w:rFonts w:ascii="Tw Cen MT" w:hAnsi="Tw Cen MT"/>
                <w:color w:val="000000"/>
                <w:sz w:val="22"/>
                <w:szCs w:val="22"/>
              </w:rPr>
              <w:t>TSA-F</w:t>
            </w:r>
            <w:r w:rsidRPr="00CF6DB0">
              <w:rPr>
                <w:rFonts w:ascii="Tw Cen MT" w:hAnsi="Tw Cen MT"/>
                <w:color w:val="000000"/>
                <w:sz w:val="22"/>
                <w:szCs w:val="22"/>
              </w:rPr>
              <w:t xml:space="preserve"> 6</w:t>
            </w:r>
            <w:r w:rsidR="00E945FC">
              <w:rPr>
                <w:rFonts w:ascii="Tw Cen MT" w:hAnsi="Tw Cen MT"/>
                <w:color w:val="000000"/>
                <w:sz w:val="22"/>
                <w:szCs w:val="22"/>
              </w:rPr>
              <w:t>-</w:t>
            </w:r>
            <w:r w:rsidRPr="00CF6DB0">
              <w:rPr>
                <w:rFonts w:ascii="Tw Cen MT" w:hAnsi="Tw Cen MT"/>
                <w:color w:val="000000"/>
                <w:sz w:val="22"/>
                <w:szCs w:val="22"/>
              </w:rPr>
              <w:t>Month Version</w:t>
            </w:r>
          </w:p>
        </w:tc>
        <w:tc>
          <w:tcPr>
            <w:tcW w:w="2363" w:type="dxa"/>
            <w:tcMar>
              <w:left w:w="72" w:type="dxa"/>
              <w:right w:w="72" w:type="dxa"/>
            </w:tcMar>
          </w:tcPr>
          <w:p w:rsidR="00B53357" w:rsidRPr="001477B0" w:rsidP="005F2590" w14:paraId="60C8E1A1" w14:textId="61433AA8">
            <w:pPr>
              <w:jc w:val="center"/>
              <w:rPr>
                <w:rFonts w:ascii="Tw Cen MT" w:hAnsi="Tw Cen MT"/>
                <w:color w:val="000000"/>
                <w:sz w:val="22"/>
                <w:szCs w:val="22"/>
                <w:highlight w:val="yellow"/>
              </w:rPr>
            </w:pPr>
            <w:r>
              <w:rPr>
                <w:rFonts w:ascii="Tw Cen MT" w:hAnsi="Tw Cen MT"/>
                <w:color w:val="000000"/>
                <w:sz w:val="22"/>
                <w:szCs w:val="22"/>
              </w:rPr>
              <w:t>31</w:t>
            </w:r>
          </w:p>
        </w:tc>
        <w:tc>
          <w:tcPr>
            <w:tcW w:w="2362" w:type="dxa"/>
            <w:tcMar>
              <w:left w:w="72" w:type="dxa"/>
              <w:right w:w="72" w:type="dxa"/>
            </w:tcMar>
          </w:tcPr>
          <w:p w:rsidR="00B53357" w:rsidRPr="00CF6DB0" w:rsidP="005F2590" w14:paraId="1584D933" w14:textId="7CCAF6D7">
            <w:pPr>
              <w:jc w:val="center"/>
              <w:rPr>
                <w:rFonts w:ascii="Tw Cen MT" w:hAnsi="Tw Cen MT"/>
                <w:sz w:val="22"/>
                <w:szCs w:val="22"/>
              </w:rPr>
            </w:pPr>
            <w:r>
              <w:rPr>
                <w:rFonts w:ascii="Tw Cen MT" w:hAnsi="Tw Cen MT"/>
                <w:sz w:val="22"/>
                <w:szCs w:val="22"/>
              </w:rPr>
              <w:t xml:space="preserve"> Approximately </w:t>
            </w:r>
            <w:r w:rsidR="0080013E">
              <w:rPr>
                <w:rFonts w:ascii="Tw Cen MT" w:hAnsi="Tw Cen MT"/>
                <w:sz w:val="22"/>
                <w:szCs w:val="22"/>
              </w:rPr>
              <w:t>6</w:t>
            </w:r>
          </w:p>
        </w:tc>
        <w:tc>
          <w:tcPr>
            <w:tcW w:w="2363" w:type="dxa"/>
            <w:tcMar>
              <w:left w:w="72" w:type="dxa"/>
              <w:right w:w="72" w:type="dxa"/>
            </w:tcMar>
          </w:tcPr>
          <w:p w:rsidR="00B53357" w:rsidRPr="003928A5" w:rsidP="005F2590" w14:paraId="248D28BC" w14:textId="455E3EF4">
            <w:pPr>
              <w:jc w:val="center"/>
              <w:rPr>
                <w:rFonts w:ascii="Tw Cen MT" w:hAnsi="Tw Cen MT"/>
                <w:color w:val="000000"/>
                <w:sz w:val="22"/>
                <w:szCs w:val="22"/>
              </w:rPr>
            </w:pPr>
            <w:r>
              <w:rPr>
                <w:rFonts w:ascii="Tw Cen MT" w:hAnsi="Tw Cen MT"/>
                <w:color w:val="000000"/>
                <w:sz w:val="22"/>
                <w:szCs w:val="22"/>
              </w:rPr>
              <w:t>561</w:t>
            </w:r>
          </w:p>
        </w:tc>
      </w:tr>
      <w:tr w14:paraId="4CD159C2" w14:textId="77777777" w:rsidTr="00371ED7">
        <w:tblPrEx>
          <w:tblW w:w="9450" w:type="dxa"/>
          <w:tblInd w:w="-5" w:type="dxa"/>
          <w:tblLayout w:type="fixed"/>
          <w:tblLook w:val="04A0"/>
        </w:tblPrEx>
        <w:trPr>
          <w:trHeight w:val="317"/>
        </w:trPr>
        <w:tc>
          <w:tcPr>
            <w:tcW w:w="2362" w:type="dxa"/>
            <w:tcMar>
              <w:left w:w="72" w:type="dxa"/>
              <w:right w:w="72" w:type="dxa"/>
            </w:tcMar>
          </w:tcPr>
          <w:p w:rsidR="003A6C87" w:rsidRPr="00CF6DB0" w:rsidP="005F2590" w14:paraId="19717A46" w14:textId="3D9C7B2C">
            <w:pPr>
              <w:jc w:val="left"/>
              <w:rPr>
                <w:rFonts w:ascii="Tw Cen MT" w:hAnsi="Tw Cen MT"/>
                <w:color w:val="000000"/>
                <w:sz w:val="22"/>
                <w:szCs w:val="22"/>
              </w:rPr>
            </w:pPr>
            <w:r>
              <w:rPr>
                <w:rFonts w:ascii="Tw Cen MT" w:hAnsi="Tw Cen MT"/>
                <w:color w:val="000000"/>
                <w:sz w:val="22"/>
                <w:szCs w:val="22"/>
              </w:rPr>
              <w:t>TSA-F 12</w:t>
            </w:r>
            <w:r w:rsidR="00E945FC">
              <w:rPr>
                <w:rFonts w:ascii="Tw Cen MT" w:hAnsi="Tw Cen MT"/>
                <w:color w:val="000000"/>
                <w:sz w:val="22"/>
                <w:szCs w:val="22"/>
              </w:rPr>
              <w:t>-</w:t>
            </w:r>
            <w:r>
              <w:rPr>
                <w:rFonts w:ascii="Tw Cen MT" w:hAnsi="Tw Cen MT"/>
                <w:color w:val="000000"/>
                <w:sz w:val="22"/>
                <w:szCs w:val="22"/>
              </w:rPr>
              <w:t>Month Version</w:t>
            </w:r>
          </w:p>
        </w:tc>
        <w:tc>
          <w:tcPr>
            <w:tcW w:w="2363" w:type="dxa"/>
            <w:tcMar>
              <w:left w:w="72" w:type="dxa"/>
              <w:right w:w="72" w:type="dxa"/>
            </w:tcMar>
          </w:tcPr>
          <w:p w:rsidR="003A6C87" w:rsidP="005F2590" w14:paraId="316C8079" w14:textId="3BD27908">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3A6C87" w:rsidP="005F2590" w14:paraId="2A896FA9" w14:textId="46137B68">
            <w:pPr>
              <w:jc w:val="center"/>
              <w:rPr>
                <w:rFonts w:ascii="Tw Cen MT" w:hAnsi="Tw Cen MT"/>
                <w:sz w:val="22"/>
                <w:szCs w:val="22"/>
              </w:rPr>
            </w:pPr>
            <w:r>
              <w:rPr>
                <w:rFonts w:ascii="Tw Cen MT" w:hAnsi="Tw Cen MT"/>
                <w:sz w:val="22"/>
                <w:szCs w:val="22"/>
              </w:rPr>
              <w:t xml:space="preserve">Approximately </w:t>
            </w:r>
            <w:r w:rsidR="00013B9D">
              <w:rPr>
                <w:rFonts w:ascii="Tw Cen MT" w:hAnsi="Tw Cen MT"/>
                <w:sz w:val="22"/>
                <w:szCs w:val="22"/>
              </w:rPr>
              <w:t>5</w:t>
            </w:r>
          </w:p>
        </w:tc>
        <w:tc>
          <w:tcPr>
            <w:tcW w:w="2363" w:type="dxa"/>
            <w:tcMar>
              <w:left w:w="72" w:type="dxa"/>
              <w:right w:w="72" w:type="dxa"/>
            </w:tcMar>
          </w:tcPr>
          <w:p w:rsidR="003A6C87" w:rsidRPr="003928A5" w:rsidP="005F2590" w14:paraId="758D67BB" w14:textId="1D0705F8">
            <w:pPr>
              <w:jc w:val="center"/>
              <w:rPr>
                <w:rFonts w:ascii="Tw Cen MT" w:hAnsi="Tw Cen MT"/>
                <w:color w:val="000000"/>
                <w:sz w:val="22"/>
                <w:szCs w:val="22"/>
              </w:rPr>
            </w:pPr>
            <w:r>
              <w:rPr>
                <w:rFonts w:ascii="Tw Cen MT" w:hAnsi="Tw Cen MT"/>
                <w:color w:val="000000"/>
                <w:sz w:val="22"/>
                <w:szCs w:val="22"/>
              </w:rPr>
              <w:t>420</w:t>
            </w:r>
          </w:p>
        </w:tc>
      </w:tr>
      <w:tr w14:paraId="3219A092" w14:textId="77777777" w:rsidTr="00371ED7">
        <w:tblPrEx>
          <w:tblW w:w="9450" w:type="dxa"/>
          <w:tblInd w:w="-5" w:type="dxa"/>
          <w:tblLayout w:type="fixed"/>
          <w:tblLook w:val="04A0"/>
        </w:tblPrEx>
        <w:trPr>
          <w:trHeight w:val="317"/>
        </w:trPr>
        <w:tc>
          <w:tcPr>
            <w:tcW w:w="2362" w:type="dxa"/>
            <w:tcMar>
              <w:left w:w="72" w:type="dxa"/>
              <w:right w:w="72" w:type="dxa"/>
            </w:tcMar>
          </w:tcPr>
          <w:p w:rsidR="003A6C87" w:rsidP="005F2590" w14:paraId="20580071" w14:textId="10B13B0B">
            <w:pPr>
              <w:jc w:val="left"/>
              <w:rPr>
                <w:rFonts w:ascii="Tw Cen MT" w:hAnsi="Tw Cen MT"/>
                <w:color w:val="000000"/>
                <w:sz w:val="22"/>
                <w:szCs w:val="22"/>
              </w:rPr>
            </w:pPr>
            <w:r>
              <w:rPr>
                <w:rFonts w:ascii="Tw Cen MT" w:hAnsi="Tw Cen MT"/>
                <w:color w:val="000000"/>
                <w:sz w:val="22"/>
                <w:szCs w:val="22"/>
              </w:rPr>
              <w:t>TSA-PS</w:t>
            </w:r>
          </w:p>
        </w:tc>
        <w:tc>
          <w:tcPr>
            <w:tcW w:w="2363" w:type="dxa"/>
            <w:tcMar>
              <w:left w:w="72" w:type="dxa"/>
              <w:right w:w="72" w:type="dxa"/>
            </w:tcMar>
          </w:tcPr>
          <w:p w:rsidR="003A6C87" w:rsidP="005F2590" w14:paraId="6B15B46F" w14:textId="0F3CDD96">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3A6C87" w:rsidP="005F2590" w14:paraId="3AB7E7CE" w14:textId="6D9AC8E1">
            <w:pPr>
              <w:jc w:val="center"/>
              <w:rPr>
                <w:rFonts w:ascii="Tw Cen MT" w:hAnsi="Tw Cen MT"/>
                <w:sz w:val="22"/>
                <w:szCs w:val="22"/>
              </w:rPr>
            </w:pPr>
            <w:r>
              <w:rPr>
                <w:rFonts w:ascii="Tw Cen MT" w:hAnsi="Tw Cen MT"/>
                <w:sz w:val="22"/>
                <w:szCs w:val="22"/>
              </w:rPr>
              <w:t xml:space="preserve">Approximately </w:t>
            </w:r>
            <w:r w:rsidR="000E2C42">
              <w:rPr>
                <w:rFonts w:ascii="Tw Cen MT" w:hAnsi="Tw Cen MT"/>
                <w:sz w:val="22"/>
                <w:szCs w:val="22"/>
              </w:rPr>
              <w:t>3</w:t>
            </w:r>
          </w:p>
        </w:tc>
        <w:tc>
          <w:tcPr>
            <w:tcW w:w="2363" w:type="dxa"/>
            <w:tcMar>
              <w:left w:w="72" w:type="dxa"/>
              <w:right w:w="72" w:type="dxa"/>
            </w:tcMar>
          </w:tcPr>
          <w:p w:rsidR="003A6C87" w:rsidRPr="003928A5" w:rsidP="005F2590" w14:paraId="3C44AFD0" w14:textId="0FCE9A99">
            <w:pPr>
              <w:jc w:val="center"/>
              <w:rPr>
                <w:rFonts w:ascii="Tw Cen MT" w:hAnsi="Tw Cen MT"/>
                <w:color w:val="000000"/>
                <w:sz w:val="22"/>
                <w:szCs w:val="22"/>
              </w:rPr>
            </w:pPr>
            <w:r>
              <w:rPr>
                <w:rFonts w:ascii="Tw Cen MT" w:hAnsi="Tw Cen MT"/>
                <w:color w:val="000000"/>
                <w:sz w:val="22"/>
                <w:szCs w:val="22"/>
              </w:rPr>
              <w:t>303</w:t>
            </w:r>
          </w:p>
        </w:tc>
      </w:tr>
      <w:tr w14:paraId="0D89B44A" w14:textId="77777777" w:rsidTr="00371ED7">
        <w:tblPrEx>
          <w:tblW w:w="9450" w:type="dxa"/>
          <w:tblInd w:w="-5" w:type="dxa"/>
          <w:tblLayout w:type="fixed"/>
          <w:tblLook w:val="04A0"/>
        </w:tblPrEx>
        <w:trPr>
          <w:trHeight w:val="317"/>
        </w:trPr>
        <w:tc>
          <w:tcPr>
            <w:tcW w:w="2362" w:type="dxa"/>
            <w:tcMar>
              <w:left w:w="72" w:type="dxa"/>
              <w:right w:w="72" w:type="dxa"/>
            </w:tcMar>
          </w:tcPr>
          <w:p w:rsidR="00B11A7D" w:rsidP="005F2590" w14:paraId="3218AF0C" w14:textId="14A2A8FA">
            <w:pPr>
              <w:jc w:val="left"/>
              <w:rPr>
                <w:rFonts w:ascii="Tw Cen MT" w:hAnsi="Tw Cen MT"/>
                <w:color w:val="000000"/>
                <w:sz w:val="22"/>
                <w:szCs w:val="22"/>
              </w:rPr>
            </w:pPr>
            <w:r>
              <w:rPr>
                <w:rFonts w:ascii="Tw Cen MT" w:hAnsi="Tw Cen MT"/>
                <w:color w:val="000000"/>
                <w:sz w:val="22"/>
                <w:szCs w:val="22"/>
              </w:rPr>
              <w:t>YORS Baseline Version</w:t>
            </w:r>
          </w:p>
        </w:tc>
        <w:tc>
          <w:tcPr>
            <w:tcW w:w="2363" w:type="dxa"/>
            <w:tcMar>
              <w:left w:w="72" w:type="dxa"/>
              <w:right w:w="72" w:type="dxa"/>
            </w:tcMar>
          </w:tcPr>
          <w:p w:rsidR="00B11A7D" w:rsidP="005F2590" w14:paraId="78003453" w14:textId="3ACBA9D3">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B11A7D" w:rsidP="005F2590" w14:paraId="3AE4539B" w14:textId="0C89882E">
            <w:pPr>
              <w:jc w:val="center"/>
              <w:rPr>
                <w:rFonts w:ascii="Tw Cen MT" w:hAnsi="Tw Cen MT"/>
                <w:sz w:val="22"/>
                <w:szCs w:val="22"/>
              </w:rPr>
            </w:pPr>
            <w:r>
              <w:rPr>
                <w:rFonts w:ascii="Tw Cen MT" w:hAnsi="Tw Cen MT"/>
                <w:sz w:val="22"/>
                <w:szCs w:val="22"/>
              </w:rPr>
              <w:t>Approximately 30</w:t>
            </w:r>
          </w:p>
        </w:tc>
        <w:tc>
          <w:tcPr>
            <w:tcW w:w="2363" w:type="dxa"/>
            <w:tcMar>
              <w:left w:w="72" w:type="dxa"/>
              <w:right w:w="72" w:type="dxa"/>
            </w:tcMar>
          </w:tcPr>
          <w:p w:rsidR="00B11A7D" w:rsidP="005F2590" w14:paraId="64683A19" w14:textId="2476DB30">
            <w:pPr>
              <w:jc w:val="center"/>
              <w:rPr>
                <w:rFonts w:ascii="Tw Cen MT" w:hAnsi="Tw Cen MT"/>
                <w:color w:val="000000"/>
                <w:sz w:val="22"/>
                <w:szCs w:val="22"/>
              </w:rPr>
            </w:pPr>
            <w:r>
              <w:rPr>
                <w:rFonts w:ascii="Tw Cen MT" w:hAnsi="Tw Cen MT"/>
                <w:color w:val="000000"/>
                <w:sz w:val="22"/>
                <w:szCs w:val="22"/>
              </w:rPr>
              <w:t>900</w:t>
            </w:r>
          </w:p>
        </w:tc>
      </w:tr>
      <w:tr w14:paraId="20B39D62" w14:textId="77777777" w:rsidTr="00371ED7">
        <w:tblPrEx>
          <w:tblW w:w="9450" w:type="dxa"/>
          <w:tblInd w:w="-5" w:type="dxa"/>
          <w:tblLayout w:type="fixed"/>
          <w:tblLook w:val="04A0"/>
        </w:tblPrEx>
        <w:trPr>
          <w:trHeight w:val="317"/>
        </w:trPr>
        <w:tc>
          <w:tcPr>
            <w:tcW w:w="2362" w:type="dxa"/>
            <w:tcMar>
              <w:left w:w="72" w:type="dxa"/>
              <w:right w:w="72" w:type="dxa"/>
            </w:tcMar>
          </w:tcPr>
          <w:p w:rsidR="00B53357" w:rsidRPr="00CF6DB0" w:rsidP="005F2590" w14:paraId="5D6AACDF" w14:textId="63560B64">
            <w:pPr>
              <w:jc w:val="left"/>
              <w:rPr>
                <w:rFonts w:ascii="Tw Cen MT" w:hAnsi="Tw Cen MT"/>
                <w:color w:val="000000"/>
                <w:sz w:val="22"/>
                <w:szCs w:val="22"/>
              </w:rPr>
            </w:pPr>
            <w:r>
              <w:rPr>
                <w:rFonts w:ascii="Tw Cen MT" w:hAnsi="Tw Cen MT"/>
                <w:color w:val="000000"/>
                <w:sz w:val="22"/>
                <w:szCs w:val="22"/>
              </w:rPr>
              <w:t>YORS</w:t>
            </w:r>
            <w:r w:rsidR="00E70342">
              <w:rPr>
                <w:rFonts w:ascii="Tw Cen MT" w:hAnsi="Tw Cen MT"/>
                <w:color w:val="000000"/>
                <w:sz w:val="22"/>
                <w:szCs w:val="22"/>
              </w:rPr>
              <w:t xml:space="preserve"> 3</w:t>
            </w:r>
            <w:r w:rsidR="00E35347">
              <w:rPr>
                <w:rFonts w:ascii="Tw Cen MT" w:hAnsi="Tw Cen MT"/>
                <w:color w:val="000000"/>
                <w:sz w:val="22"/>
                <w:szCs w:val="22"/>
              </w:rPr>
              <w:t>-</w:t>
            </w:r>
            <w:r w:rsidR="00E70342">
              <w:rPr>
                <w:rFonts w:ascii="Tw Cen MT" w:hAnsi="Tw Cen MT"/>
                <w:color w:val="000000"/>
                <w:sz w:val="22"/>
                <w:szCs w:val="22"/>
              </w:rPr>
              <w:t>Month Version</w:t>
            </w:r>
          </w:p>
        </w:tc>
        <w:tc>
          <w:tcPr>
            <w:tcW w:w="2363" w:type="dxa"/>
            <w:tcMar>
              <w:left w:w="72" w:type="dxa"/>
              <w:right w:w="72" w:type="dxa"/>
            </w:tcMar>
          </w:tcPr>
          <w:p w:rsidR="00B53357" w:rsidRPr="00B53357" w:rsidP="005F2590" w14:paraId="6076BF93" w14:textId="182C1C43">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B53357" w:rsidRPr="00B53357" w:rsidP="005F2590" w14:paraId="46A05F11" w14:textId="2E931927">
            <w:pPr>
              <w:jc w:val="center"/>
              <w:rPr>
                <w:rFonts w:ascii="Tw Cen MT" w:hAnsi="Tw Cen MT"/>
                <w:sz w:val="22"/>
                <w:szCs w:val="22"/>
              </w:rPr>
            </w:pPr>
            <w:r>
              <w:rPr>
                <w:rFonts w:ascii="Tw Cen MT" w:hAnsi="Tw Cen MT"/>
                <w:sz w:val="22"/>
                <w:szCs w:val="22"/>
              </w:rPr>
              <w:t xml:space="preserve"> </w:t>
            </w:r>
            <w:r w:rsidR="00013B9D">
              <w:rPr>
                <w:rFonts w:ascii="Tw Cen MT" w:hAnsi="Tw Cen MT"/>
                <w:sz w:val="22"/>
                <w:szCs w:val="22"/>
              </w:rPr>
              <w:t xml:space="preserve">Approximately </w:t>
            </w:r>
            <w:r w:rsidR="00297B67">
              <w:rPr>
                <w:rFonts w:ascii="Tw Cen MT" w:hAnsi="Tw Cen MT"/>
                <w:sz w:val="22"/>
                <w:szCs w:val="22"/>
              </w:rPr>
              <w:t>23</w:t>
            </w:r>
          </w:p>
        </w:tc>
        <w:tc>
          <w:tcPr>
            <w:tcW w:w="2363" w:type="dxa"/>
            <w:tcMar>
              <w:left w:w="72" w:type="dxa"/>
              <w:right w:w="72" w:type="dxa"/>
            </w:tcMar>
          </w:tcPr>
          <w:p w:rsidR="00B53357" w:rsidRPr="001477B0" w:rsidP="005F2590" w14:paraId="116BE1E6" w14:textId="23FE2F37">
            <w:pPr>
              <w:jc w:val="center"/>
              <w:rPr>
                <w:rFonts w:ascii="Tw Cen MT" w:hAnsi="Tw Cen MT"/>
                <w:color w:val="000000"/>
                <w:sz w:val="22"/>
                <w:szCs w:val="22"/>
                <w:highlight w:val="yellow"/>
              </w:rPr>
            </w:pPr>
            <w:r>
              <w:rPr>
                <w:rFonts w:ascii="Tw Cen MT" w:hAnsi="Tw Cen MT"/>
                <w:color w:val="000000"/>
                <w:sz w:val="22"/>
                <w:szCs w:val="22"/>
              </w:rPr>
              <w:t xml:space="preserve"> </w:t>
            </w:r>
            <w:r w:rsidR="00865BF5">
              <w:rPr>
                <w:rFonts w:ascii="Tw Cen MT" w:hAnsi="Tw Cen MT"/>
                <w:color w:val="000000"/>
                <w:sz w:val="22"/>
                <w:szCs w:val="22"/>
              </w:rPr>
              <w:t>720</w:t>
            </w:r>
          </w:p>
        </w:tc>
      </w:tr>
      <w:tr w14:paraId="72572224" w14:textId="77777777" w:rsidTr="009A657C">
        <w:tblPrEx>
          <w:tblW w:w="9450" w:type="dxa"/>
          <w:tblInd w:w="-5" w:type="dxa"/>
          <w:tblLayout w:type="fixed"/>
          <w:tblLook w:val="04A0"/>
        </w:tblPrEx>
        <w:trPr>
          <w:trHeight w:val="287"/>
        </w:trPr>
        <w:tc>
          <w:tcPr>
            <w:tcW w:w="2362" w:type="dxa"/>
            <w:tcMar>
              <w:left w:w="72" w:type="dxa"/>
              <w:right w:w="72" w:type="dxa"/>
            </w:tcMar>
          </w:tcPr>
          <w:p w:rsidR="003B4806" w:rsidRPr="00CF6DB0" w:rsidP="005F2590" w14:paraId="7EBA5FB1" w14:textId="2184F9EC">
            <w:pPr>
              <w:jc w:val="left"/>
              <w:rPr>
                <w:rFonts w:ascii="Tw Cen MT" w:hAnsi="Tw Cen MT"/>
                <w:color w:val="000000"/>
                <w:sz w:val="22"/>
                <w:szCs w:val="22"/>
              </w:rPr>
            </w:pPr>
            <w:r>
              <w:rPr>
                <w:rFonts w:ascii="Tw Cen MT" w:hAnsi="Tw Cen MT"/>
                <w:color w:val="000000"/>
                <w:sz w:val="22"/>
                <w:szCs w:val="22"/>
              </w:rPr>
              <w:t>YORS 6</w:t>
            </w:r>
            <w:r w:rsidR="00E35347">
              <w:rPr>
                <w:rFonts w:ascii="Tw Cen MT" w:hAnsi="Tw Cen MT"/>
                <w:color w:val="000000"/>
                <w:sz w:val="22"/>
                <w:szCs w:val="22"/>
              </w:rPr>
              <w:t>-</w:t>
            </w:r>
            <w:r>
              <w:rPr>
                <w:rFonts w:ascii="Tw Cen MT" w:hAnsi="Tw Cen MT"/>
                <w:color w:val="000000"/>
                <w:sz w:val="22"/>
                <w:szCs w:val="22"/>
              </w:rPr>
              <w:t>Month Version</w:t>
            </w:r>
          </w:p>
        </w:tc>
        <w:tc>
          <w:tcPr>
            <w:tcW w:w="2363" w:type="dxa"/>
            <w:tcMar>
              <w:left w:w="72" w:type="dxa"/>
              <w:right w:w="72" w:type="dxa"/>
            </w:tcMar>
          </w:tcPr>
          <w:p w:rsidR="003B4806" w:rsidRPr="00B53357" w:rsidP="005F2590" w14:paraId="4EF614F7" w14:textId="404BF2A3">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3B4806" w:rsidRPr="00B53357" w:rsidP="005F2590" w14:paraId="518F37BF" w14:textId="490B7051">
            <w:pPr>
              <w:jc w:val="center"/>
              <w:rPr>
                <w:rFonts w:ascii="Tw Cen MT" w:hAnsi="Tw Cen MT"/>
                <w:sz w:val="22"/>
                <w:szCs w:val="22"/>
              </w:rPr>
            </w:pPr>
            <w:r>
              <w:rPr>
                <w:rFonts w:ascii="Tw Cen MT" w:hAnsi="Tw Cen MT"/>
                <w:sz w:val="22"/>
                <w:szCs w:val="22"/>
              </w:rPr>
              <w:t>Approximately 19</w:t>
            </w:r>
          </w:p>
        </w:tc>
        <w:tc>
          <w:tcPr>
            <w:tcW w:w="2363" w:type="dxa"/>
            <w:tcMar>
              <w:left w:w="72" w:type="dxa"/>
              <w:right w:w="72" w:type="dxa"/>
            </w:tcMar>
          </w:tcPr>
          <w:p w:rsidR="003B4806" w:rsidP="005F2590" w14:paraId="7E5A896D" w14:textId="556A0EA7">
            <w:pPr>
              <w:jc w:val="center"/>
              <w:rPr>
                <w:rFonts w:ascii="Tw Cen MT" w:hAnsi="Tw Cen MT"/>
                <w:color w:val="000000"/>
                <w:sz w:val="22"/>
                <w:szCs w:val="22"/>
              </w:rPr>
            </w:pPr>
            <w:r>
              <w:rPr>
                <w:rFonts w:ascii="Tw Cen MT" w:hAnsi="Tw Cen MT"/>
                <w:color w:val="000000"/>
                <w:sz w:val="22"/>
                <w:szCs w:val="22"/>
              </w:rPr>
              <w:t>576</w:t>
            </w:r>
          </w:p>
        </w:tc>
      </w:tr>
      <w:tr w14:paraId="3B8925D5" w14:textId="77777777" w:rsidTr="00371ED7">
        <w:tblPrEx>
          <w:tblW w:w="9450" w:type="dxa"/>
          <w:tblInd w:w="-5" w:type="dxa"/>
          <w:tblLayout w:type="fixed"/>
          <w:tblLook w:val="04A0"/>
        </w:tblPrEx>
        <w:trPr>
          <w:trHeight w:val="317"/>
        </w:trPr>
        <w:tc>
          <w:tcPr>
            <w:tcW w:w="2362" w:type="dxa"/>
            <w:tcMar>
              <w:left w:w="72" w:type="dxa"/>
              <w:right w:w="72" w:type="dxa"/>
            </w:tcMar>
          </w:tcPr>
          <w:p w:rsidR="00E70342" w:rsidP="005F2590" w14:paraId="10999418" w14:textId="13152B48">
            <w:pPr>
              <w:jc w:val="left"/>
              <w:rPr>
                <w:rFonts w:ascii="Tw Cen MT" w:hAnsi="Tw Cen MT"/>
                <w:color w:val="000000"/>
                <w:sz w:val="22"/>
                <w:szCs w:val="22"/>
              </w:rPr>
            </w:pPr>
            <w:r>
              <w:rPr>
                <w:rFonts w:ascii="Tw Cen MT" w:hAnsi="Tw Cen MT"/>
                <w:color w:val="000000"/>
                <w:sz w:val="22"/>
                <w:szCs w:val="22"/>
              </w:rPr>
              <w:t>YORS 12</w:t>
            </w:r>
            <w:r w:rsidR="00E35347">
              <w:rPr>
                <w:rFonts w:ascii="Tw Cen MT" w:hAnsi="Tw Cen MT"/>
                <w:color w:val="000000"/>
                <w:sz w:val="22"/>
                <w:szCs w:val="22"/>
              </w:rPr>
              <w:t>-</w:t>
            </w:r>
            <w:r>
              <w:rPr>
                <w:rFonts w:ascii="Tw Cen MT" w:hAnsi="Tw Cen MT"/>
                <w:color w:val="000000"/>
                <w:sz w:val="22"/>
                <w:szCs w:val="22"/>
              </w:rPr>
              <w:t>Month Version</w:t>
            </w:r>
          </w:p>
        </w:tc>
        <w:tc>
          <w:tcPr>
            <w:tcW w:w="2363" w:type="dxa"/>
            <w:tcMar>
              <w:left w:w="72" w:type="dxa"/>
              <w:right w:w="72" w:type="dxa"/>
            </w:tcMar>
          </w:tcPr>
          <w:p w:rsidR="00E70342" w:rsidP="005F2590" w14:paraId="6ED32566" w14:textId="638C7154">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E70342" w:rsidP="005F2590" w14:paraId="354E9B3D" w14:textId="2E2384F6">
            <w:pPr>
              <w:jc w:val="center"/>
              <w:rPr>
                <w:rFonts w:ascii="Tw Cen MT" w:hAnsi="Tw Cen MT"/>
                <w:sz w:val="22"/>
                <w:szCs w:val="22"/>
              </w:rPr>
            </w:pPr>
            <w:r>
              <w:rPr>
                <w:rFonts w:ascii="Tw Cen MT" w:hAnsi="Tw Cen MT"/>
                <w:sz w:val="22"/>
                <w:szCs w:val="22"/>
              </w:rPr>
              <w:t>Approximately 11</w:t>
            </w:r>
          </w:p>
        </w:tc>
        <w:tc>
          <w:tcPr>
            <w:tcW w:w="2363" w:type="dxa"/>
            <w:tcMar>
              <w:left w:w="72" w:type="dxa"/>
              <w:right w:w="72" w:type="dxa"/>
            </w:tcMar>
          </w:tcPr>
          <w:p w:rsidR="00E70342" w:rsidP="005F2590" w14:paraId="23A63D44" w14:textId="3E4641D3">
            <w:pPr>
              <w:jc w:val="center"/>
              <w:rPr>
                <w:rFonts w:ascii="Tw Cen MT" w:hAnsi="Tw Cen MT"/>
                <w:color w:val="000000"/>
                <w:sz w:val="22"/>
                <w:szCs w:val="22"/>
              </w:rPr>
            </w:pPr>
            <w:r>
              <w:rPr>
                <w:rFonts w:ascii="Tw Cen MT" w:hAnsi="Tw Cen MT"/>
                <w:color w:val="000000"/>
                <w:sz w:val="22"/>
                <w:szCs w:val="22"/>
              </w:rPr>
              <w:t>345</w:t>
            </w:r>
          </w:p>
        </w:tc>
      </w:tr>
      <w:tr w14:paraId="021DA275" w14:textId="77777777" w:rsidTr="00371ED7">
        <w:tblPrEx>
          <w:tblW w:w="9450" w:type="dxa"/>
          <w:tblInd w:w="-5" w:type="dxa"/>
          <w:tblLayout w:type="fixed"/>
          <w:tblLook w:val="04A0"/>
        </w:tblPrEx>
        <w:trPr>
          <w:trHeight w:val="317"/>
        </w:trPr>
        <w:tc>
          <w:tcPr>
            <w:tcW w:w="2362" w:type="dxa"/>
            <w:tcMar>
              <w:left w:w="72" w:type="dxa"/>
              <w:right w:w="72" w:type="dxa"/>
            </w:tcMar>
          </w:tcPr>
          <w:p w:rsidR="00E70342" w:rsidP="005F2590" w14:paraId="0A006766" w14:textId="10E7FC22">
            <w:pPr>
              <w:jc w:val="left"/>
              <w:rPr>
                <w:rFonts w:ascii="Tw Cen MT" w:hAnsi="Tw Cen MT"/>
                <w:color w:val="000000"/>
                <w:sz w:val="22"/>
                <w:szCs w:val="22"/>
              </w:rPr>
            </w:pPr>
            <w:r>
              <w:rPr>
                <w:rFonts w:ascii="Tw Cen MT" w:hAnsi="Tw Cen MT"/>
                <w:color w:val="000000"/>
                <w:sz w:val="22"/>
                <w:szCs w:val="22"/>
              </w:rPr>
              <w:t>Y</w:t>
            </w:r>
            <w:r w:rsidR="00ED305A">
              <w:rPr>
                <w:rFonts w:ascii="Tw Cen MT" w:hAnsi="Tw Cen MT"/>
                <w:color w:val="000000"/>
                <w:sz w:val="22"/>
                <w:szCs w:val="22"/>
              </w:rPr>
              <w:t xml:space="preserve">ER </w:t>
            </w:r>
            <w:r w:rsidR="003102D3">
              <w:rPr>
                <w:rFonts w:ascii="Tw Cen MT" w:hAnsi="Tw Cen MT"/>
                <w:color w:val="000000"/>
                <w:sz w:val="22"/>
                <w:szCs w:val="22"/>
              </w:rPr>
              <w:t>Journal</w:t>
            </w:r>
          </w:p>
        </w:tc>
        <w:tc>
          <w:tcPr>
            <w:tcW w:w="2363" w:type="dxa"/>
            <w:tcMar>
              <w:left w:w="72" w:type="dxa"/>
              <w:right w:w="72" w:type="dxa"/>
            </w:tcMar>
          </w:tcPr>
          <w:p w:rsidR="00E70342" w:rsidP="005F2590" w14:paraId="4C8B620F" w14:textId="667266A3">
            <w:pPr>
              <w:jc w:val="center"/>
              <w:rPr>
                <w:rFonts w:ascii="Tw Cen MT" w:hAnsi="Tw Cen MT"/>
                <w:color w:val="000000"/>
                <w:sz w:val="22"/>
                <w:szCs w:val="22"/>
              </w:rPr>
            </w:pPr>
            <w:r>
              <w:rPr>
                <w:rFonts w:ascii="Tw Cen MT" w:hAnsi="Tw Cen MT"/>
                <w:color w:val="000000"/>
                <w:sz w:val="22"/>
                <w:szCs w:val="22"/>
              </w:rPr>
              <w:t>31</w:t>
            </w:r>
          </w:p>
        </w:tc>
        <w:tc>
          <w:tcPr>
            <w:tcW w:w="2362" w:type="dxa"/>
            <w:tcMar>
              <w:left w:w="72" w:type="dxa"/>
              <w:right w:w="72" w:type="dxa"/>
            </w:tcMar>
          </w:tcPr>
          <w:p w:rsidR="00E70342" w:rsidP="005F2590" w14:paraId="1A3DC786" w14:textId="058CB2BF">
            <w:pPr>
              <w:jc w:val="center"/>
              <w:rPr>
                <w:rFonts w:ascii="Tw Cen MT" w:hAnsi="Tw Cen MT"/>
                <w:sz w:val="22"/>
                <w:szCs w:val="22"/>
              </w:rPr>
            </w:pPr>
            <w:r>
              <w:rPr>
                <w:rFonts w:ascii="Tw Cen MT" w:hAnsi="Tw Cen MT"/>
                <w:sz w:val="22"/>
                <w:szCs w:val="22"/>
              </w:rPr>
              <w:t>Approximately 2</w:t>
            </w:r>
          </w:p>
        </w:tc>
        <w:tc>
          <w:tcPr>
            <w:tcW w:w="2363" w:type="dxa"/>
            <w:tcMar>
              <w:left w:w="72" w:type="dxa"/>
              <w:right w:w="72" w:type="dxa"/>
            </w:tcMar>
          </w:tcPr>
          <w:p w:rsidR="00E70342" w:rsidP="005F2590" w14:paraId="4F1C0CA3" w14:textId="5A06568B">
            <w:pPr>
              <w:jc w:val="center"/>
              <w:rPr>
                <w:rFonts w:ascii="Tw Cen MT" w:hAnsi="Tw Cen MT"/>
                <w:color w:val="000000"/>
                <w:sz w:val="22"/>
                <w:szCs w:val="22"/>
              </w:rPr>
            </w:pPr>
            <w:r>
              <w:rPr>
                <w:rFonts w:ascii="Tw Cen MT" w:hAnsi="Tw Cen MT"/>
                <w:color w:val="000000"/>
                <w:sz w:val="22"/>
                <w:szCs w:val="22"/>
              </w:rPr>
              <w:t>75</w:t>
            </w:r>
          </w:p>
        </w:tc>
      </w:tr>
    </w:tbl>
    <w:p w:rsidR="00013B9D" w:rsidP="004E195B" w14:paraId="06442464" w14:textId="77777777">
      <w:pPr>
        <w:pStyle w:val="BodyText"/>
        <w:tabs>
          <w:tab w:val="left" w:pos="1563"/>
        </w:tabs>
        <w:spacing w:after="200"/>
        <w:rPr>
          <w:rFonts w:ascii="Times New Roman" w:hAnsi="Times New Roman" w:cs="Times New Roman"/>
          <w:color w:val="181818"/>
          <w:sz w:val="24"/>
          <w:szCs w:val="24"/>
        </w:rPr>
      </w:pPr>
    </w:p>
    <w:p w:rsidR="00B53357" w:rsidRPr="00D45265" w:rsidP="71DF05F5" w14:paraId="1C52136D" w14:textId="2B5FA000">
      <w:pPr>
        <w:pStyle w:val="BodyText"/>
        <w:tabs>
          <w:tab w:val="left" w:pos="1563"/>
        </w:tabs>
        <w:spacing w:before="240" w:after="200"/>
        <w:rPr>
          <w:rFonts w:ascii="Times New Roman" w:hAnsi="Times New Roman" w:cs="Times New Roman"/>
          <w:color w:val="181818"/>
          <w:sz w:val="24"/>
          <w:szCs w:val="24"/>
        </w:rPr>
      </w:pPr>
      <w:r w:rsidRPr="009D6E07">
        <w:rPr>
          <w:rFonts w:ascii="Times New Roman" w:hAnsi="Times New Roman" w:cs="Times New Roman"/>
          <w:color w:val="181818"/>
          <w:sz w:val="24"/>
          <w:szCs w:val="24"/>
        </w:rPr>
        <w:t xml:space="preserve">The respondent </w:t>
      </w:r>
      <w:r>
        <w:rPr>
          <w:rFonts w:ascii="Times New Roman" w:hAnsi="Times New Roman" w:cs="Times New Roman"/>
          <w:color w:val="181818"/>
          <w:sz w:val="24"/>
          <w:szCs w:val="24"/>
        </w:rPr>
        <w:t xml:space="preserve">universe and sampling methods are described below for the following data collection activities: </w:t>
      </w:r>
      <w:r w:rsidR="00186D2F">
        <w:rPr>
          <w:rFonts w:ascii="Times New Roman" w:hAnsi="Times New Roman" w:cs="Times New Roman"/>
          <w:color w:val="181818"/>
          <w:sz w:val="24"/>
          <w:szCs w:val="24"/>
        </w:rPr>
        <w:t>Training</w:t>
      </w:r>
      <w:r w:rsidR="004B6822">
        <w:rPr>
          <w:rFonts w:ascii="Times New Roman" w:hAnsi="Times New Roman" w:cs="Times New Roman"/>
          <w:color w:val="181818"/>
          <w:sz w:val="24"/>
          <w:szCs w:val="24"/>
        </w:rPr>
        <w:t xml:space="preserve"> Skills Assessment Follow-up (</w:t>
      </w:r>
      <w:r w:rsidR="004C7D5D">
        <w:rPr>
          <w:rFonts w:ascii="Times New Roman" w:hAnsi="Times New Roman" w:cs="Times New Roman"/>
          <w:color w:val="181818"/>
          <w:sz w:val="24"/>
          <w:szCs w:val="24"/>
        </w:rPr>
        <w:t xml:space="preserve">TSA-F </w:t>
      </w:r>
      <w:r w:rsidR="004B6822">
        <w:rPr>
          <w:rFonts w:ascii="Times New Roman" w:hAnsi="Times New Roman" w:cs="Times New Roman"/>
          <w:color w:val="181818"/>
          <w:sz w:val="24"/>
          <w:szCs w:val="24"/>
        </w:rPr>
        <w:t>6</w:t>
      </w:r>
      <w:r w:rsidR="004C7D5D">
        <w:rPr>
          <w:rFonts w:ascii="Times New Roman" w:hAnsi="Times New Roman" w:cs="Times New Roman"/>
          <w:color w:val="181818"/>
          <w:sz w:val="24"/>
          <w:szCs w:val="24"/>
        </w:rPr>
        <w:t>-</w:t>
      </w:r>
      <w:r w:rsidR="004B6822">
        <w:rPr>
          <w:rFonts w:ascii="Times New Roman" w:hAnsi="Times New Roman" w:cs="Times New Roman"/>
          <w:color w:val="181818"/>
          <w:sz w:val="24"/>
          <w:szCs w:val="24"/>
        </w:rPr>
        <w:t xml:space="preserve"> and 12</w:t>
      </w:r>
      <w:r w:rsidR="00A718D0">
        <w:rPr>
          <w:rFonts w:ascii="Times New Roman" w:hAnsi="Times New Roman" w:cs="Times New Roman"/>
          <w:color w:val="181818"/>
          <w:sz w:val="24"/>
          <w:szCs w:val="24"/>
        </w:rPr>
        <w:t>-</w:t>
      </w:r>
      <w:r w:rsidR="004B6822">
        <w:rPr>
          <w:rFonts w:ascii="Times New Roman" w:hAnsi="Times New Roman" w:cs="Times New Roman"/>
          <w:color w:val="181818"/>
          <w:sz w:val="24"/>
          <w:szCs w:val="24"/>
        </w:rPr>
        <w:t>months)</w:t>
      </w:r>
      <w:r w:rsidR="007E519F">
        <w:rPr>
          <w:rFonts w:ascii="Times New Roman" w:hAnsi="Times New Roman" w:cs="Times New Roman"/>
          <w:color w:val="181818"/>
          <w:sz w:val="24"/>
          <w:szCs w:val="24"/>
        </w:rPr>
        <w:t xml:space="preserve">, </w:t>
      </w:r>
      <w:r w:rsidR="004B6822">
        <w:rPr>
          <w:rFonts w:ascii="Times New Roman" w:hAnsi="Times New Roman" w:cs="Times New Roman"/>
          <w:color w:val="181818"/>
          <w:sz w:val="24"/>
          <w:szCs w:val="24"/>
        </w:rPr>
        <w:t>the Training Skills Assessment Phone Simulation (TSA-PS)</w:t>
      </w:r>
      <w:r w:rsidR="007E519F">
        <w:rPr>
          <w:rFonts w:ascii="Times New Roman" w:hAnsi="Times New Roman" w:cs="Times New Roman"/>
          <w:color w:val="181818"/>
          <w:sz w:val="24"/>
          <w:szCs w:val="24"/>
        </w:rPr>
        <w:t xml:space="preserve"> and the Youth </w:t>
      </w:r>
      <w:r w:rsidR="00D87FC2">
        <w:rPr>
          <w:rFonts w:ascii="Times New Roman" w:hAnsi="Times New Roman" w:cs="Times New Roman"/>
          <w:color w:val="181818"/>
          <w:sz w:val="24"/>
          <w:szCs w:val="24"/>
        </w:rPr>
        <w:t>Outcomes and Resiliency Survey (YORS)</w:t>
      </w:r>
      <w:r>
        <w:rPr>
          <w:rFonts w:ascii="Times New Roman" w:hAnsi="Times New Roman" w:cs="Times New Roman"/>
          <w:color w:val="181818"/>
          <w:sz w:val="24"/>
          <w:szCs w:val="24"/>
        </w:rPr>
        <w:t xml:space="preserve">. </w:t>
      </w:r>
      <w:r w:rsidR="00705BE5">
        <w:rPr>
          <w:rFonts w:ascii="Times New Roman" w:hAnsi="Times New Roman" w:cs="Times New Roman"/>
          <w:color w:val="181818"/>
          <w:sz w:val="24"/>
          <w:szCs w:val="24"/>
        </w:rPr>
        <w:t>The following data collection</w:t>
      </w:r>
      <w:r w:rsidR="00F71B2C">
        <w:rPr>
          <w:rFonts w:ascii="Times New Roman" w:hAnsi="Times New Roman" w:cs="Times New Roman"/>
          <w:color w:val="181818"/>
          <w:sz w:val="24"/>
          <w:szCs w:val="24"/>
        </w:rPr>
        <w:t xml:space="preserve"> activities </w:t>
      </w:r>
      <w:r w:rsidR="00705BE5">
        <w:rPr>
          <w:rFonts w:ascii="Times New Roman" w:hAnsi="Times New Roman" w:cs="Times New Roman"/>
          <w:color w:val="181818"/>
          <w:sz w:val="24"/>
          <w:szCs w:val="24"/>
        </w:rPr>
        <w:t xml:space="preserve">are </w:t>
      </w:r>
      <w:r w:rsidRPr="00425F59" w:rsidR="00425F59">
        <w:rPr>
          <w:rFonts w:ascii="Times New Roman" w:hAnsi="Times New Roman" w:cs="Times New Roman"/>
          <w:sz w:val="24"/>
          <w:szCs w:val="24"/>
        </w:rPr>
        <w:t xml:space="preserve">reports on grant activities or </w:t>
      </w:r>
      <w:r w:rsidR="00425F59">
        <w:rPr>
          <w:rFonts w:ascii="Times New Roman" w:hAnsi="Times New Roman" w:cs="Times New Roman"/>
          <w:sz w:val="24"/>
          <w:szCs w:val="24"/>
        </w:rPr>
        <w:t xml:space="preserve">existing </w:t>
      </w:r>
      <w:r w:rsidRPr="00425F59" w:rsidR="00425F59">
        <w:rPr>
          <w:rFonts w:ascii="Times New Roman" w:hAnsi="Times New Roman" w:cs="Times New Roman"/>
          <w:sz w:val="24"/>
          <w:szCs w:val="24"/>
        </w:rPr>
        <w:t xml:space="preserve">data </w:t>
      </w:r>
      <w:r w:rsidR="00425F59">
        <w:rPr>
          <w:rFonts w:ascii="Times New Roman" w:hAnsi="Times New Roman" w:cs="Times New Roman"/>
          <w:sz w:val="24"/>
          <w:szCs w:val="24"/>
        </w:rPr>
        <w:t xml:space="preserve">abstractions </w:t>
      </w:r>
      <w:r w:rsidRPr="00425F59" w:rsidR="00425F59">
        <w:rPr>
          <w:rFonts w:ascii="Times New Roman" w:hAnsi="Times New Roman" w:cs="Times New Roman"/>
          <w:sz w:val="24"/>
          <w:szCs w:val="24"/>
        </w:rPr>
        <w:t>required from every grantee, so no sampling is required</w:t>
      </w:r>
      <w:r w:rsidR="00425F59">
        <w:rPr>
          <w:rFonts w:ascii="Times New Roman" w:hAnsi="Times New Roman" w:cs="Times New Roman"/>
          <w:sz w:val="24"/>
          <w:szCs w:val="24"/>
        </w:rPr>
        <w:t>: PSI,</w:t>
      </w:r>
      <w:r w:rsidRPr="00425F59" w:rsidR="002A1A1A">
        <w:rPr>
          <w:rFonts w:ascii="Times New Roman" w:hAnsi="Times New Roman" w:cs="Times New Roman"/>
          <w:color w:val="181818"/>
          <w:sz w:val="24"/>
          <w:szCs w:val="24"/>
        </w:rPr>
        <w:t xml:space="preserve"> </w:t>
      </w:r>
      <w:r w:rsidRPr="00425F59">
        <w:rPr>
          <w:rFonts w:ascii="Times New Roman" w:hAnsi="Times New Roman" w:cs="Times New Roman"/>
          <w:color w:val="181818"/>
          <w:sz w:val="24"/>
          <w:szCs w:val="24"/>
        </w:rPr>
        <w:t xml:space="preserve">TASP, EIRF-I, </w:t>
      </w:r>
      <w:r w:rsidR="00B2646B">
        <w:rPr>
          <w:rFonts w:ascii="Times New Roman" w:hAnsi="Times New Roman" w:cs="Times New Roman"/>
          <w:color w:val="181818"/>
          <w:sz w:val="24"/>
          <w:szCs w:val="24"/>
        </w:rPr>
        <w:t xml:space="preserve">and </w:t>
      </w:r>
      <w:r w:rsidRPr="00425F59">
        <w:rPr>
          <w:rFonts w:ascii="Times New Roman" w:hAnsi="Times New Roman" w:cs="Times New Roman"/>
          <w:color w:val="181818"/>
          <w:sz w:val="24"/>
          <w:szCs w:val="24"/>
        </w:rPr>
        <w:t>EIRF-S</w:t>
      </w:r>
      <w:r w:rsidRPr="00425F59" w:rsidR="002A1A1A">
        <w:rPr>
          <w:rFonts w:ascii="Times New Roman" w:hAnsi="Times New Roman" w:cs="Times New Roman"/>
          <w:color w:val="181818"/>
          <w:sz w:val="24"/>
          <w:szCs w:val="24"/>
        </w:rPr>
        <w:t>. Respondents to these activities</w:t>
      </w:r>
      <w:r w:rsidRPr="00425F59">
        <w:rPr>
          <w:rFonts w:ascii="Times New Roman" w:hAnsi="Times New Roman" w:cs="Times New Roman"/>
          <w:color w:val="181818"/>
          <w:sz w:val="24"/>
          <w:szCs w:val="24"/>
        </w:rPr>
        <w:t xml:space="preserve"> </w:t>
      </w:r>
      <w:r w:rsidRPr="00425F59" w:rsidR="00705BE5">
        <w:rPr>
          <w:rFonts w:ascii="Times New Roman" w:hAnsi="Times New Roman" w:cs="Times New Roman"/>
          <w:color w:val="181818"/>
          <w:sz w:val="24"/>
          <w:szCs w:val="24"/>
        </w:rPr>
        <w:t xml:space="preserve">will be program staff and/or project evaluators. </w:t>
      </w:r>
      <w:r w:rsidR="00F71B2C">
        <w:rPr>
          <w:rFonts w:ascii="Times New Roman" w:hAnsi="Times New Roman" w:cs="Times New Roman"/>
          <w:color w:val="181818"/>
          <w:sz w:val="24"/>
          <w:szCs w:val="24"/>
        </w:rPr>
        <w:t>Recent response rates to appropriate activities</w:t>
      </w:r>
      <w:r w:rsidR="00153ECC">
        <w:rPr>
          <w:rFonts w:ascii="Times New Roman" w:hAnsi="Times New Roman" w:cs="Times New Roman"/>
          <w:color w:val="181818"/>
          <w:sz w:val="24"/>
          <w:szCs w:val="24"/>
        </w:rPr>
        <w:t>, along with psychometric analyses,</w:t>
      </w:r>
      <w:r w:rsidR="00F71B2C">
        <w:rPr>
          <w:rFonts w:ascii="Times New Roman" w:hAnsi="Times New Roman" w:cs="Times New Roman"/>
          <w:color w:val="181818"/>
          <w:sz w:val="24"/>
          <w:szCs w:val="24"/>
        </w:rPr>
        <w:t xml:space="preserve"> are presented </w:t>
      </w:r>
      <w:r w:rsidRPr="00667D00" w:rsidR="00F71B2C">
        <w:rPr>
          <w:rFonts w:ascii="Times New Roman" w:hAnsi="Times New Roman" w:cs="Times New Roman"/>
          <w:color w:val="181818"/>
          <w:sz w:val="24"/>
          <w:szCs w:val="24"/>
        </w:rPr>
        <w:t xml:space="preserve">in Exhibit </w:t>
      </w:r>
      <w:r w:rsidR="00667D00">
        <w:rPr>
          <w:rFonts w:ascii="Times New Roman" w:hAnsi="Times New Roman" w:cs="Times New Roman"/>
          <w:color w:val="181818"/>
          <w:sz w:val="24"/>
          <w:szCs w:val="24"/>
        </w:rPr>
        <w:t>3</w:t>
      </w:r>
      <w:r w:rsidR="00F71B2C">
        <w:rPr>
          <w:rFonts w:ascii="Times New Roman" w:hAnsi="Times New Roman" w:cs="Times New Roman"/>
          <w:color w:val="181818"/>
          <w:sz w:val="24"/>
          <w:szCs w:val="24"/>
        </w:rPr>
        <w:t xml:space="preserve"> in Section </w:t>
      </w:r>
      <w:r w:rsidR="00153ECC">
        <w:rPr>
          <w:rFonts w:ascii="Times New Roman" w:hAnsi="Times New Roman" w:cs="Times New Roman"/>
          <w:color w:val="181818"/>
          <w:sz w:val="24"/>
          <w:szCs w:val="24"/>
        </w:rPr>
        <w:t>B.4</w:t>
      </w:r>
      <w:r w:rsidR="00BC63CC">
        <w:rPr>
          <w:rFonts w:ascii="Times New Roman" w:hAnsi="Times New Roman" w:cs="Times New Roman"/>
          <w:color w:val="181818"/>
          <w:sz w:val="24"/>
          <w:szCs w:val="24"/>
        </w:rPr>
        <w:t>.</w:t>
      </w:r>
    </w:p>
    <w:p w:rsidR="006978A8" w:rsidP="004E195B" w14:paraId="622EDD2D" w14:textId="23347539">
      <w:pPr>
        <w:pStyle w:val="GLSTableBullet1"/>
        <w:numPr>
          <w:ilvl w:val="0"/>
          <w:numId w:val="0"/>
        </w:numPr>
        <w:spacing w:after="200"/>
        <w:contextualSpacing w:val="0"/>
        <w:rPr>
          <w:rFonts w:ascii="Times New Roman" w:hAnsi="Times New Roman" w:cs="Times New Roman"/>
        </w:rPr>
      </w:pPr>
      <w:r>
        <w:rPr>
          <w:rFonts w:ascii="Times New Roman" w:hAnsi="Times New Roman" w:cs="Times New Roman"/>
          <w:b/>
          <w:szCs w:val="24"/>
        </w:rPr>
        <w:t>Training Skills Assessment</w:t>
      </w:r>
      <w:r w:rsidR="002E4665">
        <w:rPr>
          <w:rFonts w:ascii="Times New Roman" w:hAnsi="Times New Roman" w:cs="Times New Roman"/>
          <w:b/>
          <w:szCs w:val="24"/>
        </w:rPr>
        <w:t>- Follow-up</w:t>
      </w:r>
      <w:r>
        <w:rPr>
          <w:rFonts w:ascii="Times New Roman" w:hAnsi="Times New Roman" w:cs="Times New Roman"/>
          <w:b/>
          <w:szCs w:val="24"/>
        </w:rPr>
        <w:t xml:space="preserve"> (TSA):</w:t>
      </w:r>
      <w:r w:rsidR="007E55AF">
        <w:rPr>
          <w:rFonts w:cs="Times New Roman"/>
          <w:b/>
          <w:szCs w:val="24"/>
        </w:rPr>
        <w:t xml:space="preserve"> </w:t>
      </w:r>
      <w:r w:rsidR="007E55AF">
        <w:rPr>
          <w:rFonts w:ascii="Times New Roman" w:hAnsi="Times New Roman" w:cs="Times New Roman"/>
        </w:rPr>
        <w:t xml:space="preserve">the </w:t>
      </w:r>
      <w:r>
        <w:rPr>
          <w:rFonts w:ascii="Times New Roman" w:hAnsi="Times New Roman" w:cs="Times New Roman"/>
        </w:rPr>
        <w:t xml:space="preserve">TSA-F </w:t>
      </w:r>
      <w:r w:rsidRPr="00453C6E" w:rsidR="00453C6E">
        <w:rPr>
          <w:rFonts w:ascii="Times New Roman" w:hAnsi="Times New Roman" w:cs="Times New Roman"/>
        </w:rPr>
        <w:t xml:space="preserve">will be conducted </w:t>
      </w:r>
      <w:r w:rsidR="00453C6E">
        <w:rPr>
          <w:rFonts w:ascii="Times New Roman" w:hAnsi="Times New Roman" w:cs="Times New Roman"/>
        </w:rPr>
        <w:t xml:space="preserve">with </w:t>
      </w:r>
      <w:r w:rsidR="001D0F08">
        <w:rPr>
          <w:rFonts w:ascii="Times New Roman" w:hAnsi="Times New Roman" w:cs="Times New Roman"/>
        </w:rPr>
        <w:t xml:space="preserve">a random sample of </w:t>
      </w:r>
      <w:r w:rsidR="001D0F08">
        <w:rPr>
          <w:rFonts w:ascii="Times New Roman" w:hAnsi="Times New Roman" w:cs="Times New Roman"/>
          <w:szCs w:val="24"/>
        </w:rPr>
        <w:t>adults</w:t>
      </w:r>
      <w:r w:rsidR="001D0F08">
        <w:rPr>
          <w:rFonts w:ascii="Times New Roman" w:hAnsi="Times New Roman" w:cs="Times New Roman"/>
        </w:rPr>
        <w:t xml:space="preserve"> participating </w:t>
      </w:r>
      <w:r w:rsidR="00546069">
        <w:rPr>
          <w:rFonts w:ascii="Times New Roman" w:hAnsi="Times New Roman" w:cs="Times New Roman"/>
        </w:rPr>
        <w:t>in</w:t>
      </w:r>
      <w:r w:rsidR="001D0F08">
        <w:rPr>
          <w:rFonts w:ascii="Times New Roman" w:hAnsi="Times New Roman" w:cs="Times New Roman"/>
        </w:rPr>
        <w:t xml:space="preserve"> </w:t>
      </w:r>
      <w:r w:rsidR="00546069">
        <w:rPr>
          <w:rFonts w:ascii="Times New Roman" w:hAnsi="Times New Roman" w:cs="Times New Roman"/>
        </w:rPr>
        <w:t>training</w:t>
      </w:r>
      <w:r w:rsidR="001D0F08">
        <w:rPr>
          <w:rFonts w:ascii="Times New Roman" w:hAnsi="Times New Roman" w:cs="Times New Roman"/>
        </w:rPr>
        <w:t xml:space="preserve">. </w:t>
      </w:r>
      <w:r w:rsidR="00276F34">
        <w:rPr>
          <w:rFonts w:ascii="Times New Roman" w:hAnsi="Times New Roman" w:cs="Times New Roman"/>
        </w:rPr>
        <w:t>R</w:t>
      </w:r>
      <w:r w:rsidRPr="00D103C1" w:rsidR="00276F34">
        <w:rPr>
          <w:rFonts w:ascii="Times New Roman" w:hAnsi="Times New Roman" w:cs="Times New Roman"/>
        </w:rPr>
        <w:t xml:space="preserve">espondents to the </w:t>
      </w:r>
      <w:r w:rsidR="00D907A8">
        <w:rPr>
          <w:rFonts w:ascii="Times New Roman" w:hAnsi="Times New Roman" w:cs="Times New Roman"/>
        </w:rPr>
        <w:t xml:space="preserve">TSA-F at 6 </w:t>
      </w:r>
      <w:r w:rsidR="00276F34">
        <w:rPr>
          <w:rFonts w:ascii="Times New Roman" w:hAnsi="Times New Roman" w:cs="Times New Roman"/>
        </w:rPr>
        <w:t>months</w:t>
      </w:r>
      <w:r w:rsidRPr="00D103C1" w:rsidR="00276F34">
        <w:rPr>
          <w:rFonts w:ascii="Times New Roman" w:hAnsi="Times New Roman" w:cs="Times New Roman"/>
        </w:rPr>
        <w:t xml:space="preserve"> are </w:t>
      </w:r>
      <w:r w:rsidR="00C37E98">
        <w:rPr>
          <w:rFonts w:ascii="Times New Roman" w:hAnsi="Times New Roman" w:cs="Times New Roman"/>
        </w:rPr>
        <w:t xml:space="preserve">also </w:t>
      </w:r>
      <w:r w:rsidRPr="00D103C1" w:rsidR="00276F34">
        <w:rPr>
          <w:rFonts w:ascii="Times New Roman" w:hAnsi="Times New Roman" w:cs="Times New Roman"/>
        </w:rPr>
        <w:t xml:space="preserve">asked to consent to be contacted </w:t>
      </w:r>
      <w:r w:rsidR="00276F34">
        <w:rPr>
          <w:rFonts w:ascii="Times New Roman" w:hAnsi="Times New Roman" w:cs="Times New Roman"/>
        </w:rPr>
        <w:t>at</w:t>
      </w:r>
      <w:r w:rsidRPr="00D103C1" w:rsidR="00276F34">
        <w:rPr>
          <w:rFonts w:ascii="Times New Roman" w:hAnsi="Times New Roman" w:cs="Times New Roman"/>
        </w:rPr>
        <w:t xml:space="preserve"> </w:t>
      </w:r>
      <w:r w:rsidR="00D907A8">
        <w:rPr>
          <w:rFonts w:ascii="Times New Roman" w:hAnsi="Times New Roman" w:cs="Times New Roman"/>
        </w:rPr>
        <w:t>12</w:t>
      </w:r>
      <w:r w:rsidRPr="00D103C1" w:rsidR="00276F34">
        <w:rPr>
          <w:rFonts w:ascii="Times New Roman" w:hAnsi="Times New Roman" w:cs="Times New Roman"/>
        </w:rPr>
        <w:t xml:space="preserve"> months.</w:t>
      </w:r>
      <w:r w:rsidR="007E1DC4">
        <w:rPr>
          <w:rFonts w:ascii="Times New Roman" w:hAnsi="Times New Roman" w:cs="Times New Roman"/>
        </w:rPr>
        <w:t xml:space="preserve"> </w:t>
      </w:r>
    </w:p>
    <w:p w:rsidR="002E4665" w:rsidP="002E4665" w14:paraId="2AE2DF13" w14:textId="4D6A58B9">
      <w:pPr>
        <w:pStyle w:val="GLSTableBullet1"/>
        <w:numPr>
          <w:ilvl w:val="0"/>
          <w:numId w:val="0"/>
        </w:numPr>
        <w:spacing w:after="200"/>
        <w:contextualSpacing w:val="0"/>
        <w:rPr>
          <w:rFonts w:ascii="Times New Roman" w:hAnsi="Times New Roman" w:cs="Times New Roman"/>
        </w:rPr>
      </w:pPr>
      <w:r w:rsidRPr="001C0DBB">
        <w:rPr>
          <w:rFonts w:ascii="Times New Roman" w:hAnsi="Times New Roman" w:cs="Times New Roman"/>
        </w:rPr>
        <w:t xml:space="preserve">Recruitment of the sample will continue until a total of 187 trainees per year are enrolled to participate in the TSA-F in years 2-5. Results of a power analysis for the TSA-F assuming the use of a repeated measures analysis of variance (ANOVA) with two groups of trainees (based on trainee characteristics like gender, age group, or training type [gatekeeper vs. clinical]) and three measurement timepoints (baseline, 6 months, and 12 months) to test for a group X time interaction effect indicated a total sample size of 140 (70 per group) with an effect size of f = 0.30, alpha = 0.05, and correction for non-sphericity = 0.75 would have power &gt;= 0.80. Assuming a 25% attrition rate, a total sample of 187 trainees will be enrolled per year for the 6-month TSA-F to have a final sample of 140 at 12 months.  </w:t>
      </w:r>
    </w:p>
    <w:p w:rsidR="00763E68" w:rsidP="00763E68" w14:paraId="22F528A6" w14:textId="7AFAAD24">
      <w:pPr>
        <w:pStyle w:val="GLSTableBullet1"/>
        <w:numPr>
          <w:ilvl w:val="0"/>
          <w:numId w:val="0"/>
        </w:numPr>
        <w:spacing w:after="200"/>
        <w:contextualSpacing w:val="0"/>
        <w:rPr>
          <w:rFonts w:ascii="Times New Roman" w:hAnsi="Times New Roman" w:cs="Times New Roman"/>
        </w:rPr>
      </w:pPr>
      <w:r w:rsidRPr="002E4665">
        <w:rPr>
          <w:rFonts w:ascii="Times New Roman" w:hAnsi="Times New Roman" w:cs="Times New Roman"/>
          <w:b/>
          <w:bCs/>
        </w:rPr>
        <w:t>Training Skills Assessment- Phone Simulation</w:t>
      </w:r>
      <w:r>
        <w:rPr>
          <w:rFonts w:ascii="Times New Roman" w:hAnsi="Times New Roman" w:cs="Times New Roman"/>
        </w:rPr>
        <w:t xml:space="preserve">: </w:t>
      </w:r>
      <w:r w:rsidRPr="001C0DBB" w:rsidR="001C0DBB">
        <w:rPr>
          <w:rFonts w:ascii="Times New Roman" w:hAnsi="Times New Roman" w:cs="Times New Roman"/>
        </w:rPr>
        <w:t xml:space="preserve">For the TSA-PS subsample, results of a power analysis assuming the use of a repeated measures ANOVA with two groups of trainees (low vs. high skills retention at 3 months) and three timepoints (baseline, 6 months and 12 months) to test a group X time interaction effect indicated a total sample of 76 (38 per group) with an effect size of </w:t>
      </w:r>
      <w:r w:rsidRPr="00E558C5" w:rsidR="001C0DBB">
        <w:rPr>
          <w:rFonts w:ascii="Times New Roman" w:hAnsi="Times New Roman" w:cs="Times New Roman"/>
          <w:i/>
        </w:rPr>
        <w:t>f</w:t>
      </w:r>
      <w:r w:rsidRPr="001C0DBB" w:rsidR="001C0DBB">
        <w:rPr>
          <w:rFonts w:ascii="Times New Roman" w:hAnsi="Times New Roman" w:cs="Times New Roman"/>
        </w:rPr>
        <w:t xml:space="preserve"> = 0.</w:t>
      </w:r>
      <w:r w:rsidR="00E558C5">
        <w:rPr>
          <w:rFonts w:ascii="Times New Roman" w:hAnsi="Times New Roman" w:cs="Times New Roman"/>
        </w:rPr>
        <w:t>38</w:t>
      </w:r>
      <w:r w:rsidRPr="71DF05F5" w:rsidR="001C0DBB">
        <w:rPr>
          <w:rFonts w:ascii="Times New Roman" w:hAnsi="Times New Roman" w:cs="Times New Roman"/>
        </w:rPr>
        <w:t xml:space="preserve">, </w:t>
      </w:r>
      <w:r w:rsidRPr="00E558C5" w:rsidR="00E558C5">
        <w:rPr>
          <w:rFonts w:ascii="Times New Roman" w:hAnsi="Times New Roman" w:cs="Times New Roman"/>
          <w:i/>
          <w:iCs/>
        </w:rPr>
        <w:t>α</w:t>
      </w:r>
      <w:r w:rsidRPr="001C0DBB" w:rsidR="001C0DBB">
        <w:rPr>
          <w:rFonts w:ascii="Times New Roman" w:hAnsi="Times New Roman" w:cs="Times New Roman"/>
        </w:rPr>
        <w:t xml:space="preserve"> = 0.05, and correction for non-sphericity = 0.75 would have power </w:t>
      </w:r>
      <w:r w:rsidRPr="71DF05F5" w:rsidR="001C0DBB">
        <w:rPr>
          <w:rFonts w:ascii="Times New Roman" w:hAnsi="Times New Roman" w:cs="Times New Roman"/>
        </w:rPr>
        <w:t>=</w:t>
      </w:r>
      <w:r w:rsidRPr="001C0DBB" w:rsidR="001C0DBB">
        <w:rPr>
          <w:rFonts w:ascii="Times New Roman" w:hAnsi="Times New Roman" w:cs="Times New Roman"/>
        </w:rPr>
        <w:t xml:space="preserve"> 0.80. Again, assuming 25% attrition, a total subsample of 101 trainees will need to be enrolled per year (years 2-4) for the 3-month TSA-PS to have a final sample of 76 at 12 months. </w:t>
      </w:r>
    </w:p>
    <w:p w:rsidR="00763E68" w:rsidRPr="001C0DBB" w:rsidP="00763E68" w14:paraId="6B42C1D6" w14:textId="2391D4BE">
      <w:pPr>
        <w:pStyle w:val="GLSTableBullet1"/>
        <w:numPr>
          <w:ilvl w:val="0"/>
          <w:numId w:val="0"/>
        </w:numPr>
        <w:spacing w:after="200"/>
        <w:contextualSpacing w:val="0"/>
        <w:rPr>
          <w:rFonts w:ascii="Times New Roman" w:hAnsi="Times New Roman" w:cs="Times New Roman"/>
        </w:rPr>
      </w:pPr>
      <w:r w:rsidRPr="001C0DBB">
        <w:rPr>
          <w:rFonts w:ascii="Times New Roman" w:hAnsi="Times New Roman" w:cs="Times New Roman"/>
        </w:rPr>
        <w:t>To ensure diverse representation, participants for the TSA-PS and TSA-F will be selected with consideration for the following stratification criteria: training from the best practices registry</w:t>
      </w:r>
      <w:r>
        <w:rPr>
          <w:rFonts w:ascii="Times New Roman" w:hAnsi="Times New Roman" w:cs="Times New Roman"/>
          <w:vertAlign w:val="superscript"/>
        </w:rPr>
        <w:footnoteReference w:id="3"/>
      </w:r>
      <w:r w:rsidRPr="001C0DBB">
        <w:rPr>
          <w:rFonts w:ascii="Times New Roman" w:hAnsi="Times New Roman" w:cs="Times New Roman"/>
        </w:rPr>
        <w:t xml:space="preserve"> (yes/no); training type (gatekeeper or clinical); grantee type (state/trib</w:t>
      </w:r>
      <w:r w:rsidR="0004758A">
        <w:rPr>
          <w:rFonts w:ascii="Times New Roman" w:hAnsi="Times New Roman" w:cs="Times New Roman"/>
        </w:rPr>
        <w:t>al</w:t>
      </w:r>
      <w:r w:rsidRPr="001C0DBB">
        <w:rPr>
          <w:rFonts w:ascii="Times New Roman" w:hAnsi="Times New Roman" w:cs="Times New Roman"/>
        </w:rPr>
        <w:t xml:space="preserve">); geographic region (e.g., Northeast, Southeast, Southwest. Northwest), planned frequency of </w:t>
      </w:r>
      <w:r w:rsidRPr="001C0DBB">
        <w:rPr>
          <w:rFonts w:ascii="Times New Roman" w:hAnsi="Times New Roman" w:cs="Times New Roman"/>
        </w:rPr>
        <w:t>trainings;</w:t>
      </w:r>
      <w:r w:rsidRPr="001C0DBB">
        <w:rPr>
          <w:rFonts w:ascii="Times New Roman" w:hAnsi="Times New Roman" w:cs="Times New Roman"/>
        </w:rPr>
        <w:t xml:space="preserve"> and planned numbers of trainees. </w:t>
      </w:r>
    </w:p>
    <w:p w:rsidR="00371ED7" w:rsidRPr="00F66B1A" w14:paraId="179258AA" w14:textId="38B13D82">
      <w:pPr>
        <w:rPr>
          <w:b/>
        </w:rPr>
      </w:pPr>
      <w:r w:rsidRPr="00F66B1A">
        <w:rPr>
          <w:b/>
          <w:bCs/>
        </w:rPr>
        <w:t>Youth</w:t>
      </w:r>
      <w:r w:rsidRPr="00F66B1A" w:rsidR="009C66FA">
        <w:rPr>
          <w:b/>
          <w:bCs/>
        </w:rPr>
        <w:t xml:space="preserve"> Outcomes and Resiliency Survey (YORS)</w:t>
      </w:r>
      <w:r w:rsidRPr="00F66B1A" w:rsidR="000E0F21">
        <w:rPr>
          <w:b/>
          <w:bCs/>
        </w:rPr>
        <w:t xml:space="preserve"> and Youth Experience Reflective </w:t>
      </w:r>
      <w:r w:rsidRPr="38216B4C" w:rsidR="18ACA7BF">
        <w:rPr>
          <w:b/>
          <w:bCs/>
        </w:rPr>
        <w:t xml:space="preserve">(YER) </w:t>
      </w:r>
      <w:r w:rsidRPr="00F66B1A" w:rsidR="000E0F21">
        <w:rPr>
          <w:b/>
          <w:bCs/>
        </w:rPr>
        <w:t xml:space="preserve">Journal </w:t>
      </w:r>
    </w:p>
    <w:p w:rsidR="00822B9B" w:rsidP="00822B9B" w14:paraId="22264785" w14:textId="77777777">
      <w:pPr>
        <w:pStyle w:val="GLSTableBullet1"/>
        <w:numPr>
          <w:ilvl w:val="0"/>
          <w:numId w:val="0"/>
        </w:numPr>
        <w:spacing w:after="200"/>
        <w:contextualSpacing w:val="0"/>
        <w:rPr>
          <w:rFonts w:ascii="Times New Roman" w:hAnsi="Times New Roman" w:cs="Times New Roman"/>
        </w:rPr>
      </w:pPr>
      <w:r w:rsidRPr="0012496B">
        <w:rPr>
          <w:rFonts w:ascii="Times New Roman" w:hAnsi="Times New Roman" w:cs="Times New Roman"/>
        </w:rPr>
        <w:t xml:space="preserve">Once grantees are identified and agree to participate, participants between the ages of 14–24 years who receive a positive screening result from a participating grantee and receive a referral to a mental health provider (mental health service) or youths who attend skills-based training will be eligible for </w:t>
      </w:r>
      <w:r w:rsidRPr="0012496B" w:rsidR="000E0F21">
        <w:rPr>
          <w:rFonts w:ascii="Times New Roman" w:hAnsi="Times New Roman" w:cs="Times New Roman"/>
        </w:rPr>
        <w:t xml:space="preserve">participation. </w:t>
      </w:r>
      <w:r w:rsidRPr="0012496B" w:rsidR="00436F27">
        <w:rPr>
          <w:rFonts w:ascii="Times New Roman" w:hAnsi="Times New Roman" w:cs="Times New Roman"/>
        </w:rPr>
        <w:t xml:space="preserve">The YORS will be administered at </w:t>
      </w:r>
      <w:r w:rsidR="00000B63">
        <w:rPr>
          <w:rFonts w:ascii="Times New Roman" w:hAnsi="Times New Roman" w:cs="Times New Roman"/>
        </w:rPr>
        <w:t xml:space="preserve">enrollment, </w:t>
      </w:r>
      <w:r w:rsidRPr="0012496B" w:rsidR="00436F27">
        <w:rPr>
          <w:rFonts w:ascii="Times New Roman" w:hAnsi="Times New Roman" w:cs="Times New Roman"/>
        </w:rPr>
        <w:t xml:space="preserve">3-, 6-, and 12-months post enrollment, with enrollment occurring no later than 1 month following referral to a behavioral health service. </w:t>
      </w:r>
      <w:r w:rsidRPr="0012496B" w:rsidR="000E0F21">
        <w:rPr>
          <w:rFonts w:ascii="Times New Roman" w:hAnsi="Times New Roman" w:cs="Times New Roman"/>
        </w:rPr>
        <w:t>Participants in the YOR</w:t>
      </w:r>
      <w:r w:rsidR="00000B63">
        <w:rPr>
          <w:rFonts w:ascii="Times New Roman" w:hAnsi="Times New Roman" w:cs="Times New Roman"/>
        </w:rPr>
        <w:t>S</w:t>
      </w:r>
      <w:r w:rsidRPr="0012496B" w:rsidR="000E0F21">
        <w:rPr>
          <w:rFonts w:ascii="Times New Roman" w:hAnsi="Times New Roman" w:cs="Times New Roman"/>
        </w:rPr>
        <w:t xml:space="preserve"> will also be eligible to participate in the YER Journal. </w:t>
      </w:r>
      <w:r w:rsidRPr="001C0DBB" w:rsidR="009F6203">
        <w:rPr>
          <w:rFonts w:ascii="Times New Roman" w:hAnsi="Times New Roman" w:cs="Times New Roman"/>
        </w:rPr>
        <w:t>Results of a power analysis for the</w:t>
      </w:r>
      <w:r w:rsidR="009F6203">
        <w:rPr>
          <w:rFonts w:ascii="Times New Roman" w:hAnsi="Times New Roman" w:cs="Times New Roman"/>
        </w:rPr>
        <w:t xml:space="preserve"> YORS</w:t>
      </w:r>
      <w:r w:rsidRPr="38216B4C" w:rsidR="558721C1">
        <w:rPr>
          <w:rFonts w:ascii="Times New Roman" w:hAnsi="Times New Roman" w:cs="Times New Roman"/>
        </w:rPr>
        <w:t xml:space="preserve"> </w:t>
      </w:r>
      <w:r w:rsidRPr="001C0DBB" w:rsidR="009F6203">
        <w:rPr>
          <w:rFonts w:ascii="Times New Roman" w:hAnsi="Times New Roman" w:cs="Times New Roman"/>
        </w:rPr>
        <w:t xml:space="preserve">assuming the use of a repeated measures analysis of variance (ANOVA) with </w:t>
      </w:r>
      <w:r w:rsidR="009F6203">
        <w:rPr>
          <w:rFonts w:ascii="Times New Roman" w:hAnsi="Times New Roman" w:cs="Times New Roman"/>
        </w:rPr>
        <w:t>three groups (</w:t>
      </w:r>
      <w:r w:rsidRPr="00AD7D66" w:rsidR="009F6203">
        <w:rPr>
          <w:rFonts w:ascii="Times New Roman" w:hAnsi="Times New Roman" w:cs="Times New Roman"/>
        </w:rPr>
        <w:t>school, juvenile justice, and community coalition</w:t>
      </w:r>
      <w:r w:rsidR="009F6203">
        <w:rPr>
          <w:rFonts w:ascii="Times New Roman" w:hAnsi="Times New Roman" w:cs="Times New Roman"/>
        </w:rPr>
        <w:t xml:space="preserve"> settings)</w:t>
      </w:r>
      <w:r w:rsidRPr="00AD7D66" w:rsidR="009F6203">
        <w:rPr>
          <w:rFonts w:ascii="Times New Roman" w:hAnsi="Times New Roman" w:cs="Times New Roman"/>
        </w:rPr>
        <w:t xml:space="preserve"> </w:t>
      </w:r>
      <w:r w:rsidR="009F6203">
        <w:rPr>
          <w:rFonts w:ascii="Times New Roman" w:hAnsi="Times New Roman" w:cs="Times New Roman"/>
        </w:rPr>
        <w:t xml:space="preserve">across four measurement timepoints (baseline, 3, 6, and 12 months) </w:t>
      </w:r>
      <w:r w:rsidRPr="001C0DBB" w:rsidR="009F6203">
        <w:rPr>
          <w:rFonts w:ascii="Times New Roman" w:hAnsi="Times New Roman" w:cs="Times New Roman"/>
        </w:rPr>
        <w:t xml:space="preserve">to test for a group X time interaction effect indicated a total sample size of </w:t>
      </w:r>
      <w:r w:rsidR="009F6203">
        <w:rPr>
          <w:rFonts w:ascii="Times New Roman" w:hAnsi="Times New Roman" w:cs="Times New Roman"/>
        </w:rPr>
        <w:t>115</w:t>
      </w:r>
      <w:r w:rsidRPr="001C0DBB" w:rsidR="009F6203">
        <w:rPr>
          <w:rFonts w:ascii="Times New Roman" w:hAnsi="Times New Roman" w:cs="Times New Roman"/>
        </w:rPr>
        <w:t xml:space="preserve"> (</w:t>
      </w:r>
      <w:r w:rsidR="009F6203">
        <w:rPr>
          <w:rFonts w:ascii="Times New Roman" w:hAnsi="Times New Roman" w:cs="Times New Roman"/>
        </w:rPr>
        <w:t>approximately 38</w:t>
      </w:r>
      <w:r w:rsidRPr="001C0DBB" w:rsidR="009F6203">
        <w:rPr>
          <w:rFonts w:ascii="Times New Roman" w:hAnsi="Times New Roman" w:cs="Times New Roman"/>
        </w:rPr>
        <w:t xml:space="preserve"> per group</w:t>
      </w:r>
      <w:r>
        <w:rPr>
          <w:rStyle w:val="FootnoteReference"/>
          <w:rFonts w:ascii="Times New Roman" w:hAnsi="Times New Roman" w:cs="Times New Roman"/>
        </w:rPr>
        <w:footnoteReference w:id="4"/>
      </w:r>
      <w:r w:rsidRPr="001C0DBB" w:rsidR="009F6203">
        <w:rPr>
          <w:rFonts w:ascii="Times New Roman" w:hAnsi="Times New Roman" w:cs="Times New Roman"/>
        </w:rPr>
        <w:t xml:space="preserve">) with an effect size of </w:t>
      </w:r>
      <w:r w:rsidRPr="00E558C5" w:rsidR="009F6203">
        <w:rPr>
          <w:rFonts w:ascii="Times New Roman" w:hAnsi="Times New Roman" w:cs="Times New Roman"/>
          <w:i/>
          <w:iCs/>
        </w:rPr>
        <w:t>f</w:t>
      </w:r>
      <w:r w:rsidRPr="001C0DBB" w:rsidR="009F6203">
        <w:rPr>
          <w:rFonts w:ascii="Times New Roman" w:hAnsi="Times New Roman" w:cs="Times New Roman"/>
        </w:rPr>
        <w:t xml:space="preserve"> = 0.3</w:t>
      </w:r>
      <w:r w:rsidR="009F6203">
        <w:rPr>
          <w:rFonts w:ascii="Times New Roman" w:hAnsi="Times New Roman" w:cs="Times New Roman"/>
        </w:rPr>
        <w:t>4</w:t>
      </w:r>
      <w:r w:rsidRPr="001C0DBB" w:rsidR="009F6203">
        <w:rPr>
          <w:rFonts w:ascii="Times New Roman" w:hAnsi="Times New Roman" w:cs="Times New Roman"/>
        </w:rPr>
        <w:t xml:space="preserve">, </w:t>
      </w:r>
      <w:r w:rsidRPr="00E558C5" w:rsidR="00E558C5">
        <w:rPr>
          <w:rFonts w:ascii="Times New Roman" w:hAnsi="Times New Roman" w:cs="Times New Roman"/>
          <w:i/>
          <w:iCs/>
        </w:rPr>
        <w:t>α</w:t>
      </w:r>
      <w:r w:rsidR="00E558C5">
        <w:rPr>
          <w:rFonts w:ascii="Times New Roman" w:hAnsi="Times New Roman" w:cs="Times New Roman"/>
        </w:rPr>
        <w:t xml:space="preserve"> </w:t>
      </w:r>
      <w:r w:rsidRPr="001C0DBB" w:rsidR="009F6203">
        <w:rPr>
          <w:rFonts w:ascii="Times New Roman" w:hAnsi="Times New Roman" w:cs="Times New Roman"/>
        </w:rPr>
        <w:t xml:space="preserve">= 0.05, and correction for non-sphericity = 0.75 would have power = 0.80. Assuming a 25% attrition rate, a total sample of </w:t>
      </w:r>
      <w:r w:rsidR="009F6203">
        <w:rPr>
          <w:rFonts w:ascii="Times New Roman" w:hAnsi="Times New Roman" w:cs="Times New Roman"/>
        </w:rPr>
        <w:t>300</w:t>
      </w:r>
      <w:r w:rsidRPr="001C0DBB" w:rsidR="009F6203">
        <w:rPr>
          <w:rFonts w:ascii="Times New Roman" w:hAnsi="Times New Roman" w:cs="Times New Roman"/>
        </w:rPr>
        <w:t xml:space="preserve"> </w:t>
      </w:r>
      <w:r w:rsidR="009F6203">
        <w:rPr>
          <w:rFonts w:ascii="Times New Roman" w:hAnsi="Times New Roman" w:cs="Times New Roman"/>
        </w:rPr>
        <w:t>youths</w:t>
      </w:r>
      <w:r w:rsidRPr="001C0DBB" w:rsidR="009F6203">
        <w:rPr>
          <w:rFonts w:ascii="Times New Roman" w:hAnsi="Times New Roman" w:cs="Times New Roman"/>
        </w:rPr>
        <w:t xml:space="preserve"> will be enrolled to have a final sample of 1</w:t>
      </w:r>
      <w:r w:rsidR="009F6203">
        <w:rPr>
          <w:rFonts w:ascii="Times New Roman" w:hAnsi="Times New Roman" w:cs="Times New Roman"/>
        </w:rPr>
        <w:t>15</w:t>
      </w:r>
      <w:r w:rsidRPr="001C0DBB" w:rsidR="009F6203">
        <w:rPr>
          <w:rFonts w:ascii="Times New Roman" w:hAnsi="Times New Roman" w:cs="Times New Roman"/>
        </w:rPr>
        <w:t xml:space="preserve"> at 12 months. </w:t>
      </w:r>
    </w:p>
    <w:p w:rsidR="001F3F6C" w14:paraId="5C6EE5B7" w14:textId="77777777">
      <w:pPr>
        <w:rPr>
          <w:rFonts w:ascii="Tw Cen MT" w:hAnsi="Tw Cen MT" w:cs="Arial"/>
          <w:b/>
          <w:color w:val="181818"/>
          <w:sz w:val="28"/>
          <w:szCs w:val="28"/>
        </w:rPr>
      </w:pPr>
      <w:r>
        <w:rPr>
          <w:b/>
          <w:color w:val="181818"/>
          <w:sz w:val="28"/>
          <w:szCs w:val="28"/>
        </w:rPr>
        <w:br w:type="page"/>
      </w:r>
    </w:p>
    <w:p w:rsidR="00BE633F" w:rsidRPr="001B3C78" w:rsidP="00822B9B" w14:paraId="17042F08" w14:textId="6C8F9C5F">
      <w:pPr>
        <w:pStyle w:val="GLSTableBullet1"/>
        <w:numPr>
          <w:ilvl w:val="0"/>
          <w:numId w:val="0"/>
        </w:numPr>
        <w:spacing w:after="200"/>
        <w:contextualSpacing w:val="0"/>
        <w:rPr>
          <w:b/>
          <w:sz w:val="28"/>
          <w:szCs w:val="28"/>
        </w:rPr>
      </w:pPr>
      <w:r w:rsidRPr="00423366">
        <w:rPr>
          <w:b/>
          <w:color w:val="181818"/>
          <w:sz w:val="28"/>
          <w:szCs w:val="28"/>
        </w:rPr>
        <w:t>I</w:t>
      </w:r>
      <w:r>
        <w:rPr>
          <w:b/>
          <w:color w:val="181818"/>
          <w:sz w:val="28"/>
          <w:szCs w:val="28"/>
        </w:rPr>
        <w:t xml:space="preserve">nformation Collection Procedures </w:t>
      </w:r>
    </w:p>
    <w:p w:rsidR="00D45265" w:rsidRPr="00D45265" w:rsidP="000F5A36" w14:paraId="471FD8DD" w14:textId="73B2B62E">
      <w:pPr>
        <w:pStyle w:val="GLSBody"/>
        <w:spacing w:after="200"/>
      </w:pPr>
      <w:r>
        <w:t xml:space="preserve">Information collection procedures for the </w:t>
      </w:r>
      <w:r w:rsidR="009A00AC">
        <w:t xml:space="preserve">GLS </w:t>
      </w:r>
      <w:r w:rsidR="001C5A76">
        <w:t>S</w:t>
      </w:r>
      <w:r w:rsidR="00CE23D4">
        <w:t>tate</w:t>
      </w:r>
      <w:r w:rsidR="001C5A76">
        <w:t>/T</w:t>
      </w:r>
      <w:r w:rsidR="00CE23D4">
        <w:t>ribal</w:t>
      </w:r>
      <w:r w:rsidR="001C5A76">
        <w:t xml:space="preserve"> </w:t>
      </w:r>
      <w:r w:rsidR="009A00AC">
        <w:t>Evaluation</w:t>
      </w:r>
      <w:r>
        <w:t xml:space="preserve"> instruments are described in Exhibit </w:t>
      </w:r>
      <w:r w:rsidR="001F3F6C">
        <w:t>2</w:t>
      </w:r>
      <w:r>
        <w:t>.</w:t>
      </w:r>
    </w:p>
    <w:p w:rsidR="00D45265" w:rsidRPr="00D45265" w:rsidP="00D45265" w14:paraId="5004170C" w14:textId="43CB6287">
      <w:pPr>
        <w:spacing w:after="120"/>
        <w:jc w:val="center"/>
        <w:rPr>
          <w:rFonts w:ascii="Tw Cen MT" w:hAnsi="Tw Cen MT"/>
          <w:b/>
        </w:rPr>
      </w:pPr>
      <w:r w:rsidRPr="00D45265">
        <w:rPr>
          <w:rFonts w:ascii="Tw Cen MT" w:hAnsi="Tw Cen MT"/>
          <w:b/>
        </w:rPr>
        <w:t xml:space="preserve">Exhibit </w:t>
      </w:r>
      <w:r w:rsidR="001F3F6C">
        <w:rPr>
          <w:rFonts w:ascii="Tw Cen MT" w:hAnsi="Tw Cen MT"/>
          <w:b/>
        </w:rPr>
        <w:t>2</w:t>
      </w:r>
      <w:r w:rsidRPr="00D45265">
        <w:rPr>
          <w:rFonts w:ascii="Tw Cen MT" w:hAnsi="Tw Cen MT"/>
          <w:b/>
        </w:rPr>
        <w:t>. Information Collection Procedures</w:t>
      </w:r>
    </w:p>
    <w:tbl>
      <w:tblPr>
        <w:tblStyle w:val="TableGrid"/>
        <w:tblW w:w="0" w:type="auto"/>
        <w:tblLook w:val="04A0"/>
      </w:tblPr>
      <w:tblGrid>
        <w:gridCol w:w="1345"/>
        <w:gridCol w:w="8005"/>
      </w:tblGrid>
      <w:tr w14:paraId="3F148E75" w14:textId="77777777" w:rsidTr="71DF05F5">
        <w:tblPrEx>
          <w:tblW w:w="0" w:type="auto"/>
          <w:tblLook w:val="04A0"/>
        </w:tblPrEx>
        <w:trPr>
          <w:tblHeader/>
        </w:trPr>
        <w:tc>
          <w:tcPr>
            <w:tcW w:w="1345" w:type="dxa"/>
            <w:shd w:val="clear" w:color="auto" w:fill="404040" w:themeFill="text1" w:themeFillTint="BF"/>
            <w:tcMar>
              <w:top w:w="14" w:type="dxa"/>
              <w:left w:w="58" w:type="dxa"/>
              <w:bottom w:w="14" w:type="dxa"/>
              <w:right w:w="58" w:type="dxa"/>
            </w:tcMar>
          </w:tcPr>
          <w:p w:rsidR="00D45265" w:rsidRPr="00371ED7" w:rsidP="005F2590" w14:paraId="47F4F49D"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Instrument</w:t>
            </w:r>
          </w:p>
        </w:tc>
        <w:tc>
          <w:tcPr>
            <w:tcW w:w="8005" w:type="dxa"/>
            <w:shd w:val="clear" w:color="auto" w:fill="404040" w:themeFill="text1" w:themeFillTint="BF"/>
            <w:tcMar>
              <w:top w:w="14" w:type="dxa"/>
              <w:left w:w="58" w:type="dxa"/>
              <w:bottom w:w="14" w:type="dxa"/>
              <w:right w:w="58" w:type="dxa"/>
            </w:tcMar>
          </w:tcPr>
          <w:p w:rsidR="00D45265" w:rsidRPr="00371ED7" w:rsidP="005F2590" w14:paraId="1B58F751"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Procedures</w:t>
            </w:r>
          </w:p>
        </w:tc>
      </w:tr>
      <w:tr w14:paraId="213F23C9" w14:textId="77777777" w:rsidTr="005F2590">
        <w:tblPrEx>
          <w:tblW w:w="0" w:type="auto"/>
          <w:tblLook w:val="04A0"/>
        </w:tblPrEx>
        <w:tc>
          <w:tcPr>
            <w:tcW w:w="1345" w:type="dxa"/>
            <w:tcMar>
              <w:top w:w="14" w:type="dxa"/>
              <w:left w:w="58" w:type="dxa"/>
              <w:bottom w:w="14" w:type="dxa"/>
              <w:right w:w="58" w:type="dxa"/>
            </w:tcMar>
          </w:tcPr>
          <w:p w:rsidR="00D45265" w:rsidRPr="00327D1F" w:rsidP="005F2590" w14:paraId="12A9E28B" w14:textId="1EBAB3D8">
            <w:pPr>
              <w:pStyle w:val="BodyText"/>
              <w:tabs>
                <w:tab w:val="left" w:pos="1563"/>
              </w:tabs>
              <w:rPr>
                <w:rFonts w:cs="Arial"/>
                <w:color w:val="181818"/>
                <w:sz w:val="20"/>
                <w:szCs w:val="20"/>
              </w:rPr>
            </w:pPr>
            <w:r w:rsidRPr="00327D1F">
              <w:rPr>
                <w:rFonts w:cs="Arial"/>
                <w:color w:val="181818"/>
                <w:sz w:val="20"/>
                <w:szCs w:val="20"/>
              </w:rPr>
              <w:t>PSI</w:t>
            </w:r>
          </w:p>
        </w:tc>
        <w:tc>
          <w:tcPr>
            <w:tcW w:w="8005" w:type="dxa"/>
            <w:tcMar>
              <w:top w:w="14" w:type="dxa"/>
              <w:left w:w="58" w:type="dxa"/>
              <w:bottom w:w="14" w:type="dxa"/>
              <w:right w:w="58" w:type="dxa"/>
            </w:tcMar>
          </w:tcPr>
          <w:p w:rsidR="00BB1BDD" w:rsidP="005F2590" w14:paraId="5FD6FE33" w14:textId="34D9F0D9">
            <w:pPr>
              <w:pStyle w:val="BodyText"/>
              <w:tabs>
                <w:tab w:val="left" w:pos="1563"/>
              </w:tabs>
              <w:jc w:val="left"/>
              <w:rPr>
                <w:sz w:val="20"/>
                <w:szCs w:val="20"/>
              </w:rPr>
            </w:pPr>
            <w:r w:rsidRPr="002614AA">
              <w:rPr>
                <w:i/>
                <w:iCs/>
                <w:sz w:val="20"/>
                <w:szCs w:val="20"/>
              </w:rPr>
              <w:t>Quarterly PSI</w:t>
            </w:r>
            <w:r>
              <w:rPr>
                <w:sz w:val="20"/>
                <w:szCs w:val="20"/>
              </w:rPr>
              <w:t xml:space="preserve">: </w:t>
            </w:r>
            <w:r w:rsidRPr="00D45265" w:rsidR="00D45265">
              <w:rPr>
                <w:sz w:val="20"/>
                <w:szCs w:val="20"/>
              </w:rPr>
              <w:t xml:space="preserve">One day after the end of each FY quarter, the grantee </w:t>
            </w:r>
            <w:r w:rsidR="00D67137">
              <w:rPr>
                <w:sz w:val="20"/>
                <w:szCs w:val="20"/>
              </w:rPr>
              <w:t xml:space="preserve">will </w:t>
            </w:r>
            <w:r w:rsidRPr="00D45265" w:rsidR="00D45265">
              <w:rPr>
                <w:sz w:val="20"/>
                <w:szCs w:val="20"/>
              </w:rPr>
              <w:t xml:space="preserve">receive a </w:t>
            </w:r>
            <w:r w:rsidR="00DB5317">
              <w:rPr>
                <w:sz w:val="20"/>
                <w:szCs w:val="20"/>
              </w:rPr>
              <w:t xml:space="preserve">link to the </w:t>
            </w:r>
            <w:r w:rsidR="00033113">
              <w:rPr>
                <w:sz w:val="20"/>
                <w:szCs w:val="20"/>
              </w:rPr>
              <w:t xml:space="preserve">PSI (via </w:t>
            </w:r>
            <w:r w:rsidR="00287128">
              <w:rPr>
                <w:sz w:val="20"/>
                <w:szCs w:val="20"/>
              </w:rPr>
              <w:t xml:space="preserve">the </w:t>
            </w:r>
            <w:r w:rsidR="00DB5317">
              <w:rPr>
                <w:sz w:val="20"/>
                <w:szCs w:val="20"/>
              </w:rPr>
              <w:t>SPDC</w:t>
            </w:r>
            <w:r w:rsidR="00287128">
              <w:rPr>
                <w:sz w:val="20"/>
                <w:szCs w:val="20"/>
              </w:rPr>
              <w:t>)</w:t>
            </w:r>
            <w:r w:rsidR="00DB5317">
              <w:rPr>
                <w:sz w:val="20"/>
                <w:szCs w:val="20"/>
              </w:rPr>
              <w:t xml:space="preserve"> </w:t>
            </w:r>
            <w:r w:rsidR="00287128">
              <w:rPr>
                <w:sz w:val="20"/>
                <w:szCs w:val="20"/>
              </w:rPr>
              <w:t>by</w:t>
            </w:r>
            <w:r w:rsidRPr="00D45265" w:rsidR="00D45265">
              <w:rPr>
                <w:sz w:val="20"/>
                <w:szCs w:val="20"/>
              </w:rPr>
              <w:t xml:space="preserve"> email</w:t>
            </w:r>
            <w:r w:rsidR="008838C3">
              <w:rPr>
                <w:sz w:val="20"/>
                <w:szCs w:val="20"/>
              </w:rPr>
              <w:t>. Before logging in initially, the grantee will reset their password</w:t>
            </w:r>
            <w:r w:rsidR="00A6088D">
              <w:rPr>
                <w:sz w:val="20"/>
                <w:szCs w:val="20"/>
              </w:rPr>
              <w:t xml:space="preserve"> and then proceed</w:t>
            </w:r>
            <w:r w:rsidRPr="00D45265" w:rsidR="00D45265">
              <w:rPr>
                <w:sz w:val="20"/>
                <w:szCs w:val="20"/>
              </w:rPr>
              <w:t xml:space="preserve"> </w:t>
            </w:r>
            <w:r w:rsidR="00A6088D">
              <w:rPr>
                <w:sz w:val="20"/>
                <w:szCs w:val="20"/>
              </w:rPr>
              <w:t xml:space="preserve">to </w:t>
            </w:r>
            <w:r w:rsidRPr="00D45265" w:rsidR="00D45265">
              <w:rPr>
                <w:sz w:val="20"/>
                <w:szCs w:val="20"/>
              </w:rPr>
              <w:t xml:space="preserve">enter program strategy and budget information </w:t>
            </w:r>
            <w:r w:rsidR="00371F22">
              <w:rPr>
                <w:sz w:val="20"/>
                <w:szCs w:val="20"/>
              </w:rPr>
              <w:t>relevant for that quarter</w:t>
            </w:r>
            <w:r w:rsidR="002A5612">
              <w:rPr>
                <w:sz w:val="20"/>
                <w:szCs w:val="20"/>
              </w:rPr>
              <w:t>.</w:t>
            </w:r>
            <w:r w:rsidRPr="00D45265" w:rsidR="00D45265">
              <w:rPr>
                <w:sz w:val="20"/>
                <w:szCs w:val="20"/>
              </w:rPr>
              <w:t xml:space="preserve"> </w:t>
            </w:r>
            <w:r w:rsidR="002A5612">
              <w:rPr>
                <w:sz w:val="20"/>
                <w:szCs w:val="20"/>
              </w:rPr>
              <w:t>The grantee</w:t>
            </w:r>
            <w:r w:rsidRPr="00D45265" w:rsidR="00D45265">
              <w:rPr>
                <w:sz w:val="20"/>
                <w:szCs w:val="20"/>
              </w:rPr>
              <w:t xml:space="preserve"> must finalize the submission by the PSI deadline, which is the last day of the month after the end of each FY quarter. </w:t>
            </w:r>
            <w:r w:rsidR="00D3300B">
              <w:rPr>
                <w:sz w:val="20"/>
                <w:szCs w:val="20"/>
              </w:rPr>
              <w:t>The PSI instrument lead will review</w:t>
            </w:r>
            <w:r w:rsidR="00EB3697">
              <w:rPr>
                <w:sz w:val="20"/>
                <w:szCs w:val="20"/>
              </w:rPr>
              <w:t xml:space="preserve"> PSI data submitted </w:t>
            </w:r>
            <w:r w:rsidRPr="00D45265" w:rsidR="00D45265">
              <w:rPr>
                <w:sz w:val="20"/>
                <w:szCs w:val="20"/>
              </w:rPr>
              <w:t xml:space="preserve">each quarter, following the deadline, to ensure data quality. PSI respondents </w:t>
            </w:r>
            <w:r w:rsidR="00B93D5B">
              <w:rPr>
                <w:sz w:val="20"/>
                <w:szCs w:val="20"/>
              </w:rPr>
              <w:t xml:space="preserve">will be </w:t>
            </w:r>
            <w:r w:rsidRPr="00D45265" w:rsidR="00D45265">
              <w:rPr>
                <w:sz w:val="20"/>
                <w:szCs w:val="20"/>
              </w:rPr>
              <w:t xml:space="preserve">provided with technical assistance via email or telephone </w:t>
            </w:r>
            <w:r w:rsidR="009C2EA3">
              <w:rPr>
                <w:sz w:val="20"/>
                <w:szCs w:val="20"/>
              </w:rPr>
              <w:t>to address</w:t>
            </w:r>
            <w:r w:rsidRPr="00D45265" w:rsidR="00D45265">
              <w:rPr>
                <w:sz w:val="20"/>
                <w:szCs w:val="20"/>
              </w:rPr>
              <w:t xml:space="preserve"> any questions on how to categorize or enter prevention strategies implemented through their GLS program.</w:t>
            </w:r>
          </w:p>
          <w:p w:rsidR="00F962CD" w:rsidP="005F2590" w14:paraId="371B2182" w14:textId="77777777">
            <w:pPr>
              <w:pStyle w:val="BodyText"/>
              <w:tabs>
                <w:tab w:val="left" w:pos="1563"/>
              </w:tabs>
              <w:jc w:val="left"/>
              <w:rPr>
                <w:rFonts w:cs="Arial"/>
                <w:i/>
                <w:iCs/>
                <w:sz w:val="20"/>
                <w:szCs w:val="20"/>
              </w:rPr>
            </w:pPr>
          </w:p>
          <w:p w:rsidR="00D45265" w:rsidP="005F2590" w14:paraId="639707DD" w14:textId="3B5B05CB">
            <w:pPr>
              <w:pStyle w:val="BodyText"/>
              <w:tabs>
                <w:tab w:val="left" w:pos="1563"/>
              </w:tabs>
              <w:jc w:val="left"/>
              <w:rPr>
                <w:rFonts w:cs="Arial"/>
                <w:sz w:val="20"/>
                <w:szCs w:val="20"/>
              </w:rPr>
            </w:pPr>
            <w:r w:rsidRPr="002614AA">
              <w:rPr>
                <w:rFonts w:cs="Arial"/>
                <w:i/>
                <w:iCs/>
                <w:sz w:val="20"/>
                <w:szCs w:val="20"/>
              </w:rPr>
              <w:t xml:space="preserve">PSI Behavioral Health Equity </w:t>
            </w:r>
            <w:r w:rsidR="001C3825">
              <w:rPr>
                <w:rFonts w:cs="Arial"/>
                <w:i/>
                <w:iCs/>
                <w:sz w:val="20"/>
                <w:szCs w:val="20"/>
              </w:rPr>
              <w:t xml:space="preserve">(BHE) </w:t>
            </w:r>
            <w:r w:rsidRPr="002614AA">
              <w:rPr>
                <w:rFonts w:cs="Arial"/>
                <w:i/>
                <w:iCs/>
                <w:sz w:val="20"/>
                <w:szCs w:val="20"/>
              </w:rPr>
              <w:t>Module</w:t>
            </w:r>
            <w:r w:rsidRPr="002614AA" w:rsidR="00B22B63">
              <w:rPr>
                <w:rFonts w:cs="Arial"/>
                <w:i/>
                <w:iCs/>
                <w:sz w:val="20"/>
                <w:szCs w:val="20"/>
              </w:rPr>
              <w:t xml:space="preserve"> (annual)</w:t>
            </w:r>
            <w:r w:rsidR="00B22B63">
              <w:rPr>
                <w:rFonts w:cs="Arial"/>
                <w:sz w:val="20"/>
                <w:szCs w:val="20"/>
              </w:rPr>
              <w:t xml:space="preserve">: </w:t>
            </w:r>
            <w:r w:rsidRPr="007932A8" w:rsidR="007932A8">
              <w:rPr>
                <w:rFonts w:cs="Arial"/>
                <w:sz w:val="20"/>
                <w:szCs w:val="20"/>
              </w:rPr>
              <w:t xml:space="preserve">The PSI-BHE module will be administered once annually directly following grantees’ submission of the PSI in </w:t>
            </w:r>
            <w:r w:rsidR="003C406E">
              <w:rPr>
                <w:rFonts w:cs="Arial"/>
                <w:sz w:val="20"/>
                <w:szCs w:val="20"/>
              </w:rPr>
              <w:t>q</w:t>
            </w:r>
            <w:r w:rsidRPr="007932A8" w:rsidR="007932A8">
              <w:rPr>
                <w:rFonts w:cs="Arial"/>
                <w:sz w:val="20"/>
                <w:szCs w:val="20"/>
              </w:rPr>
              <w:t>uarter 4</w:t>
            </w:r>
            <w:r w:rsidR="00784CE8">
              <w:rPr>
                <w:rFonts w:cs="Arial"/>
                <w:sz w:val="20"/>
                <w:szCs w:val="20"/>
              </w:rPr>
              <w:t xml:space="preserve"> (see process overview above)</w:t>
            </w:r>
            <w:r w:rsidRPr="007932A8" w:rsidR="007932A8">
              <w:rPr>
                <w:rFonts w:cs="Arial"/>
                <w:sz w:val="20"/>
                <w:szCs w:val="20"/>
              </w:rPr>
              <w:t xml:space="preserve">. This module is designed to assess grantee efforts to reduce behavioral health disparities and promote behavioral health equity as part of their strategy implementation. Questions focus on cultural adaptations, efforts to address social determinants of health, progress highlights, and lessons learned. </w:t>
            </w:r>
            <w:r w:rsidR="00784CE8">
              <w:rPr>
                <w:rFonts w:cs="Arial"/>
                <w:sz w:val="20"/>
                <w:szCs w:val="20"/>
              </w:rPr>
              <w:t xml:space="preserve">To </w:t>
            </w:r>
            <w:r w:rsidRPr="007932A8" w:rsidR="007932A8">
              <w:rPr>
                <w:rFonts w:cs="Arial"/>
                <w:sz w:val="20"/>
                <w:szCs w:val="20"/>
              </w:rPr>
              <w:t xml:space="preserve">support the grantee in </w:t>
            </w:r>
            <w:r w:rsidR="00784CE8">
              <w:rPr>
                <w:rFonts w:cs="Arial"/>
                <w:sz w:val="20"/>
                <w:szCs w:val="20"/>
              </w:rPr>
              <w:t xml:space="preserve">completing the </w:t>
            </w:r>
            <w:r w:rsidR="005E2954">
              <w:rPr>
                <w:rFonts w:cs="Arial"/>
                <w:sz w:val="20"/>
                <w:szCs w:val="20"/>
              </w:rPr>
              <w:t>PSI-BHE</w:t>
            </w:r>
            <w:r w:rsidRPr="007932A8" w:rsidR="007932A8">
              <w:rPr>
                <w:rFonts w:cs="Arial"/>
                <w:sz w:val="20"/>
                <w:szCs w:val="20"/>
              </w:rPr>
              <w:t xml:space="preserve">, the SPDC will generate a list of the strategies/sub-strategies that grantees have entered throughout the year (in Q1, Q2, Q3, and Q4) for reference. Grantee staff completing the PSI will be prompted to consider the list of strategies and respond to several questions with broad consideration of strategy implementation over the year. In addition, grantees will be asked to respond to strategy-specific questions as relevant to their project implementation </w:t>
            </w:r>
            <w:r w:rsidR="00544B2E">
              <w:rPr>
                <w:rFonts w:cs="Arial"/>
                <w:sz w:val="20"/>
                <w:szCs w:val="20"/>
              </w:rPr>
              <w:t>activity</w:t>
            </w:r>
            <w:r w:rsidRPr="007932A8" w:rsidR="007932A8">
              <w:rPr>
                <w:rFonts w:cs="Arial"/>
                <w:sz w:val="20"/>
                <w:szCs w:val="20"/>
              </w:rPr>
              <w:t xml:space="preserve">.   </w:t>
            </w:r>
          </w:p>
          <w:p w:rsidR="00F962CD" w:rsidP="005F2590" w14:paraId="0C0966E3" w14:textId="77777777">
            <w:pPr>
              <w:pStyle w:val="BodyText"/>
              <w:tabs>
                <w:tab w:val="left" w:pos="1563"/>
              </w:tabs>
              <w:jc w:val="left"/>
              <w:rPr>
                <w:rFonts w:cs="Arial"/>
                <w:i/>
                <w:iCs/>
                <w:sz w:val="20"/>
                <w:szCs w:val="20"/>
              </w:rPr>
            </w:pPr>
          </w:p>
          <w:p w:rsidR="00D45265" w:rsidRPr="00D45265" w:rsidP="005F2590" w14:paraId="1A649F47" w14:textId="26892C3B">
            <w:pPr>
              <w:pStyle w:val="BodyText"/>
              <w:tabs>
                <w:tab w:val="left" w:pos="1563"/>
              </w:tabs>
              <w:jc w:val="left"/>
              <w:rPr>
                <w:rFonts w:cs="Arial"/>
                <w:sz w:val="20"/>
                <w:szCs w:val="20"/>
              </w:rPr>
            </w:pPr>
            <w:r w:rsidRPr="002614AA">
              <w:rPr>
                <w:rFonts w:cs="Arial"/>
                <w:i/>
                <w:iCs/>
                <w:sz w:val="20"/>
                <w:szCs w:val="20"/>
              </w:rPr>
              <w:t>PSI Sustainability Module</w:t>
            </w:r>
            <w:r w:rsidRPr="000D773B">
              <w:rPr>
                <w:rFonts w:cs="Arial"/>
                <w:sz w:val="20"/>
                <w:szCs w:val="20"/>
              </w:rPr>
              <w:t xml:space="preserve">: This module will be administered twice during the grant period for each grantee to assess grantee activity related to planning for program sustainability. For currently funded grantees, this module will be administered in </w:t>
            </w:r>
            <w:r w:rsidR="007E7BDA">
              <w:rPr>
                <w:rFonts w:cs="Arial"/>
                <w:sz w:val="20"/>
                <w:szCs w:val="20"/>
              </w:rPr>
              <w:t>q</w:t>
            </w:r>
            <w:r w:rsidRPr="000D773B">
              <w:rPr>
                <w:rFonts w:cs="Arial"/>
                <w:sz w:val="20"/>
                <w:szCs w:val="20"/>
              </w:rPr>
              <w:t>uarter 1 of F</w:t>
            </w:r>
            <w:r w:rsidR="00E82B3E">
              <w:rPr>
                <w:rFonts w:cs="Arial"/>
                <w:sz w:val="20"/>
                <w:szCs w:val="20"/>
              </w:rPr>
              <w:t>Y</w:t>
            </w:r>
            <w:r w:rsidRPr="000D773B">
              <w:rPr>
                <w:rFonts w:cs="Arial"/>
                <w:sz w:val="20"/>
                <w:szCs w:val="20"/>
              </w:rPr>
              <w:t xml:space="preserve">2025 (all grantees) and again in </w:t>
            </w:r>
            <w:r w:rsidR="009B6A0F">
              <w:rPr>
                <w:rFonts w:cs="Arial"/>
                <w:sz w:val="20"/>
                <w:szCs w:val="20"/>
              </w:rPr>
              <w:t>q</w:t>
            </w:r>
            <w:r w:rsidRPr="000D773B">
              <w:rPr>
                <w:rFonts w:cs="Arial"/>
                <w:sz w:val="20"/>
                <w:szCs w:val="20"/>
              </w:rPr>
              <w:t>uarter 3 of F</w:t>
            </w:r>
            <w:r w:rsidR="00621A17">
              <w:rPr>
                <w:rFonts w:cs="Arial"/>
                <w:sz w:val="20"/>
                <w:szCs w:val="20"/>
              </w:rPr>
              <w:t>Y</w:t>
            </w:r>
            <w:r w:rsidRPr="000D773B">
              <w:rPr>
                <w:rFonts w:cs="Arial"/>
                <w:sz w:val="20"/>
                <w:szCs w:val="20"/>
              </w:rPr>
              <w:t xml:space="preserve">2027 (Cohort 17 grantees only). Any newly funded grantees will participate in </w:t>
            </w:r>
            <w:r w:rsidR="009B6A0F">
              <w:rPr>
                <w:rFonts w:cs="Arial"/>
                <w:sz w:val="20"/>
                <w:szCs w:val="20"/>
              </w:rPr>
              <w:t>q</w:t>
            </w:r>
            <w:r w:rsidRPr="000D773B">
              <w:rPr>
                <w:rFonts w:cs="Arial"/>
                <w:sz w:val="20"/>
                <w:szCs w:val="20"/>
              </w:rPr>
              <w:t xml:space="preserve">uarter 1 of the first year of the grant and in </w:t>
            </w:r>
            <w:r w:rsidR="009B6A0F">
              <w:rPr>
                <w:rFonts w:cs="Arial"/>
                <w:sz w:val="20"/>
                <w:szCs w:val="20"/>
              </w:rPr>
              <w:t>q</w:t>
            </w:r>
            <w:r w:rsidRPr="000D773B">
              <w:rPr>
                <w:rFonts w:cs="Arial"/>
                <w:sz w:val="20"/>
                <w:szCs w:val="20"/>
              </w:rPr>
              <w:t>uarter 3 of the last year of the grant. In each case, the module will be administered following the relevant quarterly PSI (see process overview above). To support grantees in completing th</w:t>
            </w:r>
            <w:r w:rsidR="00D806E9">
              <w:rPr>
                <w:rFonts w:cs="Arial"/>
                <w:sz w:val="20"/>
                <w:szCs w:val="20"/>
              </w:rPr>
              <w:t>is module</w:t>
            </w:r>
            <w:r w:rsidRPr="000D773B">
              <w:rPr>
                <w:rFonts w:cs="Arial"/>
                <w:sz w:val="20"/>
                <w:szCs w:val="20"/>
              </w:rPr>
              <w:t>, the SPDC will generate a list of the strategies/sub-strategies grantees have reported implementing in the quarterly PSI for reference. Grantee staff will respond to one strategy-specific question at each administration timepoint and a larger set of questions regarding program sustainability overall at the second administration timepoint.</w:t>
            </w:r>
          </w:p>
        </w:tc>
      </w:tr>
      <w:tr w14:paraId="4EA970B3" w14:textId="77777777" w:rsidTr="005F2590">
        <w:tblPrEx>
          <w:tblW w:w="0" w:type="auto"/>
          <w:tblLook w:val="04A0"/>
        </w:tblPrEx>
        <w:tc>
          <w:tcPr>
            <w:tcW w:w="1345" w:type="dxa"/>
            <w:tcMar>
              <w:top w:w="14" w:type="dxa"/>
              <w:left w:w="58" w:type="dxa"/>
              <w:bottom w:w="14" w:type="dxa"/>
              <w:right w:w="58" w:type="dxa"/>
            </w:tcMar>
          </w:tcPr>
          <w:p w:rsidR="00D45265" w:rsidRPr="00327D1F" w:rsidP="005F2590" w14:paraId="0E4CAA51" w14:textId="54D942A0">
            <w:pPr>
              <w:pStyle w:val="BodyText"/>
              <w:tabs>
                <w:tab w:val="left" w:pos="1563"/>
              </w:tabs>
              <w:rPr>
                <w:rFonts w:cs="Arial"/>
                <w:color w:val="181818"/>
                <w:sz w:val="20"/>
                <w:szCs w:val="20"/>
              </w:rPr>
            </w:pPr>
            <w:r w:rsidRPr="004867DC">
              <w:rPr>
                <w:rFonts w:cs="Arial"/>
                <w:color w:val="181818"/>
                <w:sz w:val="20"/>
                <w:szCs w:val="20"/>
              </w:rPr>
              <w:t>TASP</w:t>
            </w:r>
          </w:p>
        </w:tc>
        <w:tc>
          <w:tcPr>
            <w:tcW w:w="8005" w:type="dxa"/>
            <w:tcMar>
              <w:top w:w="14" w:type="dxa"/>
              <w:left w:w="58" w:type="dxa"/>
              <w:bottom w:w="14" w:type="dxa"/>
              <w:right w:w="58" w:type="dxa"/>
            </w:tcMar>
          </w:tcPr>
          <w:p w:rsidR="00D45265" w:rsidRPr="00D45265" w:rsidP="005F2590" w14:paraId="2E2EA62A" w14:textId="23AE131D">
            <w:pPr>
              <w:pStyle w:val="BodyText"/>
              <w:tabs>
                <w:tab w:val="left" w:pos="1563"/>
              </w:tabs>
              <w:jc w:val="left"/>
              <w:rPr>
                <w:rFonts w:cs="Arial"/>
                <w:color w:val="181818"/>
                <w:sz w:val="20"/>
                <w:szCs w:val="20"/>
              </w:rPr>
            </w:pPr>
            <w:r w:rsidRPr="00D45265">
              <w:rPr>
                <w:sz w:val="20"/>
                <w:szCs w:val="20"/>
              </w:rPr>
              <w:t xml:space="preserve">Grantees will receive a </w:t>
            </w:r>
            <w:r w:rsidR="00E421AC">
              <w:rPr>
                <w:sz w:val="20"/>
                <w:szCs w:val="20"/>
              </w:rPr>
              <w:t xml:space="preserve">link to the </w:t>
            </w:r>
            <w:r w:rsidR="00D857CE">
              <w:rPr>
                <w:sz w:val="20"/>
                <w:szCs w:val="20"/>
              </w:rPr>
              <w:t xml:space="preserve">TASP (via the </w:t>
            </w:r>
            <w:r w:rsidR="00E421AC">
              <w:rPr>
                <w:sz w:val="20"/>
                <w:szCs w:val="20"/>
              </w:rPr>
              <w:t>SPD</w:t>
            </w:r>
            <w:r w:rsidR="00041F98">
              <w:rPr>
                <w:sz w:val="20"/>
                <w:szCs w:val="20"/>
              </w:rPr>
              <w:t>C)</w:t>
            </w:r>
            <w:r w:rsidR="00E421AC">
              <w:rPr>
                <w:sz w:val="20"/>
                <w:szCs w:val="20"/>
              </w:rPr>
              <w:t xml:space="preserve"> </w:t>
            </w:r>
            <w:r w:rsidR="00041F98">
              <w:rPr>
                <w:sz w:val="20"/>
                <w:szCs w:val="20"/>
              </w:rPr>
              <w:t>by</w:t>
            </w:r>
            <w:r w:rsidR="00E421AC">
              <w:rPr>
                <w:sz w:val="20"/>
                <w:szCs w:val="20"/>
              </w:rPr>
              <w:t xml:space="preserve"> email</w:t>
            </w:r>
            <w:r w:rsidR="002D5E9C">
              <w:rPr>
                <w:sz w:val="20"/>
                <w:szCs w:val="20"/>
              </w:rPr>
              <w:t>. Before logging in initially, the grantee will reset their password and then proceed to</w:t>
            </w:r>
            <w:r w:rsidRPr="00D45265">
              <w:rPr>
                <w:sz w:val="20"/>
                <w:szCs w:val="20"/>
              </w:rPr>
              <w:t xml:space="preserve"> submit TASP data via a </w:t>
            </w:r>
            <w:r w:rsidR="00041F98">
              <w:rPr>
                <w:sz w:val="20"/>
                <w:szCs w:val="20"/>
              </w:rPr>
              <w:t>w</w:t>
            </w:r>
            <w:r w:rsidRPr="00D45265">
              <w:rPr>
                <w:sz w:val="20"/>
                <w:szCs w:val="20"/>
              </w:rPr>
              <w:t>eb-based form</w:t>
            </w:r>
            <w:r w:rsidR="00BD663F">
              <w:rPr>
                <w:sz w:val="20"/>
                <w:szCs w:val="20"/>
              </w:rPr>
              <w:t xml:space="preserve"> on the SPDC</w:t>
            </w:r>
            <w:r w:rsidRPr="00D45265">
              <w:rPr>
                <w:sz w:val="20"/>
                <w:szCs w:val="20"/>
              </w:rPr>
              <w:t xml:space="preserve">. ICF will </w:t>
            </w:r>
            <w:r w:rsidR="00BD663F">
              <w:rPr>
                <w:sz w:val="20"/>
                <w:szCs w:val="20"/>
              </w:rPr>
              <w:t>provide</w:t>
            </w:r>
            <w:r w:rsidRPr="00D45265">
              <w:rPr>
                <w:sz w:val="20"/>
                <w:szCs w:val="20"/>
              </w:rPr>
              <w:t xml:space="preserve"> train</w:t>
            </w:r>
            <w:r w:rsidR="00BD663F">
              <w:rPr>
                <w:sz w:val="20"/>
                <w:szCs w:val="20"/>
              </w:rPr>
              <w:t>ing for</w:t>
            </w:r>
            <w:r w:rsidRPr="00D45265">
              <w:rPr>
                <w:sz w:val="20"/>
                <w:szCs w:val="20"/>
              </w:rPr>
              <w:t xml:space="preserve"> grantees on entering the data and will monitor </w:t>
            </w:r>
            <w:r w:rsidRPr="006A2966">
              <w:rPr>
                <w:sz w:val="20"/>
                <w:szCs w:val="20"/>
              </w:rPr>
              <w:t>participation.</w:t>
            </w:r>
            <w:r w:rsidRPr="006A2966" w:rsidR="00F93F55">
              <w:rPr>
                <w:sz w:val="20"/>
                <w:szCs w:val="20"/>
              </w:rPr>
              <w:t xml:space="preserve"> A TASP is completed by grantee program staff within 2 weeks of each in-person training activity and quarterly for virtual training activities.</w:t>
            </w:r>
          </w:p>
        </w:tc>
      </w:tr>
      <w:tr w14:paraId="797F694C" w14:textId="77777777" w:rsidTr="005F2590">
        <w:tblPrEx>
          <w:tblW w:w="0" w:type="auto"/>
          <w:tblLook w:val="04A0"/>
        </w:tblPrEx>
        <w:tc>
          <w:tcPr>
            <w:tcW w:w="1345" w:type="dxa"/>
            <w:tcMar>
              <w:top w:w="14" w:type="dxa"/>
              <w:left w:w="58" w:type="dxa"/>
              <w:bottom w:w="14" w:type="dxa"/>
              <w:right w:w="58" w:type="dxa"/>
            </w:tcMar>
          </w:tcPr>
          <w:p w:rsidR="00D45265" w:rsidRPr="00327D1F" w:rsidP="00D45265" w14:paraId="55555BE4" w14:textId="2A62E41D">
            <w:pPr>
              <w:pStyle w:val="BodyText"/>
              <w:tabs>
                <w:tab w:val="left" w:pos="1563"/>
              </w:tabs>
              <w:jc w:val="left"/>
              <w:rPr>
                <w:rFonts w:cs="Arial"/>
                <w:color w:val="181818"/>
                <w:sz w:val="20"/>
                <w:szCs w:val="20"/>
              </w:rPr>
            </w:pPr>
            <w:r>
              <w:rPr>
                <w:rFonts w:cs="Arial"/>
                <w:color w:val="181818"/>
                <w:sz w:val="20"/>
                <w:szCs w:val="20"/>
              </w:rPr>
              <w:t>TSA-</w:t>
            </w:r>
            <w:r w:rsidR="00493DC0">
              <w:rPr>
                <w:rFonts w:cs="Arial"/>
                <w:color w:val="181818"/>
                <w:sz w:val="20"/>
                <w:szCs w:val="20"/>
              </w:rPr>
              <w:t>P</w:t>
            </w:r>
            <w:r w:rsidR="00C8654B">
              <w:rPr>
                <w:rFonts w:cs="Arial"/>
                <w:color w:val="181818"/>
                <w:sz w:val="20"/>
                <w:szCs w:val="20"/>
              </w:rPr>
              <w:t>, TSA-F</w:t>
            </w:r>
            <w:r w:rsidR="004629D1">
              <w:rPr>
                <w:rFonts w:cs="Arial"/>
                <w:color w:val="181818"/>
                <w:sz w:val="20"/>
                <w:szCs w:val="20"/>
              </w:rPr>
              <w:t>, and TSA-PS</w:t>
            </w:r>
          </w:p>
        </w:tc>
        <w:tc>
          <w:tcPr>
            <w:tcW w:w="8005" w:type="dxa"/>
            <w:tcMar>
              <w:top w:w="14" w:type="dxa"/>
              <w:left w:w="58" w:type="dxa"/>
              <w:bottom w:w="14" w:type="dxa"/>
              <w:right w:w="58" w:type="dxa"/>
            </w:tcMar>
          </w:tcPr>
          <w:p w:rsidR="00D45265" w:rsidRPr="00B504C3" w:rsidP="00C8654B" w14:paraId="6178FC99" w14:textId="25BFE9D8">
            <w:pPr>
              <w:pStyle w:val="GLSBody"/>
              <w:spacing w:after="0"/>
              <w:jc w:val="left"/>
              <w:rPr>
                <w:rFonts w:ascii="Arial" w:hAnsi="Arial" w:cs="Arial"/>
                <w:sz w:val="20"/>
                <w:szCs w:val="20"/>
              </w:rPr>
            </w:pPr>
            <w:r w:rsidRPr="00B53D75">
              <w:rPr>
                <w:rFonts w:ascii="Arial" w:eastAsia="Arial" w:hAnsi="Arial" w:cstheme="minorBidi"/>
                <w:sz w:val="20"/>
                <w:szCs w:val="20"/>
              </w:rPr>
              <w:t>During training events,</w:t>
            </w:r>
            <w:r w:rsidRPr="00B53D75" w:rsidR="00493DC0">
              <w:rPr>
                <w:rFonts w:ascii="Arial" w:eastAsia="Arial" w:hAnsi="Arial" w:cstheme="minorBidi"/>
                <w:sz w:val="20"/>
                <w:szCs w:val="20"/>
              </w:rPr>
              <w:t xml:space="preserve"> all participants will be asked to complete the TSA-P</w:t>
            </w:r>
            <w:r w:rsidRPr="00B53D75" w:rsidR="00445288">
              <w:rPr>
                <w:rFonts w:ascii="Arial" w:eastAsia="Arial" w:hAnsi="Arial" w:cstheme="minorBidi"/>
                <w:sz w:val="20"/>
                <w:szCs w:val="20"/>
              </w:rPr>
              <w:t xml:space="preserve">. </w:t>
            </w:r>
            <w:r w:rsidRPr="00B53D75" w:rsidR="00714FDC">
              <w:rPr>
                <w:rFonts w:ascii="Arial" w:eastAsia="Arial" w:hAnsi="Arial" w:cstheme="minorBidi"/>
                <w:sz w:val="20"/>
                <w:szCs w:val="20"/>
              </w:rPr>
              <w:t>The survey will be administered electronically (via URL or QR code at the time of the training). If a trainer is unable to administer the survey or consent-to-contact form electronically, or a trainee does not have access to a mobile device or computer, they may also complete the survey and consent-to-contact form on paper. The grantee will submit this information to ICF, through direct data entry into the SPDC, within 2 weeks of the training event.</w:t>
            </w:r>
            <w:r w:rsidRPr="00B53D75" w:rsidR="00C8654B">
              <w:rPr>
                <w:rFonts w:ascii="Arial" w:eastAsia="Arial" w:hAnsi="Arial" w:cstheme="minorBidi"/>
                <w:sz w:val="20"/>
                <w:szCs w:val="20"/>
              </w:rPr>
              <w:t xml:space="preserve"> The TSA-P</w:t>
            </w:r>
            <w:r w:rsidRPr="00B53D75" w:rsidR="00B3529D">
              <w:rPr>
                <w:rFonts w:ascii="Arial" w:eastAsia="Arial" w:hAnsi="Arial" w:cstheme="minorBidi"/>
                <w:sz w:val="20"/>
                <w:szCs w:val="20"/>
              </w:rPr>
              <w:t xml:space="preserve"> includes a consent to contact form</w:t>
            </w:r>
            <w:r w:rsidRPr="00B53D75">
              <w:rPr>
                <w:rFonts w:ascii="Arial" w:eastAsia="Arial" w:hAnsi="Arial" w:cstheme="minorBidi"/>
                <w:sz w:val="20"/>
                <w:szCs w:val="20"/>
              </w:rPr>
              <w:t xml:space="preserve"> indicating their willingness to be contacted to participate in the </w:t>
            </w:r>
            <w:r w:rsidRPr="00B53D75" w:rsidR="00B3529D">
              <w:rPr>
                <w:rFonts w:ascii="Arial" w:eastAsia="Arial" w:hAnsi="Arial" w:cstheme="minorBidi"/>
                <w:sz w:val="20"/>
                <w:szCs w:val="20"/>
              </w:rPr>
              <w:t>TSA-F</w:t>
            </w:r>
            <w:r w:rsidR="00B53D75">
              <w:rPr>
                <w:rFonts w:ascii="Arial" w:eastAsia="Arial" w:hAnsi="Arial" w:cstheme="minorBidi"/>
                <w:sz w:val="20"/>
                <w:szCs w:val="20"/>
              </w:rPr>
              <w:t xml:space="preserve"> and the TSA-PS</w:t>
            </w:r>
            <w:r w:rsidRPr="00B53D75">
              <w:rPr>
                <w:rFonts w:ascii="Arial" w:eastAsia="Arial" w:hAnsi="Arial" w:cstheme="minorBidi"/>
                <w:sz w:val="20"/>
                <w:szCs w:val="20"/>
              </w:rPr>
              <w:t xml:space="preserve">. Once consent to </w:t>
            </w:r>
            <w:bookmarkStart w:id="0" w:name="_Int_5AwbUAdg"/>
            <w:r w:rsidRPr="00B53D75">
              <w:rPr>
                <w:rFonts w:ascii="Arial" w:eastAsia="Arial" w:hAnsi="Arial" w:cstheme="minorBidi"/>
                <w:sz w:val="20"/>
                <w:szCs w:val="20"/>
              </w:rPr>
              <w:t>contact</w:t>
            </w:r>
            <w:bookmarkEnd w:id="0"/>
            <w:r w:rsidRPr="00B53D75">
              <w:rPr>
                <w:rFonts w:ascii="Arial" w:eastAsia="Arial" w:hAnsi="Arial" w:cstheme="minorBidi"/>
                <w:sz w:val="20"/>
                <w:szCs w:val="20"/>
              </w:rPr>
              <w:t xml:space="preserve"> has been received, ICF will contact a random sample of </w:t>
            </w:r>
            <w:r w:rsidRPr="00B53D75" w:rsidR="00B53D75">
              <w:rPr>
                <w:rFonts w:ascii="Arial" w:eastAsia="Arial" w:hAnsi="Arial" w:cstheme="minorBidi"/>
                <w:sz w:val="20"/>
                <w:szCs w:val="20"/>
              </w:rPr>
              <w:t>respondents for the TSA-PS and TSA-</w:t>
            </w:r>
            <w:bookmarkStart w:id="1" w:name="_Int_QRuKMDap"/>
            <w:r w:rsidRPr="00B53D75" w:rsidR="00B53D75">
              <w:rPr>
                <w:rFonts w:ascii="Arial" w:eastAsia="Arial" w:hAnsi="Arial" w:cstheme="minorBidi"/>
                <w:sz w:val="20"/>
                <w:szCs w:val="20"/>
              </w:rPr>
              <w:t>F(</w:t>
            </w:r>
            <w:bookmarkEnd w:id="1"/>
            <w:r w:rsidRPr="00B53D75" w:rsidR="00B53D75">
              <w:rPr>
                <w:rFonts w:ascii="Arial" w:eastAsia="Arial" w:hAnsi="Arial" w:cstheme="minorBidi"/>
                <w:sz w:val="20"/>
                <w:szCs w:val="20"/>
              </w:rPr>
              <w:t xml:space="preserve">6). </w:t>
            </w:r>
            <w:r w:rsidR="00392E4D">
              <w:rPr>
                <w:rFonts w:ascii="Arial" w:eastAsia="Arial" w:hAnsi="Arial" w:cstheme="minorBidi"/>
                <w:sz w:val="20"/>
                <w:szCs w:val="20"/>
              </w:rPr>
              <w:t xml:space="preserve">Following each data collection, trainee respondents will be asked for consent to recontact. </w:t>
            </w:r>
          </w:p>
        </w:tc>
      </w:tr>
      <w:tr w14:paraId="43EB77A9" w14:textId="77777777" w:rsidTr="005F2590">
        <w:tblPrEx>
          <w:tblW w:w="0" w:type="auto"/>
          <w:tblLook w:val="04A0"/>
        </w:tblPrEx>
        <w:tc>
          <w:tcPr>
            <w:tcW w:w="1345" w:type="dxa"/>
            <w:tcMar>
              <w:top w:w="14" w:type="dxa"/>
              <w:left w:w="58" w:type="dxa"/>
              <w:bottom w:w="14" w:type="dxa"/>
              <w:right w:w="58" w:type="dxa"/>
            </w:tcMar>
          </w:tcPr>
          <w:p w:rsidR="00D45265" w:rsidRPr="00327D1F" w:rsidP="005F2590" w14:paraId="27F78225" w14:textId="3BCE3CDF">
            <w:pPr>
              <w:pStyle w:val="BodyText"/>
              <w:tabs>
                <w:tab w:val="left" w:pos="1563"/>
              </w:tabs>
              <w:rPr>
                <w:rFonts w:cs="Arial"/>
                <w:color w:val="181818"/>
                <w:sz w:val="20"/>
                <w:szCs w:val="20"/>
              </w:rPr>
            </w:pPr>
            <w:r w:rsidRPr="597B2C70">
              <w:rPr>
                <w:rFonts w:cs="Arial"/>
                <w:color w:val="181818"/>
                <w:sz w:val="20"/>
                <w:szCs w:val="20"/>
              </w:rPr>
              <w:t>EIRF</w:t>
            </w:r>
            <w:r w:rsidRPr="597B2C70" w:rsidR="2693BB9A">
              <w:rPr>
                <w:rFonts w:cs="Arial"/>
                <w:color w:val="181818"/>
                <w:sz w:val="20"/>
                <w:szCs w:val="20"/>
              </w:rPr>
              <w:t>T</w:t>
            </w:r>
            <w:r>
              <w:rPr>
                <w:rFonts w:cs="Arial"/>
                <w:color w:val="181818"/>
                <w:sz w:val="20"/>
                <w:szCs w:val="20"/>
              </w:rPr>
              <w:t>-I</w:t>
            </w:r>
          </w:p>
        </w:tc>
        <w:tc>
          <w:tcPr>
            <w:tcW w:w="8005" w:type="dxa"/>
            <w:tcMar>
              <w:top w:w="14" w:type="dxa"/>
              <w:left w:w="58" w:type="dxa"/>
              <w:bottom w:w="14" w:type="dxa"/>
              <w:right w:w="58" w:type="dxa"/>
            </w:tcMar>
          </w:tcPr>
          <w:p w:rsidR="00D45265" w:rsidRPr="00D45265" w:rsidP="005F2590" w14:paraId="5D4890E5" w14:textId="5229DA69">
            <w:pPr>
              <w:pStyle w:val="BodyText"/>
              <w:tabs>
                <w:tab w:val="left" w:pos="1563"/>
              </w:tabs>
              <w:jc w:val="left"/>
              <w:rPr>
                <w:rFonts w:cs="Arial"/>
                <w:color w:val="181818"/>
                <w:sz w:val="20"/>
                <w:szCs w:val="20"/>
              </w:rPr>
            </w:pPr>
            <w:r w:rsidRPr="00D45265">
              <w:rPr>
                <w:sz w:val="20"/>
                <w:szCs w:val="20"/>
              </w:rPr>
              <w:t xml:space="preserve">Grantee staff upload </w:t>
            </w:r>
            <w:r w:rsidRPr="597B2C70">
              <w:rPr>
                <w:sz w:val="20"/>
                <w:szCs w:val="20"/>
              </w:rPr>
              <w:t>EIRF</w:t>
            </w:r>
            <w:r w:rsidRPr="597B2C70" w:rsidR="7AC29717">
              <w:rPr>
                <w:sz w:val="20"/>
                <w:szCs w:val="20"/>
              </w:rPr>
              <w:t>T</w:t>
            </w:r>
            <w:r w:rsidRPr="00D45265">
              <w:rPr>
                <w:sz w:val="20"/>
                <w:szCs w:val="20"/>
              </w:rPr>
              <w:t xml:space="preserve">-I data or enter </w:t>
            </w:r>
            <w:r w:rsidRPr="597B2C70">
              <w:rPr>
                <w:sz w:val="20"/>
                <w:szCs w:val="20"/>
              </w:rPr>
              <w:t>EIRF</w:t>
            </w:r>
            <w:r w:rsidRPr="597B2C70" w:rsidR="791AAF53">
              <w:rPr>
                <w:sz w:val="20"/>
                <w:szCs w:val="20"/>
              </w:rPr>
              <w:t>T</w:t>
            </w:r>
            <w:r w:rsidRPr="00D45265">
              <w:rPr>
                <w:sz w:val="20"/>
                <w:szCs w:val="20"/>
              </w:rPr>
              <w:t xml:space="preserve">-I data via an online survey function each quarter to the SPDC. Initial follow-up information </w:t>
            </w:r>
            <w:r w:rsidRPr="597B2C70" w:rsidR="03ACFA5A">
              <w:rPr>
                <w:sz w:val="20"/>
                <w:szCs w:val="20"/>
              </w:rPr>
              <w:t>is entered during the same month of identification. Additional</w:t>
            </w:r>
            <w:r w:rsidRPr="00D45265">
              <w:rPr>
                <w:sz w:val="20"/>
                <w:szCs w:val="20"/>
              </w:rPr>
              <w:t xml:space="preserve"> referral</w:t>
            </w:r>
            <w:r w:rsidRPr="597B2C70" w:rsidR="03ACFA5A">
              <w:rPr>
                <w:sz w:val="20"/>
                <w:szCs w:val="20"/>
              </w:rPr>
              <w:t xml:space="preserve"> and service receipt is added </w:t>
            </w:r>
            <w:r w:rsidRPr="597B2C70" w:rsidR="4B22DAAB">
              <w:rPr>
                <w:sz w:val="20"/>
                <w:szCs w:val="20"/>
              </w:rPr>
              <w:t>for 6</w:t>
            </w:r>
            <w:r w:rsidRPr="00D45265">
              <w:rPr>
                <w:sz w:val="20"/>
                <w:szCs w:val="20"/>
              </w:rPr>
              <w:t xml:space="preserve"> months</w:t>
            </w:r>
            <w:r w:rsidRPr="597B2C70" w:rsidR="4B22DAAB">
              <w:rPr>
                <w:sz w:val="20"/>
                <w:szCs w:val="20"/>
              </w:rPr>
              <w:t xml:space="preserve"> following </w:t>
            </w:r>
            <w:r w:rsidRPr="00D45265">
              <w:rPr>
                <w:sz w:val="20"/>
                <w:szCs w:val="20"/>
              </w:rPr>
              <w:t xml:space="preserve">the </w:t>
            </w:r>
            <w:r w:rsidRPr="597B2C70" w:rsidR="4B22DAAB">
              <w:rPr>
                <w:sz w:val="20"/>
                <w:szCs w:val="20"/>
              </w:rPr>
              <w:t>initial identification.</w:t>
            </w:r>
            <w:r w:rsidRPr="00D45265">
              <w:rPr>
                <w:sz w:val="20"/>
                <w:szCs w:val="20"/>
              </w:rPr>
              <w:t xml:space="preserve"> Data are extracted from case records or other existing data sources, including any organizational staff, community members, or family members who make a mental health identification and referral. For grantees that do not have access to an existing tracking system, they should contact their </w:t>
            </w:r>
            <w:r w:rsidR="006B52F5">
              <w:rPr>
                <w:sz w:val="20"/>
                <w:szCs w:val="20"/>
              </w:rPr>
              <w:t>technical assistance liaison</w:t>
            </w:r>
            <w:r w:rsidRPr="00D45265">
              <w:rPr>
                <w:sz w:val="20"/>
                <w:szCs w:val="20"/>
              </w:rPr>
              <w:t xml:space="preserve">, prevention specialist, and SAMHSA Government Project Officer to discuss approaches for adequately tracking and monitoring youth identified and referred for services. Grantee program staff enter </w:t>
            </w:r>
            <w:r w:rsidRPr="597B2C70">
              <w:rPr>
                <w:sz w:val="20"/>
                <w:szCs w:val="20"/>
              </w:rPr>
              <w:t>EIRF</w:t>
            </w:r>
            <w:r w:rsidRPr="597B2C70" w:rsidR="7E272390">
              <w:rPr>
                <w:sz w:val="20"/>
                <w:szCs w:val="20"/>
              </w:rPr>
              <w:t>T</w:t>
            </w:r>
            <w:r w:rsidRPr="00D45265">
              <w:rPr>
                <w:sz w:val="20"/>
                <w:szCs w:val="20"/>
              </w:rPr>
              <w:t>-I data into the SPDC on an ongoing basis throughout their grant period.</w:t>
            </w:r>
          </w:p>
        </w:tc>
      </w:tr>
      <w:tr w14:paraId="4CCE1CA0" w14:textId="77777777" w:rsidTr="005F2590">
        <w:tblPrEx>
          <w:tblW w:w="0" w:type="auto"/>
          <w:tblLook w:val="04A0"/>
        </w:tblPrEx>
        <w:tc>
          <w:tcPr>
            <w:tcW w:w="1345" w:type="dxa"/>
            <w:tcMar>
              <w:top w:w="14" w:type="dxa"/>
              <w:left w:w="58" w:type="dxa"/>
              <w:bottom w:w="14" w:type="dxa"/>
              <w:right w:w="58" w:type="dxa"/>
            </w:tcMar>
          </w:tcPr>
          <w:p w:rsidR="00D45265" w:rsidRPr="00327D1F" w:rsidP="005F2590" w14:paraId="3B5A5966" w14:textId="3AE461AF">
            <w:pPr>
              <w:pStyle w:val="BodyText"/>
              <w:tabs>
                <w:tab w:val="left" w:pos="1563"/>
              </w:tabs>
              <w:rPr>
                <w:rFonts w:cs="Arial"/>
                <w:color w:val="181818"/>
                <w:sz w:val="20"/>
                <w:szCs w:val="20"/>
              </w:rPr>
            </w:pPr>
            <w:r w:rsidRPr="597B2C70">
              <w:rPr>
                <w:rFonts w:cs="Arial"/>
                <w:color w:val="181818"/>
                <w:sz w:val="20"/>
                <w:szCs w:val="20"/>
              </w:rPr>
              <w:t>EIRF</w:t>
            </w:r>
            <w:r w:rsidRPr="597B2C70" w:rsidR="2CA8CF58">
              <w:rPr>
                <w:rFonts w:cs="Arial"/>
                <w:color w:val="181818"/>
                <w:sz w:val="20"/>
                <w:szCs w:val="20"/>
              </w:rPr>
              <w:t>T</w:t>
            </w:r>
            <w:r>
              <w:rPr>
                <w:rFonts w:cs="Arial"/>
                <w:color w:val="181818"/>
                <w:sz w:val="20"/>
                <w:szCs w:val="20"/>
              </w:rPr>
              <w:t>-</w:t>
            </w:r>
            <w:r w:rsidRPr="00327D1F">
              <w:rPr>
                <w:rFonts w:cs="Arial"/>
                <w:color w:val="181818"/>
                <w:sz w:val="20"/>
                <w:szCs w:val="20"/>
              </w:rPr>
              <w:t>S</w:t>
            </w:r>
          </w:p>
        </w:tc>
        <w:tc>
          <w:tcPr>
            <w:tcW w:w="8005" w:type="dxa"/>
            <w:tcMar>
              <w:top w:w="14" w:type="dxa"/>
              <w:left w:w="58" w:type="dxa"/>
              <w:bottom w:w="14" w:type="dxa"/>
              <w:right w:w="58" w:type="dxa"/>
            </w:tcMar>
          </w:tcPr>
          <w:p w:rsidR="00D45265" w:rsidRPr="00D45265" w:rsidP="005F2590" w14:paraId="5512C9A2" w14:textId="7731D172">
            <w:pPr>
              <w:pStyle w:val="GLSBody"/>
              <w:spacing w:after="0"/>
              <w:jc w:val="left"/>
              <w:rPr>
                <w:rFonts w:ascii="Arial" w:hAnsi="Arial" w:cs="Arial"/>
                <w:sz w:val="20"/>
                <w:szCs w:val="20"/>
              </w:rPr>
            </w:pPr>
            <w:r w:rsidRPr="00D45265">
              <w:rPr>
                <w:rFonts w:ascii="Arial" w:hAnsi="Arial" w:cs="Arial"/>
                <w:sz w:val="20"/>
                <w:szCs w:val="20"/>
              </w:rPr>
              <w:t xml:space="preserve">The grantee will submit </w:t>
            </w:r>
            <w:r w:rsidRPr="793D1592">
              <w:rPr>
                <w:rFonts w:ascii="Arial" w:hAnsi="Arial" w:cs="Arial"/>
                <w:sz w:val="20"/>
                <w:szCs w:val="20"/>
              </w:rPr>
              <w:t>EIRF</w:t>
            </w:r>
            <w:r w:rsidRPr="793D1592" w:rsidR="39982479">
              <w:rPr>
                <w:rFonts w:ascii="Arial" w:hAnsi="Arial" w:cs="Arial"/>
                <w:sz w:val="20"/>
                <w:szCs w:val="20"/>
              </w:rPr>
              <w:t>T</w:t>
            </w:r>
            <w:r w:rsidRPr="00D45265">
              <w:rPr>
                <w:rFonts w:ascii="Arial" w:hAnsi="Arial" w:cs="Arial"/>
                <w:sz w:val="20"/>
                <w:szCs w:val="20"/>
              </w:rPr>
              <w:t xml:space="preserve">–S forms each quarter via upload or an online survey function. </w:t>
            </w:r>
            <w:r w:rsidRPr="793D1592">
              <w:rPr>
                <w:rFonts w:ascii="Arial" w:hAnsi="Arial" w:cs="Arial"/>
                <w:sz w:val="20"/>
                <w:szCs w:val="20"/>
              </w:rPr>
              <w:t>EIRF</w:t>
            </w:r>
            <w:r w:rsidRPr="793D1592" w:rsidR="62DA487E">
              <w:rPr>
                <w:rFonts w:ascii="Arial" w:hAnsi="Arial" w:cs="Arial"/>
                <w:sz w:val="20"/>
                <w:szCs w:val="20"/>
              </w:rPr>
              <w:t>T</w:t>
            </w:r>
            <w:r w:rsidRPr="00D45265">
              <w:rPr>
                <w:rFonts w:ascii="Arial" w:hAnsi="Arial" w:cs="Arial"/>
                <w:sz w:val="20"/>
                <w:szCs w:val="20"/>
              </w:rPr>
              <w:t xml:space="preserve">-S forms are completed once per each implementation of a screening tool in a group setting, once per month for clinical screenings, and once per month for one-on-one screenings. For each screening event </w:t>
            </w:r>
            <w:r w:rsidRPr="71DF05F5" w:rsidR="1B79EC15">
              <w:rPr>
                <w:rFonts w:ascii="Arial" w:hAnsi="Arial" w:cs="Arial"/>
                <w:sz w:val="20"/>
                <w:szCs w:val="20"/>
              </w:rPr>
              <w:t>at which</w:t>
            </w:r>
            <w:r w:rsidRPr="00D45265">
              <w:rPr>
                <w:rFonts w:ascii="Arial" w:hAnsi="Arial" w:cs="Arial"/>
                <w:sz w:val="20"/>
                <w:szCs w:val="20"/>
              </w:rPr>
              <w:t xml:space="preserve"> multiple youth are screened at a given time, one </w:t>
            </w:r>
            <w:r w:rsidRPr="793D1592">
              <w:rPr>
                <w:rFonts w:ascii="Arial" w:hAnsi="Arial" w:cs="Arial"/>
                <w:sz w:val="20"/>
                <w:szCs w:val="20"/>
              </w:rPr>
              <w:t>EIRF</w:t>
            </w:r>
            <w:r w:rsidRPr="793D1592" w:rsidR="03BE5076">
              <w:rPr>
                <w:rFonts w:ascii="Arial" w:hAnsi="Arial" w:cs="Arial"/>
                <w:sz w:val="20"/>
                <w:szCs w:val="20"/>
              </w:rPr>
              <w:t>T</w:t>
            </w:r>
            <w:r w:rsidRPr="00D45265">
              <w:rPr>
                <w:rFonts w:ascii="Arial" w:hAnsi="Arial" w:cs="Arial"/>
                <w:sz w:val="20"/>
                <w:szCs w:val="20"/>
              </w:rPr>
              <w:t xml:space="preserve">–S should be completed for the event. For one-on-one screenings in a clinical or other setting, one aggregated </w:t>
            </w:r>
            <w:r w:rsidRPr="793D1592">
              <w:rPr>
                <w:rFonts w:ascii="Arial" w:hAnsi="Arial" w:cs="Arial"/>
                <w:sz w:val="20"/>
                <w:szCs w:val="20"/>
              </w:rPr>
              <w:t>EIRF</w:t>
            </w:r>
            <w:r w:rsidRPr="793D1592" w:rsidR="6DA05979">
              <w:rPr>
                <w:rFonts w:ascii="Arial" w:hAnsi="Arial" w:cs="Arial"/>
                <w:sz w:val="20"/>
                <w:szCs w:val="20"/>
              </w:rPr>
              <w:t>T</w:t>
            </w:r>
            <w:r w:rsidRPr="00D45265">
              <w:rPr>
                <w:rFonts w:ascii="Arial" w:hAnsi="Arial" w:cs="Arial"/>
                <w:sz w:val="20"/>
                <w:szCs w:val="20"/>
              </w:rPr>
              <w:t xml:space="preserve">–S is completed per month to reflect screening outcomes of all youth screened during the month. Grantees develop systems locally to gather screening data, including extracting data from existing electronic health records or forms. Grantee program staff enter </w:t>
            </w:r>
            <w:r w:rsidRPr="793D1592">
              <w:rPr>
                <w:rFonts w:ascii="Arial" w:hAnsi="Arial" w:cs="Arial"/>
                <w:sz w:val="20"/>
                <w:szCs w:val="20"/>
              </w:rPr>
              <w:t>EIRF</w:t>
            </w:r>
            <w:r w:rsidRPr="793D1592" w:rsidR="23F95D0D">
              <w:rPr>
                <w:rFonts w:ascii="Arial" w:hAnsi="Arial" w:cs="Arial"/>
                <w:sz w:val="20"/>
                <w:szCs w:val="20"/>
              </w:rPr>
              <w:t>T</w:t>
            </w:r>
            <w:r w:rsidRPr="00D45265">
              <w:rPr>
                <w:rFonts w:ascii="Arial" w:hAnsi="Arial" w:cs="Arial"/>
                <w:sz w:val="20"/>
                <w:szCs w:val="20"/>
              </w:rPr>
              <w:t>-S data into the SPDC on an ongoing basis throughout their grant period.</w:t>
            </w:r>
          </w:p>
        </w:tc>
      </w:tr>
      <w:tr w14:paraId="378634B6" w14:textId="77777777" w:rsidTr="005F2590">
        <w:tblPrEx>
          <w:tblW w:w="0" w:type="auto"/>
          <w:tblLook w:val="04A0"/>
        </w:tblPrEx>
        <w:tc>
          <w:tcPr>
            <w:tcW w:w="1345" w:type="dxa"/>
            <w:tcMar>
              <w:top w:w="14" w:type="dxa"/>
              <w:left w:w="58" w:type="dxa"/>
              <w:bottom w:w="14" w:type="dxa"/>
              <w:right w:w="58" w:type="dxa"/>
            </w:tcMar>
          </w:tcPr>
          <w:p w:rsidR="00392E4D" w:rsidP="005F2590" w14:paraId="272710EF" w14:textId="7541FB40">
            <w:pPr>
              <w:pStyle w:val="BodyText"/>
              <w:tabs>
                <w:tab w:val="left" w:pos="1563"/>
              </w:tabs>
              <w:rPr>
                <w:rFonts w:cs="Arial"/>
                <w:color w:val="181818"/>
                <w:sz w:val="20"/>
                <w:szCs w:val="20"/>
              </w:rPr>
            </w:pPr>
            <w:r>
              <w:rPr>
                <w:rFonts w:cs="Arial"/>
                <w:color w:val="181818"/>
                <w:sz w:val="20"/>
                <w:szCs w:val="20"/>
              </w:rPr>
              <w:t>YORS</w:t>
            </w:r>
          </w:p>
        </w:tc>
        <w:tc>
          <w:tcPr>
            <w:tcW w:w="8005" w:type="dxa"/>
            <w:tcMar>
              <w:top w:w="14" w:type="dxa"/>
              <w:left w:w="58" w:type="dxa"/>
              <w:bottom w:w="14" w:type="dxa"/>
              <w:right w:w="58" w:type="dxa"/>
            </w:tcMar>
          </w:tcPr>
          <w:p w:rsidR="00392E4D" w:rsidP="00A20158" w14:paraId="20C16D2E" w14:textId="285505DC">
            <w:pPr>
              <w:pStyle w:val="GLSBody"/>
              <w:spacing w:after="0"/>
              <w:jc w:val="left"/>
              <w:rPr>
                <w:rFonts w:ascii="Arial" w:hAnsi="Arial" w:cs="Arial"/>
                <w:sz w:val="20"/>
                <w:szCs w:val="20"/>
              </w:rPr>
            </w:pPr>
            <w:r>
              <w:rPr>
                <w:rFonts w:ascii="Arial" w:hAnsi="Arial" w:cs="Arial"/>
                <w:sz w:val="20"/>
                <w:szCs w:val="20"/>
              </w:rPr>
              <w:t xml:space="preserve">Youth participants will be invited to participate the YORS via a </w:t>
            </w:r>
            <w:r w:rsidRPr="00057916">
              <w:rPr>
                <w:rFonts w:ascii="Arial" w:hAnsi="Arial" w:cs="Arial"/>
                <w:sz w:val="20"/>
                <w:szCs w:val="20"/>
              </w:rPr>
              <w:t>web-based survey completed on the SPDC</w:t>
            </w:r>
            <w:r w:rsidRPr="00057916" w:rsidR="00AB77EC">
              <w:rPr>
                <w:rFonts w:ascii="Arial" w:hAnsi="Arial" w:cs="Arial"/>
                <w:sz w:val="20"/>
                <w:szCs w:val="20"/>
              </w:rPr>
              <w:t xml:space="preserve">. </w:t>
            </w:r>
            <w:r w:rsidRPr="00057916" w:rsidR="00717A22">
              <w:rPr>
                <w:rFonts w:ascii="Arial" w:hAnsi="Arial" w:cs="Arial"/>
                <w:sz w:val="20"/>
                <w:szCs w:val="20"/>
              </w:rPr>
              <w:t xml:space="preserve">Youth will receive an </w:t>
            </w:r>
            <w:r w:rsidRPr="00057916" w:rsidR="00057916">
              <w:rPr>
                <w:rFonts w:ascii="Arial" w:hAnsi="Arial" w:cs="Arial"/>
                <w:sz w:val="20"/>
                <w:szCs w:val="20"/>
              </w:rPr>
              <w:t xml:space="preserve">email invitation to complete the survey at approximately 3-, 6-, and 12-months after </w:t>
            </w:r>
            <w:r w:rsidRPr="00744581" w:rsidR="00744581">
              <w:rPr>
                <w:rFonts w:ascii="Arial" w:hAnsi="Arial" w:cs="Arial"/>
                <w:sz w:val="20"/>
                <w:szCs w:val="20"/>
              </w:rPr>
              <w:t>enrollment, with enrollment occurring no later than 1 month following referral to a behavioral health service.</w:t>
            </w:r>
          </w:p>
        </w:tc>
      </w:tr>
      <w:tr w14:paraId="2FC4BCB1" w14:textId="77777777" w:rsidTr="00F36965">
        <w:tblPrEx>
          <w:tblW w:w="0" w:type="auto"/>
          <w:tblLook w:val="04A0"/>
        </w:tblPrEx>
        <w:trPr>
          <w:trHeight w:val="1722"/>
        </w:trPr>
        <w:tc>
          <w:tcPr>
            <w:tcW w:w="1345" w:type="dxa"/>
            <w:tcMar>
              <w:top w:w="14" w:type="dxa"/>
              <w:left w:w="58" w:type="dxa"/>
              <w:bottom w:w="14" w:type="dxa"/>
              <w:right w:w="58" w:type="dxa"/>
            </w:tcMar>
          </w:tcPr>
          <w:p w:rsidR="00392E4D" w:rsidP="005F2590" w14:paraId="21B910D6" w14:textId="0697AD48">
            <w:pPr>
              <w:pStyle w:val="BodyText"/>
              <w:tabs>
                <w:tab w:val="left" w:pos="1563"/>
              </w:tabs>
              <w:rPr>
                <w:rFonts w:cs="Arial"/>
                <w:color w:val="181818"/>
                <w:sz w:val="20"/>
                <w:szCs w:val="20"/>
              </w:rPr>
            </w:pPr>
            <w:r>
              <w:rPr>
                <w:rFonts w:cs="Arial"/>
                <w:color w:val="181818"/>
                <w:sz w:val="20"/>
                <w:szCs w:val="20"/>
              </w:rPr>
              <w:t>YER</w:t>
            </w:r>
            <w:r w:rsidR="00907A98">
              <w:rPr>
                <w:rFonts w:cs="Arial"/>
                <w:color w:val="181818"/>
                <w:sz w:val="20"/>
                <w:szCs w:val="20"/>
              </w:rPr>
              <w:t xml:space="preserve"> Journal</w:t>
            </w:r>
          </w:p>
        </w:tc>
        <w:tc>
          <w:tcPr>
            <w:tcW w:w="8005" w:type="dxa"/>
            <w:tcMar>
              <w:top w:w="14" w:type="dxa"/>
              <w:left w:w="58" w:type="dxa"/>
              <w:bottom w:w="14" w:type="dxa"/>
              <w:right w:w="58" w:type="dxa"/>
            </w:tcMar>
          </w:tcPr>
          <w:p w:rsidR="00392E4D" w:rsidP="00F36965" w14:paraId="53C7B702" w14:textId="6C15DBF8">
            <w:pPr>
              <w:pStyle w:val="GLSBody"/>
              <w:spacing w:after="0"/>
              <w:jc w:val="left"/>
              <w:rPr>
                <w:rFonts w:ascii="Arial" w:hAnsi="Arial" w:cs="Arial"/>
                <w:sz w:val="20"/>
                <w:szCs w:val="20"/>
              </w:rPr>
            </w:pPr>
            <w:r w:rsidRPr="004C483E">
              <w:rPr>
                <w:rFonts w:ascii="Arial" w:hAnsi="Arial" w:cs="Arial"/>
                <w:sz w:val="20"/>
                <w:szCs w:val="20"/>
              </w:rPr>
              <w:t>Youths will be asked to respond to a weekly journal prompt with a photo and a corresponding narrative interpretation of the photo. For example, youths may be asked to reflect on a recent experience receiving services. The youth would be asked to submit a photo that represents that experience, followed by a prompt that asks: “What words come to mind? How did it make you feel?” The narrative description of what the photo represents will be analyzed using qualitative methodologies as described below. Up to 25 youths will be recruited to participate in the YER Journal each year.</w:t>
            </w:r>
          </w:p>
        </w:tc>
      </w:tr>
    </w:tbl>
    <w:p w:rsidR="0087685A" w:rsidRPr="00016F35" w:rsidP="000F5A36" w14:paraId="69FDAD04" w14:textId="6A4DA03D">
      <w:pPr>
        <w:pStyle w:val="GLSBody"/>
        <w:spacing w:after="200"/>
      </w:pPr>
    </w:p>
    <w:p w:rsidR="001B3C78" w:rsidRPr="001B3C78" w:rsidP="004E195B" w14:paraId="1BFF0756" w14:textId="77777777">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Methods to Maximize Response Rates</w:t>
      </w:r>
    </w:p>
    <w:p w:rsidR="00BA00BD" w:rsidP="000F5A36" w14:paraId="632E6306" w14:textId="7105AFFE">
      <w:pPr>
        <w:pStyle w:val="SuicideBodyText"/>
        <w:spacing w:after="200"/>
      </w:pPr>
      <w:r w:rsidRPr="00F1465D">
        <w:t xml:space="preserve">Participation in the </w:t>
      </w:r>
      <w:r w:rsidR="001E22B9">
        <w:t xml:space="preserve">GLS </w:t>
      </w:r>
      <w:r w:rsidR="00463342">
        <w:t>S</w:t>
      </w:r>
      <w:r w:rsidR="00CE23D4">
        <w:t>tate</w:t>
      </w:r>
      <w:r w:rsidR="00463342">
        <w:t>/T</w:t>
      </w:r>
      <w:r w:rsidR="00CE23D4">
        <w:t>ribal</w:t>
      </w:r>
      <w:r w:rsidR="00463342">
        <w:t xml:space="preserve"> </w:t>
      </w:r>
      <w:r w:rsidR="001E22B9">
        <w:t>Evaluation</w:t>
      </w:r>
      <w:r w:rsidRPr="00F1465D">
        <w:t xml:space="preserve"> is a requirement of the GLS Suicide Prevention Program. Therefore, completion of the </w:t>
      </w:r>
      <w:r>
        <w:t>PSI</w:t>
      </w:r>
      <w:r w:rsidR="006C24DB">
        <w:t>, EIRF</w:t>
      </w:r>
      <w:r w:rsidR="007D5CF4">
        <w:t>T</w:t>
      </w:r>
      <w:r w:rsidR="006C24DB">
        <w:t>-I, EIRF</w:t>
      </w:r>
      <w:r w:rsidR="007D5CF4">
        <w:t>T</w:t>
      </w:r>
      <w:r w:rsidR="006C24DB">
        <w:t>-S,</w:t>
      </w:r>
      <w:r w:rsidR="00B370C6">
        <w:t xml:space="preserve"> </w:t>
      </w:r>
      <w:r w:rsidR="00392E4D">
        <w:t xml:space="preserve">and </w:t>
      </w:r>
      <w:r w:rsidR="00F71B2C">
        <w:t>TASP</w:t>
      </w:r>
      <w:r w:rsidR="6860D6B5">
        <w:t xml:space="preserve"> </w:t>
      </w:r>
      <w:r>
        <w:t>by</w:t>
      </w:r>
      <w:r w:rsidRPr="00F1465D">
        <w:t xml:space="preserve"> program staff will be a requirement. However, the </w:t>
      </w:r>
      <w:r w:rsidR="00482B21">
        <w:t>evaluation</w:t>
      </w:r>
      <w:r w:rsidRPr="00F1465D">
        <w:t xml:space="preserve"> team has taken </w:t>
      </w:r>
      <w:r w:rsidRPr="00F1465D" w:rsidR="00206EC8">
        <w:t>several</w:t>
      </w:r>
      <w:r w:rsidRPr="00F1465D">
        <w:t xml:space="preserve"> steps to minimize the burden on local programs to ensure that completion is timely. These steps include developing a </w:t>
      </w:r>
      <w:r w:rsidR="00206EC8">
        <w:t>w</w:t>
      </w:r>
      <w:r w:rsidRPr="00F1465D">
        <w:t>eb-based data collection system</w:t>
      </w:r>
      <w:r w:rsidR="006B42D0">
        <w:t>, using updated technology,</w:t>
      </w:r>
      <w:r w:rsidRPr="00F1465D">
        <w:t xml:space="preserve"> and providing training and </w:t>
      </w:r>
      <w:r w:rsidR="006B42D0">
        <w:t xml:space="preserve">technical assistance </w:t>
      </w:r>
      <w:r w:rsidRPr="00F1465D">
        <w:t>to grantee</w:t>
      </w:r>
      <w:r w:rsidR="00B21BC0">
        <w:t>s</w:t>
      </w:r>
      <w:r w:rsidRPr="00F1465D">
        <w:t>.</w:t>
      </w:r>
      <w:r w:rsidR="006B42D0">
        <w:t xml:space="preserve"> </w:t>
      </w:r>
      <w:r w:rsidRPr="00F1465D">
        <w:t xml:space="preserve">The </w:t>
      </w:r>
      <w:r w:rsidR="00482B21">
        <w:t>evaluation</w:t>
      </w:r>
      <w:r w:rsidR="006B42D0">
        <w:t xml:space="preserve"> team</w:t>
      </w:r>
      <w:r w:rsidRPr="00F1465D">
        <w:t xml:space="preserve"> also will provide </w:t>
      </w:r>
      <w:r w:rsidR="00535CCD">
        <w:t>training and technical</w:t>
      </w:r>
      <w:r w:rsidR="009B2797">
        <w:t xml:space="preserve"> assistance</w:t>
      </w:r>
      <w:r w:rsidRPr="00F1465D">
        <w:t xml:space="preserve"> to maximize response rates for the other data collection activities</w:t>
      </w:r>
      <w:r w:rsidR="00F71B2C">
        <w:t xml:space="preserve"> by </w:t>
      </w:r>
      <w:r w:rsidR="00B21BC0">
        <w:t>hosting</w:t>
      </w:r>
      <w:r w:rsidRPr="00F1465D" w:rsidR="00B21BC0">
        <w:t xml:space="preserve"> </w:t>
      </w:r>
      <w:r w:rsidR="00206EC8">
        <w:t>w</w:t>
      </w:r>
      <w:r w:rsidRPr="00F1465D">
        <w:t xml:space="preserve">eb trainings, </w:t>
      </w:r>
      <w:r w:rsidR="00392E4D">
        <w:t xml:space="preserve">and </w:t>
      </w:r>
      <w:r w:rsidRPr="00F1465D">
        <w:t>distributing procedur</w:t>
      </w:r>
      <w:r w:rsidR="000C778C">
        <w:t>al</w:t>
      </w:r>
      <w:r w:rsidRPr="00F1465D">
        <w:t xml:space="preserve"> manuals, </w:t>
      </w:r>
      <w:r w:rsidR="00C53ADC">
        <w:t xml:space="preserve">Specific methods to increase the </w:t>
      </w:r>
      <w:r w:rsidR="00392E4D">
        <w:t xml:space="preserve">response rates </w:t>
      </w:r>
      <w:r w:rsidR="00C53ADC">
        <w:t xml:space="preserve">are provided in Exhibit </w:t>
      </w:r>
      <w:r w:rsidR="00F36965">
        <w:t>3</w:t>
      </w:r>
      <w:r w:rsidR="00C53ADC">
        <w:t xml:space="preserve"> below.</w:t>
      </w:r>
      <w:r w:rsidRPr="00F1465D">
        <w:t xml:space="preserve"> </w:t>
      </w:r>
    </w:p>
    <w:p w:rsidR="00882136" w:rsidP="000F5A36" w14:paraId="0B738D63" w14:textId="77777777">
      <w:pPr>
        <w:pStyle w:val="SuicideBodyText"/>
        <w:spacing w:after="200"/>
      </w:pPr>
    </w:p>
    <w:p w:rsidR="00882136" w:rsidP="000F5A36" w14:paraId="09F6BE59" w14:textId="77777777">
      <w:pPr>
        <w:pStyle w:val="SuicideBodyText"/>
        <w:spacing w:after="200"/>
      </w:pPr>
    </w:p>
    <w:p w:rsidR="00D45265" w:rsidRPr="00D45265" w:rsidP="00D45265" w14:paraId="711F2F00" w14:textId="1678FB3C">
      <w:pPr>
        <w:pStyle w:val="SuicideBodyText"/>
        <w:spacing w:after="120"/>
        <w:jc w:val="center"/>
        <w:rPr>
          <w:rFonts w:ascii="Tw Cen MT" w:hAnsi="Tw Cen MT"/>
          <w:b/>
        </w:rPr>
      </w:pPr>
      <w:r w:rsidRPr="00D45265">
        <w:rPr>
          <w:rFonts w:ascii="Tw Cen MT" w:hAnsi="Tw Cen MT"/>
          <w:b/>
        </w:rPr>
        <w:t xml:space="preserve">Exhibit </w:t>
      </w:r>
      <w:r w:rsidR="00F36965">
        <w:rPr>
          <w:rFonts w:ascii="Tw Cen MT" w:hAnsi="Tw Cen MT"/>
          <w:b/>
        </w:rPr>
        <w:t>3</w:t>
      </w:r>
      <w:r w:rsidRPr="00D45265">
        <w:rPr>
          <w:rFonts w:ascii="Tw Cen MT" w:hAnsi="Tw Cen MT"/>
          <w:b/>
        </w:rPr>
        <w:t>. Methods to Maximize Response Rates</w:t>
      </w:r>
    </w:p>
    <w:tbl>
      <w:tblPr>
        <w:tblStyle w:val="TableGrid"/>
        <w:tblW w:w="0" w:type="auto"/>
        <w:tblLook w:val="04A0"/>
      </w:tblPr>
      <w:tblGrid>
        <w:gridCol w:w="1345"/>
        <w:gridCol w:w="8005"/>
      </w:tblGrid>
      <w:tr w14:paraId="3A2EB917" w14:textId="77777777" w:rsidTr="00371ED7">
        <w:tblPrEx>
          <w:tblW w:w="0" w:type="auto"/>
          <w:tblLook w:val="04A0"/>
        </w:tblPrEx>
        <w:trPr>
          <w:tblHeader/>
        </w:trPr>
        <w:tc>
          <w:tcPr>
            <w:tcW w:w="1345" w:type="dxa"/>
            <w:shd w:val="clear" w:color="auto" w:fill="404040"/>
            <w:tcMar>
              <w:top w:w="14" w:type="dxa"/>
              <w:left w:w="58" w:type="dxa"/>
              <w:bottom w:w="14" w:type="dxa"/>
              <w:right w:w="58" w:type="dxa"/>
            </w:tcMar>
          </w:tcPr>
          <w:p w:rsidR="00D45265" w:rsidRPr="00371ED7" w:rsidP="005F2590" w14:paraId="545B0C15"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Instrument</w:t>
            </w:r>
          </w:p>
        </w:tc>
        <w:tc>
          <w:tcPr>
            <w:tcW w:w="8005" w:type="dxa"/>
            <w:shd w:val="clear" w:color="auto" w:fill="404040"/>
            <w:tcMar>
              <w:top w:w="14" w:type="dxa"/>
              <w:left w:w="58" w:type="dxa"/>
              <w:bottom w:w="14" w:type="dxa"/>
              <w:right w:w="58" w:type="dxa"/>
            </w:tcMar>
          </w:tcPr>
          <w:p w:rsidR="00D45265" w:rsidRPr="00371ED7" w:rsidP="005F2590" w14:paraId="43EB6FD9"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Methods to Maximize Response Rates</w:t>
            </w:r>
          </w:p>
        </w:tc>
      </w:tr>
      <w:tr w14:paraId="3B2C1809" w14:textId="77777777" w:rsidTr="005F2590">
        <w:tblPrEx>
          <w:tblW w:w="0" w:type="auto"/>
          <w:tblLook w:val="04A0"/>
        </w:tblPrEx>
        <w:tc>
          <w:tcPr>
            <w:tcW w:w="1345" w:type="dxa"/>
            <w:tcMar>
              <w:top w:w="14" w:type="dxa"/>
              <w:left w:w="58" w:type="dxa"/>
              <w:bottom w:w="14" w:type="dxa"/>
              <w:right w:w="58" w:type="dxa"/>
            </w:tcMar>
          </w:tcPr>
          <w:p w:rsidR="00D45265" w:rsidRPr="001B05D0" w:rsidP="005F2590" w14:paraId="2D7F785B" w14:textId="00DCBB96">
            <w:pPr>
              <w:pStyle w:val="BodyText"/>
              <w:tabs>
                <w:tab w:val="left" w:pos="1563"/>
              </w:tabs>
              <w:jc w:val="left"/>
              <w:rPr>
                <w:rFonts w:cs="Arial"/>
                <w:color w:val="181818"/>
                <w:sz w:val="20"/>
                <w:szCs w:val="20"/>
              </w:rPr>
            </w:pPr>
            <w:r>
              <w:rPr>
                <w:rFonts w:cs="Arial"/>
                <w:color w:val="181818"/>
                <w:sz w:val="20"/>
                <w:szCs w:val="20"/>
              </w:rPr>
              <w:t>TSA-F and TSA-PS</w:t>
            </w:r>
          </w:p>
        </w:tc>
        <w:tc>
          <w:tcPr>
            <w:tcW w:w="8005" w:type="dxa"/>
            <w:tcMar>
              <w:top w:w="14" w:type="dxa"/>
              <w:left w:w="58" w:type="dxa"/>
              <w:bottom w:w="14" w:type="dxa"/>
              <w:right w:w="58" w:type="dxa"/>
            </w:tcMar>
          </w:tcPr>
          <w:p w:rsidR="00B24101" w:rsidRPr="00B24101" w:rsidP="00B24101" w14:paraId="0840CED0" w14:textId="2EA09896">
            <w:pPr>
              <w:pStyle w:val="ICFTextwithspace"/>
              <w:rPr>
                <w:rFonts w:ascii="Times New Roman" w:eastAsia="Times New Roman" w:hAnsi="Times New Roman" w:cs="Times New Roman"/>
                <w:sz w:val="22"/>
                <w:szCs w:val="22"/>
              </w:rPr>
            </w:pPr>
            <w:r w:rsidRPr="00814AED">
              <w:rPr>
                <w:rFonts w:ascii="Arial" w:eastAsia="Arial" w:hAnsi="Arial" w:cs="Arial"/>
              </w:rPr>
              <w:t>The TSA-P link will be generated within the SPDC or emailed to an alternative contact</w:t>
            </w:r>
            <w:r>
              <w:rPr>
                <w:rFonts w:ascii="Arial" w:eastAsia="Arial" w:hAnsi="Arial" w:cs="Arial"/>
                <w:vertAlign w:val="superscript"/>
              </w:rPr>
              <w:footnoteReference w:id="5"/>
            </w:r>
            <w:r w:rsidRPr="00814AED">
              <w:rPr>
                <w:rFonts w:ascii="Arial" w:eastAsia="Arial" w:hAnsi="Arial" w:cs="Arial"/>
              </w:rPr>
              <w:t>. Following the training, the trainer will distribute this link to all participants who completed the entire training. This link may be shared via email, a QR code, or text message. Participants will be encouraged to complete the survey at the time of the training. If a participant starts the survey but does not complete it, they will receive up to 2 reminders via email or text message to encourage participation.</w:t>
            </w:r>
          </w:p>
          <w:p w:rsidR="00D45265" w:rsidRPr="00D45265" w:rsidP="005F2590" w14:paraId="0E38FC1A" w14:textId="61323C70">
            <w:pPr>
              <w:pStyle w:val="BodyText"/>
              <w:tabs>
                <w:tab w:val="left" w:pos="1563"/>
              </w:tabs>
              <w:jc w:val="left"/>
              <w:rPr>
                <w:rFonts w:cs="Arial"/>
                <w:sz w:val="20"/>
                <w:szCs w:val="20"/>
              </w:rPr>
            </w:pPr>
            <w:r>
              <w:rPr>
                <w:rFonts w:cs="Arial"/>
                <w:sz w:val="20"/>
                <w:szCs w:val="20"/>
              </w:rPr>
              <w:t xml:space="preserve">A </w:t>
            </w:r>
            <w:r w:rsidRPr="005B24EE">
              <w:rPr>
                <w:rFonts w:cs="Arial"/>
                <w:sz w:val="20"/>
                <w:szCs w:val="20"/>
              </w:rPr>
              <w:t>$20</w:t>
            </w:r>
            <w:r>
              <w:rPr>
                <w:rFonts w:cs="Arial"/>
                <w:sz w:val="20"/>
                <w:szCs w:val="20"/>
              </w:rPr>
              <w:t xml:space="preserve"> gift card is provided to all respondents who complete the </w:t>
            </w:r>
            <w:r w:rsidR="00392E4D">
              <w:rPr>
                <w:rFonts w:cs="Arial"/>
                <w:sz w:val="20"/>
                <w:szCs w:val="20"/>
              </w:rPr>
              <w:t>follow-up survey</w:t>
            </w:r>
            <w:r w:rsidR="00120B16">
              <w:rPr>
                <w:rFonts w:cs="Arial"/>
                <w:sz w:val="20"/>
                <w:szCs w:val="20"/>
              </w:rPr>
              <w:t xml:space="preserve"> (for a total of $40)</w:t>
            </w:r>
            <w:r w:rsidR="00392E4D">
              <w:rPr>
                <w:rFonts w:cs="Arial"/>
                <w:sz w:val="20"/>
                <w:szCs w:val="20"/>
              </w:rPr>
              <w:t xml:space="preserve"> and a $</w:t>
            </w:r>
            <w:r w:rsidR="00120B16">
              <w:rPr>
                <w:rFonts w:cs="Arial"/>
                <w:sz w:val="20"/>
                <w:szCs w:val="20"/>
              </w:rPr>
              <w:t>50</w:t>
            </w:r>
            <w:r w:rsidR="00392E4D">
              <w:rPr>
                <w:rFonts w:cs="Arial"/>
                <w:sz w:val="20"/>
                <w:szCs w:val="20"/>
              </w:rPr>
              <w:t xml:space="preserve"> gif</w:t>
            </w:r>
            <w:r w:rsidR="00120B16">
              <w:rPr>
                <w:rFonts w:cs="Arial"/>
                <w:sz w:val="20"/>
                <w:szCs w:val="20"/>
              </w:rPr>
              <w:t>t</w:t>
            </w:r>
            <w:r w:rsidR="00B24101">
              <w:rPr>
                <w:rFonts w:cs="Arial"/>
                <w:sz w:val="20"/>
                <w:szCs w:val="20"/>
              </w:rPr>
              <w:t xml:space="preserve"> </w:t>
            </w:r>
            <w:r w:rsidR="00392E4D">
              <w:rPr>
                <w:rFonts w:cs="Arial"/>
                <w:sz w:val="20"/>
                <w:szCs w:val="20"/>
              </w:rPr>
              <w:t xml:space="preserve">card is provided to all respondents who complete the phone simulation. </w:t>
            </w:r>
          </w:p>
        </w:tc>
      </w:tr>
      <w:tr w14:paraId="2FCC5715" w14:textId="77777777" w:rsidTr="005F2590">
        <w:tblPrEx>
          <w:tblW w:w="0" w:type="auto"/>
          <w:tblLook w:val="04A0"/>
        </w:tblPrEx>
        <w:tc>
          <w:tcPr>
            <w:tcW w:w="1345" w:type="dxa"/>
            <w:tcMar>
              <w:top w:w="14" w:type="dxa"/>
              <w:left w:w="58" w:type="dxa"/>
              <w:bottom w:w="14" w:type="dxa"/>
              <w:right w:w="58" w:type="dxa"/>
            </w:tcMar>
          </w:tcPr>
          <w:p w:rsidR="00606D65" w:rsidP="005F2590" w14:paraId="663F565F" w14:textId="05779C86">
            <w:pPr>
              <w:pStyle w:val="BodyText"/>
              <w:tabs>
                <w:tab w:val="left" w:pos="1563"/>
              </w:tabs>
              <w:rPr>
                <w:rFonts w:cs="Arial"/>
                <w:color w:val="181818"/>
                <w:sz w:val="20"/>
                <w:szCs w:val="20"/>
              </w:rPr>
            </w:pPr>
            <w:r>
              <w:rPr>
                <w:rFonts w:cs="Arial"/>
                <w:color w:val="181818"/>
                <w:sz w:val="20"/>
                <w:szCs w:val="20"/>
              </w:rPr>
              <w:t>YORS</w:t>
            </w:r>
          </w:p>
        </w:tc>
        <w:tc>
          <w:tcPr>
            <w:tcW w:w="8005" w:type="dxa"/>
            <w:tcMar>
              <w:top w:w="14" w:type="dxa"/>
              <w:left w:w="58" w:type="dxa"/>
              <w:bottom w:w="14" w:type="dxa"/>
              <w:right w:w="58" w:type="dxa"/>
            </w:tcMar>
          </w:tcPr>
          <w:p w:rsidR="00606D65" w:rsidRPr="004F59EC" w:rsidP="004F59EC" w14:paraId="26E1642A" w14:textId="49646EEC">
            <w:pPr>
              <w:pStyle w:val="ICFTextwithspace"/>
              <w:rPr>
                <w:rFonts w:ascii="Arial" w:eastAsia="Arial" w:hAnsi="Arial" w:cs="Arial"/>
              </w:rPr>
            </w:pPr>
            <w:r w:rsidRPr="004F59EC">
              <w:rPr>
                <w:rFonts w:ascii="Arial" w:eastAsia="Arial" w:hAnsi="Arial" w:cs="Arial"/>
              </w:rPr>
              <w:t xml:space="preserve">For youths enrolled in the YORS, we will employ a graduated incentive scheme to encourage participation and ensure retention. Youths will receive $20 for data collection timepoint 1, $25 for timepoint 2, $25 for timepoint 3, and $30 for timepoint 4, for a total of $100 for study participation for 12 months. </w:t>
            </w:r>
          </w:p>
        </w:tc>
      </w:tr>
      <w:tr w14:paraId="24FAC929" w14:textId="77777777" w:rsidTr="005F2590">
        <w:tblPrEx>
          <w:tblW w:w="0" w:type="auto"/>
          <w:tblLook w:val="04A0"/>
        </w:tblPrEx>
        <w:tc>
          <w:tcPr>
            <w:tcW w:w="1345" w:type="dxa"/>
            <w:tcMar>
              <w:top w:w="14" w:type="dxa"/>
              <w:left w:w="58" w:type="dxa"/>
              <w:bottom w:w="14" w:type="dxa"/>
              <w:right w:w="58" w:type="dxa"/>
            </w:tcMar>
          </w:tcPr>
          <w:p w:rsidR="007C73AE" w:rsidP="005F2590" w14:paraId="3D8FECB8" w14:textId="015B77BB">
            <w:pPr>
              <w:pStyle w:val="BodyText"/>
              <w:tabs>
                <w:tab w:val="left" w:pos="1563"/>
              </w:tabs>
              <w:rPr>
                <w:rFonts w:cs="Arial"/>
                <w:color w:val="181818"/>
                <w:sz w:val="20"/>
                <w:szCs w:val="20"/>
              </w:rPr>
            </w:pPr>
            <w:r>
              <w:rPr>
                <w:rFonts w:cs="Arial"/>
                <w:color w:val="181818"/>
                <w:sz w:val="20"/>
                <w:szCs w:val="20"/>
              </w:rPr>
              <w:t>YER Journal</w:t>
            </w:r>
          </w:p>
        </w:tc>
        <w:tc>
          <w:tcPr>
            <w:tcW w:w="8005" w:type="dxa"/>
            <w:tcMar>
              <w:top w:w="14" w:type="dxa"/>
              <w:left w:w="58" w:type="dxa"/>
              <w:bottom w:w="14" w:type="dxa"/>
              <w:right w:w="58" w:type="dxa"/>
            </w:tcMar>
          </w:tcPr>
          <w:p w:rsidR="007C73AE" w:rsidRPr="004F59EC" w:rsidP="00F66B1A" w14:paraId="55792E87" w14:textId="4C112926">
            <w:pPr>
              <w:pStyle w:val="ICFTextwithspace"/>
              <w:rPr>
                <w:rFonts w:ascii="Arial" w:eastAsia="Arial" w:hAnsi="Arial" w:cs="Arial"/>
              </w:rPr>
            </w:pPr>
            <w:r w:rsidRPr="00907A98">
              <w:rPr>
                <w:rFonts w:ascii="Arial" w:eastAsia="Arial" w:hAnsi="Arial" w:cs="Arial"/>
              </w:rPr>
              <w:t>Our team will leverage innovative data collection technology to engage youth. Weekly prompts will be sent to youths for 6 weeks post enrollment to discover, for example, which components of what youths are receiving are meaningful and helpful, and how youths may be utilizing skills or services following the initial screening, both in the short and long terms.</w:t>
            </w:r>
            <w:r w:rsidR="00BF2F16">
              <w:t xml:space="preserve"> </w:t>
            </w:r>
            <w:r w:rsidRPr="00BF2F16" w:rsidR="00BF2F16">
              <w:rPr>
                <w:rFonts w:ascii="Arial" w:eastAsia="Arial" w:hAnsi="Arial" w:cs="Arial"/>
              </w:rPr>
              <w:t>For the YER Journal, youth will receive $20 for participation.</w:t>
            </w:r>
          </w:p>
        </w:tc>
      </w:tr>
    </w:tbl>
    <w:p w:rsidR="009F594D" w:rsidP="000F5A36" w14:paraId="4117D713" w14:textId="5114876E">
      <w:pPr>
        <w:pStyle w:val="SuicideBodyText"/>
        <w:spacing w:after="200"/>
      </w:pPr>
    </w:p>
    <w:p w:rsidR="00153ECC" w:rsidP="002735B2" w14:paraId="26899D42" w14:textId="06D9DC40">
      <w:pPr>
        <w:pStyle w:val="SuicideBodyText"/>
        <w:numPr>
          <w:ilvl w:val="0"/>
          <w:numId w:val="1"/>
        </w:numPr>
        <w:spacing w:before="200" w:after="120"/>
        <w:rPr>
          <w:rFonts w:ascii="Tw Cen MT" w:hAnsi="Tw Cen MT"/>
          <w:b/>
          <w:sz w:val="28"/>
          <w:szCs w:val="28"/>
        </w:rPr>
      </w:pPr>
      <w:r w:rsidRPr="00153ECC">
        <w:rPr>
          <w:rFonts w:ascii="Tw Cen MT" w:hAnsi="Tw Cen MT"/>
          <w:b/>
          <w:sz w:val="28"/>
          <w:szCs w:val="28"/>
        </w:rPr>
        <w:t>Tests of Procedures</w:t>
      </w:r>
    </w:p>
    <w:p w:rsidR="00153ECC" w:rsidP="000F5A36" w14:paraId="09C830A5" w14:textId="7FB9C691">
      <w:pPr>
        <w:pStyle w:val="SuicideBodyText"/>
        <w:spacing w:after="200"/>
        <w:rPr>
          <w:rFonts w:cs="Arial"/>
        </w:rPr>
      </w:pPr>
      <w:r>
        <w:t>Drawing on a</w:t>
      </w:r>
      <w:r w:rsidRPr="00F1465D">
        <w:t xml:space="preserve"> </w:t>
      </w:r>
      <w:r w:rsidR="003713E6">
        <w:t>14</w:t>
      </w:r>
      <w:r>
        <w:t xml:space="preserve">-year </w:t>
      </w:r>
      <w:r w:rsidRPr="00F1465D">
        <w:t xml:space="preserve">experience </w:t>
      </w:r>
      <w:r>
        <w:t>collecting data through the evaluation of the GLS program</w:t>
      </w:r>
      <w:r w:rsidR="002611F7">
        <w:t>, as well as the</w:t>
      </w:r>
      <w:r>
        <w:t xml:space="preserve"> findings from the evaluation, </w:t>
      </w:r>
      <w:r w:rsidRPr="00F1465D">
        <w:t xml:space="preserve">improvements have been made to the administration protocols and content of data collection instruments. </w:t>
      </w:r>
      <w:r w:rsidRPr="00F1465D">
        <w:rPr>
          <w:lang w:val="en-CA"/>
        </w:rPr>
        <w:t xml:space="preserve">As new measures were developed, standard instrument development procedures, including review of the literature, item development, and content review by experts in the field were used. </w:t>
      </w:r>
      <w:r w:rsidRPr="009B2797" w:rsidR="009B2797">
        <w:t>All instruments underwent</w:t>
      </w:r>
      <w:r w:rsidRPr="00F1465D">
        <w:t xml:space="preserve"> procedures to enhance question accuracy and determine administration times. </w:t>
      </w:r>
      <w:r>
        <w:t xml:space="preserve">In addition, </w:t>
      </w:r>
      <w:r w:rsidR="009B2797">
        <w:t>w</w:t>
      </w:r>
      <w:r w:rsidRPr="00F1465D">
        <w:t xml:space="preserve">eb-enabled instruments will undergo usability testing prior to fielding. </w:t>
      </w:r>
      <w:r w:rsidRPr="00F1465D">
        <w:rPr>
          <w:rFonts w:cs="Arial"/>
        </w:rPr>
        <w:t>Usability testing refers to pilot testing of the interface for administering questionnaires to determine the most efficient and understandable presentation. Typically, this is completed with a prototype and modifications are made before final fielding</w:t>
      </w:r>
      <w:r>
        <w:rPr>
          <w:rFonts w:cs="Arial"/>
        </w:rPr>
        <w:t>.</w:t>
      </w:r>
    </w:p>
    <w:p w:rsidR="00153ECC" w:rsidP="000F5A36" w14:paraId="501AA099" w14:textId="42809F64">
      <w:pPr>
        <w:pStyle w:val="SuicideBodyText"/>
        <w:spacing w:after="200"/>
      </w:pPr>
      <w:r>
        <w:t>D</w:t>
      </w:r>
      <w:r w:rsidRPr="00F1465D">
        <w:t xml:space="preserve">rafts of the instruments were developed and reviewed by </w:t>
      </w:r>
      <w:r w:rsidR="000F7113">
        <w:t>evaluation</w:t>
      </w:r>
      <w:r w:rsidRPr="00F1465D">
        <w:t xml:space="preserve"> team members, survey methodologists, representatives from SAMHSA, and content experts in the field of suicide prevention</w:t>
      </w:r>
      <w:r w:rsidR="00A234F8">
        <w:t xml:space="preserve"> and </w:t>
      </w:r>
      <w:r w:rsidRPr="00DE634D" w:rsidR="00DE634D">
        <w:t xml:space="preserve">two </w:t>
      </w:r>
      <w:r w:rsidRPr="00DE634D" w:rsidR="00A234F8">
        <w:t xml:space="preserve">youth </w:t>
      </w:r>
      <w:r w:rsidRPr="00DE634D" w:rsidR="00DE634D">
        <w:t>with lived experience</w:t>
      </w:r>
      <w:r w:rsidRPr="00DE634D">
        <w:t xml:space="preserve">. </w:t>
      </w:r>
      <w:r w:rsidRPr="00DE634D" w:rsidR="00351DD9">
        <w:t>Item</w:t>
      </w:r>
      <w:r w:rsidRPr="00DE634D">
        <w:t xml:space="preserve"> analyses</w:t>
      </w:r>
      <w:r w:rsidRPr="00F1465D">
        <w:t xml:space="preserve"> were conducted across instruments to be sure that key critical items were assessed similarly across all questionnaires. </w:t>
      </w:r>
      <w:r w:rsidR="00351DD9">
        <w:t>To</w:t>
      </w:r>
      <w:r w:rsidRPr="00F1465D">
        <w:t xml:space="preserve"> enhance question accuracy and determine administration time, instruments underwent cognitive </w:t>
      </w:r>
      <w:r w:rsidR="00351DD9">
        <w:t>and/or pilot testing or expert review.</w:t>
      </w:r>
      <w:r w:rsidRPr="00F1465D">
        <w:t xml:space="preserve"> </w:t>
      </w:r>
      <w:r w:rsidR="00351DD9">
        <w:t xml:space="preserve"> </w:t>
      </w:r>
      <w:r>
        <w:t xml:space="preserve"> </w:t>
      </w:r>
    </w:p>
    <w:p w:rsidR="00153ECC" w:rsidP="000F5A36" w14:paraId="2D277585" w14:textId="48DAD805">
      <w:pPr>
        <w:pStyle w:val="SuicideBodyText"/>
        <w:spacing w:after="200"/>
        <w:rPr>
          <w:rFonts w:cs="Arial"/>
        </w:rPr>
      </w:pPr>
      <w:r>
        <w:t xml:space="preserve">Exhibit </w:t>
      </w:r>
      <w:r w:rsidR="000D18DB">
        <w:t>4</w:t>
      </w:r>
      <w:r>
        <w:t xml:space="preserve"> below outlines the response rates and psychometric analyses associated with </w:t>
      </w:r>
      <w:r w:rsidR="00266171">
        <w:t xml:space="preserve">GLS </w:t>
      </w:r>
      <w:r w:rsidR="00463342">
        <w:t>S</w:t>
      </w:r>
      <w:r w:rsidR="00CE23D4">
        <w:t>tate</w:t>
      </w:r>
      <w:r w:rsidR="00463342">
        <w:t>/T</w:t>
      </w:r>
      <w:r w:rsidR="00CE23D4">
        <w:t>ribal</w:t>
      </w:r>
      <w:r w:rsidR="00463342">
        <w:t xml:space="preserve"> </w:t>
      </w:r>
      <w:r w:rsidR="00266171">
        <w:t>Evaluation</w:t>
      </w:r>
      <w:r>
        <w:t xml:space="preserve"> data collection activities, as well as revisions to </w:t>
      </w:r>
      <w:r w:rsidR="00E45173">
        <w:t xml:space="preserve">existing </w:t>
      </w:r>
      <w:r>
        <w:t>protocols to maximize response rates.</w:t>
      </w:r>
    </w:p>
    <w:p w:rsidR="009E755F" w:rsidRPr="00B7195F" w:rsidP="00153ECC" w14:paraId="5B732342" w14:textId="233D428E">
      <w:pPr>
        <w:keepNext/>
        <w:spacing w:after="120"/>
        <w:ind w:firstLine="86"/>
        <w:jc w:val="left"/>
        <w:rPr>
          <w:rFonts w:ascii="Tw Cen MT" w:hAnsi="Tw Cen MT" w:cs="Arial"/>
          <w:b/>
        </w:rPr>
      </w:pPr>
      <w:r>
        <w:rPr>
          <w:rFonts w:ascii="Tw Cen MT" w:hAnsi="Tw Cen MT" w:cs="Arial"/>
          <w:b/>
        </w:rPr>
        <w:t xml:space="preserve">Exhibit </w:t>
      </w:r>
      <w:r w:rsidR="000D18DB">
        <w:rPr>
          <w:rFonts w:ascii="Tw Cen MT" w:hAnsi="Tw Cen MT" w:cs="Arial"/>
          <w:b/>
        </w:rPr>
        <w:t>4</w:t>
      </w:r>
      <w:r w:rsidRPr="00B7195F">
        <w:rPr>
          <w:rFonts w:ascii="Tw Cen MT" w:hAnsi="Tw Cen MT" w:cs="Arial"/>
          <w:b/>
        </w:rPr>
        <w:t xml:space="preserve">. </w:t>
      </w:r>
      <w:r w:rsidR="003426E3">
        <w:rPr>
          <w:rFonts w:ascii="Tw Cen MT" w:hAnsi="Tw Cen MT" w:cs="Arial"/>
          <w:b/>
        </w:rPr>
        <w:t xml:space="preserve">Data Collection Activity Revisions and Response Rates </w:t>
      </w:r>
    </w:p>
    <w:tbl>
      <w:tblPr>
        <w:tblStyle w:val="TableGrid"/>
        <w:tblW w:w="9365" w:type="dxa"/>
        <w:jc w:val="center"/>
        <w:tblLayout w:type="fixed"/>
        <w:tblCellMar>
          <w:top w:w="43" w:type="dxa"/>
          <w:left w:w="86" w:type="dxa"/>
          <w:bottom w:w="14" w:type="dxa"/>
          <w:right w:w="86" w:type="dxa"/>
        </w:tblCellMar>
        <w:tblLook w:val="04A0"/>
      </w:tblPr>
      <w:tblGrid>
        <w:gridCol w:w="1075"/>
        <w:gridCol w:w="5040"/>
        <w:gridCol w:w="3250"/>
      </w:tblGrid>
      <w:tr w14:paraId="53EB6711" w14:textId="77777777" w:rsidTr="00357294">
        <w:tblPrEx>
          <w:tblW w:w="9365" w:type="dxa"/>
          <w:jc w:val="center"/>
          <w:tblLayout w:type="fixed"/>
          <w:tblCellMar>
            <w:top w:w="43" w:type="dxa"/>
            <w:left w:w="86" w:type="dxa"/>
            <w:bottom w:w="14" w:type="dxa"/>
            <w:right w:w="86" w:type="dxa"/>
          </w:tblCellMar>
          <w:tblLook w:val="04A0"/>
        </w:tblPrEx>
        <w:trPr>
          <w:trHeight w:val="426"/>
          <w:tblHeader/>
          <w:jc w:val="center"/>
        </w:trPr>
        <w:tc>
          <w:tcPr>
            <w:tcW w:w="1075" w:type="dxa"/>
            <w:shd w:val="clear" w:color="auto" w:fill="404040" w:themeFill="text1" w:themeFillTint="BF"/>
            <w:tcMar>
              <w:top w:w="14" w:type="dxa"/>
              <w:left w:w="86" w:type="dxa"/>
              <w:bottom w:w="43" w:type="dxa"/>
              <w:right w:w="86" w:type="dxa"/>
            </w:tcMar>
            <w:vAlign w:val="center"/>
          </w:tcPr>
          <w:p w:rsidR="005C0EB8" w:rsidRPr="00277E3F" w:rsidP="00357294" w14:paraId="368E13DD" w14:textId="77777777">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Instrument</w:t>
            </w:r>
          </w:p>
        </w:tc>
        <w:tc>
          <w:tcPr>
            <w:tcW w:w="5040" w:type="dxa"/>
            <w:shd w:val="clear" w:color="auto" w:fill="404040" w:themeFill="text1" w:themeFillTint="BF"/>
            <w:tcMar>
              <w:top w:w="14" w:type="dxa"/>
              <w:left w:w="86" w:type="dxa"/>
              <w:bottom w:w="43" w:type="dxa"/>
              <w:right w:w="86" w:type="dxa"/>
            </w:tcMar>
            <w:vAlign w:val="center"/>
          </w:tcPr>
          <w:p w:rsidR="005C0EB8" w:rsidRPr="00277E3F" w:rsidP="00357294" w14:paraId="1D5D1345" w14:textId="390506B3">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Response Rate &amp;</w:t>
            </w:r>
            <w:r w:rsidRPr="00277E3F" w:rsidR="0DBDFEC0">
              <w:rPr>
                <w:rFonts w:ascii="Tw Cen MT" w:hAnsi="Tw Cen MT" w:cs="Arial"/>
                <w:color w:val="FFFFFF" w:themeColor="background1"/>
                <w:sz w:val="22"/>
                <w:szCs w:val="22"/>
              </w:rPr>
              <w:t xml:space="preserve"> </w:t>
            </w:r>
            <w:r w:rsidRPr="00277E3F">
              <w:rPr>
                <w:rFonts w:ascii="Tw Cen MT" w:hAnsi="Tw Cen MT" w:cs="Arial"/>
                <w:color w:val="FFFFFF" w:themeColor="background1"/>
                <w:sz w:val="22"/>
                <w:szCs w:val="22"/>
              </w:rPr>
              <w:t>Psychometric Analyses Information</w:t>
            </w:r>
            <w:r>
              <w:rPr>
                <w:rStyle w:val="FootnoteReference"/>
                <w:rFonts w:ascii="Tw Cen MT" w:hAnsi="Tw Cen MT" w:eastAsiaTheme="majorEastAsia" w:cs="Arial"/>
                <w:color w:val="FFFFFF" w:themeColor="background1"/>
                <w:sz w:val="22"/>
                <w:szCs w:val="22"/>
              </w:rPr>
              <w:footnoteReference w:id="6"/>
            </w:r>
          </w:p>
        </w:tc>
        <w:tc>
          <w:tcPr>
            <w:tcW w:w="3250" w:type="dxa"/>
            <w:shd w:val="clear" w:color="auto" w:fill="404040" w:themeFill="text1" w:themeFillTint="BF"/>
            <w:tcMar>
              <w:top w:w="14" w:type="dxa"/>
              <w:left w:w="86" w:type="dxa"/>
              <w:bottom w:w="43" w:type="dxa"/>
              <w:right w:w="86" w:type="dxa"/>
            </w:tcMar>
            <w:vAlign w:val="center"/>
          </w:tcPr>
          <w:p w:rsidR="005C0EB8" w:rsidRPr="00277E3F" w:rsidP="00357294" w14:paraId="16B90B18" w14:textId="62BFDE85">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 xml:space="preserve">Revisions to Proposed Protocol </w:t>
            </w:r>
            <w:r>
              <w:rPr>
                <w:rStyle w:val="FootnoteReference"/>
                <w:rFonts w:ascii="Tw Cen MT" w:hAnsi="Tw Cen MT" w:eastAsiaTheme="majorEastAsia" w:cs="Arial"/>
                <w:color w:val="FFFFFF" w:themeColor="background1"/>
                <w:sz w:val="22"/>
                <w:szCs w:val="22"/>
              </w:rPr>
              <w:footnoteReference w:id="7"/>
            </w:r>
          </w:p>
        </w:tc>
      </w:tr>
      <w:tr w14:paraId="0814CAF9" w14:textId="77777777" w:rsidTr="005B24EE">
        <w:tblPrEx>
          <w:tblW w:w="9365" w:type="dxa"/>
          <w:jc w:val="center"/>
          <w:tblLayout w:type="fixed"/>
          <w:tblCellMar>
            <w:top w:w="43" w:type="dxa"/>
            <w:left w:w="86" w:type="dxa"/>
            <w:bottom w:w="14" w:type="dxa"/>
            <w:right w:w="86" w:type="dxa"/>
          </w:tblCellMar>
          <w:tblLook w:val="04A0"/>
        </w:tblPrEx>
        <w:trPr>
          <w:trHeight w:val="993"/>
          <w:jc w:val="center"/>
        </w:trPr>
        <w:tc>
          <w:tcPr>
            <w:tcW w:w="1075" w:type="dxa"/>
            <w:shd w:val="clear" w:color="auto" w:fill="auto"/>
            <w:tcMar>
              <w:top w:w="14" w:type="dxa"/>
              <w:left w:w="86" w:type="dxa"/>
              <w:bottom w:w="43" w:type="dxa"/>
              <w:right w:w="86" w:type="dxa"/>
            </w:tcMar>
          </w:tcPr>
          <w:p w:rsidR="005C0EB8" w:rsidRPr="00277E3F" w:rsidP="009E755F" w14:paraId="19A09A77" w14:textId="409393D4">
            <w:pPr>
              <w:jc w:val="left"/>
              <w:rPr>
                <w:rFonts w:ascii="Tw Cen MT" w:hAnsi="Tw Cen MT" w:cs="Arial"/>
                <w:sz w:val="22"/>
                <w:szCs w:val="22"/>
              </w:rPr>
            </w:pPr>
            <w:r w:rsidRPr="00277E3F">
              <w:rPr>
                <w:rFonts w:ascii="Tw Cen MT" w:hAnsi="Tw Cen MT" w:cs="Arial"/>
                <w:sz w:val="22"/>
                <w:szCs w:val="22"/>
              </w:rPr>
              <w:t>PSI Revised</w:t>
            </w:r>
          </w:p>
          <w:p w:rsidR="005C0EB8" w:rsidRPr="00277E3F" w:rsidP="00C71070" w14:paraId="42B66075" w14:textId="77777777">
            <w:pPr>
              <w:jc w:val="left"/>
              <w:rPr>
                <w:rFonts w:ascii="Tw Cen MT" w:hAnsi="Tw Cen MT" w:cs="Arial"/>
                <w:sz w:val="22"/>
                <w:szCs w:val="22"/>
              </w:rPr>
            </w:pPr>
          </w:p>
        </w:tc>
        <w:tc>
          <w:tcPr>
            <w:tcW w:w="5040" w:type="dxa"/>
            <w:tcMar>
              <w:top w:w="14" w:type="dxa"/>
              <w:left w:w="86" w:type="dxa"/>
              <w:bottom w:w="43" w:type="dxa"/>
              <w:right w:w="86" w:type="dxa"/>
            </w:tcMar>
          </w:tcPr>
          <w:p w:rsidR="005C0EB8" w:rsidRPr="00277E3F" w:rsidP="00822546" w14:paraId="55D72BA9" w14:textId="6D2EC172">
            <w:pPr>
              <w:jc w:val="left"/>
              <w:rPr>
                <w:rFonts w:ascii="Tw Cen MT" w:hAnsi="Tw Cen MT" w:cs="Arial"/>
                <w:sz w:val="22"/>
                <w:szCs w:val="22"/>
              </w:rPr>
            </w:pPr>
            <w:r w:rsidRPr="00277E3F">
              <w:rPr>
                <w:rFonts w:ascii="Tw Cen MT" w:hAnsi="Tw Cen MT" w:cs="Arial"/>
                <w:sz w:val="22"/>
                <w:szCs w:val="22"/>
              </w:rPr>
              <w:t xml:space="preserve">Among </w:t>
            </w:r>
            <w:r w:rsidR="00802F2C">
              <w:rPr>
                <w:rFonts w:ascii="Tw Cen MT" w:hAnsi="Tw Cen MT" w:cs="Arial"/>
                <w:sz w:val="22"/>
                <w:szCs w:val="22"/>
              </w:rPr>
              <w:t>previously</w:t>
            </w:r>
            <w:r w:rsidRPr="00277E3F">
              <w:rPr>
                <w:rFonts w:ascii="Tw Cen MT" w:hAnsi="Tw Cen MT" w:cs="Arial"/>
                <w:sz w:val="22"/>
                <w:szCs w:val="22"/>
              </w:rPr>
              <w:t xml:space="preserve"> funded gr</w:t>
            </w:r>
            <w:r w:rsidR="002611F7">
              <w:rPr>
                <w:rFonts w:ascii="Tw Cen MT" w:hAnsi="Tw Cen MT" w:cs="Arial"/>
                <w:sz w:val="22"/>
                <w:szCs w:val="22"/>
              </w:rPr>
              <w:t>antees, 95.5</w:t>
            </w:r>
            <w:r w:rsidRPr="00277E3F">
              <w:rPr>
                <w:rFonts w:ascii="Tw Cen MT" w:hAnsi="Tw Cen MT" w:cs="Arial"/>
                <w:sz w:val="22"/>
                <w:szCs w:val="22"/>
              </w:rPr>
              <w:t xml:space="preserve">% of </w:t>
            </w:r>
            <w:r w:rsidR="00682A4C">
              <w:rPr>
                <w:rFonts w:ascii="Tw Cen MT" w:hAnsi="Tw Cen MT" w:cs="Arial"/>
                <w:sz w:val="22"/>
                <w:szCs w:val="22"/>
              </w:rPr>
              <w:t>s</w:t>
            </w:r>
            <w:r w:rsidRPr="00277E3F">
              <w:rPr>
                <w:rFonts w:ascii="Tw Cen MT" w:hAnsi="Tw Cen MT" w:cs="Arial"/>
                <w:sz w:val="22"/>
                <w:szCs w:val="22"/>
              </w:rPr>
              <w:t xml:space="preserve">tates and </w:t>
            </w:r>
            <w:r w:rsidR="00682A4C">
              <w:rPr>
                <w:rFonts w:ascii="Tw Cen MT" w:hAnsi="Tw Cen MT" w:cs="Arial"/>
                <w:sz w:val="22"/>
                <w:szCs w:val="22"/>
              </w:rPr>
              <w:t>t</w:t>
            </w:r>
            <w:r w:rsidRPr="00277E3F">
              <w:rPr>
                <w:rFonts w:ascii="Tw Cen MT" w:hAnsi="Tw Cen MT" w:cs="Arial"/>
                <w:sz w:val="22"/>
                <w:szCs w:val="22"/>
              </w:rPr>
              <w:t>ribes participated in the last PSI. Psychometric analyses are not appropriate</w:t>
            </w:r>
            <w:r w:rsidRPr="00277E3F" w:rsidR="00003577">
              <w:rPr>
                <w:rFonts w:ascii="Tw Cen MT" w:hAnsi="Tw Cen MT" w:cs="Arial"/>
                <w:sz w:val="22"/>
                <w:szCs w:val="22"/>
              </w:rPr>
              <w:t>.</w:t>
            </w:r>
            <w:r w:rsidRPr="00277E3F">
              <w:rPr>
                <w:rFonts w:ascii="Tw Cen MT" w:hAnsi="Tw Cen MT" w:cs="Arial"/>
                <w:sz w:val="22"/>
                <w:szCs w:val="22"/>
              </w:rPr>
              <w:t xml:space="preserve"> </w:t>
            </w:r>
          </w:p>
        </w:tc>
        <w:tc>
          <w:tcPr>
            <w:tcW w:w="3250" w:type="dxa"/>
            <w:tcMar>
              <w:top w:w="14" w:type="dxa"/>
              <w:left w:w="86" w:type="dxa"/>
              <w:bottom w:w="43" w:type="dxa"/>
              <w:right w:w="86" w:type="dxa"/>
            </w:tcMar>
          </w:tcPr>
          <w:p w:rsidR="005C0EB8" w:rsidRPr="00277E3F" w:rsidP="00C71070" w14:paraId="3027F5FD" w14:textId="30F25A7E">
            <w:pPr>
              <w:jc w:val="left"/>
              <w:rPr>
                <w:rFonts w:ascii="Tw Cen MT" w:hAnsi="Tw Cen MT" w:cs="Arial"/>
                <w:sz w:val="22"/>
                <w:szCs w:val="22"/>
              </w:rPr>
            </w:pPr>
            <w:r w:rsidRPr="00277E3F">
              <w:rPr>
                <w:rFonts w:ascii="Tw Cen MT" w:hAnsi="Tw Cen MT" w:cs="Arial"/>
                <w:sz w:val="22"/>
                <w:szCs w:val="22"/>
              </w:rPr>
              <w:t xml:space="preserve">No revisions related to response rates </w:t>
            </w:r>
            <w:r w:rsidRPr="00277E3F">
              <w:rPr>
                <w:rFonts w:ascii="Tw Cen MT" w:hAnsi="Tw Cen MT" w:cs="Arial"/>
                <w:sz w:val="22"/>
                <w:szCs w:val="22"/>
              </w:rPr>
              <w:t>proposed;</w:t>
            </w:r>
            <w:r w:rsidRPr="00277E3F">
              <w:rPr>
                <w:rFonts w:ascii="Tw Cen MT" w:hAnsi="Tw Cen MT" w:cs="Arial"/>
                <w:sz w:val="22"/>
                <w:szCs w:val="22"/>
              </w:rPr>
              <w:t xml:space="preserve"> content changes only</w:t>
            </w:r>
            <w:r w:rsidRPr="00277E3F">
              <w:rPr>
                <w:rFonts w:ascii="Tw Cen MT" w:hAnsi="Tw Cen MT" w:cs="Arial"/>
                <w:i/>
                <w:sz w:val="22"/>
                <w:szCs w:val="22"/>
              </w:rPr>
              <w:t xml:space="preserve">. </w:t>
            </w:r>
          </w:p>
        </w:tc>
      </w:tr>
      <w:tr w14:paraId="3E1F4F07" w14:textId="77777777" w:rsidTr="005B24EE">
        <w:tblPrEx>
          <w:tblW w:w="9365" w:type="dxa"/>
          <w:jc w:val="center"/>
          <w:tblLayout w:type="fixed"/>
          <w:tblCellMar>
            <w:top w:w="43" w:type="dxa"/>
            <w:left w:w="86" w:type="dxa"/>
            <w:bottom w:w="14" w:type="dxa"/>
            <w:right w:w="86" w:type="dxa"/>
          </w:tblCellMar>
          <w:tblLook w:val="04A0"/>
        </w:tblPrEx>
        <w:trPr>
          <w:trHeight w:val="1227"/>
          <w:jc w:val="center"/>
        </w:trPr>
        <w:tc>
          <w:tcPr>
            <w:tcW w:w="1075" w:type="dxa"/>
            <w:shd w:val="clear" w:color="auto" w:fill="auto"/>
            <w:tcMar>
              <w:top w:w="14" w:type="dxa"/>
              <w:left w:w="86" w:type="dxa"/>
              <w:bottom w:w="43" w:type="dxa"/>
              <w:right w:w="86" w:type="dxa"/>
            </w:tcMar>
          </w:tcPr>
          <w:p w:rsidR="00A863A1" w:rsidRPr="00277E3F" w:rsidP="009E755F" w14:paraId="4D1E0BD9" w14:textId="52278ED1">
            <w:pPr>
              <w:spacing w:after="120"/>
              <w:jc w:val="left"/>
              <w:rPr>
                <w:rFonts w:ascii="Tw Cen MT" w:hAnsi="Tw Cen MT" w:cs="Arial"/>
                <w:sz w:val="22"/>
                <w:szCs w:val="22"/>
              </w:rPr>
            </w:pPr>
            <w:r>
              <w:rPr>
                <w:rFonts w:ascii="Tw Cen MT" w:hAnsi="Tw Cen MT" w:cs="Arial"/>
                <w:sz w:val="22"/>
                <w:szCs w:val="22"/>
              </w:rPr>
              <w:t>TASP Revised</w:t>
            </w:r>
          </w:p>
        </w:tc>
        <w:tc>
          <w:tcPr>
            <w:tcW w:w="5040" w:type="dxa"/>
            <w:tcMar>
              <w:top w:w="14" w:type="dxa"/>
              <w:left w:w="86" w:type="dxa"/>
              <w:bottom w:w="43" w:type="dxa"/>
              <w:right w:w="86" w:type="dxa"/>
            </w:tcMar>
          </w:tcPr>
          <w:p w:rsidR="00A863A1" w:rsidRPr="00277E3F" w:rsidP="00822546" w14:paraId="14B974E7" w14:textId="3BB0A9FF">
            <w:pPr>
              <w:jc w:val="left"/>
              <w:rPr>
                <w:rFonts w:ascii="Tw Cen MT" w:hAnsi="Tw Cen MT" w:cs="Arial"/>
                <w:sz w:val="22"/>
                <w:szCs w:val="22"/>
              </w:rPr>
            </w:pPr>
            <w:r>
              <w:rPr>
                <w:rFonts w:ascii="Tw Cen MT" w:hAnsi="Tw Cen MT" w:cs="Arial"/>
                <w:sz w:val="22"/>
                <w:szCs w:val="22"/>
              </w:rPr>
              <w:t xml:space="preserve">TASP is not a sample survey, but a brief form that program staff </w:t>
            </w:r>
            <w:r w:rsidR="004C6C2F">
              <w:rPr>
                <w:rFonts w:ascii="Tw Cen MT" w:hAnsi="Tw Cen MT" w:cs="Arial"/>
                <w:sz w:val="22"/>
                <w:szCs w:val="22"/>
              </w:rPr>
              <w:t>are</w:t>
            </w:r>
            <w:r>
              <w:rPr>
                <w:rFonts w:ascii="Tw Cen MT" w:hAnsi="Tw Cen MT" w:cs="Arial"/>
                <w:sz w:val="22"/>
                <w:szCs w:val="22"/>
              </w:rPr>
              <w:t xml:space="preserve"> required to complete for every GLS</w:t>
            </w:r>
            <w:r w:rsidR="00B32D90">
              <w:rPr>
                <w:rFonts w:ascii="Tw Cen MT" w:hAnsi="Tw Cen MT" w:cs="Arial"/>
                <w:sz w:val="22"/>
                <w:szCs w:val="22"/>
              </w:rPr>
              <w:t>-</w:t>
            </w:r>
            <w:r>
              <w:rPr>
                <w:rFonts w:ascii="Tw Cen MT" w:hAnsi="Tw Cen MT" w:cs="Arial"/>
                <w:sz w:val="22"/>
                <w:szCs w:val="22"/>
              </w:rPr>
              <w:t xml:space="preserve"> sponsored training. Because of the simplicity and its required nature, coverage is presumed to be close to complete.</w:t>
            </w:r>
          </w:p>
        </w:tc>
        <w:tc>
          <w:tcPr>
            <w:tcW w:w="3250" w:type="dxa"/>
            <w:tcMar>
              <w:top w:w="14" w:type="dxa"/>
              <w:left w:w="86" w:type="dxa"/>
              <w:bottom w:w="43" w:type="dxa"/>
              <w:right w:w="86" w:type="dxa"/>
            </w:tcMar>
          </w:tcPr>
          <w:p w:rsidR="00A863A1" w:rsidRPr="00277E3F" w:rsidP="00003577" w14:paraId="29C67911" w14:textId="1FC8EC7C">
            <w:pPr>
              <w:rPr>
                <w:rFonts w:ascii="Tw Cen MT" w:hAnsi="Tw Cen MT" w:cs="Arial"/>
                <w:sz w:val="22"/>
                <w:szCs w:val="22"/>
              </w:rPr>
            </w:pPr>
            <w:r>
              <w:rPr>
                <w:rFonts w:ascii="Tw Cen MT" w:hAnsi="Tw Cen MT" w:cs="Arial"/>
                <w:sz w:val="22"/>
                <w:szCs w:val="22"/>
              </w:rPr>
              <w:t>None</w:t>
            </w:r>
          </w:p>
        </w:tc>
      </w:tr>
      <w:tr w14:paraId="437976AB" w14:textId="77777777" w:rsidTr="005B24EE">
        <w:tblPrEx>
          <w:tblW w:w="9365" w:type="dxa"/>
          <w:jc w:val="center"/>
          <w:tblLayout w:type="fixed"/>
          <w:tblCellMar>
            <w:top w:w="43" w:type="dxa"/>
            <w:left w:w="86" w:type="dxa"/>
            <w:bottom w:w="14" w:type="dxa"/>
            <w:right w:w="86" w:type="dxa"/>
          </w:tblCellMar>
          <w:tblLook w:val="04A0"/>
        </w:tblPrEx>
        <w:trPr>
          <w:trHeight w:val="2334"/>
          <w:jc w:val="center"/>
        </w:trPr>
        <w:tc>
          <w:tcPr>
            <w:tcW w:w="1075" w:type="dxa"/>
            <w:shd w:val="clear" w:color="auto" w:fill="auto"/>
            <w:tcMar>
              <w:top w:w="14" w:type="dxa"/>
              <w:left w:w="86" w:type="dxa"/>
              <w:bottom w:w="43" w:type="dxa"/>
              <w:right w:w="86" w:type="dxa"/>
            </w:tcMar>
          </w:tcPr>
          <w:p w:rsidR="005C0EB8" w:rsidRPr="00277E3F" w:rsidP="00DE2A85" w14:paraId="53B89B4E" w14:textId="2B3001D1">
            <w:pPr>
              <w:spacing w:after="120"/>
              <w:jc w:val="left"/>
              <w:rPr>
                <w:rFonts w:ascii="Tw Cen MT" w:hAnsi="Tw Cen MT" w:cs="Arial"/>
                <w:sz w:val="22"/>
                <w:szCs w:val="22"/>
              </w:rPr>
            </w:pPr>
            <w:r w:rsidRPr="00277E3F">
              <w:rPr>
                <w:rFonts w:ascii="Tw Cen MT" w:hAnsi="Tw Cen MT" w:cs="Arial"/>
                <w:sz w:val="22"/>
                <w:szCs w:val="22"/>
              </w:rPr>
              <w:t>EIRF</w:t>
            </w:r>
            <w:r w:rsidR="00212575">
              <w:rPr>
                <w:rFonts w:ascii="Tw Cen MT" w:hAnsi="Tw Cen MT" w:cs="Arial"/>
                <w:sz w:val="22"/>
                <w:szCs w:val="22"/>
              </w:rPr>
              <w:t>T</w:t>
            </w:r>
            <w:r w:rsidRPr="00277E3F">
              <w:rPr>
                <w:rFonts w:ascii="Tw Cen MT" w:hAnsi="Tw Cen MT" w:cs="Arial"/>
                <w:sz w:val="22"/>
                <w:szCs w:val="22"/>
              </w:rPr>
              <w:t>-I &amp; EIRF</w:t>
            </w:r>
            <w:r w:rsidR="008D5849">
              <w:rPr>
                <w:rFonts w:ascii="Tw Cen MT" w:hAnsi="Tw Cen MT" w:cs="Arial"/>
                <w:sz w:val="22"/>
                <w:szCs w:val="22"/>
              </w:rPr>
              <w:t>T</w:t>
            </w:r>
            <w:r w:rsidRPr="00277E3F">
              <w:rPr>
                <w:rFonts w:ascii="Tw Cen MT" w:hAnsi="Tw Cen MT" w:cs="Arial"/>
                <w:sz w:val="22"/>
                <w:szCs w:val="22"/>
              </w:rPr>
              <w:t>-S Revised</w:t>
            </w:r>
          </w:p>
        </w:tc>
        <w:tc>
          <w:tcPr>
            <w:tcW w:w="5040" w:type="dxa"/>
            <w:tcMar>
              <w:top w:w="14" w:type="dxa"/>
              <w:left w:w="86" w:type="dxa"/>
              <w:bottom w:w="43" w:type="dxa"/>
              <w:right w:w="86" w:type="dxa"/>
            </w:tcMar>
          </w:tcPr>
          <w:p w:rsidR="005C0EB8" w:rsidRPr="00277E3F" w:rsidP="00822546" w14:paraId="5C47EC44" w14:textId="0F0AD9D4">
            <w:pPr>
              <w:jc w:val="left"/>
              <w:rPr>
                <w:rFonts w:ascii="Tw Cen MT" w:hAnsi="Tw Cen MT" w:cs="Arial"/>
                <w:sz w:val="22"/>
                <w:szCs w:val="22"/>
              </w:rPr>
            </w:pPr>
            <w:r w:rsidRPr="00277E3F">
              <w:rPr>
                <w:rFonts w:ascii="Tw Cen MT" w:hAnsi="Tw Cen MT" w:cs="Arial"/>
                <w:sz w:val="22"/>
                <w:szCs w:val="22"/>
              </w:rPr>
              <w:t>The EIRF</w:t>
            </w:r>
            <w:r w:rsidR="00212575">
              <w:rPr>
                <w:rFonts w:ascii="Tw Cen MT" w:hAnsi="Tw Cen MT" w:cs="Arial"/>
                <w:sz w:val="22"/>
                <w:szCs w:val="22"/>
              </w:rPr>
              <w:t>T</w:t>
            </w:r>
            <w:r w:rsidRPr="00277E3F">
              <w:rPr>
                <w:rFonts w:ascii="Tw Cen MT" w:hAnsi="Tw Cen MT" w:cs="Arial"/>
                <w:sz w:val="22"/>
                <w:szCs w:val="22"/>
              </w:rPr>
              <w:t>-I and EIRF</w:t>
            </w:r>
            <w:r w:rsidR="00212575">
              <w:rPr>
                <w:rFonts w:ascii="Tw Cen MT" w:hAnsi="Tw Cen MT" w:cs="Arial"/>
                <w:sz w:val="22"/>
                <w:szCs w:val="22"/>
              </w:rPr>
              <w:t>T</w:t>
            </w:r>
            <w:r w:rsidRPr="00277E3F">
              <w:rPr>
                <w:rFonts w:ascii="Tw Cen MT" w:hAnsi="Tw Cen MT" w:cs="Arial"/>
                <w:sz w:val="22"/>
                <w:szCs w:val="22"/>
              </w:rPr>
              <w:t>-S do not have identified samples and therefore response rate information is not applicable</w:t>
            </w:r>
            <w:r w:rsidR="00D46403">
              <w:rPr>
                <w:rFonts w:ascii="Tw Cen MT" w:hAnsi="Tw Cen MT" w:cs="Arial"/>
                <w:sz w:val="22"/>
                <w:szCs w:val="22"/>
              </w:rPr>
              <w:t>.</w:t>
            </w:r>
            <w:r w:rsidRPr="00277E3F">
              <w:rPr>
                <w:rFonts w:ascii="Tw Cen MT" w:hAnsi="Tw Cen MT" w:cs="Arial"/>
                <w:sz w:val="22"/>
                <w:szCs w:val="22"/>
              </w:rPr>
              <w:t xml:space="preserve"> </w:t>
            </w:r>
            <w:r w:rsidR="00D46403">
              <w:rPr>
                <w:rFonts w:ascii="Tw Cen MT" w:hAnsi="Tw Cen MT" w:cs="Arial"/>
                <w:sz w:val="22"/>
                <w:szCs w:val="22"/>
              </w:rPr>
              <w:t>H</w:t>
            </w:r>
            <w:r w:rsidRPr="00277E3F">
              <w:rPr>
                <w:rFonts w:ascii="Tw Cen MT" w:hAnsi="Tw Cen MT" w:cs="Arial"/>
                <w:sz w:val="22"/>
                <w:szCs w:val="22"/>
              </w:rPr>
              <w:t xml:space="preserve">owever, we monitor the participation of grantees in each activity. </w:t>
            </w:r>
            <w:r w:rsidR="00533EE6">
              <w:rPr>
                <w:rFonts w:ascii="Tw Cen MT" w:hAnsi="Tw Cen MT" w:cs="Arial"/>
                <w:sz w:val="22"/>
                <w:szCs w:val="22"/>
              </w:rPr>
              <w:t xml:space="preserve">Based on analysis of the previous </w:t>
            </w:r>
            <w:r w:rsidR="00F44943">
              <w:rPr>
                <w:rFonts w:ascii="Tw Cen MT" w:hAnsi="Tw Cen MT" w:cs="Arial"/>
                <w:sz w:val="22"/>
                <w:szCs w:val="22"/>
              </w:rPr>
              <w:t>GLS evaluation</w:t>
            </w:r>
            <w:r w:rsidR="00533EE6">
              <w:rPr>
                <w:rFonts w:ascii="Tw Cen MT" w:hAnsi="Tw Cen MT" w:cs="Arial"/>
                <w:sz w:val="22"/>
                <w:szCs w:val="22"/>
              </w:rPr>
              <w:t xml:space="preserve"> data, o</w:t>
            </w:r>
            <w:r w:rsidRPr="00277E3F">
              <w:rPr>
                <w:rFonts w:ascii="Tw Cen MT" w:hAnsi="Tw Cen MT" w:cs="Arial"/>
                <w:sz w:val="22"/>
                <w:szCs w:val="22"/>
              </w:rPr>
              <w:t>verall</w:t>
            </w:r>
            <w:r w:rsidRPr="71DF05F5" w:rsidR="4374469D">
              <w:rPr>
                <w:rFonts w:ascii="Tw Cen MT" w:hAnsi="Tw Cen MT" w:cs="Arial"/>
                <w:sz w:val="22"/>
                <w:szCs w:val="22"/>
              </w:rPr>
              <w:t>,</w:t>
            </w:r>
            <w:r w:rsidRPr="00277E3F">
              <w:rPr>
                <w:rFonts w:ascii="Tw Cen MT" w:hAnsi="Tw Cen MT" w:cs="Arial"/>
                <w:sz w:val="22"/>
                <w:szCs w:val="22"/>
              </w:rPr>
              <w:t xml:space="preserve"> </w:t>
            </w:r>
            <w:r w:rsidR="00414A32">
              <w:rPr>
                <w:rFonts w:ascii="Tw Cen MT" w:hAnsi="Tw Cen MT" w:cs="Arial"/>
                <w:sz w:val="22"/>
                <w:szCs w:val="22"/>
              </w:rPr>
              <w:t>86.6</w:t>
            </w:r>
            <w:r w:rsidRPr="00277E3F">
              <w:rPr>
                <w:rFonts w:ascii="Tw Cen MT" w:hAnsi="Tw Cen MT" w:cs="Arial"/>
                <w:sz w:val="22"/>
                <w:szCs w:val="22"/>
              </w:rPr>
              <w:t>% of currently funded gran</w:t>
            </w:r>
            <w:r w:rsidR="00414A32">
              <w:rPr>
                <w:rFonts w:ascii="Tw Cen MT" w:hAnsi="Tw Cen MT" w:cs="Arial"/>
                <w:sz w:val="22"/>
                <w:szCs w:val="22"/>
              </w:rPr>
              <w:t>tees participate in the EIRF (92.3% of cohort 9, 83.3% of cohort 10</w:t>
            </w:r>
            <w:r w:rsidRPr="00277E3F">
              <w:rPr>
                <w:rFonts w:ascii="Tw Cen MT" w:hAnsi="Tw Cen MT" w:cs="Arial"/>
                <w:sz w:val="22"/>
                <w:szCs w:val="22"/>
              </w:rPr>
              <w:t>,</w:t>
            </w:r>
            <w:r w:rsidR="00414A32">
              <w:rPr>
                <w:rFonts w:ascii="Tw Cen MT" w:hAnsi="Tw Cen MT" w:cs="Arial"/>
                <w:sz w:val="22"/>
                <w:szCs w:val="22"/>
              </w:rPr>
              <w:t xml:space="preserve"> 100% of cohort 11 and 33.3% of cohort 12</w:t>
            </w:r>
            <w:r w:rsidRPr="00277E3F">
              <w:rPr>
                <w:rFonts w:ascii="Tw Cen MT" w:hAnsi="Tw Cen MT" w:cs="Arial"/>
                <w:sz w:val="22"/>
                <w:szCs w:val="22"/>
              </w:rPr>
              <w:t xml:space="preserve"> grantees are participating in the EIRF). Psychometric analyses are not appropriate.</w:t>
            </w:r>
          </w:p>
        </w:tc>
        <w:tc>
          <w:tcPr>
            <w:tcW w:w="3250" w:type="dxa"/>
            <w:tcMar>
              <w:top w:w="14" w:type="dxa"/>
              <w:left w:w="86" w:type="dxa"/>
              <w:bottom w:w="43" w:type="dxa"/>
              <w:right w:w="86" w:type="dxa"/>
            </w:tcMar>
          </w:tcPr>
          <w:p w:rsidR="005C0EB8" w:rsidRPr="00277E3F" w:rsidP="00822546" w14:paraId="420B383E" w14:textId="7E33C551">
            <w:pPr>
              <w:jc w:val="left"/>
              <w:rPr>
                <w:rFonts w:ascii="Tw Cen MT" w:hAnsi="Tw Cen MT" w:cs="Arial"/>
                <w:sz w:val="22"/>
                <w:szCs w:val="22"/>
              </w:rPr>
            </w:pPr>
            <w:r w:rsidRPr="00277E3F">
              <w:rPr>
                <w:rFonts w:ascii="Tw Cen MT" w:hAnsi="Tw Cen MT" w:cs="Arial"/>
                <w:sz w:val="22"/>
                <w:szCs w:val="22"/>
              </w:rPr>
              <w:t>The EIRF</w:t>
            </w:r>
            <w:r w:rsidR="00835A1E">
              <w:rPr>
                <w:rFonts w:ascii="Tw Cen MT" w:hAnsi="Tw Cen MT" w:cs="Arial"/>
                <w:sz w:val="22"/>
                <w:szCs w:val="22"/>
              </w:rPr>
              <w:t>T</w:t>
            </w:r>
            <w:r w:rsidRPr="00277E3F">
              <w:rPr>
                <w:rFonts w:ascii="Tw Cen MT" w:hAnsi="Tw Cen MT" w:cs="Arial"/>
                <w:sz w:val="22"/>
                <w:szCs w:val="22"/>
              </w:rPr>
              <w:t>-I and EIRF</w:t>
            </w:r>
            <w:r w:rsidR="00835A1E">
              <w:rPr>
                <w:rFonts w:ascii="Tw Cen MT" w:hAnsi="Tw Cen MT" w:cs="Arial"/>
                <w:sz w:val="22"/>
                <w:szCs w:val="22"/>
              </w:rPr>
              <w:t>T</w:t>
            </w:r>
            <w:r w:rsidRPr="00277E3F">
              <w:rPr>
                <w:rFonts w:ascii="Tw Cen MT" w:hAnsi="Tw Cen MT" w:cs="Arial"/>
                <w:sz w:val="22"/>
                <w:szCs w:val="22"/>
              </w:rPr>
              <w:t xml:space="preserve">-S will continue to collect information about youth identified at-risk by gatekeepers and/or via screening tools. Initial referral follow-up information and details about second appointments </w:t>
            </w:r>
            <w:r w:rsidR="005B24EE">
              <w:rPr>
                <w:rFonts w:ascii="Tw Cen MT" w:hAnsi="Tw Cen MT" w:cs="Arial"/>
                <w:sz w:val="22"/>
                <w:szCs w:val="22"/>
              </w:rPr>
              <w:t>will</w:t>
            </w:r>
            <w:r w:rsidRPr="00277E3F">
              <w:rPr>
                <w:rFonts w:ascii="Tw Cen MT" w:hAnsi="Tw Cen MT" w:cs="Arial"/>
                <w:sz w:val="22"/>
                <w:szCs w:val="22"/>
              </w:rPr>
              <w:t xml:space="preserve"> be obtained within 3 months. No revisions related to response rates are </w:t>
            </w:r>
            <w:r w:rsidRPr="00277E3F">
              <w:rPr>
                <w:rFonts w:ascii="Tw Cen MT" w:hAnsi="Tw Cen MT" w:cs="Arial"/>
                <w:sz w:val="22"/>
                <w:szCs w:val="22"/>
              </w:rPr>
              <w:t>proposed</w:t>
            </w:r>
            <w:r w:rsidR="00D46403">
              <w:rPr>
                <w:rFonts w:ascii="Tw Cen MT" w:hAnsi="Tw Cen MT" w:cs="Arial"/>
                <w:sz w:val="22"/>
                <w:szCs w:val="22"/>
              </w:rPr>
              <w:t>;</w:t>
            </w:r>
            <w:r w:rsidR="00D46403">
              <w:rPr>
                <w:rFonts w:ascii="Tw Cen MT" w:hAnsi="Tw Cen MT" w:cs="Arial"/>
                <w:sz w:val="22"/>
                <w:szCs w:val="22"/>
              </w:rPr>
              <w:t xml:space="preserve"> </w:t>
            </w:r>
            <w:r w:rsidRPr="00277E3F">
              <w:rPr>
                <w:rFonts w:ascii="Tw Cen MT" w:hAnsi="Tw Cen MT" w:cs="Arial"/>
                <w:sz w:val="22"/>
                <w:szCs w:val="22"/>
              </w:rPr>
              <w:t>content changes</w:t>
            </w:r>
            <w:r w:rsidR="00D46403">
              <w:rPr>
                <w:rFonts w:ascii="Tw Cen MT" w:hAnsi="Tw Cen MT" w:cs="Arial"/>
                <w:sz w:val="22"/>
                <w:szCs w:val="22"/>
              </w:rPr>
              <w:t xml:space="preserve"> only</w:t>
            </w:r>
            <w:r w:rsidRPr="00277E3F">
              <w:rPr>
                <w:rFonts w:ascii="Tw Cen MT" w:hAnsi="Tw Cen MT" w:cs="Arial"/>
                <w:sz w:val="22"/>
                <w:szCs w:val="22"/>
              </w:rPr>
              <w:t xml:space="preserve">. </w:t>
            </w:r>
          </w:p>
        </w:tc>
      </w:tr>
    </w:tbl>
    <w:p w:rsidR="0095625E" w:rsidRPr="005C0EB8" w:rsidP="00277E3F" w14:paraId="6F8600FB" w14:textId="7BB1726F">
      <w:pPr>
        <w:pStyle w:val="BodyText"/>
        <w:keepNext/>
        <w:widowControl/>
        <w:numPr>
          <w:ilvl w:val="0"/>
          <w:numId w:val="1"/>
        </w:numPr>
        <w:tabs>
          <w:tab w:val="left" w:pos="1563"/>
        </w:tabs>
        <w:spacing w:before="240" w:after="120"/>
      </w:pPr>
      <w:r>
        <w:rPr>
          <w:rFonts w:ascii="Tw Cen MT" w:hAnsi="Tw Cen MT" w:cs="Arial"/>
          <w:b/>
          <w:sz w:val="28"/>
          <w:szCs w:val="28"/>
        </w:rPr>
        <w:t>Methods Used</w:t>
      </w:r>
    </w:p>
    <w:p w:rsidR="0095625E" w:rsidP="00225E36" w14:paraId="331C2421" w14:textId="03C04E3A">
      <w:pPr>
        <w:pStyle w:val="BodyText"/>
        <w:tabs>
          <w:tab w:val="left" w:pos="1563"/>
        </w:tabs>
        <w:rPr>
          <w:rFonts w:ascii="Times New Roman" w:hAnsi="Times New Roman" w:cs="Times New Roman"/>
          <w:sz w:val="24"/>
          <w:szCs w:val="24"/>
        </w:rPr>
      </w:pPr>
      <w:r w:rsidRPr="008207F0">
        <w:rPr>
          <w:rFonts w:ascii="Times New Roman" w:hAnsi="Times New Roman" w:cs="Times New Roman"/>
          <w:sz w:val="24"/>
          <w:szCs w:val="24"/>
        </w:rPr>
        <w:t xml:space="preserve">ICF has full responsibility for the development of the overall statistical design and assumes oversight responsibility for data collection and analysis. </w:t>
      </w:r>
      <w:r w:rsidRPr="71DF05F5">
        <w:rPr>
          <w:rFonts w:ascii="Times New Roman" w:hAnsi="Times New Roman" w:cs="Times New Roman"/>
          <w:sz w:val="24"/>
          <w:szCs w:val="24"/>
        </w:rPr>
        <w:t xml:space="preserve">Training, </w:t>
      </w:r>
      <w:r w:rsidR="000F7113">
        <w:rPr>
          <w:rFonts w:ascii="Times New Roman" w:hAnsi="Times New Roman" w:cs="Times New Roman"/>
          <w:sz w:val="24"/>
          <w:szCs w:val="24"/>
        </w:rPr>
        <w:t>technical assistance</w:t>
      </w:r>
      <w:r w:rsidRPr="008207F0">
        <w:rPr>
          <w:rFonts w:ascii="Times New Roman" w:hAnsi="Times New Roman" w:cs="Times New Roman"/>
          <w:sz w:val="24"/>
          <w:szCs w:val="24"/>
        </w:rPr>
        <w:t xml:space="preserve">, and monitoring of data collection will be provided by the </w:t>
      </w:r>
      <w:r w:rsidR="00FC2B44">
        <w:rPr>
          <w:rFonts w:ascii="Times New Roman" w:hAnsi="Times New Roman" w:cs="Times New Roman"/>
          <w:sz w:val="24"/>
          <w:szCs w:val="24"/>
        </w:rPr>
        <w:t xml:space="preserve">GLS </w:t>
      </w:r>
      <w:r w:rsidR="004465A5">
        <w:rPr>
          <w:rFonts w:ascii="Times New Roman" w:hAnsi="Times New Roman" w:cs="Times New Roman"/>
          <w:sz w:val="24"/>
          <w:szCs w:val="24"/>
        </w:rPr>
        <w:t>S</w:t>
      </w:r>
      <w:r w:rsidR="00CE23D4">
        <w:rPr>
          <w:rFonts w:ascii="Times New Roman" w:hAnsi="Times New Roman" w:cs="Times New Roman"/>
          <w:sz w:val="24"/>
          <w:szCs w:val="24"/>
        </w:rPr>
        <w:t>tate</w:t>
      </w:r>
      <w:r w:rsidR="004465A5">
        <w:rPr>
          <w:rFonts w:ascii="Times New Roman" w:hAnsi="Times New Roman" w:cs="Times New Roman"/>
          <w:sz w:val="24"/>
          <w:szCs w:val="24"/>
        </w:rPr>
        <w:t>/T</w:t>
      </w:r>
      <w:r w:rsidR="00CE23D4">
        <w:rPr>
          <w:rFonts w:ascii="Times New Roman" w:hAnsi="Times New Roman" w:cs="Times New Roman"/>
          <w:sz w:val="24"/>
          <w:szCs w:val="24"/>
        </w:rPr>
        <w:t>ribal</w:t>
      </w:r>
      <w:r w:rsidR="004465A5">
        <w:rPr>
          <w:rFonts w:ascii="Times New Roman" w:hAnsi="Times New Roman" w:cs="Times New Roman"/>
          <w:sz w:val="24"/>
          <w:szCs w:val="24"/>
        </w:rPr>
        <w:t xml:space="preserve"> </w:t>
      </w:r>
      <w:r w:rsidR="00FC2B44">
        <w:rPr>
          <w:rFonts w:ascii="Times New Roman" w:hAnsi="Times New Roman" w:cs="Times New Roman"/>
          <w:sz w:val="24"/>
          <w:szCs w:val="24"/>
        </w:rPr>
        <w:t xml:space="preserve">Evaluation </w:t>
      </w:r>
      <w:r w:rsidRPr="71DF05F5">
        <w:rPr>
          <w:rFonts w:ascii="Times New Roman" w:hAnsi="Times New Roman" w:cs="Times New Roman"/>
          <w:sz w:val="24"/>
          <w:szCs w:val="24"/>
        </w:rPr>
        <w:t>team.</w:t>
      </w:r>
      <w:r>
        <w:rPr>
          <w:rFonts w:ascii="Times New Roman" w:hAnsi="Times New Roman" w:cs="Times New Roman"/>
          <w:sz w:val="24"/>
          <w:szCs w:val="24"/>
        </w:rPr>
        <w:t xml:space="preserve"> </w:t>
      </w:r>
    </w:p>
    <w:p w:rsidR="0095625E" w:rsidP="00225E36" w14:paraId="4708A0E4" w14:textId="77777777">
      <w:pPr>
        <w:pStyle w:val="BodyText"/>
        <w:tabs>
          <w:tab w:val="left" w:pos="1563"/>
        </w:tabs>
        <w:rPr>
          <w:rFonts w:ascii="Times New Roman" w:hAnsi="Times New Roman" w:cs="Times New Roman"/>
          <w:sz w:val="24"/>
          <w:szCs w:val="24"/>
        </w:rPr>
      </w:pPr>
    </w:p>
    <w:p w:rsidR="0095625E" w:rsidRPr="00A360FF" w:rsidP="0095625E" w14:paraId="268EB967" w14:textId="3666F7DC">
      <w:pPr>
        <w:pStyle w:val="BodyText"/>
        <w:numPr>
          <w:ilvl w:val="0"/>
          <w:numId w:val="1"/>
        </w:numPr>
        <w:tabs>
          <w:tab w:val="left" w:pos="1563"/>
        </w:tabs>
        <w:rPr>
          <w:rFonts w:ascii="Times New Roman" w:hAnsi="Times New Roman" w:cs="Times New Roman"/>
          <w:b/>
          <w:bCs/>
          <w:sz w:val="24"/>
          <w:szCs w:val="24"/>
        </w:rPr>
      </w:pPr>
      <w:r w:rsidRPr="00A360FF">
        <w:rPr>
          <w:rFonts w:ascii="Times New Roman" w:hAnsi="Times New Roman" w:cs="Times New Roman"/>
          <w:b/>
          <w:bCs/>
          <w:sz w:val="24"/>
          <w:szCs w:val="24"/>
        </w:rPr>
        <w:t>Consultants</w:t>
      </w:r>
    </w:p>
    <w:p w:rsidR="009E755F" w:rsidRPr="008207F0" w:rsidP="0095625E" w14:paraId="7EFD6317" w14:textId="5DC9C9CB">
      <w:pPr>
        <w:pStyle w:val="BodyText"/>
        <w:tabs>
          <w:tab w:val="left" w:pos="1563"/>
        </w:tabs>
        <w:rPr>
          <w:rFonts w:ascii="Times New Roman" w:hAnsi="Times New Roman" w:cs="Times New Roman"/>
          <w:sz w:val="24"/>
          <w:szCs w:val="24"/>
        </w:rPr>
      </w:pPr>
      <w:r w:rsidRPr="008207F0">
        <w:rPr>
          <w:rFonts w:ascii="Times New Roman" w:hAnsi="Times New Roman" w:cs="Times New Roman"/>
          <w:sz w:val="24"/>
          <w:szCs w:val="24"/>
        </w:rPr>
        <w:t>The individuals responsible for overseeing data collection and analysis are:</w:t>
      </w:r>
    </w:p>
    <w:p w:rsidR="00E208AD" w:rsidP="009E755F" w14:paraId="7A73A3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RPr="00244BBB" w:rsidP="009E755F" w14:paraId="03DAF2AB" w14:textId="7699844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Christine M. Walrath, PhD</w:t>
      </w:r>
    </w:p>
    <w:p w:rsidR="009E755F" w:rsidRPr="00244BBB" w:rsidP="009E755F" w14:paraId="019C34D6" w14:textId="01BE03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ICF </w:t>
      </w:r>
    </w:p>
    <w:p w:rsidR="005F627F" w:rsidRPr="005F627F" w:rsidP="00881268" w14:paraId="226D6BEB" w14:textId="73D5817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34912119"/>
      <w:r w:rsidRPr="006D7919">
        <w:t>630 3rd Avenue 11th floor</w:t>
      </w:r>
    </w:p>
    <w:p w:rsidR="008C7F69" w:rsidP="00881268" w14:paraId="7FF9F34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New York, NY </w:t>
      </w:r>
      <w:r w:rsidRPr="005F627F" w:rsidR="005F627F">
        <w:t>10017</w:t>
      </w:r>
    </w:p>
    <w:bookmarkEnd w:id="2"/>
    <w:p w:rsidR="009E755F" w:rsidP="00881268" w14:paraId="5D945B54" w14:textId="2E0B3B9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Pr="00244BBB">
        <w:t>(212) 941-5555</w:t>
      </w:r>
    </w:p>
    <w:p w:rsidR="00881268" w:rsidP="00225E36" w14:paraId="46868A98" w14:textId="1C714BD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9" w:history="1">
        <w:r w:rsidRPr="00167F38" w:rsidR="00167F38">
          <w:rPr>
            <w:rStyle w:val="Hyperlink"/>
          </w:rPr>
          <w:t>christine.walrath@icf.com</w:t>
        </w:r>
      </w:hyperlink>
      <w:r>
        <w:t xml:space="preserve"> </w:t>
      </w:r>
    </w:p>
    <w:p w:rsidR="006D7919" w:rsidP="00E96E19" w14:paraId="5E9C924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7F38" w:rsidP="00E96E19" w14:paraId="293CA514" w14:textId="37A591B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Sophia </w:t>
      </w:r>
      <w:r w:rsidR="003E7C26">
        <w:t xml:space="preserve">I. </w:t>
      </w:r>
      <w:r>
        <w:t>Zanakos, PhD</w:t>
      </w:r>
    </w:p>
    <w:p w:rsidR="00167F38" w:rsidP="00E96E19" w14:paraId="1695C610" w14:textId="73275B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167F38" w:rsidP="00E96E19" w14:paraId="35F0D4FA" w14:textId="3A3BC7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530 Gaither Road</w:t>
      </w:r>
    </w:p>
    <w:p w:rsidR="00167F38" w:rsidP="00E96E19" w14:paraId="47E1BDD1" w14:textId="671006A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Rockville, MD 20850</w:t>
      </w:r>
    </w:p>
    <w:p w:rsidR="00167F38" w:rsidP="00E96E19" w14:paraId="22530C6A" w14:textId="61EEC18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 (301) 572-0239</w:t>
      </w:r>
    </w:p>
    <w:p w:rsidR="00167F38" w:rsidP="00E96E19" w14:paraId="6CDC7E86" w14:textId="4177B5A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0" w:history="1">
        <w:r w:rsidRPr="000519CA">
          <w:rPr>
            <w:rStyle w:val="Hyperlink"/>
          </w:rPr>
          <w:t>sophia.zanakos@icf.com</w:t>
        </w:r>
      </w:hyperlink>
    </w:p>
    <w:p w:rsidR="00167F38" w:rsidP="00E96E19" w14:paraId="6BE8CD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RPr="00244BBB" w:rsidP="00887134" w14:paraId="20940CDF" w14:textId="77777777">
      <w:pPr>
        <w:pStyle w:val="SuicideBodyText"/>
        <w:spacing w:after="200"/>
      </w:pPr>
      <w:r w:rsidRPr="00244BBB">
        <w:t>The following individuals will serve as statistical consultants to this project:</w:t>
      </w:r>
    </w:p>
    <w:p w:rsidR="00407090" w:rsidP="006D7919" w14:paraId="12E84251" w14:textId="03CDE8E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Bob Stephens</w:t>
      </w:r>
      <w:r w:rsidR="00326A57">
        <w:t>, PhD</w:t>
      </w:r>
    </w:p>
    <w:p w:rsidR="00407090" w:rsidP="006D7919" w14:paraId="601224B6" w14:textId="26A9AB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476D4A" w:rsidP="00476D4A" w14:paraId="1C7060C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407090" w:rsidP="00476D4A" w14:paraId="46D5868A" w14:textId="1E3EA5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476D4A" w:rsidP="00476D4A" w14:paraId="4F33B08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07090" w:rsidP="006D7919" w14:paraId="2AE1CFEF" w14:textId="1C36B2A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Lucas Godoy-Garraza</w:t>
      </w:r>
      <w:r w:rsidR="00326A57">
        <w:t>, M</w:t>
      </w:r>
      <w:r w:rsidR="00FA74A2">
        <w:t>A</w:t>
      </w:r>
    </w:p>
    <w:p w:rsidR="00624B3B" w:rsidP="00624B3B" w14:paraId="2F7456D5"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Los </w:t>
      </w:r>
      <w:r>
        <w:t>Nardos</w:t>
      </w:r>
      <w:r>
        <w:t xml:space="preserve"> 444 PH5</w:t>
      </w:r>
    </w:p>
    <w:p w:rsidR="000848DB" w:rsidP="00624B3B" w14:paraId="110DD78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La Paz, Bolivia </w:t>
      </w:r>
    </w:p>
    <w:p w:rsidR="00407090" w:rsidP="006D7919" w14:paraId="31262A1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P="00887134" w14:paraId="3F5E1E5F" w14:textId="77777777">
      <w:pPr>
        <w:pStyle w:val="SuicideBodyText"/>
        <w:spacing w:after="200"/>
      </w:pPr>
      <w:r w:rsidRPr="00244BBB">
        <w:t>The agency staff person responsible for receiving and approving contract deliverables is:</w:t>
      </w:r>
    </w:p>
    <w:p w:rsidR="00693F85" w:rsidRPr="00E96E19" w:rsidP="00693F85" w14:paraId="50742C31" w14:textId="64B009EA">
      <w:pPr>
        <w:rPr>
          <w:rFonts w:ascii="Calibri" w:hAnsi="Calibri"/>
        </w:rPr>
      </w:pPr>
      <w:r>
        <w:t>Portland Ridley</w:t>
      </w:r>
      <w:r w:rsidRPr="00E96E19">
        <w:t>, Public Health Advisor</w:t>
      </w:r>
    </w:p>
    <w:p w:rsidR="00693F85" w:rsidRPr="00E96E19" w:rsidP="00693F85" w14:paraId="13D031FD" w14:textId="2371EE42">
      <w:pPr>
        <w:rPr>
          <w:rFonts w:ascii="Calibri" w:hAnsi="Calibri"/>
        </w:rPr>
      </w:pPr>
      <w:r w:rsidRPr="00E96E19">
        <w:t>Suicide Prevention Branch</w:t>
      </w:r>
    </w:p>
    <w:p w:rsidR="00693F85" w:rsidRPr="00E96E19" w:rsidP="00693F85" w14:paraId="351A76C0" w14:textId="77777777">
      <w:pPr>
        <w:rPr>
          <w:rFonts w:ascii="Calibri" w:hAnsi="Calibri"/>
        </w:rPr>
      </w:pPr>
      <w:r w:rsidRPr="00E96E19">
        <w:t>SAMHSA/CMHS/DPTSSP</w:t>
      </w:r>
    </w:p>
    <w:p w:rsidR="00693F85" w:rsidRPr="00E96E19" w:rsidP="00693F85" w14:paraId="534A744C" w14:textId="580254C3">
      <w:pPr>
        <w:rPr>
          <w:rFonts w:ascii="Calibri" w:hAnsi="Calibri"/>
        </w:rPr>
      </w:pPr>
      <w:r w:rsidRPr="00E96E19">
        <w:t>5600 Fishers Lane</w:t>
      </w:r>
      <w:r w:rsidR="00F12929">
        <w:t xml:space="preserve">, </w:t>
      </w:r>
      <w:r w:rsidRPr="00F12929" w:rsidR="00F12929">
        <w:t>14E89D</w:t>
      </w:r>
    </w:p>
    <w:p w:rsidR="00693F85" w:rsidRPr="00E96E19" w:rsidP="00693F85" w14:paraId="6A5C6B90" w14:textId="77777777">
      <w:pPr>
        <w:rPr>
          <w:rFonts w:ascii="Calibri" w:hAnsi="Calibri"/>
        </w:rPr>
      </w:pPr>
      <w:r w:rsidRPr="00E96E19">
        <w:t>Rockville, MD 20857</w:t>
      </w:r>
    </w:p>
    <w:p w:rsidR="00693F85" w:rsidRPr="00E96E19" w:rsidP="00693F85" w14:paraId="769758FD" w14:textId="237F5C2E">
      <w:pPr>
        <w:rPr>
          <w:rFonts w:ascii="Calibri" w:hAnsi="Calibri"/>
        </w:rPr>
      </w:pPr>
      <w:r w:rsidRPr="00E96E19">
        <w:t xml:space="preserve">Phone: </w:t>
      </w:r>
      <w:r w:rsidRPr="003C7DB5">
        <w:t>(240)-276-184</w:t>
      </w:r>
      <w:r w:rsidRPr="003C7DB5" w:rsidR="003C7DB5">
        <w:t>8</w:t>
      </w:r>
    </w:p>
    <w:p w:rsidR="00693F85" w:rsidRPr="00693F85" w:rsidP="00887134" w14:paraId="04E45B9F" w14:textId="288077C6">
      <w:pPr>
        <w:pStyle w:val="SuicideBodyText"/>
        <w:spacing w:after="200"/>
      </w:pPr>
      <w:r w:rsidRPr="00693F85">
        <w:t xml:space="preserve">Email: </w:t>
      </w:r>
      <w:r w:rsidR="00266171">
        <w:t>Portland.Ridley</w:t>
      </w:r>
      <w:r w:rsidRPr="00693F85">
        <w:t>@SAMHSA.hhs.gov</w:t>
      </w:r>
    </w:p>
    <w:p w:rsidR="00561D0F" w:rsidRPr="00585AB6" w:rsidP="00585AB6" w14:paraId="2DC8E44A" w14:textId="584A5CC8">
      <w:pPr>
        <w:pStyle w:val="GLSReference"/>
        <w:spacing w:before="360"/>
        <w:rPr>
          <w:rFonts w:ascii="Tw Cen MT" w:hAnsi="Tw Cen MT" w:eastAsiaTheme="minorHAnsi"/>
          <w:b/>
          <w:sz w:val="28"/>
          <w:szCs w:val="28"/>
        </w:rPr>
      </w:pPr>
      <w:r>
        <w:rPr>
          <w:rFonts w:ascii="Tw Cen MT" w:hAnsi="Tw Cen MT" w:eastAsiaTheme="minorHAnsi"/>
          <w:b/>
          <w:sz w:val="28"/>
          <w:szCs w:val="28"/>
        </w:rPr>
        <w:t>References</w:t>
      </w:r>
    </w:p>
    <w:p w:rsidR="00DA7F58" w:rsidRPr="005B4B1F" w:rsidP="00563ECB" w14:paraId="7067F6BC" w14:textId="100A71C0">
      <w:pPr>
        <w:pStyle w:val="GLSReference"/>
        <w:jc w:val="left"/>
        <w:rPr>
          <w:rFonts w:eastAsiaTheme="minorEastAsia"/>
        </w:rPr>
      </w:pPr>
      <w:r w:rsidRPr="6B30377F">
        <w:rPr>
          <w:rFonts w:eastAsiaTheme="minorEastAsia"/>
        </w:rPr>
        <w:t xml:space="preserve">American College Health Association. (2016). National College Health Assessment, Reference Group Executive Summary, Fall 2016. Retrieved from </w:t>
      </w:r>
      <w:hyperlink r:id="rId11" w:history="1">
        <w:r w:rsidRPr="6B30377F">
          <w:rPr>
            <w:rStyle w:val="Hyperlink"/>
            <w:rFonts w:eastAsiaTheme="minorEastAsia"/>
          </w:rPr>
          <w:t>http://www.acha-ncha.org/docs/NCHA-II_FALL_2016_REFERENCE_GROUP_EXECUTIVE_SUMMARY.pdf</w:t>
        </w:r>
      </w:hyperlink>
    </w:p>
    <w:p w:rsidR="2E5863F8" w:rsidRPr="005B4B1F" w:rsidP="00563ECB" w14:paraId="1ED4A9AB" w14:textId="6C74EE6E">
      <w:pPr>
        <w:pStyle w:val="GLSReference"/>
        <w:jc w:val="left"/>
        <w:rPr>
          <w:rFonts w:eastAsiaTheme="minorEastAsia"/>
        </w:rPr>
      </w:pPr>
      <w:r w:rsidRPr="005B4B1F">
        <w:rPr>
          <w:rFonts w:eastAsiaTheme="minorEastAsia"/>
          <w:szCs w:val="24"/>
        </w:rPr>
        <w:t>Biden, J. (2023, April 28). A Proclamation on National Mental Health Awareness Month, 2023 [Review of A Proclamation on National Mental Health Awareness Month, 2023]. https://www.whitehouse.gov/briefing-room/presidential-actions/2023/04/28/a-proclamation-on-national-mental-health-awareness-month-2023/</w:t>
      </w:r>
    </w:p>
    <w:p w:rsidR="00967999" w:rsidRPr="00967999" w:rsidP="00563ECB" w14:paraId="11D1EAB8" w14:textId="1C993E88">
      <w:pPr>
        <w:pStyle w:val="GLSReference"/>
        <w:jc w:val="left"/>
        <w:rPr>
          <w:rFonts w:eastAsiaTheme="minorEastAsia"/>
        </w:rPr>
      </w:pPr>
      <w:r w:rsidRPr="005B4B1F">
        <w:rPr>
          <w:rFonts w:eastAsiaTheme="minorEastAsia"/>
          <w:szCs w:val="24"/>
        </w:rPr>
        <w:t>Cash, J. A., &amp; Bridge, J. A. (2009) Epidemiology of youth suicide and suicidal behavior. Current Opinions in Pediatrics, 21(5), 613-9.</w:t>
      </w:r>
    </w:p>
    <w:p w:rsidR="002A2FAE" w:rsidRPr="002A2FAE" w:rsidP="00563ECB" w14:paraId="0B1E1A2D" w14:textId="76D4E495">
      <w:pPr>
        <w:pStyle w:val="GLSReference"/>
        <w:jc w:val="left"/>
        <w:rPr>
          <w:rFonts w:eastAsiaTheme="minorEastAsia"/>
        </w:rPr>
      </w:pPr>
      <w:r w:rsidRPr="002A2FAE">
        <w:rPr>
          <w:rFonts w:eastAsiaTheme="minorEastAsia"/>
        </w:rPr>
        <w:t xml:space="preserve">Centers for Disease Control and Prevention. (2023). </w:t>
      </w:r>
      <w:r w:rsidRPr="002A2FAE">
        <w:rPr>
          <w:rFonts w:eastAsiaTheme="minorEastAsia"/>
          <w:i/>
          <w:iCs/>
        </w:rPr>
        <w:t>#BeThere to Help Prevent Suicide</w:t>
      </w:r>
      <w:r w:rsidRPr="002A2FAE">
        <w:rPr>
          <w:rFonts w:eastAsiaTheme="minorEastAsia"/>
        </w:rPr>
        <w:t xml:space="preserve">. </w:t>
      </w:r>
      <w:hyperlink r:id="rId12" w:history="1">
        <w:r w:rsidRPr="002A2FAE">
          <w:rPr>
            <w:rStyle w:val="Hyperlink"/>
            <w:rFonts w:eastAsiaTheme="minorEastAsia"/>
          </w:rPr>
          <w:t>https://www.cdc.gov/injury/features/be-there-prevent-suicide/index.html</w:t>
        </w:r>
      </w:hyperlink>
    </w:p>
    <w:p w:rsidR="645D7EEC" w:rsidRPr="005B4B1F" w:rsidP="00563ECB" w14:paraId="0C45BF6F" w14:textId="72BB00E4">
      <w:pPr>
        <w:pStyle w:val="GLSReference"/>
        <w:jc w:val="left"/>
        <w:rPr>
          <w:rFonts w:eastAsiaTheme="minorEastAsia"/>
        </w:rPr>
      </w:pPr>
      <w:r w:rsidRPr="005B4B1F">
        <w:rPr>
          <w:rFonts w:eastAsiaTheme="minorEastAsia"/>
          <w:szCs w:val="24"/>
        </w:rPr>
        <w:t>Centers for Disease Control and Prevention. (2019, September 9). #BeThere to Help Prevent Suicide. Centers for Disease Control and Prevention. https://www.cdc.gov/injury/features/be-there-prevent-suicide/index.html</w:t>
      </w:r>
    </w:p>
    <w:p w:rsidR="00DA7F58" w:rsidP="00563ECB" w14:paraId="0AA4E8DA" w14:textId="0567AE07">
      <w:pPr>
        <w:pStyle w:val="GLSReference"/>
        <w:jc w:val="left"/>
        <w:rPr>
          <w:rFonts w:eastAsiaTheme="minorEastAsia"/>
        </w:rPr>
      </w:pPr>
      <w:r w:rsidRPr="005B4B1F">
        <w:rPr>
          <w:rFonts w:eastAsiaTheme="minorEastAsia"/>
          <w:szCs w:val="24"/>
        </w:rPr>
        <w:t xml:space="preserve">Centers for Disease Control and Prevention. (2018). Web-based Injury Statistics Query and Reporting System (WISQARS). Atlanta, GA: U.S. Department of Health and Human Services [HHS], CDC, National Center for Injury Prevention and Control. </w:t>
      </w:r>
      <w:r w:rsidRPr="00F45D7A">
        <w:rPr>
          <w:rFonts w:eastAsiaTheme="minorEastAsia"/>
          <w:szCs w:val="24"/>
        </w:rPr>
        <w:t xml:space="preserve">Retrieved from </w:t>
      </w:r>
      <w:hyperlink r:id="rId13" w:history="1">
        <w:r w:rsidRPr="6B30377F">
          <w:rPr>
            <w:rStyle w:val="Hyperlink"/>
            <w:rFonts w:eastAsiaTheme="minorEastAsia"/>
          </w:rPr>
          <w:t>https://www.cdc.gov/injury/wisqars/index.html</w:t>
        </w:r>
      </w:hyperlink>
    </w:p>
    <w:p w:rsidR="00DA7F58" w:rsidRPr="00DA7F58" w:rsidP="00563ECB" w14:paraId="0CDE003D" w14:textId="4AE72426">
      <w:pPr>
        <w:pStyle w:val="GLSReference"/>
        <w:jc w:val="left"/>
        <w:rPr>
          <w:rFonts w:eastAsiaTheme="minorEastAsia"/>
        </w:rPr>
      </w:pPr>
      <w:r w:rsidRPr="005B4B1F">
        <w:rPr>
          <w:rFonts w:eastAsiaTheme="minorEastAsia"/>
          <w:szCs w:val="24"/>
        </w:rPr>
        <w:t xml:space="preserve">Centers for Disease Control and Prevention. (2016). 10 leading causes of death by age group, United States -2016. [Graphic depicting cause of death by age in tabular format]. Retrieved from https://www.cdc.gov/injury/wisqars/pdf/leading_causes_of_death_by_age_group_2016-508.pdf </w:t>
      </w:r>
    </w:p>
    <w:p w:rsidR="00561D0F" w:rsidP="00563ECB" w14:paraId="54071021" w14:textId="33C341CE">
      <w:pPr>
        <w:pStyle w:val="GLSReference"/>
        <w:jc w:val="left"/>
        <w:rPr>
          <w:rFonts w:eastAsiaTheme="minorEastAsia"/>
        </w:rPr>
      </w:pPr>
      <w:r w:rsidRPr="005B4B1F">
        <w:rPr>
          <w:rFonts w:eastAsiaTheme="minorEastAsia"/>
          <w:szCs w:val="24"/>
        </w:rPr>
        <w:t>Centers for Disease Control and Prevention.</w:t>
      </w:r>
      <w:r w:rsidRPr="005B4B1F">
        <w:rPr>
          <w:rFonts w:eastAsiaTheme="minorEastAsia"/>
          <w:szCs w:val="24"/>
        </w:rPr>
        <w:t xml:space="preserve"> (2012). Suicide facts </w:t>
      </w:r>
      <w:r w:rsidRPr="005B4B1F">
        <w:rPr>
          <w:rFonts w:eastAsiaTheme="minorEastAsia"/>
          <w:szCs w:val="24"/>
        </w:rPr>
        <w:t>at a glance</w:t>
      </w:r>
      <w:r w:rsidRPr="005B4B1F">
        <w:rPr>
          <w:rFonts w:eastAsiaTheme="minorEastAsia"/>
          <w:szCs w:val="24"/>
        </w:rPr>
        <w:t>. Retrieved April 15, 2014, from http://www.cdc.gov/violenceprevention/pdf/Suicide-DataSheet-a.pdf</w:t>
      </w:r>
    </w:p>
    <w:p w:rsidR="00967999" w:rsidRPr="00967999" w:rsidP="00563ECB" w14:paraId="3E00B8C7" w14:textId="7B1F10FB">
      <w:pPr>
        <w:pStyle w:val="GLSReference"/>
        <w:jc w:val="left"/>
      </w:pPr>
      <w:r w:rsidRPr="005B4B1F">
        <w:rPr>
          <w:rFonts w:eastAsiaTheme="minorEastAsia"/>
          <w:szCs w:val="24"/>
        </w:rPr>
        <w:t xml:space="preserve">Condron, S., Godoy-Garraza, L., Kuiper, N., Sukumar, B., Walrath, C., &amp; McKeon, R. (2018). Comparing the effectiveness of brief versus in-depth gatekeeper training on behavioral outcomes for trainees. Crisis. </w:t>
      </w:r>
      <w:r w:rsidRPr="005B4B1F">
        <w:rPr>
          <w:rFonts w:eastAsiaTheme="minorEastAsia"/>
          <w:szCs w:val="24"/>
        </w:rPr>
        <w:t>doi</w:t>
      </w:r>
      <w:r w:rsidRPr="005B4B1F">
        <w:rPr>
          <w:rFonts w:eastAsiaTheme="minorEastAsia"/>
          <w:szCs w:val="24"/>
        </w:rPr>
        <w:t>: 10.1027/0227-59</w:t>
      </w:r>
      <w:r w:rsidRPr="00967999">
        <w:t>10/a000539.</w:t>
      </w:r>
      <w:r w:rsidRPr="00967999">
        <w:rPr>
          <w:i/>
        </w:rPr>
        <w:t xml:space="preserve"> [</w:t>
      </w:r>
      <w:r w:rsidRPr="00967999">
        <w:rPr>
          <w:i/>
        </w:rPr>
        <w:t>Epub</w:t>
      </w:r>
      <w:r w:rsidRPr="00967999">
        <w:rPr>
          <w:i/>
        </w:rPr>
        <w:t xml:space="preserve"> ahead of print]</w:t>
      </w:r>
    </w:p>
    <w:p w:rsidR="006A46E2" w:rsidP="00563ECB" w14:paraId="74DA060F" w14:textId="6789D063">
      <w:pPr>
        <w:pStyle w:val="GLSReference"/>
        <w:jc w:val="left"/>
      </w:pPr>
      <w:r>
        <w:t xml:space="preserve">Condron, D. S., Godoy-Garraza, L., Walrath, C. M., McKeon, R., Goldston, D. B., &amp; </w:t>
      </w:r>
      <w:r>
        <w:t>Heilbron</w:t>
      </w:r>
      <w:r>
        <w:t xml:space="preserve">, N. S. (2015). Identifying and referring youth at risk for suicide following participation in school-based gatekeeper training. </w:t>
      </w:r>
      <w:r>
        <w:rPr>
          <w:i/>
        </w:rPr>
        <w:t>Suicide and Life-Threatening Behavior, 45</w:t>
      </w:r>
      <w:r>
        <w:t xml:space="preserve">, 461-476. </w:t>
      </w:r>
    </w:p>
    <w:p w:rsidR="00561D0F" w:rsidP="00563ECB" w14:paraId="2E02A831" w14:textId="77777777">
      <w:pPr>
        <w:pStyle w:val="GLSReference"/>
        <w:jc w:val="left"/>
      </w:pPr>
      <w:r>
        <w:t xml:space="preserve">Condron, D. S., Godoy-Garraza, L., Walrath, C., Mckeon, R., &amp; </w:t>
      </w:r>
      <w:r>
        <w:t>Heilbron</w:t>
      </w:r>
      <w:r>
        <w:t xml:space="preserve">, N. (2014). Referral and service receipt for youths identified as being at risk for suicide: Relationships between training type, professional role, and referral behavior in school-based trainees. </w:t>
      </w:r>
      <w:r>
        <w:rPr>
          <w:i/>
        </w:rPr>
        <w:t xml:space="preserve">Suicide and Life-Threatening Behavior. </w:t>
      </w:r>
      <w:r>
        <w:t>doi:10.1111/sltb.12142</w:t>
      </w:r>
    </w:p>
    <w:p w:rsidR="00561D0F" w:rsidP="00563ECB" w14:paraId="5D7AAA49" w14:textId="42055B1F">
      <w:pPr>
        <w:pStyle w:val="GLSReference"/>
        <w:jc w:val="left"/>
      </w:pPr>
      <w:r>
        <w:t xml:space="preserve">Crosby, A. E., Han, B., Ortega, L. A., Parks, S. E., &amp; </w:t>
      </w:r>
      <w:r>
        <w:t>Gfoerer</w:t>
      </w:r>
      <w:r>
        <w:t xml:space="preserve">, J. (2011). Suicidal thoughts and behaviors among adults aged ≥18 years—United States, 2008–2009. </w:t>
      </w:r>
      <w:r>
        <w:rPr>
          <w:i/>
        </w:rPr>
        <w:t>MMWR Surveillance Summaries, 60</w:t>
      </w:r>
      <w:r>
        <w:t xml:space="preserve">(13), 1–22. Retrieved March 10, 2014, from http://www.cdc.gov/mmwr/preview/mmwrhtml/ss6013a1.htm </w:t>
      </w:r>
    </w:p>
    <w:p w:rsidR="00B05AEA" w:rsidRPr="00B05AEA" w:rsidP="00563ECB" w14:paraId="5195498E" w14:textId="2EEFAFF7">
      <w:pPr>
        <w:pStyle w:val="GLSReference"/>
        <w:jc w:val="left"/>
      </w:pPr>
      <w:r>
        <w:t xml:space="preserve">Cross, W. F., </w:t>
      </w:r>
      <w:r>
        <w:t>Seaburn</w:t>
      </w:r>
      <w:r>
        <w:t xml:space="preserve">, D., Gibbs, D., </w:t>
      </w:r>
      <w:r>
        <w:t>Schmeelk</w:t>
      </w:r>
      <w:r>
        <w:t xml:space="preserve">-Cone, K., White, A.M., &amp; Caine, E. D. (2011) Does practice make perfect? A randomized control trial of behavioral rehearsal on suicide prevention gatekeeper skills. </w:t>
      </w:r>
      <w:r>
        <w:rPr>
          <w:i/>
        </w:rPr>
        <w:t>Journal of Primary Prevention, 32</w:t>
      </w:r>
      <w:r>
        <w:t>(3-4).</w:t>
      </w:r>
    </w:p>
    <w:p w:rsidR="0021099D" w:rsidP="00563ECB" w14:paraId="603011F8" w14:textId="04AA8FB1">
      <w:pPr>
        <w:pStyle w:val="GLSReference"/>
        <w:jc w:val="left"/>
      </w:pPr>
      <w:r w:rsidRPr="0021099D">
        <w:t xml:space="preserve">Finn, J. L. &amp; </w:t>
      </w:r>
      <w:r w:rsidRPr="0021099D">
        <w:t>Checkoway</w:t>
      </w:r>
      <w:r w:rsidRPr="0021099D">
        <w:t>, B. (1998). Young people as competent community builders: A challenge to social work.</w:t>
      </w:r>
      <w:r w:rsidRPr="00BD042D" w:rsidR="00BD042D">
        <w:rPr>
          <w:rFonts w:ascii="Verdana" w:hAnsi="Verdana"/>
          <w:color w:val="232323"/>
          <w:sz w:val="21"/>
          <w:szCs w:val="21"/>
          <w:shd w:val="clear" w:color="auto" w:fill="FFFFFF"/>
        </w:rPr>
        <w:t xml:space="preserve"> </w:t>
      </w:r>
      <w:r w:rsidRPr="00BD042D" w:rsidR="00BD042D">
        <w:rPr>
          <w:i/>
          <w:iCs/>
        </w:rPr>
        <w:t>Social Work, 43</w:t>
      </w:r>
      <w:r w:rsidRPr="00BD042D" w:rsidR="00BD042D">
        <w:t>(335-345</w:t>
      </w:r>
      <w:r w:rsidR="00BD042D">
        <w:t>)</w:t>
      </w:r>
      <w:r w:rsidRPr="00BD042D" w:rsidR="00BD042D">
        <w:t>.</w:t>
      </w:r>
    </w:p>
    <w:p w:rsidR="000B135F" w:rsidP="00563ECB" w14:paraId="46CF3A7A" w14:textId="26A34237">
      <w:pPr>
        <w:pStyle w:val="GLSReference"/>
        <w:jc w:val="left"/>
      </w:pPr>
      <w:r w:rsidRPr="000B135F">
        <w:t>Godoy</w:t>
      </w:r>
      <w:r>
        <w:t>-</w:t>
      </w:r>
      <w:r w:rsidRPr="000B135F">
        <w:t xml:space="preserve">Garraza, L., Kuiper, N., Goldston, D., McKeon, R., &amp; Walrath, C. (2019). Long‐term impact of the Garrett Lee Smith Youth Suicide Prevention Program on youth suicide mortality, 2006–2015. </w:t>
      </w:r>
      <w:r w:rsidRPr="000B135F">
        <w:rPr>
          <w:i/>
          <w:iCs/>
        </w:rPr>
        <w:t>Journal of Child Psychology and Psychiatry</w:t>
      </w:r>
      <w:r w:rsidRPr="000B135F">
        <w:t xml:space="preserve">, </w:t>
      </w:r>
      <w:r w:rsidRPr="000B135F">
        <w:rPr>
          <w:i/>
          <w:iCs/>
        </w:rPr>
        <w:t>60</w:t>
      </w:r>
      <w:r w:rsidRPr="000B135F">
        <w:t xml:space="preserve">(10), 1142–1147. </w:t>
      </w:r>
      <w:hyperlink r:id="rId14" w:history="1">
        <w:r w:rsidRPr="000B135F">
          <w:rPr>
            <w:rStyle w:val="Hyperlink"/>
          </w:rPr>
          <w:t>https://doi.org/10.1111/jcpp.13058</w:t>
        </w:r>
      </w:hyperlink>
    </w:p>
    <w:p w:rsidR="008A3501" w:rsidRPr="008A3501" w:rsidP="00563ECB" w14:paraId="2DE5AA25" w14:textId="45897EB8">
      <w:pPr>
        <w:pStyle w:val="GLSReference"/>
        <w:jc w:val="left"/>
      </w:pPr>
      <w:r w:rsidRPr="008A3501">
        <w:t>Godoy</w:t>
      </w:r>
      <w:r w:rsidR="00AD20E2">
        <w:t>-</w:t>
      </w:r>
      <w:r w:rsidRPr="008A3501">
        <w:t xml:space="preserve">Garraza, L., Kuiper, N., Cross, W. F., Hicks, B., &amp; Walrath, C. (2020). The Effectiveness of Active Learning Strategies in Gatekeeper Training on Behavioral Outcomes. </w:t>
      </w:r>
      <w:r w:rsidRPr="008A3501">
        <w:rPr>
          <w:i/>
          <w:iCs/>
        </w:rPr>
        <w:t>Crisis</w:t>
      </w:r>
      <w:r w:rsidRPr="008A3501">
        <w:t xml:space="preserve">, </w:t>
      </w:r>
      <w:r w:rsidRPr="008A3501">
        <w:rPr>
          <w:i/>
          <w:iCs/>
        </w:rPr>
        <w:t>42</w:t>
      </w:r>
      <w:r w:rsidRPr="008A3501">
        <w:t xml:space="preserve">(5), 360–368. </w:t>
      </w:r>
      <w:hyperlink r:id="rId15" w:history="1">
        <w:r w:rsidRPr="008A3501">
          <w:rPr>
            <w:rStyle w:val="Hyperlink"/>
          </w:rPr>
          <w:t>https://doi.org/10.1027/0227-5910/a000733</w:t>
        </w:r>
      </w:hyperlink>
    </w:p>
    <w:p w:rsidR="00607798" w:rsidRPr="00607798" w:rsidP="00563ECB" w14:paraId="4639A04F" w14:textId="6927BBD7">
      <w:pPr>
        <w:pStyle w:val="GLSReference"/>
        <w:jc w:val="left"/>
      </w:pPr>
      <w:r>
        <w:t xml:space="preserve">Godoy-Garraza, L., Peart-Boyce, S., Walrath, C., Goldston, D. B., &amp; McKeon, R. (2018a). An economic evaluation of the Garrett Lee Smith Memorial Suicide Prevention Program. </w:t>
      </w:r>
      <w:r>
        <w:rPr>
          <w:i/>
        </w:rPr>
        <w:t>Suicide and Life-Threatening Behavior, 48</w:t>
      </w:r>
      <w:r>
        <w:t>(1), 3-11.</w:t>
      </w:r>
    </w:p>
    <w:p w:rsidR="006A46E2" w:rsidP="00563ECB" w14:paraId="10CCF8C8" w14:textId="235D1D4C">
      <w:pPr>
        <w:pStyle w:val="GLSReference"/>
        <w:jc w:val="left"/>
      </w:pPr>
      <w:r>
        <w:t>Godoy-Garraza, L., Walrath, C., Kuiper, N., Goldston, D., &amp; McKeon, R. (2018</w:t>
      </w:r>
      <w:r w:rsidR="00607798">
        <w:t>b</w:t>
      </w:r>
      <w:r>
        <w:t>). The impact of GLS prevention activities on youth suicide mortality from 2006 to 2015. Presented at the 51</w:t>
      </w:r>
      <w:r w:rsidRPr="006A46E2">
        <w:rPr>
          <w:vertAlign w:val="superscript"/>
        </w:rPr>
        <w:t>st</w:t>
      </w:r>
      <w:r>
        <w:t xml:space="preserve"> American Suicidology Conference, Washington, D.C.</w:t>
      </w:r>
    </w:p>
    <w:p w:rsidR="003C6393" w:rsidP="00563ECB" w14:paraId="70565A89" w14:textId="0119BC55">
      <w:pPr>
        <w:pStyle w:val="GLSReference"/>
        <w:jc w:val="left"/>
      </w:pPr>
      <w:r w:rsidRPr="00562A87">
        <w:t xml:space="preserve">Goldston, D. B., &amp; Walrath, C. (2023). The Garrett Lee Smith Memorial Act: A Description and Review of the Suicide Prevention Initiative. </w:t>
      </w:r>
      <w:r w:rsidRPr="00562A87">
        <w:rPr>
          <w:i/>
          <w:iCs/>
        </w:rPr>
        <w:t>Annual Review of Clinical Psychology</w:t>
      </w:r>
      <w:r w:rsidRPr="00562A87">
        <w:t xml:space="preserve">, </w:t>
      </w:r>
      <w:r w:rsidRPr="00562A87">
        <w:rPr>
          <w:i/>
          <w:iCs/>
        </w:rPr>
        <w:t>19</w:t>
      </w:r>
      <w:r w:rsidRPr="00562A87">
        <w:t xml:space="preserve">(1), 261–275. </w:t>
      </w:r>
      <w:hyperlink r:id="rId16" w:history="1">
        <w:r w:rsidRPr="00562A87">
          <w:rPr>
            <w:rStyle w:val="Hyperlink"/>
          </w:rPr>
          <w:t>https://doi.org/10.1146/annurev-clinpsy-080921-082634</w:t>
        </w:r>
      </w:hyperlink>
    </w:p>
    <w:p w:rsidR="00561D0F" w:rsidP="00563ECB" w14:paraId="483707D5" w14:textId="02E9DA11">
      <w:pPr>
        <w:pStyle w:val="GLSReference"/>
        <w:jc w:val="left"/>
      </w:pPr>
      <w:r>
        <w:t xml:space="preserve">Goldston, D. B., </w:t>
      </w:r>
      <w:r>
        <w:t>Molock</w:t>
      </w:r>
      <w:r>
        <w:t xml:space="preserve">, S. D., Whitbeck, L. B., Murakami, J. L., Zayas, L. H., &amp; Hall, G. C. (2008). Cultural considerations in adolescent suicide prevention and psychosocial treatment. </w:t>
      </w:r>
      <w:r>
        <w:rPr>
          <w:i/>
        </w:rPr>
        <w:t>American Psychologist, 63</w:t>
      </w:r>
      <w:r>
        <w:t>(1), 14–31.</w:t>
      </w:r>
    </w:p>
    <w:p w:rsidR="00561D0F" w:rsidP="00563ECB" w14:paraId="2D57D61C" w14:textId="77777777">
      <w:pPr>
        <w:pStyle w:val="GLSReference"/>
        <w:jc w:val="left"/>
      </w:pPr>
      <w:r>
        <w:t xml:space="preserve">Gould, M. S., Cross, W., Pisani, A. R., </w:t>
      </w:r>
      <w:r>
        <w:t>Munfakh</w:t>
      </w:r>
      <w:r>
        <w:t xml:space="preserve">, J. L., &amp; Kleinman, M. (2013). Impact of applied suicide intervention skills training on the National Suicide Prevention Lifeline. </w:t>
      </w:r>
      <w:r>
        <w:rPr>
          <w:i/>
        </w:rPr>
        <w:t xml:space="preserve">Suicide and </w:t>
      </w:r>
      <w:r>
        <w:rPr>
          <w:i/>
        </w:rPr>
        <w:t>Life Threatening</w:t>
      </w:r>
      <w:r>
        <w:rPr>
          <w:i/>
        </w:rPr>
        <w:t xml:space="preserve"> Behavior, 43</w:t>
      </w:r>
      <w:r>
        <w:t>(6), 676–691.</w:t>
      </w:r>
    </w:p>
    <w:p w:rsidR="00561D0F" w:rsidP="00563ECB" w14:paraId="1DBDC166" w14:textId="77777777">
      <w:pPr>
        <w:pStyle w:val="GLSReference"/>
        <w:jc w:val="left"/>
      </w:pPr>
      <w:r>
        <w:t xml:space="preserve">Gould, M. S., &amp; Kalafat, J. (2009). Role of crisis hotlines in suicide prevention. In D. Wasserman &amp; C. Wasserman (Eds.), </w:t>
      </w:r>
      <w:r>
        <w:rPr>
          <w:i/>
        </w:rPr>
        <w:t>The Oxford textbook of suicidology—The five continents perspective</w:t>
      </w:r>
      <w:r>
        <w:t xml:space="preserve"> (pp. 459–462). Oxford, UK: Oxford University Press. </w:t>
      </w:r>
    </w:p>
    <w:p w:rsidR="00561D0F" w:rsidP="00563ECB" w14:paraId="13B12CA4" w14:textId="77777777">
      <w:pPr>
        <w:pStyle w:val="GLSReference"/>
        <w:jc w:val="left"/>
      </w:pPr>
      <w:r>
        <w:t xml:space="preserve">Gould, M. S., Kalafat, J., </w:t>
      </w:r>
      <w:r>
        <w:t>Munfakh</w:t>
      </w:r>
      <w:r>
        <w:t>, J. L. H., &amp; Kleinman, M. (2007). An evaluation of crisis hotline outcomes, Part II: Suicidal callers</w:t>
      </w:r>
      <w:r>
        <w:rPr>
          <w:i/>
        </w:rPr>
        <w:t xml:space="preserve">. Suicide and </w:t>
      </w:r>
      <w:r>
        <w:rPr>
          <w:i/>
        </w:rPr>
        <w:t>Life Threatening</w:t>
      </w:r>
      <w:r>
        <w:rPr>
          <w:i/>
        </w:rPr>
        <w:t xml:space="preserve"> Behavior, 37</w:t>
      </w:r>
      <w:r>
        <w:t>(3), 338–352.</w:t>
      </w:r>
    </w:p>
    <w:p w:rsidR="006A46E2" w:rsidRPr="006A46E2" w:rsidP="00563ECB" w14:paraId="2D0C6678" w14:textId="5ED6E475">
      <w:pPr>
        <w:pStyle w:val="GLSReference"/>
        <w:jc w:val="left"/>
      </w:pPr>
      <w:r>
        <w:t xml:space="preserve">Gould, M. S., Lake, A. M., </w:t>
      </w:r>
      <w:r>
        <w:t>Munfakh</w:t>
      </w:r>
      <w:r>
        <w:t xml:space="preserve">, J. L., </w:t>
      </w:r>
      <w:r>
        <w:t>Galfalvy</w:t>
      </w:r>
      <w:r>
        <w:t xml:space="preserve">, H., Kleinman, M., Williams, C., Glass, A., &amp; McKeon, R. (2016). Helping Callers to the National Suicide Prevention Lifeline Who Are at Imminent Risk of Suicide: Evaluation of Caller Risk Profiles and Interventions Implemented. </w:t>
      </w:r>
      <w:r>
        <w:rPr>
          <w:i/>
        </w:rPr>
        <w:t>Suicide and Life-Threatening Behavior, 46</w:t>
      </w:r>
      <w:r>
        <w:t>(2), 172-90.</w:t>
      </w:r>
    </w:p>
    <w:p w:rsidR="00561D0F" w:rsidP="00563ECB" w14:paraId="0F0A471A" w14:textId="77777777">
      <w:pPr>
        <w:pStyle w:val="GLSReference"/>
        <w:jc w:val="left"/>
      </w:pPr>
      <w:r>
        <w:t xml:space="preserve">Gould, M. S., </w:t>
      </w:r>
      <w:r>
        <w:t>Munfakh</w:t>
      </w:r>
      <w:r>
        <w:t xml:space="preserve">, J. L. H., Kleinman, M., &amp; Lake, A. M. (2012). National Suicide Prevention Lifeline: Enhancing mental health care for suicidal individuals and other people in crisis. </w:t>
      </w:r>
      <w:r>
        <w:rPr>
          <w:i/>
        </w:rPr>
        <w:t>Suicide and Life-Threatening Behavior, 42</w:t>
      </w:r>
      <w:r>
        <w:t>(1), 22–35.</w:t>
      </w:r>
    </w:p>
    <w:p w:rsidR="00561D0F" w:rsidP="00563ECB" w14:paraId="18567AC7" w14:textId="77777777">
      <w:pPr>
        <w:pStyle w:val="GLSReference"/>
        <w:jc w:val="left"/>
        <w:rPr>
          <w:rFonts w:eastAsiaTheme="minorHAnsi"/>
        </w:rPr>
      </w:pPr>
      <w:r>
        <w:rPr>
          <w:rFonts w:eastAsiaTheme="minorHAnsi"/>
        </w:rPr>
        <w:t>Heilbron</w:t>
      </w:r>
      <w:r>
        <w:rPr>
          <w:rFonts w:eastAsiaTheme="minorHAnsi"/>
        </w:rPr>
        <w:t xml:space="preserve">, N., Goldston, D., Walrath, C., </w:t>
      </w:r>
      <w:r>
        <w:rPr>
          <w:rFonts w:eastAsiaTheme="minorHAnsi"/>
        </w:rPr>
        <w:t>Rodi</w:t>
      </w:r>
      <w:r>
        <w:rPr>
          <w:rFonts w:eastAsiaTheme="minorHAnsi"/>
        </w:rPr>
        <w:t xml:space="preserve">, M., &amp; McKeon, R. (2013). Suicide risk protocols: Addressing the needs of </w:t>
      </w:r>
      <w:r>
        <w:rPr>
          <w:rFonts w:eastAsiaTheme="minorHAnsi"/>
        </w:rPr>
        <w:t>high risk</w:t>
      </w:r>
      <w:r>
        <w:rPr>
          <w:rFonts w:eastAsiaTheme="minorHAnsi"/>
        </w:rPr>
        <w:t xml:space="preserve"> youths identified through suicide prevention efforts and in clinical settings. </w:t>
      </w:r>
      <w:r>
        <w:rPr>
          <w:rFonts w:eastAsiaTheme="minorHAnsi"/>
          <w:i/>
        </w:rPr>
        <w:t>Suicide and Life-Threatening Behavior, 43</w:t>
      </w:r>
      <w:r>
        <w:rPr>
          <w:rFonts w:eastAsiaTheme="minorHAnsi"/>
        </w:rPr>
        <w:t>(2), 150–160.</w:t>
      </w:r>
    </w:p>
    <w:p w:rsidR="00561D0F" w:rsidP="00563ECB" w14:paraId="446665D3" w14:textId="4B4CCA21">
      <w:pPr>
        <w:pStyle w:val="GLSReference"/>
        <w:jc w:val="left"/>
      </w:pPr>
      <w:r>
        <w:t>ICF International. (2018</w:t>
      </w:r>
      <w:r>
        <w:t xml:space="preserve">). </w:t>
      </w:r>
      <w:r>
        <w:rPr>
          <w:i/>
        </w:rPr>
        <w:t xml:space="preserve">Garrett Lee Smith Youth Suicide Prevention and Early Intervention Cross-site Evaluation: </w:t>
      </w:r>
      <w:r>
        <w:rPr>
          <w:i/>
        </w:rPr>
        <w:t>Report to Congress</w:t>
      </w:r>
      <w:r>
        <w:t xml:space="preserve"> (Report to </w:t>
      </w:r>
      <w:r>
        <w:t>the Substance Abuse and Mental Health Services Administration</w:t>
      </w:r>
      <w:r>
        <w:t xml:space="preserve">). Atlanta, GA: Author. </w:t>
      </w:r>
    </w:p>
    <w:p w:rsidR="00DF4CDC" w:rsidP="00563ECB" w14:paraId="57A9F4AD" w14:textId="676B55B0">
      <w:pPr>
        <w:pStyle w:val="GLSReference"/>
        <w:jc w:val="left"/>
      </w:pPr>
      <w:r>
        <w:t xml:space="preserve">Institute of Medicine. (2002). Reducing Suicide: A National Imperative. National Academy Press, Washington, D.C. </w:t>
      </w:r>
      <w:r w:rsidRPr="00DF4CDC">
        <w:t>https://doi.org/10.17226/10398</w:t>
      </w:r>
    </w:p>
    <w:p w:rsidR="00561D0F" w:rsidP="00563ECB" w14:paraId="3A306DEA" w14:textId="1ADE9371">
      <w:pPr>
        <w:pStyle w:val="GLSReference"/>
        <w:jc w:val="left"/>
      </w:pPr>
      <w:r>
        <w:t xml:space="preserve">Isaac, M., Elias, B., Katz, L. Y., </w:t>
      </w:r>
      <w:r>
        <w:t>Belik</w:t>
      </w:r>
      <w:r>
        <w:t xml:space="preserve">, S., Deane, F. P., Enns, M. W., et al. (2009). Gatekeeper training as a preventative intervention for suicide: A systematic review. </w:t>
      </w:r>
      <w:r>
        <w:rPr>
          <w:i/>
        </w:rPr>
        <w:t xml:space="preserve">Canadian Journal of Psychiatry-Revue Canadienne de </w:t>
      </w:r>
      <w:r>
        <w:rPr>
          <w:i/>
        </w:rPr>
        <w:t>Psychiatrie</w:t>
      </w:r>
      <w:r>
        <w:t xml:space="preserve">, </w:t>
      </w:r>
      <w:r>
        <w:rPr>
          <w:i/>
        </w:rPr>
        <w:t>54,</w:t>
      </w:r>
      <w:r>
        <w:t xml:space="preserve"> 260–268. </w:t>
      </w:r>
    </w:p>
    <w:p w:rsidR="006A46E2" w:rsidRPr="006A46E2" w:rsidP="00563ECB" w14:paraId="7507343E" w14:textId="6C0A59FD">
      <w:pPr>
        <w:pStyle w:val="GLSReference"/>
        <w:jc w:val="left"/>
      </w:pPr>
      <w:r>
        <w:t>Kalafat, J., Gould, M. S., Harris-</w:t>
      </w:r>
      <w:r>
        <w:t>Munfakh</w:t>
      </w:r>
      <w:r>
        <w:t xml:space="preserve">, J. L., &amp; Kleinman, M. (2007). An evaluation of crisis hotline </w:t>
      </w:r>
      <w:r>
        <w:t>outcomes</w:t>
      </w:r>
      <w:r>
        <w:t xml:space="preserve"> part 1: </w:t>
      </w:r>
      <w:r>
        <w:t>Nonsuicidal</w:t>
      </w:r>
      <w:r>
        <w:t xml:space="preserve"> crisis callers. </w:t>
      </w:r>
      <w:r>
        <w:rPr>
          <w:i/>
        </w:rPr>
        <w:t>Suicide and Life-Threatening Behavior, 37</w:t>
      </w:r>
      <w:r>
        <w:t>(3), 322-37.</w:t>
      </w:r>
    </w:p>
    <w:p w:rsidR="00561D0F" w:rsidP="00563ECB" w14:paraId="6EF57CF3" w14:textId="77777777">
      <w:pPr>
        <w:pStyle w:val="GLSReference"/>
        <w:jc w:val="left"/>
      </w:pPr>
      <w:r>
        <w:t xml:space="preserve">Keller, D. P., </w:t>
      </w:r>
      <w:r>
        <w:t>Schut</w:t>
      </w:r>
      <w:r>
        <w:t xml:space="preserve">, L. J., Puddy, R. W., Williams, L., Stephens, R. L., McKeon, R., et. al. (2009). Tennessee lives count: Statewide gatekeeper training for youth suicide prevention. </w:t>
      </w:r>
      <w:r>
        <w:rPr>
          <w:i/>
        </w:rPr>
        <w:t>Professional Psychology: Research and Practice, 40</w:t>
      </w:r>
      <w:r>
        <w:t>(2), 126–133.</w:t>
      </w:r>
    </w:p>
    <w:p w:rsidR="00561D0F" w:rsidP="00563ECB" w14:paraId="5AC77967" w14:textId="77777777">
      <w:pPr>
        <w:pStyle w:val="GLSReference"/>
        <w:jc w:val="left"/>
        <w:rPr>
          <w:color w:val="000000"/>
        </w:rPr>
      </w:pPr>
      <w:r>
        <w:rPr>
          <w:color w:val="000000"/>
        </w:rPr>
        <w:t xml:space="preserve">King, K. A. &amp; Smith, J. (2000). Project Soar: A training program to increase school counselors’ knowledge and confidence regarding suicide prevention and intervention. </w:t>
      </w:r>
      <w:r>
        <w:rPr>
          <w:i/>
          <w:color w:val="000000"/>
        </w:rPr>
        <w:t>Journal of School Health, 70</w:t>
      </w:r>
      <w:r>
        <w:rPr>
          <w:color w:val="000000"/>
        </w:rPr>
        <w:t>(10), 402</w:t>
      </w:r>
      <w:r>
        <w:t>–</w:t>
      </w:r>
      <w:r>
        <w:rPr>
          <w:color w:val="000000"/>
        </w:rPr>
        <w:t xml:space="preserve">407. </w:t>
      </w:r>
    </w:p>
    <w:p w:rsidR="00561D0F" w:rsidP="00563ECB" w14:paraId="31893976" w14:textId="77777777">
      <w:pPr>
        <w:pStyle w:val="GLSReference"/>
        <w:jc w:val="left"/>
        <w:rPr>
          <w:color w:val="000000"/>
        </w:rPr>
      </w:pPr>
      <w:r>
        <w:rPr>
          <w:color w:val="000000"/>
        </w:rPr>
        <w:t xml:space="preserve">King, R., </w:t>
      </w:r>
      <w:r>
        <w:rPr>
          <w:color w:val="000000"/>
        </w:rPr>
        <w:t>Nurcombe</w:t>
      </w:r>
      <w:r>
        <w:rPr>
          <w:color w:val="000000"/>
        </w:rPr>
        <w:t xml:space="preserve">, R., </w:t>
      </w:r>
      <w:r>
        <w:rPr>
          <w:color w:val="000000"/>
        </w:rPr>
        <w:t>Bickman</w:t>
      </w:r>
      <w:r>
        <w:rPr>
          <w:color w:val="000000"/>
        </w:rPr>
        <w:t xml:space="preserve">, L., Hides, L., &amp; Reid, W. (2003). Telephone counseling for adolescent suicide prevention: Changes in suicidality and mental state from beginning to end of a counseling session. </w:t>
      </w:r>
      <w:r>
        <w:rPr>
          <w:i/>
          <w:color w:val="000000"/>
        </w:rPr>
        <w:t xml:space="preserve">Suicide and </w:t>
      </w:r>
      <w:r>
        <w:rPr>
          <w:i/>
          <w:color w:val="000000"/>
        </w:rPr>
        <w:t>Life Threatening</w:t>
      </w:r>
      <w:r>
        <w:rPr>
          <w:i/>
          <w:color w:val="000000"/>
        </w:rPr>
        <w:t xml:space="preserve"> Behavior, 33</w:t>
      </w:r>
      <w:r>
        <w:rPr>
          <w:color w:val="000000"/>
        </w:rPr>
        <w:t>(4), 400</w:t>
      </w:r>
      <w:r>
        <w:t>–</w:t>
      </w:r>
      <w:r>
        <w:rPr>
          <w:color w:val="000000"/>
        </w:rPr>
        <w:t>411.</w:t>
      </w:r>
    </w:p>
    <w:p w:rsidR="00561D0F" w:rsidP="00563ECB" w14:paraId="786E43EC" w14:textId="77777777">
      <w:pPr>
        <w:pStyle w:val="GLSReference"/>
        <w:jc w:val="left"/>
        <w:rPr>
          <w:color w:val="000000"/>
        </w:rPr>
      </w:pPr>
      <w:r>
        <w:rPr>
          <w:color w:val="000000"/>
        </w:rPr>
        <w:t xml:space="preserve">King, K. A., </w:t>
      </w:r>
      <w:r>
        <w:rPr>
          <w:color w:val="000000"/>
        </w:rPr>
        <w:t>Vidourek</w:t>
      </w:r>
      <w:r>
        <w:rPr>
          <w:color w:val="000000"/>
        </w:rPr>
        <w:t xml:space="preserve">, R. A., &amp; Strader, J. L. (2008). University </w:t>
      </w:r>
      <w:r>
        <w:rPr>
          <w:color w:val="000000"/>
        </w:rPr>
        <w:t>students’</w:t>
      </w:r>
      <w:r>
        <w:rPr>
          <w:color w:val="000000"/>
        </w:rPr>
        <w:t xml:space="preserve"> perceived self-efficacy in identifying suicidal warning signs and helping suicidal friends find campus intervention resources. </w:t>
      </w:r>
      <w:r>
        <w:rPr>
          <w:i/>
          <w:color w:val="000000"/>
        </w:rPr>
        <w:t xml:space="preserve">Suicide and </w:t>
      </w:r>
      <w:r>
        <w:rPr>
          <w:i/>
          <w:color w:val="000000"/>
        </w:rPr>
        <w:t>Life Threatening</w:t>
      </w:r>
      <w:r>
        <w:rPr>
          <w:i/>
          <w:color w:val="000000"/>
        </w:rPr>
        <w:t xml:space="preserve"> Behavior, 38</w:t>
      </w:r>
      <w:r>
        <w:rPr>
          <w:color w:val="000000"/>
        </w:rPr>
        <w:t>(5), 608–617.</w:t>
      </w:r>
    </w:p>
    <w:p w:rsidR="00561D0F" w:rsidP="00563ECB" w14:paraId="3930AFB1" w14:textId="77777777">
      <w:pPr>
        <w:pStyle w:val="GLSReference"/>
        <w:jc w:val="left"/>
        <w:rPr>
          <w:color w:val="000000"/>
        </w:rPr>
      </w:pPr>
      <w:r>
        <w:rPr>
          <w:color w:val="000000"/>
        </w:rPr>
        <w:t xml:space="preserve">Knox, K. L., Kemp, J., McKeon, R., &amp; Katz, I. R. (2012). Implementation and early utilization of a suicide hotline for veterans. </w:t>
      </w:r>
      <w:r>
        <w:rPr>
          <w:i/>
          <w:color w:val="000000"/>
        </w:rPr>
        <w:t>American Journal of Public Health, 102</w:t>
      </w:r>
      <w:r>
        <w:rPr>
          <w:color w:val="000000"/>
        </w:rPr>
        <w:t>(Suppl. 1), S29–S32.</w:t>
      </w:r>
    </w:p>
    <w:p w:rsidR="00782FD3" w:rsidP="00563ECB" w14:paraId="644A6641" w14:textId="0B6CEA75">
      <w:pPr>
        <w:pStyle w:val="GLSReference"/>
        <w:jc w:val="left"/>
        <w:rPr>
          <w:rFonts w:eastAsiaTheme="minorHAnsi"/>
        </w:rPr>
      </w:pPr>
      <w:r w:rsidRPr="00782FD3">
        <w:rPr>
          <w:rFonts w:eastAsiaTheme="minorHAnsi"/>
        </w:rPr>
        <w:t>Leung, C., Bender, M. &amp; Kwok, S. (2020). A comparison of positive youth development against depression and suicidal ideation in youth from Hong Kong and the Netherlands. </w:t>
      </w:r>
      <w:r w:rsidRPr="00782FD3">
        <w:rPr>
          <w:rFonts w:eastAsiaTheme="minorHAnsi"/>
          <w:i/>
          <w:iCs/>
        </w:rPr>
        <w:t>International Journal of Adolescent Medicine and Health</w:t>
      </w:r>
      <w:r w:rsidRPr="00782FD3">
        <w:rPr>
          <w:rFonts w:eastAsiaTheme="minorHAnsi"/>
        </w:rPr>
        <w:t>, </w:t>
      </w:r>
      <w:r w:rsidRPr="00782FD3">
        <w:rPr>
          <w:rFonts w:eastAsiaTheme="minorHAnsi"/>
          <w:i/>
          <w:iCs/>
        </w:rPr>
        <w:t>32</w:t>
      </w:r>
      <w:r w:rsidRPr="00782FD3">
        <w:rPr>
          <w:rFonts w:eastAsiaTheme="minorHAnsi"/>
        </w:rPr>
        <w:t>(2), 20170105. </w:t>
      </w:r>
      <w:hyperlink r:id="rId17" w:history="1">
        <w:r w:rsidRPr="00782FD3">
          <w:rPr>
            <w:rStyle w:val="Hyperlink"/>
            <w:rFonts w:eastAsiaTheme="minorHAnsi"/>
          </w:rPr>
          <w:t>https://doi.org/10.1515/ijamh-2017-0105</w:t>
        </w:r>
      </w:hyperlink>
    </w:p>
    <w:p w:rsidR="006A46E2" w:rsidP="00563ECB" w14:paraId="229661DB" w14:textId="06CC3CF0">
      <w:pPr>
        <w:pStyle w:val="GLSReference"/>
        <w:jc w:val="left"/>
        <w:rPr>
          <w:rFonts w:eastAsiaTheme="minorHAnsi"/>
        </w:rPr>
      </w:pPr>
      <w:r>
        <w:rPr>
          <w:rFonts w:eastAsiaTheme="minorHAnsi"/>
        </w:rPr>
        <w:t>LeViness</w:t>
      </w:r>
      <w:r>
        <w:rPr>
          <w:rFonts w:eastAsiaTheme="minorHAnsi"/>
        </w:rPr>
        <w:t xml:space="preserve">, P., </w:t>
      </w:r>
      <w:r>
        <w:rPr>
          <w:rFonts w:eastAsiaTheme="minorHAnsi"/>
        </w:rPr>
        <w:t>Bershad</w:t>
      </w:r>
      <w:r>
        <w:rPr>
          <w:rFonts w:eastAsiaTheme="minorHAnsi"/>
        </w:rPr>
        <w:t xml:space="preserve">, C., &amp; Gorman, K. (2017). The Association for University and College Counseling Center Directors Annual Survey: Reporting period: July 1, </w:t>
      </w:r>
      <w:r>
        <w:rPr>
          <w:rFonts w:eastAsiaTheme="minorHAnsi"/>
        </w:rPr>
        <w:t>2016</w:t>
      </w:r>
      <w:r>
        <w:rPr>
          <w:rFonts w:eastAsiaTheme="minorHAnsi"/>
        </w:rPr>
        <w:t xml:space="preserve"> through June 30, 2017. Retrieved from </w:t>
      </w:r>
      <w:r w:rsidRPr="006A46E2">
        <w:rPr>
          <w:rFonts w:eastAsiaTheme="minorHAnsi"/>
        </w:rPr>
        <w:t>https://www.aucccd.org/assets/2017%20aucccd%20survey-public-apr17.pdf</w:t>
      </w:r>
      <w:r>
        <w:rPr>
          <w:rFonts w:eastAsiaTheme="minorHAnsi"/>
        </w:rPr>
        <w:t>.</w:t>
      </w:r>
    </w:p>
    <w:p w:rsidR="00561D0F" w:rsidP="00563ECB" w14:paraId="1BD0F5FD" w14:textId="77777777">
      <w:pPr>
        <w:pStyle w:val="GLSReference"/>
        <w:jc w:val="left"/>
        <w:rPr>
          <w:rFonts w:eastAsiaTheme="minorHAnsi"/>
        </w:rPr>
      </w:pPr>
      <w:r>
        <w:rPr>
          <w:rFonts w:eastAsiaTheme="minorHAnsi"/>
        </w:rPr>
        <w:t xml:space="preserve">Lynch, F. L. (2014). Population health outcome models in suicide prevention policy. </w:t>
      </w:r>
      <w:r>
        <w:rPr>
          <w:rFonts w:eastAsiaTheme="minorHAnsi"/>
          <w:i/>
        </w:rPr>
        <w:t>American Journal of Preventive Medicine, 47</w:t>
      </w:r>
      <w:r>
        <w:rPr>
          <w:rFonts w:eastAsiaTheme="minorHAnsi"/>
        </w:rPr>
        <w:t>(3S2), S137–S143.</w:t>
      </w:r>
    </w:p>
    <w:p w:rsidR="00561D0F" w:rsidP="00563ECB" w14:paraId="3A79B8D6" w14:textId="77777777">
      <w:pPr>
        <w:pStyle w:val="GLSReference"/>
        <w:jc w:val="left"/>
      </w:pPr>
      <w:r>
        <w:rPr>
          <w:color w:val="000000"/>
        </w:rPr>
        <w:t xml:space="preserve">Matthieu, M. M., Cross, W., </w:t>
      </w:r>
      <w:r>
        <w:rPr>
          <w:color w:val="000000"/>
        </w:rPr>
        <w:t>Batres</w:t>
      </w:r>
      <w:r>
        <w:rPr>
          <w:color w:val="000000"/>
        </w:rPr>
        <w:t>, A. R., Flora, C. M., &amp; Knox, K. L</w:t>
      </w:r>
      <w:r>
        <w:t>. (2008). Evaluation of gatekeeper training for suicide prevention in veterans</w:t>
      </w:r>
      <w:r>
        <w:rPr>
          <w:i/>
        </w:rPr>
        <w:t>. Archives of Suicide Research, 12</w:t>
      </w:r>
      <w:r>
        <w:t>(2), 148–154.</w:t>
      </w:r>
    </w:p>
    <w:p w:rsidR="00561D0F" w:rsidP="00563ECB" w14:paraId="33360302" w14:textId="77777777">
      <w:pPr>
        <w:pStyle w:val="GLSReference"/>
        <w:jc w:val="left"/>
      </w:pPr>
      <w:r>
        <w:t>Mishara</w:t>
      </w:r>
      <w:r>
        <w:t xml:space="preserve">, B. L., </w:t>
      </w:r>
      <w:r>
        <w:t>Chagnon</w:t>
      </w:r>
      <w:r>
        <w:t xml:space="preserve">, F., Daigle, M., Balan, M., Raymond, S., Marcoux, I., et al. (2007a). Which helper behaviors and intervention styles are related to better </w:t>
      </w:r>
      <w:r>
        <w:t>short term</w:t>
      </w:r>
      <w:r>
        <w:t xml:space="preserve"> outcomes in telephone crisis intervention? Results from a silent monitoring study of calls to the U.S. 1-800-SUICIDE Network. </w:t>
      </w:r>
      <w:r>
        <w:rPr>
          <w:i/>
        </w:rPr>
        <w:t xml:space="preserve">Suicide and </w:t>
      </w:r>
      <w:r>
        <w:rPr>
          <w:i/>
        </w:rPr>
        <w:t>Life Threatening</w:t>
      </w:r>
      <w:r>
        <w:rPr>
          <w:i/>
        </w:rPr>
        <w:t xml:space="preserve"> Behavior, 37</w:t>
      </w:r>
      <w:r>
        <w:t>(3), 291–307.</w:t>
      </w:r>
    </w:p>
    <w:p w:rsidR="00561D0F" w:rsidP="00563ECB" w14:paraId="3A1E431C" w14:textId="59A77E22">
      <w:pPr>
        <w:pStyle w:val="GLSReference"/>
        <w:jc w:val="left"/>
      </w:pPr>
      <w:r>
        <w:t>Mishara</w:t>
      </w:r>
      <w:r>
        <w:t xml:space="preserve">, B. L., </w:t>
      </w:r>
      <w:r>
        <w:t>Chagnon</w:t>
      </w:r>
      <w:r>
        <w:t>, F., Daigle, M., Balan, M., Raymond, S., Marcoux, I., et al.</w:t>
      </w:r>
      <w:r>
        <w:t xml:space="preserve"> (2007b). Comparing models of helper behavior to actual practice in telephone crisis intervention: A silent monitoring study of calls to the U.S. 1-800-SUICIDE Network. </w:t>
      </w:r>
      <w:r>
        <w:rPr>
          <w:i/>
        </w:rPr>
        <w:t xml:space="preserve">Suicide and </w:t>
      </w:r>
      <w:r>
        <w:rPr>
          <w:i/>
        </w:rPr>
        <w:t>Life Threatening</w:t>
      </w:r>
      <w:r>
        <w:rPr>
          <w:i/>
        </w:rPr>
        <w:t xml:space="preserve"> Behavior, 37</w:t>
      </w:r>
      <w:r>
        <w:t>(3), 308–321.</w:t>
      </w:r>
    </w:p>
    <w:p w:rsidR="00561D0F" w:rsidP="00563ECB" w14:paraId="6F908CA1" w14:textId="77777777">
      <w:pPr>
        <w:pStyle w:val="GLSReference"/>
        <w:jc w:val="left"/>
      </w:pPr>
      <w:r>
        <w:t xml:space="preserve">National Action Alliance for Suicide Prevention. (2014). </w:t>
      </w:r>
      <w:r>
        <w:rPr>
          <w:i/>
        </w:rPr>
        <w:t xml:space="preserve">A prioritized research agenda for suicide prevention: An action plan to save lives. </w:t>
      </w:r>
      <w:r>
        <w:t>Rockville, MD: National Institute of Mental Health and the Research Prioritization Task Force.</w:t>
      </w:r>
    </w:p>
    <w:p w:rsidR="3DCD8D43" w:rsidP="00563ECB" w14:paraId="19DE6308" w14:textId="74AE8302">
      <w:pPr>
        <w:pStyle w:val="GLSReference"/>
        <w:jc w:val="left"/>
      </w:pPr>
      <w:r w:rsidRPr="005B4B1F">
        <w:rPr>
          <w:szCs w:val="24"/>
        </w:rPr>
        <w:t>Native Connections | SAMHSA - Substance Abuse and Mental Health Services Administration. (n.d.). Www.samhsa.gov. https://www.samhsa.gov/native-connections</w:t>
      </w:r>
    </w:p>
    <w:p w:rsidR="00561D0F" w:rsidRPr="00F45D7A" w:rsidP="00563ECB" w14:paraId="77B4870F" w14:textId="2507D11F">
      <w:pPr>
        <w:pStyle w:val="GLSReference"/>
        <w:jc w:val="left"/>
      </w:pPr>
      <w:r w:rsidRPr="00F45D7A">
        <w:rPr>
          <w:szCs w:val="24"/>
        </w:rPr>
        <w:t xml:space="preserve">New Freedom Commission on Mental Health. (2003). </w:t>
      </w:r>
      <w:r w:rsidRPr="005B4B1F" w:rsidR="00093422">
        <w:rPr>
          <w:szCs w:val="24"/>
        </w:rPr>
        <w:t>Achieving</w:t>
      </w:r>
      <w:r w:rsidRPr="005B4B1F">
        <w:rPr>
          <w:szCs w:val="24"/>
        </w:rPr>
        <w:t xml:space="preserve"> the promise: Transforming mental health care in America: Final report</w:t>
      </w:r>
      <w:r w:rsidRPr="00F45D7A">
        <w:rPr>
          <w:szCs w:val="24"/>
        </w:rPr>
        <w:t xml:space="preserve"> (DHHS Pub. No. SMA-03-3832). Rockville, MD: Author.</w:t>
      </w:r>
    </w:p>
    <w:p w:rsidR="00B43EA2" w:rsidP="00563ECB" w14:paraId="5C99567F" w14:textId="77777777">
      <w:pPr>
        <w:pStyle w:val="GLSReference"/>
        <w:jc w:val="left"/>
        <w:rPr>
          <w:szCs w:val="24"/>
        </w:rPr>
      </w:pPr>
      <w:r w:rsidRPr="009D0678">
        <w:rPr>
          <w:szCs w:val="24"/>
        </w:rPr>
        <w:t>Onyeka</w:t>
      </w:r>
      <w:r w:rsidRPr="009561D4" w:rsidR="009561D4">
        <w:rPr>
          <w:szCs w:val="24"/>
        </w:rPr>
        <w:t>,</w:t>
      </w:r>
      <w:r w:rsidRPr="009D0678">
        <w:rPr>
          <w:szCs w:val="24"/>
        </w:rPr>
        <w:t xml:space="preserve"> O</w:t>
      </w:r>
      <w:r w:rsidRPr="009561D4" w:rsidR="009561D4">
        <w:rPr>
          <w:szCs w:val="24"/>
        </w:rPr>
        <w:t>.,</w:t>
      </w:r>
      <w:r w:rsidRPr="009D0678">
        <w:rPr>
          <w:szCs w:val="24"/>
        </w:rPr>
        <w:t xml:space="preserve"> Richards</w:t>
      </w:r>
      <w:r w:rsidRPr="009561D4" w:rsidR="009561D4">
        <w:rPr>
          <w:szCs w:val="24"/>
        </w:rPr>
        <w:t>,</w:t>
      </w:r>
      <w:r w:rsidRPr="009D0678">
        <w:rPr>
          <w:szCs w:val="24"/>
        </w:rPr>
        <w:t xml:space="preserve"> M</w:t>
      </w:r>
      <w:r w:rsidRPr="009561D4" w:rsidR="009561D4">
        <w:rPr>
          <w:szCs w:val="24"/>
        </w:rPr>
        <w:t>.,</w:t>
      </w:r>
      <w:r w:rsidRPr="009D0678">
        <w:rPr>
          <w:szCs w:val="24"/>
        </w:rPr>
        <w:t xml:space="preserve"> Tyson McCrea</w:t>
      </w:r>
      <w:r w:rsidRPr="009561D4" w:rsidR="009561D4">
        <w:rPr>
          <w:szCs w:val="24"/>
        </w:rPr>
        <w:t>,</w:t>
      </w:r>
      <w:r w:rsidRPr="009D0678">
        <w:rPr>
          <w:szCs w:val="24"/>
        </w:rPr>
        <w:t xml:space="preserve"> K</w:t>
      </w:r>
      <w:r w:rsidRPr="009561D4" w:rsidR="009561D4">
        <w:rPr>
          <w:szCs w:val="24"/>
        </w:rPr>
        <w:t>.,</w:t>
      </w:r>
      <w:r w:rsidRPr="009D0678">
        <w:rPr>
          <w:szCs w:val="24"/>
        </w:rPr>
        <w:t xml:space="preserve"> Miller</w:t>
      </w:r>
      <w:r w:rsidRPr="009561D4" w:rsidR="009561D4">
        <w:rPr>
          <w:szCs w:val="24"/>
        </w:rPr>
        <w:t>,</w:t>
      </w:r>
      <w:r w:rsidRPr="009D0678">
        <w:rPr>
          <w:szCs w:val="24"/>
        </w:rPr>
        <w:t xml:space="preserve"> K</w:t>
      </w:r>
      <w:r w:rsidRPr="009561D4" w:rsidR="009561D4">
        <w:rPr>
          <w:szCs w:val="24"/>
        </w:rPr>
        <w:t>.,</w:t>
      </w:r>
      <w:r w:rsidRPr="009D0678">
        <w:rPr>
          <w:szCs w:val="24"/>
        </w:rPr>
        <w:t xml:space="preserve"> Matthews</w:t>
      </w:r>
      <w:r w:rsidRPr="009561D4" w:rsidR="009561D4">
        <w:rPr>
          <w:szCs w:val="24"/>
        </w:rPr>
        <w:t>,</w:t>
      </w:r>
      <w:r w:rsidRPr="009D0678">
        <w:rPr>
          <w:szCs w:val="24"/>
        </w:rPr>
        <w:t xml:space="preserve"> C</w:t>
      </w:r>
      <w:r w:rsidRPr="009561D4" w:rsidR="009561D4">
        <w:rPr>
          <w:szCs w:val="24"/>
        </w:rPr>
        <w:t>.,</w:t>
      </w:r>
      <w:r w:rsidRPr="009D0678">
        <w:rPr>
          <w:szCs w:val="24"/>
        </w:rPr>
        <w:t xml:space="preserve"> Donnelly</w:t>
      </w:r>
      <w:r w:rsidRPr="009561D4" w:rsidR="009561D4">
        <w:rPr>
          <w:szCs w:val="24"/>
        </w:rPr>
        <w:t>,</w:t>
      </w:r>
      <w:r w:rsidRPr="009D0678">
        <w:rPr>
          <w:szCs w:val="24"/>
        </w:rPr>
        <w:t xml:space="preserve"> W</w:t>
      </w:r>
      <w:r w:rsidRPr="009561D4" w:rsidR="009561D4">
        <w:rPr>
          <w:szCs w:val="24"/>
        </w:rPr>
        <w:t>.,</w:t>
      </w:r>
      <w:r w:rsidRPr="009D0678">
        <w:rPr>
          <w:szCs w:val="24"/>
        </w:rPr>
        <w:t xml:space="preserve"> Sarna</w:t>
      </w:r>
      <w:r w:rsidRPr="009561D4" w:rsidR="009561D4">
        <w:rPr>
          <w:szCs w:val="24"/>
        </w:rPr>
        <w:t>,</w:t>
      </w:r>
      <w:r w:rsidRPr="009D0678">
        <w:rPr>
          <w:szCs w:val="24"/>
        </w:rPr>
        <w:t xml:space="preserve"> V</w:t>
      </w:r>
      <w:r w:rsidRPr="009561D4" w:rsidR="009561D4">
        <w:rPr>
          <w:szCs w:val="24"/>
        </w:rPr>
        <w:t>.,</w:t>
      </w:r>
      <w:r w:rsidRPr="009D0678">
        <w:rPr>
          <w:szCs w:val="24"/>
        </w:rPr>
        <w:t xml:space="preserve"> Kessler</w:t>
      </w:r>
      <w:r w:rsidRPr="009561D4" w:rsidR="009561D4">
        <w:rPr>
          <w:szCs w:val="24"/>
        </w:rPr>
        <w:t>,</w:t>
      </w:r>
      <w:r w:rsidRPr="009D0678">
        <w:rPr>
          <w:szCs w:val="24"/>
        </w:rPr>
        <w:t xml:space="preserve"> J</w:t>
      </w:r>
      <w:r w:rsidRPr="009561D4" w:rsidR="009561D4">
        <w:rPr>
          <w:szCs w:val="24"/>
        </w:rPr>
        <w:t>., &amp;</w:t>
      </w:r>
      <w:r w:rsidRPr="009D0678">
        <w:rPr>
          <w:szCs w:val="24"/>
        </w:rPr>
        <w:t xml:space="preserve"> Swint</w:t>
      </w:r>
      <w:r w:rsidRPr="009561D4" w:rsidR="009561D4">
        <w:rPr>
          <w:szCs w:val="24"/>
        </w:rPr>
        <w:t>,</w:t>
      </w:r>
      <w:r w:rsidRPr="009D0678">
        <w:rPr>
          <w:szCs w:val="24"/>
        </w:rPr>
        <w:t xml:space="preserve"> K.</w:t>
      </w:r>
      <w:r w:rsidRPr="009561D4" w:rsidR="009561D4">
        <w:rPr>
          <w:szCs w:val="24"/>
        </w:rPr>
        <w:t xml:space="preserve"> (2022).</w:t>
      </w:r>
      <w:r w:rsidRPr="009D0678">
        <w:rPr>
          <w:szCs w:val="24"/>
        </w:rPr>
        <w:t xml:space="preserve"> The role of positive youth development on mental health for youth of color living in high-stress communities: A strengths-based approach.</w:t>
      </w:r>
      <w:r w:rsidRPr="009561D4" w:rsidR="009561D4">
        <w:rPr>
          <w:szCs w:val="24"/>
        </w:rPr>
        <w:t> </w:t>
      </w:r>
      <w:r w:rsidRPr="009561D4" w:rsidR="009561D4">
        <w:rPr>
          <w:i/>
          <w:iCs/>
          <w:szCs w:val="24"/>
        </w:rPr>
        <w:t>Psychological Services, 19</w:t>
      </w:r>
      <w:r w:rsidRPr="009561D4" w:rsidR="009561D4">
        <w:rPr>
          <w:szCs w:val="24"/>
        </w:rPr>
        <w:t>(Suppl 1), 72–83. </w:t>
      </w:r>
      <w:hyperlink r:id="rId18" w:tgtFrame="_blank" w:history="1">
        <w:r w:rsidRPr="009561D4" w:rsidR="009561D4">
          <w:rPr>
            <w:rStyle w:val="Hyperlink"/>
            <w:szCs w:val="24"/>
          </w:rPr>
          <w:t>https://doi.org/10.1037/ser0000593</w:t>
        </w:r>
      </w:hyperlink>
    </w:p>
    <w:p w:rsidR="00561D0F" w:rsidRPr="00F45D7A" w:rsidP="00563ECB" w14:paraId="7B07875B" w14:textId="1E271690">
      <w:pPr>
        <w:pStyle w:val="GLSReference"/>
        <w:jc w:val="left"/>
      </w:pPr>
      <w:r w:rsidRPr="00F45D7A">
        <w:rPr>
          <w:szCs w:val="24"/>
        </w:rPr>
        <w:t>Reis, C., &amp; Cornell, D. (2008). An evaluation of suicide gatekeeper training for school counselors and teachers</w:t>
      </w:r>
      <w:r w:rsidRPr="005B4B1F">
        <w:rPr>
          <w:szCs w:val="24"/>
        </w:rPr>
        <w:t>. Professional School Counselling, 11</w:t>
      </w:r>
      <w:r w:rsidRPr="00F45D7A">
        <w:rPr>
          <w:szCs w:val="24"/>
        </w:rPr>
        <w:t>(6), 386–394.</w:t>
      </w:r>
    </w:p>
    <w:p w:rsidR="00607798" w:rsidRPr="00F45D7A" w:rsidP="00563ECB" w14:paraId="71880837" w14:textId="0A541214">
      <w:pPr>
        <w:pStyle w:val="GLSReference"/>
        <w:jc w:val="left"/>
        <w:rPr>
          <w:rFonts w:eastAsiaTheme="minorHAnsi"/>
        </w:rPr>
      </w:pPr>
      <w:r w:rsidRPr="00F45D7A">
        <w:rPr>
          <w:rFonts w:eastAsiaTheme="minorHAnsi"/>
          <w:szCs w:val="24"/>
        </w:rPr>
        <w:t xml:space="preserve">Robins, J. M., </w:t>
      </w:r>
      <w:r w:rsidRPr="00F45D7A">
        <w:rPr>
          <w:rFonts w:eastAsiaTheme="minorHAnsi"/>
          <w:szCs w:val="24"/>
        </w:rPr>
        <w:t>Hernán</w:t>
      </w:r>
      <w:r w:rsidRPr="00F45D7A">
        <w:rPr>
          <w:rFonts w:eastAsiaTheme="minorHAnsi"/>
          <w:szCs w:val="24"/>
        </w:rPr>
        <w:t xml:space="preserve">, M. A., &amp; </w:t>
      </w:r>
      <w:r w:rsidRPr="00F45D7A">
        <w:rPr>
          <w:rFonts w:eastAsiaTheme="minorHAnsi"/>
          <w:szCs w:val="24"/>
        </w:rPr>
        <w:t>Brumback</w:t>
      </w:r>
      <w:r w:rsidRPr="00F45D7A">
        <w:rPr>
          <w:rFonts w:eastAsiaTheme="minorHAnsi"/>
          <w:szCs w:val="24"/>
        </w:rPr>
        <w:t xml:space="preserve">, B. (2000). Marginal structural models and causal inference in epidemiology. </w:t>
      </w:r>
      <w:r w:rsidRPr="005B4B1F">
        <w:rPr>
          <w:rFonts w:eastAsiaTheme="minorHAnsi"/>
          <w:szCs w:val="24"/>
        </w:rPr>
        <w:t>Epidemiology</w:t>
      </w:r>
      <w:r w:rsidRPr="00F45D7A">
        <w:rPr>
          <w:rFonts w:eastAsiaTheme="minorHAnsi"/>
          <w:szCs w:val="24"/>
        </w:rPr>
        <w:t xml:space="preserve">, </w:t>
      </w:r>
      <w:r w:rsidRPr="005B4B1F">
        <w:rPr>
          <w:rFonts w:eastAsiaTheme="minorHAnsi"/>
          <w:szCs w:val="24"/>
        </w:rPr>
        <w:t>11</w:t>
      </w:r>
      <w:r w:rsidRPr="00F45D7A">
        <w:rPr>
          <w:rFonts w:eastAsiaTheme="minorHAnsi"/>
          <w:szCs w:val="24"/>
        </w:rPr>
        <w:t>(5), 550-60.</w:t>
      </w:r>
    </w:p>
    <w:p w:rsidR="00561D0F" w:rsidRPr="00F45D7A" w:rsidP="00563ECB" w14:paraId="6AE0B946" w14:textId="4B76D4E8">
      <w:pPr>
        <w:pStyle w:val="GLSReference"/>
        <w:jc w:val="left"/>
        <w:rPr>
          <w:rFonts w:eastAsiaTheme="minorHAnsi"/>
        </w:rPr>
      </w:pPr>
      <w:r w:rsidRPr="00F45D7A">
        <w:rPr>
          <w:rFonts w:eastAsiaTheme="minorHAnsi"/>
          <w:szCs w:val="24"/>
        </w:rPr>
        <w:t>Rodi</w:t>
      </w:r>
      <w:r w:rsidRPr="00F45D7A">
        <w:rPr>
          <w:rFonts w:eastAsiaTheme="minorHAnsi"/>
          <w:szCs w:val="24"/>
        </w:rPr>
        <w:t>, M. S., Godoy-Garraza, L., Walrath, C., Stephens, R., Condron, D. S. Hic</w:t>
      </w:r>
      <w:r w:rsidRPr="00F45D7A" w:rsidR="00093422">
        <w:rPr>
          <w:rFonts w:eastAsiaTheme="minorHAnsi"/>
          <w:szCs w:val="24"/>
        </w:rPr>
        <w:t>ks, B. B., et al. (2012</w:t>
      </w:r>
      <w:r w:rsidRPr="00F45D7A">
        <w:rPr>
          <w:rFonts w:eastAsiaTheme="minorHAnsi"/>
          <w:szCs w:val="24"/>
        </w:rPr>
        <w:t xml:space="preserve">). Referral patterns for youth identified at risk for suicide by trained gatekeepers. </w:t>
      </w:r>
      <w:r w:rsidRPr="005B4B1F">
        <w:rPr>
          <w:rFonts w:eastAsiaTheme="minorHAnsi"/>
          <w:szCs w:val="24"/>
        </w:rPr>
        <w:t>Crisis, 33</w:t>
      </w:r>
      <w:r w:rsidRPr="00F45D7A">
        <w:rPr>
          <w:rFonts w:eastAsiaTheme="minorHAnsi"/>
          <w:szCs w:val="24"/>
        </w:rPr>
        <w:t>(2), 113–119.</w:t>
      </w:r>
    </w:p>
    <w:p w:rsidR="00607798" w:rsidRPr="00607798" w:rsidP="00563ECB" w14:paraId="04E45610" w14:textId="4051621C">
      <w:pPr>
        <w:pStyle w:val="GLSReference"/>
        <w:jc w:val="left"/>
      </w:pPr>
      <w:r w:rsidRPr="00F45D7A">
        <w:rPr>
          <w:szCs w:val="24"/>
        </w:rPr>
        <w:t>Rosenbaum, P. R., &amp; Rubin, D. B. (1984). Reducing bias in obse</w:t>
      </w:r>
      <w:r>
        <w:t xml:space="preserve">rvational studies using subclassification on the propensity score. </w:t>
      </w:r>
      <w:r>
        <w:rPr>
          <w:i/>
        </w:rPr>
        <w:t>Journal of the American Statistical Association, 79</w:t>
      </w:r>
      <w:r>
        <w:t>(387), 516-24.</w:t>
      </w:r>
    </w:p>
    <w:p w:rsidR="00607798" w:rsidRPr="00607798" w:rsidP="00563ECB" w14:paraId="5217B3BA" w14:textId="6CBC0A4E">
      <w:pPr>
        <w:pStyle w:val="GLSReference"/>
        <w:jc w:val="left"/>
      </w:pPr>
      <w:r>
        <w:t xml:space="preserve">Rosenbaum, P. R. &amp; Rubin, D. B. (1983). The central role of the propensity score in observational studies for causal effects. </w:t>
      </w:r>
      <w:r>
        <w:rPr>
          <w:i/>
        </w:rPr>
        <w:t>Biometrika</w:t>
      </w:r>
      <w:r>
        <w:t xml:space="preserve">, </w:t>
      </w:r>
      <w:r>
        <w:rPr>
          <w:i/>
        </w:rPr>
        <w:t>70</w:t>
      </w:r>
      <w:r>
        <w:t>(1), 41-55.</w:t>
      </w:r>
    </w:p>
    <w:p w:rsidR="00DA7F58" w:rsidRPr="00DA7F58" w:rsidP="00563ECB" w14:paraId="758BF2DE" w14:textId="6132AEC7">
      <w:pPr>
        <w:pStyle w:val="GLSReference"/>
        <w:jc w:val="left"/>
      </w:pPr>
      <w:r>
        <w:t xml:space="preserve">Shepard, D. S., </w:t>
      </w:r>
      <w:r>
        <w:t>Gurewich</w:t>
      </w:r>
      <w:r>
        <w:t xml:space="preserve">, D., Lwin, A. K., Reed, G. A., Jr., &amp; Silverman, M. M. (2015). Suicide and suicidal attempts in the United States: Costs and policy implications. </w:t>
      </w:r>
      <w:r>
        <w:rPr>
          <w:i/>
        </w:rPr>
        <w:t>Suicide and Life-Threatening Behavior</w:t>
      </w:r>
      <w:r>
        <w:t xml:space="preserve">, </w:t>
      </w:r>
      <w:r>
        <w:rPr>
          <w:i/>
        </w:rPr>
        <w:t>46</w:t>
      </w:r>
      <w:r>
        <w:t>(3): 352-62.</w:t>
      </w:r>
    </w:p>
    <w:p w:rsidR="00B05AEA" w:rsidRPr="00B05AEA" w:rsidP="00563ECB" w14:paraId="795158ED" w14:textId="65E2DE41">
      <w:pPr>
        <w:pStyle w:val="GLSReference"/>
        <w:jc w:val="left"/>
      </w:pPr>
      <w:r>
        <w:t xml:space="preserve">SPAN USA, Inc. (2001). </w:t>
      </w:r>
      <w:r>
        <w:rPr>
          <w:i/>
        </w:rPr>
        <w:t xml:space="preserve">Suicide Prevention: Prevention Effectiveness and Evaluation. </w:t>
      </w:r>
      <w:r>
        <w:t>SPAN USA, Washington, D.C.</w:t>
      </w:r>
    </w:p>
    <w:p w:rsidR="00D8534E" w:rsidP="00563ECB" w14:paraId="0B0DCE71" w14:textId="1F6063B6">
      <w:pPr>
        <w:pStyle w:val="GLSReference"/>
        <w:jc w:val="left"/>
      </w:pPr>
      <w:r w:rsidRPr="00D8534E">
        <w:t xml:space="preserve">Sprague Martinez, L., Richards-Schuster, K., Teixeira, S., </w:t>
      </w:r>
      <w:r w:rsidRPr="00D8534E">
        <w:t>Augsberger</w:t>
      </w:r>
      <w:r w:rsidRPr="00D8534E">
        <w:t>, A. (2018). The power of prevention and youth voice: a strategy for social work to ensure youths' healthy development. Social Work, 63:2: 135-143.</w:t>
      </w:r>
    </w:p>
    <w:p w:rsidR="00C3647F" w:rsidP="00563ECB" w14:paraId="1395E443" w14:textId="1C412AA5">
      <w:pPr>
        <w:pStyle w:val="GLSReference"/>
        <w:jc w:val="left"/>
      </w:pPr>
      <w:r w:rsidRPr="00C3647F">
        <w:t>Substance Abuse and Mental Health Services Administration. (2023</w:t>
      </w:r>
      <w:r w:rsidR="0047204B">
        <w:t>a</w:t>
      </w:r>
      <w:r w:rsidRPr="00C3647F">
        <w:t xml:space="preserve">). </w:t>
      </w:r>
      <w:r w:rsidRPr="00C3647F">
        <w:rPr>
          <w:i/>
          <w:iCs/>
        </w:rPr>
        <w:t>988 Suicide &amp; Crisis Lifeline</w:t>
      </w:r>
      <w:r w:rsidRPr="00C3647F">
        <w:t xml:space="preserve">. </w:t>
      </w:r>
      <w:hyperlink r:id="rId19" w:history="1">
        <w:r w:rsidRPr="00C3647F">
          <w:rPr>
            <w:rStyle w:val="Hyperlink"/>
          </w:rPr>
          <w:t>https://988lifeline.org/?ref=w3use</w:t>
        </w:r>
      </w:hyperlink>
    </w:p>
    <w:p w:rsidR="0047204B" w:rsidRPr="0047204B" w:rsidP="00563ECB" w14:paraId="2B3B8C71" w14:textId="7CA2159D">
      <w:pPr>
        <w:pStyle w:val="GLSReference"/>
        <w:jc w:val="left"/>
      </w:pPr>
      <w:r w:rsidRPr="0047204B">
        <w:t>Substance Abuse and Mental Health Services Administration. (2023</w:t>
      </w:r>
      <w:r>
        <w:t>b</w:t>
      </w:r>
      <w:r w:rsidRPr="0047204B">
        <w:t xml:space="preserve">). </w:t>
      </w:r>
      <w:r w:rsidRPr="0047204B">
        <w:rPr>
          <w:i/>
          <w:iCs/>
        </w:rPr>
        <w:t>Native Connections</w:t>
      </w:r>
      <w:r w:rsidRPr="0047204B">
        <w:t xml:space="preserve">. </w:t>
      </w:r>
      <w:hyperlink r:id="rId20" w:history="1">
        <w:r w:rsidRPr="0047204B">
          <w:rPr>
            <w:rStyle w:val="Hyperlink"/>
          </w:rPr>
          <w:t>https://www.samhsa.gov/native-connections</w:t>
        </w:r>
      </w:hyperlink>
    </w:p>
    <w:p w:rsidR="00555135" w:rsidP="00563ECB" w14:paraId="6E05D924" w14:textId="5AD6F7A2">
      <w:pPr>
        <w:pStyle w:val="GLSReference"/>
        <w:jc w:val="left"/>
      </w:pPr>
      <w:r w:rsidRPr="00C91965">
        <w:t>Substance Abuse and Mental Health Services Administration</w:t>
      </w:r>
      <w:r>
        <w:t xml:space="preserve">. (2019). Garrett Lee Smith Youth Suicide Prevention and Early Intervention national Outcomes Evaluation Fiscal Year 2019 Annual Report. Evaluation Findings: Report to Congress. </w:t>
      </w:r>
      <w:r>
        <w:t>September,</w:t>
      </w:r>
      <w:r>
        <w:t xml:space="preserve"> 2019. </w:t>
      </w:r>
    </w:p>
    <w:p w:rsidR="00C91965" w:rsidP="00563ECB" w14:paraId="31956C1E" w14:textId="66B7CCD8">
      <w:pPr>
        <w:pStyle w:val="GLSReference"/>
        <w:jc w:val="left"/>
      </w:pPr>
      <w:r w:rsidRPr="00C91965">
        <w:t>Substance Abuse and Mental Health Services Administration</w:t>
      </w:r>
      <w:r w:rsidR="00555135">
        <w:t>.</w:t>
      </w:r>
      <w:r w:rsidR="00671164">
        <w:t xml:space="preserve"> (2017).</w:t>
      </w:r>
      <w:r w:rsidRPr="00C91965">
        <w:t xml:space="preserve"> National Strategy for Suicide Prevention Implementation Assessment Report. HHS Publication No. SMA17–5051. Rockville, MD: Center for Mental Health Services, Substance Abuse and Mental Health Servi</w:t>
      </w:r>
      <w:r w:rsidR="00671164">
        <w:t>ces Administration</w:t>
      </w:r>
      <w:r w:rsidRPr="00C91965">
        <w:t>.</w:t>
      </w:r>
    </w:p>
    <w:p w:rsidR="00585AB6" w:rsidP="00563ECB" w14:paraId="4537B81A" w14:textId="77777777">
      <w:pPr>
        <w:pStyle w:val="GLSReference"/>
        <w:jc w:val="left"/>
      </w:pPr>
      <w:r>
        <w:t xml:space="preserve">Substance Abuse and Mental Health Services Administration. (2013). </w:t>
      </w:r>
      <w:r>
        <w:rPr>
          <w:i/>
        </w:rPr>
        <w:t xml:space="preserve">Results from the 2012 National Survey on Drug Use and Health: Mental health findings. </w:t>
      </w:r>
      <w:r>
        <w:t xml:space="preserve">NSDUH Series H-47, HHS Publication No. (SMA) 13–4805. Rockville, MD: Author. Available at http://www.samhsa.gov/data/NSDUH/2k12MH_FindingsandDetTables/2K12MHF/NSDUHmhfr2012.htm#sec3–1. </w:t>
      </w:r>
    </w:p>
    <w:p w:rsidR="00561D0F" w:rsidP="00563ECB" w14:paraId="3CFA3DF0" w14:textId="77777777">
      <w:pPr>
        <w:pStyle w:val="GLSReference"/>
        <w:jc w:val="left"/>
      </w:pPr>
      <w:r>
        <w:t xml:space="preserve">Substance Abuse and Mental Health Services Administration. (2011). </w:t>
      </w:r>
      <w:r>
        <w:rPr>
          <w:i/>
        </w:rPr>
        <w:t>Leading change: A plan for SAMHSA’s roles and actions 2011–2014—Executive summary and introduction</w:t>
      </w:r>
      <w:r>
        <w:t xml:space="preserve"> (HHS Publication No. (SMA) 11-4629). Rockville, MD: Author.</w:t>
      </w:r>
    </w:p>
    <w:p w:rsidR="00561D0F" w:rsidP="00563ECB" w14:paraId="5A84108C" w14:textId="7F891A24">
      <w:pPr>
        <w:pStyle w:val="GLSReference"/>
        <w:jc w:val="left"/>
      </w:pPr>
      <w:r>
        <w:t>Substance Abuse and Mental Health Services Administration</w:t>
      </w:r>
      <w:r>
        <w:t>. (2005). Results from the 2004 National Survey on Drug Use and Health: National findings (DHHS Publication No. SMA 05-4062, NSDUH Series: H-28). Rockville, MD: U.S. Department of Health and Human Services.</w:t>
      </w:r>
    </w:p>
    <w:p w:rsidR="00561D0F" w:rsidP="00563ECB" w14:paraId="790CED29" w14:textId="1BCC8E00">
      <w:pPr>
        <w:pStyle w:val="GLSReference"/>
        <w:jc w:val="left"/>
      </w:pPr>
      <w:r>
        <w:t>Suicide Prevention Resource Center.</w:t>
      </w:r>
      <w:r>
        <w:t xml:space="preserve"> (2008). </w:t>
      </w:r>
      <w:r>
        <w:rPr>
          <w:i/>
        </w:rPr>
        <w:t xml:space="preserve">Suicide risk and prevention for lesbian, gay, bisexual, and transgender youth. </w:t>
      </w:r>
      <w:r>
        <w:t xml:space="preserve">Newton, MA: Education Development Center, Inc. Retrieved January 7, 2014from http://www.sprc.org/sites/sprc.org/files/library/SPRC_LGBT_Youth.pdf </w:t>
      </w:r>
    </w:p>
    <w:p w:rsidR="0011414C" w:rsidP="00563ECB" w14:paraId="5E9CD2B4" w14:textId="7F68D119">
      <w:pPr>
        <w:pStyle w:val="GLSReference"/>
        <w:ind w:left="288" w:hanging="288"/>
        <w:jc w:val="left"/>
      </w:pPr>
      <w:r w:rsidRPr="0011414C">
        <w:t xml:space="preserve">The White House. (2023). </w:t>
      </w:r>
      <w:r w:rsidRPr="0011414C">
        <w:rPr>
          <w:i/>
          <w:iCs/>
        </w:rPr>
        <w:t>A Proclamation on National Mental Health Awareness Month, 2023</w:t>
      </w:r>
      <w:r w:rsidRPr="0011414C">
        <w:t xml:space="preserve">. </w:t>
      </w:r>
      <w:hyperlink r:id="rId21" w:history="1">
        <w:r w:rsidRPr="0011414C">
          <w:rPr>
            <w:rStyle w:val="Hyperlink"/>
          </w:rPr>
          <w:t>https://www.whitehouse.gov/briefing-room/presidential-actions/2023/04/28/a-proclamation-on-national-mental-health-awareness-month-2023/</w:t>
        </w:r>
      </w:hyperlink>
    </w:p>
    <w:p w:rsidR="00EF279C" w:rsidP="00563ECB" w14:paraId="1DF3E762" w14:textId="660811B9">
      <w:pPr>
        <w:pStyle w:val="GLSReference"/>
        <w:ind w:left="288" w:hanging="288"/>
        <w:jc w:val="left"/>
      </w:pPr>
      <w:r>
        <w:t>U.S. B</w:t>
      </w:r>
      <w:r w:rsidR="00585AB6">
        <w:t>ureau of Labor Statistics. (2017</w:t>
      </w:r>
      <w:r>
        <w:t xml:space="preserve">). National </w:t>
      </w:r>
      <w:r w:rsidR="00585AB6">
        <w:t>Occupation Employment Statistics Survey. Retrieved August 2018</w:t>
      </w:r>
      <w:r>
        <w:t xml:space="preserve"> from </w:t>
      </w:r>
      <w:r w:rsidRPr="00DA7F58" w:rsidR="00DA7F58">
        <w:t>https://www.bls.gov/oes/</w:t>
      </w:r>
    </w:p>
    <w:p w:rsidR="00561D0F" w:rsidP="00563ECB" w14:paraId="31295C43" w14:textId="62A20137">
      <w:pPr>
        <w:pStyle w:val="GLSReference"/>
        <w:jc w:val="left"/>
        <w:rPr>
          <w:rStyle w:val="Hyperlink"/>
          <w:rFonts w:eastAsiaTheme="majorEastAsia"/>
        </w:rPr>
      </w:pPr>
      <w:r>
        <w:t>U.S. Department of Health and Human Services (HHS) Office of the Surgeon General and National Action Alliance for Suicide Prevention. (2012). 2012 national strategy for suicide prevention: Goals and objectives for action. Washington, DC: U.S. Department of Health &amp; Human Services.</w:t>
      </w:r>
      <w:r>
        <w:t xml:space="preserve"> Retrieved January 7, 2014, from http://www.surgeongeneral.gov/library/reports/national-strategy-suicide-prevention/full_report-rev.pdf</w:t>
      </w:r>
    </w:p>
    <w:p w:rsidR="00CA0DDD" w:rsidRPr="00CA0DDD" w:rsidP="00563ECB" w14:paraId="5F3E6B18" w14:textId="6809328F">
      <w:pPr>
        <w:pStyle w:val="GLSReference"/>
        <w:jc w:val="left"/>
      </w:pPr>
      <w:r>
        <w:t xml:space="preserve">U.S Public Health Service. (2001). </w:t>
      </w:r>
      <w:r>
        <w:rPr>
          <w:i/>
        </w:rPr>
        <w:t xml:space="preserve">National strategy for suicide prevention: Goals and objectives for action. </w:t>
      </w:r>
      <w:r>
        <w:t>Washington, D.C.: U.S. Department of Health and Human Services.</w:t>
      </w:r>
    </w:p>
    <w:p w:rsidR="00561D0F" w:rsidP="00563ECB" w14:paraId="76B574B3" w14:textId="55E57821">
      <w:pPr>
        <w:pStyle w:val="GLSReference"/>
        <w:jc w:val="left"/>
      </w:pPr>
      <w:r>
        <w:t xml:space="preserve">U.S. Public Health Service. (1999). </w:t>
      </w:r>
      <w:r>
        <w:rPr>
          <w:i/>
        </w:rPr>
        <w:t>The Surgeon General’s call to action to prevent suicide.</w:t>
      </w:r>
      <w:r>
        <w:t xml:space="preserve"> Washington, DC: U.S. Department of Health and Human Services.</w:t>
      </w:r>
    </w:p>
    <w:p w:rsidR="00561D0F" w:rsidP="00563ECB" w14:paraId="2A4AFBA7" w14:textId="621D1574">
      <w:pPr>
        <w:pStyle w:val="GLSReference"/>
        <w:jc w:val="left"/>
      </w:pPr>
      <w:r>
        <w:t>Walrath, C., Godoy-Garraza, L., Reid, H., Goldston, D., &amp; McKeon, R. (</w:t>
      </w:r>
      <w:r w:rsidR="00DA7F58">
        <w:t>2015</w:t>
      </w:r>
      <w:r>
        <w:t xml:space="preserve">). The impact of the Garrett Lee Smith (GLS) Suicide Prevention Program on suicide mortality. </w:t>
      </w:r>
      <w:r>
        <w:rPr>
          <w:i/>
        </w:rPr>
        <w:t>American Journal of Public Health</w:t>
      </w:r>
      <w:r w:rsidR="006A46E2">
        <w:rPr>
          <w:i/>
        </w:rPr>
        <w:t>, 105</w:t>
      </w:r>
      <w:r w:rsidR="006A46E2">
        <w:t>(5), 986-993</w:t>
      </w:r>
      <w:r>
        <w:rPr>
          <w:i/>
        </w:rPr>
        <w:t>.</w:t>
      </w:r>
    </w:p>
    <w:p w:rsidR="00561D0F" w:rsidP="00563ECB" w14:paraId="19A4FCA1" w14:textId="493209AB">
      <w:pPr>
        <w:pStyle w:val="GLSReference"/>
        <w:jc w:val="left"/>
      </w:pPr>
      <w:r>
        <w:t xml:space="preserve">Wyman, P. A., Hendricks Brown, C., Inman, J., Cross, W., </w:t>
      </w:r>
      <w:r>
        <w:t>Schmeelk</w:t>
      </w:r>
      <w:r>
        <w:t xml:space="preserve">-Cone, K., Guo, J., et al. (2008). Randomized trial of a gatekeeper program for suicide prevention: 1-year impact on secondary school staff. </w:t>
      </w:r>
      <w:r>
        <w:rPr>
          <w:i/>
        </w:rPr>
        <w:t>Journal of Consulting Clinical Psychology, 76,</w:t>
      </w:r>
      <w:r>
        <w:t xml:space="preserve"> 104–115. </w:t>
      </w:r>
      <w:hyperlink r:id="rId22" w:history="1">
        <w:r w:rsidRPr="00F640F5" w:rsidR="00F640F5">
          <w:rPr>
            <w:rStyle w:val="Hyperlink"/>
          </w:rPr>
          <w:t>https://doi.org/10.1037/0022-006X.76.1.104</w:t>
        </w:r>
      </w:hyperlink>
    </w:p>
    <w:p w:rsidR="58E2DA87" w:rsidP="00563ECB" w14:paraId="216A84A8" w14:textId="0FF58AE7">
      <w:pPr>
        <w:pStyle w:val="GLSReference"/>
        <w:jc w:val="left"/>
      </w:pPr>
      <w:r w:rsidRPr="005B4B1F">
        <w:rPr>
          <w:szCs w:val="24"/>
        </w:rPr>
        <w:t>988 Suicide and Crisis Lifeline. (2022.). 988lifeline.org. https://988lifeline.org/about/</w:t>
      </w:r>
    </w:p>
    <w:p w:rsidR="00887134" w:rsidP="00511870" w14:paraId="75D7BECC" w14:textId="4CF8E26F">
      <w:pPr>
        <w:pStyle w:val="GLSReference"/>
        <w:pageBreakBefore/>
        <w:spacing w:before="0" w:after="120"/>
        <w:rPr>
          <w:rFonts w:ascii="Tw Cen MT" w:hAnsi="Tw Cen MT" w:eastAsiaTheme="minorHAnsi"/>
          <w:b/>
          <w:sz w:val="28"/>
          <w:szCs w:val="28"/>
        </w:rPr>
      </w:pPr>
      <w:r>
        <w:rPr>
          <w:rFonts w:ascii="Tw Cen MT" w:hAnsi="Tw Cen MT" w:eastAsiaTheme="minorHAnsi"/>
          <w:b/>
          <w:sz w:val="28"/>
          <w:szCs w:val="28"/>
        </w:rPr>
        <w:t>Attachments</w:t>
      </w:r>
    </w:p>
    <w:p w:rsidR="000870C6" w:rsidRPr="000870C6" w:rsidP="00511870" w14:paraId="148D31E3" w14:textId="6DDC85CB">
      <w:pPr>
        <w:numPr>
          <w:ilvl w:val="0"/>
          <w:numId w:val="19"/>
        </w:numPr>
        <w:spacing w:after="60" w:line="276" w:lineRule="auto"/>
        <w:jc w:val="left"/>
      </w:pPr>
      <w:r>
        <w:t>Garrett Lee Smith Memorial Act</w:t>
      </w:r>
    </w:p>
    <w:p w:rsidR="000870C6" w:rsidRPr="000870C6" w:rsidP="00511870" w14:paraId="07BF968D" w14:textId="77777777">
      <w:pPr>
        <w:numPr>
          <w:ilvl w:val="0"/>
          <w:numId w:val="19"/>
        </w:numPr>
        <w:spacing w:after="60" w:line="276" w:lineRule="auto"/>
        <w:jc w:val="left"/>
      </w:pPr>
      <w:r w:rsidRPr="000870C6">
        <w:t>Prevention Strategies Inventory (PSI)</w:t>
      </w:r>
    </w:p>
    <w:p w:rsidR="000870C6" w:rsidRPr="000870C6" w:rsidP="00511870" w14:paraId="5BFF64D4" w14:textId="730AD07A">
      <w:pPr>
        <w:numPr>
          <w:ilvl w:val="2"/>
          <w:numId w:val="20"/>
        </w:numPr>
        <w:spacing w:after="60" w:line="276" w:lineRule="auto"/>
        <w:jc w:val="left"/>
      </w:pPr>
      <w:r>
        <w:t>Clean</w:t>
      </w:r>
      <w:r w:rsidR="00A62F9F">
        <w:t xml:space="preserve"> Version</w:t>
      </w:r>
    </w:p>
    <w:p w:rsidR="000870C6" w:rsidRPr="000870C6" w:rsidP="00511870" w14:paraId="6FCC0F66" w14:textId="62211EA6">
      <w:pPr>
        <w:numPr>
          <w:ilvl w:val="2"/>
          <w:numId w:val="20"/>
        </w:numPr>
        <w:spacing w:after="60" w:line="276" w:lineRule="auto"/>
        <w:jc w:val="left"/>
      </w:pPr>
      <w:r>
        <w:t>Changes Marked</w:t>
      </w:r>
      <w:r w:rsidR="00A62F9F">
        <w:t xml:space="preserve"> Version</w:t>
      </w:r>
    </w:p>
    <w:p w:rsidR="000870C6" w:rsidRPr="000870C6" w:rsidP="003D762E" w14:paraId="0C01E03A" w14:textId="06D239FE">
      <w:pPr>
        <w:pStyle w:val="ListParagraph"/>
        <w:numPr>
          <w:ilvl w:val="0"/>
          <w:numId w:val="19"/>
        </w:numPr>
        <w:spacing w:after="60" w:line="276" w:lineRule="auto"/>
        <w:jc w:val="left"/>
      </w:pPr>
      <w:r w:rsidRPr="000870C6">
        <w:t>Training Activity Summary Page (TASP)</w:t>
      </w:r>
    </w:p>
    <w:p w:rsidR="00741940" w:rsidRPr="000870C6" w:rsidP="003D762E" w14:paraId="23D3A6A8" w14:textId="77777777">
      <w:pPr>
        <w:numPr>
          <w:ilvl w:val="0"/>
          <w:numId w:val="27"/>
        </w:numPr>
        <w:spacing w:after="60" w:line="276" w:lineRule="auto"/>
        <w:jc w:val="left"/>
      </w:pPr>
      <w:bookmarkStart w:id="3" w:name="_Hlk134907097"/>
      <w:r>
        <w:t>Clean Version</w:t>
      </w:r>
    </w:p>
    <w:p w:rsidR="00741940" w:rsidP="003D762E" w14:paraId="09AD3F85" w14:textId="77777777">
      <w:pPr>
        <w:numPr>
          <w:ilvl w:val="0"/>
          <w:numId w:val="27"/>
        </w:numPr>
        <w:spacing w:after="60" w:line="276" w:lineRule="auto"/>
        <w:jc w:val="left"/>
      </w:pPr>
      <w:r>
        <w:t>Changes Marked Version</w:t>
      </w:r>
    </w:p>
    <w:bookmarkEnd w:id="3"/>
    <w:p w:rsidR="00741940" w:rsidP="003D762E" w14:paraId="196E696B" w14:textId="114B4B53">
      <w:pPr>
        <w:pStyle w:val="ListParagraph"/>
        <w:numPr>
          <w:ilvl w:val="0"/>
          <w:numId w:val="19"/>
        </w:numPr>
        <w:spacing w:after="60" w:line="276" w:lineRule="auto"/>
        <w:jc w:val="left"/>
      </w:pPr>
      <w:r w:rsidRPr="00883415">
        <w:t>Training Skills Assessment – Post Training</w:t>
      </w:r>
      <w:r w:rsidR="00A845C1">
        <w:t xml:space="preserve"> (TSA-P)</w:t>
      </w:r>
    </w:p>
    <w:p w:rsidR="00A845C1" w:rsidP="003D762E" w14:paraId="36363F65" w14:textId="2458F1A0">
      <w:pPr>
        <w:pStyle w:val="ListParagraph"/>
        <w:numPr>
          <w:ilvl w:val="0"/>
          <w:numId w:val="19"/>
        </w:numPr>
        <w:spacing w:after="60" w:line="276" w:lineRule="auto"/>
        <w:jc w:val="left"/>
      </w:pPr>
      <w:r w:rsidRPr="00A845C1">
        <w:t>Training Skills Assessment – Follow-up</w:t>
      </w:r>
      <w:r>
        <w:t xml:space="preserve"> (TSA-F)</w:t>
      </w:r>
    </w:p>
    <w:p w:rsidR="00A845C1" w:rsidP="003D762E" w14:paraId="4522D1D2" w14:textId="06C14048">
      <w:pPr>
        <w:pStyle w:val="ListParagraph"/>
        <w:numPr>
          <w:ilvl w:val="0"/>
          <w:numId w:val="19"/>
        </w:numPr>
        <w:spacing w:after="60" w:line="276" w:lineRule="auto"/>
        <w:jc w:val="left"/>
      </w:pPr>
      <w:r w:rsidRPr="00A845C1">
        <w:t>Training Skills Assessment – Phone Simulation</w:t>
      </w:r>
      <w:r>
        <w:t xml:space="preserve"> (TSA-PS)</w:t>
      </w:r>
    </w:p>
    <w:p w:rsidR="00A845C1" w:rsidP="003D762E" w14:paraId="68444F63" w14:textId="5F1645B2">
      <w:pPr>
        <w:pStyle w:val="ListParagraph"/>
        <w:numPr>
          <w:ilvl w:val="0"/>
          <w:numId w:val="19"/>
        </w:numPr>
        <w:spacing w:after="60" w:line="276" w:lineRule="auto"/>
        <w:jc w:val="left"/>
      </w:pPr>
      <w:r w:rsidRPr="00A845C1">
        <w:t>Early Identification, Referral, Follow-up, and Treatment – Individual Form</w:t>
      </w:r>
      <w:r w:rsidR="00E128E0">
        <w:t xml:space="preserve"> (EIRFT-I)</w:t>
      </w:r>
    </w:p>
    <w:p w:rsidR="00A845C1" w:rsidRPr="000870C6" w:rsidP="00A845C1" w14:paraId="7C49B982" w14:textId="77777777">
      <w:pPr>
        <w:numPr>
          <w:ilvl w:val="0"/>
          <w:numId w:val="28"/>
        </w:numPr>
        <w:spacing w:after="60" w:line="276" w:lineRule="auto"/>
        <w:jc w:val="left"/>
      </w:pPr>
      <w:r>
        <w:t>Clean Version</w:t>
      </w:r>
    </w:p>
    <w:p w:rsidR="00A845C1" w:rsidP="00A845C1" w14:paraId="335EBAB2" w14:textId="77777777">
      <w:pPr>
        <w:numPr>
          <w:ilvl w:val="0"/>
          <w:numId w:val="28"/>
        </w:numPr>
        <w:spacing w:after="60" w:line="276" w:lineRule="auto"/>
        <w:jc w:val="left"/>
      </w:pPr>
      <w:r>
        <w:t>Changes Marked Version</w:t>
      </w:r>
    </w:p>
    <w:p w:rsidR="00A845C1" w:rsidP="003D762E" w14:paraId="6C24D37C" w14:textId="34A9A818">
      <w:pPr>
        <w:pStyle w:val="ListParagraph"/>
        <w:numPr>
          <w:ilvl w:val="0"/>
          <w:numId w:val="19"/>
        </w:numPr>
        <w:spacing w:after="60" w:line="276" w:lineRule="auto"/>
        <w:jc w:val="left"/>
      </w:pPr>
      <w:r w:rsidRPr="00E128E0">
        <w:t>Early Identification, Referral, Follow-up, and Treatment – Screening Form</w:t>
      </w:r>
      <w:r>
        <w:t xml:space="preserve"> (EIRFT-S)</w:t>
      </w:r>
    </w:p>
    <w:p w:rsidR="009A6C07" w:rsidRPr="000870C6" w:rsidP="009A6C07" w14:paraId="07B755E6" w14:textId="77777777">
      <w:pPr>
        <w:numPr>
          <w:ilvl w:val="0"/>
          <w:numId w:val="29"/>
        </w:numPr>
        <w:spacing w:after="60" w:line="276" w:lineRule="auto"/>
        <w:jc w:val="left"/>
      </w:pPr>
      <w:r>
        <w:t>Clean Version</w:t>
      </w:r>
    </w:p>
    <w:p w:rsidR="009A6C07" w:rsidP="009A6C07" w14:paraId="1F670AD5" w14:textId="77777777">
      <w:pPr>
        <w:numPr>
          <w:ilvl w:val="0"/>
          <w:numId w:val="29"/>
        </w:numPr>
        <w:spacing w:after="60" w:line="276" w:lineRule="auto"/>
        <w:jc w:val="left"/>
      </w:pPr>
      <w:r>
        <w:t>Changes Marked Version</w:t>
      </w:r>
    </w:p>
    <w:p w:rsidR="00E128E0" w:rsidP="003D762E" w14:paraId="53C30BEE" w14:textId="770CC066">
      <w:pPr>
        <w:pStyle w:val="ListParagraph"/>
        <w:numPr>
          <w:ilvl w:val="0"/>
          <w:numId w:val="19"/>
        </w:numPr>
        <w:spacing w:after="60" w:line="276" w:lineRule="auto"/>
        <w:jc w:val="left"/>
      </w:pPr>
      <w:r w:rsidRPr="009A6C07">
        <w:t>Youth Outcomes and Resiliency Survey</w:t>
      </w:r>
      <w:r>
        <w:t xml:space="preserve"> (YORS)</w:t>
      </w:r>
    </w:p>
    <w:p w:rsidR="009A6C07" w:rsidRPr="000870C6" w:rsidP="003D762E" w14:paraId="7FF52477" w14:textId="0C5AEB63">
      <w:pPr>
        <w:pStyle w:val="ListParagraph"/>
        <w:numPr>
          <w:ilvl w:val="0"/>
          <w:numId w:val="19"/>
        </w:numPr>
        <w:spacing w:after="60" w:line="276" w:lineRule="auto"/>
        <w:jc w:val="left"/>
      </w:pPr>
      <w:r w:rsidRPr="009A6C07">
        <w:t>Youth Experience Reflective Journal</w:t>
      </w:r>
      <w:r>
        <w:t xml:space="preserve"> (YER Journal)</w:t>
      </w:r>
    </w:p>
    <w:p w:rsidR="007D4C76" w:rsidRPr="00511870" w:rsidP="008642AF" w14:paraId="30D39651" w14:textId="2EB00715">
      <w:pPr>
        <w:numPr>
          <w:ilvl w:val="0"/>
          <w:numId w:val="19"/>
        </w:numPr>
        <w:spacing w:after="60" w:line="276" w:lineRule="auto"/>
        <w:jc w:val="left"/>
      </w:pPr>
      <w:r>
        <w:t>SPDC Data Use and Access Agreement</w:t>
      </w:r>
    </w:p>
    <w:sectPr w:rsidSect="007F7FEF">
      <w:headerReference w:type="default" r:id="rId23"/>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84246675"/>
      <w:docPartObj>
        <w:docPartGallery w:val="Page Numbers (Bottom of Page)"/>
        <w:docPartUnique/>
      </w:docPartObj>
    </w:sdtPr>
    <w:sdtEndPr>
      <w:rPr>
        <w:noProof/>
      </w:rPr>
    </w:sdtEndPr>
    <w:sdtContent>
      <w:p w:rsidR="005F2590" w:rsidRPr="0091218E" w14:paraId="6DCFEE4B" w14:textId="4FF18156">
        <w:pPr>
          <w:pStyle w:val="Footer"/>
          <w:rPr>
            <w:rFonts w:ascii="Tw Cen MT" w:hAnsi="Tw Cen MT"/>
            <w:sz w:val="22"/>
            <w:szCs w:val="22"/>
          </w:rPr>
        </w:pPr>
        <w:r>
          <w:rPr>
            <w:rFonts w:ascii="Tw Cen MT" w:hAnsi="Tw Cen MT"/>
            <w:sz w:val="22"/>
            <w:szCs w:val="22"/>
          </w:rPr>
          <w:tab/>
        </w:r>
        <w:r w:rsidRPr="0091218E">
          <w:rPr>
            <w:rFonts w:ascii="Tw Cen MT" w:hAnsi="Tw Cen MT"/>
            <w:sz w:val="22"/>
            <w:szCs w:val="22"/>
          </w:rPr>
          <w:tab/>
        </w:r>
        <w:r w:rsidRPr="0091218E">
          <w:rPr>
            <w:rFonts w:ascii="Tw Cen MT" w:hAnsi="Tw Cen MT"/>
            <w:sz w:val="22"/>
            <w:szCs w:val="22"/>
          </w:rPr>
          <w:fldChar w:fldCharType="begin"/>
        </w:r>
        <w:r w:rsidRPr="0091218E">
          <w:rPr>
            <w:rFonts w:ascii="Tw Cen MT" w:hAnsi="Tw Cen MT"/>
            <w:sz w:val="22"/>
            <w:szCs w:val="22"/>
          </w:rPr>
          <w:instrText xml:space="preserve"> PAGE   \* MERGEFORMAT </w:instrText>
        </w:r>
        <w:r w:rsidRPr="0091218E">
          <w:rPr>
            <w:rFonts w:ascii="Tw Cen MT" w:hAnsi="Tw Cen MT"/>
            <w:sz w:val="22"/>
            <w:szCs w:val="22"/>
          </w:rPr>
          <w:fldChar w:fldCharType="separate"/>
        </w:r>
        <w:r w:rsidR="00FC3DCA">
          <w:rPr>
            <w:rFonts w:ascii="Tw Cen MT" w:hAnsi="Tw Cen MT"/>
            <w:noProof/>
            <w:sz w:val="22"/>
            <w:szCs w:val="22"/>
          </w:rPr>
          <w:t>13</w:t>
        </w:r>
        <w:r w:rsidRPr="0091218E">
          <w:rPr>
            <w:rFonts w:ascii="Tw Cen MT" w:hAnsi="Tw Cen MT"/>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70E" w:rsidP="00AC2EE2" w14:paraId="47B1C37B" w14:textId="77777777">
      <w:r>
        <w:separator/>
      </w:r>
    </w:p>
  </w:footnote>
  <w:footnote w:type="continuationSeparator" w:id="1">
    <w:p w:rsidR="00A1370E" w:rsidP="00AC2EE2" w14:paraId="21382C84" w14:textId="77777777">
      <w:r>
        <w:continuationSeparator/>
      </w:r>
    </w:p>
  </w:footnote>
  <w:footnote w:type="continuationNotice" w:id="2">
    <w:p w:rsidR="00A1370E" w14:paraId="29F36670" w14:textId="77777777"/>
  </w:footnote>
  <w:footnote w:id="3">
    <w:p w:rsidR="00763E68" w:rsidP="00763E68" w14:paraId="280B821C" w14:textId="77777777">
      <w:pPr>
        <w:pStyle w:val="FootnoteText"/>
      </w:pPr>
      <w:r>
        <w:rPr>
          <w:rStyle w:val="FootnoteReference"/>
        </w:rPr>
        <w:footnoteRef/>
      </w:r>
      <w:r>
        <w:t xml:space="preserve"> S</w:t>
      </w:r>
      <w:r w:rsidRPr="00C23A33">
        <w:t>PRC Best Practices Registry</w:t>
      </w:r>
      <w:r>
        <w:t>,</w:t>
      </w:r>
      <w:r w:rsidRPr="00C23A33">
        <w:t xml:space="preserve"> </w:t>
      </w:r>
      <w:hyperlink r:id="rId1" w:history="1">
        <w:r w:rsidRPr="00E44BBA">
          <w:rPr>
            <w:rStyle w:val="Hyperlink"/>
          </w:rPr>
          <w:t>https://sprc.org/bpr-archive</w:t>
        </w:r>
      </w:hyperlink>
      <w:r>
        <w:t xml:space="preserve"> </w:t>
      </w:r>
    </w:p>
  </w:footnote>
  <w:footnote w:id="4">
    <w:p w:rsidR="00E558C5" w:rsidP="00E558C5" w14:paraId="26122660" w14:textId="2156EC38">
      <w:pPr>
        <w:pStyle w:val="FootnoteText"/>
      </w:pPr>
      <w:r>
        <w:rPr>
          <w:rStyle w:val="FootnoteReference"/>
        </w:rPr>
        <w:footnoteRef/>
      </w:r>
      <w:r>
        <w:t xml:space="preserve"> The number of youths enrolled from the three settings may vary and cannot be determined </w:t>
      </w:r>
      <w:r>
        <w:rPr>
          <w:i/>
          <w:iCs/>
        </w:rPr>
        <w:t>a priori</w:t>
      </w:r>
      <w:r>
        <w:t>.</w:t>
      </w:r>
    </w:p>
  </w:footnote>
  <w:footnote w:id="5">
    <w:p w:rsidR="00B24101" w:rsidP="00B24101" w14:paraId="0024886C" w14:textId="77777777">
      <w:pPr>
        <w:pStyle w:val="FootnoteText"/>
      </w:pPr>
      <w:r>
        <w:rPr>
          <w:rStyle w:val="FootnoteReference"/>
        </w:rPr>
        <w:footnoteRef/>
      </w:r>
      <w:r>
        <w:t xml:space="preserve"> For example, an administrative person may register the trainings in the system in advance and the TSA-P can be emailed to the trainer. </w:t>
      </w:r>
    </w:p>
  </w:footnote>
  <w:footnote w:id="6">
    <w:p w:rsidR="005F2590" w:rsidRPr="00C71070" w:rsidP="009F594D" w14:paraId="150C8DFA" w14:textId="716FF332">
      <w:pPr>
        <w:pStyle w:val="FootnoteText"/>
        <w:rPr>
          <w:sz w:val="18"/>
          <w:szCs w:val="18"/>
        </w:rPr>
      </w:pPr>
      <w:r w:rsidRPr="00C71070">
        <w:rPr>
          <w:rStyle w:val="FootnoteReference"/>
          <w:rFonts w:eastAsiaTheme="majorEastAsia"/>
          <w:sz w:val="18"/>
          <w:szCs w:val="18"/>
        </w:rPr>
        <w:footnoteRef/>
      </w:r>
      <w:r w:rsidRPr="00C71070">
        <w:rPr>
          <w:sz w:val="18"/>
          <w:szCs w:val="18"/>
        </w:rPr>
        <w:t xml:space="preserve"> Psychometric analyses are indicated for data collection instruments that apply scales </w:t>
      </w:r>
      <w:r w:rsidR="008C6ED5">
        <w:rPr>
          <w:sz w:val="18"/>
          <w:szCs w:val="18"/>
        </w:rPr>
        <w:t>and generate anal</w:t>
      </w:r>
      <w:r w:rsidR="00B364D6">
        <w:rPr>
          <w:sz w:val="18"/>
          <w:szCs w:val="18"/>
        </w:rPr>
        <w:t>yzable data</w:t>
      </w:r>
      <w:r w:rsidRPr="00C71070">
        <w:rPr>
          <w:sz w:val="18"/>
          <w:szCs w:val="18"/>
        </w:rPr>
        <w:t xml:space="preserve">. If the activity doesn’t collect scaled </w:t>
      </w:r>
      <w:r w:rsidRPr="00C71070">
        <w:rPr>
          <w:sz w:val="18"/>
          <w:szCs w:val="18"/>
        </w:rPr>
        <w:t xml:space="preserve">data it is not considered appropriate for psychometric analysis and is thereafter indicated as “not appropriate”. </w:t>
      </w:r>
    </w:p>
  </w:footnote>
  <w:footnote w:id="7">
    <w:p w:rsidR="005F2590" w:rsidRPr="00C71070" w:rsidP="009F594D" w14:paraId="1DAF6CF7" w14:textId="6E066C4C">
      <w:pPr>
        <w:pStyle w:val="FootnoteText"/>
        <w:rPr>
          <w:i/>
          <w:sz w:val="18"/>
          <w:szCs w:val="18"/>
        </w:rPr>
      </w:pPr>
      <w:r w:rsidRPr="00C71070">
        <w:rPr>
          <w:rStyle w:val="FootnoteReference"/>
          <w:rFonts w:eastAsiaTheme="majorEastAsia"/>
          <w:sz w:val="18"/>
          <w:szCs w:val="18"/>
        </w:rPr>
        <w:footnoteRef/>
      </w:r>
      <w:r w:rsidRPr="00C71070">
        <w:rPr>
          <w:sz w:val="18"/>
          <w:szCs w:val="18"/>
        </w:rPr>
        <w:t xml:space="preserve"> The approaches to address response rates and implementation challenges through protocol revision have been included in the last column of the exhibit.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590" w14:paraId="611B98DE" w14:textId="617B5A93">
    <w:pPr>
      <w:pStyle w:val="Header"/>
      <w:jc w:val="right"/>
    </w:pPr>
  </w:p>
  <w:p w:rsidR="005F2590" w14:paraId="4EE2B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5660A1"/>
    <w:multiLevelType w:val="hybridMultilevel"/>
    <w:tmpl w:val="801E5C22"/>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7A27F7"/>
    <w:multiLevelType w:val="hybridMultilevel"/>
    <w:tmpl w:val="B03ECC2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664318"/>
    <w:multiLevelType w:val="hybridMultilevel"/>
    <w:tmpl w:val="5CFEE36E"/>
    <w:lvl w:ilvl="0">
      <w:start w:val="1"/>
      <w:numFmt w:val="decimal"/>
      <w:lvlText w:val="%1."/>
      <w:lvlJc w:val="left"/>
      <w:pPr>
        <w:ind w:left="360" w:hanging="360"/>
      </w:pPr>
      <w:rPr>
        <w:rFonts w:ascii="Tw Cen MT" w:hAnsi="Tw Cen MT" w:hint="default"/>
        <w:b/>
        <w:sz w:val="28"/>
        <w:szCs w:val="28"/>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
    <w:nsid w:val="1DE9301A"/>
    <w:multiLevelType w:val="hybridMultilevel"/>
    <w:tmpl w:val="21E003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FED76E5"/>
    <w:multiLevelType w:val="hybridMultilevel"/>
    <w:tmpl w:val="4E1CF350"/>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40057B5"/>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116385"/>
    <w:multiLevelType w:val="hybridMultilevel"/>
    <w:tmpl w:val="25BC0CCE"/>
    <w:lvl w:ilvl="0">
      <w:start w:val="2"/>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0B7F88"/>
    <w:multiLevelType w:val="hybridMultilevel"/>
    <w:tmpl w:val="484C194A"/>
    <w:lvl w:ilvl="0">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96800A2"/>
    <w:multiLevelType w:val="hybridMultilevel"/>
    <w:tmpl w:val="8DD492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FF521D"/>
    <w:multiLevelType w:val="hybridMultilevel"/>
    <w:tmpl w:val="E4A66984"/>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FB7629"/>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7C796A"/>
    <w:multiLevelType w:val="hybridMultilevel"/>
    <w:tmpl w:val="3552F196"/>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306639C"/>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9A67C2"/>
    <w:multiLevelType w:val="hybridMultilevel"/>
    <w:tmpl w:val="9A1E0660"/>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EB17BE"/>
    <w:multiLevelType w:val="hybridMultilevel"/>
    <w:tmpl w:val="D4844214"/>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B7007EB"/>
    <w:multiLevelType w:val="hybridMultilevel"/>
    <w:tmpl w:val="F0685498"/>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E737C54"/>
    <w:multiLevelType w:val="hybridMultilevel"/>
    <w:tmpl w:val="4CA6E2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0A06D5"/>
    <w:multiLevelType w:val="multilevel"/>
    <w:tmpl w:val="909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24">
    <w:nsid w:val="78D273F2"/>
    <w:multiLevelType w:val="hybridMultilevel"/>
    <w:tmpl w:val="9D069E2E"/>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8E37BAE"/>
    <w:multiLevelType w:val="hybridMultilevel"/>
    <w:tmpl w:val="EFCE64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B2461DB"/>
    <w:multiLevelType w:val="hybridMultilevel"/>
    <w:tmpl w:val="6EF8953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BFB2F8D"/>
    <w:multiLevelType w:val="hybridMultilevel"/>
    <w:tmpl w:val="BBECD74C"/>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08148621">
    <w:abstractNumId w:val="3"/>
  </w:num>
  <w:num w:numId="2" w16cid:durableId="1327854902">
    <w:abstractNumId w:val="4"/>
  </w:num>
  <w:num w:numId="3" w16cid:durableId="844589071">
    <w:abstractNumId w:val="0"/>
  </w:num>
  <w:num w:numId="4" w16cid:durableId="1360351482">
    <w:abstractNumId w:val="11"/>
  </w:num>
  <w:num w:numId="5" w16cid:durableId="458032097">
    <w:abstractNumId w:val="23"/>
  </w:num>
  <w:num w:numId="6" w16cid:durableId="756903258">
    <w:abstractNumId w:val="10"/>
  </w:num>
  <w:num w:numId="7" w16cid:durableId="1812674894">
    <w:abstractNumId w:val="16"/>
  </w:num>
  <w:num w:numId="8" w16cid:durableId="81689031">
    <w:abstractNumId w:val="9"/>
  </w:num>
  <w:num w:numId="9" w16cid:durableId="1956328125">
    <w:abstractNumId w:val="8"/>
  </w:num>
  <w:num w:numId="10" w16cid:durableId="1260330276">
    <w:abstractNumId w:val="21"/>
  </w:num>
  <w:num w:numId="11" w16cid:durableId="2090303016">
    <w:abstractNumId w:val="15"/>
  </w:num>
  <w:num w:numId="12" w16cid:durableId="245120105">
    <w:abstractNumId w:val="1"/>
  </w:num>
  <w:num w:numId="13" w16cid:durableId="392389181">
    <w:abstractNumId w:val="6"/>
  </w:num>
  <w:num w:numId="14" w16cid:durableId="713115031">
    <w:abstractNumId w:val="24"/>
  </w:num>
  <w:num w:numId="15" w16cid:durableId="1101608241">
    <w:abstractNumId w:val="19"/>
  </w:num>
  <w:num w:numId="16" w16cid:durableId="704790784">
    <w:abstractNumId w:val="26"/>
  </w:num>
  <w:num w:numId="17" w16cid:durableId="319622161">
    <w:abstractNumId w:val="27"/>
  </w:num>
  <w:num w:numId="18" w16cid:durableId="1825507839">
    <w:abstractNumId w:val="12"/>
  </w:num>
  <w:num w:numId="19" w16cid:durableId="1561865274">
    <w:abstractNumId w:val="25"/>
  </w:num>
  <w:num w:numId="20" w16cid:durableId="1970016746">
    <w:abstractNumId w:val="5"/>
  </w:num>
  <w:num w:numId="21" w16cid:durableId="1099763939">
    <w:abstractNumId w:val="2"/>
  </w:num>
  <w:num w:numId="22" w16cid:durableId="1766072852">
    <w:abstractNumId w:val="18"/>
  </w:num>
  <w:num w:numId="23" w16cid:durableId="1197934848">
    <w:abstractNumId w:val="20"/>
  </w:num>
  <w:num w:numId="24" w16cid:durableId="1743940041">
    <w:abstractNumId w:val="13"/>
  </w:num>
  <w:num w:numId="25" w16cid:durableId="301204440">
    <w:abstractNumId w:val="11"/>
  </w:num>
  <w:num w:numId="26" w16cid:durableId="1994791885">
    <w:abstractNumId w:val="22"/>
  </w:num>
  <w:num w:numId="27" w16cid:durableId="225456673">
    <w:abstractNumId w:val="17"/>
  </w:num>
  <w:num w:numId="28" w16cid:durableId="1794441225">
    <w:abstractNumId w:val="7"/>
  </w:num>
  <w:num w:numId="29" w16cid:durableId="210776898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2"/>
    <w:rsid w:val="00000153"/>
    <w:rsid w:val="0000062F"/>
    <w:rsid w:val="00000B63"/>
    <w:rsid w:val="00001EEA"/>
    <w:rsid w:val="00003577"/>
    <w:rsid w:val="000038CF"/>
    <w:rsid w:val="00003B96"/>
    <w:rsid w:val="00006106"/>
    <w:rsid w:val="00011EAD"/>
    <w:rsid w:val="00013B9D"/>
    <w:rsid w:val="00016F35"/>
    <w:rsid w:val="00020DFA"/>
    <w:rsid w:val="0002164F"/>
    <w:rsid w:val="00025725"/>
    <w:rsid w:val="00025782"/>
    <w:rsid w:val="000302E4"/>
    <w:rsid w:val="000309BF"/>
    <w:rsid w:val="000326AB"/>
    <w:rsid w:val="00032C54"/>
    <w:rsid w:val="00033113"/>
    <w:rsid w:val="00034EE7"/>
    <w:rsid w:val="0004130C"/>
    <w:rsid w:val="00041F98"/>
    <w:rsid w:val="0004682C"/>
    <w:rsid w:val="0004758A"/>
    <w:rsid w:val="000519CA"/>
    <w:rsid w:val="00052539"/>
    <w:rsid w:val="00057916"/>
    <w:rsid w:val="00061026"/>
    <w:rsid w:val="000613E3"/>
    <w:rsid w:val="000663C5"/>
    <w:rsid w:val="000745E4"/>
    <w:rsid w:val="000802F7"/>
    <w:rsid w:val="00082627"/>
    <w:rsid w:val="000843CD"/>
    <w:rsid w:val="0008455E"/>
    <w:rsid w:val="000848DB"/>
    <w:rsid w:val="000870A6"/>
    <w:rsid w:val="000870C6"/>
    <w:rsid w:val="000915AF"/>
    <w:rsid w:val="00093422"/>
    <w:rsid w:val="00093F92"/>
    <w:rsid w:val="0009487A"/>
    <w:rsid w:val="000A1C5A"/>
    <w:rsid w:val="000A2215"/>
    <w:rsid w:val="000A449C"/>
    <w:rsid w:val="000A7109"/>
    <w:rsid w:val="000B1239"/>
    <w:rsid w:val="000B135F"/>
    <w:rsid w:val="000C235B"/>
    <w:rsid w:val="000C72FF"/>
    <w:rsid w:val="000C778C"/>
    <w:rsid w:val="000D0720"/>
    <w:rsid w:val="000D1260"/>
    <w:rsid w:val="000D18DB"/>
    <w:rsid w:val="000D21CC"/>
    <w:rsid w:val="000D543B"/>
    <w:rsid w:val="000D556B"/>
    <w:rsid w:val="000D773B"/>
    <w:rsid w:val="000E0B60"/>
    <w:rsid w:val="000E0F21"/>
    <w:rsid w:val="000E2C42"/>
    <w:rsid w:val="000E4474"/>
    <w:rsid w:val="000E4698"/>
    <w:rsid w:val="000E5E0C"/>
    <w:rsid w:val="000E7B12"/>
    <w:rsid w:val="000F042E"/>
    <w:rsid w:val="000F45FC"/>
    <w:rsid w:val="000F5A36"/>
    <w:rsid w:val="000F7113"/>
    <w:rsid w:val="001000AB"/>
    <w:rsid w:val="00100EA6"/>
    <w:rsid w:val="00102D5E"/>
    <w:rsid w:val="001051C3"/>
    <w:rsid w:val="00112035"/>
    <w:rsid w:val="00113593"/>
    <w:rsid w:val="00113F27"/>
    <w:rsid w:val="0011414C"/>
    <w:rsid w:val="001144E4"/>
    <w:rsid w:val="00114F29"/>
    <w:rsid w:val="00120B16"/>
    <w:rsid w:val="0012496B"/>
    <w:rsid w:val="00125D86"/>
    <w:rsid w:val="00126B5C"/>
    <w:rsid w:val="00127A4E"/>
    <w:rsid w:val="00127C56"/>
    <w:rsid w:val="001305CC"/>
    <w:rsid w:val="00133E8D"/>
    <w:rsid w:val="00133F47"/>
    <w:rsid w:val="00134C4F"/>
    <w:rsid w:val="0013561C"/>
    <w:rsid w:val="00135628"/>
    <w:rsid w:val="00144699"/>
    <w:rsid w:val="001477B0"/>
    <w:rsid w:val="00151107"/>
    <w:rsid w:val="00151DA7"/>
    <w:rsid w:val="00152B61"/>
    <w:rsid w:val="00153CA1"/>
    <w:rsid w:val="00153ECC"/>
    <w:rsid w:val="00154AA8"/>
    <w:rsid w:val="00154EA3"/>
    <w:rsid w:val="00156508"/>
    <w:rsid w:val="00157AB1"/>
    <w:rsid w:val="00164050"/>
    <w:rsid w:val="001665C9"/>
    <w:rsid w:val="00167F38"/>
    <w:rsid w:val="0017087D"/>
    <w:rsid w:val="001716E2"/>
    <w:rsid w:val="0017453B"/>
    <w:rsid w:val="001764C8"/>
    <w:rsid w:val="001810DE"/>
    <w:rsid w:val="001838E3"/>
    <w:rsid w:val="00184CF4"/>
    <w:rsid w:val="0018636D"/>
    <w:rsid w:val="00186D2F"/>
    <w:rsid w:val="001876A8"/>
    <w:rsid w:val="00190C81"/>
    <w:rsid w:val="00193C19"/>
    <w:rsid w:val="0019619C"/>
    <w:rsid w:val="001A4BB1"/>
    <w:rsid w:val="001A4DCD"/>
    <w:rsid w:val="001A51C2"/>
    <w:rsid w:val="001A5903"/>
    <w:rsid w:val="001A6A37"/>
    <w:rsid w:val="001B05D0"/>
    <w:rsid w:val="001B2E13"/>
    <w:rsid w:val="001B3069"/>
    <w:rsid w:val="001B3C78"/>
    <w:rsid w:val="001B7C9B"/>
    <w:rsid w:val="001C038B"/>
    <w:rsid w:val="001C0DBB"/>
    <w:rsid w:val="001C1547"/>
    <w:rsid w:val="001C3825"/>
    <w:rsid w:val="001C45CB"/>
    <w:rsid w:val="001C4682"/>
    <w:rsid w:val="001C5A76"/>
    <w:rsid w:val="001C6167"/>
    <w:rsid w:val="001C6588"/>
    <w:rsid w:val="001C7BF1"/>
    <w:rsid w:val="001D0465"/>
    <w:rsid w:val="001D0F08"/>
    <w:rsid w:val="001D4641"/>
    <w:rsid w:val="001D5D3A"/>
    <w:rsid w:val="001E128E"/>
    <w:rsid w:val="001E22B9"/>
    <w:rsid w:val="001E2DFA"/>
    <w:rsid w:val="001E5489"/>
    <w:rsid w:val="001E6677"/>
    <w:rsid w:val="001E7FAC"/>
    <w:rsid w:val="001F2F14"/>
    <w:rsid w:val="001F3234"/>
    <w:rsid w:val="001F3F6C"/>
    <w:rsid w:val="001F5B86"/>
    <w:rsid w:val="00206EC8"/>
    <w:rsid w:val="0021099D"/>
    <w:rsid w:val="00212575"/>
    <w:rsid w:val="002150DA"/>
    <w:rsid w:val="002152CC"/>
    <w:rsid w:val="002155EE"/>
    <w:rsid w:val="00215EC3"/>
    <w:rsid w:val="00215F17"/>
    <w:rsid w:val="00221061"/>
    <w:rsid w:val="00223E1E"/>
    <w:rsid w:val="00225247"/>
    <w:rsid w:val="002258D7"/>
    <w:rsid w:val="00225E36"/>
    <w:rsid w:val="00237CCC"/>
    <w:rsid w:val="00242958"/>
    <w:rsid w:val="00244BBB"/>
    <w:rsid w:val="0025409B"/>
    <w:rsid w:val="002611F7"/>
    <w:rsid w:val="002614AA"/>
    <w:rsid w:val="002628D8"/>
    <w:rsid w:val="00265507"/>
    <w:rsid w:val="00266171"/>
    <w:rsid w:val="00267A34"/>
    <w:rsid w:val="002735B2"/>
    <w:rsid w:val="00276F34"/>
    <w:rsid w:val="00277E3F"/>
    <w:rsid w:val="00285132"/>
    <w:rsid w:val="00287128"/>
    <w:rsid w:val="00291EC4"/>
    <w:rsid w:val="00291F6D"/>
    <w:rsid w:val="002922DF"/>
    <w:rsid w:val="00292DC3"/>
    <w:rsid w:val="002938F3"/>
    <w:rsid w:val="00294548"/>
    <w:rsid w:val="00295BC3"/>
    <w:rsid w:val="00295CFC"/>
    <w:rsid w:val="00297B67"/>
    <w:rsid w:val="002A027D"/>
    <w:rsid w:val="002A0EFD"/>
    <w:rsid w:val="002A1A1A"/>
    <w:rsid w:val="002A218E"/>
    <w:rsid w:val="002A277D"/>
    <w:rsid w:val="002A2FAE"/>
    <w:rsid w:val="002A5612"/>
    <w:rsid w:val="002A60FB"/>
    <w:rsid w:val="002B0E2F"/>
    <w:rsid w:val="002B4832"/>
    <w:rsid w:val="002B6DC3"/>
    <w:rsid w:val="002C0908"/>
    <w:rsid w:val="002C1D5E"/>
    <w:rsid w:val="002C29E3"/>
    <w:rsid w:val="002C6DF3"/>
    <w:rsid w:val="002D4554"/>
    <w:rsid w:val="002D58AB"/>
    <w:rsid w:val="002D5E9C"/>
    <w:rsid w:val="002D6EA2"/>
    <w:rsid w:val="002E209C"/>
    <w:rsid w:val="002E34DF"/>
    <w:rsid w:val="002E3A16"/>
    <w:rsid w:val="002E4665"/>
    <w:rsid w:val="002E6BCD"/>
    <w:rsid w:val="002F4477"/>
    <w:rsid w:val="00301DC2"/>
    <w:rsid w:val="0030363E"/>
    <w:rsid w:val="00305D1C"/>
    <w:rsid w:val="003066D3"/>
    <w:rsid w:val="003102D3"/>
    <w:rsid w:val="003103F5"/>
    <w:rsid w:val="0031054C"/>
    <w:rsid w:val="00314D16"/>
    <w:rsid w:val="003154CE"/>
    <w:rsid w:val="00315FFA"/>
    <w:rsid w:val="003160A7"/>
    <w:rsid w:val="00316684"/>
    <w:rsid w:val="00316D31"/>
    <w:rsid w:val="0031732D"/>
    <w:rsid w:val="00320476"/>
    <w:rsid w:val="00320FC4"/>
    <w:rsid w:val="003231C8"/>
    <w:rsid w:val="00324B85"/>
    <w:rsid w:val="00326A57"/>
    <w:rsid w:val="00327D1F"/>
    <w:rsid w:val="003309E4"/>
    <w:rsid w:val="00331B39"/>
    <w:rsid w:val="0033493C"/>
    <w:rsid w:val="00334A3A"/>
    <w:rsid w:val="00334D69"/>
    <w:rsid w:val="003426E3"/>
    <w:rsid w:val="00343E64"/>
    <w:rsid w:val="00344C88"/>
    <w:rsid w:val="003464F0"/>
    <w:rsid w:val="00351923"/>
    <w:rsid w:val="00351DD9"/>
    <w:rsid w:val="00351FE5"/>
    <w:rsid w:val="0035452F"/>
    <w:rsid w:val="00357294"/>
    <w:rsid w:val="00360706"/>
    <w:rsid w:val="00362AFC"/>
    <w:rsid w:val="00364A08"/>
    <w:rsid w:val="003713E6"/>
    <w:rsid w:val="00371A2B"/>
    <w:rsid w:val="00371ED7"/>
    <w:rsid w:val="00371F22"/>
    <w:rsid w:val="0037263D"/>
    <w:rsid w:val="003769E8"/>
    <w:rsid w:val="00376ABC"/>
    <w:rsid w:val="0037786E"/>
    <w:rsid w:val="003802CF"/>
    <w:rsid w:val="003828F1"/>
    <w:rsid w:val="00383393"/>
    <w:rsid w:val="0038581F"/>
    <w:rsid w:val="003863C3"/>
    <w:rsid w:val="0038769A"/>
    <w:rsid w:val="003928A5"/>
    <w:rsid w:val="00392E4D"/>
    <w:rsid w:val="00393BCC"/>
    <w:rsid w:val="00395045"/>
    <w:rsid w:val="00395E72"/>
    <w:rsid w:val="00397315"/>
    <w:rsid w:val="00397A58"/>
    <w:rsid w:val="003A230F"/>
    <w:rsid w:val="003A6660"/>
    <w:rsid w:val="003A6C87"/>
    <w:rsid w:val="003A79A0"/>
    <w:rsid w:val="003B4806"/>
    <w:rsid w:val="003B4F0F"/>
    <w:rsid w:val="003C406E"/>
    <w:rsid w:val="003C6393"/>
    <w:rsid w:val="003C7DB5"/>
    <w:rsid w:val="003D1A02"/>
    <w:rsid w:val="003D40E2"/>
    <w:rsid w:val="003D47D9"/>
    <w:rsid w:val="003D762E"/>
    <w:rsid w:val="003E00F0"/>
    <w:rsid w:val="003E0267"/>
    <w:rsid w:val="003E0577"/>
    <w:rsid w:val="003E0A6E"/>
    <w:rsid w:val="003E1E53"/>
    <w:rsid w:val="003E42D2"/>
    <w:rsid w:val="003E7C26"/>
    <w:rsid w:val="003F31B5"/>
    <w:rsid w:val="003F56D8"/>
    <w:rsid w:val="003F69B8"/>
    <w:rsid w:val="003F6A55"/>
    <w:rsid w:val="003F732C"/>
    <w:rsid w:val="003F7BD7"/>
    <w:rsid w:val="00407090"/>
    <w:rsid w:val="00413902"/>
    <w:rsid w:val="00414A32"/>
    <w:rsid w:val="00422688"/>
    <w:rsid w:val="00423366"/>
    <w:rsid w:val="00425F59"/>
    <w:rsid w:val="0042797E"/>
    <w:rsid w:val="0043146E"/>
    <w:rsid w:val="00433006"/>
    <w:rsid w:val="00436F27"/>
    <w:rsid w:val="00437814"/>
    <w:rsid w:val="00441CC2"/>
    <w:rsid w:val="004442B4"/>
    <w:rsid w:val="00445181"/>
    <w:rsid w:val="00445288"/>
    <w:rsid w:val="00445DCA"/>
    <w:rsid w:val="004465A5"/>
    <w:rsid w:val="00451307"/>
    <w:rsid w:val="00451B69"/>
    <w:rsid w:val="00453C6E"/>
    <w:rsid w:val="00457714"/>
    <w:rsid w:val="00457B6C"/>
    <w:rsid w:val="004629D1"/>
    <w:rsid w:val="00463342"/>
    <w:rsid w:val="00463885"/>
    <w:rsid w:val="00464449"/>
    <w:rsid w:val="00470E98"/>
    <w:rsid w:val="0047204B"/>
    <w:rsid w:val="00473A65"/>
    <w:rsid w:val="00476D4A"/>
    <w:rsid w:val="00477F11"/>
    <w:rsid w:val="00481720"/>
    <w:rsid w:val="00482135"/>
    <w:rsid w:val="00482B21"/>
    <w:rsid w:val="0048306B"/>
    <w:rsid w:val="00483A89"/>
    <w:rsid w:val="00484EF6"/>
    <w:rsid w:val="004867DC"/>
    <w:rsid w:val="004877C7"/>
    <w:rsid w:val="00487E0A"/>
    <w:rsid w:val="00490AB9"/>
    <w:rsid w:val="004922CF"/>
    <w:rsid w:val="00493DC0"/>
    <w:rsid w:val="00493E0F"/>
    <w:rsid w:val="004A12D8"/>
    <w:rsid w:val="004A2806"/>
    <w:rsid w:val="004B09E9"/>
    <w:rsid w:val="004B6136"/>
    <w:rsid w:val="004B6822"/>
    <w:rsid w:val="004C483E"/>
    <w:rsid w:val="004C5FF8"/>
    <w:rsid w:val="004C6C2F"/>
    <w:rsid w:val="004C730F"/>
    <w:rsid w:val="004C7D5D"/>
    <w:rsid w:val="004D198B"/>
    <w:rsid w:val="004D37EE"/>
    <w:rsid w:val="004D511D"/>
    <w:rsid w:val="004D786B"/>
    <w:rsid w:val="004E195B"/>
    <w:rsid w:val="004E1ADE"/>
    <w:rsid w:val="004E513A"/>
    <w:rsid w:val="004F06B9"/>
    <w:rsid w:val="004F27B7"/>
    <w:rsid w:val="004F59EC"/>
    <w:rsid w:val="00500412"/>
    <w:rsid w:val="00505483"/>
    <w:rsid w:val="0050582E"/>
    <w:rsid w:val="00511870"/>
    <w:rsid w:val="00522332"/>
    <w:rsid w:val="005232E9"/>
    <w:rsid w:val="00525D28"/>
    <w:rsid w:val="00533EE6"/>
    <w:rsid w:val="00535BC7"/>
    <w:rsid w:val="00535CCD"/>
    <w:rsid w:val="0053617A"/>
    <w:rsid w:val="005418F0"/>
    <w:rsid w:val="00542A04"/>
    <w:rsid w:val="00544B2E"/>
    <w:rsid w:val="00546069"/>
    <w:rsid w:val="0055406A"/>
    <w:rsid w:val="00555135"/>
    <w:rsid w:val="00560E73"/>
    <w:rsid w:val="00561AF0"/>
    <w:rsid w:val="00561D0F"/>
    <w:rsid w:val="0056209E"/>
    <w:rsid w:val="00562A87"/>
    <w:rsid w:val="00563ECB"/>
    <w:rsid w:val="00565AAB"/>
    <w:rsid w:val="00567543"/>
    <w:rsid w:val="0056757A"/>
    <w:rsid w:val="005675BD"/>
    <w:rsid w:val="00567F83"/>
    <w:rsid w:val="005701B4"/>
    <w:rsid w:val="00570A7E"/>
    <w:rsid w:val="00571572"/>
    <w:rsid w:val="00572CA3"/>
    <w:rsid w:val="005732C6"/>
    <w:rsid w:val="0058215F"/>
    <w:rsid w:val="00582F96"/>
    <w:rsid w:val="00583452"/>
    <w:rsid w:val="005836E8"/>
    <w:rsid w:val="00584B4D"/>
    <w:rsid w:val="00585AB6"/>
    <w:rsid w:val="00587913"/>
    <w:rsid w:val="005901B7"/>
    <w:rsid w:val="005919DD"/>
    <w:rsid w:val="0059410A"/>
    <w:rsid w:val="005969B3"/>
    <w:rsid w:val="005A24BF"/>
    <w:rsid w:val="005A45F9"/>
    <w:rsid w:val="005A67F6"/>
    <w:rsid w:val="005B1BEC"/>
    <w:rsid w:val="005B24EE"/>
    <w:rsid w:val="005B4B1F"/>
    <w:rsid w:val="005B6DDE"/>
    <w:rsid w:val="005B7954"/>
    <w:rsid w:val="005B7FEE"/>
    <w:rsid w:val="005C0EB8"/>
    <w:rsid w:val="005C2D1C"/>
    <w:rsid w:val="005C36AB"/>
    <w:rsid w:val="005D1EDE"/>
    <w:rsid w:val="005D3AB3"/>
    <w:rsid w:val="005D40B6"/>
    <w:rsid w:val="005D6D4A"/>
    <w:rsid w:val="005E2954"/>
    <w:rsid w:val="005E3130"/>
    <w:rsid w:val="005E4C5C"/>
    <w:rsid w:val="005E56DB"/>
    <w:rsid w:val="005F2590"/>
    <w:rsid w:val="005F28EF"/>
    <w:rsid w:val="005F3EB4"/>
    <w:rsid w:val="005F489E"/>
    <w:rsid w:val="005F4A3B"/>
    <w:rsid w:val="005F627F"/>
    <w:rsid w:val="00602B89"/>
    <w:rsid w:val="00603DB4"/>
    <w:rsid w:val="006052FD"/>
    <w:rsid w:val="006053E9"/>
    <w:rsid w:val="00606D65"/>
    <w:rsid w:val="00607798"/>
    <w:rsid w:val="00612E56"/>
    <w:rsid w:val="00617248"/>
    <w:rsid w:val="00617A9A"/>
    <w:rsid w:val="00621A17"/>
    <w:rsid w:val="00624B3B"/>
    <w:rsid w:val="00625A60"/>
    <w:rsid w:val="00633C38"/>
    <w:rsid w:val="0064274B"/>
    <w:rsid w:val="00642831"/>
    <w:rsid w:val="00644D13"/>
    <w:rsid w:val="0064606E"/>
    <w:rsid w:val="00646F6A"/>
    <w:rsid w:val="00647B0E"/>
    <w:rsid w:val="00651D42"/>
    <w:rsid w:val="00651FD7"/>
    <w:rsid w:val="006579C8"/>
    <w:rsid w:val="00660E14"/>
    <w:rsid w:val="00667D00"/>
    <w:rsid w:val="00671164"/>
    <w:rsid w:val="00672DCF"/>
    <w:rsid w:val="006750EC"/>
    <w:rsid w:val="00675D5A"/>
    <w:rsid w:val="00676EA4"/>
    <w:rsid w:val="00680842"/>
    <w:rsid w:val="00681C2A"/>
    <w:rsid w:val="00682A4C"/>
    <w:rsid w:val="00683939"/>
    <w:rsid w:val="00684E41"/>
    <w:rsid w:val="006917F3"/>
    <w:rsid w:val="00693F85"/>
    <w:rsid w:val="00697303"/>
    <w:rsid w:val="006978A8"/>
    <w:rsid w:val="006A02A3"/>
    <w:rsid w:val="006A210B"/>
    <w:rsid w:val="006A2966"/>
    <w:rsid w:val="006A46E2"/>
    <w:rsid w:val="006A496E"/>
    <w:rsid w:val="006A7D38"/>
    <w:rsid w:val="006A7D53"/>
    <w:rsid w:val="006B42D0"/>
    <w:rsid w:val="006B4907"/>
    <w:rsid w:val="006B52F5"/>
    <w:rsid w:val="006B7B9B"/>
    <w:rsid w:val="006C2101"/>
    <w:rsid w:val="006C24DB"/>
    <w:rsid w:val="006C4949"/>
    <w:rsid w:val="006C5ACD"/>
    <w:rsid w:val="006C602C"/>
    <w:rsid w:val="006C691F"/>
    <w:rsid w:val="006D2B52"/>
    <w:rsid w:val="006D38F9"/>
    <w:rsid w:val="006D3F18"/>
    <w:rsid w:val="006D4984"/>
    <w:rsid w:val="006D7919"/>
    <w:rsid w:val="006E0D9A"/>
    <w:rsid w:val="006E74E3"/>
    <w:rsid w:val="006F06FF"/>
    <w:rsid w:val="006F0713"/>
    <w:rsid w:val="006F4877"/>
    <w:rsid w:val="00700AD8"/>
    <w:rsid w:val="00705BE5"/>
    <w:rsid w:val="00712697"/>
    <w:rsid w:val="00714FDC"/>
    <w:rsid w:val="00717A22"/>
    <w:rsid w:val="00725355"/>
    <w:rsid w:val="007339E9"/>
    <w:rsid w:val="00735929"/>
    <w:rsid w:val="0073737B"/>
    <w:rsid w:val="00741940"/>
    <w:rsid w:val="00742FDB"/>
    <w:rsid w:val="00743BD7"/>
    <w:rsid w:val="00744581"/>
    <w:rsid w:val="00745F37"/>
    <w:rsid w:val="0075211B"/>
    <w:rsid w:val="00752215"/>
    <w:rsid w:val="00752EE3"/>
    <w:rsid w:val="00754A93"/>
    <w:rsid w:val="007551B8"/>
    <w:rsid w:val="00757B1A"/>
    <w:rsid w:val="00760114"/>
    <w:rsid w:val="0076097C"/>
    <w:rsid w:val="00762867"/>
    <w:rsid w:val="007633CE"/>
    <w:rsid w:val="00763E68"/>
    <w:rsid w:val="00764198"/>
    <w:rsid w:val="007665B1"/>
    <w:rsid w:val="0077039D"/>
    <w:rsid w:val="007724F2"/>
    <w:rsid w:val="00776DB8"/>
    <w:rsid w:val="00782FD3"/>
    <w:rsid w:val="00784CB0"/>
    <w:rsid w:val="00784CE8"/>
    <w:rsid w:val="007858C2"/>
    <w:rsid w:val="007932A8"/>
    <w:rsid w:val="007940EF"/>
    <w:rsid w:val="00794553"/>
    <w:rsid w:val="00795AAA"/>
    <w:rsid w:val="007966BC"/>
    <w:rsid w:val="00796744"/>
    <w:rsid w:val="007A78BA"/>
    <w:rsid w:val="007C0DF3"/>
    <w:rsid w:val="007C73AE"/>
    <w:rsid w:val="007D1703"/>
    <w:rsid w:val="007D3C51"/>
    <w:rsid w:val="007D3FDB"/>
    <w:rsid w:val="007D4C76"/>
    <w:rsid w:val="007D5CF4"/>
    <w:rsid w:val="007E1DC4"/>
    <w:rsid w:val="007E519F"/>
    <w:rsid w:val="007E55AF"/>
    <w:rsid w:val="007E78A6"/>
    <w:rsid w:val="007E7BDA"/>
    <w:rsid w:val="007F43A4"/>
    <w:rsid w:val="007F62D4"/>
    <w:rsid w:val="007F7BF7"/>
    <w:rsid w:val="007F7F81"/>
    <w:rsid w:val="007F7FEF"/>
    <w:rsid w:val="0080013E"/>
    <w:rsid w:val="00802F2C"/>
    <w:rsid w:val="008039CF"/>
    <w:rsid w:val="00806BAB"/>
    <w:rsid w:val="00806C90"/>
    <w:rsid w:val="00806DCD"/>
    <w:rsid w:val="00806F05"/>
    <w:rsid w:val="00811117"/>
    <w:rsid w:val="0081117E"/>
    <w:rsid w:val="00811C8C"/>
    <w:rsid w:val="00812D4E"/>
    <w:rsid w:val="00814AED"/>
    <w:rsid w:val="00815638"/>
    <w:rsid w:val="00815CA3"/>
    <w:rsid w:val="008203F3"/>
    <w:rsid w:val="008207F0"/>
    <w:rsid w:val="00822197"/>
    <w:rsid w:val="00822546"/>
    <w:rsid w:val="00822B9B"/>
    <w:rsid w:val="008246AD"/>
    <w:rsid w:val="00835A1E"/>
    <w:rsid w:val="00837C49"/>
    <w:rsid w:val="00842FC6"/>
    <w:rsid w:val="008437FD"/>
    <w:rsid w:val="008546ED"/>
    <w:rsid w:val="00855B3E"/>
    <w:rsid w:val="008642AF"/>
    <w:rsid w:val="00864687"/>
    <w:rsid w:val="00865BF5"/>
    <w:rsid w:val="008668D6"/>
    <w:rsid w:val="00867354"/>
    <w:rsid w:val="00870832"/>
    <w:rsid w:val="0087332B"/>
    <w:rsid w:val="0087685A"/>
    <w:rsid w:val="00876AC0"/>
    <w:rsid w:val="00877EE4"/>
    <w:rsid w:val="008800B7"/>
    <w:rsid w:val="00880648"/>
    <w:rsid w:val="00881268"/>
    <w:rsid w:val="00881D84"/>
    <w:rsid w:val="00882136"/>
    <w:rsid w:val="00882221"/>
    <w:rsid w:val="00883415"/>
    <w:rsid w:val="008838C3"/>
    <w:rsid w:val="00884015"/>
    <w:rsid w:val="00887134"/>
    <w:rsid w:val="008915DD"/>
    <w:rsid w:val="00894E0E"/>
    <w:rsid w:val="008950ED"/>
    <w:rsid w:val="00896231"/>
    <w:rsid w:val="008971BE"/>
    <w:rsid w:val="00897518"/>
    <w:rsid w:val="00897FEE"/>
    <w:rsid w:val="008A0B3F"/>
    <w:rsid w:val="008A1E26"/>
    <w:rsid w:val="008A3414"/>
    <w:rsid w:val="008A3501"/>
    <w:rsid w:val="008A5132"/>
    <w:rsid w:val="008A5FE5"/>
    <w:rsid w:val="008B2815"/>
    <w:rsid w:val="008B2E5D"/>
    <w:rsid w:val="008B3E7B"/>
    <w:rsid w:val="008C1A2F"/>
    <w:rsid w:val="008C445B"/>
    <w:rsid w:val="008C5C71"/>
    <w:rsid w:val="008C6ED5"/>
    <w:rsid w:val="008C77DB"/>
    <w:rsid w:val="008C7F69"/>
    <w:rsid w:val="008D1185"/>
    <w:rsid w:val="008D5849"/>
    <w:rsid w:val="008D6B21"/>
    <w:rsid w:val="008E1720"/>
    <w:rsid w:val="008E2231"/>
    <w:rsid w:val="008E4BF9"/>
    <w:rsid w:val="008E4E6B"/>
    <w:rsid w:val="008F1D8F"/>
    <w:rsid w:val="008F58C6"/>
    <w:rsid w:val="0090429D"/>
    <w:rsid w:val="0090777E"/>
    <w:rsid w:val="00907A98"/>
    <w:rsid w:val="0091218E"/>
    <w:rsid w:val="00912FF6"/>
    <w:rsid w:val="0091427C"/>
    <w:rsid w:val="009214A0"/>
    <w:rsid w:val="00926C27"/>
    <w:rsid w:val="009333DC"/>
    <w:rsid w:val="00934248"/>
    <w:rsid w:val="00937787"/>
    <w:rsid w:val="009449B0"/>
    <w:rsid w:val="00944A73"/>
    <w:rsid w:val="0095007A"/>
    <w:rsid w:val="0095112F"/>
    <w:rsid w:val="00952766"/>
    <w:rsid w:val="009561D4"/>
    <w:rsid w:val="0095625E"/>
    <w:rsid w:val="00960A58"/>
    <w:rsid w:val="00963A74"/>
    <w:rsid w:val="00967999"/>
    <w:rsid w:val="00967EE8"/>
    <w:rsid w:val="00970F16"/>
    <w:rsid w:val="009756A4"/>
    <w:rsid w:val="00975F03"/>
    <w:rsid w:val="009858EA"/>
    <w:rsid w:val="00986E2C"/>
    <w:rsid w:val="0098756A"/>
    <w:rsid w:val="0099745E"/>
    <w:rsid w:val="009A00AC"/>
    <w:rsid w:val="009A0A09"/>
    <w:rsid w:val="009A0D7E"/>
    <w:rsid w:val="009A657C"/>
    <w:rsid w:val="009A6590"/>
    <w:rsid w:val="009A6C07"/>
    <w:rsid w:val="009B2368"/>
    <w:rsid w:val="009B2797"/>
    <w:rsid w:val="009B2BA8"/>
    <w:rsid w:val="009B2F5E"/>
    <w:rsid w:val="009B4969"/>
    <w:rsid w:val="009B66A5"/>
    <w:rsid w:val="009B6A0F"/>
    <w:rsid w:val="009B73D4"/>
    <w:rsid w:val="009C2EA3"/>
    <w:rsid w:val="009C5901"/>
    <w:rsid w:val="009C59E1"/>
    <w:rsid w:val="009C66FA"/>
    <w:rsid w:val="009C7956"/>
    <w:rsid w:val="009D0678"/>
    <w:rsid w:val="009D3CF9"/>
    <w:rsid w:val="009D489D"/>
    <w:rsid w:val="009D6E07"/>
    <w:rsid w:val="009E11DF"/>
    <w:rsid w:val="009E336B"/>
    <w:rsid w:val="009E438F"/>
    <w:rsid w:val="009E4CF8"/>
    <w:rsid w:val="009E65A2"/>
    <w:rsid w:val="009E6640"/>
    <w:rsid w:val="009E755F"/>
    <w:rsid w:val="009F002F"/>
    <w:rsid w:val="009F0054"/>
    <w:rsid w:val="009F0A82"/>
    <w:rsid w:val="009F2CE3"/>
    <w:rsid w:val="009F41A4"/>
    <w:rsid w:val="009F594D"/>
    <w:rsid w:val="009F6203"/>
    <w:rsid w:val="009F7262"/>
    <w:rsid w:val="00A01C3B"/>
    <w:rsid w:val="00A01EF4"/>
    <w:rsid w:val="00A02521"/>
    <w:rsid w:val="00A031ED"/>
    <w:rsid w:val="00A03862"/>
    <w:rsid w:val="00A0434F"/>
    <w:rsid w:val="00A05824"/>
    <w:rsid w:val="00A0611F"/>
    <w:rsid w:val="00A11E36"/>
    <w:rsid w:val="00A1370E"/>
    <w:rsid w:val="00A14543"/>
    <w:rsid w:val="00A14D39"/>
    <w:rsid w:val="00A14D49"/>
    <w:rsid w:val="00A20158"/>
    <w:rsid w:val="00A234F8"/>
    <w:rsid w:val="00A23C80"/>
    <w:rsid w:val="00A23E1A"/>
    <w:rsid w:val="00A240FC"/>
    <w:rsid w:val="00A27A4D"/>
    <w:rsid w:val="00A3073B"/>
    <w:rsid w:val="00A33755"/>
    <w:rsid w:val="00A35C55"/>
    <w:rsid w:val="00A360FF"/>
    <w:rsid w:val="00A372C7"/>
    <w:rsid w:val="00A37785"/>
    <w:rsid w:val="00A42EC2"/>
    <w:rsid w:val="00A46123"/>
    <w:rsid w:val="00A46E9D"/>
    <w:rsid w:val="00A47806"/>
    <w:rsid w:val="00A47F55"/>
    <w:rsid w:val="00A54E85"/>
    <w:rsid w:val="00A6088D"/>
    <w:rsid w:val="00A60A67"/>
    <w:rsid w:val="00A61CB6"/>
    <w:rsid w:val="00A62F9F"/>
    <w:rsid w:val="00A639CD"/>
    <w:rsid w:val="00A668E7"/>
    <w:rsid w:val="00A66BF0"/>
    <w:rsid w:val="00A66D6C"/>
    <w:rsid w:val="00A718D0"/>
    <w:rsid w:val="00A71A07"/>
    <w:rsid w:val="00A74073"/>
    <w:rsid w:val="00A749E4"/>
    <w:rsid w:val="00A74CF3"/>
    <w:rsid w:val="00A74D77"/>
    <w:rsid w:val="00A77FDA"/>
    <w:rsid w:val="00A80555"/>
    <w:rsid w:val="00A82EF3"/>
    <w:rsid w:val="00A84417"/>
    <w:rsid w:val="00A845C1"/>
    <w:rsid w:val="00A863A1"/>
    <w:rsid w:val="00A863F5"/>
    <w:rsid w:val="00A90E2E"/>
    <w:rsid w:val="00A92461"/>
    <w:rsid w:val="00AA0B4D"/>
    <w:rsid w:val="00AA14AF"/>
    <w:rsid w:val="00AA286D"/>
    <w:rsid w:val="00AA5721"/>
    <w:rsid w:val="00AB281E"/>
    <w:rsid w:val="00AB33E5"/>
    <w:rsid w:val="00AB438C"/>
    <w:rsid w:val="00AB5E99"/>
    <w:rsid w:val="00AB77EC"/>
    <w:rsid w:val="00AC0CC6"/>
    <w:rsid w:val="00AC2EE2"/>
    <w:rsid w:val="00AD113E"/>
    <w:rsid w:val="00AD20E2"/>
    <w:rsid w:val="00AD325F"/>
    <w:rsid w:val="00AD74E8"/>
    <w:rsid w:val="00AD7D66"/>
    <w:rsid w:val="00AE6445"/>
    <w:rsid w:val="00AF2D59"/>
    <w:rsid w:val="00AF485A"/>
    <w:rsid w:val="00AF5D57"/>
    <w:rsid w:val="00AF7F1E"/>
    <w:rsid w:val="00B00939"/>
    <w:rsid w:val="00B0122E"/>
    <w:rsid w:val="00B040AE"/>
    <w:rsid w:val="00B050C5"/>
    <w:rsid w:val="00B05AEA"/>
    <w:rsid w:val="00B069C3"/>
    <w:rsid w:val="00B07E9C"/>
    <w:rsid w:val="00B07F3E"/>
    <w:rsid w:val="00B11A7D"/>
    <w:rsid w:val="00B12453"/>
    <w:rsid w:val="00B21BC0"/>
    <w:rsid w:val="00B2251C"/>
    <w:rsid w:val="00B22B63"/>
    <w:rsid w:val="00B24101"/>
    <w:rsid w:val="00B24FB8"/>
    <w:rsid w:val="00B25FA1"/>
    <w:rsid w:val="00B2646B"/>
    <w:rsid w:val="00B31CC2"/>
    <w:rsid w:val="00B32D03"/>
    <w:rsid w:val="00B32D90"/>
    <w:rsid w:val="00B34DCF"/>
    <w:rsid w:val="00B3529D"/>
    <w:rsid w:val="00B35751"/>
    <w:rsid w:val="00B364D6"/>
    <w:rsid w:val="00B370C6"/>
    <w:rsid w:val="00B4008C"/>
    <w:rsid w:val="00B4066E"/>
    <w:rsid w:val="00B4126D"/>
    <w:rsid w:val="00B43EA2"/>
    <w:rsid w:val="00B43FCC"/>
    <w:rsid w:val="00B47507"/>
    <w:rsid w:val="00B50305"/>
    <w:rsid w:val="00B504C3"/>
    <w:rsid w:val="00B522CD"/>
    <w:rsid w:val="00B53357"/>
    <w:rsid w:val="00B53D75"/>
    <w:rsid w:val="00B6430E"/>
    <w:rsid w:val="00B656C0"/>
    <w:rsid w:val="00B66974"/>
    <w:rsid w:val="00B673B8"/>
    <w:rsid w:val="00B70206"/>
    <w:rsid w:val="00B70A3B"/>
    <w:rsid w:val="00B7195F"/>
    <w:rsid w:val="00B72B27"/>
    <w:rsid w:val="00B73C66"/>
    <w:rsid w:val="00B816D2"/>
    <w:rsid w:val="00B84A99"/>
    <w:rsid w:val="00B93B99"/>
    <w:rsid w:val="00B93D5B"/>
    <w:rsid w:val="00BA00BD"/>
    <w:rsid w:val="00BB0626"/>
    <w:rsid w:val="00BB0DEE"/>
    <w:rsid w:val="00BB1BDD"/>
    <w:rsid w:val="00BB3FA5"/>
    <w:rsid w:val="00BB6AD0"/>
    <w:rsid w:val="00BC0C08"/>
    <w:rsid w:val="00BC0DA0"/>
    <w:rsid w:val="00BC177A"/>
    <w:rsid w:val="00BC4E59"/>
    <w:rsid w:val="00BC63CC"/>
    <w:rsid w:val="00BC6A7F"/>
    <w:rsid w:val="00BD042D"/>
    <w:rsid w:val="00BD0A53"/>
    <w:rsid w:val="00BD3D70"/>
    <w:rsid w:val="00BD4300"/>
    <w:rsid w:val="00BD663F"/>
    <w:rsid w:val="00BE50C2"/>
    <w:rsid w:val="00BE59CE"/>
    <w:rsid w:val="00BE5A85"/>
    <w:rsid w:val="00BE633F"/>
    <w:rsid w:val="00BE7575"/>
    <w:rsid w:val="00BF10E0"/>
    <w:rsid w:val="00BF2F16"/>
    <w:rsid w:val="00C03F3B"/>
    <w:rsid w:val="00C04CFA"/>
    <w:rsid w:val="00C052AD"/>
    <w:rsid w:val="00C06E30"/>
    <w:rsid w:val="00C10A35"/>
    <w:rsid w:val="00C11B45"/>
    <w:rsid w:val="00C12546"/>
    <w:rsid w:val="00C1766D"/>
    <w:rsid w:val="00C17B29"/>
    <w:rsid w:val="00C20912"/>
    <w:rsid w:val="00C20A2F"/>
    <w:rsid w:val="00C221FD"/>
    <w:rsid w:val="00C2232B"/>
    <w:rsid w:val="00C23A33"/>
    <w:rsid w:val="00C23EE1"/>
    <w:rsid w:val="00C23F7F"/>
    <w:rsid w:val="00C2430F"/>
    <w:rsid w:val="00C25649"/>
    <w:rsid w:val="00C25EFB"/>
    <w:rsid w:val="00C27BEB"/>
    <w:rsid w:val="00C326FB"/>
    <w:rsid w:val="00C3383A"/>
    <w:rsid w:val="00C3647F"/>
    <w:rsid w:val="00C376D7"/>
    <w:rsid w:val="00C37E98"/>
    <w:rsid w:val="00C4083A"/>
    <w:rsid w:val="00C40DAB"/>
    <w:rsid w:val="00C43C29"/>
    <w:rsid w:val="00C44F42"/>
    <w:rsid w:val="00C4690B"/>
    <w:rsid w:val="00C51ECD"/>
    <w:rsid w:val="00C52AD0"/>
    <w:rsid w:val="00C53ADC"/>
    <w:rsid w:val="00C542E8"/>
    <w:rsid w:val="00C56387"/>
    <w:rsid w:val="00C56531"/>
    <w:rsid w:val="00C65AC4"/>
    <w:rsid w:val="00C660E0"/>
    <w:rsid w:val="00C67241"/>
    <w:rsid w:val="00C7007D"/>
    <w:rsid w:val="00C70B68"/>
    <w:rsid w:val="00C71070"/>
    <w:rsid w:val="00C80804"/>
    <w:rsid w:val="00C81DF8"/>
    <w:rsid w:val="00C8417B"/>
    <w:rsid w:val="00C8654B"/>
    <w:rsid w:val="00C91481"/>
    <w:rsid w:val="00C91965"/>
    <w:rsid w:val="00CA0267"/>
    <w:rsid w:val="00CA0DDD"/>
    <w:rsid w:val="00CA272D"/>
    <w:rsid w:val="00CA4141"/>
    <w:rsid w:val="00CA4D8E"/>
    <w:rsid w:val="00CB1DA7"/>
    <w:rsid w:val="00CB2ABA"/>
    <w:rsid w:val="00CB6FF3"/>
    <w:rsid w:val="00CB7ACC"/>
    <w:rsid w:val="00CC50A6"/>
    <w:rsid w:val="00CD1D19"/>
    <w:rsid w:val="00CE02A0"/>
    <w:rsid w:val="00CE119A"/>
    <w:rsid w:val="00CE1A9B"/>
    <w:rsid w:val="00CE23D4"/>
    <w:rsid w:val="00CE793A"/>
    <w:rsid w:val="00CF1822"/>
    <w:rsid w:val="00CF28C5"/>
    <w:rsid w:val="00CF4E3F"/>
    <w:rsid w:val="00CF6DB0"/>
    <w:rsid w:val="00CF77CB"/>
    <w:rsid w:val="00D02100"/>
    <w:rsid w:val="00D04457"/>
    <w:rsid w:val="00D103C1"/>
    <w:rsid w:val="00D11649"/>
    <w:rsid w:val="00D11FD8"/>
    <w:rsid w:val="00D178C8"/>
    <w:rsid w:val="00D27557"/>
    <w:rsid w:val="00D320C3"/>
    <w:rsid w:val="00D3300B"/>
    <w:rsid w:val="00D33D39"/>
    <w:rsid w:val="00D33DC9"/>
    <w:rsid w:val="00D41079"/>
    <w:rsid w:val="00D41123"/>
    <w:rsid w:val="00D42FB3"/>
    <w:rsid w:val="00D44869"/>
    <w:rsid w:val="00D44F1B"/>
    <w:rsid w:val="00D45265"/>
    <w:rsid w:val="00D45A14"/>
    <w:rsid w:val="00D45CF9"/>
    <w:rsid w:val="00D46403"/>
    <w:rsid w:val="00D5127B"/>
    <w:rsid w:val="00D5450C"/>
    <w:rsid w:val="00D54773"/>
    <w:rsid w:val="00D62BE7"/>
    <w:rsid w:val="00D66BF1"/>
    <w:rsid w:val="00D67137"/>
    <w:rsid w:val="00D67E76"/>
    <w:rsid w:val="00D70229"/>
    <w:rsid w:val="00D715E0"/>
    <w:rsid w:val="00D76CE6"/>
    <w:rsid w:val="00D806E9"/>
    <w:rsid w:val="00D81C0E"/>
    <w:rsid w:val="00D82902"/>
    <w:rsid w:val="00D8297E"/>
    <w:rsid w:val="00D8534E"/>
    <w:rsid w:val="00D857CE"/>
    <w:rsid w:val="00D87FC2"/>
    <w:rsid w:val="00D9028B"/>
    <w:rsid w:val="00D907A8"/>
    <w:rsid w:val="00D946F5"/>
    <w:rsid w:val="00D953BF"/>
    <w:rsid w:val="00DA401A"/>
    <w:rsid w:val="00DA6AE4"/>
    <w:rsid w:val="00DA7F58"/>
    <w:rsid w:val="00DB0134"/>
    <w:rsid w:val="00DB4831"/>
    <w:rsid w:val="00DB5317"/>
    <w:rsid w:val="00DC07F7"/>
    <w:rsid w:val="00DC29CD"/>
    <w:rsid w:val="00DC514E"/>
    <w:rsid w:val="00DD0EDE"/>
    <w:rsid w:val="00DD3F42"/>
    <w:rsid w:val="00DE1BF0"/>
    <w:rsid w:val="00DE205D"/>
    <w:rsid w:val="00DE2A85"/>
    <w:rsid w:val="00DE6073"/>
    <w:rsid w:val="00DE634D"/>
    <w:rsid w:val="00DE7254"/>
    <w:rsid w:val="00DF3DE8"/>
    <w:rsid w:val="00DF3F3F"/>
    <w:rsid w:val="00DF4CDC"/>
    <w:rsid w:val="00DF573F"/>
    <w:rsid w:val="00DF5BDC"/>
    <w:rsid w:val="00E0041C"/>
    <w:rsid w:val="00E01023"/>
    <w:rsid w:val="00E05951"/>
    <w:rsid w:val="00E10B44"/>
    <w:rsid w:val="00E1218B"/>
    <w:rsid w:val="00E128E0"/>
    <w:rsid w:val="00E1303E"/>
    <w:rsid w:val="00E13AF3"/>
    <w:rsid w:val="00E14248"/>
    <w:rsid w:val="00E156D1"/>
    <w:rsid w:val="00E1755B"/>
    <w:rsid w:val="00E17D39"/>
    <w:rsid w:val="00E208AD"/>
    <w:rsid w:val="00E20C1B"/>
    <w:rsid w:val="00E2266B"/>
    <w:rsid w:val="00E23099"/>
    <w:rsid w:val="00E2417C"/>
    <w:rsid w:val="00E246A3"/>
    <w:rsid w:val="00E26B69"/>
    <w:rsid w:val="00E31567"/>
    <w:rsid w:val="00E33194"/>
    <w:rsid w:val="00E35145"/>
    <w:rsid w:val="00E35347"/>
    <w:rsid w:val="00E36FA4"/>
    <w:rsid w:val="00E41931"/>
    <w:rsid w:val="00E421AC"/>
    <w:rsid w:val="00E42225"/>
    <w:rsid w:val="00E44BBA"/>
    <w:rsid w:val="00E45173"/>
    <w:rsid w:val="00E50CED"/>
    <w:rsid w:val="00E558C5"/>
    <w:rsid w:val="00E601DA"/>
    <w:rsid w:val="00E60B30"/>
    <w:rsid w:val="00E65CFB"/>
    <w:rsid w:val="00E66183"/>
    <w:rsid w:val="00E67CCF"/>
    <w:rsid w:val="00E67D37"/>
    <w:rsid w:val="00E70342"/>
    <w:rsid w:val="00E71261"/>
    <w:rsid w:val="00E81622"/>
    <w:rsid w:val="00E82B3E"/>
    <w:rsid w:val="00E842CC"/>
    <w:rsid w:val="00E84682"/>
    <w:rsid w:val="00E945FC"/>
    <w:rsid w:val="00E96E19"/>
    <w:rsid w:val="00E973FD"/>
    <w:rsid w:val="00E97609"/>
    <w:rsid w:val="00EA5270"/>
    <w:rsid w:val="00EA598F"/>
    <w:rsid w:val="00EA69A7"/>
    <w:rsid w:val="00EB1420"/>
    <w:rsid w:val="00EB1AA2"/>
    <w:rsid w:val="00EB3697"/>
    <w:rsid w:val="00EB3EDF"/>
    <w:rsid w:val="00EB48CD"/>
    <w:rsid w:val="00EB52FE"/>
    <w:rsid w:val="00ED305A"/>
    <w:rsid w:val="00ED4BA1"/>
    <w:rsid w:val="00ED698A"/>
    <w:rsid w:val="00ED724D"/>
    <w:rsid w:val="00EE0398"/>
    <w:rsid w:val="00EE26CB"/>
    <w:rsid w:val="00EE48BF"/>
    <w:rsid w:val="00EE7214"/>
    <w:rsid w:val="00EF0749"/>
    <w:rsid w:val="00EF279C"/>
    <w:rsid w:val="00F0228B"/>
    <w:rsid w:val="00F05882"/>
    <w:rsid w:val="00F06419"/>
    <w:rsid w:val="00F074AF"/>
    <w:rsid w:val="00F0752A"/>
    <w:rsid w:val="00F0773C"/>
    <w:rsid w:val="00F12929"/>
    <w:rsid w:val="00F1465D"/>
    <w:rsid w:val="00F168FB"/>
    <w:rsid w:val="00F22A3A"/>
    <w:rsid w:val="00F2359B"/>
    <w:rsid w:val="00F25591"/>
    <w:rsid w:val="00F2716D"/>
    <w:rsid w:val="00F320E3"/>
    <w:rsid w:val="00F322B4"/>
    <w:rsid w:val="00F36965"/>
    <w:rsid w:val="00F44943"/>
    <w:rsid w:val="00F45D7A"/>
    <w:rsid w:val="00F464AB"/>
    <w:rsid w:val="00F5005A"/>
    <w:rsid w:val="00F512D6"/>
    <w:rsid w:val="00F53685"/>
    <w:rsid w:val="00F5514A"/>
    <w:rsid w:val="00F6400C"/>
    <w:rsid w:val="00F640F5"/>
    <w:rsid w:val="00F65558"/>
    <w:rsid w:val="00F667A8"/>
    <w:rsid w:val="00F66B1A"/>
    <w:rsid w:val="00F67AB8"/>
    <w:rsid w:val="00F704B2"/>
    <w:rsid w:val="00F70755"/>
    <w:rsid w:val="00F710FD"/>
    <w:rsid w:val="00F7157E"/>
    <w:rsid w:val="00F71B2C"/>
    <w:rsid w:val="00F75B96"/>
    <w:rsid w:val="00F7616E"/>
    <w:rsid w:val="00F928A0"/>
    <w:rsid w:val="00F93F55"/>
    <w:rsid w:val="00F95FE0"/>
    <w:rsid w:val="00F962CD"/>
    <w:rsid w:val="00F967C2"/>
    <w:rsid w:val="00FA3759"/>
    <w:rsid w:val="00FA748A"/>
    <w:rsid w:val="00FA74A2"/>
    <w:rsid w:val="00FB010E"/>
    <w:rsid w:val="00FB3568"/>
    <w:rsid w:val="00FC02A4"/>
    <w:rsid w:val="00FC17DF"/>
    <w:rsid w:val="00FC2B44"/>
    <w:rsid w:val="00FC3DCA"/>
    <w:rsid w:val="00FC7A01"/>
    <w:rsid w:val="00FE0178"/>
    <w:rsid w:val="00FE56F4"/>
    <w:rsid w:val="00FF4887"/>
    <w:rsid w:val="03ACFA5A"/>
    <w:rsid w:val="03BE5076"/>
    <w:rsid w:val="058F702A"/>
    <w:rsid w:val="07882C9E"/>
    <w:rsid w:val="0A4187F9"/>
    <w:rsid w:val="0D7A38D9"/>
    <w:rsid w:val="0DBDFEC0"/>
    <w:rsid w:val="117E387E"/>
    <w:rsid w:val="12FDA4F0"/>
    <w:rsid w:val="18ACA7BF"/>
    <w:rsid w:val="18B65983"/>
    <w:rsid w:val="1B79EC15"/>
    <w:rsid w:val="1EA98EFC"/>
    <w:rsid w:val="22CFC838"/>
    <w:rsid w:val="23F95D0D"/>
    <w:rsid w:val="2693BB9A"/>
    <w:rsid w:val="280B8B52"/>
    <w:rsid w:val="283748E5"/>
    <w:rsid w:val="2B432C14"/>
    <w:rsid w:val="2CA8CF58"/>
    <w:rsid w:val="2E5863F8"/>
    <w:rsid w:val="2F2E1020"/>
    <w:rsid w:val="30DF7CB8"/>
    <w:rsid w:val="334DFA29"/>
    <w:rsid w:val="351E8DFC"/>
    <w:rsid w:val="36859AEB"/>
    <w:rsid w:val="38216B4C"/>
    <w:rsid w:val="38EFC9A0"/>
    <w:rsid w:val="39982479"/>
    <w:rsid w:val="3B7C01A5"/>
    <w:rsid w:val="3DCD8D43"/>
    <w:rsid w:val="41ABF4F0"/>
    <w:rsid w:val="4374469D"/>
    <w:rsid w:val="44EEF74D"/>
    <w:rsid w:val="4B22DAAB"/>
    <w:rsid w:val="4B39AED9"/>
    <w:rsid w:val="4B9CA2C7"/>
    <w:rsid w:val="51045704"/>
    <w:rsid w:val="51D65489"/>
    <w:rsid w:val="558721C1"/>
    <w:rsid w:val="58E2DA87"/>
    <w:rsid w:val="597B2C70"/>
    <w:rsid w:val="5E5C19C4"/>
    <w:rsid w:val="60CEE881"/>
    <w:rsid w:val="62DA487E"/>
    <w:rsid w:val="645D7EEC"/>
    <w:rsid w:val="64C5F83B"/>
    <w:rsid w:val="65104BFF"/>
    <w:rsid w:val="6661C89C"/>
    <w:rsid w:val="6860D6B5"/>
    <w:rsid w:val="6B30377F"/>
    <w:rsid w:val="6DA05979"/>
    <w:rsid w:val="70FC6DD5"/>
    <w:rsid w:val="71DF05F5"/>
    <w:rsid w:val="791AAF53"/>
    <w:rsid w:val="793D1592"/>
    <w:rsid w:val="7AC29717"/>
    <w:rsid w:val="7BBA08FA"/>
    <w:rsid w:val="7E272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22549"/>
  <w15:docId w15:val="{4AA84F73-8B73-42E5-89D4-24CAA403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EE2"/>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SuicideTableHeading1">
    <w:name w:val="Suicide Table Heading 1"/>
    <w:basedOn w:val="Normal"/>
    <w:qFormat/>
    <w:rsid w:val="001B2E13"/>
    <w:pPr>
      <w:tabs>
        <w:tab w:val="left" w:pos="-1440"/>
      </w:tabs>
      <w:autoSpaceDE w:val="0"/>
      <w:autoSpaceDN w:val="0"/>
      <w:adjustRightInd w:val="0"/>
      <w:jc w:val="center"/>
    </w:pPr>
    <w:rPr>
      <w:rFonts w:ascii="Arial" w:hAnsi="Arial" w:cs="Arial"/>
      <w:b/>
      <w:color w:val="FFFFFF"/>
      <w:sz w:val="20"/>
      <w:szCs w:val="20"/>
    </w:rPr>
  </w:style>
  <w:style w:type="paragraph" w:styleId="Revision">
    <w:name w:val="Revision"/>
    <w:hidden/>
    <w:uiPriority w:val="99"/>
    <w:semiHidden/>
    <w:rsid w:val="00F45D7A"/>
    <w:pPr>
      <w:jc w:val="left"/>
    </w:pPr>
    <w:rPr>
      <w:rFonts w:ascii="Times New Roman" w:eastAsia="Times New Roman" w:hAnsi="Times New Roman" w:cs="Times New Roman"/>
      <w:sz w:val="24"/>
      <w:szCs w:val="24"/>
    </w:rPr>
  </w:style>
  <w:style w:type="paragraph" w:customStyle="1" w:styleId="ICFTextwithspace">
    <w:name w:val="ICF Text with space"/>
    <w:basedOn w:val="Normal"/>
    <w:link w:val="ICFTextwithspaceChar"/>
    <w:qFormat/>
    <w:rsid w:val="001C0DBB"/>
    <w:pPr>
      <w:spacing w:after="120" w:line="264" w:lineRule="auto"/>
      <w:jc w:val="left"/>
    </w:pPr>
    <w:rPr>
      <w:rFonts w:ascii="DM Sans" w:hAnsi="DM Sans" w:eastAsiaTheme="minorHAnsi" w:cs="Times New Roman (Body CS)"/>
      <w:sz w:val="20"/>
      <w:szCs w:val="20"/>
    </w:rPr>
  </w:style>
  <w:style w:type="character" w:customStyle="1" w:styleId="ICFTextwithspaceChar">
    <w:name w:val="ICF Text with space Char"/>
    <w:basedOn w:val="DefaultParagraphFont"/>
    <w:link w:val="ICFTextwithspace"/>
    <w:rsid w:val="001C0DBB"/>
    <w:rPr>
      <w:rFonts w:ascii="DM Sans" w:hAnsi="DM Sans" w:cs="Times New Roman (Body CS)"/>
      <w:sz w:val="20"/>
      <w:szCs w:val="20"/>
    </w:rPr>
  </w:style>
  <w:style w:type="character" w:styleId="Mention">
    <w:name w:val="Mention"/>
    <w:basedOn w:val="DefaultParagraphFont"/>
    <w:uiPriority w:val="99"/>
    <w:unhideWhenUsed/>
    <w:rsid w:val="00DE6073"/>
    <w:rPr>
      <w:color w:val="2B579A"/>
      <w:shd w:val="clear" w:color="auto" w:fill="E1DFDD"/>
    </w:rPr>
  </w:style>
  <w:style w:type="character" w:styleId="UnresolvedMention">
    <w:name w:val="Unresolved Mention"/>
    <w:basedOn w:val="DefaultParagraphFont"/>
    <w:uiPriority w:val="99"/>
    <w:semiHidden/>
    <w:unhideWhenUsed/>
    <w:rsid w:val="00AB33E5"/>
    <w:rPr>
      <w:color w:val="605E5C"/>
      <w:shd w:val="clear" w:color="auto" w:fill="E1DFDD"/>
    </w:rPr>
  </w:style>
  <w:style w:type="character" w:styleId="FollowedHyperlink">
    <w:name w:val="FollowedHyperlink"/>
    <w:basedOn w:val="DefaultParagraphFont"/>
    <w:uiPriority w:val="99"/>
    <w:semiHidden/>
    <w:unhideWhenUsed/>
    <w:rsid w:val="00AB33E5"/>
    <w:rPr>
      <w:color w:val="954F72" w:themeColor="followedHyperlink"/>
      <w:u w:val="single"/>
    </w:rPr>
  </w:style>
  <w:style w:type="character" w:customStyle="1" w:styleId="css-144">
    <w:name w:val="css-144"/>
    <w:basedOn w:val="DefaultParagraphFont"/>
    <w:rsid w:val="0029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ophia.zanakos@icf.com" TargetMode="External" /><Relationship Id="rId11" Type="http://schemas.openxmlformats.org/officeDocument/2006/relationships/hyperlink" Target="http://www.acha-ncha.org/docs/NCHA-II_FALL_2016_REFERENCE_GROUP_EXECUTIVE_SUMMARY.pdf" TargetMode="External" /><Relationship Id="rId12" Type="http://schemas.openxmlformats.org/officeDocument/2006/relationships/hyperlink" Target="https://www.cdc.gov/injury/features/be-there-prevent-suicide/index.html" TargetMode="External" /><Relationship Id="rId13" Type="http://schemas.openxmlformats.org/officeDocument/2006/relationships/hyperlink" Target="https://www.cdc.gov/injury/wisqars/index.html" TargetMode="External" /><Relationship Id="rId14" Type="http://schemas.openxmlformats.org/officeDocument/2006/relationships/hyperlink" Target="https://doi.org/10.1111/jcpp.13058" TargetMode="External" /><Relationship Id="rId15" Type="http://schemas.openxmlformats.org/officeDocument/2006/relationships/hyperlink" Target="https://doi.org/10.1027/0227-5910/a000733" TargetMode="External" /><Relationship Id="rId16" Type="http://schemas.openxmlformats.org/officeDocument/2006/relationships/hyperlink" Target="https://doi.org/10.1146/annurev-clinpsy-080921-082634" TargetMode="External" /><Relationship Id="rId17" Type="http://schemas.openxmlformats.org/officeDocument/2006/relationships/hyperlink" Target="https://doi.org/10.1515/ijamh-2017-0105" TargetMode="External" /><Relationship Id="rId18" Type="http://schemas.openxmlformats.org/officeDocument/2006/relationships/hyperlink" Target="https://psycnet.apa.org/doi/10.1037/ser0000593" TargetMode="External" /><Relationship Id="rId19" Type="http://schemas.openxmlformats.org/officeDocument/2006/relationships/hyperlink" Target="https://988lifeline.org/?ref=w3use" TargetMode="External" /><Relationship Id="rId2" Type="http://schemas.openxmlformats.org/officeDocument/2006/relationships/settings" Target="settings.xml" /><Relationship Id="rId20" Type="http://schemas.openxmlformats.org/officeDocument/2006/relationships/hyperlink" Target="https://www.samhsa.gov/native-connections" TargetMode="External" /><Relationship Id="rId21" Type="http://schemas.openxmlformats.org/officeDocument/2006/relationships/hyperlink" Target="https://www.whitehouse.gov/briefing-room/presidential-actions/2023/04/28/a-proclamation-on-national-mental-health-awareness-month-2023/" TargetMode="External" /><Relationship Id="rId22" Type="http://schemas.openxmlformats.org/officeDocument/2006/relationships/hyperlink" Target="https://doi.org/10.1037/0022-006X.76.1.104"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walrath@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prc.org/bpr-archi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AE7C-AF1F-49FA-8ACD-CB51A1924307}">
  <ds:schemaRefs>
    <ds:schemaRef ds:uri="http://schemas.microsoft.com/office/2006/documentManagement/types"/>
    <ds:schemaRef ds:uri="http://purl.org/dc/elements/1.1/"/>
    <ds:schemaRef ds:uri="b0b2a286-946d-4910-a124-984ac196b5e4"/>
    <ds:schemaRef ds:uri="http://schemas.microsoft.com/office/infopath/2007/PartnerControls"/>
    <ds:schemaRef ds:uri="http://purl.org/dc/terms/"/>
    <ds:schemaRef ds:uri="1d00a1bb-5057-4923-a9a1-0c01f6ab49a8"/>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517B02C-F5B3-4FB5-BB85-F98F89A60FFB}">
  <ds:schemaRefs>
    <ds:schemaRef ds:uri="http://schemas.microsoft.com/sharepoint/v3/contenttype/forms"/>
  </ds:schemaRefs>
</ds:datastoreItem>
</file>

<file path=customXml/itemProps3.xml><?xml version="1.0" encoding="utf-8"?>
<ds:datastoreItem xmlns:ds="http://schemas.openxmlformats.org/officeDocument/2006/customXml" ds:itemID="{D7E25B8B-26DD-4D6B-8ADD-2436D367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A42F3-8B9A-4DA1-A55E-581805BD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5383</Words>
  <Characters>30688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Broadus, Alicia (SAMHSA/OA)</cp:lastModifiedBy>
  <cp:revision>2</cp:revision>
  <cp:lastPrinted>2018-09-13T23:16:00Z</cp:lastPrinted>
  <dcterms:created xsi:type="dcterms:W3CDTF">2023-07-25T18:07:00Z</dcterms:created>
  <dcterms:modified xsi:type="dcterms:W3CDTF">2023-07-25T18:07:00Z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