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766D" w14:paraId="0E6733DB" w14:textId="37CEA939">
      <w:pPr>
        <w:spacing w:after="0" w:line="259" w:lineRule="auto"/>
        <w:ind w:left="373" w:right="4"/>
        <w:jc w:val="center"/>
      </w:pPr>
      <w:r>
        <w:rPr>
          <w:b/>
        </w:rPr>
        <w:t>EXTENSION</w:t>
      </w:r>
      <w:r w:rsidR="00216494">
        <w:rPr>
          <w:b/>
        </w:rPr>
        <w:t xml:space="preserve"> - SUPPORTING STATEMENT </w:t>
      </w:r>
      <w:r w:rsidR="00464128">
        <w:rPr>
          <w:b/>
        </w:rPr>
        <w:t>A</w:t>
      </w:r>
    </w:p>
    <w:p w:rsidR="00FB766D" w14:paraId="283D0897" w14:textId="6D4E68CA">
      <w:pPr>
        <w:spacing w:after="0" w:line="259" w:lineRule="auto"/>
        <w:ind w:left="373" w:right="2"/>
        <w:jc w:val="center"/>
      </w:pPr>
      <w:r>
        <w:rPr>
          <w:b/>
        </w:rPr>
        <w:t xml:space="preserve">Supporting Statement for </w:t>
      </w:r>
      <w:r w:rsidR="00F129B2">
        <w:rPr>
          <w:b/>
        </w:rPr>
        <w:t xml:space="preserve">Healthcare Fraud Prevention Partnership </w:t>
      </w:r>
    </w:p>
    <w:p w:rsidR="009E11CE" w:rsidP="00FD44FB" w14:paraId="2402895E" w14:textId="77777777">
      <w:pPr>
        <w:spacing w:after="55" w:line="259" w:lineRule="auto"/>
        <w:ind w:left="373"/>
        <w:jc w:val="center"/>
        <w:rPr>
          <w:b/>
        </w:rPr>
      </w:pPr>
      <w:r>
        <w:rPr>
          <w:b/>
        </w:rPr>
        <w:t xml:space="preserve">(HFPP) </w:t>
      </w:r>
      <w:r w:rsidR="00F129B2">
        <w:rPr>
          <w:b/>
        </w:rPr>
        <w:t xml:space="preserve">Data Sharing and Information Exchange </w:t>
      </w:r>
    </w:p>
    <w:p w:rsidR="00FB766D" w:rsidP="00FD44FB" w14:paraId="56B59DF8" w14:textId="5D41D251">
      <w:pPr>
        <w:spacing w:after="55" w:line="259" w:lineRule="auto"/>
        <w:ind w:left="373"/>
        <w:jc w:val="center"/>
      </w:pPr>
      <w:r>
        <w:rPr>
          <w:b/>
        </w:rPr>
        <w:t>(</w:t>
      </w:r>
      <w:r w:rsidR="003D3B71">
        <w:rPr>
          <w:b/>
        </w:rPr>
        <w:t>CMS-10501</w:t>
      </w:r>
      <w:r>
        <w:rPr>
          <w:b/>
        </w:rPr>
        <w:t>/</w:t>
      </w:r>
      <w:r w:rsidR="003D3B71">
        <w:rPr>
          <w:b/>
        </w:rPr>
        <w:t xml:space="preserve">OMB Control Number: </w:t>
      </w:r>
      <w:r w:rsidR="00F129B2">
        <w:rPr>
          <w:b/>
        </w:rPr>
        <w:t>0938-1251</w:t>
      </w:r>
      <w:r w:rsidR="003D3B71">
        <w:rPr>
          <w:b/>
        </w:rPr>
        <w:t>)</w:t>
      </w:r>
      <w:r w:rsidR="00F129B2">
        <w:t xml:space="preserve"> </w:t>
      </w:r>
    </w:p>
    <w:p w:rsidR="00FB766D" w14:paraId="107A1674" w14:textId="3290696B">
      <w:pPr>
        <w:spacing w:after="0" w:line="259" w:lineRule="auto"/>
        <w:ind w:left="422" w:firstLine="0"/>
        <w:jc w:val="center"/>
      </w:pPr>
    </w:p>
    <w:p w:rsidR="00FB766D" w14:paraId="6774AFA3" w14:textId="29175A5E">
      <w:pPr>
        <w:spacing w:after="0" w:line="259" w:lineRule="auto"/>
        <w:ind w:left="360" w:firstLine="0"/>
      </w:pPr>
      <w:r>
        <w:rPr>
          <w:b/>
        </w:rPr>
        <w:t xml:space="preserve"> </w:t>
      </w:r>
    </w:p>
    <w:p w:rsidR="00FB766D" w:rsidP="00FD44FB" w14:paraId="0282FE06" w14:textId="048B09B3">
      <w:pPr>
        <w:pStyle w:val="Heading1"/>
        <w:numPr>
          <w:ilvl w:val="0"/>
          <w:numId w:val="4"/>
        </w:numPr>
        <w:rPr>
          <w:b w:val="0"/>
          <w:u w:val="none"/>
        </w:rPr>
      </w:pPr>
      <w:r>
        <w:t>BACKGROUND</w:t>
      </w:r>
      <w:r>
        <w:rPr>
          <w:b w:val="0"/>
          <w:u w:val="none"/>
        </w:rPr>
        <w:t xml:space="preserve"> </w:t>
      </w:r>
    </w:p>
    <w:p w:rsidR="007867FE" w14:paraId="2B3C9B5C" w14:textId="77777777">
      <w:pPr>
        <w:spacing w:after="0" w:line="259" w:lineRule="auto"/>
        <w:ind w:left="720" w:firstLine="0"/>
        <w:rPr>
          <w:b/>
          <w:u w:val="single" w:color="000000"/>
        </w:rPr>
      </w:pPr>
    </w:p>
    <w:p w:rsidR="00004DB9" w14:paraId="47753FF4" w14:textId="4F5FDA0A">
      <w:pPr>
        <w:spacing w:after="0" w:line="259" w:lineRule="auto"/>
        <w:ind w:left="720" w:firstLine="0"/>
      </w:pPr>
      <w:r>
        <w:t>The</w:t>
      </w:r>
      <w:r w:rsidR="007B1054">
        <w:t xml:space="preserve"> Healthcare Fraud Prevention Partnership (</w:t>
      </w:r>
      <w:r>
        <w:t>HFPP</w:t>
      </w:r>
      <w:r w:rsidR="007B1054">
        <w:t>)</w:t>
      </w:r>
      <w:r>
        <w:t xml:space="preserve"> is a voluntary, public-private partnership between the federal government, state </w:t>
      </w:r>
      <w:r w:rsidR="0045751D">
        <w:t xml:space="preserve">and local Medicaid </w:t>
      </w:r>
      <w:r>
        <w:t>agencies, law enforcement, private health insurance plans, and healthcare anti-fraud associations to identify and reduce fraud, waste, and abuse across the healthcare sector.</w:t>
      </w:r>
      <w:r w:rsidR="0045751D">
        <w:t xml:space="preserve"> (The current list of </w:t>
      </w:r>
      <w:r>
        <w:t>20</w:t>
      </w:r>
      <w:r w:rsidR="004F172A">
        <w:t>5</w:t>
      </w:r>
    </w:p>
    <w:p w:rsidR="00FB766D" w:rsidRPr="001C4763" w14:paraId="653CE3EC" w14:textId="77469EE7">
      <w:pPr>
        <w:spacing w:after="0" w:line="259" w:lineRule="auto"/>
        <w:ind w:left="720" w:firstLine="0"/>
        <w:rPr>
          <w:color w:val="auto"/>
        </w:rPr>
      </w:pPr>
      <w:r>
        <w:t>p</w:t>
      </w:r>
      <w:r w:rsidR="0045751D">
        <w:t xml:space="preserve">artners can be accessed at </w:t>
      </w:r>
      <w:r w:rsidRPr="0045751D" w:rsidR="0045751D">
        <w:t>https://hfpp.cms.gov/about/current-partners.html</w:t>
      </w:r>
      <w:r w:rsidR="0045751D">
        <w:t>.)</w:t>
      </w:r>
      <w:r w:rsidR="00096DD6">
        <w:t xml:space="preserve"> Since inception of the HFPP in 2012, </w:t>
      </w:r>
      <w:r w:rsidRPr="00EE5D1C" w:rsidR="00096DD6">
        <w:t xml:space="preserve">private and public payers </w:t>
      </w:r>
      <w:r w:rsidR="00096DD6">
        <w:t>have been combining</w:t>
      </w:r>
      <w:r w:rsidRPr="00EE5D1C" w:rsidR="00096DD6">
        <w:t xml:space="preserve"> </w:t>
      </w:r>
      <w:r w:rsidR="00096DD6">
        <w:t xml:space="preserve">claims data for the purpose of conducting cross-payer studies to detect potentially fraudulent providers and activities. </w:t>
      </w:r>
      <w:r w:rsidRPr="00EE5D1C" w:rsidR="00096DD6">
        <w:t xml:space="preserve">In addition, the HFPP </w:t>
      </w:r>
      <w:r w:rsidR="00096DD6">
        <w:t xml:space="preserve">has provided a venue for </w:t>
      </w:r>
      <w:r w:rsidRPr="00EE5D1C" w:rsidR="00096DD6">
        <w:t xml:space="preserve">the sharing of information and </w:t>
      </w:r>
      <w:r w:rsidRPr="001C4763" w:rsidR="00096DD6">
        <w:rPr>
          <w:color w:val="auto"/>
        </w:rPr>
        <w:t xml:space="preserve">schemes across a variety of private and public entities. </w:t>
      </w:r>
      <w:r w:rsidRPr="001C4763" w:rsidR="00F129B2">
        <w:rPr>
          <w:color w:val="auto"/>
        </w:rPr>
        <w:t xml:space="preserve"> </w:t>
      </w:r>
    </w:p>
    <w:p w:rsidR="00837814" w:rsidRPr="001C4763" w14:paraId="6B4B0BE9" w14:textId="3914DD8F">
      <w:pPr>
        <w:spacing w:after="0" w:line="259" w:lineRule="auto"/>
        <w:ind w:left="720" w:firstLine="0"/>
        <w:rPr>
          <w:color w:val="auto"/>
        </w:rPr>
      </w:pPr>
    </w:p>
    <w:p w:rsidR="00052FA9" w:rsidRPr="001C4763" w14:paraId="731C93D1" w14:textId="2774BA66">
      <w:pPr>
        <w:pStyle w:val="Heading1"/>
        <w:ind w:left="715"/>
        <w:rPr>
          <w:color w:val="auto"/>
          <w:u w:val="none"/>
        </w:rPr>
      </w:pPr>
      <w:r w:rsidRPr="001C4763">
        <w:rPr>
          <w:color w:val="auto"/>
          <w:u w:val="none"/>
        </w:rPr>
        <w:t>B</w:t>
      </w:r>
      <w:r w:rsidRPr="001C4763" w:rsidR="00F129B2">
        <w:rPr>
          <w:color w:val="auto"/>
          <w:u w:val="none"/>
        </w:rPr>
        <w:t xml:space="preserve">. </w:t>
      </w:r>
      <w:r w:rsidRPr="001C4763" w:rsidR="00F129B2">
        <w:rPr>
          <w:color w:val="auto"/>
        </w:rPr>
        <w:t>JUSTIFICATION</w:t>
      </w:r>
      <w:r w:rsidRPr="001C4763" w:rsidR="00F129B2">
        <w:rPr>
          <w:color w:val="auto"/>
          <w:u w:val="none"/>
        </w:rPr>
        <w:t xml:space="preserve"> </w:t>
      </w:r>
    </w:p>
    <w:p w:rsidR="00052FA9" w:rsidRPr="001C4763" w14:paraId="31C1A19A" w14:textId="77777777">
      <w:pPr>
        <w:pStyle w:val="Heading1"/>
        <w:ind w:left="715"/>
        <w:rPr>
          <w:b w:val="0"/>
          <w:color w:val="auto"/>
          <w:u w:val="none"/>
        </w:rPr>
      </w:pPr>
    </w:p>
    <w:p w:rsidR="00FB766D" w:rsidRPr="001C4763" w:rsidP="00C250F5" w14:paraId="17AD46FF" w14:textId="613D1D6C">
      <w:pPr>
        <w:pStyle w:val="Heading1"/>
        <w:numPr>
          <w:ilvl w:val="0"/>
          <w:numId w:val="7"/>
        </w:numPr>
        <w:rPr>
          <w:color w:val="auto"/>
          <w:u w:val="none"/>
        </w:rPr>
      </w:pPr>
      <w:r w:rsidRPr="001C4763">
        <w:rPr>
          <w:color w:val="auto"/>
        </w:rPr>
        <w:t>Need and Legal Basis</w:t>
      </w:r>
      <w:r w:rsidRPr="001C4763">
        <w:rPr>
          <w:color w:val="auto"/>
          <w:u w:val="none"/>
        </w:rPr>
        <w:t xml:space="preserve"> </w:t>
      </w:r>
    </w:p>
    <w:p w:rsidR="007B0B3C" w:rsidRPr="001C4763" w:rsidP="00C250F5" w14:paraId="4B336DBE" w14:textId="77777777">
      <w:pPr>
        <w:rPr>
          <w:color w:val="auto"/>
        </w:rPr>
      </w:pPr>
    </w:p>
    <w:p w:rsidR="007B0B3C" w:rsidRPr="001C4763" w:rsidP="00C250F5" w14:paraId="29FA6E0C" w14:textId="009E9D04">
      <w:pPr>
        <w:pStyle w:val="ListParagraph"/>
        <w:numPr>
          <w:ilvl w:val="0"/>
          <w:numId w:val="6"/>
        </w:numPr>
        <w:spacing w:after="0" w:line="259" w:lineRule="auto"/>
        <w:rPr>
          <w:b/>
          <w:color w:val="auto"/>
        </w:rPr>
      </w:pPr>
      <w:r w:rsidRPr="001C4763">
        <w:rPr>
          <w:b/>
          <w:color w:val="auto"/>
        </w:rPr>
        <w:t xml:space="preserve"> Legal Authority</w:t>
      </w:r>
    </w:p>
    <w:p w:rsidR="00FB766D" w:rsidRPr="001C4763" w:rsidP="00C250F5" w14:paraId="4C3C3D38" w14:textId="5FFA61B1">
      <w:pPr>
        <w:spacing w:after="0" w:line="259" w:lineRule="auto"/>
        <w:ind w:left="360" w:firstLine="0"/>
        <w:rPr>
          <w:color w:val="auto"/>
        </w:rPr>
      </w:pPr>
    </w:p>
    <w:p w:rsidR="007867FE" w:rsidRPr="001C4763" w:rsidP="00AA2A34" w14:paraId="725DCB80" w14:textId="3CFBD316">
      <w:pPr>
        <w:rPr>
          <w:color w:val="auto"/>
        </w:rPr>
      </w:pPr>
      <w:r w:rsidRPr="001C4763">
        <w:rPr>
          <w:color w:val="auto"/>
        </w:rPr>
        <w:t xml:space="preserve">The statutory authority for the HFPP is section 1128C(a)(2) of the Social Security Act [42 U.S.C. § 1320a-7c(a)(2)], which provides that, as part of establishing a Fraud and Abuse Control Program, the Secretary of HHS and Attorney General shall consult with and arrange for the sharing of data with representatives of health plans. </w:t>
      </w:r>
      <w:r w:rsidRPr="001C4763" w:rsidR="00F129B2">
        <w:rPr>
          <w:color w:val="auto"/>
        </w:rPr>
        <w:t xml:space="preserve">The HFPP was officially established by a Charter in the fall of 2012 and signed by </w:t>
      </w:r>
      <w:r w:rsidRPr="001C4763" w:rsidR="00F85565">
        <w:rPr>
          <w:color w:val="auto"/>
        </w:rPr>
        <w:t xml:space="preserve">the </w:t>
      </w:r>
      <w:r w:rsidRPr="001C4763" w:rsidR="00F129B2">
        <w:rPr>
          <w:color w:val="auto"/>
        </w:rPr>
        <w:t xml:space="preserve">HHS Secretary and US Attorney General. </w:t>
      </w:r>
      <w:r w:rsidRPr="001C4763" w:rsidR="007634B2">
        <w:rPr>
          <w:color w:val="auto"/>
        </w:rPr>
        <w:t xml:space="preserve">A re-delegation of the authority vested in the Secretary under this section </w:t>
      </w:r>
      <w:r w:rsidRPr="001C4763" w:rsidR="00F85565">
        <w:rPr>
          <w:color w:val="auto"/>
        </w:rPr>
        <w:t xml:space="preserve">was made from the HHS Secretary to the </w:t>
      </w:r>
      <w:r w:rsidRPr="001C4763" w:rsidR="007B1054">
        <w:rPr>
          <w:color w:val="auto"/>
        </w:rPr>
        <w:t>Centers for Medicare &amp; Medicaid Services (</w:t>
      </w:r>
      <w:r w:rsidRPr="001C4763" w:rsidR="00F85565">
        <w:rPr>
          <w:color w:val="auto"/>
        </w:rPr>
        <w:t>CMS</w:t>
      </w:r>
      <w:r w:rsidRPr="001C4763" w:rsidR="007B1054">
        <w:rPr>
          <w:color w:val="auto"/>
        </w:rPr>
        <w:t>)</w:t>
      </w:r>
      <w:r w:rsidRPr="001C4763" w:rsidR="00F85565">
        <w:rPr>
          <w:color w:val="auto"/>
        </w:rPr>
        <w:t xml:space="preserve"> Administrator in 2013</w:t>
      </w:r>
      <w:r w:rsidRPr="001C4763" w:rsidR="007634B2">
        <w:rPr>
          <w:color w:val="auto"/>
        </w:rPr>
        <w:t>.</w:t>
      </w:r>
      <w:r w:rsidRPr="001C4763" w:rsidR="00F85565">
        <w:rPr>
          <w:color w:val="auto"/>
        </w:rPr>
        <w:t xml:space="preserve"> </w:t>
      </w:r>
      <w:r w:rsidRPr="001C4763" w:rsidR="00AA7D28">
        <w:rPr>
          <w:color w:val="auto"/>
        </w:rPr>
        <w:t>In December 2020,</w:t>
      </w:r>
      <w:r w:rsidRPr="001C4763" w:rsidR="00133EAD">
        <w:rPr>
          <w:color w:val="auto"/>
        </w:rPr>
        <w:t xml:space="preserve"> President </w:t>
      </w:r>
      <w:r w:rsidRPr="001C4763" w:rsidR="00F015D4">
        <w:rPr>
          <w:color w:val="auto"/>
        </w:rPr>
        <w:t xml:space="preserve">Trump </w:t>
      </w:r>
      <w:r w:rsidRPr="001C4763" w:rsidR="00133EAD">
        <w:rPr>
          <w:color w:val="auto"/>
        </w:rPr>
        <w:t>signed</w:t>
      </w:r>
      <w:r w:rsidRPr="001C4763" w:rsidR="00AA2A34">
        <w:rPr>
          <w:color w:val="auto"/>
        </w:rPr>
        <w:t xml:space="preserve"> </w:t>
      </w:r>
      <w:r w:rsidRPr="001C4763" w:rsidR="00CA7B51">
        <w:rPr>
          <w:color w:val="auto"/>
        </w:rPr>
        <w:t xml:space="preserve">into law </w:t>
      </w:r>
      <w:r w:rsidRPr="001C4763" w:rsidR="00AA2A34">
        <w:rPr>
          <w:color w:val="auto"/>
        </w:rPr>
        <w:t>H.R.133 - Consolidated Appropriations Act, 2021, which amended Section 1128C(a) of the Social Security Act (42 U.S.C. 1320a–7c(a))</w:t>
      </w:r>
      <w:r w:rsidRPr="001C4763" w:rsidR="00837814">
        <w:rPr>
          <w:color w:val="auto"/>
        </w:rPr>
        <w:t xml:space="preserve">.  While this has no impact on the </w:t>
      </w:r>
      <w:r w:rsidR="00640815">
        <w:rPr>
          <w:color w:val="auto"/>
        </w:rPr>
        <w:t xml:space="preserve">extension </w:t>
      </w:r>
      <w:r w:rsidRPr="001C4763" w:rsidR="00837814">
        <w:rPr>
          <w:color w:val="auto"/>
        </w:rPr>
        <w:t>of the PRA, it</w:t>
      </w:r>
      <w:r w:rsidRPr="001C4763" w:rsidR="00035810">
        <w:rPr>
          <w:color w:val="auto"/>
        </w:rPr>
        <w:t xml:space="preserve"> </w:t>
      </w:r>
      <w:r w:rsidRPr="001C4763" w:rsidR="00CA7B51">
        <w:rPr>
          <w:color w:val="auto"/>
        </w:rPr>
        <w:t>provid</w:t>
      </w:r>
      <w:r w:rsidRPr="001C4763" w:rsidR="00837814">
        <w:rPr>
          <w:color w:val="auto"/>
        </w:rPr>
        <w:t>es</w:t>
      </w:r>
      <w:r w:rsidRPr="001C4763" w:rsidR="00CA7B51">
        <w:rPr>
          <w:color w:val="auto"/>
        </w:rPr>
        <w:t xml:space="preserve"> explicit statutory authority for the Healthcare Fraud Prevention Partnership </w:t>
      </w:r>
      <w:r w:rsidRPr="001C4763" w:rsidR="00035810">
        <w:rPr>
          <w:color w:val="auto"/>
        </w:rPr>
        <w:t>including the potential expansion of the public-private partnership analyses</w:t>
      </w:r>
      <w:r w:rsidRPr="001C4763" w:rsidR="00AA2A34">
        <w:rPr>
          <w:color w:val="auto"/>
        </w:rPr>
        <w:t>.</w:t>
      </w:r>
      <w:r w:rsidRPr="001C4763" w:rsidR="00AA7D28">
        <w:rPr>
          <w:color w:val="auto"/>
        </w:rPr>
        <w:t xml:space="preserve"> The hyperlink to H.R.133 – Consolidated Appropriations Act, 2021 is https://www.congress.gov/bill/116th-congress/house-bill/133/text/eah.</w:t>
      </w:r>
    </w:p>
    <w:p w:rsidR="00FB766D" w:rsidRPr="001C4763" w:rsidP="00AA2A34" w14:paraId="3E057160" w14:textId="61576F82">
      <w:pPr>
        <w:rPr>
          <w:color w:val="auto"/>
        </w:rPr>
      </w:pPr>
    </w:p>
    <w:p w:rsidR="007B0B3C" w:rsidRPr="001C4763" w:rsidP="00C250F5" w14:paraId="2C2CBD5A" w14:textId="4D7F6C36">
      <w:pPr>
        <w:pStyle w:val="ListParagraph"/>
        <w:numPr>
          <w:ilvl w:val="0"/>
          <w:numId w:val="6"/>
        </w:numPr>
        <w:rPr>
          <w:b/>
          <w:color w:val="auto"/>
        </w:rPr>
      </w:pPr>
      <w:r w:rsidRPr="001C4763">
        <w:rPr>
          <w:b/>
          <w:color w:val="auto"/>
        </w:rPr>
        <w:t xml:space="preserve">Role of the Trusted Third Party </w:t>
      </w:r>
    </w:p>
    <w:p w:rsidR="007B0B3C" w:rsidRPr="001C4763" w:rsidP="00C250F5" w14:paraId="0A91A010" w14:textId="77777777">
      <w:pPr>
        <w:pStyle w:val="ListParagraph"/>
        <w:ind w:left="1065" w:firstLine="0"/>
        <w:rPr>
          <w:b/>
          <w:color w:val="auto"/>
        </w:rPr>
      </w:pPr>
    </w:p>
    <w:p w:rsidR="00632E1A" w:rsidRPr="001C4763" w:rsidP="00C250F5" w14:paraId="6315AB22" w14:textId="7F6881F2">
      <w:pPr>
        <w:rPr>
          <w:color w:val="auto"/>
        </w:rPr>
      </w:pPr>
      <w:r w:rsidRPr="001C4763">
        <w:rPr>
          <w:color w:val="auto"/>
          <w:lang w:val="en"/>
        </w:rPr>
        <w:t>Federal, state</w:t>
      </w:r>
      <w:r w:rsidRPr="001C4763" w:rsidR="00004DB9">
        <w:rPr>
          <w:color w:val="auto"/>
          <w:lang w:val="en"/>
        </w:rPr>
        <w:t>,</w:t>
      </w:r>
      <w:r w:rsidRPr="001C4763">
        <w:rPr>
          <w:color w:val="auto"/>
          <w:lang w:val="en"/>
        </w:rPr>
        <w:t xml:space="preserve"> and private partners undertake various activities related to the HFPP, including the performance of cross-payer studies using combined claim datasets, in-person</w:t>
      </w:r>
      <w:r w:rsidRPr="001C4763" w:rsidR="00004DB9">
        <w:rPr>
          <w:color w:val="auto"/>
          <w:lang w:val="en"/>
        </w:rPr>
        <w:t>,</w:t>
      </w:r>
      <w:r w:rsidRPr="001C4763">
        <w:rPr>
          <w:color w:val="auto"/>
          <w:lang w:val="en"/>
        </w:rPr>
        <w:t xml:space="preserve"> and virtual </w:t>
      </w:r>
      <w:r w:rsidRPr="001C4763">
        <w:rPr>
          <w:color w:val="auto"/>
          <w:lang w:val="en"/>
        </w:rPr>
        <w:t xml:space="preserve">information-sharing activities, and the development of informational papers on emerging areas of mutual concern. The undertaking of any of these activities requires the regular collection and commingling of private and public data and information from HFPP partners to a Trusted Third Party (TTP). </w:t>
      </w:r>
    </w:p>
    <w:p w:rsidR="00FB766D" w:rsidRPr="001C4763" w14:paraId="71DB3628" w14:textId="77777777">
      <w:pPr>
        <w:spacing w:after="0" w:line="259" w:lineRule="auto"/>
        <w:ind w:left="1080" w:firstLine="0"/>
        <w:rPr>
          <w:color w:val="auto"/>
        </w:rPr>
      </w:pPr>
      <w:r w:rsidRPr="001C4763">
        <w:rPr>
          <w:color w:val="auto"/>
        </w:rPr>
        <w:t xml:space="preserve"> </w:t>
      </w:r>
    </w:p>
    <w:p w:rsidR="0045751D" w:rsidRPr="001C4763" w:rsidP="00C250F5" w14:paraId="0F40946E" w14:textId="70468924">
      <w:pPr>
        <w:rPr>
          <w:color w:val="auto"/>
        </w:rPr>
      </w:pPr>
      <w:r w:rsidRPr="001C4763">
        <w:rPr>
          <w:color w:val="auto"/>
          <w:lang w:val="en"/>
        </w:rPr>
        <w:t xml:space="preserve">The TTP is a federal contractor that functions as a “common data aggregator” under the Health Insurance Portability and Accountability Act (HIPAA) Privacy Rules. </w:t>
      </w:r>
      <w:r w:rsidRPr="001C4763" w:rsidR="00F85565">
        <w:rPr>
          <w:color w:val="auto"/>
        </w:rPr>
        <w:t xml:space="preserve">Partners execute </w:t>
      </w:r>
      <w:r w:rsidRPr="001C4763" w:rsidR="007634B2">
        <w:rPr>
          <w:color w:val="auto"/>
        </w:rPr>
        <w:t xml:space="preserve">Memorandums of Understanding and Data Sharing Agreements </w:t>
      </w:r>
      <w:r w:rsidRPr="001C4763" w:rsidR="00F85565">
        <w:rPr>
          <w:color w:val="auto"/>
        </w:rPr>
        <w:t>with the TTP signaling their intent to re</w:t>
      </w:r>
      <w:r w:rsidRPr="001C4763">
        <w:rPr>
          <w:color w:val="auto"/>
        </w:rPr>
        <w:t xml:space="preserve">tain control over their claims data </w:t>
      </w:r>
      <w:r w:rsidRPr="001C4763" w:rsidR="00F85565">
        <w:rPr>
          <w:color w:val="auto"/>
        </w:rPr>
        <w:t>throughout their participation in the HFPP</w:t>
      </w:r>
      <w:r w:rsidRPr="001C4763">
        <w:rPr>
          <w:color w:val="auto"/>
        </w:rPr>
        <w:t xml:space="preserve"> and to keep confidential information gathered through HFPP activities. N</w:t>
      </w:r>
      <w:r w:rsidRPr="001C4763" w:rsidR="00F85565">
        <w:rPr>
          <w:color w:val="auto"/>
        </w:rPr>
        <w:t xml:space="preserve">either CMS nor any other federal agency </w:t>
      </w:r>
      <w:r w:rsidRPr="001C4763">
        <w:rPr>
          <w:color w:val="auto"/>
        </w:rPr>
        <w:t>have</w:t>
      </w:r>
      <w:r w:rsidRPr="001C4763" w:rsidR="00F85565">
        <w:rPr>
          <w:color w:val="auto"/>
        </w:rPr>
        <w:t xml:space="preserve"> the right, under documents governing the HFPP, to access </w:t>
      </w:r>
      <w:r w:rsidRPr="001C4763" w:rsidR="007B1054">
        <w:rPr>
          <w:color w:val="auto"/>
        </w:rPr>
        <w:t>the claims data submitted by other partners</w:t>
      </w:r>
      <w:r w:rsidRPr="001C4763">
        <w:rPr>
          <w:color w:val="auto"/>
        </w:rPr>
        <w:t>, nor can the records collected by the TTP be used for any commercial purposes</w:t>
      </w:r>
      <w:r w:rsidRPr="001C4763" w:rsidR="00F85565">
        <w:rPr>
          <w:color w:val="auto"/>
        </w:rPr>
        <w:t>.</w:t>
      </w:r>
      <w:r w:rsidRPr="001C4763">
        <w:rPr>
          <w:color w:val="auto"/>
        </w:rPr>
        <w:t xml:space="preserve">  </w:t>
      </w:r>
    </w:p>
    <w:p w:rsidR="000D133C" w:rsidRPr="001C4763" w:rsidP="00C250F5" w14:paraId="0E8CA80A" w14:textId="77777777">
      <w:pPr>
        <w:rPr>
          <w:color w:val="auto"/>
          <w:sz w:val="22"/>
        </w:rPr>
      </w:pPr>
    </w:p>
    <w:p w:rsidR="000D133C" w:rsidRPr="001C4763" w:rsidP="00C250F5" w14:paraId="45172F45" w14:textId="250A2A11">
      <w:pPr>
        <w:pStyle w:val="ListParagraph"/>
        <w:numPr>
          <w:ilvl w:val="0"/>
          <w:numId w:val="6"/>
        </w:numPr>
        <w:rPr>
          <w:b/>
          <w:color w:val="auto"/>
          <w:szCs w:val="24"/>
        </w:rPr>
      </w:pPr>
      <w:r w:rsidRPr="001C4763">
        <w:rPr>
          <w:b/>
          <w:color w:val="auto"/>
          <w:szCs w:val="24"/>
        </w:rPr>
        <w:t xml:space="preserve">HFPP Cross-Payer Studies </w:t>
      </w:r>
    </w:p>
    <w:p w:rsidR="001F1FE0" w:rsidRPr="001C4763" w14:paraId="558D8C8E" w14:textId="77777777">
      <w:pPr>
        <w:ind w:left="1450"/>
        <w:rPr>
          <w:color w:val="auto"/>
        </w:rPr>
      </w:pPr>
    </w:p>
    <w:p w:rsidR="00CB0F08" w:rsidRPr="001C4763" w:rsidP="00C250F5" w14:paraId="16329D8F" w14:textId="746FF2EA">
      <w:pPr>
        <w:ind w:left="720" w:firstLine="0"/>
        <w:rPr>
          <w:color w:val="auto"/>
        </w:rPr>
      </w:pPr>
      <w:r w:rsidRPr="001C4763">
        <w:rPr>
          <w:color w:val="auto"/>
        </w:rPr>
        <w:t>For purposes of HFPP cross-payer studies, t</w:t>
      </w:r>
      <w:r w:rsidRPr="001C4763" w:rsidR="00A01421">
        <w:rPr>
          <w:color w:val="auto"/>
        </w:rPr>
        <w:t xml:space="preserve">he TTP analyzes participating entities’ health insurance claims data, which is voluntarily sent. </w:t>
      </w:r>
      <w:r w:rsidRPr="001C4763" w:rsidR="007634B2">
        <w:rPr>
          <w:color w:val="auto"/>
        </w:rPr>
        <w:t>The amount of and nature of information and data that Partners share with the TTP are voluntary and subject to Partner discretion. Partners that participate in HFPP studies</w:t>
      </w:r>
      <w:r w:rsidRPr="001C4763" w:rsidR="001F1FE0">
        <w:rPr>
          <w:color w:val="auto"/>
        </w:rPr>
        <w:t xml:space="preserve"> are </w:t>
      </w:r>
      <w:r w:rsidRPr="001C4763" w:rsidR="007634B2">
        <w:rPr>
          <w:color w:val="auto"/>
        </w:rPr>
        <w:t>provided</w:t>
      </w:r>
      <w:r w:rsidRPr="001C4763" w:rsidR="001F1FE0">
        <w:rPr>
          <w:color w:val="auto"/>
        </w:rPr>
        <w:t xml:space="preserve"> a list of data elements </w:t>
      </w:r>
      <w:r w:rsidRPr="001C4763" w:rsidR="00C65CD9">
        <w:rPr>
          <w:color w:val="auto"/>
        </w:rPr>
        <w:t xml:space="preserve">(currently both professional data and institutional data) </w:t>
      </w:r>
      <w:r w:rsidRPr="001C4763" w:rsidR="007634B2">
        <w:rPr>
          <w:color w:val="auto"/>
        </w:rPr>
        <w:t>that may be submitted for purposes of cross-payer analyses, including personally identifiable information (PII) and protected health information (PHI)</w:t>
      </w:r>
      <w:r w:rsidRPr="001C4763" w:rsidR="001F1FE0">
        <w:rPr>
          <w:color w:val="auto"/>
        </w:rPr>
        <w:t xml:space="preserve">. </w:t>
      </w:r>
      <w:r w:rsidRPr="001C4763" w:rsidR="0080426E">
        <w:rPr>
          <w:color w:val="auto"/>
        </w:rPr>
        <w:t xml:space="preserve">To date, the TTP has collected claims data that is submitted on a CMS-1500 form. The type of claims information that will be collected in the future will include pharmacy data. </w:t>
      </w:r>
      <w:r w:rsidRPr="001C4763">
        <w:rPr>
          <w:color w:val="auto"/>
        </w:rPr>
        <w:t xml:space="preserve">Sample data elements </w:t>
      </w:r>
      <w:r w:rsidRPr="001C4763" w:rsidR="008B2024">
        <w:rPr>
          <w:color w:val="auto"/>
        </w:rPr>
        <w:t>are included i</w:t>
      </w:r>
      <w:r w:rsidRPr="001C4763" w:rsidR="00D553E2">
        <w:rPr>
          <w:color w:val="auto"/>
        </w:rPr>
        <w:t>n Appendix B</w:t>
      </w:r>
      <w:r w:rsidRPr="001C4763" w:rsidR="00B65AB0">
        <w:rPr>
          <w:color w:val="auto"/>
        </w:rPr>
        <w:t xml:space="preserve"> (professional and institutional data)</w:t>
      </w:r>
      <w:r w:rsidRPr="001C4763" w:rsidR="008B2024">
        <w:rPr>
          <w:color w:val="auto"/>
        </w:rPr>
        <w:t>.</w:t>
      </w:r>
    </w:p>
    <w:p w:rsidR="00CB0F08" w:rsidRPr="001C4763" w:rsidP="00C250F5" w14:paraId="0F27CF85" w14:textId="77777777">
      <w:pPr>
        <w:ind w:left="0" w:firstLine="0"/>
        <w:rPr>
          <w:color w:val="auto"/>
        </w:rPr>
      </w:pPr>
    </w:p>
    <w:p w:rsidR="00FB766D" w:rsidRPr="001C4763" w:rsidP="00C250F5" w14:paraId="2B0D83BC" w14:textId="52F15777">
      <w:pPr>
        <w:rPr>
          <w:color w:val="auto"/>
        </w:rPr>
      </w:pPr>
      <w:r w:rsidRPr="001C4763">
        <w:rPr>
          <w:color w:val="auto"/>
        </w:rPr>
        <w:t xml:space="preserve">The study process includes data acquisition, </w:t>
      </w:r>
      <w:r w:rsidRPr="001C4763" w:rsidR="0080426E">
        <w:rPr>
          <w:color w:val="auto"/>
        </w:rPr>
        <w:t xml:space="preserve">normalization, </w:t>
      </w:r>
      <w:r w:rsidRPr="001C4763">
        <w:rPr>
          <w:color w:val="auto"/>
        </w:rPr>
        <w:t>and merging</w:t>
      </w:r>
      <w:r w:rsidRPr="001C4763" w:rsidR="007B0B3C">
        <w:rPr>
          <w:color w:val="auto"/>
        </w:rPr>
        <w:t xml:space="preserve">; quality assurance; cross-payer </w:t>
      </w:r>
      <w:r w:rsidRPr="001C4763">
        <w:rPr>
          <w:color w:val="auto"/>
        </w:rPr>
        <w:t>analysis</w:t>
      </w:r>
      <w:r w:rsidRPr="001C4763" w:rsidR="007B0B3C">
        <w:rPr>
          <w:color w:val="auto"/>
        </w:rPr>
        <w:t>;</w:t>
      </w:r>
      <w:r w:rsidRPr="001C4763">
        <w:rPr>
          <w:color w:val="auto"/>
        </w:rPr>
        <w:t xml:space="preserve"> documentation</w:t>
      </w:r>
      <w:r w:rsidRPr="001C4763" w:rsidR="007B0B3C">
        <w:rPr>
          <w:color w:val="auto"/>
        </w:rPr>
        <w:t>;</w:t>
      </w:r>
      <w:r w:rsidRPr="001C4763">
        <w:rPr>
          <w:color w:val="auto"/>
        </w:rPr>
        <w:t xml:space="preserve"> and reporting. Depending on the type of question </w:t>
      </w:r>
      <w:r w:rsidRPr="001C4763" w:rsidR="007B0B3C">
        <w:rPr>
          <w:color w:val="auto"/>
        </w:rPr>
        <w:t xml:space="preserve">posed </w:t>
      </w:r>
      <w:r w:rsidRPr="001C4763">
        <w:rPr>
          <w:color w:val="auto"/>
        </w:rPr>
        <w:t xml:space="preserve">by a study, </w:t>
      </w:r>
      <w:r w:rsidRPr="001C4763" w:rsidR="0080426E">
        <w:rPr>
          <w:color w:val="auto"/>
        </w:rPr>
        <w:t xml:space="preserve">the activities undertaken may include </w:t>
      </w:r>
      <w:r w:rsidRPr="001C4763">
        <w:rPr>
          <w:color w:val="auto"/>
        </w:rPr>
        <w:t>quantitative data analys</w:t>
      </w:r>
      <w:r w:rsidRPr="001C4763" w:rsidR="00CB0F08">
        <w:rPr>
          <w:color w:val="auto"/>
        </w:rPr>
        <w:t>e</w:t>
      </w:r>
      <w:r w:rsidRPr="001C4763">
        <w:rPr>
          <w:color w:val="auto"/>
        </w:rPr>
        <w:t>s, qualitative data analys</w:t>
      </w:r>
      <w:r w:rsidRPr="001C4763" w:rsidR="00CB0F08">
        <w:rPr>
          <w:color w:val="auto"/>
        </w:rPr>
        <w:t>e</w:t>
      </w:r>
      <w:r w:rsidRPr="001C4763">
        <w:rPr>
          <w:color w:val="auto"/>
        </w:rPr>
        <w:t>s, outlier analys</w:t>
      </w:r>
      <w:r w:rsidRPr="001C4763" w:rsidR="00CB0F08">
        <w:rPr>
          <w:color w:val="auto"/>
        </w:rPr>
        <w:t>e</w:t>
      </w:r>
      <w:r w:rsidRPr="001C4763">
        <w:rPr>
          <w:color w:val="auto"/>
        </w:rPr>
        <w:t xml:space="preserve">s, clustering/grouping, entity resolution, trend analyses, time series analyses, networking analyses, trending, statistical summarization, and more.  </w:t>
      </w:r>
    </w:p>
    <w:p w:rsidR="00FB766D" w:rsidRPr="001C4763" w14:paraId="40838276" w14:textId="77777777">
      <w:pPr>
        <w:spacing w:after="0" w:line="259" w:lineRule="auto"/>
        <w:ind w:left="1440" w:firstLine="0"/>
        <w:rPr>
          <w:color w:val="auto"/>
        </w:rPr>
      </w:pPr>
      <w:r w:rsidRPr="001C4763">
        <w:rPr>
          <w:color w:val="auto"/>
        </w:rPr>
        <w:t xml:space="preserve"> </w:t>
      </w:r>
    </w:p>
    <w:p w:rsidR="007B0B3C" w:rsidRPr="001C4763" w:rsidP="00C250F5" w14:paraId="3DF64F42" w14:textId="53BA2A7E">
      <w:pPr>
        <w:rPr>
          <w:color w:val="auto"/>
        </w:rPr>
      </w:pPr>
      <w:r w:rsidRPr="001C4763">
        <w:rPr>
          <w:color w:val="auto"/>
        </w:rPr>
        <w:t>After conducting the analyses, the TTP pro</w:t>
      </w:r>
      <w:r w:rsidRPr="001C4763" w:rsidR="00F129B2">
        <w:rPr>
          <w:color w:val="auto"/>
        </w:rPr>
        <w:t>duce</w:t>
      </w:r>
      <w:r w:rsidRPr="001C4763">
        <w:rPr>
          <w:color w:val="auto"/>
        </w:rPr>
        <w:t>s</w:t>
      </w:r>
      <w:r w:rsidRPr="001C4763" w:rsidR="00F129B2">
        <w:rPr>
          <w:color w:val="auto"/>
        </w:rPr>
        <w:t xml:space="preserve"> several possible outputs</w:t>
      </w:r>
      <w:r w:rsidRPr="001C4763">
        <w:rPr>
          <w:color w:val="auto"/>
        </w:rPr>
        <w:t>, including a</w:t>
      </w:r>
      <w:r w:rsidRPr="001C4763" w:rsidR="00FA1166">
        <w:rPr>
          <w:color w:val="auto"/>
        </w:rPr>
        <w:t xml:space="preserve"> </w:t>
      </w:r>
      <w:r w:rsidRPr="001C4763" w:rsidR="00F129B2">
        <w:rPr>
          <w:color w:val="auto"/>
        </w:rPr>
        <w:t>general summary and lessons learned</w:t>
      </w:r>
      <w:r w:rsidRPr="001C4763">
        <w:rPr>
          <w:color w:val="auto"/>
        </w:rPr>
        <w:t>,</w:t>
      </w:r>
      <w:r w:rsidRPr="001C4763" w:rsidR="00F129B2">
        <w:rPr>
          <w:color w:val="auto"/>
        </w:rPr>
        <w:t xml:space="preserve"> partner-specific summary report</w:t>
      </w:r>
      <w:r w:rsidRPr="001C4763">
        <w:rPr>
          <w:color w:val="auto"/>
        </w:rPr>
        <w:t>s</w:t>
      </w:r>
      <w:r w:rsidRPr="001C4763" w:rsidR="00F129B2">
        <w:rPr>
          <w:color w:val="auto"/>
        </w:rPr>
        <w:t xml:space="preserve"> for </w:t>
      </w:r>
      <w:r w:rsidRPr="001C4763">
        <w:rPr>
          <w:color w:val="auto"/>
        </w:rPr>
        <w:t xml:space="preserve">each partner that submits claims data, </w:t>
      </w:r>
      <w:r w:rsidRPr="001C4763" w:rsidR="00F129B2">
        <w:rPr>
          <w:color w:val="auto"/>
        </w:rPr>
        <w:t>and</w:t>
      </w:r>
      <w:r w:rsidRPr="001C4763">
        <w:rPr>
          <w:color w:val="auto"/>
        </w:rPr>
        <w:t xml:space="preserve"> </w:t>
      </w:r>
      <w:r w:rsidRPr="001C4763" w:rsidR="00F129B2">
        <w:rPr>
          <w:color w:val="auto"/>
        </w:rPr>
        <w:t>partner-specific detailed report</w:t>
      </w:r>
      <w:r w:rsidRPr="001C4763">
        <w:rPr>
          <w:color w:val="auto"/>
        </w:rPr>
        <w:t>s</w:t>
      </w:r>
      <w:r w:rsidRPr="001C4763" w:rsidR="00F129B2">
        <w:rPr>
          <w:color w:val="auto"/>
        </w:rPr>
        <w:t xml:space="preserve"> for those participating in a study. </w:t>
      </w:r>
      <w:r w:rsidRPr="001C4763">
        <w:rPr>
          <w:color w:val="auto"/>
        </w:rPr>
        <w:t>These reports are de-identified so that participating entities are not able to ascertain the original source(s) of the data.</w:t>
      </w:r>
    </w:p>
    <w:p w:rsidR="007B0B3C" w:rsidRPr="001C4763" w:rsidP="00C250F5" w14:paraId="13565840" w14:textId="77777777">
      <w:pPr>
        <w:rPr>
          <w:color w:val="auto"/>
        </w:rPr>
      </w:pPr>
    </w:p>
    <w:p w:rsidR="007B0B3C" w:rsidRPr="001C4763" w:rsidP="00C250F5" w14:paraId="6B116A72" w14:textId="70EB3655">
      <w:pPr>
        <w:pStyle w:val="ListParagraph"/>
        <w:numPr>
          <w:ilvl w:val="0"/>
          <w:numId w:val="6"/>
        </w:numPr>
        <w:rPr>
          <w:b/>
          <w:color w:val="auto"/>
        </w:rPr>
      </w:pPr>
      <w:r w:rsidRPr="001C4763">
        <w:rPr>
          <w:b/>
          <w:color w:val="auto"/>
        </w:rPr>
        <w:t xml:space="preserve">Information-Sharing Activities </w:t>
      </w:r>
    </w:p>
    <w:p w:rsidR="000D133C" w:rsidRPr="001C4763" w:rsidP="00C250F5" w14:paraId="0A90450E" w14:textId="77777777">
      <w:pPr>
        <w:rPr>
          <w:b/>
          <w:color w:val="auto"/>
        </w:rPr>
      </w:pPr>
    </w:p>
    <w:p w:rsidR="000E67EF" w:rsidRPr="001C4763" w:rsidP="00C250F5" w14:paraId="39C550E0" w14:textId="77777777">
      <w:pPr>
        <w:rPr>
          <w:color w:val="auto"/>
        </w:rPr>
      </w:pPr>
      <w:r w:rsidRPr="001C4763">
        <w:rPr>
          <w:color w:val="auto"/>
        </w:rPr>
        <w:t xml:space="preserve">Through a variety of information-sharing activities, including in-person and virtual events, provider and fraud scheme alerts, and informational papers, the TTP collects and distributes information so that partners can leverage their collective experiences in combating healthcare fraud. These activities can be used to collaborate on best practices, identify and develop </w:t>
      </w:r>
      <w:r w:rsidRPr="001C4763">
        <w:rPr>
          <w:color w:val="auto"/>
        </w:rPr>
        <w:t xml:space="preserve">fraud leads, discuss study results, and develop relationships with peers and leading anti-fraud experts. </w:t>
      </w:r>
    </w:p>
    <w:p w:rsidR="000E67EF" w:rsidRPr="001C4763" w:rsidP="00C250F5" w14:paraId="14ECD462" w14:textId="77777777">
      <w:pPr>
        <w:rPr>
          <w:color w:val="auto"/>
        </w:rPr>
      </w:pPr>
    </w:p>
    <w:p w:rsidR="007B0B3C" w:rsidRPr="001C4763" w:rsidP="00C250F5" w14:paraId="3A3F9B6A" w14:textId="77777777">
      <w:pPr>
        <w:ind w:left="0" w:firstLine="0"/>
        <w:rPr>
          <w:color w:val="auto"/>
        </w:rPr>
      </w:pPr>
    </w:p>
    <w:p w:rsidR="000D133C" w:rsidRPr="001C4763" w:rsidP="00C250F5" w14:paraId="63BAA78E" w14:textId="20ECDA09">
      <w:pPr>
        <w:pStyle w:val="ListParagraph"/>
        <w:numPr>
          <w:ilvl w:val="0"/>
          <w:numId w:val="6"/>
        </w:numPr>
        <w:rPr>
          <w:b/>
          <w:color w:val="auto"/>
        </w:rPr>
      </w:pPr>
      <w:r w:rsidRPr="001C4763">
        <w:rPr>
          <w:b/>
          <w:color w:val="auto"/>
        </w:rPr>
        <w:t>Outcomes Collections</w:t>
      </w:r>
    </w:p>
    <w:p w:rsidR="000D133C" w:rsidRPr="001C4763" w:rsidP="00C250F5" w14:paraId="3975566C" w14:textId="77777777">
      <w:pPr>
        <w:pStyle w:val="ListParagraph"/>
        <w:ind w:left="1065" w:firstLine="0"/>
        <w:rPr>
          <w:b/>
          <w:color w:val="auto"/>
        </w:rPr>
      </w:pPr>
    </w:p>
    <w:p w:rsidR="007A66B3" w:rsidRPr="001C4763" w:rsidP="00C250F5" w14:paraId="5B2032B0" w14:textId="73EEC084">
      <w:pPr>
        <w:rPr>
          <w:color w:val="auto"/>
        </w:rPr>
      </w:pPr>
      <w:r w:rsidRPr="001C4763">
        <w:rPr>
          <w:color w:val="auto"/>
        </w:rPr>
        <w:t>T</w:t>
      </w:r>
      <w:r w:rsidRPr="001C4763" w:rsidR="00F129B2">
        <w:rPr>
          <w:color w:val="auto"/>
        </w:rPr>
        <w:t xml:space="preserve">he TTP also collects information from the </w:t>
      </w:r>
      <w:r w:rsidRPr="001C4763" w:rsidR="003D23D5">
        <w:rPr>
          <w:color w:val="auto"/>
        </w:rPr>
        <w:t>partners</w:t>
      </w:r>
      <w:r w:rsidRPr="001C4763" w:rsidR="00F129B2">
        <w:rPr>
          <w:color w:val="auto"/>
        </w:rPr>
        <w:t xml:space="preserve"> regarding the outcomes achieved from their participation in the HFPP</w:t>
      </w:r>
      <w:r w:rsidRPr="001C4763" w:rsidR="003D23D5">
        <w:rPr>
          <w:color w:val="auto"/>
        </w:rPr>
        <w:t xml:space="preserve">. This includes such metrics as the recoveries that have been collected, </w:t>
      </w:r>
      <w:r w:rsidRPr="001C4763" w:rsidR="00F129B2">
        <w:rPr>
          <w:color w:val="auto"/>
        </w:rPr>
        <w:t xml:space="preserve">savings achieved, </w:t>
      </w:r>
      <w:r w:rsidRPr="001C4763" w:rsidR="003D23D5">
        <w:rPr>
          <w:color w:val="auto"/>
        </w:rPr>
        <w:t xml:space="preserve">administrative actions taken, and law enforcement referrals made as a result of participation in the HFPP. </w:t>
      </w:r>
      <w:r w:rsidR="00445E01">
        <w:rPr>
          <w:color w:val="auto"/>
        </w:rPr>
        <w:t>As of June 2021, a</w:t>
      </w:r>
      <w:r w:rsidRPr="001C4763" w:rsidR="000E67EF">
        <w:rPr>
          <w:color w:val="auto"/>
        </w:rPr>
        <w:t>pproximately $</w:t>
      </w:r>
      <w:r w:rsidRPr="001C4763" w:rsidR="00A15141">
        <w:rPr>
          <w:color w:val="auto"/>
        </w:rPr>
        <w:t>40</w:t>
      </w:r>
      <w:r w:rsidRPr="001C4763" w:rsidR="005040A5">
        <w:rPr>
          <w:color w:val="auto"/>
        </w:rPr>
        <w:t>2</w:t>
      </w:r>
      <w:r w:rsidRPr="001C4763" w:rsidR="00A15141">
        <w:rPr>
          <w:color w:val="auto"/>
        </w:rPr>
        <w:t xml:space="preserve"> </w:t>
      </w:r>
      <w:r w:rsidRPr="001C4763" w:rsidR="000E67EF">
        <w:rPr>
          <w:color w:val="auto"/>
        </w:rPr>
        <w:t xml:space="preserve">million in savings has been voluntarily reported by HFPP partners to the TTP. </w:t>
      </w:r>
    </w:p>
    <w:p w:rsidR="00FB766D" w:rsidRPr="001C4763" w14:paraId="46B0798C" w14:textId="77777777">
      <w:pPr>
        <w:spacing w:after="0" w:line="259" w:lineRule="auto"/>
        <w:ind w:left="360" w:firstLine="0"/>
        <w:rPr>
          <w:color w:val="auto"/>
        </w:rPr>
      </w:pPr>
      <w:r w:rsidRPr="001C4763">
        <w:rPr>
          <w:b/>
          <w:color w:val="auto"/>
        </w:rPr>
        <w:t xml:space="preserve"> </w:t>
      </w:r>
    </w:p>
    <w:p w:rsidR="00FB766D" w:rsidRPr="001C4763" w14:paraId="7B33CF8A" w14:textId="77777777">
      <w:pPr>
        <w:pStyle w:val="Heading1"/>
        <w:ind w:left="715"/>
        <w:rPr>
          <w:color w:val="auto"/>
        </w:rPr>
      </w:pPr>
      <w:r w:rsidRPr="001C4763">
        <w:rPr>
          <w:b w:val="0"/>
          <w:color w:val="auto"/>
          <w:u w:val="none"/>
        </w:rPr>
        <w:t xml:space="preserve">2. </w:t>
      </w:r>
      <w:r w:rsidRPr="001C4763">
        <w:rPr>
          <w:color w:val="auto"/>
        </w:rPr>
        <w:t>Information Users</w:t>
      </w:r>
      <w:r w:rsidRPr="001C4763">
        <w:rPr>
          <w:b w:val="0"/>
          <w:color w:val="auto"/>
          <w:u w:val="none"/>
        </w:rPr>
        <w:t xml:space="preserve"> </w:t>
      </w:r>
    </w:p>
    <w:p w:rsidR="00FB766D" w:rsidRPr="001C4763" w14:paraId="0DADDF9D" w14:textId="77777777">
      <w:pPr>
        <w:spacing w:after="0" w:line="259" w:lineRule="auto"/>
        <w:ind w:left="1080" w:firstLine="0"/>
        <w:rPr>
          <w:color w:val="auto"/>
        </w:rPr>
      </w:pPr>
      <w:r w:rsidRPr="001C4763">
        <w:rPr>
          <w:color w:val="auto"/>
        </w:rPr>
        <w:t xml:space="preserve"> </w:t>
      </w:r>
    </w:p>
    <w:p w:rsidR="00863A77" w:rsidRPr="001C4763" w14:paraId="1D89FA45" w14:textId="321AF8AF">
      <w:pPr>
        <w:rPr>
          <w:color w:val="auto"/>
        </w:rPr>
      </w:pPr>
      <w:r w:rsidRPr="001C4763">
        <w:rPr>
          <w:color w:val="auto"/>
        </w:rPr>
        <w:t xml:space="preserve">HFPP partners are responsible for data sharing and information exchange to address fraud, waste, and abuse issues of mutual concern. Current HFPP partners include private insurers; CMS and other federal agencies, such as the </w:t>
      </w:r>
      <w:r w:rsidRPr="001C4763" w:rsidR="007B1054">
        <w:rPr>
          <w:color w:val="auto"/>
        </w:rPr>
        <w:t>Department of Health and Human Services Office of Inspector General (HHS-OIG), Department of Justice (DOJ), and Federal Bureau of Investigation (</w:t>
      </w:r>
      <w:r w:rsidRPr="001C4763" w:rsidR="000E67EF">
        <w:rPr>
          <w:color w:val="auto"/>
        </w:rPr>
        <w:t>FBI</w:t>
      </w:r>
      <w:r w:rsidRPr="001C4763" w:rsidR="007B1054">
        <w:rPr>
          <w:color w:val="auto"/>
        </w:rPr>
        <w:t>)</w:t>
      </w:r>
      <w:r w:rsidRPr="001C4763" w:rsidR="000E67EF">
        <w:rPr>
          <w:color w:val="auto"/>
        </w:rPr>
        <w:t>;</w:t>
      </w:r>
      <w:r w:rsidRPr="001C4763" w:rsidR="007B1054">
        <w:rPr>
          <w:color w:val="auto"/>
        </w:rPr>
        <w:t xml:space="preserve"> </w:t>
      </w:r>
      <w:r w:rsidRPr="001C4763">
        <w:rPr>
          <w:color w:val="auto"/>
        </w:rPr>
        <w:t xml:space="preserve">state </w:t>
      </w:r>
      <w:r w:rsidRPr="001C4763" w:rsidR="007B1054">
        <w:rPr>
          <w:color w:val="auto"/>
        </w:rPr>
        <w:t xml:space="preserve">and local </w:t>
      </w:r>
      <w:r w:rsidRPr="001C4763" w:rsidR="00363E61">
        <w:rPr>
          <w:color w:val="auto"/>
        </w:rPr>
        <w:t xml:space="preserve">Medicaid </w:t>
      </w:r>
      <w:r w:rsidRPr="001C4763">
        <w:rPr>
          <w:color w:val="auto"/>
        </w:rPr>
        <w:t xml:space="preserve">agencies; and antifraud associations. </w:t>
      </w:r>
      <w:r w:rsidRPr="001C4763" w:rsidR="007B1054">
        <w:rPr>
          <w:color w:val="auto"/>
        </w:rPr>
        <w:t xml:space="preserve">(The current list of </w:t>
      </w:r>
      <w:r w:rsidRPr="001C4763" w:rsidR="00D47E45">
        <w:rPr>
          <w:color w:val="auto"/>
        </w:rPr>
        <w:t>20</w:t>
      </w:r>
      <w:r w:rsidRPr="001C4763" w:rsidR="004F172A">
        <w:rPr>
          <w:color w:val="auto"/>
        </w:rPr>
        <w:t>5</w:t>
      </w:r>
      <w:r w:rsidRPr="001C4763" w:rsidR="00A15141">
        <w:rPr>
          <w:color w:val="auto"/>
        </w:rPr>
        <w:t xml:space="preserve"> </w:t>
      </w:r>
      <w:r w:rsidRPr="001C4763" w:rsidR="007B1054">
        <w:rPr>
          <w:color w:val="auto"/>
        </w:rPr>
        <w:t>partners can be accessed at https://hfpp.cms.gov/about/current-partners.html.) As previously indicated, although the information is collected by the TTP, a federal contractor, neither CMS nor any other federal agency have the right, under documents governing the HFPP, to access such records, nor can the records collected by the TTP be used for any commercial purposes. </w:t>
      </w:r>
    </w:p>
    <w:p w:rsidR="00863A77" w:rsidRPr="001C4763" w14:paraId="6C45117C" w14:textId="77777777">
      <w:pPr>
        <w:rPr>
          <w:color w:val="auto"/>
        </w:rPr>
      </w:pPr>
    </w:p>
    <w:p w:rsidR="007B1054" w:rsidRPr="001C4763" w14:paraId="38B92C2C" w14:textId="63F6AAF2">
      <w:pPr>
        <w:spacing w:after="10"/>
        <w:ind w:left="715" w:right="5002"/>
        <w:rPr>
          <w:b/>
          <w:color w:val="auto"/>
          <w:u w:val="single"/>
        </w:rPr>
      </w:pPr>
      <w:r w:rsidRPr="001C4763">
        <w:rPr>
          <w:b/>
          <w:color w:val="auto"/>
        </w:rPr>
        <w:t>3.</w:t>
      </w:r>
      <w:r w:rsidRPr="001C4763">
        <w:rPr>
          <w:b/>
          <w:color w:val="auto"/>
          <w:u w:val="single"/>
        </w:rPr>
        <w:t xml:space="preserve"> </w:t>
      </w:r>
      <w:r w:rsidRPr="001C4763" w:rsidR="00464128">
        <w:rPr>
          <w:b/>
          <w:color w:val="auto"/>
          <w:u w:val="single"/>
        </w:rPr>
        <w:t xml:space="preserve">Use of Information </w:t>
      </w:r>
      <w:r w:rsidRPr="001C4763">
        <w:rPr>
          <w:b/>
          <w:color w:val="auto"/>
          <w:u w:val="single"/>
        </w:rPr>
        <w:t>Technology</w:t>
      </w:r>
      <w:r w:rsidRPr="001C4763">
        <w:rPr>
          <w:b/>
          <w:color w:val="auto"/>
        </w:rPr>
        <w:t xml:space="preserve">  </w:t>
      </w:r>
      <w:r w:rsidRPr="001C4763">
        <w:rPr>
          <w:b/>
          <w:color w:val="auto"/>
          <w:u w:val="single"/>
        </w:rPr>
        <w:t xml:space="preserve"> </w:t>
      </w:r>
    </w:p>
    <w:p w:rsidR="00FB766D" w:rsidRPr="001C4763" w14:paraId="53B4A617" w14:textId="55793025">
      <w:pPr>
        <w:spacing w:after="10"/>
        <w:ind w:left="715" w:right="5002"/>
        <w:rPr>
          <w:b/>
          <w:color w:val="auto"/>
          <w:u w:val="single"/>
        </w:rPr>
      </w:pPr>
    </w:p>
    <w:p w:rsidR="00FB766D" w:rsidRPr="001C4763" w14:paraId="5454AA3A" w14:textId="03022B94">
      <w:pPr>
        <w:tabs>
          <w:tab w:val="center" w:pos="720"/>
          <w:tab w:val="center" w:pos="3292"/>
        </w:tabs>
        <w:ind w:left="0" w:firstLine="0"/>
        <w:rPr>
          <w:color w:val="auto"/>
        </w:rPr>
      </w:pPr>
      <w:r w:rsidRPr="001C4763">
        <w:rPr>
          <w:rFonts w:ascii="Calibri" w:eastAsia="Calibri" w:hAnsi="Calibri" w:cs="Calibri"/>
          <w:color w:val="auto"/>
          <w:sz w:val="22"/>
        </w:rPr>
        <w:tab/>
      </w:r>
      <w:r w:rsidRPr="001C4763">
        <w:rPr>
          <w:color w:val="auto"/>
        </w:rPr>
        <w:t xml:space="preserve">  </w:t>
      </w:r>
      <w:r w:rsidRPr="001C4763" w:rsidR="007B1054">
        <w:rPr>
          <w:color w:val="auto"/>
        </w:rPr>
        <w:tab/>
      </w:r>
      <w:r w:rsidRPr="001C4763">
        <w:rPr>
          <w:color w:val="auto"/>
        </w:rPr>
        <w:t xml:space="preserve">All </w:t>
      </w:r>
      <w:r w:rsidRPr="001C4763" w:rsidR="007B1054">
        <w:rPr>
          <w:color w:val="auto"/>
        </w:rPr>
        <w:t xml:space="preserve">claims </w:t>
      </w:r>
      <w:r w:rsidRPr="001C4763">
        <w:rPr>
          <w:color w:val="auto"/>
        </w:rPr>
        <w:t xml:space="preserve">data will be collected in electronic format.  </w:t>
      </w:r>
    </w:p>
    <w:p w:rsidR="00FB766D" w:rsidRPr="001C4763" w14:paraId="4F136629" w14:textId="77777777">
      <w:pPr>
        <w:spacing w:after="0" w:line="259" w:lineRule="auto"/>
        <w:ind w:left="720" w:firstLine="0"/>
        <w:rPr>
          <w:color w:val="auto"/>
        </w:rPr>
      </w:pPr>
      <w:r w:rsidRPr="001C4763">
        <w:rPr>
          <w:color w:val="auto"/>
        </w:rPr>
        <w:t xml:space="preserve"> </w:t>
      </w:r>
    </w:p>
    <w:p w:rsidR="00FB766D" w:rsidRPr="001C4763" w14:paraId="36430CBC" w14:textId="1B78741B">
      <w:pPr>
        <w:pStyle w:val="Heading1"/>
        <w:ind w:left="715"/>
        <w:rPr>
          <w:color w:val="auto"/>
        </w:rPr>
      </w:pPr>
      <w:r w:rsidRPr="001C4763">
        <w:rPr>
          <w:color w:val="auto"/>
          <w:u w:val="none"/>
        </w:rPr>
        <w:t>4.</w:t>
      </w:r>
      <w:r w:rsidRPr="001C4763">
        <w:rPr>
          <w:color w:val="auto"/>
        </w:rPr>
        <w:t xml:space="preserve"> Duplicatio</w:t>
      </w:r>
      <w:r w:rsidRPr="001C4763" w:rsidR="00464128">
        <w:rPr>
          <w:color w:val="auto"/>
        </w:rPr>
        <w:t>n of Efforts</w:t>
      </w:r>
    </w:p>
    <w:p w:rsidR="00FB766D" w:rsidRPr="001C4763" w14:paraId="454C59F8" w14:textId="77777777">
      <w:pPr>
        <w:spacing w:after="0" w:line="259" w:lineRule="auto"/>
        <w:ind w:left="1080" w:firstLine="0"/>
        <w:rPr>
          <w:color w:val="auto"/>
        </w:rPr>
      </w:pPr>
      <w:r w:rsidRPr="001C4763">
        <w:rPr>
          <w:color w:val="auto"/>
        </w:rPr>
        <w:t xml:space="preserve"> </w:t>
      </w:r>
    </w:p>
    <w:p w:rsidR="00FB766D" w:rsidRPr="001C4763" w:rsidP="008C6171" w14:paraId="16635B46" w14:textId="1337FBDA">
      <w:pPr>
        <w:ind w:left="1075"/>
        <w:rPr>
          <w:color w:val="auto"/>
        </w:rPr>
      </w:pPr>
      <w:r w:rsidRPr="001C4763">
        <w:rPr>
          <w:color w:val="auto"/>
        </w:rPr>
        <w:t xml:space="preserve">This collection and sharing of data does not duplicate any other effort and the information cannot be obtained from any other source. </w:t>
      </w:r>
    </w:p>
    <w:p w:rsidR="00FB766D" w:rsidRPr="001C4763" w:rsidP="008A18CD" w14:paraId="7CB1582E" w14:textId="77777777">
      <w:pPr>
        <w:spacing w:after="0" w:line="259" w:lineRule="auto"/>
        <w:ind w:left="1080" w:firstLine="0"/>
        <w:rPr>
          <w:color w:val="auto"/>
        </w:rPr>
      </w:pPr>
      <w:r w:rsidRPr="001C4763">
        <w:rPr>
          <w:color w:val="auto"/>
        </w:rPr>
        <w:t xml:space="preserve"> </w:t>
      </w:r>
    </w:p>
    <w:p w:rsidR="00FB766D" w:rsidRPr="001C4763" w14:paraId="3A90CF0D" w14:textId="77777777">
      <w:pPr>
        <w:numPr>
          <w:ilvl w:val="0"/>
          <w:numId w:val="2"/>
        </w:numPr>
        <w:spacing w:after="10"/>
        <w:ind w:hanging="360"/>
        <w:rPr>
          <w:color w:val="auto"/>
        </w:rPr>
      </w:pPr>
      <w:r w:rsidRPr="001C4763">
        <w:rPr>
          <w:b/>
          <w:color w:val="auto"/>
          <w:u w:val="single" w:color="000000"/>
        </w:rPr>
        <w:t>Small Business</w:t>
      </w:r>
      <w:r w:rsidRPr="001C4763">
        <w:rPr>
          <w:color w:val="auto"/>
        </w:rPr>
        <w:t xml:space="preserve"> </w:t>
      </w:r>
    </w:p>
    <w:p w:rsidR="00FB766D" w:rsidRPr="001C4763" w14:paraId="606406C1" w14:textId="77777777">
      <w:pPr>
        <w:spacing w:after="0" w:line="259" w:lineRule="auto"/>
        <w:ind w:left="1080" w:firstLine="0"/>
        <w:rPr>
          <w:color w:val="auto"/>
        </w:rPr>
      </w:pPr>
      <w:r w:rsidRPr="001C4763">
        <w:rPr>
          <w:color w:val="auto"/>
        </w:rPr>
        <w:t xml:space="preserve"> </w:t>
      </w:r>
    </w:p>
    <w:p w:rsidR="00FB766D" w:rsidRPr="001C4763" w14:paraId="7863FC91" w14:textId="77777777">
      <w:pPr>
        <w:ind w:left="1075"/>
        <w:rPr>
          <w:color w:val="auto"/>
        </w:rPr>
      </w:pPr>
      <w:r w:rsidRPr="001C4763">
        <w:rPr>
          <w:color w:val="auto"/>
        </w:rPr>
        <w:t xml:space="preserve">There is no burden on small businesses. </w:t>
      </w:r>
    </w:p>
    <w:p w:rsidR="00FB766D" w:rsidRPr="001C4763" w14:paraId="2EDD3A71" w14:textId="77777777">
      <w:pPr>
        <w:spacing w:after="0" w:line="259" w:lineRule="auto"/>
        <w:ind w:left="720" w:firstLine="0"/>
        <w:rPr>
          <w:color w:val="auto"/>
        </w:rPr>
      </w:pPr>
      <w:r w:rsidRPr="001C4763">
        <w:rPr>
          <w:color w:val="auto"/>
        </w:rPr>
        <w:t xml:space="preserve"> </w:t>
      </w:r>
    </w:p>
    <w:p w:rsidR="00FB766D" w:rsidRPr="001C4763" w14:paraId="7817CCF3" w14:textId="77777777">
      <w:pPr>
        <w:numPr>
          <w:ilvl w:val="0"/>
          <w:numId w:val="2"/>
        </w:numPr>
        <w:spacing w:after="10"/>
        <w:ind w:hanging="360"/>
        <w:rPr>
          <w:color w:val="auto"/>
        </w:rPr>
      </w:pPr>
      <w:r w:rsidRPr="001C4763">
        <w:rPr>
          <w:b/>
          <w:color w:val="auto"/>
          <w:u w:val="single" w:color="000000"/>
        </w:rPr>
        <w:t>Less Frequent Collection</w:t>
      </w:r>
      <w:r w:rsidRPr="001C4763">
        <w:rPr>
          <w:color w:val="auto"/>
        </w:rPr>
        <w:t xml:space="preserve"> </w:t>
      </w:r>
    </w:p>
    <w:p w:rsidR="00FB766D" w:rsidRPr="001C4763" w14:paraId="441E868E" w14:textId="77777777">
      <w:pPr>
        <w:spacing w:after="0" w:line="259" w:lineRule="auto"/>
        <w:ind w:left="720" w:firstLine="0"/>
        <w:rPr>
          <w:color w:val="auto"/>
        </w:rPr>
      </w:pPr>
      <w:r w:rsidRPr="001C4763">
        <w:rPr>
          <w:color w:val="auto"/>
        </w:rPr>
        <w:t xml:space="preserve"> </w:t>
      </w:r>
      <w:r w:rsidRPr="001C4763">
        <w:rPr>
          <w:color w:val="auto"/>
        </w:rPr>
        <w:tab/>
        <w:t xml:space="preserve"> </w:t>
      </w:r>
    </w:p>
    <w:p w:rsidR="00FB766D" w:rsidRPr="001C4763" w14:paraId="621CCE39" w14:textId="2CDB3E22">
      <w:pPr>
        <w:ind w:left="1075"/>
        <w:rPr>
          <w:color w:val="auto"/>
        </w:rPr>
      </w:pPr>
      <w:r w:rsidRPr="001C4763">
        <w:rPr>
          <w:color w:val="auto"/>
        </w:rPr>
        <w:t xml:space="preserve">There are no consequences to less frequent collection. </w:t>
      </w:r>
    </w:p>
    <w:p w:rsidR="00FB766D" w:rsidRPr="001C4763" w14:paraId="06205C58" w14:textId="77777777">
      <w:pPr>
        <w:spacing w:after="0" w:line="259" w:lineRule="auto"/>
        <w:ind w:left="720" w:firstLine="0"/>
        <w:rPr>
          <w:color w:val="auto"/>
        </w:rPr>
      </w:pPr>
      <w:r w:rsidRPr="001C4763">
        <w:rPr>
          <w:color w:val="auto"/>
        </w:rPr>
        <w:t xml:space="preserve"> </w:t>
      </w:r>
    </w:p>
    <w:p w:rsidR="00FB766D" w:rsidRPr="001C4763" w14:paraId="22834435" w14:textId="77777777">
      <w:pPr>
        <w:numPr>
          <w:ilvl w:val="0"/>
          <w:numId w:val="2"/>
        </w:numPr>
        <w:spacing w:after="10"/>
        <w:ind w:hanging="360"/>
        <w:rPr>
          <w:color w:val="auto"/>
        </w:rPr>
      </w:pPr>
      <w:r w:rsidRPr="001C4763">
        <w:rPr>
          <w:b/>
          <w:color w:val="auto"/>
          <w:u w:val="single" w:color="000000"/>
        </w:rPr>
        <w:t>Special Circumstances</w:t>
      </w:r>
      <w:r w:rsidRPr="001C4763">
        <w:rPr>
          <w:color w:val="auto"/>
        </w:rPr>
        <w:t xml:space="preserve"> </w:t>
      </w:r>
    </w:p>
    <w:p w:rsidR="00FB766D" w:rsidRPr="001C4763" w14:paraId="20DC6D7D" w14:textId="77777777">
      <w:pPr>
        <w:spacing w:after="0" w:line="259" w:lineRule="auto"/>
        <w:ind w:left="720" w:firstLine="0"/>
        <w:rPr>
          <w:color w:val="auto"/>
        </w:rPr>
      </w:pPr>
      <w:r w:rsidRPr="001C4763">
        <w:rPr>
          <w:color w:val="auto"/>
        </w:rPr>
        <w:t xml:space="preserve"> </w:t>
      </w:r>
      <w:r w:rsidRPr="001C4763">
        <w:rPr>
          <w:color w:val="auto"/>
        </w:rPr>
        <w:tab/>
        <w:t xml:space="preserve"> </w:t>
      </w:r>
    </w:p>
    <w:p w:rsidR="00FB766D" w:rsidRPr="001C4763" w14:paraId="43610BC8" w14:textId="77777777">
      <w:pPr>
        <w:ind w:left="1075"/>
        <w:rPr>
          <w:color w:val="auto"/>
        </w:rPr>
      </w:pPr>
      <w:r w:rsidRPr="001C4763">
        <w:rPr>
          <w:color w:val="auto"/>
        </w:rPr>
        <w:t xml:space="preserve">There are no special Circumstances. </w:t>
      </w:r>
    </w:p>
    <w:p w:rsidR="00FB766D" w:rsidRPr="001C4763" w14:paraId="7D0DDA69" w14:textId="77777777">
      <w:pPr>
        <w:spacing w:after="0" w:line="259" w:lineRule="auto"/>
        <w:ind w:left="720" w:firstLine="0"/>
        <w:rPr>
          <w:color w:val="auto"/>
        </w:rPr>
      </w:pPr>
      <w:r w:rsidRPr="001C4763">
        <w:rPr>
          <w:color w:val="auto"/>
        </w:rPr>
        <w:t xml:space="preserve"> </w:t>
      </w:r>
    </w:p>
    <w:p w:rsidR="00FB766D" w:rsidRPr="001C4763" w14:paraId="1780D76C" w14:textId="77777777">
      <w:pPr>
        <w:pStyle w:val="Heading1"/>
        <w:ind w:left="715"/>
        <w:rPr>
          <w:color w:val="auto"/>
        </w:rPr>
      </w:pPr>
      <w:r w:rsidRPr="001C4763">
        <w:rPr>
          <w:b w:val="0"/>
          <w:color w:val="auto"/>
          <w:u w:val="none"/>
        </w:rPr>
        <w:t xml:space="preserve">8. </w:t>
      </w:r>
      <w:r w:rsidRPr="001C4763">
        <w:rPr>
          <w:color w:val="auto"/>
        </w:rPr>
        <w:t>Federal Register Notice/Prior Consultation</w:t>
      </w:r>
      <w:r w:rsidRPr="001C4763">
        <w:rPr>
          <w:color w:val="auto"/>
          <w:u w:val="none"/>
        </w:rPr>
        <w:t xml:space="preserve"> </w:t>
      </w:r>
      <w:r w:rsidRPr="001C4763">
        <w:rPr>
          <w:b w:val="0"/>
          <w:color w:val="auto"/>
          <w:sz w:val="20"/>
          <w:u w:val="none"/>
        </w:rPr>
        <w:t xml:space="preserve"> </w:t>
      </w:r>
    </w:p>
    <w:p w:rsidR="00FB766D" w:rsidRPr="001C4763" w14:paraId="44D505A7" w14:textId="77777777">
      <w:pPr>
        <w:spacing w:after="0" w:line="259" w:lineRule="auto"/>
        <w:ind w:left="720" w:firstLine="0"/>
        <w:rPr>
          <w:color w:val="auto"/>
        </w:rPr>
      </w:pPr>
      <w:r w:rsidRPr="001C4763">
        <w:rPr>
          <w:color w:val="auto"/>
        </w:rPr>
        <w:t xml:space="preserve"> </w:t>
      </w:r>
      <w:r w:rsidRPr="001C4763">
        <w:rPr>
          <w:color w:val="auto"/>
        </w:rPr>
        <w:tab/>
        <w:t xml:space="preserve"> </w:t>
      </w:r>
    </w:p>
    <w:p w:rsidR="00FB766D" w:rsidRPr="001C4763" w:rsidP="00B379E6" w14:paraId="22E83295" w14:textId="3DBEC418">
      <w:pPr>
        <w:ind w:left="1066" w:firstLine="0"/>
        <w:rPr>
          <w:color w:val="auto"/>
        </w:rPr>
      </w:pPr>
      <w:r w:rsidRPr="001C4763">
        <w:rPr>
          <w:color w:val="auto"/>
        </w:rPr>
        <w:t xml:space="preserve">The </w:t>
      </w:r>
      <w:r w:rsidRPr="001C4763" w:rsidR="009E11CE">
        <w:rPr>
          <w:color w:val="auto"/>
        </w:rPr>
        <w:t xml:space="preserve">60-day </w:t>
      </w:r>
      <w:r w:rsidRPr="001C4763">
        <w:rPr>
          <w:color w:val="auto"/>
        </w:rPr>
        <w:t xml:space="preserve">notice published in the Federal Register </w:t>
      </w:r>
      <w:r w:rsidRPr="001C4763" w:rsidR="009E11CE">
        <w:rPr>
          <w:color w:val="auto"/>
        </w:rPr>
        <w:t xml:space="preserve">on </w:t>
      </w:r>
      <w:r w:rsidRPr="001C4763" w:rsidR="00B379E6">
        <w:rPr>
          <w:color w:val="auto"/>
        </w:rPr>
        <w:t>June 2</w:t>
      </w:r>
      <w:r w:rsidR="000C7A88">
        <w:rPr>
          <w:color w:val="auto"/>
        </w:rPr>
        <w:t>0</w:t>
      </w:r>
      <w:r w:rsidRPr="001C4763" w:rsidR="00B379E6">
        <w:rPr>
          <w:color w:val="auto"/>
        </w:rPr>
        <w:t>, 202</w:t>
      </w:r>
      <w:r w:rsidR="000C7A88">
        <w:rPr>
          <w:color w:val="auto"/>
        </w:rPr>
        <w:t>5</w:t>
      </w:r>
      <w:r w:rsidRPr="001C4763" w:rsidR="006877BF">
        <w:rPr>
          <w:color w:val="auto"/>
        </w:rPr>
        <w:t xml:space="preserve"> </w:t>
      </w:r>
      <w:r w:rsidRPr="001C4763">
        <w:rPr>
          <w:color w:val="auto"/>
        </w:rPr>
        <w:t>(</w:t>
      </w:r>
      <w:r w:rsidR="000C7A88">
        <w:rPr>
          <w:color w:val="auto"/>
        </w:rPr>
        <w:t>90</w:t>
      </w:r>
      <w:r w:rsidRPr="001C4763">
        <w:rPr>
          <w:color w:val="auto"/>
        </w:rPr>
        <w:t xml:space="preserve"> FR 2</w:t>
      </w:r>
      <w:r w:rsidR="000C7A88">
        <w:rPr>
          <w:color w:val="auto"/>
        </w:rPr>
        <w:t>6301</w:t>
      </w:r>
      <w:r w:rsidRPr="001C4763">
        <w:rPr>
          <w:color w:val="auto"/>
        </w:rPr>
        <w:t>).  A total of zero (0) comments were received.</w:t>
      </w:r>
    </w:p>
    <w:p w:rsidR="00B67BED" w:rsidRPr="001C4763" w:rsidP="00B379E6" w14:paraId="30AF1970" w14:textId="486FA8FE">
      <w:pPr>
        <w:ind w:left="1066" w:firstLine="0"/>
        <w:rPr>
          <w:color w:val="auto"/>
        </w:rPr>
      </w:pPr>
    </w:p>
    <w:p w:rsidR="00FB766D" w:rsidRPr="001C4763" w14:paraId="40E93F64" w14:textId="63211115">
      <w:pPr>
        <w:ind w:left="1066" w:firstLine="0"/>
        <w:rPr>
          <w:color w:val="auto"/>
        </w:rPr>
      </w:pPr>
      <w:r w:rsidRPr="001C4763">
        <w:rPr>
          <w:color w:val="auto"/>
        </w:rPr>
        <w:t xml:space="preserve">A 30-day notice </w:t>
      </w:r>
      <w:r w:rsidRPr="001C4763" w:rsidR="00B84A24">
        <w:rPr>
          <w:color w:val="auto"/>
        </w:rPr>
        <w:t xml:space="preserve">published in the </w:t>
      </w:r>
      <w:r w:rsidRPr="001C4763">
        <w:rPr>
          <w:color w:val="auto"/>
        </w:rPr>
        <w:t xml:space="preserve">Federal Register on </w:t>
      </w:r>
      <w:r w:rsidRPr="001C4763" w:rsidR="00B84A24">
        <w:rPr>
          <w:color w:val="auto"/>
        </w:rPr>
        <w:t>September 2, 202</w:t>
      </w:r>
      <w:r w:rsidR="000C7A88">
        <w:rPr>
          <w:color w:val="auto"/>
        </w:rPr>
        <w:t>5</w:t>
      </w:r>
      <w:r w:rsidRPr="001C4763" w:rsidR="00B84A24">
        <w:rPr>
          <w:color w:val="auto"/>
        </w:rPr>
        <w:t xml:space="preserve"> (</w:t>
      </w:r>
      <w:r w:rsidR="000C7A88">
        <w:rPr>
          <w:color w:val="auto"/>
        </w:rPr>
        <w:t>90</w:t>
      </w:r>
      <w:r w:rsidRPr="001C4763" w:rsidR="00B84A24">
        <w:rPr>
          <w:color w:val="auto"/>
        </w:rPr>
        <w:t xml:space="preserve"> FR </w:t>
      </w:r>
      <w:r w:rsidR="000C7A88">
        <w:rPr>
          <w:color w:val="auto"/>
        </w:rPr>
        <w:t>42411</w:t>
      </w:r>
      <w:r w:rsidRPr="001C4763" w:rsidR="00B84A24">
        <w:rPr>
          <w:color w:val="auto"/>
        </w:rPr>
        <w:t xml:space="preserve">). </w:t>
      </w:r>
      <w:r w:rsidRPr="001C4763" w:rsidR="00F129B2">
        <w:rPr>
          <w:color w:val="auto"/>
        </w:rPr>
        <w:t xml:space="preserve"> </w:t>
      </w:r>
    </w:p>
    <w:p w:rsidR="00837814" w:rsidRPr="001C4763" w:rsidP="00837814" w14:paraId="24D34EE5" w14:textId="77777777">
      <w:pPr>
        <w:ind w:left="1066" w:firstLine="0"/>
        <w:rPr>
          <w:color w:val="auto"/>
        </w:rPr>
      </w:pPr>
    </w:p>
    <w:p w:rsidR="00FB766D" w:rsidRPr="001C4763" w:rsidP="00B379E6" w14:paraId="4F31C12F" w14:textId="7077F588">
      <w:pPr>
        <w:ind w:left="1066" w:firstLine="0"/>
        <w:rPr>
          <w:color w:val="auto"/>
        </w:rPr>
      </w:pPr>
      <w:r w:rsidRPr="001C4763">
        <w:rPr>
          <w:color w:val="auto"/>
        </w:rPr>
        <w:t xml:space="preserve">No additional outside consultation was sought. </w:t>
      </w:r>
    </w:p>
    <w:p w:rsidR="00FB766D" w:rsidRPr="001C4763" w14:paraId="42CD0A75" w14:textId="77777777">
      <w:pPr>
        <w:spacing w:after="0" w:line="259" w:lineRule="auto"/>
        <w:ind w:left="1080" w:firstLine="0"/>
        <w:rPr>
          <w:color w:val="auto"/>
        </w:rPr>
      </w:pPr>
      <w:r w:rsidRPr="001C4763">
        <w:rPr>
          <w:color w:val="auto"/>
        </w:rPr>
        <w:t xml:space="preserve"> </w:t>
      </w:r>
    </w:p>
    <w:p w:rsidR="00FB766D" w:rsidRPr="001C4763" w14:paraId="4F16F0F0" w14:textId="5D8E9B28">
      <w:pPr>
        <w:spacing w:after="10"/>
        <w:ind w:left="715"/>
        <w:rPr>
          <w:color w:val="auto"/>
        </w:rPr>
      </w:pPr>
      <w:r w:rsidRPr="001C4763">
        <w:rPr>
          <w:color w:val="auto"/>
        </w:rPr>
        <w:t xml:space="preserve">9. </w:t>
      </w:r>
      <w:r w:rsidRPr="001C4763">
        <w:rPr>
          <w:b/>
          <w:color w:val="auto"/>
          <w:u w:val="single" w:color="000000"/>
        </w:rPr>
        <w:t>Payment</w:t>
      </w:r>
      <w:r w:rsidRPr="001C4763" w:rsidR="00464128">
        <w:rPr>
          <w:b/>
          <w:color w:val="auto"/>
          <w:u w:val="single" w:color="000000"/>
        </w:rPr>
        <w:t>s</w:t>
      </w:r>
      <w:r w:rsidRPr="001C4763">
        <w:rPr>
          <w:b/>
          <w:color w:val="auto"/>
          <w:u w:val="single" w:color="000000"/>
        </w:rPr>
        <w:t>/Gift</w:t>
      </w:r>
      <w:r w:rsidRPr="001C4763" w:rsidR="00464128">
        <w:rPr>
          <w:b/>
          <w:color w:val="auto"/>
          <w:u w:val="single" w:color="000000"/>
        </w:rPr>
        <w:t>s</w:t>
      </w:r>
      <w:r w:rsidRPr="001C4763">
        <w:rPr>
          <w:b/>
          <w:color w:val="auto"/>
          <w:u w:val="single" w:color="000000"/>
        </w:rPr>
        <w:t xml:space="preserve"> to Respondents</w:t>
      </w:r>
      <w:r w:rsidRPr="001C4763">
        <w:rPr>
          <w:color w:val="auto"/>
        </w:rPr>
        <w:t xml:space="preserve"> </w:t>
      </w:r>
    </w:p>
    <w:p w:rsidR="00FB766D" w:rsidRPr="001C4763" w14:paraId="3E25F723" w14:textId="77777777">
      <w:pPr>
        <w:spacing w:after="0" w:line="259" w:lineRule="auto"/>
        <w:ind w:left="1080" w:firstLine="0"/>
        <w:rPr>
          <w:color w:val="auto"/>
        </w:rPr>
      </w:pPr>
      <w:r w:rsidRPr="001C4763">
        <w:rPr>
          <w:color w:val="auto"/>
        </w:rPr>
        <w:t xml:space="preserve"> </w:t>
      </w:r>
    </w:p>
    <w:p w:rsidR="00FB766D" w:rsidRPr="001C4763" w14:paraId="5186CC49" w14:textId="77777777">
      <w:pPr>
        <w:ind w:left="1075"/>
        <w:rPr>
          <w:color w:val="auto"/>
        </w:rPr>
      </w:pPr>
      <w:r w:rsidRPr="001C4763">
        <w:rPr>
          <w:color w:val="auto"/>
        </w:rPr>
        <w:t xml:space="preserve">There are no payments or gifts to partners. </w:t>
      </w:r>
    </w:p>
    <w:p w:rsidR="00FB766D" w:rsidRPr="001C4763" w14:paraId="3B57ECCE" w14:textId="77777777">
      <w:pPr>
        <w:spacing w:after="0" w:line="259" w:lineRule="auto"/>
        <w:ind w:left="720" w:firstLine="0"/>
        <w:rPr>
          <w:color w:val="auto"/>
        </w:rPr>
      </w:pPr>
      <w:r w:rsidRPr="001C4763">
        <w:rPr>
          <w:color w:val="auto"/>
        </w:rPr>
        <w:t xml:space="preserve"> </w:t>
      </w:r>
    </w:p>
    <w:p w:rsidR="00FB766D" w:rsidRPr="001C4763" w14:paraId="37245DF9" w14:textId="77777777">
      <w:pPr>
        <w:pStyle w:val="Heading1"/>
        <w:ind w:left="715"/>
        <w:rPr>
          <w:color w:val="auto"/>
        </w:rPr>
      </w:pPr>
      <w:r w:rsidRPr="001C4763">
        <w:rPr>
          <w:b w:val="0"/>
          <w:color w:val="auto"/>
          <w:u w:val="none"/>
        </w:rPr>
        <w:t xml:space="preserve">10. </w:t>
      </w:r>
      <w:r w:rsidRPr="001C4763">
        <w:rPr>
          <w:color w:val="auto"/>
        </w:rPr>
        <w:t>Confidentiality</w:t>
      </w:r>
      <w:r w:rsidRPr="001C4763">
        <w:rPr>
          <w:color w:val="auto"/>
          <w:u w:val="none"/>
        </w:rPr>
        <w:t xml:space="preserve"> </w:t>
      </w:r>
    </w:p>
    <w:p w:rsidR="00FB766D" w:rsidRPr="001C4763" w14:paraId="0935E9B5" w14:textId="77777777">
      <w:pPr>
        <w:spacing w:after="0" w:line="259" w:lineRule="auto"/>
        <w:ind w:left="1080" w:firstLine="0"/>
        <w:rPr>
          <w:color w:val="auto"/>
        </w:rPr>
      </w:pPr>
      <w:r w:rsidRPr="001C4763">
        <w:rPr>
          <w:color w:val="auto"/>
        </w:rPr>
        <w:t xml:space="preserve"> </w:t>
      </w:r>
    </w:p>
    <w:p w:rsidR="00FB766D" w:rsidRPr="001C4763" w14:paraId="74538CD5" w14:textId="77777777">
      <w:pPr>
        <w:ind w:left="1075"/>
        <w:rPr>
          <w:color w:val="auto"/>
        </w:rPr>
      </w:pPr>
      <w:r w:rsidRPr="001C4763">
        <w:rPr>
          <w:color w:val="auto"/>
        </w:rPr>
        <w:t xml:space="preserve">We pledge privacy to the extent allowed by law. The CMS Privacy Officer reviewed this collection and concluded that a System of Record (SORN) for the data systems involved in the program was not required. Information will be safeguarded in accordance with Departmental standards and National Institute of Standards and Technology (NIST) </w:t>
      </w:r>
    </w:p>
    <w:p w:rsidR="00FB766D" w:rsidRPr="001C4763" w14:paraId="444EBD8A" w14:textId="77777777">
      <w:pPr>
        <w:ind w:left="1075"/>
        <w:rPr>
          <w:color w:val="auto"/>
        </w:rPr>
      </w:pPr>
      <w:r w:rsidRPr="001C4763">
        <w:rPr>
          <w:color w:val="auto"/>
        </w:rPr>
        <w:t xml:space="preserve">Special Publication 800-53, Recommended Security Controls for Federal Information Systems and Organizations which limits access to only authorized personnel. The safeguards shall provide a level of security as required by Office of Management and Budget (OMB) Circular No. A-130 (revised), Appendix III – Security of Federal Automated Information Systems.  </w:t>
      </w:r>
    </w:p>
    <w:p w:rsidR="00FB766D" w:rsidRPr="001C4763" w14:paraId="1BCA4235" w14:textId="77777777">
      <w:pPr>
        <w:spacing w:after="0" w:line="259" w:lineRule="auto"/>
        <w:ind w:left="1080" w:firstLine="0"/>
        <w:rPr>
          <w:color w:val="auto"/>
        </w:rPr>
      </w:pPr>
      <w:r w:rsidRPr="001C4763">
        <w:rPr>
          <w:color w:val="auto"/>
        </w:rPr>
        <w:t xml:space="preserve"> </w:t>
      </w:r>
    </w:p>
    <w:p w:rsidR="00FB766D" w:rsidRPr="001C4763" w14:paraId="395AB462" w14:textId="4BF52BD6">
      <w:pPr>
        <w:ind w:left="1075"/>
        <w:rPr>
          <w:color w:val="auto"/>
        </w:rPr>
      </w:pPr>
      <w:r w:rsidRPr="001C4763">
        <w:rPr>
          <w:color w:val="auto"/>
        </w:rPr>
        <w:t xml:space="preserve">In addition to the above, although the TTP system has passed the CMS </w:t>
      </w:r>
      <w:r w:rsidRPr="001C4763" w:rsidR="00677E00">
        <w:rPr>
          <w:color w:val="auto"/>
        </w:rPr>
        <w:t xml:space="preserve">Adaptive </w:t>
      </w:r>
      <w:r w:rsidRPr="001C4763">
        <w:rPr>
          <w:color w:val="auto"/>
        </w:rPr>
        <w:t xml:space="preserve">Controls </w:t>
      </w:r>
      <w:r w:rsidRPr="001C4763" w:rsidR="00677E00">
        <w:rPr>
          <w:color w:val="auto"/>
        </w:rPr>
        <w:t>Test (ACT)</w:t>
      </w:r>
      <w:r w:rsidRPr="001C4763">
        <w:rPr>
          <w:color w:val="auto"/>
        </w:rPr>
        <w:t xml:space="preserve"> and obtained its Authority to Operate (ATO), the TTP has implemented additional controls to enhance the security posture of its system adding additional layers of protection to the Government’s already robust security framework. </w:t>
      </w:r>
    </w:p>
    <w:p w:rsidR="00FB766D" w:rsidRPr="001C4763" w14:paraId="67C6F83A" w14:textId="77777777">
      <w:pPr>
        <w:spacing w:after="0" w:line="259" w:lineRule="auto"/>
        <w:ind w:left="1080" w:firstLine="0"/>
        <w:rPr>
          <w:color w:val="auto"/>
        </w:rPr>
      </w:pPr>
      <w:r w:rsidRPr="001C4763">
        <w:rPr>
          <w:color w:val="auto"/>
        </w:rPr>
        <w:t xml:space="preserve"> </w:t>
      </w:r>
    </w:p>
    <w:p w:rsidR="00FB766D" w:rsidRPr="001C4763" w14:paraId="572DC719" w14:textId="77777777">
      <w:pPr>
        <w:pStyle w:val="Heading1"/>
        <w:ind w:left="715"/>
        <w:rPr>
          <w:color w:val="auto"/>
        </w:rPr>
      </w:pPr>
      <w:r w:rsidRPr="001C4763">
        <w:rPr>
          <w:b w:val="0"/>
          <w:color w:val="auto"/>
          <w:u w:val="none"/>
        </w:rPr>
        <w:t xml:space="preserve">11. </w:t>
      </w:r>
      <w:r w:rsidRPr="001C4763">
        <w:rPr>
          <w:color w:val="auto"/>
        </w:rPr>
        <w:t>Sensitive Questions</w:t>
      </w:r>
      <w:r w:rsidRPr="001C4763">
        <w:rPr>
          <w:b w:val="0"/>
          <w:color w:val="auto"/>
          <w:u w:val="none"/>
        </w:rPr>
        <w:t xml:space="preserve"> </w:t>
      </w:r>
    </w:p>
    <w:p w:rsidR="00FB766D" w:rsidRPr="001C4763" w14:paraId="123BF7DB" w14:textId="77777777">
      <w:pPr>
        <w:spacing w:after="0" w:line="259" w:lineRule="auto"/>
        <w:ind w:left="720" w:firstLine="0"/>
        <w:rPr>
          <w:color w:val="auto"/>
        </w:rPr>
      </w:pPr>
      <w:r w:rsidRPr="001C4763">
        <w:rPr>
          <w:color w:val="auto"/>
        </w:rPr>
        <w:t xml:space="preserve"> </w:t>
      </w:r>
      <w:r w:rsidRPr="001C4763">
        <w:rPr>
          <w:color w:val="auto"/>
        </w:rPr>
        <w:tab/>
        <w:t xml:space="preserve"> </w:t>
      </w:r>
    </w:p>
    <w:p w:rsidR="00FB766D" w:rsidRPr="001C4763" w14:paraId="21A04402" w14:textId="77777777">
      <w:pPr>
        <w:spacing w:after="0" w:line="238" w:lineRule="auto"/>
        <w:ind w:left="661" w:firstLine="0"/>
        <w:jc w:val="center"/>
        <w:rPr>
          <w:color w:val="auto"/>
        </w:rPr>
      </w:pPr>
      <w:r w:rsidRPr="001C4763">
        <w:rPr>
          <w:color w:val="auto"/>
        </w:rPr>
        <w:t xml:space="preserve">This data collection does not contain information pertaining to sex, behavior, attitude, religious beliefs or any other matters that are considered private or sensitive in nature. </w:t>
      </w:r>
    </w:p>
    <w:p w:rsidR="00FB766D" w:rsidRPr="001C4763" w14:paraId="1C5DC417" w14:textId="77777777">
      <w:pPr>
        <w:spacing w:after="0" w:line="259" w:lineRule="auto"/>
        <w:ind w:left="720" w:firstLine="0"/>
        <w:rPr>
          <w:color w:val="auto"/>
        </w:rPr>
      </w:pPr>
      <w:r w:rsidRPr="001C4763">
        <w:rPr>
          <w:color w:val="auto"/>
        </w:rPr>
        <w:t xml:space="preserve"> </w:t>
      </w:r>
    </w:p>
    <w:p w:rsidR="00FB766D" w:rsidRPr="001C4763" w14:paraId="54386525" w14:textId="5E3B2BCF">
      <w:pPr>
        <w:ind w:left="1075"/>
        <w:rPr>
          <w:color w:val="auto"/>
        </w:rPr>
      </w:pPr>
      <w:r w:rsidRPr="001C4763">
        <w:rPr>
          <w:color w:val="auto"/>
        </w:rPr>
        <w:t>The HFPP TTP information technology (IT) system and infrastructure received its</w:t>
      </w:r>
      <w:r w:rsidRPr="001C4763" w:rsidR="005536A6">
        <w:rPr>
          <w:color w:val="auto"/>
        </w:rPr>
        <w:t xml:space="preserve"> new</w:t>
      </w:r>
      <w:r w:rsidRPr="001C4763">
        <w:rPr>
          <w:color w:val="auto"/>
        </w:rPr>
        <w:t xml:space="preserve"> ATO in </w:t>
      </w:r>
      <w:r w:rsidRPr="001C4763" w:rsidR="00B277DD">
        <w:rPr>
          <w:color w:val="auto"/>
        </w:rPr>
        <w:t xml:space="preserve">May </w:t>
      </w:r>
      <w:r w:rsidRPr="001C4763">
        <w:rPr>
          <w:color w:val="auto"/>
        </w:rPr>
        <w:t>20</w:t>
      </w:r>
      <w:r w:rsidRPr="001C4763" w:rsidR="00035148">
        <w:rPr>
          <w:color w:val="auto"/>
        </w:rPr>
        <w:t>20</w:t>
      </w:r>
      <w:r w:rsidRPr="001C4763">
        <w:rPr>
          <w:color w:val="auto"/>
        </w:rPr>
        <w:t xml:space="preserve">, </w:t>
      </w:r>
      <w:r w:rsidRPr="001C4763" w:rsidR="005536A6">
        <w:rPr>
          <w:color w:val="auto"/>
        </w:rPr>
        <w:t xml:space="preserve">(the first ATO was given in September 2016), </w:t>
      </w:r>
      <w:r w:rsidRPr="001C4763">
        <w:rPr>
          <w:color w:val="auto"/>
        </w:rPr>
        <w:t xml:space="preserve">allowing it to officially accept and store data that contains both PHI and PII data on behalf of the HFPP.  The HFPP TTP infrastructure contains multiple zones segregated by layers of firewalls with intrusion detection and intrusion prevention capabilities to ensure the PHI and PII data is securely transferred, stored, and processed.  </w:t>
      </w:r>
    </w:p>
    <w:p w:rsidR="00FB766D" w:rsidRPr="001C4763" w14:paraId="128D1E87" w14:textId="77777777">
      <w:pPr>
        <w:spacing w:after="0" w:line="259" w:lineRule="auto"/>
        <w:ind w:left="1080" w:firstLine="0"/>
        <w:rPr>
          <w:color w:val="auto"/>
        </w:rPr>
      </w:pPr>
      <w:r w:rsidRPr="001C4763">
        <w:rPr>
          <w:color w:val="auto"/>
        </w:rPr>
        <w:t xml:space="preserve"> </w:t>
      </w:r>
    </w:p>
    <w:p w:rsidR="00FB766D" w:rsidRPr="001C4763" w14:paraId="4AD8CB9A" w14:textId="77777777">
      <w:pPr>
        <w:ind w:left="1075"/>
        <w:rPr>
          <w:color w:val="auto"/>
        </w:rPr>
      </w:pPr>
      <w:r w:rsidRPr="001C4763">
        <w:rPr>
          <w:color w:val="auto"/>
        </w:rPr>
        <w:t xml:space="preserve">The HFPP TTP also received its Privacy Impact Assessment (PIA) that explicitly mentions and lists the exchange of PII and PHI.   </w:t>
      </w:r>
    </w:p>
    <w:p w:rsidR="00FB766D" w:rsidRPr="001C4763" w14:paraId="7A07B360" w14:textId="77777777">
      <w:pPr>
        <w:spacing w:after="0" w:line="259" w:lineRule="auto"/>
        <w:ind w:left="1080" w:firstLine="0"/>
        <w:rPr>
          <w:color w:val="auto"/>
        </w:rPr>
      </w:pPr>
      <w:r w:rsidRPr="001C4763">
        <w:rPr>
          <w:color w:val="auto"/>
        </w:rPr>
        <w:t xml:space="preserve"> </w:t>
      </w:r>
    </w:p>
    <w:p w:rsidR="00FB766D" w:rsidRPr="001C4763" w14:paraId="14796150" w14:textId="77777777">
      <w:pPr>
        <w:ind w:left="1075"/>
        <w:rPr>
          <w:color w:val="auto"/>
        </w:rPr>
      </w:pPr>
      <w:r w:rsidRPr="001C4763">
        <w:rPr>
          <w:color w:val="auto"/>
        </w:rPr>
        <w:t xml:space="preserve">In addition, the HFPP TTP IT infrastructure is housed within a Federal Risk </w:t>
      </w:r>
    </w:p>
    <w:p w:rsidR="00FB766D" w:rsidRPr="001C4763" w14:paraId="0F970239" w14:textId="77777777">
      <w:pPr>
        <w:ind w:left="1075"/>
        <w:rPr>
          <w:color w:val="auto"/>
        </w:rPr>
      </w:pPr>
      <w:r w:rsidRPr="001C4763">
        <w:rPr>
          <w:color w:val="auto"/>
        </w:rPr>
        <w:t xml:space="preserve">Authorization Management Program (FedRAMP) compliant cloud service provider </w:t>
      </w:r>
    </w:p>
    <w:p w:rsidR="00FB766D" w:rsidRPr="001C4763" w14:paraId="2F3CF51D" w14:textId="1F0C8A41">
      <w:pPr>
        <w:ind w:left="1075"/>
        <w:rPr>
          <w:color w:val="auto"/>
        </w:rPr>
      </w:pPr>
      <w:r w:rsidRPr="001C4763">
        <w:rPr>
          <w:color w:val="auto"/>
        </w:rPr>
        <w:t xml:space="preserve">(CSP).  The CSP meets the Federal Information Security Management Act (FISMA) standard of “high”, the top level of FISMA classification and one that is used for the most mission critical government agency programs.  The HFPP solution is currently rated at FISMA Moderate, the level required for systems that store PHI or PII data. </w:t>
      </w:r>
    </w:p>
    <w:p w:rsidR="00FB766D" w:rsidRPr="001C4763" w14:paraId="50941A0C" w14:textId="77777777">
      <w:pPr>
        <w:spacing w:after="0" w:line="259" w:lineRule="auto"/>
        <w:ind w:left="1080" w:firstLine="0"/>
        <w:rPr>
          <w:color w:val="auto"/>
        </w:rPr>
      </w:pPr>
      <w:r w:rsidRPr="001C4763">
        <w:rPr>
          <w:color w:val="auto"/>
        </w:rPr>
        <w:t xml:space="preserve"> </w:t>
      </w:r>
    </w:p>
    <w:p w:rsidR="00FB766D" w:rsidRPr="001C4763" w14:paraId="5CB82742" w14:textId="77777777">
      <w:pPr>
        <w:ind w:left="1075"/>
        <w:rPr>
          <w:color w:val="auto"/>
        </w:rPr>
      </w:pPr>
      <w:r w:rsidRPr="001C4763">
        <w:rPr>
          <w:color w:val="auto"/>
        </w:rPr>
        <w:t xml:space="preserve">The TTP recognizes the challenges involved in obtaining approval to submit PHI and PII from its participating entities, but many studies and scenarios are impossible without this data.  Examples of studies requiring the use of PHI and PII include, but are not limited to: </w:t>
      </w:r>
    </w:p>
    <w:p w:rsidR="00FB766D" w:rsidRPr="001C4763" w14:paraId="1FC6F435" w14:textId="77777777">
      <w:pPr>
        <w:spacing w:after="0" w:line="259" w:lineRule="auto"/>
        <w:ind w:left="1080" w:firstLine="0"/>
        <w:rPr>
          <w:color w:val="auto"/>
        </w:rPr>
      </w:pPr>
      <w:r w:rsidRPr="001C4763">
        <w:rPr>
          <w:color w:val="auto"/>
        </w:rPr>
        <w:t xml:space="preserve"> </w:t>
      </w:r>
    </w:p>
    <w:p w:rsidR="00FB766D" w:rsidRPr="001C4763" w14:paraId="2E9357F1" w14:textId="77777777">
      <w:pPr>
        <w:numPr>
          <w:ilvl w:val="0"/>
          <w:numId w:val="3"/>
        </w:numPr>
        <w:ind w:hanging="360"/>
        <w:rPr>
          <w:color w:val="auto"/>
        </w:rPr>
      </w:pPr>
      <w:r w:rsidRPr="001C4763">
        <w:rPr>
          <w:color w:val="auto"/>
        </w:rPr>
        <w:t xml:space="preserve">Billing for services for a diagnosis code outside of provider’s taxonomy </w:t>
      </w:r>
    </w:p>
    <w:p w:rsidR="00FB766D" w:rsidRPr="001C4763" w14:paraId="65A1855A" w14:textId="77777777">
      <w:pPr>
        <w:numPr>
          <w:ilvl w:val="0"/>
          <w:numId w:val="3"/>
        </w:numPr>
        <w:ind w:hanging="360"/>
        <w:rPr>
          <w:color w:val="auto"/>
        </w:rPr>
      </w:pPr>
      <w:r w:rsidRPr="001C4763">
        <w:rPr>
          <w:color w:val="auto"/>
        </w:rPr>
        <w:t xml:space="preserve">Beneficiary sharing across group practices for same services </w:t>
      </w:r>
    </w:p>
    <w:p w:rsidR="00FB766D" w:rsidRPr="001C4763" w14:paraId="0085AE82" w14:textId="77777777">
      <w:pPr>
        <w:numPr>
          <w:ilvl w:val="0"/>
          <w:numId w:val="3"/>
        </w:numPr>
        <w:ind w:hanging="360"/>
        <w:rPr>
          <w:color w:val="auto"/>
        </w:rPr>
      </w:pPr>
      <w:r w:rsidRPr="001C4763">
        <w:rPr>
          <w:color w:val="auto"/>
        </w:rPr>
        <w:t xml:space="preserve">False store front providers using stolen identities </w:t>
      </w:r>
    </w:p>
    <w:p w:rsidR="00FB766D" w:rsidRPr="001C4763" w14:paraId="2384586B" w14:textId="77777777">
      <w:pPr>
        <w:numPr>
          <w:ilvl w:val="0"/>
          <w:numId w:val="3"/>
        </w:numPr>
        <w:ind w:hanging="360"/>
        <w:rPr>
          <w:color w:val="auto"/>
        </w:rPr>
      </w:pPr>
      <w:r w:rsidRPr="001C4763">
        <w:rPr>
          <w:color w:val="auto"/>
        </w:rPr>
        <w:t xml:space="preserve">Pharmacy prescriptions with no medical visit or no relevant diagnosis </w:t>
      </w:r>
    </w:p>
    <w:p w:rsidR="00FB766D" w:rsidRPr="001C4763" w14:paraId="2740B446" w14:textId="77777777">
      <w:pPr>
        <w:numPr>
          <w:ilvl w:val="0"/>
          <w:numId w:val="3"/>
        </w:numPr>
        <w:ind w:hanging="360"/>
        <w:rPr>
          <w:color w:val="auto"/>
        </w:rPr>
      </w:pPr>
      <w:r w:rsidRPr="001C4763">
        <w:rPr>
          <w:color w:val="auto"/>
        </w:rPr>
        <w:t xml:space="preserve">Durable Medical Equipment claims with no relevant diagnosis </w:t>
      </w:r>
    </w:p>
    <w:p w:rsidR="00FB766D" w:rsidRPr="001C4763" w14:paraId="7850B7A2" w14:textId="77777777">
      <w:pPr>
        <w:spacing w:after="0" w:line="259" w:lineRule="auto"/>
        <w:ind w:left="2160" w:firstLine="0"/>
        <w:rPr>
          <w:color w:val="auto"/>
        </w:rPr>
      </w:pPr>
      <w:r w:rsidRPr="001C4763">
        <w:rPr>
          <w:color w:val="auto"/>
        </w:rPr>
        <w:t xml:space="preserve"> </w:t>
      </w:r>
    </w:p>
    <w:p w:rsidR="00FB766D" w:rsidRPr="001C4763" w14:paraId="4BA1AE03" w14:textId="77777777">
      <w:pPr>
        <w:ind w:left="1075"/>
        <w:rPr>
          <w:color w:val="auto"/>
        </w:rPr>
      </w:pPr>
      <w:r w:rsidRPr="001C4763">
        <w:rPr>
          <w:color w:val="auto"/>
        </w:rPr>
        <w:t xml:space="preserve">The TTP is prepared to collect a myriad of data points from the partners’ claims data including, but not limited to: </w:t>
      </w:r>
    </w:p>
    <w:p w:rsidR="00FB766D" w:rsidRPr="001C4763" w14:paraId="149D7765" w14:textId="77777777">
      <w:pPr>
        <w:spacing w:after="0" w:line="259" w:lineRule="auto"/>
        <w:ind w:left="1080" w:firstLine="0"/>
        <w:rPr>
          <w:color w:val="auto"/>
        </w:rPr>
      </w:pPr>
      <w:r w:rsidRPr="001C4763">
        <w:rPr>
          <w:color w:val="auto"/>
        </w:rPr>
        <w:t xml:space="preserve"> </w:t>
      </w:r>
    </w:p>
    <w:p w:rsidR="00FB766D" w:rsidRPr="001C4763" w14:paraId="77FA0A0C" w14:textId="77777777">
      <w:pPr>
        <w:numPr>
          <w:ilvl w:val="0"/>
          <w:numId w:val="3"/>
        </w:numPr>
        <w:ind w:hanging="360"/>
        <w:rPr>
          <w:color w:val="auto"/>
        </w:rPr>
      </w:pPr>
      <w:r w:rsidRPr="001C4763">
        <w:rPr>
          <w:color w:val="auto"/>
        </w:rPr>
        <w:t xml:space="preserve">Member Social Security Number (SSN) </w:t>
      </w:r>
    </w:p>
    <w:p w:rsidR="00FB766D" w:rsidRPr="001C4763" w14:paraId="61CC7B19" w14:textId="77777777">
      <w:pPr>
        <w:numPr>
          <w:ilvl w:val="0"/>
          <w:numId w:val="3"/>
        </w:numPr>
        <w:ind w:hanging="360"/>
        <w:rPr>
          <w:color w:val="auto"/>
        </w:rPr>
      </w:pPr>
      <w:r w:rsidRPr="001C4763">
        <w:rPr>
          <w:color w:val="auto"/>
        </w:rPr>
        <w:t xml:space="preserve">Member Data of Birth </w:t>
      </w:r>
    </w:p>
    <w:p w:rsidR="00FB766D" w:rsidRPr="001C4763" w14:paraId="7C9B460B" w14:textId="77777777">
      <w:pPr>
        <w:numPr>
          <w:ilvl w:val="0"/>
          <w:numId w:val="3"/>
        </w:numPr>
        <w:ind w:hanging="360"/>
        <w:rPr>
          <w:color w:val="auto"/>
        </w:rPr>
      </w:pPr>
      <w:r w:rsidRPr="001C4763">
        <w:rPr>
          <w:color w:val="auto"/>
        </w:rPr>
        <w:t xml:space="preserve">Member State </w:t>
      </w:r>
    </w:p>
    <w:p w:rsidR="00FB766D" w:rsidRPr="001C4763" w14:paraId="6BDB1DA3" w14:textId="77777777">
      <w:pPr>
        <w:numPr>
          <w:ilvl w:val="0"/>
          <w:numId w:val="3"/>
        </w:numPr>
        <w:ind w:hanging="360"/>
        <w:rPr>
          <w:color w:val="auto"/>
        </w:rPr>
      </w:pPr>
      <w:r w:rsidRPr="001C4763">
        <w:rPr>
          <w:color w:val="auto"/>
        </w:rPr>
        <w:t xml:space="preserve">Member Zip Code </w:t>
      </w:r>
    </w:p>
    <w:p w:rsidR="00FB766D" w:rsidRPr="001C4763" w14:paraId="500CE9FA" w14:textId="77777777">
      <w:pPr>
        <w:numPr>
          <w:ilvl w:val="0"/>
          <w:numId w:val="3"/>
        </w:numPr>
        <w:ind w:hanging="360"/>
        <w:rPr>
          <w:color w:val="auto"/>
        </w:rPr>
      </w:pPr>
      <w:r w:rsidRPr="001C4763">
        <w:rPr>
          <w:color w:val="auto"/>
        </w:rPr>
        <w:t xml:space="preserve">Member Date of Death </w:t>
      </w:r>
    </w:p>
    <w:p w:rsidR="00FB766D" w:rsidRPr="001C4763" w14:paraId="1A790E17" w14:textId="77777777">
      <w:pPr>
        <w:spacing w:after="0" w:line="259" w:lineRule="auto"/>
        <w:ind w:left="2160" w:firstLine="0"/>
        <w:rPr>
          <w:color w:val="auto"/>
        </w:rPr>
      </w:pPr>
      <w:r w:rsidRPr="001C4763">
        <w:rPr>
          <w:color w:val="auto"/>
        </w:rPr>
        <w:t xml:space="preserve"> </w:t>
      </w:r>
    </w:p>
    <w:p w:rsidR="00FB766D" w:rsidRPr="001C4763" w14:paraId="311E3BE8" w14:textId="1C1031BE">
      <w:pPr>
        <w:ind w:left="1075"/>
        <w:rPr>
          <w:color w:val="auto"/>
        </w:rPr>
      </w:pPr>
      <w:r w:rsidRPr="001C4763">
        <w:rPr>
          <w:color w:val="auto"/>
        </w:rPr>
        <w:t>Because the TTP will not have the member’s name or address anywhere in the data, the only option available to identify individuals across payers is to use the Social Security Number (SSN).  Due to the sensitivity of SSNs, the TTP will use a one-way hashing technique that will generate a 32</w:t>
      </w:r>
      <w:r w:rsidRPr="001C4763" w:rsidR="00831461">
        <w:rPr>
          <w:color w:val="auto"/>
        </w:rPr>
        <w:t>-</w:t>
      </w:r>
      <w:r w:rsidRPr="001C4763">
        <w:rPr>
          <w:color w:val="auto"/>
        </w:rPr>
        <w:t xml:space="preserve">character alphanumeric string to use as a unique HFPP Identification (ID) number. The hashing technique transforms the SSN in such a way that it is virtually impossible to reconstruct the original number from the HFPP ID. This approach eliminates the need to retain the SSN after initial processing yet allows the TTP to identify an individual, not a person, who is being billed under two or more payers. Combined with the other transformations of the input claims record, there will be no need for PII to be stored for processing. </w:t>
      </w:r>
    </w:p>
    <w:p w:rsidR="00FB766D" w:rsidRPr="001C4763" w14:paraId="6FED0BEB" w14:textId="77777777">
      <w:pPr>
        <w:spacing w:after="0" w:line="259" w:lineRule="auto"/>
        <w:ind w:left="1080" w:firstLine="0"/>
        <w:rPr>
          <w:color w:val="auto"/>
        </w:rPr>
      </w:pPr>
      <w:r w:rsidRPr="001C4763">
        <w:rPr>
          <w:color w:val="auto"/>
        </w:rPr>
        <w:t xml:space="preserve"> </w:t>
      </w:r>
    </w:p>
    <w:p w:rsidR="00FB766D" w:rsidRPr="001C4763" w14:paraId="73EF3200" w14:textId="42E32BDE">
      <w:pPr>
        <w:pStyle w:val="Heading1"/>
        <w:ind w:left="715"/>
        <w:rPr>
          <w:color w:val="auto"/>
        </w:rPr>
      </w:pPr>
      <w:r w:rsidRPr="001C4763">
        <w:rPr>
          <w:b w:val="0"/>
          <w:color w:val="auto"/>
          <w:u w:val="none"/>
        </w:rPr>
        <w:t xml:space="preserve">12. </w:t>
      </w:r>
      <w:r w:rsidRPr="001C4763">
        <w:rPr>
          <w:color w:val="auto"/>
        </w:rPr>
        <w:t>Burden Estimate</w:t>
      </w:r>
      <w:r w:rsidRPr="001C4763" w:rsidR="00464128">
        <w:rPr>
          <w:color w:val="auto"/>
        </w:rPr>
        <w:t xml:space="preserve">s </w:t>
      </w:r>
      <w:r w:rsidRPr="001C4763">
        <w:rPr>
          <w:color w:val="auto"/>
          <w:u w:val="none"/>
        </w:rPr>
        <w:t xml:space="preserve">  </w:t>
      </w:r>
    </w:p>
    <w:p w:rsidR="00FB766D" w:rsidRPr="001C4763" w14:paraId="3A5E1F1D" w14:textId="77777777">
      <w:pPr>
        <w:spacing w:after="0" w:line="259" w:lineRule="auto"/>
        <w:ind w:left="360" w:firstLine="0"/>
        <w:rPr>
          <w:color w:val="auto"/>
        </w:rPr>
      </w:pPr>
      <w:r w:rsidRPr="001C4763">
        <w:rPr>
          <w:color w:val="auto"/>
        </w:rPr>
        <w:t xml:space="preserve"> </w:t>
      </w:r>
    </w:p>
    <w:p w:rsidR="00FB766D" w:rsidRPr="001C4763" w14:paraId="47DC71C7" w14:textId="6EE65C01">
      <w:pPr>
        <w:ind w:left="1075"/>
        <w:rPr>
          <w:color w:val="auto"/>
        </w:rPr>
      </w:pPr>
      <w:r w:rsidRPr="001C4763">
        <w:rPr>
          <w:color w:val="auto"/>
        </w:rPr>
        <w:t xml:space="preserve">The burden estimate for this PRA package is based on the amount of time it will take for Partners to submit data for and participate in HFPP cross-payer studies. </w:t>
      </w:r>
      <w:r w:rsidRPr="001C4763" w:rsidR="00F129B2">
        <w:rPr>
          <w:color w:val="auto"/>
        </w:rPr>
        <w:t xml:space="preserve">CMS expects to </w:t>
      </w:r>
      <w:r w:rsidRPr="001C4763" w:rsidR="00F129B2">
        <w:rPr>
          <w:color w:val="auto"/>
        </w:rPr>
        <w:t>implement various studies for the HFPP over the course of the 3-year approval.  Ea</w:t>
      </w:r>
      <w:r w:rsidRPr="001C4763" w:rsidR="0025459C">
        <w:rPr>
          <w:color w:val="auto"/>
        </w:rPr>
        <w:t xml:space="preserve">ch HFPP partner </w:t>
      </w:r>
      <w:r w:rsidRPr="001C4763" w:rsidR="00F129B2">
        <w:rPr>
          <w:color w:val="auto"/>
        </w:rPr>
        <w:t xml:space="preserve">will voluntarily participate in the studies that are pertinent and effective in detecting fraud, waste, and abuse within its organization.  </w:t>
      </w:r>
      <w:r w:rsidRPr="001C4763" w:rsidR="00985DEA">
        <w:rPr>
          <w:color w:val="auto"/>
        </w:rPr>
        <w:t xml:space="preserve">It is noted that not all partners are data-sharing partners; only those who own their data and agree to share data are included in the studies. </w:t>
      </w:r>
      <w:r w:rsidRPr="001C4763" w:rsidR="0025459C">
        <w:rPr>
          <w:color w:val="auto"/>
        </w:rPr>
        <w:t xml:space="preserve">It is also estimated that approximately </w:t>
      </w:r>
      <w:r w:rsidRPr="001C4763" w:rsidR="00C76BF5">
        <w:rPr>
          <w:color w:val="auto"/>
        </w:rPr>
        <w:t>six</w:t>
      </w:r>
      <w:r w:rsidRPr="001C4763" w:rsidR="003D442F">
        <w:rPr>
          <w:color w:val="auto"/>
        </w:rPr>
        <w:t xml:space="preserve"> </w:t>
      </w:r>
      <w:r w:rsidRPr="001C4763" w:rsidR="0025459C">
        <w:rPr>
          <w:color w:val="auto"/>
        </w:rPr>
        <w:t>(</w:t>
      </w:r>
      <w:r w:rsidRPr="001C4763" w:rsidR="00C76BF5">
        <w:rPr>
          <w:color w:val="auto"/>
        </w:rPr>
        <w:t>6</w:t>
      </w:r>
      <w:r w:rsidRPr="001C4763" w:rsidR="0025459C">
        <w:rPr>
          <w:color w:val="auto"/>
        </w:rPr>
        <w:t>)</w:t>
      </w:r>
      <w:r w:rsidRPr="001C4763" w:rsidR="0025459C">
        <w:rPr>
          <w:color w:val="auto"/>
          <w:szCs w:val="24"/>
        </w:rPr>
        <w:t xml:space="preserve"> </w:t>
      </w:r>
      <w:r w:rsidRPr="001C4763" w:rsidR="00FD44FB">
        <w:rPr>
          <w:color w:val="auto"/>
          <w:szCs w:val="24"/>
        </w:rPr>
        <w:t xml:space="preserve">to </w:t>
      </w:r>
      <w:r w:rsidRPr="001C4763" w:rsidR="006D6714">
        <w:rPr>
          <w:color w:val="auto"/>
          <w:szCs w:val="24"/>
        </w:rPr>
        <w:t xml:space="preserve">twelve </w:t>
      </w:r>
      <w:r w:rsidRPr="001C4763" w:rsidR="00FD44FB">
        <w:rPr>
          <w:color w:val="auto"/>
          <w:szCs w:val="24"/>
        </w:rPr>
        <w:t>(</w:t>
      </w:r>
      <w:r w:rsidRPr="001C4763" w:rsidR="003D442F">
        <w:rPr>
          <w:color w:val="auto"/>
          <w:szCs w:val="24"/>
        </w:rPr>
        <w:t>1</w:t>
      </w:r>
      <w:r w:rsidRPr="001C4763" w:rsidR="006D6714">
        <w:rPr>
          <w:color w:val="auto"/>
          <w:szCs w:val="24"/>
        </w:rPr>
        <w:t>2</w:t>
      </w:r>
      <w:r w:rsidRPr="001C4763" w:rsidR="00FD44FB">
        <w:rPr>
          <w:color w:val="auto"/>
          <w:szCs w:val="24"/>
        </w:rPr>
        <w:t xml:space="preserve">) new </w:t>
      </w:r>
      <w:r w:rsidRPr="001C4763" w:rsidR="00C76BF5">
        <w:rPr>
          <w:color w:val="auto"/>
          <w:szCs w:val="24"/>
        </w:rPr>
        <w:t xml:space="preserve">or reiteration of </w:t>
      </w:r>
      <w:r w:rsidRPr="001C4763" w:rsidR="0025459C">
        <w:rPr>
          <w:color w:val="auto"/>
          <w:szCs w:val="24"/>
        </w:rPr>
        <w:t>s</w:t>
      </w:r>
      <w:r w:rsidRPr="001C4763" w:rsidR="0025459C">
        <w:rPr>
          <w:color w:val="auto"/>
          <w:spacing w:val="1"/>
          <w:szCs w:val="24"/>
        </w:rPr>
        <w:t>t</w:t>
      </w:r>
      <w:r w:rsidRPr="001C4763" w:rsidR="0025459C">
        <w:rPr>
          <w:color w:val="auto"/>
          <w:szCs w:val="24"/>
        </w:rPr>
        <w:t xml:space="preserve">udies will be </w:t>
      </w:r>
      <w:r w:rsidRPr="001C4763" w:rsidR="0025459C">
        <w:rPr>
          <w:color w:val="auto"/>
          <w:spacing w:val="-1"/>
          <w:szCs w:val="24"/>
        </w:rPr>
        <w:t>c</w:t>
      </w:r>
      <w:r w:rsidRPr="001C4763" w:rsidR="0025459C">
        <w:rPr>
          <w:color w:val="auto"/>
          <w:szCs w:val="24"/>
        </w:rPr>
        <w:t>ondu</w:t>
      </w:r>
      <w:r w:rsidRPr="001C4763" w:rsidR="0025459C">
        <w:rPr>
          <w:color w:val="auto"/>
          <w:spacing w:val="-1"/>
          <w:szCs w:val="24"/>
        </w:rPr>
        <w:t>c</w:t>
      </w:r>
      <w:r w:rsidRPr="001C4763" w:rsidR="0025459C">
        <w:rPr>
          <w:color w:val="auto"/>
          <w:szCs w:val="24"/>
        </w:rPr>
        <w:t>ted p</w:t>
      </w:r>
      <w:r w:rsidRPr="001C4763" w:rsidR="0025459C">
        <w:rPr>
          <w:color w:val="auto"/>
          <w:spacing w:val="-1"/>
          <w:szCs w:val="24"/>
        </w:rPr>
        <w:t>e</w:t>
      </w:r>
      <w:r w:rsidRPr="001C4763" w:rsidR="0025459C">
        <w:rPr>
          <w:color w:val="auto"/>
          <w:szCs w:val="24"/>
        </w:rPr>
        <w:t>r</w:t>
      </w:r>
      <w:r w:rsidRPr="001C4763" w:rsidR="0025459C">
        <w:rPr>
          <w:color w:val="auto"/>
          <w:spacing w:val="4"/>
          <w:szCs w:val="24"/>
        </w:rPr>
        <w:t xml:space="preserve"> </w:t>
      </w:r>
      <w:r w:rsidRPr="001C4763" w:rsidR="0025459C">
        <w:rPr>
          <w:color w:val="auto"/>
          <w:spacing w:val="-5"/>
          <w:szCs w:val="24"/>
        </w:rPr>
        <w:t>y</w:t>
      </w:r>
      <w:r w:rsidRPr="001C4763" w:rsidR="0025459C">
        <w:rPr>
          <w:color w:val="auto"/>
          <w:spacing w:val="1"/>
          <w:szCs w:val="24"/>
        </w:rPr>
        <w:t>e</w:t>
      </w:r>
      <w:r w:rsidRPr="001C4763" w:rsidR="0025459C">
        <w:rPr>
          <w:color w:val="auto"/>
          <w:spacing w:val="-1"/>
          <w:szCs w:val="24"/>
        </w:rPr>
        <w:t>a</w:t>
      </w:r>
      <w:r w:rsidRPr="001C4763" w:rsidR="0025459C">
        <w:rPr>
          <w:color w:val="auto"/>
          <w:szCs w:val="24"/>
        </w:rPr>
        <w:t xml:space="preserve">r. </w:t>
      </w:r>
    </w:p>
    <w:p w:rsidR="00FB766D" w:rsidRPr="001C4763" w14:paraId="6F05BBC0" w14:textId="77777777">
      <w:pPr>
        <w:spacing w:after="0" w:line="259" w:lineRule="auto"/>
        <w:ind w:left="1080" w:firstLine="0"/>
        <w:rPr>
          <w:color w:val="auto"/>
        </w:rPr>
      </w:pPr>
      <w:r w:rsidRPr="001C4763">
        <w:rPr>
          <w:color w:val="auto"/>
        </w:rPr>
        <w:t xml:space="preserve"> </w:t>
      </w:r>
    </w:p>
    <w:p w:rsidR="00FB766D" w:rsidRPr="001C4763" w14:paraId="1C64403C" w14:textId="5F084B08">
      <w:pPr>
        <w:ind w:left="1075"/>
        <w:rPr>
          <w:color w:val="auto"/>
        </w:rPr>
      </w:pPr>
      <w:r w:rsidRPr="001C4763">
        <w:rPr>
          <w:color w:val="auto"/>
        </w:rPr>
        <w:t xml:space="preserve">Participating partners are requested to </w:t>
      </w:r>
      <w:r w:rsidRPr="001C4763" w:rsidR="00893FF9">
        <w:rPr>
          <w:color w:val="auto"/>
        </w:rPr>
        <w:t xml:space="preserve">submit </w:t>
      </w:r>
      <w:r w:rsidRPr="001C4763">
        <w:rPr>
          <w:color w:val="auto"/>
        </w:rPr>
        <w:t xml:space="preserve">an </w:t>
      </w:r>
      <w:r w:rsidRPr="001C4763" w:rsidR="00893FF9">
        <w:rPr>
          <w:color w:val="auto"/>
        </w:rPr>
        <w:t>original two</w:t>
      </w:r>
      <w:r w:rsidRPr="001C4763">
        <w:rPr>
          <w:color w:val="auto"/>
        </w:rPr>
        <w:t>-</w:t>
      </w:r>
      <w:r w:rsidRPr="001C4763" w:rsidR="00893FF9">
        <w:rPr>
          <w:color w:val="auto"/>
        </w:rPr>
        <w:t xml:space="preserve">year data set using the data elements shown in </w:t>
      </w:r>
      <w:r w:rsidRPr="001C4763" w:rsidR="001E6593">
        <w:rPr>
          <w:color w:val="auto"/>
        </w:rPr>
        <w:t>Appendix B</w:t>
      </w:r>
      <w:r w:rsidRPr="001C4763" w:rsidR="008A639C">
        <w:rPr>
          <w:color w:val="auto"/>
        </w:rPr>
        <w:t xml:space="preserve"> for professional data and </w:t>
      </w:r>
      <w:r w:rsidRPr="001C4763" w:rsidR="004C47CC">
        <w:rPr>
          <w:color w:val="auto"/>
        </w:rPr>
        <w:t>institutional data, thru the Secure File</w:t>
      </w:r>
      <w:r w:rsidRPr="001C4763" w:rsidR="006F2115">
        <w:rPr>
          <w:color w:val="auto"/>
        </w:rPr>
        <w:t xml:space="preserve"> Transfer Protocol (SFTP) server which ensures the data is securely transferred using a private and safe data stream</w:t>
      </w:r>
      <w:r w:rsidRPr="001C4763" w:rsidR="004C47CC">
        <w:rPr>
          <w:color w:val="auto"/>
        </w:rPr>
        <w:t>.</w:t>
      </w:r>
      <w:r w:rsidRPr="001C4763" w:rsidR="00893FF9">
        <w:rPr>
          <w:color w:val="auto"/>
        </w:rPr>
        <w:t xml:space="preserve"> After receipt of the </w:t>
      </w:r>
      <w:r w:rsidRPr="001C4763" w:rsidR="00067FC5">
        <w:rPr>
          <w:color w:val="auto"/>
        </w:rPr>
        <w:t xml:space="preserve">original </w:t>
      </w:r>
      <w:r w:rsidRPr="001C4763" w:rsidR="001354EF">
        <w:rPr>
          <w:color w:val="auto"/>
        </w:rPr>
        <w:t>two-</w:t>
      </w:r>
      <w:r w:rsidRPr="001C4763" w:rsidR="00893FF9">
        <w:rPr>
          <w:color w:val="auto"/>
        </w:rPr>
        <w:t xml:space="preserve">year data set, </w:t>
      </w:r>
      <w:r w:rsidRPr="001C4763" w:rsidR="006D1BA6">
        <w:rPr>
          <w:color w:val="auto"/>
        </w:rPr>
        <w:t xml:space="preserve">participating partners </w:t>
      </w:r>
      <w:r w:rsidRPr="001C4763" w:rsidR="00893FF9">
        <w:rPr>
          <w:color w:val="auto"/>
        </w:rPr>
        <w:t xml:space="preserve">will then submit refreshed </w:t>
      </w:r>
      <w:r w:rsidRPr="001C4763" w:rsidR="00ED5D28">
        <w:rPr>
          <w:color w:val="auto"/>
        </w:rPr>
        <w:t xml:space="preserve">data </w:t>
      </w:r>
      <w:r w:rsidRPr="001C4763" w:rsidR="00792497">
        <w:rPr>
          <w:color w:val="auto"/>
        </w:rPr>
        <w:t xml:space="preserve">in </w:t>
      </w:r>
      <w:r w:rsidRPr="001C4763" w:rsidR="006D1BA6">
        <w:rPr>
          <w:color w:val="auto"/>
        </w:rPr>
        <w:t xml:space="preserve">a periodic fashion (e.g., </w:t>
      </w:r>
      <w:r w:rsidRPr="001C4763" w:rsidR="00ED5D28">
        <w:rPr>
          <w:color w:val="auto"/>
        </w:rPr>
        <w:t>monthly, quarterly, bi-</w:t>
      </w:r>
      <w:r w:rsidRPr="001C4763" w:rsidR="00792497">
        <w:rPr>
          <w:color w:val="auto"/>
        </w:rPr>
        <w:t>yearly</w:t>
      </w:r>
      <w:r w:rsidRPr="001C4763" w:rsidR="006D1BA6">
        <w:rPr>
          <w:color w:val="auto"/>
        </w:rPr>
        <w:t>)</w:t>
      </w:r>
      <w:r w:rsidRPr="001C4763" w:rsidR="00893FF9">
        <w:rPr>
          <w:color w:val="auto"/>
        </w:rPr>
        <w:t xml:space="preserve"> using the same data elements format they agreed upon with the TTP</w:t>
      </w:r>
      <w:r w:rsidRPr="001C4763" w:rsidR="006D1BA6">
        <w:rPr>
          <w:color w:val="auto"/>
        </w:rPr>
        <w:t xml:space="preserve">. (For purposes of this burden estimate, </w:t>
      </w:r>
      <w:r w:rsidRPr="001C4763" w:rsidR="00792497">
        <w:rPr>
          <w:color w:val="auto"/>
        </w:rPr>
        <w:t xml:space="preserve">we have chosen to reflect the estimates of burden in a </w:t>
      </w:r>
      <w:r w:rsidRPr="001C4763" w:rsidR="00F129B2">
        <w:rPr>
          <w:color w:val="auto"/>
        </w:rPr>
        <w:t>monthly format.</w:t>
      </w:r>
      <w:r w:rsidRPr="001C4763" w:rsidR="006D1BA6">
        <w:rPr>
          <w:color w:val="auto"/>
        </w:rPr>
        <w:t>)</w:t>
      </w:r>
      <w:r w:rsidRPr="001C4763" w:rsidR="00F129B2">
        <w:rPr>
          <w:color w:val="auto"/>
        </w:rPr>
        <w:t xml:space="preserve">  Participating entities will acquire an average annual burden of </w:t>
      </w:r>
      <w:r w:rsidRPr="001C4763" w:rsidR="009354D9">
        <w:rPr>
          <w:color w:val="auto"/>
        </w:rPr>
        <w:t xml:space="preserve">128 </w:t>
      </w:r>
      <w:r w:rsidRPr="001C4763" w:rsidR="00F129B2">
        <w:rPr>
          <w:color w:val="auto"/>
        </w:rPr>
        <w:t xml:space="preserve">hours of partner engagement and support based on an initial </w:t>
      </w:r>
      <w:r w:rsidRPr="001C4763" w:rsidR="00445E01">
        <w:rPr>
          <w:color w:val="auto"/>
        </w:rPr>
        <w:t>two-year</w:t>
      </w:r>
      <w:r w:rsidRPr="001C4763" w:rsidR="00F129B2">
        <w:rPr>
          <w:color w:val="auto"/>
        </w:rPr>
        <w:t xml:space="preserve"> data pull followed by a monthly submission. The </w:t>
      </w:r>
      <w:r w:rsidRPr="001C4763" w:rsidR="00F129B2">
        <w:rPr>
          <w:i/>
          <w:color w:val="auto"/>
        </w:rPr>
        <w:t>initial data pull</w:t>
      </w:r>
      <w:r w:rsidRPr="001C4763" w:rsidR="00F129B2">
        <w:rPr>
          <w:color w:val="auto"/>
        </w:rPr>
        <w:t xml:space="preserve"> will take </w:t>
      </w:r>
      <w:r w:rsidRPr="001C4763" w:rsidR="00F45D8E">
        <w:rPr>
          <w:color w:val="auto"/>
        </w:rPr>
        <w:t xml:space="preserve">96 </w:t>
      </w:r>
      <w:r w:rsidRPr="001C4763" w:rsidR="00F129B2">
        <w:rPr>
          <w:color w:val="auto"/>
        </w:rPr>
        <w:t xml:space="preserve">hours for year 1 </w:t>
      </w:r>
      <w:r w:rsidRPr="001C4763" w:rsidR="00067FC5">
        <w:rPr>
          <w:color w:val="auto"/>
        </w:rPr>
        <w:t>(</w:t>
      </w:r>
      <w:r w:rsidRPr="001C4763" w:rsidR="00F129B2">
        <w:rPr>
          <w:color w:val="auto"/>
        </w:rPr>
        <w:t xml:space="preserve">no burden hours </w:t>
      </w:r>
      <w:r w:rsidRPr="001C4763" w:rsidR="00067FC5">
        <w:rPr>
          <w:color w:val="auto"/>
        </w:rPr>
        <w:t xml:space="preserve">are </w:t>
      </w:r>
      <w:r w:rsidRPr="001C4763" w:rsidR="00F129B2">
        <w:rPr>
          <w:color w:val="auto"/>
        </w:rPr>
        <w:t xml:space="preserve">associated with years 2 and 3 </w:t>
      </w:r>
      <w:r w:rsidRPr="001C4763" w:rsidR="00067FC5">
        <w:rPr>
          <w:color w:val="auto"/>
        </w:rPr>
        <w:t>as the initial data pull is done in the first year only); th</w:t>
      </w:r>
      <w:r w:rsidRPr="001C4763" w:rsidR="009400F6">
        <w:rPr>
          <w:color w:val="auto"/>
        </w:rPr>
        <w:t>e</w:t>
      </w:r>
      <w:r w:rsidRPr="001C4763" w:rsidR="00067FC5">
        <w:rPr>
          <w:color w:val="auto"/>
        </w:rPr>
        <w:t xml:space="preserve"> 96 hours for year 1 </w:t>
      </w:r>
      <w:r w:rsidRPr="001C4763" w:rsidR="007C7B92">
        <w:rPr>
          <w:color w:val="auto"/>
        </w:rPr>
        <w:t xml:space="preserve">(initial data pull) </w:t>
      </w:r>
      <w:r w:rsidRPr="001C4763" w:rsidR="00067FC5">
        <w:rPr>
          <w:color w:val="auto"/>
        </w:rPr>
        <w:t xml:space="preserve">equates to 32 hours annually over a </w:t>
      </w:r>
      <w:r w:rsidRPr="001C4763" w:rsidR="00445E01">
        <w:rPr>
          <w:color w:val="auto"/>
        </w:rPr>
        <w:t>three-year</w:t>
      </w:r>
      <w:r w:rsidRPr="001C4763" w:rsidR="00067FC5">
        <w:rPr>
          <w:color w:val="auto"/>
        </w:rPr>
        <w:t xml:space="preserve"> period.</w:t>
      </w:r>
      <w:r w:rsidRPr="001C4763" w:rsidR="00F129B2">
        <w:rPr>
          <w:color w:val="auto"/>
        </w:rPr>
        <w:t xml:space="preserve"> The </w:t>
      </w:r>
      <w:r w:rsidRPr="001C4763" w:rsidR="00067FC5">
        <w:rPr>
          <w:color w:val="auto"/>
        </w:rPr>
        <w:t xml:space="preserve">average annual </w:t>
      </w:r>
      <w:r w:rsidRPr="001C4763" w:rsidR="00F129B2">
        <w:rPr>
          <w:color w:val="auto"/>
        </w:rPr>
        <w:t xml:space="preserve">burden hours for </w:t>
      </w:r>
      <w:r w:rsidRPr="001C4763" w:rsidR="00F129B2">
        <w:rPr>
          <w:i/>
          <w:color w:val="auto"/>
        </w:rPr>
        <w:t>monthly submissions</w:t>
      </w:r>
      <w:r w:rsidRPr="001C4763" w:rsidR="00F129B2">
        <w:rPr>
          <w:color w:val="auto"/>
        </w:rPr>
        <w:t xml:space="preserve"> will be approximately </w:t>
      </w:r>
      <w:r w:rsidRPr="001C4763" w:rsidR="00BF4387">
        <w:rPr>
          <w:color w:val="auto"/>
        </w:rPr>
        <w:t xml:space="preserve">96 </w:t>
      </w:r>
      <w:r w:rsidRPr="001C4763" w:rsidR="00F129B2">
        <w:rPr>
          <w:color w:val="auto"/>
        </w:rPr>
        <w:t xml:space="preserve">hours per year (Years 1, 2, and 3 </w:t>
      </w:r>
      <w:r w:rsidRPr="001C4763" w:rsidR="007C7B92">
        <w:rPr>
          <w:color w:val="auto"/>
        </w:rPr>
        <w:t>at 96 hours per year equates to</w:t>
      </w:r>
      <w:r w:rsidRPr="001C4763" w:rsidR="00F129B2">
        <w:rPr>
          <w:color w:val="auto"/>
        </w:rPr>
        <w:t xml:space="preserve"> a total of </w:t>
      </w:r>
      <w:r w:rsidRPr="001C4763" w:rsidR="00BF4387">
        <w:rPr>
          <w:color w:val="auto"/>
        </w:rPr>
        <w:t xml:space="preserve">288 </w:t>
      </w:r>
      <w:r w:rsidRPr="001C4763" w:rsidR="00F129B2">
        <w:rPr>
          <w:color w:val="auto"/>
        </w:rPr>
        <w:t>hours</w:t>
      </w:r>
      <w:r w:rsidRPr="001C4763" w:rsidR="007C7B92">
        <w:rPr>
          <w:color w:val="auto"/>
        </w:rPr>
        <w:t xml:space="preserve"> over the three-year period</w:t>
      </w:r>
      <w:r w:rsidRPr="001C4763" w:rsidR="00F129B2">
        <w:rPr>
          <w:color w:val="auto"/>
        </w:rPr>
        <w:t>). This includes burden hours necessary for data extract, quality assurance, definition resolution, and information/data transmission over the 3</w:t>
      </w:r>
      <w:r w:rsidRPr="001C4763" w:rsidR="00831461">
        <w:rPr>
          <w:color w:val="auto"/>
        </w:rPr>
        <w:t>-</w:t>
      </w:r>
      <w:r w:rsidRPr="001C4763" w:rsidR="00F129B2">
        <w:rPr>
          <w:color w:val="auto"/>
        </w:rPr>
        <w:t xml:space="preserve">year period. </w:t>
      </w:r>
      <w:r w:rsidRPr="001C4763" w:rsidR="006D1BA6">
        <w:rPr>
          <w:color w:val="auto"/>
        </w:rPr>
        <w:t>(Note that p</w:t>
      </w:r>
      <w:r w:rsidRPr="001C4763" w:rsidR="00F129B2">
        <w:rPr>
          <w:color w:val="auto"/>
        </w:rPr>
        <w:t xml:space="preserve">articipating state partners </w:t>
      </w:r>
      <w:r w:rsidRPr="001C4763" w:rsidR="006D1BA6">
        <w:rPr>
          <w:color w:val="auto"/>
        </w:rPr>
        <w:t xml:space="preserve">are estimated to have </w:t>
      </w:r>
      <w:r w:rsidRPr="001C4763" w:rsidR="00F129B2">
        <w:rPr>
          <w:color w:val="auto"/>
        </w:rPr>
        <w:t>an annual burden of 0 hours</w:t>
      </w:r>
      <w:r w:rsidRPr="001C4763" w:rsidR="006D1BA6">
        <w:rPr>
          <w:color w:val="auto"/>
        </w:rPr>
        <w:t xml:space="preserve">, as </w:t>
      </w:r>
      <w:r w:rsidRPr="001C4763" w:rsidR="00071C68">
        <w:rPr>
          <w:color w:val="auto"/>
        </w:rPr>
        <w:t xml:space="preserve">the TTP has access </w:t>
      </w:r>
      <w:r w:rsidRPr="001C4763" w:rsidR="008052E0">
        <w:rPr>
          <w:color w:val="auto"/>
        </w:rPr>
        <w:t xml:space="preserve">to </w:t>
      </w:r>
      <w:r w:rsidRPr="001C4763" w:rsidR="00071C68">
        <w:rPr>
          <w:color w:val="auto"/>
        </w:rPr>
        <w:t>and pull</w:t>
      </w:r>
      <w:r w:rsidRPr="001C4763" w:rsidR="008052E0">
        <w:rPr>
          <w:color w:val="auto"/>
        </w:rPr>
        <w:t>s state</w:t>
      </w:r>
      <w:r w:rsidRPr="001C4763" w:rsidR="00071C68">
        <w:rPr>
          <w:color w:val="auto"/>
        </w:rPr>
        <w:t xml:space="preserve"> data through the State Transformed Medicaid Statistical Information System (T-MSIS).</w:t>
      </w:r>
      <w:r>
        <w:rPr>
          <w:rStyle w:val="FootnoteReference"/>
          <w:color w:val="auto"/>
        </w:rPr>
        <w:footnoteReference w:id="2"/>
      </w:r>
      <w:r w:rsidRPr="001C4763" w:rsidR="00F129B2">
        <w:rPr>
          <w:color w:val="auto"/>
        </w:rPr>
        <w:t xml:space="preserve"> </w:t>
      </w:r>
      <w:r w:rsidRPr="001C4763" w:rsidR="006353B4">
        <w:rPr>
          <w:color w:val="auto"/>
        </w:rPr>
        <w:t xml:space="preserve">The burden hour total </w:t>
      </w:r>
      <w:r w:rsidRPr="001C4763" w:rsidR="007C7B92">
        <w:rPr>
          <w:color w:val="auto"/>
        </w:rPr>
        <w:t xml:space="preserve">over the three-year period </w:t>
      </w:r>
      <w:r w:rsidRPr="001C4763" w:rsidR="006353B4">
        <w:rPr>
          <w:color w:val="auto"/>
        </w:rPr>
        <w:t xml:space="preserve">is </w:t>
      </w:r>
      <w:r w:rsidRPr="001C4763" w:rsidR="00BF4387">
        <w:rPr>
          <w:color w:val="auto"/>
        </w:rPr>
        <w:t>8</w:t>
      </w:r>
      <w:r w:rsidRPr="001C4763" w:rsidR="00831461">
        <w:rPr>
          <w:color w:val="auto"/>
        </w:rPr>
        <w:t>,</w:t>
      </w:r>
      <w:r w:rsidRPr="001C4763" w:rsidR="00BF4387">
        <w:rPr>
          <w:color w:val="auto"/>
        </w:rPr>
        <w:t>064</w:t>
      </w:r>
      <w:r w:rsidRPr="001C4763" w:rsidR="006353B4">
        <w:rPr>
          <w:color w:val="auto"/>
        </w:rPr>
        <w:t xml:space="preserve"> hours or approximately</w:t>
      </w:r>
      <w:r w:rsidRPr="001C4763" w:rsidR="00F0159C">
        <w:rPr>
          <w:color w:val="auto"/>
        </w:rPr>
        <w:t xml:space="preserve"> 2,6</w:t>
      </w:r>
      <w:r w:rsidRPr="001C4763" w:rsidR="00BF4387">
        <w:rPr>
          <w:color w:val="auto"/>
        </w:rPr>
        <w:t>88</w:t>
      </w:r>
      <w:r w:rsidRPr="001C4763" w:rsidR="006353B4">
        <w:rPr>
          <w:color w:val="auto"/>
        </w:rPr>
        <w:t xml:space="preserve"> hours </w:t>
      </w:r>
      <w:r w:rsidRPr="001C4763" w:rsidR="007C7B92">
        <w:rPr>
          <w:color w:val="auto"/>
        </w:rPr>
        <w:t xml:space="preserve">per year </w:t>
      </w:r>
      <w:r w:rsidRPr="001C4763" w:rsidR="00985DEA">
        <w:rPr>
          <w:color w:val="auto"/>
        </w:rPr>
        <w:t xml:space="preserve">assuming </w:t>
      </w:r>
      <w:r w:rsidRPr="001C4763" w:rsidR="00531B3F">
        <w:rPr>
          <w:color w:val="auto"/>
        </w:rPr>
        <w:t xml:space="preserve">28 </w:t>
      </w:r>
      <w:r w:rsidRPr="001C4763" w:rsidR="00985DEA">
        <w:rPr>
          <w:color w:val="auto"/>
        </w:rPr>
        <w:t xml:space="preserve">data-sharing </w:t>
      </w:r>
      <w:r w:rsidRPr="001C4763" w:rsidR="00831461">
        <w:rPr>
          <w:color w:val="auto"/>
        </w:rPr>
        <w:t>p</w:t>
      </w:r>
      <w:r w:rsidRPr="001C4763" w:rsidR="00985DEA">
        <w:rPr>
          <w:color w:val="auto"/>
        </w:rPr>
        <w:t>artners participating in each study</w:t>
      </w:r>
      <w:r w:rsidRPr="001C4763" w:rsidR="006353B4">
        <w:rPr>
          <w:color w:val="auto"/>
        </w:rPr>
        <w:t xml:space="preserve">.  </w:t>
      </w:r>
    </w:p>
    <w:p w:rsidR="00FB766D" w:rsidRPr="001C4763" w14:paraId="4A9F4958" w14:textId="6CDD4716">
      <w:pPr>
        <w:spacing w:after="0" w:line="259" w:lineRule="auto"/>
        <w:ind w:left="1080" w:firstLine="0"/>
        <w:rPr>
          <w:color w:val="auto"/>
        </w:rPr>
      </w:pPr>
      <w:r w:rsidRPr="001C4763">
        <w:rPr>
          <w:color w:val="auto"/>
        </w:rPr>
        <w:t xml:space="preserve"> </w:t>
      </w:r>
    </w:p>
    <w:p w:rsidR="008052E0" w:rsidRPr="001C4763" w:rsidP="008052E0" w14:paraId="08DBFBBB" w14:textId="6EC67952">
      <w:pPr>
        <w:spacing w:after="0" w:line="259" w:lineRule="auto"/>
        <w:ind w:left="0" w:right="171" w:firstLine="0"/>
        <w:jc w:val="center"/>
        <w:rPr>
          <w:color w:val="auto"/>
        </w:rPr>
        <w:sectPr w:rsidSect="008052E0">
          <w:type w:val="continuous"/>
          <w:pgSz w:w="12240" w:h="15840"/>
          <w:pgMar w:top="1403" w:right="1442" w:bottom="1614" w:left="1080" w:header="720" w:footer="720" w:gutter="0"/>
          <w:cols w:space="720"/>
        </w:sectPr>
      </w:pPr>
      <w:r w:rsidRPr="001C4763">
        <w:rPr>
          <w:color w:val="auto"/>
        </w:rPr>
        <w:t>Table 1 outlines the burden estimates</w:t>
      </w:r>
      <w:r w:rsidRPr="001C4763" w:rsidR="007532BC">
        <w:rPr>
          <w:color w:val="auto"/>
        </w:rPr>
        <w:t xml:space="preserve"> </w:t>
      </w:r>
      <w:r>
        <w:rPr>
          <w:color w:val="auto"/>
          <w:vertAlign w:val="superscript"/>
        </w:rPr>
        <w:footnoteReference w:id="3"/>
      </w:r>
    </w:p>
    <w:p w:rsidR="00FB766D" w:rsidRPr="001C4763" w:rsidP="007532BC" w14:paraId="3A00C769" w14:textId="0F6AA22B">
      <w:pPr>
        <w:spacing w:after="0" w:line="259" w:lineRule="auto"/>
        <w:ind w:left="0" w:right="171" w:firstLine="0"/>
        <w:jc w:val="center"/>
        <w:rPr>
          <w:color w:val="auto"/>
        </w:rPr>
      </w:pPr>
      <w:r w:rsidRPr="001C4763">
        <w:rPr>
          <w:color w:val="auto"/>
        </w:rPr>
        <w:t xml:space="preserve"> </w:t>
      </w:r>
      <w:r w:rsidRPr="001C4763" w:rsidR="00F129B2">
        <w:rPr>
          <w:color w:val="auto"/>
          <w:sz w:val="37"/>
          <w:vertAlign w:val="superscript"/>
        </w:rPr>
        <w:t xml:space="preserve"> </w:t>
      </w:r>
      <w:r w:rsidRPr="001C4763" w:rsidR="00F129B2">
        <w:rPr>
          <w:color w:val="auto"/>
        </w:rPr>
        <w:t>that we foresee partners potentially experiencing:</w:t>
      </w:r>
    </w:p>
    <w:tbl>
      <w:tblPr>
        <w:tblStyle w:val="TableGrid"/>
        <w:tblW w:w="8856" w:type="dxa"/>
        <w:tblInd w:w="972" w:type="dxa"/>
        <w:tblCellMar>
          <w:left w:w="106" w:type="dxa"/>
          <w:right w:w="38" w:type="dxa"/>
        </w:tblCellMar>
        <w:tblLook w:val="04A0"/>
      </w:tblPr>
      <w:tblGrid>
        <w:gridCol w:w="1459"/>
        <w:gridCol w:w="1080"/>
        <w:gridCol w:w="1169"/>
        <w:gridCol w:w="1171"/>
        <w:gridCol w:w="1260"/>
        <w:gridCol w:w="1169"/>
        <w:gridCol w:w="1548"/>
      </w:tblGrid>
      <w:tr w14:paraId="3844A5D8" w14:textId="77777777">
        <w:tblPrEx>
          <w:tblW w:w="8856" w:type="dxa"/>
          <w:tblInd w:w="972" w:type="dxa"/>
          <w:tblCellMar>
            <w:left w:w="106" w:type="dxa"/>
            <w:right w:w="38" w:type="dxa"/>
          </w:tblCellMar>
          <w:tblLook w:val="04A0"/>
        </w:tblPrEx>
        <w:trPr>
          <w:trHeight w:val="528"/>
        </w:trPr>
        <w:tc>
          <w:tcPr>
            <w:tcW w:w="1459" w:type="dxa"/>
            <w:tcBorders>
              <w:top w:val="single" w:sz="4" w:space="0" w:color="000000"/>
              <w:left w:val="single" w:sz="4" w:space="0" w:color="000000"/>
              <w:bottom w:val="single" w:sz="4" w:space="0" w:color="000000"/>
              <w:right w:val="nil"/>
            </w:tcBorders>
          </w:tcPr>
          <w:p w:rsidR="00FB766D" w:rsidRPr="001C4763" w14:paraId="4AEED957" w14:textId="77777777">
            <w:pPr>
              <w:spacing w:after="160" w:line="259" w:lineRule="auto"/>
              <w:ind w:left="0" w:firstLine="0"/>
              <w:rPr>
                <w:color w:val="auto"/>
              </w:rPr>
            </w:pPr>
          </w:p>
        </w:tc>
        <w:tc>
          <w:tcPr>
            <w:tcW w:w="1080" w:type="dxa"/>
            <w:tcBorders>
              <w:top w:val="single" w:sz="4" w:space="0" w:color="000000"/>
              <w:left w:val="nil"/>
              <w:bottom w:val="single" w:sz="4" w:space="0" w:color="000000"/>
              <w:right w:val="nil"/>
            </w:tcBorders>
          </w:tcPr>
          <w:p w:rsidR="00FB766D" w:rsidRPr="001C4763" w14:paraId="4814C269" w14:textId="77777777">
            <w:pPr>
              <w:spacing w:after="160" w:line="259" w:lineRule="auto"/>
              <w:ind w:left="0" w:firstLine="0"/>
              <w:rPr>
                <w:color w:val="auto"/>
              </w:rPr>
            </w:pPr>
          </w:p>
        </w:tc>
        <w:tc>
          <w:tcPr>
            <w:tcW w:w="3600" w:type="dxa"/>
            <w:gridSpan w:val="3"/>
            <w:tcBorders>
              <w:top w:val="single" w:sz="4" w:space="0" w:color="000000"/>
              <w:left w:val="nil"/>
              <w:bottom w:val="single" w:sz="4" w:space="0" w:color="000000"/>
              <w:right w:val="nil"/>
            </w:tcBorders>
          </w:tcPr>
          <w:p w:rsidR="00FB766D" w:rsidRPr="001C4763" w:rsidP="00FD44FB" w14:paraId="5F730DE2" w14:textId="30F8C11A">
            <w:pPr>
              <w:spacing w:after="0" w:line="259" w:lineRule="auto"/>
              <w:ind w:left="0" w:right="59" w:firstLine="0"/>
              <w:jc w:val="center"/>
              <w:rPr>
                <w:color w:val="auto"/>
              </w:rPr>
            </w:pPr>
            <w:r w:rsidRPr="001C4763">
              <w:rPr>
                <w:color w:val="auto"/>
              </w:rPr>
              <w:t>Table 1: Estimate</w:t>
            </w:r>
            <w:r w:rsidRPr="001C4763" w:rsidR="008A3713">
              <w:rPr>
                <w:color w:val="auto"/>
              </w:rPr>
              <w:t xml:space="preserve"> of Annual Burden Hours</w:t>
            </w:r>
          </w:p>
        </w:tc>
        <w:tc>
          <w:tcPr>
            <w:tcW w:w="1169" w:type="dxa"/>
            <w:tcBorders>
              <w:top w:val="single" w:sz="4" w:space="0" w:color="000000"/>
              <w:left w:val="nil"/>
              <w:bottom w:val="single" w:sz="4" w:space="0" w:color="000000"/>
              <w:right w:val="nil"/>
            </w:tcBorders>
          </w:tcPr>
          <w:p w:rsidR="00FB766D" w:rsidRPr="001C4763" w14:paraId="5BE88BD7" w14:textId="77777777">
            <w:pPr>
              <w:spacing w:after="160" w:line="259" w:lineRule="auto"/>
              <w:ind w:left="0" w:firstLine="0"/>
              <w:rPr>
                <w:color w:val="auto"/>
              </w:rPr>
            </w:pPr>
          </w:p>
        </w:tc>
        <w:tc>
          <w:tcPr>
            <w:tcW w:w="1548" w:type="dxa"/>
            <w:tcBorders>
              <w:top w:val="single" w:sz="4" w:space="0" w:color="000000"/>
              <w:left w:val="nil"/>
              <w:bottom w:val="single" w:sz="4" w:space="0" w:color="000000"/>
              <w:right w:val="single" w:sz="4" w:space="0" w:color="000000"/>
            </w:tcBorders>
          </w:tcPr>
          <w:p w:rsidR="00FB766D" w:rsidRPr="001C4763" w14:paraId="034990CC" w14:textId="77777777">
            <w:pPr>
              <w:spacing w:after="160" w:line="259" w:lineRule="auto"/>
              <w:ind w:left="0" w:firstLine="0"/>
              <w:rPr>
                <w:color w:val="auto"/>
              </w:rPr>
            </w:pPr>
          </w:p>
        </w:tc>
      </w:tr>
      <w:tr w14:paraId="4EE48ED2" w14:textId="77777777">
        <w:tblPrEx>
          <w:tblW w:w="8856" w:type="dxa"/>
          <w:tblInd w:w="972" w:type="dxa"/>
          <w:tblCellMar>
            <w:left w:w="106" w:type="dxa"/>
            <w:right w:w="38" w:type="dxa"/>
          </w:tblCellMar>
          <w:tblLook w:val="04A0"/>
        </w:tblPrEx>
        <w:trPr>
          <w:trHeight w:val="1877"/>
        </w:trPr>
        <w:tc>
          <w:tcPr>
            <w:tcW w:w="1459" w:type="dxa"/>
            <w:tcBorders>
              <w:top w:val="single" w:sz="4" w:space="0" w:color="000000"/>
              <w:left w:val="single" w:sz="4" w:space="0" w:color="000000"/>
              <w:bottom w:val="single" w:sz="4" w:space="0" w:color="000000"/>
              <w:right w:val="single" w:sz="4" w:space="0" w:color="000000"/>
            </w:tcBorders>
          </w:tcPr>
          <w:p w:rsidR="00FB766D" w:rsidRPr="001C4763" w14:paraId="3C9B311A" w14:textId="77777777">
            <w:pPr>
              <w:spacing w:after="0" w:line="259" w:lineRule="auto"/>
              <w:ind w:left="2" w:firstLine="0"/>
              <w:rPr>
                <w:color w:val="auto"/>
              </w:rPr>
            </w:pPr>
            <w:r w:rsidRPr="001C4763">
              <w:rPr>
                <w:color w:val="auto"/>
                <w:sz w:val="1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B766D" w:rsidRPr="001C4763" w:rsidP="00703F1C" w14:paraId="28B796ED" w14:textId="3B1A10A1">
            <w:pPr>
              <w:spacing w:after="11" w:line="259" w:lineRule="auto"/>
              <w:ind w:left="0" w:right="72" w:firstLine="0"/>
              <w:jc w:val="center"/>
              <w:rPr>
                <w:color w:val="auto"/>
              </w:rPr>
            </w:pPr>
            <w:r w:rsidRPr="001C4763">
              <w:rPr>
                <w:color w:val="auto"/>
                <w:sz w:val="14"/>
              </w:rPr>
              <w:t>Estimated</w:t>
            </w:r>
          </w:p>
          <w:p w:rsidR="00FB766D" w:rsidRPr="001C4763" w:rsidP="00703F1C" w14:paraId="2625CBD4" w14:textId="71FCBABD">
            <w:pPr>
              <w:spacing w:after="13" w:line="259" w:lineRule="auto"/>
              <w:ind w:left="0" w:right="75" w:firstLine="0"/>
              <w:jc w:val="center"/>
              <w:rPr>
                <w:color w:val="auto"/>
              </w:rPr>
            </w:pPr>
            <w:r w:rsidRPr="001C4763">
              <w:rPr>
                <w:color w:val="auto"/>
                <w:sz w:val="14"/>
              </w:rPr>
              <w:t>Average</w:t>
            </w:r>
          </w:p>
          <w:p w:rsidR="00FB766D" w:rsidRPr="001C4763" w:rsidP="00703F1C" w14:paraId="130953AB" w14:textId="0794E517">
            <w:pPr>
              <w:spacing w:after="11" w:line="259" w:lineRule="auto"/>
              <w:ind w:left="0" w:right="72" w:firstLine="0"/>
              <w:jc w:val="center"/>
              <w:rPr>
                <w:color w:val="auto"/>
              </w:rPr>
            </w:pPr>
            <w:r w:rsidRPr="001C4763">
              <w:rPr>
                <w:color w:val="auto"/>
                <w:sz w:val="14"/>
              </w:rPr>
              <w:t>Annual</w:t>
            </w:r>
          </w:p>
          <w:p w:rsidR="00FB766D" w:rsidRPr="001C4763" w:rsidP="00703F1C" w14:paraId="67DB7DD1" w14:textId="762563B7">
            <w:pPr>
              <w:spacing w:after="11" w:line="259" w:lineRule="auto"/>
              <w:ind w:left="0" w:right="72" w:firstLine="0"/>
              <w:jc w:val="center"/>
              <w:rPr>
                <w:color w:val="auto"/>
              </w:rPr>
            </w:pPr>
            <w:r w:rsidRPr="001C4763">
              <w:rPr>
                <w:color w:val="auto"/>
                <w:sz w:val="14"/>
              </w:rPr>
              <w:t>Processing</w:t>
            </w:r>
          </w:p>
          <w:p w:rsidR="00FB766D" w:rsidRPr="001C4763" w:rsidP="00703F1C" w14:paraId="6A76ABB1" w14:textId="136F64CF">
            <w:pPr>
              <w:spacing w:after="11" w:line="259" w:lineRule="auto"/>
              <w:ind w:left="0" w:right="74" w:firstLine="0"/>
              <w:jc w:val="center"/>
              <w:rPr>
                <w:color w:val="auto"/>
              </w:rPr>
            </w:pPr>
            <w:r w:rsidRPr="001C4763">
              <w:rPr>
                <w:color w:val="auto"/>
                <w:sz w:val="14"/>
              </w:rPr>
              <w:t>Time for</w:t>
            </w:r>
          </w:p>
          <w:p w:rsidR="00FB766D" w:rsidRPr="001C4763" w:rsidP="00703F1C" w14:paraId="65A58D4D" w14:textId="337B2075">
            <w:pPr>
              <w:spacing w:after="0" w:line="275" w:lineRule="auto"/>
              <w:ind w:left="168" w:hanging="53"/>
              <w:rPr>
                <w:color w:val="auto"/>
              </w:rPr>
            </w:pPr>
            <w:r w:rsidRPr="001C4763">
              <w:rPr>
                <w:color w:val="auto"/>
                <w:sz w:val="14"/>
              </w:rPr>
              <w:t>Initial Data Pull  (Per</w:t>
            </w:r>
          </w:p>
          <w:p w:rsidR="00FB766D" w:rsidRPr="001C4763" w:rsidP="00703F1C" w14:paraId="1B2AA14F" w14:textId="1598F861">
            <w:pPr>
              <w:spacing w:after="0" w:line="259" w:lineRule="auto"/>
              <w:ind w:left="0" w:firstLine="0"/>
              <w:jc w:val="center"/>
              <w:rPr>
                <w:color w:val="auto"/>
              </w:rPr>
            </w:pPr>
            <w:r w:rsidRPr="001C4763">
              <w:rPr>
                <w:color w:val="auto"/>
                <w:sz w:val="14"/>
              </w:rPr>
              <w:t>Partner - in hours)</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rsidP="00703F1C" w14:paraId="4D7B2179" w14:textId="774018DC">
            <w:pPr>
              <w:spacing w:after="11" w:line="259" w:lineRule="auto"/>
              <w:ind w:left="0" w:right="74" w:firstLine="0"/>
              <w:jc w:val="center"/>
              <w:rPr>
                <w:color w:val="auto"/>
              </w:rPr>
            </w:pPr>
            <w:r w:rsidRPr="001C4763">
              <w:rPr>
                <w:color w:val="auto"/>
                <w:sz w:val="14"/>
              </w:rPr>
              <w:t>Estimated</w:t>
            </w:r>
          </w:p>
          <w:p w:rsidR="00FB766D" w:rsidRPr="001C4763" w:rsidP="00703F1C" w14:paraId="07C00DA1" w14:textId="7106A1A9">
            <w:pPr>
              <w:spacing w:after="13" w:line="259" w:lineRule="auto"/>
              <w:ind w:left="17" w:firstLine="0"/>
              <w:jc w:val="center"/>
              <w:rPr>
                <w:color w:val="auto"/>
              </w:rPr>
            </w:pPr>
            <w:r w:rsidRPr="001C4763">
              <w:rPr>
                <w:color w:val="auto"/>
                <w:sz w:val="14"/>
              </w:rPr>
              <w:t>Average Annual</w:t>
            </w:r>
          </w:p>
          <w:p w:rsidR="00FB766D" w:rsidRPr="001C4763" w:rsidP="00703F1C" w14:paraId="6DD797D3" w14:textId="2674C669">
            <w:pPr>
              <w:spacing w:after="0" w:line="275" w:lineRule="auto"/>
              <w:ind w:left="0" w:firstLine="0"/>
              <w:jc w:val="center"/>
              <w:rPr>
                <w:color w:val="auto"/>
              </w:rPr>
            </w:pPr>
            <w:r w:rsidRPr="001C4763">
              <w:rPr>
                <w:color w:val="auto"/>
                <w:sz w:val="14"/>
              </w:rPr>
              <w:t>Processing Time for Monthly</w:t>
            </w:r>
          </w:p>
          <w:p w:rsidR="00FB766D" w:rsidRPr="001C4763" w:rsidP="00703F1C" w14:paraId="02E87EA7" w14:textId="68EC60EA">
            <w:pPr>
              <w:spacing w:after="11" w:line="259" w:lineRule="auto"/>
              <w:ind w:left="0" w:right="72" w:firstLine="0"/>
              <w:jc w:val="center"/>
              <w:rPr>
                <w:color w:val="auto"/>
              </w:rPr>
            </w:pPr>
            <w:r w:rsidRPr="001C4763">
              <w:rPr>
                <w:color w:val="auto"/>
                <w:sz w:val="14"/>
              </w:rPr>
              <w:t>Submission –</w:t>
            </w:r>
          </w:p>
          <w:p w:rsidR="00FB766D" w:rsidRPr="001C4763" w:rsidP="00703F1C" w14:paraId="2C4F9008" w14:textId="4F4EE8BE">
            <w:pPr>
              <w:spacing w:after="0" w:line="275" w:lineRule="auto"/>
              <w:ind w:left="0" w:right="33" w:firstLine="0"/>
              <w:jc w:val="center"/>
              <w:rPr>
                <w:color w:val="auto"/>
              </w:rPr>
            </w:pPr>
            <w:r w:rsidRPr="001C4763">
              <w:rPr>
                <w:color w:val="auto"/>
                <w:sz w:val="14"/>
              </w:rPr>
              <w:t>Total Years 3 (Per</w:t>
            </w:r>
          </w:p>
          <w:p w:rsidR="00FB766D" w:rsidRPr="001C4763" w:rsidP="00703F1C" w14:paraId="035541B4" w14:textId="2143A4E8">
            <w:pPr>
              <w:spacing w:after="0" w:line="259" w:lineRule="auto"/>
              <w:ind w:left="0" w:right="5" w:firstLine="0"/>
              <w:jc w:val="center"/>
              <w:rPr>
                <w:color w:val="auto"/>
              </w:rPr>
            </w:pPr>
            <w:r w:rsidRPr="001C4763">
              <w:rPr>
                <w:color w:val="auto"/>
                <w:sz w:val="14"/>
              </w:rPr>
              <w:t>Partner -  in hours)</w:t>
            </w:r>
          </w:p>
        </w:tc>
        <w:tc>
          <w:tcPr>
            <w:tcW w:w="1171" w:type="dxa"/>
            <w:tcBorders>
              <w:top w:val="single" w:sz="4" w:space="0" w:color="000000"/>
              <w:left w:val="single" w:sz="4" w:space="0" w:color="000000"/>
              <w:bottom w:val="single" w:sz="4" w:space="0" w:color="000000"/>
              <w:right w:val="single" w:sz="4" w:space="0" w:color="000000"/>
            </w:tcBorders>
          </w:tcPr>
          <w:p w:rsidR="00FB766D" w:rsidRPr="001C4763" w14:paraId="78C642BF" w14:textId="77777777">
            <w:pPr>
              <w:spacing w:after="11" w:line="259" w:lineRule="auto"/>
              <w:ind w:left="0" w:right="72" w:firstLine="0"/>
              <w:jc w:val="center"/>
              <w:rPr>
                <w:color w:val="auto"/>
              </w:rPr>
            </w:pPr>
            <w:r w:rsidRPr="001C4763">
              <w:rPr>
                <w:color w:val="auto"/>
                <w:sz w:val="14"/>
              </w:rPr>
              <w:t xml:space="preserve">Estimated  </w:t>
            </w:r>
          </w:p>
          <w:p w:rsidR="00FB766D" w:rsidRPr="001C4763" w14:paraId="68FB879B" w14:textId="77777777">
            <w:pPr>
              <w:spacing w:after="0" w:line="259" w:lineRule="auto"/>
              <w:ind w:left="0" w:right="15" w:firstLine="0"/>
              <w:jc w:val="center"/>
              <w:rPr>
                <w:color w:val="auto"/>
              </w:rPr>
            </w:pPr>
            <w:r w:rsidRPr="001C4763">
              <w:rPr>
                <w:color w:val="auto"/>
                <w:sz w:val="14"/>
              </w:rPr>
              <w:t xml:space="preserve">Partners per Study </w:t>
            </w:r>
          </w:p>
        </w:tc>
        <w:tc>
          <w:tcPr>
            <w:tcW w:w="1260" w:type="dxa"/>
            <w:tcBorders>
              <w:top w:val="single" w:sz="4" w:space="0" w:color="000000"/>
              <w:left w:val="single" w:sz="4" w:space="0" w:color="000000"/>
              <w:bottom w:val="single" w:sz="4" w:space="0" w:color="000000"/>
              <w:right w:val="single" w:sz="4" w:space="0" w:color="000000"/>
            </w:tcBorders>
          </w:tcPr>
          <w:p w:rsidR="00FB766D" w:rsidRPr="001C4763" w14:paraId="148E3D92" w14:textId="77777777">
            <w:pPr>
              <w:spacing w:after="2" w:line="275" w:lineRule="auto"/>
              <w:ind w:left="0" w:firstLine="0"/>
              <w:jc w:val="center"/>
              <w:rPr>
                <w:color w:val="auto"/>
              </w:rPr>
            </w:pPr>
            <w:r w:rsidRPr="001C4763">
              <w:rPr>
                <w:color w:val="auto"/>
                <w:sz w:val="14"/>
              </w:rPr>
              <w:t xml:space="preserve">Estimated Total Annual </w:t>
            </w:r>
          </w:p>
          <w:p w:rsidR="00FB766D" w:rsidRPr="001C4763" w14:paraId="2FDCD1F9" w14:textId="77777777">
            <w:pPr>
              <w:spacing w:after="11" w:line="259" w:lineRule="auto"/>
              <w:ind w:left="0" w:right="73" w:firstLine="0"/>
              <w:jc w:val="center"/>
              <w:rPr>
                <w:color w:val="auto"/>
              </w:rPr>
            </w:pPr>
            <w:r w:rsidRPr="001C4763">
              <w:rPr>
                <w:color w:val="auto"/>
                <w:sz w:val="14"/>
              </w:rPr>
              <w:t xml:space="preserve">Processing Time  </w:t>
            </w:r>
          </w:p>
          <w:p w:rsidR="00FB766D" w:rsidRPr="001C4763" w14:paraId="456FFF52" w14:textId="77777777">
            <w:pPr>
              <w:spacing w:after="0" w:line="259" w:lineRule="auto"/>
              <w:ind w:left="0" w:firstLine="0"/>
              <w:jc w:val="center"/>
              <w:rPr>
                <w:color w:val="auto"/>
              </w:rPr>
            </w:pPr>
            <w:r w:rsidRPr="001C4763">
              <w:rPr>
                <w:color w:val="auto"/>
                <w:sz w:val="14"/>
              </w:rPr>
              <w:t xml:space="preserve">All Partners (in hours)  </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14:paraId="74A2B9AA" w14:textId="77777777">
            <w:pPr>
              <w:spacing w:after="11" w:line="259" w:lineRule="auto"/>
              <w:ind w:left="0" w:firstLine="0"/>
              <w:rPr>
                <w:color w:val="auto"/>
              </w:rPr>
            </w:pPr>
            <w:r w:rsidRPr="001C4763">
              <w:rPr>
                <w:color w:val="auto"/>
                <w:sz w:val="14"/>
              </w:rPr>
              <w:t xml:space="preserve">Per Hour Rate of </w:t>
            </w:r>
          </w:p>
          <w:p w:rsidR="00FB766D" w:rsidRPr="001C4763" w14:paraId="50AC9189" w14:textId="7C3C3C28">
            <w:pPr>
              <w:spacing w:after="11" w:line="259" w:lineRule="auto"/>
              <w:ind w:left="0" w:right="75" w:firstLine="0"/>
              <w:jc w:val="center"/>
              <w:rPr>
                <w:color w:val="auto"/>
              </w:rPr>
            </w:pPr>
            <w:r>
              <w:rPr>
                <w:color w:val="auto"/>
                <w:sz w:val="14"/>
              </w:rPr>
              <w:t>Software Developer</w:t>
            </w:r>
            <w:r w:rsidRPr="001C4763" w:rsidR="00216494">
              <w:rPr>
                <w:color w:val="auto"/>
                <w:sz w:val="14"/>
              </w:rPr>
              <w:t xml:space="preserve"> </w:t>
            </w:r>
          </w:p>
          <w:p w:rsidR="00FB766D" w:rsidRPr="001C4763" w14:paraId="07581E33" w14:textId="0EDD4FEF">
            <w:pPr>
              <w:spacing w:after="0" w:line="259" w:lineRule="auto"/>
              <w:ind w:left="0" w:right="76" w:firstLine="0"/>
              <w:jc w:val="center"/>
              <w:rPr>
                <w:color w:val="auto"/>
              </w:rPr>
            </w:pPr>
            <w:r w:rsidRPr="001C4763">
              <w:rPr>
                <w:color w:val="auto"/>
                <w:sz w:val="1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FB766D" w:rsidRPr="001C4763" w14:paraId="5A8B2D71" w14:textId="77777777">
            <w:pPr>
              <w:spacing w:after="11" w:line="259" w:lineRule="auto"/>
              <w:ind w:left="0" w:right="67" w:firstLine="0"/>
              <w:jc w:val="center"/>
              <w:rPr>
                <w:color w:val="auto"/>
              </w:rPr>
            </w:pPr>
            <w:r w:rsidRPr="001C4763">
              <w:rPr>
                <w:color w:val="auto"/>
                <w:sz w:val="14"/>
              </w:rPr>
              <w:t xml:space="preserve">Estimated Total </w:t>
            </w:r>
          </w:p>
          <w:p w:rsidR="00FB766D" w:rsidRPr="001C4763" w14:paraId="285B3A9E" w14:textId="77777777">
            <w:pPr>
              <w:spacing w:after="0" w:line="259" w:lineRule="auto"/>
              <w:ind w:left="0" w:right="22" w:firstLine="0"/>
              <w:jc w:val="center"/>
              <w:rPr>
                <w:color w:val="auto"/>
              </w:rPr>
            </w:pPr>
            <w:r w:rsidRPr="001C4763">
              <w:rPr>
                <w:color w:val="auto"/>
                <w:sz w:val="14"/>
              </w:rPr>
              <w:t xml:space="preserve">Processing Rate - Yearly </w:t>
            </w:r>
          </w:p>
        </w:tc>
      </w:tr>
      <w:tr w14:paraId="05EC6417" w14:textId="77777777" w:rsidTr="004F172A">
        <w:tblPrEx>
          <w:tblW w:w="8856" w:type="dxa"/>
          <w:tblInd w:w="972" w:type="dxa"/>
          <w:tblCellMar>
            <w:left w:w="106" w:type="dxa"/>
            <w:right w:w="38" w:type="dxa"/>
          </w:tblCellMar>
          <w:tblLook w:val="04A0"/>
        </w:tblPrEx>
        <w:trPr>
          <w:trHeight w:val="965"/>
        </w:trPr>
        <w:tc>
          <w:tcPr>
            <w:tcW w:w="1459" w:type="dxa"/>
            <w:tcBorders>
              <w:top w:val="single" w:sz="4" w:space="0" w:color="000000"/>
              <w:left w:val="single" w:sz="4" w:space="0" w:color="000000"/>
              <w:bottom w:val="single" w:sz="4" w:space="0" w:color="000000"/>
              <w:right w:val="single" w:sz="4" w:space="0" w:color="000000"/>
            </w:tcBorders>
          </w:tcPr>
          <w:p w:rsidR="00FB766D" w:rsidRPr="001C4763" w14:paraId="3147FCCF" w14:textId="77777777">
            <w:pPr>
              <w:spacing w:after="11" w:line="259" w:lineRule="auto"/>
              <w:ind w:left="2" w:firstLine="0"/>
              <w:rPr>
                <w:color w:val="auto"/>
              </w:rPr>
            </w:pPr>
            <w:r w:rsidRPr="001C4763">
              <w:rPr>
                <w:color w:val="auto"/>
                <w:sz w:val="14"/>
              </w:rPr>
              <w:t xml:space="preserve">Data Extraction and </w:t>
            </w:r>
          </w:p>
          <w:p w:rsidR="00FB766D" w:rsidRPr="001C4763" w14:paraId="31BA67F8" w14:textId="77777777">
            <w:pPr>
              <w:spacing w:after="212" w:line="259" w:lineRule="auto"/>
              <w:ind w:left="2" w:firstLine="0"/>
              <w:rPr>
                <w:color w:val="auto"/>
              </w:rPr>
            </w:pPr>
            <w:r w:rsidRPr="001C4763">
              <w:rPr>
                <w:color w:val="auto"/>
                <w:sz w:val="14"/>
              </w:rPr>
              <w:t xml:space="preserve">Submission – Year 1 </w:t>
            </w:r>
          </w:p>
          <w:p w:rsidR="00FB766D" w:rsidRPr="001C4763" w14:paraId="5733559B" w14:textId="77777777">
            <w:pPr>
              <w:spacing w:after="0" w:line="259" w:lineRule="auto"/>
              <w:ind w:left="2" w:firstLine="0"/>
              <w:rPr>
                <w:color w:val="auto"/>
              </w:rPr>
            </w:pPr>
            <w:r w:rsidRPr="001C4763">
              <w:rPr>
                <w:color w:val="auto"/>
                <w:sz w:val="14"/>
              </w:rPr>
              <w:t xml:space="preserve">Aggregate </w:t>
            </w:r>
          </w:p>
        </w:tc>
        <w:tc>
          <w:tcPr>
            <w:tcW w:w="1080" w:type="dxa"/>
            <w:tcBorders>
              <w:top w:val="single" w:sz="4" w:space="0" w:color="000000"/>
              <w:left w:val="single" w:sz="4" w:space="0" w:color="000000"/>
              <w:bottom w:val="single" w:sz="4" w:space="0" w:color="000000"/>
              <w:right w:val="single" w:sz="4" w:space="0" w:color="000000"/>
            </w:tcBorders>
          </w:tcPr>
          <w:p w:rsidR="00FB766D" w:rsidRPr="001C4763" w14:paraId="67680435" w14:textId="138C827C">
            <w:pPr>
              <w:spacing w:after="0" w:line="259" w:lineRule="auto"/>
              <w:ind w:left="0" w:right="72" w:firstLine="0"/>
              <w:jc w:val="center"/>
              <w:rPr>
                <w:color w:val="auto"/>
              </w:rPr>
            </w:pPr>
            <w:r w:rsidRPr="001C4763">
              <w:rPr>
                <w:color w:val="auto"/>
              </w:rPr>
              <w:t xml:space="preserve">96 </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14:paraId="1C764A7C" w14:textId="1076981B">
            <w:pPr>
              <w:spacing w:after="0" w:line="259" w:lineRule="auto"/>
              <w:ind w:left="0" w:right="74" w:firstLine="0"/>
              <w:jc w:val="center"/>
              <w:rPr>
                <w:color w:val="auto"/>
              </w:rPr>
            </w:pPr>
            <w:r w:rsidRPr="001C4763">
              <w:rPr>
                <w:color w:val="auto"/>
              </w:rPr>
              <w:t xml:space="preserve">96 </w:t>
            </w:r>
          </w:p>
        </w:tc>
        <w:tc>
          <w:tcPr>
            <w:tcW w:w="1171" w:type="dxa"/>
            <w:tcBorders>
              <w:top w:val="single" w:sz="4" w:space="0" w:color="000000"/>
              <w:left w:val="single" w:sz="4" w:space="0" w:color="000000"/>
              <w:bottom w:val="single" w:sz="4" w:space="0" w:color="000000"/>
              <w:right w:val="single" w:sz="4" w:space="0" w:color="000000"/>
            </w:tcBorders>
          </w:tcPr>
          <w:p w:rsidR="00FB766D" w:rsidRPr="001C4763" w:rsidP="00170A25" w14:paraId="011439BD" w14:textId="30B5FB1B">
            <w:pPr>
              <w:spacing w:after="0" w:line="259" w:lineRule="auto"/>
              <w:ind w:left="0" w:right="72" w:firstLine="0"/>
              <w:jc w:val="center"/>
              <w:rPr>
                <w:color w:val="auto"/>
              </w:rPr>
            </w:pPr>
            <w:r w:rsidRPr="001C4763">
              <w:rPr>
                <w:color w:val="auto"/>
              </w:rPr>
              <w:t>2</w:t>
            </w:r>
            <w:r w:rsidRPr="001C4763" w:rsidR="00170A25">
              <w:rPr>
                <w:color w:val="auto"/>
              </w:rPr>
              <w:t>8</w:t>
            </w:r>
            <w:r w:rsidRPr="001C4763" w:rsidR="00F129B2">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FB766D" w:rsidRPr="001C4763" w:rsidP="00C5434C" w14:paraId="7FF7AE18" w14:textId="2068D3D1">
            <w:pPr>
              <w:spacing w:after="0" w:line="259" w:lineRule="auto"/>
              <w:ind w:left="0" w:right="74" w:firstLine="0"/>
              <w:jc w:val="center"/>
              <w:rPr>
                <w:color w:val="auto"/>
              </w:rPr>
            </w:pPr>
            <w:r w:rsidRPr="001C4763">
              <w:rPr>
                <w:color w:val="auto"/>
              </w:rPr>
              <w:t xml:space="preserve"> 2,688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FB766D" w:rsidRPr="001C4763" w:rsidP="00484A68" w14:paraId="5BDED5E4" w14:textId="32EB73F4">
            <w:pPr>
              <w:spacing w:after="0" w:line="259" w:lineRule="auto"/>
              <w:ind w:left="0" w:right="72" w:firstLine="0"/>
              <w:jc w:val="center"/>
              <w:rPr>
                <w:color w:val="auto"/>
                <w:highlight w:val="yellow"/>
              </w:rPr>
            </w:pPr>
            <w:r w:rsidRPr="001C4763">
              <w:rPr>
                <w:color w:val="auto"/>
              </w:rPr>
              <w:t>$</w:t>
            </w:r>
            <w:r w:rsidR="00A02404">
              <w:rPr>
                <w:color w:val="auto"/>
              </w:rPr>
              <w:t>69.50</w:t>
            </w:r>
            <w:r w:rsidRPr="001C4763">
              <w:rPr>
                <w:color w:val="auto"/>
                <w:shd w:val="clear" w:color="auto" w:fill="FFFFFF" w:themeFill="background1"/>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FB766D" w:rsidRPr="001C4763" w:rsidP="00926B38" w14:paraId="0EC064EC" w14:textId="3E770C7C">
            <w:pPr>
              <w:spacing w:after="0" w:line="259" w:lineRule="auto"/>
              <w:ind w:left="0" w:right="67" w:firstLine="0"/>
              <w:jc w:val="center"/>
              <w:rPr>
                <w:color w:val="auto"/>
              </w:rPr>
            </w:pPr>
            <w:r w:rsidRPr="001C4763">
              <w:rPr>
                <w:color w:val="auto"/>
              </w:rPr>
              <w:t>$</w:t>
            </w:r>
            <w:r w:rsidRPr="001C4763" w:rsidR="00926B38">
              <w:rPr>
                <w:color w:val="auto"/>
              </w:rPr>
              <w:t xml:space="preserve"> </w:t>
            </w:r>
            <w:r w:rsidR="00A02404">
              <w:rPr>
                <w:color w:val="auto"/>
              </w:rPr>
              <w:t xml:space="preserve">373,632 </w:t>
            </w:r>
            <w:r w:rsidRPr="001C4763">
              <w:rPr>
                <w:color w:val="auto"/>
              </w:rPr>
              <w:t xml:space="preserve"> </w:t>
            </w:r>
          </w:p>
        </w:tc>
      </w:tr>
      <w:tr w14:paraId="04AA1E30" w14:textId="77777777">
        <w:tblPrEx>
          <w:tblW w:w="8856" w:type="dxa"/>
          <w:tblInd w:w="972" w:type="dxa"/>
          <w:tblCellMar>
            <w:left w:w="106" w:type="dxa"/>
            <w:right w:w="38" w:type="dxa"/>
          </w:tblCellMar>
          <w:tblLook w:val="04A0"/>
        </w:tblPrEx>
        <w:trPr>
          <w:trHeight w:val="1152"/>
        </w:trPr>
        <w:tc>
          <w:tcPr>
            <w:tcW w:w="1459" w:type="dxa"/>
            <w:tcBorders>
              <w:top w:val="single" w:sz="4" w:space="0" w:color="000000"/>
              <w:left w:val="single" w:sz="4" w:space="0" w:color="000000"/>
              <w:bottom w:val="single" w:sz="4" w:space="0" w:color="000000"/>
              <w:right w:val="single" w:sz="4" w:space="0" w:color="000000"/>
            </w:tcBorders>
          </w:tcPr>
          <w:p w:rsidR="00FB766D" w:rsidRPr="001C4763" w14:paraId="58C87C3A" w14:textId="77777777">
            <w:pPr>
              <w:spacing w:after="198" w:line="277" w:lineRule="auto"/>
              <w:ind w:left="2" w:firstLine="0"/>
              <w:rPr>
                <w:color w:val="auto"/>
              </w:rPr>
            </w:pPr>
            <w:r w:rsidRPr="001C4763">
              <w:rPr>
                <w:color w:val="auto"/>
                <w:sz w:val="14"/>
              </w:rPr>
              <w:t xml:space="preserve">Data Extraction and Submission – Years 2 and 3 </w:t>
            </w:r>
          </w:p>
          <w:p w:rsidR="00FB766D" w:rsidRPr="001C4763" w14:paraId="1E52ADEA" w14:textId="77777777">
            <w:pPr>
              <w:spacing w:after="0" w:line="259" w:lineRule="auto"/>
              <w:ind w:left="2" w:firstLine="0"/>
              <w:rPr>
                <w:color w:val="auto"/>
              </w:rPr>
            </w:pPr>
            <w:r w:rsidRPr="001C4763">
              <w:rPr>
                <w:color w:val="auto"/>
                <w:sz w:val="14"/>
              </w:rPr>
              <w:t xml:space="preserve">Aggregate </w:t>
            </w:r>
          </w:p>
        </w:tc>
        <w:tc>
          <w:tcPr>
            <w:tcW w:w="1080" w:type="dxa"/>
            <w:tcBorders>
              <w:top w:val="single" w:sz="4" w:space="0" w:color="000000"/>
              <w:left w:val="single" w:sz="4" w:space="0" w:color="000000"/>
              <w:bottom w:val="single" w:sz="4" w:space="0" w:color="000000"/>
              <w:right w:val="single" w:sz="4" w:space="0" w:color="000000"/>
            </w:tcBorders>
          </w:tcPr>
          <w:p w:rsidR="00FB766D" w:rsidRPr="001C4763" w14:paraId="64E6B29D" w14:textId="77777777">
            <w:pPr>
              <w:spacing w:after="0" w:line="259" w:lineRule="auto"/>
              <w:ind w:left="0" w:right="72" w:firstLine="0"/>
              <w:jc w:val="center"/>
              <w:rPr>
                <w:color w:val="auto"/>
              </w:rPr>
            </w:pPr>
            <w:r w:rsidRPr="001C4763">
              <w:rPr>
                <w:color w:val="auto"/>
              </w:rPr>
              <w:t xml:space="preserve">0 </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14:paraId="015F0B41" w14:textId="4303A919">
            <w:pPr>
              <w:spacing w:after="0" w:line="259" w:lineRule="auto"/>
              <w:ind w:left="0" w:right="74" w:firstLine="0"/>
              <w:jc w:val="center"/>
              <w:rPr>
                <w:color w:val="auto"/>
              </w:rPr>
            </w:pPr>
            <w:r w:rsidRPr="001C4763">
              <w:rPr>
                <w:color w:val="auto"/>
              </w:rPr>
              <w:t xml:space="preserve">192 </w:t>
            </w:r>
          </w:p>
        </w:tc>
        <w:tc>
          <w:tcPr>
            <w:tcW w:w="1171" w:type="dxa"/>
            <w:tcBorders>
              <w:top w:val="single" w:sz="4" w:space="0" w:color="000000"/>
              <w:left w:val="single" w:sz="4" w:space="0" w:color="000000"/>
              <w:bottom w:val="single" w:sz="4" w:space="0" w:color="000000"/>
              <w:right w:val="single" w:sz="4" w:space="0" w:color="000000"/>
            </w:tcBorders>
          </w:tcPr>
          <w:p w:rsidR="00FB766D" w:rsidRPr="001C4763" w:rsidP="00BC5529" w14:paraId="363F6467" w14:textId="7E7B076F">
            <w:pPr>
              <w:spacing w:after="0" w:line="259" w:lineRule="auto"/>
              <w:ind w:left="0" w:right="72" w:firstLine="0"/>
              <w:jc w:val="center"/>
              <w:rPr>
                <w:color w:val="auto"/>
              </w:rPr>
            </w:pPr>
            <w:r w:rsidRPr="001C4763">
              <w:rPr>
                <w:color w:val="auto"/>
              </w:rPr>
              <w:t>28</w:t>
            </w:r>
            <w:r w:rsidRPr="001C4763" w:rsidR="00F129B2">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FB766D" w:rsidRPr="001C4763" w:rsidP="00C5434C" w14:paraId="38FB8834" w14:textId="61573AD4">
            <w:pPr>
              <w:spacing w:after="0" w:line="259" w:lineRule="auto"/>
              <w:ind w:left="0" w:right="74" w:firstLine="0"/>
              <w:jc w:val="center"/>
              <w:rPr>
                <w:color w:val="auto"/>
              </w:rPr>
            </w:pPr>
            <w:r w:rsidRPr="001C4763">
              <w:rPr>
                <w:color w:val="auto"/>
              </w:rPr>
              <w:t xml:space="preserve"> 5</w:t>
            </w:r>
            <w:r w:rsidRPr="001C4763" w:rsidR="00BC5529">
              <w:rPr>
                <w:color w:val="auto"/>
              </w:rPr>
              <w:t>,</w:t>
            </w:r>
            <w:r w:rsidRPr="001C4763">
              <w:rPr>
                <w:color w:val="auto"/>
              </w:rPr>
              <w:t>376</w:t>
            </w:r>
            <w:r w:rsidRPr="001C4763" w:rsidR="00F129B2">
              <w:rPr>
                <w:color w:val="auto"/>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rsidP="00484A68" w14:paraId="24A50E74" w14:textId="3C220382">
            <w:pPr>
              <w:spacing w:after="0" w:line="259" w:lineRule="auto"/>
              <w:ind w:left="0" w:right="72" w:firstLine="0"/>
              <w:jc w:val="center"/>
              <w:rPr>
                <w:color w:val="auto"/>
                <w:highlight w:val="yellow"/>
              </w:rPr>
            </w:pPr>
            <w:r w:rsidRPr="001C4763">
              <w:rPr>
                <w:color w:val="auto"/>
              </w:rPr>
              <w:t>$</w:t>
            </w:r>
            <w:r w:rsidR="00A02404">
              <w:rPr>
                <w:color w:val="auto"/>
              </w:rPr>
              <w:t>69.50</w:t>
            </w:r>
            <w:r w:rsidRPr="001C4763">
              <w:rPr>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FB766D" w:rsidRPr="001C4763" w:rsidP="00926B38" w14:paraId="6B2850A1" w14:textId="1D1C82AF">
            <w:pPr>
              <w:spacing w:after="0" w:line="259" w:lineRule="auto"/>
              <w:ind w:left="0" w:right="67" w:firstLine="0"/>
              <w:jc w:val="center"/>
              <w:rPr>
                <w:color w:val="auto"/>
              </w:rPr>
            </w:pPr>
            <w:r w:rsidRPr="001C4763">
              <w:rPr>
                <w:color w:val="auto"/>
              </w:rPr>
              <w:t>$</w:t>
            </w:r>
            <w:r w:rsidRPr="001C4763" w:rsidR="00926B38">
              <w:rPr>
                <w:color w:val="auto"/>
              </w:rPr>
              <w:t xml:space="preserve"> </w:t>
            </w:r>
            <w:r w:rsidR="00A02404">
              <w:rPr>
                <w:color w:val="auto"/>
              </w:rPr>
              <w:t xml:space="preserve">373,632 </w:t>
            </w:r>
            <w:r w:rsidRPr="001C4763">
              <w:rPr>
                <w:color w:val="auto"/>
              </w:rPr>
              <w:t xml:space="preserve"> </w:t>
            </w:r>
          </w:p>
        </w:tc>
      </w:tr>
      <w:tr w14:paraId="5E7CCFCE" w14:textId="77777777" w:rsidTr="004F172A">
        <w:tblPrEx>
          <w:tblW w:w="8856" w:type="dxa"/>
          <w:tblInd w:w="972" w:type="dxa"/>
          <w:tblCellMar>
            <w:left w:w="106" w:type="dxa"/>
            <w:right w:w="38" w:type="dxa"/>
          </w:tblCellMar>
          <w:tblLook w:val="04A0"/>
        </w:tblPrEx>
        <w:trPr>
          <w:trHeight w:val="766"/>
        </w:trPr>
        <w:tc>
          <w:tcPr>
            <w:tcW w:w="1459" w:type="dxa"/>
            <w:tcBorders>
              <w:top w:val="single" w:sz="4" w:space="0" w:color="000000"/>
              <w:left w:val="single" w:sz="4" w:space="0" w:color="000000"/>
              <w:bottom w:val="single" w:sz="4" w:space="0" w:color="000000"/>
              <w:right w:val="single" w:sz="4" w:space="0" w:color="000000"/>
            </w:tcBorders>
          </w:tcPr>
          <w:p w:rsidR="00FB766D" w:rsidRPr="001C4763" w14:paraId="0D54C7EB" w14:textId="77777777">
            <w:pPr>
              <w:spacing w:after="11" w:line="259" w:lineRule="auto"/>
              <w:ind w:left="2" w:firstLine="0"/>
              <w:rPr>
                <w:color w:val="auto"/>
              </w:rPr>
            </w:pPr>
            <w:r w:rsidRPr="001C4763">
              <w:rPr>
                <w:color w:val="auto"/>
                <w:sz w:val="14"/>
              </w:rPr>
              <w:t xml:space="preserve">Estimated Annual </w:t>
            </w:r>
          </w:p>
          <w:p w:rsidR="00FB766D" w:rsidRPr="001C4763" w14:paraId="088649DB" w14:textId="77777777">
            <w:pPr>
              <w:spacing w:after="11" w:line="259" w:lineRule="auto"/>
              <w:ind w:left="2" w:firstLine="0"/>
              <w:rPr>
                <w:color w:val="auto"/>
              </w:rPr>
            </w:pPr>
            <w:r w:rsidRPr="001C4763">
              <w:rPr>
                <w:color w:val="auto"/>
                <w:sz w:val="14"/>
              </w:rPr>
              <w:t xml:space="preserve">Total Hours and Cost </w:t>
            </w:r>
          </w:p>
          <w:p w:rsidR="00FB766D" w:rsidRPr="001C4763" w14:paraId="22CC14FA" w14:textId="77777777">
            <w:pPr>
              <w:spacing w:after="0" w:line="259" w:lineRule="auto"/>
              <w:ind w:left="2" w:firstLine="0"/>
              <w:rPr>
                <w:color w:val="auto"/>
              </w:rPr>
            </w:pPr>
            <w:r w:rsidRPr="001C4763">
              <w:rPr>
                <w:color w:val="auto"/>
                <w:sz w:val="14"/>
              </w:rPr>
              <w:t xml:space="preserve">Burden  </w:t>
            </w:r>
          </w:p>
        </w:tc>
        <w:tc>
          <w:tcPr>
            <w:tcW w:w="1080" w:type="dxa"/>
            <w:tcBorders>
              <w:top w:val="single" w:sz="4" w:space="0" w:color="000000"/>
              <w:left w:val="single" w:sz="4" w:space="0" w:color="000000"/>
              <w:bottom w:val="single" w:sz="4" w:space="0" w:color="000000"/>
              <w:right w:val="single" w:sz="4" w:space="0" w:color="000000"/>
            </w:tcBorders>
          </w:tcPr>
          <w:p w:rsidR="00FB766D" w:rsidRPr="001C4763" w14:paraId="0A4D7A10" w14:textId="758FE1E7">
            <w:pPr>
              <w:spacing w:after="0" w:line="259" w:lineRule="auto"/>
              <w:ind w:left="0" w:right="72" w:firstLine="0"/>
              <w:jc w:val="center"/>
              <w:rPr>
                <w:color w:val="auto"/>
              </w:rPr>
            </w:pPr>
            <w:r w:rsidRPr="001C4763">
              <w:rPr>
                <w:color w:val="auto"/>
              </w:rPr>
              <w:t xml:space="preserve">96 </w:t>
            </w:r>
          </w:p>
        </w:tc>
        <w:tc>
          <w:tcPr>
            <w:tcW w:w="1169" w:type="dxa"/>
            <w:tcBorders>
              <w:top w:val="single" w:sz="4" w:space="0" w:color="000000"/>
              <w:left w:val="single" w:sz="4" w:space="0" w:color="000000"/>
              <w:bottom w:val="single" w:sz="4" w:space="0" w:color="000000"/>
              <w:right w:val="single" w:sz="4" w:space="0" w:color="000000"/>
            </w:tcBorders>
          </w:tcPr>
          <w:p w:rsidR="00FB766D" w:rsidRPr="001C4763" w:rsidP="001237F4" w14:paraId="595076FA" w14:textId="722E8E48">
            <w:pPr>
              <w:spacing w:after="0" w:line="259" w:lineRule="auto"/>
              <w:ind w:left="0" w:right="74" w:firstLine="0"/>
              <w:jc w:val="center"/>
              <w:rPr>
                <w:color w:val="auto"/>
              </w:rPr>
            </w:pPr>
            <w:r w:rsidRPr="001C4763">
              <w:rPr>
                <w:color w:val="auto"/>
              </w:rPr>
              <w:t xml:space="preserve">288 </w:t>
            </w:r>
          </w:p>
        </w:tc>
        <w:tc>
          <w:tcPr>
            <w:tcW w:w="1171" w:type="dxa"/>
            <w:tcBorders>
              <w:top w:val="single" w:sz="4" w:space="0" w:color="000000"/>
              <w:left w:val="single" w:sz="4" w:space="0" w:color="000000"/>
              <w:bottom w:val="single" w:sz="4" w:space="0" w:color="000000"/>
              <w:right w:val="single" w:sz="4" w:space="0" w:color="000000"/>
            </w:tcBorders>
          </w:tcPr>
          <w:p w:rsidR="00FB766D" w:rsidRPr="001C4763" w:rsidP="00170A25" w14:paraId="7EF13360" w14:textId="7F156214">
            <w:pPr>
              <w:spacing w:after="0" w:line="259" w:lineRule="auto"/>
              <w:ind w:left="0" w:right="72" w:firstLine="0"/>
              <w:jc w:val="center"/>
              <w:rPr>
                <w:color w:val="auto"/>
              </w:rPr>
            </w:pPr>
            <w:r w:rsidRPr="001C4763">
              <w:rPr>
                <w:color w:val="auto"/>
              </w:rPr>
              <w:t>2</w:t>
            </w:r>
            <w:r w:rsidRPr="001C4763" w:rsidR="00170A25">
              <w:rPr>
                <w:color w:val="auto"/>
              </w:rPr>
              <w:t>8</w:t>
            </w:r>
            <w:r w:rsidRPr="001C4763" w:rsidR="00F129B2">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FB766D" w:rsidRPr="001C4763" w:rsidP="003D5A14" w14:paraId="064CF2EC" w14:textId="61624189">
            <w:pPr>
              <w:spacing w:after="0" w:line="259" w:lineRule="auto"/>
              <w:ind w:left="0" w:right="74" w:firstLine="0"/>
              <w:jc w:val="center"/>
              <w:rPr>
                <w:color w:val="auto"/>
              </w:rPr>
            </w:pPr>
            <w:r w:rsidRPr="001C4763">
              <w:rPr>
                <w:color w:val="auto"/>
              </w:rPr>
              <w:t xml:space="preserve"> 8,064</w:t>
            </w:r>
            <w:r w:rsidRPr="001C4763" w:rsidR="00F129B2">
              <w:rPr>
                <w:color w:val="auto"/>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766D" w:rsidRPr="001C4763" w:rsidP="00484A68" w14:paraId="511003C0" w14:textId="18383D10">
            <w:pPr>
              <w:spacing w:after="0" w:line="259" w:lineRule="auto"/>
              <w:ind w:left="0" w:right="72" w:firstLine="0"/>
              <w:jc w:val="center"/>
              <w:rPr>
                <w:color w:val="auto"/>
                <w:highlight w:val="yellow"/>
              </w:rPr>
            </w:pPr>
            <w:r w:rsidRPr="001C4763">
              <w:rPr>
                <w:color w:val="auto"/>
              </w:rPr>
              <w:t>$</w:t>
            </w:r>
            <w:r w:rsidR="00A02404">
              <w:rPr>
                <w:color w:val="auto"/>
              </w:rPr>
              <w:t>69.50</w:t>
            </w:r>
            <w:r w:rsidRPr="001C4763">
              <w:rPr>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FB766D" w:rsidRPr="001C4763" w:rsidP="00926B38" w14:paraId="6E6CC98B" w14:textId="0E0FF4B5">
            <w:pPr>
              <w:spacing w:after="0" w:line="259" w:lineRule="auto"/>
              <w:ind w:left="0" w:right="67" w:firstLine="0"/>
              <w:jc w:val="center"/>
              <w:rPr>
                <w:color w:val="auto"/>
              </w:rPr>
            </w:pPr>
            <w:r w:rsidRPr="001C4763">
              <w:rPr>
                <w:color w:val="auto"/>
              </w:rPr>
              <w:t>$</w:t>
            </w:r>
            <w:r w:rsidRPr="001C4763" w:rsidR="00926B38">
              <w:rPr>
                <w:color w:val="auto"/>
              </w:rPr>
              <w:t xml:space="preserve"> </w:t>
            </w:r>
            <w:r w:rsidR="002E0F39">
              <w:rPr>
                <w:color w:val="auto"/>
              </w:rPr>
              <w:t xml:space="preserve">747,264 </w:t>
            </w:r>
          </w:p>
        </w:tc>
      </w:tr>
    </w:tbl>
    <w:p w:rsidR="00FB766D" w:rsidRPr="001C4763" w14:paraId="753D0AD8" w14:textId="1859D7EA">
      <w:pPr>
        <w:spacing w:after="225"/>
        <w:ind w:left="1075"/>
        <w:rPr>
          <w:color w:val="auto"/>
        </w:rPr>
      </w:pPr>
      <w:r w:rsidRPr="001C4763">
        <w:rPr>
          <w:color w:val="auto"/>
        </w:rPr>
        <w:t xml:space="preserve">*Assumes </w:t>
      </w:r>
      <w:r w:rsidRPr="001C4763" w:rsidR="00531B3F">
        <w:rPr>
          <w:color w:val="auto"/>
        </w:rPr>
        <w:t>2</w:t>
      </w:r>
      <w:r w:rsidRPr="001C4763" w:rsidR="00170A25">
        <w:rPr>
          <w:color w:val="auto"/>
        </w:rPr>
        <w:t>8</w:t>
      </w:r>
      <w:r w:rsidRPr="001C4763" w:rsidR="00DD3ADF">
        <w:rPr>
          <w:color w:val="auto"/>
        </w:rPr>
        <w:t xml:space="preserve"> </w:t>
      </w:r>
      <w:r w:rsidRPr="001C4763">
        <w:rPr>
          <w:color w:val="auto"/>
        </w:rPr>
        <w:t xml:space="preserve">HFPP participating in each study, excluding states. </w:t>
      </w:r>
    </w:p>
    <w:p w:rsidR="00FB766D" w:rsidRPr="001C4763" w14:paraId="41D5E7B8" w14:textId="77777777">
      <w:pPr>
        <w:pStyle w:val="Heading1"/>
        <w:ind w:left="715"/>
        <w:rPr>
          <w:color w:val="auto"/>
        </w:rPr>
      </w:pPr>
      <w:r w:rsidRPr="001C4763">
        <w:rPr>
          <w:b w:val="0"/>
          <w:color w:val="auto"/>
          <w:u w:val="none"/>
        </w:rPr>
        <w:t xml:space="preserve">13. </w:t>
      </w:r>
      <w:r w:rsidRPr="001C4763">
        <w:rPr>
          <w:color w:val="auto"/>
        </w:rPr>
        <w:t>Capital Costs</w:t>
      </w:r>
      <w:r w:rsidRPr="001C4763">
        <w:rPr>
          <w:b w:val="0"/>
          <w:color w:val="auto"/>
          <w:u w:val="none"/>
        </w:rPr>
        <w:t xml:space="preserve"> </w:t>
      </w:r>
    </w:p>
    <w:p w:rsidR="00FB766D" w:rsidRPr="001C4763" w14:paraId="4627635F" w14:textId="77777777">
      <w:pPr>
        <w:spacing w:after="0" w:line="259" w:lineRule="auto"/>
        <w:ind w:left="720" w:firstLine="0"/>
        <w:rPr>
          <w:color w:val="auto"/>
        </w:rPr>
      </w:pPr>
      <w:r w:rsidRPr="001C4763">
        <w:rPr>
          <w:color w:val="auto"/>
        </w:rPr>
        <w:t xml:space="preserve"> </w:t>
      </w:r>
      <w:r w:rsidRPr="001C4763">
        <w:rPr>
          <w:color w:val="auto"/>
        </w:rPr>
        <w:tab/>
        <w:t xml:space="preserve"> </w:t>
      </w:r>
    </w:p>
    <w:p w:rsidR="00FB766D" w:rsidRPr="001C4763" w14:paraId="701C1212" w14:textId="77777777">
      <w:pPr>
        <w:ind w:left="1080" w:hanging="360"/>
        <w:rPr>
          <w:color w:val="auto"/>
        </w:rPr>
      </w:pPr>
      <w:r w:rsidRPr="001C4763">
        <w:rPr>
          <w:color w:val="auto"/>
        </w:rPr>
        <w:t xml:space="preserve"> </w:t>
      </w:r>
      <w:r w:rsidRPr="001C4763">
        <w:rPr>
          <w:color w:val="auto"/>
        </w:rPr>
        <w:tab/>
        <w:t xml:space="preserve">CMS is responsible for all costs to create a secure Partner Portal for HFPP and for creating a data repository for data collection and data analysis. </w:t>
      </w:r>
    </w:p>
    <w:p w:rsidR="00FB766D" w:rsidRPr="001C4763" w14:paraId="7FEE1F37" w14:textId="77777777">
      <w:pPr>
        <w:spacing w:after="0" w:line="259" w:lineRule="auto"/>
        <w:ind w:left="720" w:firstLine="0"/>
        <w:rPr>
          <w:color w:val="auto"/>
        </w:rPr>
      </w:pPr>
      <w:r w:rsidRPr="001C4763">
        <w:rPr>
          <w:color w:val="auto"/>
        </w:rPr>
        <w:t xml:space="preserve"> </w:t>
      </w:r>
    </w:p>
    <w:p w:rsidR="00FB766D" w:rsidRPr="001C4763" w14:paraId="6D3089B9" w14:textId="77777777">
      <w:pPr>
        <w:pStyle w:val="Heading1"/>
        <w:ind w:left="715"/>
        <w:rPr>
          <w:color w:val="auto"/>
        </w:rPr>
      </w:pPr>
      <w:r w:rsidRPr="001C4763">
        <w:rPr>
          <w:b w:val="0"/>
          <w:color w:val="auto"/>
          <w:u w:val="none"/>
        </w:rPr>
        <w:t xml:space="preserve">14.  </w:t>
      </w:r>
      <w:r w:rsidRPr="001C4763">
        <w:rPr>
          <w:color w:val="auto"/>
        </w:rPr>
        <w:t>Costs to Federal Government</w:t>
      </w:r>
      <w:r w:rsidRPr="001C4763">
        <w:rPr>
          <w:color w:val="auto"/>
          <w:u w:val="none"/>
        </w:rPr>
        <w:t xml:space="preserve"> </w:t>
      </w:r>
    </w:p>
    <w:p w:rsidR="00FB766D" w:rsidRPr="001C4763" w14:paraId="7A206B13" w14:textId="77777777">
      <w:pPr>
        <w:spacing w:after="0" w:line="259" w:lineRule="auto"/>
        <w:ind w:left="720" w:firstLine="0"/>
        <w:rPr>
          <w:color w:val="auto"/>
        </w:rPr>
      </w:pPr>
      <w:r w:rsidRPr="001C4763">
        <w:rPr>
          <w:color w:val="auto"/>
        </w:rPr>
        <w:t xml:space="preserve">       </w:t>
      </w:r>
    </w:p>
    <w:p w:rsidR="00FB766D" w:rsidRPr="001C4763" w14:paraId="48B8B542" w14:textId="7FFCF5D9">
      <w:pPr>
        <w:ind w:left="1080" w:hanging="360"/>
        <w:rPr>
          <w:color w:val="auto"/>
        </w:rPr>
      </w:pPr>
      <w:r w:rsidRPr="001C4763">
        <w:rPr>
          <w:color w:val="auto"/>
        </w:rPr>
        <w:t xml:space="preserve"> </w:t>
      </w:r>
      <w:r w:rsidRPr="001C4763">
        <w:rPr>
          <w:color w:val="auto"/>
        </w:rPr>
        <w:tab/>
        <w:t>Costs to CMS to implement this program include administrative costs as well as costs of contractor support in various functional areas including technical and business services and products. The annual contractor support cost is $</w:t>
      </w:r>
      <w:r w:rsidRPr="001C4763" w:rsidR="00D212F6">
        <w:rPr>
          <w:color w:val="auto"/>
        </w:rPr>
        <w:t>11,333,002</w:t>
      </w:r>
      <w:r w:rsidRPr="001C4763">
        <w:rPr>
          <w:color w:val="auto"/>
        </w:rPr>
        <w:t xml:space="preserve">. </w:t>
      </w:r>
    </w:p>
    <w:p w:rsidR="00FB766D" w:rsidRPr="001C4763" w14:paraId="710E7A78" w14:textId="77777777">
      <w:pPr>
        <w:spacing w:after="0" w:line="259" w:lineRule="auto"/>
        <w:ind w:left="0" w:firstLine="0"/>
        <w:rPr>
          <w:color w:val="auto"/>
        </w:rPr>
      </w:pPr>
      <w:r w:rsidRPr="001C4763">
        <w:rPr>
          <w:color w:val="auto"/>
        </w:rPr>
        <w:t xml:space="preserve"> </w:t>
      </w:r>
    </w:p>
    <w:p w:rsidR="00FB766D" w:rsidRPr="001C4763" w14:paraId="537D3119" w14:textId="5214C2BC">
      <w:pPr>
        <w:pStyle w:val="Heading1"/>
        <w:ind w:left="715"/>
        <w:rPr>
          <w:color w:val="auto"/>
        </w:rPr>
      </w:pPr>
      <w:r w:rsidRPr="001C4763">
        <w:rPr>
          <w:b w:val="0"/>
          <w:color w:val="auto"/>
          <w:u w:val="none"/>
        </w:rPr>
        <w:t xml:space="preserve">15. </w:t>
      </w:r>
      <w:r w:rsidRPr="001C4763" w:rsidR="00464128">
        <w:rPr>
          <w:color w:val="auto"/>
        </w:rPr>
        <w:t>Changes to Burden</w:t>
      </w:r>
      <w:r w:rsidRPr="001C4763">
        <w:rPr>
          <w:color w:val="auto"/>
        </w:rPr>
        <w:t xml:space="preserve">  </w:t>
      </w:r>
    </w:p>
    <w:p w:rsidR="00FB766D" w:rsidRPr="001C4763" w14:paraId="04D16E51" w14:textId="77777777">
      <w:pPr>
        <w:spacing w:after="0" w:line="259" w:lineRule="auto"/>
        <w:ind w:left="1080" w:firstLine="0"/>
        <w:rPr>
          <w:color w:val="auto"/>
        </w:rPr>
      </w:pPr>
      <w:r w:rsidRPr="001C4763">
        <w:rPr>
          <w:color w:val="auto"/>
        </w:rPr>
        <w:t xml:space="preserve"> </w:t>
      </w:r>
    </w:p>
    <w:p w:rsidR="00FB766D" w:rsidRPr="001C4763" w:rsidP="008C6171" w14:paraId="1C5F22ED" w14:textId="74ABCB66">
      <w:pPr>
        <w:rPr>
          <w:color w:val="auto"/>
        </w:rPr>
      </w:pPr>
      <w:r w:rsidRPr="001C4763">
        <w:rPr>
          <w:color w:val="auto"/>
        </w:rPr>
        <w:t xml:space="preserve">The HFPP TTP </w:t>
      </w:r>
      <w:r w:rsidRPr="001C4763" w:rsidR="00677E00">
        <w:rPr>
          <w:color w:val="auto"/>
        </w:rPr>
        <w:t xml:space="preserve">has </w:t>
      </w:r>
      <w:r w:rsidRPr="001C4763">
        <w:rPr>
          <w:color w:val="auto"/>
        </w:rPr>
        <w:t>implementing a shift in the way studies are conducted for the purpose of detecting and deterring fraud, waste, and abuse among its partners.  Moving to a framework with frequently updated data, including PHI and PII, the TTP enable</w:t>
      </w:r>
      <w:r w:rsidRPr="001C4763" w:rsidR="00677E00">
        <w:rPr>
          <w:color w:val="auto"/>
        </w:rPr>
        <w:t>s</w:t>
      </w:r>
      <w:r w:rsidRPr="001C4763">
        <w:rPr>
          <w:color w:val="auto"/>
        </w:rPr>
        <w:t xml:space="preserve"> the HFPP to proactively identify vulnerabilities across participating entities in real time, significantly increasing the value of the HFPP to its partners.  The TTP developed a new process and expanded the set of data elements for submission by partners using a </w:t>
      </w:r>
      <w:r w:rsidRPr="001C4763" w:rsidR="007B1054">
        <w:rPr>
          <w:color w:val="auto"/>
        </w:rPr>
        <w:t>c</w:t>
      </w:r>
      <w:r w:rsidRPr="001C4763">
        <w:rPr>
          <w:color w:val="auto"/>
        </w:rPr>
        <w:t>loud environment and resources that allows it to analyze data that is stored in many formats in the same file. It also allows for the partners to choose how to provide the data taking advantage of files, formats, and processes that the partners’ IT departments are using</w:t>
      </w:r>
      <w:r w:rsidRPr="001C4763" w:rsidR="00DF3D80">
        <w:rPr>
          <w:color w:val="auto"/>
        </w:rPr>
        <w:t xml:space="preserve"> (including SFTP server transfer),</w:t>
      </w:r>
      <w:r w:rsidRPr="001C4763">
        <w:rPr>
          <w:color w:val="auto"/>
        </w:rPr>
        <w:t xml:space="preserve"> either with the Special Investigations Unit (SIU), other internal components, or with third parties. </w:t>
      </w:r>
    </w:p>
    <w:p w:rsidR="00FB766D" w:rsidRPr="001C4763" w14:paraId="08CBAFFF" w14:textId="77777777">
      <w:pPr>
        <w:spacing w:after="0" w:line="259" w:lineRule="auto"/>
        <w:ind w:left="1080" w:firstLine="0"/>
        <w:rPr>
          <w:color w:val="auto"/>
        </w:rPr>
      </w:pPr>
      <w:r w:rsidRPr="001C4763">
        <w:rPr>
          <w:color w:val="auto"/>
        </w:rPr>
        <w:t xml:space="preserve"> </w:t>
      </w:r>
    </w:p>
    <w:p w:rsidR="00457E76" w:rsidRPr="001C4763" w:rsidP="00457E76" w14:paraId="092B9192" w14:textId="7B5C1786">
      <w:pPr>
        <w:ind w:left="720"/>
        <w:rPr>
          <w:color w:val="auto"/>
        </w:rPr>
      </w:pPr>
      <w:r w:rsidRPr="001C4763">
        <w:rPr>
          <w:color w:val="auto"/>
        </w:rPr>
        <w:t>As a result of this new streamlined process which incorporates procedures aimed at reducing the time and effort involved in retrieving claims data</w:t>
      </w:r>
      <w:r w:rsidRPr="001C4763" w:rsidR="008C6E56">
        <w:rPr>
          <w:color w:val="auto"/>
        </w:rPr>
        <w:t>, and updated data sharing artifacts and documents</w:t>
      </w:r>
      <w:r w:rsidRPr="001C4763">
        <w:rPr>
          <w:color w:val="auto"/>
        </w:rPr>
        <w:t xml:space="preserve">, the annual burden hours per partner has decreased from </w:t>
      </w:r>
      <w:r w:rsidRPr="001C4763" w:rsidR="00170A25">
        <w:rPr>
          <w:color w:val="auto"/>
        </w:rPr>
        <w:t xml:space="preserve">160 </w:t>
      </w:r>
      <w:r w:rsidRPr="001C4763">
        <w:rPr>
          <w:color w:val="auto"/>
        </w:rPr>
        <w:t xml:space="preserve">to </w:t>
      </w:r>
      <w:r w:rsidRPr="001C4763" w:rsidR="00170A25">
        <w:rPr>
          <w:color w:val="auto"/>
        </w:rPr>
        <w:t xml:space="preserve">120 </w:t>
      </w:r>
      <w:r w:rsidRPr="001C4763">
        <w:rPr>
          <w:color w:val="auto"/>
        </w:rPr>
        <w:t xml:space="preserve">while allowing for the number of respondents to be increased from </w:t>
      </w:r>
      <w:r w:rsidRPr="001C4763" w:rsidR="00170A25">
        <w:rPr>
          <w:color w:val="auto"/>
        </w:rPr>
        <w:t xml:space="preserve">20 </w:t>
      </w:r>
      <w:r w:rsidRPr="001C4763">
        <w:rPr>
          <w:color w:val="auto"/>
        </w:rPr>
        <w:t xml:space="preserve">to </w:t>
      </w:r>
      <w:r w:rsidRPr="001C4763" w:rsidR="00170A25">
        <w:rPr>
          <w:color w:val="auto"/>
        </w:rPr>
        <w:t>28</w:t>
      </w:r>
      <w:r w:rsidRPr="001C4763">
        <w:rPr>
          <w:color w:val="auto"/>
        </w:rPr>
        <w:t>.</w:t>
      </w:r>
    </w:p>
    <w:p w:rsidR="00457E76" w:rsidRPr="001C4763" w:rsidP="00457E76" w14:paraId="677C4FE6" w14:textId="77777777">
      <w:pPr>
        <w:rPr>
          <w:color w:val="auto"/>
        </w:rPr>
      </w:pPr>
    </w:p>
    <w:p w:rsidR="003A362E" w:rsidRPr="001C4763" w:rsidP="00457E76" w14:paraId="27121DCC" w14:textId="77777777">
      <w:pPr>
        <w:rPr>
          <w:color w:val="auto"/>
        </w:rPr>
      </w:pPr>
      <w:r w:rsidRPr="001C4763">
        <w:rPr>
          <w:color w:val="auto"/>
        </w:rPr>
        <w:t>The centers anticipate this to be an ongoing collection and request OMB approval for an additional three years.</w:t>
      </w:r>
    </w:p>
    <w:p w:rsidR="00FB766D" w:rsidRPr="001C4763" w14:paraId="7D0DDC85" w14:textId="77777777">
      <w:pPr>
        <w:spacing w:after="0" w:line="259" w:lineRule="auto"/>
        <w:ind w:left="1080" w:firstLine="0"/>
        <w:rPr>
          <w:color w:val="auto"/>
        </w:rPr>
      </w:pPr>
      <w:r w:rsidRPr="001C4763">
        <w:rPr>
          <w:color w:val="auto"/>
        </w:rPr>
        <w:t xml:space="preserve"> </w:t>
      </w:r>
    </w:p>
    <w:p w:rsidR="00FB766D" w:rsidRPr="001C4763" w14:paraId="17D1CA1D" w14:textId="77777777">
      <w:pPr>
        <w:spacing w:after="10"/>
        <w:ind w:left="715"/>
        <w:rPr>
          <w:color w:val="auto"/>
        </w:rPr>
      </w:pPr>
      <w:r w:rsidRPr="001C4763">
        <w:rPr>
          <w:color w:val="auto"/>
        </w:rPr>
        <w:t xml:space="preserve">16. </w:t>
      </w:r>
      <w:r w:rsidRPr="001C4763">
        <w:rPr>
          <w:b/>
          <w:color w:val="auto"/>
          <w:u w:val="single" w:color="000000"/>
        </w:rPr>
        <w:t>Publication and Tabulation Dates</w:t>
      </w:r>
      <w:r w:rsidRPr="001C4763">
        <w:rPr>
          <w:color w:val="auto"/>
        </w:rPr>
        <w:t xml:space="preserve"> </w:t>
      </w:r>
    </w:p>
    <w:p w:rsidR="00FB766D" w:rsidRPr="001C4763" w14:paraId="66436E4F" w14:textId="77777777">
      <w:pPr>
        <w:spacing w:after="0" w:line="259" w:lineRule="auto"/>
        <w:ind w:left="1080" w:firstLine="0"/>
        <w:rPr>
          <w:color w:val="auto"/>
        </w:rPr>
      </w:pPr>
      <w:r w:rsidRPr="001C4763">
        <w:rPr>
          <w:color w:val="auto"/>
        </w:rPr>
        <w:t xml:space="preserve"> </w:t>
      </w:r>
    </w:p>
    <w:p w:rsidR="00FB766D" w:rsidRPr="001C4763" w14:paraId="43EBBA3F" w14:textId="77777777">
      <w:pPr>
        <w:ind w:left="1075"/>
        <w:rPr>
          <w:color w:val="auto"/>
        </w:rPr>
      </w:pPr>
      <w:r w:rsidRPr="001C4763">
        <w:rPr>
          <w:color w:val="auto"/>
        </w:rPr>
        <w:t xml:space="preserve">Data will not be made available to the </w:t>
      </w:r>
      <w:r w:rsidRPr="001C4763">
        <w:rPr>
          <w:color w:val="auto"/>
        </w:rPr>
        <w:t>general public</w:t>
      </w:r>
      <w:r w:rsidRPr="001C4763">
        <w:rPr>
          <w:color w:val="auto"/>
        </w:rPr>
        <w:t xml:space="preserve">.  </w:t>
      </w:r>
    </w:p>
    <w:p w:rsidR="00FB766D" w:rsidRPr="001C4763" w14:paraId="4554CBCB" w14:textId="77777777">
      <w:pPr>
        <w:spacing w:after="0" w:line="259" w:lineRule="auto"/>
        <w:ind w:left="0" w:firstLine="0"/>
        <w:rPr>
          <w:color w:val="auto"/>
        </w:rPr>
      </w:pPr>
      <w:r w:rsidRPr="001C4763">
        <w:rPr>
          <w:color w:val="auto"/>
        </w:rPr>
        <w:t xml:space="preserve"> </w:t>
      </w:r>
    </w:p>
    <w:p w:rsidR="00FB766D" w:rsidRPr="001C4763" w14:paraId="611AFA78" w14:textId="77777777">
      <w:pPr>
        <w:pStyle w:val="Heading1"/>
        <w:ind w:left="715"/>
        <w:rPr>
          <w:color w:val="auto"/>
        </w:rPr>
      </w:pPr>
      <w:r w:rsidRPr="001C4763">
        <w:rPr>
          <w:b w:val="0"/>
          <w:color w:val="auto"/>
          <w:u w:val="none"/>
        </w:rPr>
        <w:t xml:space="preserve">17. </w:t>
      </w:r>
      <w:r w:rsidRPr="001C4763">
        <w:rPr>
          <w:color w:val="auto"/>
        </w:rPr>
        <w:t>Expiration Date</w:t>
      </w:r>
      <w:r w:rsidRPr="001C4763">
        <w:rPr>
          <w:color w:val="auto"/>
          <w:u w:val="none"/>
        </w:rPr>
        <w:t xml:space="preserve">  </w:t>
      </w:r>
    </w:p>
    <w:p w:rsidR="00FB766D" w:rsidRPr="001C4763" w14:paraId="6307B19F" w14:textId="77777777">
      <w:pPr>
        <w:spacing w:after="0" w:line="259" w:lineRule="auto"/>
        <w:ind w:left="720" w:firstLine="0"/>
        <w:rPr>
          <w:color w:val="auto"/>
        </w:rPr>
      </w:pPr>
      <w:r w:rsidRPr="001C4763">
        <w:rPr>
          <w:color w:val="auto"/>
        </w:rPr>
        <w:t xml:space="preserve"> </w:t>
      </w:r>
    </w:p>
    <w:p w:rsidR="00FB766D" w:rsidRPr="001C4763" w14:paraId="39360D69" w14:textId="77777777">
      <w:pPr>
        <w:ind w:left="1075"/>
        <w:rPr>
          <w:color w:val="auto"/>
        </w:rPr>
      </w:pPr>
      <w:r w:rsidRPr="001C4763">
        <w:rPr>
          <w:color w:val="auto"/>
        </w:rPr>
        <w:t>The OMB control number and expiration date will be included on each data collection instrument</w:t>
      </w:r>
      <w:r w:rsidRPr="001C4763" w:rsidR="00DF69EF">
        <w:rPr>
          <w:color w:val="auto"/>
        </w:rPr>
        <w:t xml:space="preserve"> (top of page 1)</w:t>
      </w:r>
      <w:r w:rsidRPr="001C4763">
        <w:rPr>
          <w:color w:val="auto"/>
        </w:rPr>
        <w:t xml:space="preserve">. </w:t>
      </w:r>
    </w:p>
    <w:p w:rsidR="00FB766D" w:rsidRPr="001C4763" w14:paraId="69AD3727" w14:textId="77777777">
      <w:pPr>
        <w:spacing w:after="0" w:line="259" w:lineRule="auto"/>
        <w:ind w:left="0" w:firstLine="0"/>
        <w:rPr>
          <w:color w:val="auto"/>
        </w:rPr>
      </w:pPr>
      <w:r w:rsidRPr="001C4763">
        <w:rPr>
          <w:color w:val="auto"/>
        </w:rPr>
        <w:t xml:space="preserve"> </w:t>
      </w:r>
    </w:p>
    <w:p w:rsidR="00FB766D" w14:paraId="3529D458" w14:textId="77777777">
      <w:pPr>
        <w:spacing w:after="0" w:line="259" w:lineRule="auto"/>
        <w:ind w:left="1080" w:firstLine="0"/>
      </w:pPr>
      <w:r>
        <w:t xml:space="preserve"> </w:t>
      </w:r>
    </w:p>
    <w:sectPr w:rsidSect="008052E0">
      <w:footnotePr>
        <w:numRestart w:val="eachPage"/>
      </w:footnotePr>
      <w:type w:val="continuous"/>
      <w:pgSz w:w="12240" w:h="15840"/>
      <w:pgMar w:top="1403" w:right="1442" w:bottom="161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1759" w14:paraId="695B6528" w14:textId="77777777">
      <w:pPr>
        <w:spacing w:after="0" w:line="240" w:lineRule="auto"/>
      </w:pPr>
      <w:r>
        <w:separator/>
      </w:r>
    </w:p>
  </w:endnote>
  <w:endnote w:type="continuationSeparator" w:id="1">
    <w:p w:rsidR="00AC1759" w14:paraId="4EBDA0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1759" w14:paraId="661600EE" w14:textId="77777777">
      <w:pPr>
        <w:spacing w:after="0" w:line="324" w:lineRule="auto"/>
        <w:ind w:left="360" w:firstLine="0"/>
      </w:pPr>
      <w:r>
        <w:separator/>
      </w:r>
    </w:p>
  </w:footnote>
  <w:footnote w:type="continuationSeparator" w:id="1">
    <w:p w:rsidR="00AC1759" w14:paraId="1625DDAC" w14:textId="77777777">
      <w:pPr>
        <w:spacing w:after="0" w:line="324" w:lineRule="auto"/>
        <w:ind w:left="360" w:firstLine="0"/>
      </w:pPr>
      <w:r>
        <w:continuationSeparator/>
      </w:r>
    </w:p>
  </w:footnote>
  <w:footnote w:id="2">
    <w:p w:rsidR="00071C68" w14:paraId="337D9A99" w14:textId="15753728">
      <w:pPr>
        <w:pStyle w:val="FootnoteText"/>
      </w:pPr>
      <w:r>
        <w:rPr>
          <w:rStyle w:val="FootnoteReference"/>
        </w:rPr>
        <w:footnoteRef/>
      </w:r>
      <w:r>
        <w:t xml:space="preserve"> </w:t>
      </w:r>
      <w:r w:rsidRPr="00071C68">
        <w:t>This system of records covers the national Medicaid dataset, consisting of standardized enrollment, eligibility, and paid claims data about Medicaid recipients which is used to administer Medicaid at the federal level, produce statistical reports, support Medicaid related research, and assist in the detection of fraud and abuse in the Medicare and Medicaid programs.</w:t>
      </w:r>
    </w:p>
  </w:footnote>
  <w:footnote w:id="3">
    <w:p w:rsidR="000E67EF" w14:paraId="6A7DD5A1" w14:textId="35782EC6">
      <w:pPr>
        <w:pStyle w:val="footnotedescription"/>
      </w:pPr>
      <w:r>
        <w:rPr>
          <w:rStyle w:val="footnotemark"/>
        </w:rPr>
        <w:t>2</w:t>
      </w:r>
      <w:r>
        <w:t xml:space="preserve">Based on Bureau of Labor Statistics, Occupational Employment Statistics, Occupational Employment and Wages, </w:t>
      </w:r>
      <w:r w:rsidRPr="00472CBD">
        <w:t xml:space="preserve">May </w:t>
      </w:r>
      <w:r w:rsidRPr="00484A68" w:rsidR="00472CBD">
        <w:t>20</w:t>
      </w:r>
      <w:r w:rsidR="009A041D">
        <w:t>24</w:t>
      </w:r>
      <w:r w:rsidRPr="00C2482B">
        <w:t>.</w:t>
      </w:r>
      <w:r>
        <w:t xml:space="preserve"> Includes fringe benefits calculated at 100%</w:t>
      </w:r>
      <w:r>
        <w:rPr>
          <w:color w:val="FF0000"/>
        </w:rPr>
        <w:t xml:space="preserve"> </w:t>
      </w:r>
      <w:r>
        <w:t xml:space="preserve">of base wage.  </w:t>
      </w:r>
    </w:p>
    <w:p w:rsidR="000E67EF" w14:paraId="787972A0" w14:textId="77777777">
      <w:pPr>
        <w:pStyle w:val="footnotedescription"/>
        <w:spacing w:line="259" w:lineRule="auto"/>
      </w:pPr>
      <w:r>
        <w:t>http://www.bls.gov/oes/current/oes_nat.htm</w:t>
      </w:r>
      <w:r>
        <w:rPr>
          <w:b w:val="0"/>
          <w:sz w:val="16"/>
        </w:rPr>
        <w:t xml:space="preserve"> </w:t>
      </w:r>
      <w:r>
        <w:rPr>
          <w:b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36D7C"/>
    <w:multiLevelType w:val="hybridMultilevel"/>
    <w:tmpl w:val="5D76F030"/>
    <w:lvl w:ilvl="0">
      <w:start w:val="1"/>
      <w:numFmt w:val="upp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
    <w:nsid w:val="0A6D1FB8"/>
    <w:multiLevelType w:val="hybridMultilevel"/>
    <w:tmpl w:val="3752B54C"/>
    <w:lvl w:ilvl="0">
      <w:start w:val="1"/>
      <w:numFmt w:val="decimal"/>
      <w:lvlText w:val="%1."/>
      <w:lvlJc w:val="left"/>
      <w:pPr>
        <w:ind w:left="1065" w:hanging="360"/>
      </w:pPr>
      <w:rPr>
        <w:rFonts w:hint="default"/>
        <w:b w:val="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
    <w:nsid w:val="3AE81898"/>
    <w:multiLevelType w:val="hybridMultilevel"/>
    <w:tmpl w:val="8AF2F6C2"/>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
    <w:nsid w:val="498D5F9C"/>
    <w:multiLevelType w:val="hybridMultilevel"/>
    <w:tmpl w:val="71648FF8"/>
    <w:lvl w:ilvl="0">
      <w:start w:val="5"/>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0336E56"/>
    <w:multiLevelType w:val="hybridMultilevel"/>
    <w:tmpl w:val="41CA64BE"/>
    <w:lvl w:ilvl="0">
      <w:start w:val="1"/>
      <w:numFmt w:val="bullet"/>
      <w:lvlText w:val="•"/>
      <w:lvlJc w:val="left"/>
      <w:pPr>
        <w:tabs>
          <w:tab w:val="num" w:pos="720"/>
        </w:tabs>
        <w:ind w:left="720" w:hanging="360"/>
      </w:pPr>
      <w:rPr>
        <w:rFonts w:ascii="Arial" w:hAnsi="Arial" w:hint="default"/>
      </w:rPr>
    </w:lvl>
    <w:lvl w:ilvl="1">
      <w:start w:val="60"/>
      <w:numFmt w:val="bullet"/>
      <w:lvlText w:val="•"/>
      <w:lvlJc w:val="left"/>
      <w:pPr>
        <w:tabs>
          <w:tab w:val="num" w:pos="1440"/>
        </w:tabs>
        <w:ind w:left="1440" w:hanging="360"/>
      </w:pPr>
      <w:rPr>
        <w:rFonts w:ascii="Arial" w:hAnsi="Arial" w:hint="default"/>
      </w:rPr>
    </w:lvl>
    <w:lvl w:ilvl="2">
      <w:start w:val="60"/>
      <w:numFmt w:val="bullet"/>
      <w:lvlText w:val="•"/>
      <w:lvlJc w:val="left"/>
      <w:pPr>
        <w:tabs>
          <w:tab w:val="num" w:pos="2160"/>
        </w:tabs>
        <w:ind w:left="2160" w:hanging="360"/>
      </w:pPr>
      <w:rPr>
        <w:rFonts w:ascii="Arial" w:hAnsi="Arial" w:hint="default"/>
      </w:rPr>
    </w:lvl>
    <w:lvl w:ilvl="3">
      <w:start w:val="60"/>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669D5B3B"/>
    <w:multiLevelType w:val="hybridMultilevel"/>
    <w:tmpl w:val="DE6EB244"/>
    <w:lvl w:ilvl="0">
      <w:start w:val="1"/>
      <w:numFmt w:val="lowerLetter"/>
      <w:lvlText w:val="%1)"/>
      <w:lvlJc w:val="left"/>
      <w:pPr>
        <w:ind w:left="1425"/>
      </w:pPr>
      <w:rPr>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6A4F23BF"/>
    <w:multiLevelType w:val="hybridMultilevel"/>
    <w:tmpl w:val="17103AC2"/>
    <w:lvl w:ilvl="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58172287">
    <w:abstractNumId w:val="5"/>
  </w:num>
  <w:num w:numId="2" w16cid:durableId="214508230">
    <w:abstractNumId w:val="3"/>
  </w:num>
  <w:num w:numId="3" w16cid:durableId="1755469487">
    <w:abstractNumId w:val="6"/>
  </w:num>
  <w:num w:numId="4" w16cid:durableId="2126540595">
    <w:abstractNumId w:val="0"/>
  </w:num>
  <w:num w:numId="5" w16cid:durableId="661587454">
    <w:abstractNumId w:val="4"/>
  </w:num>
  <w:num w:numId="6" w16cid:durableId="1647931214">
    <w:abstractNumId w:val="2"/>
  </w:num>
  <w:num w:numId="7" w16cid:durableId="180257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D"/>
    <w:rsid w:val="00002AB3"/>
    <w:rsid w:val="00004DB9"/>
    <w:rsid w:val="00027AAD"/>
    <w:rsid w:val="000338CF"/>
    <w:rsid w:val="00035148"/>
    <w:rsid w:val="00035810"/>
    <w:rsid w:val="0004345A"/>
    <w:rsid w:val="00046D18"/>
    <w:rsid w:val="00052FA9"/>
    <w:rsid w:val="00060D38"/>
    <w:rsid w:val="0006670C"/>
    <w:rsid w:val="00067FC5"/>
    <w:rsid w:val="00071C68"/>
    <w:rsid w:val="00096DD6"/>
    <w:rsid w:val="000A37E4"/>
    <w:rsid w:val="000C280E"/>
    <w:rsid w:val="000C5EB9"/>
    <w:rsid w:val="000C7A88"/>
    <w:rsid w:val="000D133C"/>
    <w:rsid w:val="000D1A87"/>
    <w:rsid w:val="000E66C7"/>
    <w:rsid w:val="000E67EF"/>
    <w:rsid w:val="000F5237"/>
    <w:rsid w:val="00101500"/>
    <w:rsid w:val="00107BAB"/>
    <w:rsid w:val="00117D18"/>
    <w:rsid w:val="001237F4"/>
    <w:rsid w:val="001261BF"/>
    <w:rsid w:val="00133EAD"/>
    <w:rsid w:val="001354EF"/>
    <w:rsid w:val="00151CDA"/>
    <w:rsid w:val="00155104"/>
    <w:rsid w:val="00170A25"/>
    <w:rsid w:val="00171609"/>
    <w:rsid w:val="00180CB6"/>
    <w:rsid w:val="00185CC4"/>
    <w:rsid w:val="00186D3A"/>
    <w:rsid w:val="001879F2"/>
    <w:rsid w:val="00190164"/>
    <w:rsid w:val="001B00B7"/>
    <w:rsid w:val="001B7C6F"/>
    <w:rsid w:val="001C1DF6"/>
    <w:rsid w:val="001C3AFE"/>
    <w:rsid w:val="001C4763"/>
    <w:rsid w:val="001E28F1"/>
    <w:rsid w:val="001E32BA"/>
    <w:rsid w:val="001E57E7"/>
    <w:rsid w:val="001E6593"/>
    <w:rsid w:val="001F00A0"/>
    <w:rsid w:val="001F1FE0"/>
    <w:rsid w:val="00216494"/>
    <w:rsid w:val="00232784"/>
    <w:rsid w:val="00244EA4"/>
    <w:rsid w:val="0025459C"/>
    <w:rsid w:val="002720B7"/>
    <w:rsid w:val="002901C3"/>
    <w:rsid w:val="00297B36"/>
    <w:rsid w:val="002E0F39"/>
    <w:rsid w:val="00304BD3"/>
    <w:rsid w:val="00325585"/>
    <w:rsid w:val="00341713"/>
    <w:rsid w:val="00363E61"/>
    <w:rsid w:val="00390FC2"/>
    <w:rsid w:val="003A362E"/>
    <w:rsid w:val="003B1252"/>
    <w:rsid w:val="003C00AC"/>
    <w:rsid w:val="003D23D5"/>
    <w:rsid w:val="003D3B71"/>
    <w:rsid w:val="003D442F"/>
    <w:rsid w:val="003D5A14"/>
    <w:rsid w:val="003E0BAB"/>
    <w:rsid w:val="0043135B"/>
    <w:rsid w:val="00435D61"/>
    <w:rsid w:val="00445E01"/>
    <w:rsid w:val="0045751D"/>
    <w:rsid w:val="00457E76"/>
    <w:rsid w:val="00464128"/>
    <w:rsid w:val="004669F6"/>
    <w:rsid w:val="00472CBD"/>
    <w:rsid w:val="00484A68"/>
    <w:rsid w:val="004A75B7"/>
    <w:rsid w:val="004B4389"/>
    <w:rsid w:val="004B61DB"/>
    <w:rsid w:val="004C47CC"/>
    <w:rsid w:val="004F0F08"/>
    <w:rsid w:val="004F172A"/>
    <w:rsid w:val="00502711"/>
    <w:rsid w:val="005040A5"/>
    <w:rsid w:val="0050624E"/>
    <w:rsid w:val="00531B3F"/>
    <w:rsid w:val="00540DE3"/>
    <w:rsid w:val="005536A6"/>
    <w:rsid w:val="005559AE"/>
    <w:rsid w:val="005A6F63"/>
    <w:rsid w:val="005C63EC"/>
    <w:rsid w:val="005D45A5"/>
    <w:rsid w:val="005E4ACD"/>
    <w:rsid w:val="005F3B85"/>
    <w:rsid w:val="005F4156"/>
    <w:rsid w:val="00613267"/>
    <w:rsid w:val="00631D37"/>
    <w:rsid w:val="00632E1A"/>
    <w:rsid w:val="006353B4"/>
    <w:rsid w:val="00640815"/>
    <w:rsid w:val="0064186F"/>
    <w:rsid w:val="00650419"/>
    <w:rsid w:val="00677E00"/>
    <w:rsid w:val="006877BF"/>
    <w:rsid w:val="006922BA"/>
    <w:rsid w:val="006A2A07"/>
    <w:rsid w:val="006D1BA6"/>
    <w:rsid w:val="006D3C5F"/>
    <w:rsid w:val="006D6714"/>
    <w:rsid w:val="006E0F3C"/>
    <w:rsid w:val="006E564C"/>
    <w:rsid w:val="006F2115"/>
    <w:rsid w:val="006F4843"/>
    <w:rsid w:val="0070054C"/>
    <w:rsid w:val="00703F1C"/>
    <w:rsid w:val="00717124"/>
    <w:rsid w:val="00741578"/>
    <w:rsid w:val="00744F17"/>
    <w:rsid w:val="007532BC"/>
    <w:rsid w:val="00760E5A"/>
    <w:rsid w:val="00761DE5"/>
    <w:rsid w:val="007634B2"/>
    <w:rsid w:val="0077701B"/>
    <w:rsid w:val="007867FE"/>
    <w:rsid w:val="00792497"/>
    <w:rsid w:val="007A5977"/>
    <w:rsid w:val="007A66B3"/>
    <w:rsid w:val="007B0B3C"/>
    <w:rsid w:val="007B1054"/>
    <w:rsid w:val="007C6CCD"/>
    <w:rsid w:val="007C7B92"/>
    <w:rsid w:val="007D2F52"/>
    <w:rsid w:val="007E02DB"/>
    <w:rsid w:val="007E21D6"/>
    <w:rsid w:val="0080426E"/>
    <w:rsid w:val="008052E0"/>
    <w:rsid w:val="0083101B"/>
    <w:rsid w:val="00831461"/>
    <w:rsid w:val="00834D90"/>
    <w:rsid w:val="00837814"/>
    <w:rsid w:val="00842862"/>
    <w:rsid w:val="00863A77"/>
    <w:rsid w:val="008642F3"/>
    <w:rsid w:val="00871396"/>
    <w:rsid w:val="00874BFB"/>
    <w:rsid w:val="00877D67"/>
    <w:rsid w:val="00885755"/>
    <w:rsid w:val="00893FF9"/>
    <w:rsid w:val="008A18CD"/>
    <w:rsid w:val="008A3713"/>
    <w:rsid w:val="008A639C"/>
    <w:rsid w:val="008A78B2"/>
    <w:rsid w:val="008B0CC7"/>
    <w:rsid w:val="008B2024"/>
    <w:rsid w:val="008B59F6"/>
    <w:rsid w:val="008C0D2D"/>
    <w:rsid w:val="008C6171"/>
    <w:rsid w:val="008C6E56"/>
    <w:rsid w:val="00913EB6"/>
    <w:rsid w:val="0092207E"/>
    <w:rsid w:val="00923051"/>
    <w:rsid w:val="00926B38"/>
    <w:rsid w:val="009354D9"/>
    <w:rsid w:val="009400F6"/>
    <w:rsid w:val="00942A21"/>
    <w:rsid w:val="00952018"/>
    <w:rsid w:val="0097358F"/>
    <w:rsid w:val="00985DEA"/>
    <w:rsid w:val="009A041D"/>
    <w:rsid w:val="009A3699"/>
    <w:rsid w:val="009A7E77"/>
    <w:rsid w:val="009C10FC"/>
    <w:rsid w:val="009D71BB"/>
    <w:rsid w:val="009E11CE"/>
    <w:rsid w:val="009F3EDE"/>
    <w:rsid w:val="00A01421"/>
    <w:rsid w:val="00A02404"/>
    <w:rsid w:val="00A05355"/>
    <w:rsid w:val="00A13263"/>
    <w:rsid w:val="00A15141"/>
    <w:rsid w:val="00A37EF7"/>
    <w:rsid w:val="00A63595"/>
    <w:rsid w:val="00A8532B"/>
    <w:rsid w:val="00A92D17"/>
    <w:rsid w:val="00AA2A34"/>
    <w:rsid w:val="00AA7D28"/>
    <w:rsid w:val="00AB07A6"/>
    <w:rsid w:val="00AC1759"/>
    <w:rsid w:val="00AC4F65"/>
    <w:rsid w:val="00AD7450"/>
    <w:rsid w:val="00AE055B"/>
    <w:rsid w:val="00B145E3"/>
    <w:rsid w:val="00B277DD"/>
    <w:rsid w:val="00B35BEF"/>
    <w:rsid w:val="00B362E9"/>
    <w:rsid w:val="00B379E6"/>
    <w:rsid w:val="00B47E3D"/>
    <w:rsid w:val="00B62609"/>
    <w:rsid w:val="00B65AB0"/>
    <w:rsid w:val="00B67BED"/>
    <w:rsid w:val="00B73424"/>
    <w:rsid w:val="00B82C9D"/>
    <w:rsid w:val="00B84A24"/>
    <w:rsid w:val="00B916F4"/>
    <w:rsid w:val="00BA6C1D"/>
    <w:rsid w:val="00BB4500"/>
    <w:rsid w:val="00BB4F1F"/>
    <w:rsid w:val="00BB5885"/>
    <w:rsid w:val="00BC5529"/>
    <w:rsid w:val="00BF4387"/>
    <w:rsid w:val="00BF7D8E"/>
    <w:rsid w:val="00C20750"/>
    <w:rsid w:val="00C2482B"/>
    <w:rsid w:val="00C250F5"/>
    <w:rsid w:val="00C27E02"/>
    <w:rsid w:val="00C42FB9"/>
    <w:rsid w:val="00C5434C"/>
    <w:rsid w:val="00C65CD9"/>
    <w:rsid w:val="00C72DC6"/>
    <w:rsid w:val="00C7626A"/>
    <w:rsid w:val="00C76BF5"/>
    <w:rsid w:val="00C84171"/>
    <w:rsid w:val="00CA032B"/>
    <w:rsid w:val="00CA7B51"/>
    <w:rsid w:val="00CB0F08"/>
    <w:rsid w:val="00CF3109"/>
    <w:rsid w:val="00CF632D"/>
    <w:rsid w:val="00D11AA2"/>
    <w:rsid w:val="00D212F6"/>
    <w:rsid w:val="00D47E45"/>
    <w:rsid w:val="00D553E2"/>
    <w:rsid w:val="00D564F2"/>
    <w:rsid w:val="00D61125"/>
    <w:rsid w:val="00D75710"/>
    <w:rsid w:val="00DD3ADF"/>
    <w:rsid w:val="00DF0409"/>
    <w:rsid w:val="00DF3D80"/>
    <w:rsid w:val="00DF69EF"/>
    <w:rsid w:val="00E31B0A"/>
    <w:rsid w:val="00E50670"/>
    <w:rsid w:val="00E57D96"/>
    <w:rsid w:val="00E7573C"/>
    <w:rsid w:val="00EB0D36"/>
    <w:rsid w:val="00EB1188"/>
    <w:rsid w:val="00EC3228"/>
    <w:rsid w:val="00ED3CFE"/>
    <w:rsid w:val="00ED5D28"/>
    <w:rsid w:val="00EE5D1C"/>
    <w:rsid w:val="00EF0145"/>
    <w:rsid w:val="00EF4121"/>
    <w:rsid w:val="00F0159C"/>
    <w:rsid w:val="00F015D4"/>
    <w:rsid w:val="00F07BF0"/>
    <w:rsid w:val="00F129B2"/>
    <w:rsid w:val="00F2540F"/>
    <w:rsid w:val="00F31F1F"/>
    <w:rsid w:val="00F45D8E"/>
    <w:rsid w:val="00F46344"/>
    <w:rsid w:val="00F63ADB"/>
    <w:rsid w:val="00F776E6"/>
    <w:rsid w:val="00F85565"/>
    <w:rsid w:val="00F95171"/>
    <w:rsid w:val="00FA1166"/>
    <w:rsid w:val="00FB1A67"/>
    <w:rsid w:val="00FB2AF6"/>
    <w:rsid w:val="00FB766D"/>
    <w:rsid w:val="00FC2C26"/>
    <w:rsid w:val="00FD44FB"/>
    <w:rsid w:val="00FE1E43"/>
    <w:rsid w:val="00FF4B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D9F32C"/>
  <w15:docId w15:val="{B007B174-80EE-4159-9D18-A0AB5DB1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73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24" w:lineRule="auto"/>
      <w:ind w:left="360"/>
    </w:pPr>
    <w:rPr>
      <w:rFonts w:ascii="Times New Roman" w:eastAsia="Times New Roman" w:hAnsi="Times New Roman" w:cs="Times New Roman"/>
      <w:b/>
      <w:color w:val="000000"/>
      <w:sz w:val="20"/>
    </w:rPr>
  </w:style>
  <w:style w:type="character" w:customStyle="1" w:styleId="footnotedescriptionChar">
    <w:name w:val="footnote description Char"/>
    <w:link w:val="footnotedescription"/>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A032B"/>
    <w:rPr>
      <w:sz w:val="16"/>
      <w:szCs w:val="16"/>
    </w:rPr>
  </w:style>
  <w:style w:type="paragraph" w:styleId="CommentText">
    <w:name w:val="annotation text"/>
    <w:basedOn w:val="Normal"/>
    <w:link w:val="CommentTextChar"/>
    <w:uiPriority w:val="99"/>
    <w:unhideWhenUsed/>
    <w:rsid w:val="00CA032B"/>
    <w:pPr>
      <w:spacing w:line="240" w:lineRule="auto"/>
    </w:pPr>
    <w:rPr>
      <w:sz w:val="20"/>
      <w:szCs w:val="20"/>
    </w:rPr>
  </w:style>
  <w:style w:type="character" w:customStyle="1" w:styleId="CommentTextChar">
    <w:name w:val="Comment Text Char"/>
    <w:basedOn w:val="DefaultParagraphFont"/>
    <w:link w:val="CommentText"/>
    <w:uiPriority w:val="99"/>
    <w:rsid w:val="00CA032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A032B"/>
    <w:rPr>
      <w:b/>
      <w:bCs/>
    </w:rPr>
  </w:style>
  <w:style w:type="character" w:customStyle="1" w:styleId="CommentSubjectChar">
    <w:name w:val="Comment Subject Char"/>
    <w:basedOn w:val="CommentTextChar"/>
    <w:link w:val="CommentSubject"/>
    <w:uiPriority w:val="99"/>
    <w:semiHidden/>
    <w:rsid w:val="00CA032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A0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2B"/>
    <w:rPr>
      <w:rFonts w:ascii="Segoe UI" w:eastAsia="Times New Roman" w:hAnsi="Segoe UI" w:cs="Segoe UI"/>
      <w:color w:val="000000"/>
      <w:sz w:val="18"/>
      <w:szCs w:val="18"/>
    </w:rPr>
  </w:style>
  <w:style w:type="paragraph" w:styleId="ListParagraph">
    <w:name w:val="List Paragraph"/>
    <w:basedOn w:val="Normal"/>
    <w:uiPriority w:val="34"/>
    <w:qFormat/>
    <w:rsid w:val="007A66B3"/>
    <w:pPr>
      <w:ind w:left="720"/>
      <w:contextualSpacing/>
    </w:pPr>
  </w:style>
  <w:style w:type="paragraph" w:styleId="Revision">
    <w:name w:val="Revision"/>
    <w:hidden/>
    <w:uiPriority w:val="99"/>
    <w:semiHidden/>
    <w:rsid w:val="006E0F3C"/>
    <w:pPr>
      <w:spacing w:after="0" w:line="240" w:lineRule="auto"/>
    </w:pPr>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071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C6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71C68"/>
    <w:rPr>
      <w:vertAlign w:val="superscript"/>
    </w:rPr>
  </w:style>
  <w:style w:type="paragraph" w:styleId="EndnoteText">
    <w:name w:val="endnote text"/>
    <w:basedOn w:val="Normal"/>
    <w:link w:val="EndnoteTextChar"/>
    <w:uiPriority w:val="99"/>
    <w:semiHidden/>
    <w:unhideWhenUsed/>
    <w:rsid w:val="008052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2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805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6631F677397408588C525D851D89B" ma:contentTypeVersion="7" ma:contentTypeDescription="Create a new document." ma:contentTypeScope="" ma:versionID="e6ca944c01c5b4748502bc0c10ff9fb6">
  <xsd:schema xmlns:xsd="http://www.w3.org/2001/XMLSchema" xmlns:xs="http://www.w3.org/2001/XMLSchema" xmlns:p="http://schemas.microsoft.com/office/2006/metadata/properties" xmlns:ns2="13054ad3-4e2d-4a42-beec-689ce275b618" xmlns:ns3="3935f982-d2dc-4d24-875a-0d8a29e5bb99" targetNamespace="http://schemas.microsoft.com/office/2006/metadata/properties" ma:root="true" ma:fieldsID="99b5bb7dcfa620da029334dbcb892d92" ns2:_="" ns3:_="">
    <xsd:import namespace="13054ad3-4e2d-4a42-beec-689ce275b618"/>
    <xsd:import namespace="3935f982-d2dc-4d24-875a-0d8a29e5bb99"/>
    <xsd:element name="properties">
      <xsd:complexType>
        <xsd:sequence>
          <xsd:element name="documentManagement">
            <xsd:complexType>
              <xsd:all>
                <xsd:element ref="ns2:Category"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54ad3-4e2d-4a42-beec-689ce275b618"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Opioids"/>
          <xsd:enumeration value="Non-Opioids"/>
          <xsd:enumeration value="Part C"/>
          <xsd:enumeration value="Compound Creams"/>
          <xsd:enumeration value="Footbaths"/>
        </xsd:restriction>
      </xsd:simple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88;#CPI|532be2c4-f136-4a95-af09-7adbd2e15fbd"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26d9560-c6f3-4e9b-ae0b-642cf2a9bfb6}" ma:internalName="TaxCatchAll" ma:showField="CatchAllData" ma:web="9329444b-2233-46c8-91ba-d18ad3361054">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88</Value>
    </TaxCatchAll>
    <Category xmlns="13054ad3-4e2d-4a42-beec-689ce275b618" xsi:nil="true"/>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CPI</TermName>
          <TermId xmlns="http://schemas.microsoft.com/office/infopath/2007/PartnerControls">532be2c4-f136-4a95-af09-7adbd2e15fbd</TermId>
        </TermInfo>
      </Terms>
    </lf414c47304d4c15a4cdd593deb02f5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72697-0121-4EAC-ABB4-5DEC02170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54ad3-4e2d-4a42-beec-689ce275b618"/>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ABEFC-0DF1-4664-B3EE-A4B1C3D3999B}">
  <ds:schemaRefs>
    <ds:schemaRef ds:uri="http://schemas.microsoft.com/sharepoint/v3/contenttype/forms"/>
  </ds:schemaRefs>
</ds:datastoreItem>
</file>

<file path=customXml/itemProps3.xml><?xml version="1.0" encoding="utf-8"?>
<ds:datastoreItem xmlns:ds="http://schemas.openxmlformats.org/officeDocument/2006/customXml" ds:itemID="{5BE55223-F5CF-465E-96F0-5B11D044DD14}">
  <ds:schemaRefs>
    <ds:schemaRef ds:uri="http://schemas.microsoft.com/office/2006/metadata/properties"/>
    <ds:schemaRef ds:uri="http://schemas.microsoft.com/office/infopath/2007/PartnerControls"/>
    <ds:schemaRef ds:uri="3935f982-d2dc-4d24-875a-0d8a29e5bb99"/>
    <ds:schemaRef ds:uri="13054ad3-4e2d-4a42-beec-689ce275b618"/>
  </ds:schemaRefs>
</ds:datastoreItem>
</file>

<file path=customXml/itemProps4.xml><?xml version="1.0" encoding="utf-8"?>
<ds:datastoreItem xmlns:ds="http://schemas.openxmlformats.org/officeDocument/2006/customXml" ds:itemID="{B562941A-1412-4442-8A29-48A8BE8D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Wilson, Malcolm (CMS/OSORA)</cp:lastModifiedBy>
  <cp:revision>2</cp:revision>
  <cp:lastPrinted>2018-07-31T11:26:00Z</cp:lastPrinted>
  <dcterms:created xsi:type="dcterms:W3CDTF">2025-09-04T13:39:00Z</dcterms:created>
  <dcterms:modified xsi:type="dcterms:W3CDTF">2025-09-04T13:39:00Z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88;#CPI|532be2c4-f136-4a95-af09-7adbd2e15fbd</vt:lpwstr>
  </property>
  <property fmtid="{D5CDD505-2E9C-101B-9397-08002B2CF9AE}" pid="4" name="ContentTypeId">
    <vt:lpwstr>0x0101009EB6631F677397408588C525D851D89B</vt:lpwstr>
  </property>
  <property fmtid="{D5CDD505-2E9C-101B-9397-08002B2CF9AE}" pid="5" name="_NewReviewCycle">
    <vt:lpwstr/>
  </property>
</Properties>
</file>