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Title"/>
        <w:spacing w:line="213" w:lineRule="auto"/>
      </w:pPr>
      <w:bookmarkStart w:id="0" w:name="Centers for Medicare &amp; Medicaid Services"/>
      <w:bookmarkEnd w:id="0"/>
      <w:bookmarkStart w:id="1" w:name="General Information"/>
      <w:bookmarkEnd w:id="1"/>
      <w:bookmarkStart w:id="2" w:name="Issuer Level Data"/>
      <w:bookmarkEnd w:id="2"/>
      <w:bookmarkStart w:id="3" w:name="Notes:"/>
      <w:bookmarkEnd w:id="3"/>
      <w:r>
        <w:rPr>
          <w:spacing w:val="-8"/>
        </w:rPr>
        <w:t>OMB</w:t>
      </w:r>
      <w:r>
        <w:t xml:space="preserve"> </w:t>
      </w:r>
      <w:r>
        <w:rPr>
          <w:spacing w:val="-8"/>
        </w:rPr>
        <w:t>Control</w:t>
      </w:r>
      <w:r>
        <w:t xml:space="preserve"> </w:t>
      </w:r>
      <w:r>
        <w:rPr>
          <w:spacing w:val="-8"/>
        </w:rPr>
        <w:t>Number:</w:t>
      </w:r>
      <w:r>
        <w:t xml:space="preserve"> </w:t>
      </w:r>
      <w:r>
        <w:rPr>
          <w:spacing w:val="-8"/>
        </w:rPr>
        <w:t>0938-1310</w:t>
      </w:r>
      <w:r>
        <w:t xml:space="preserve"> </w:t>
      </w:r>
      <w:r>
        <w:rPr>
          <w:w w:val="90"/>
        </w:rPr>
        <w:t>Expiration</w:t>
      </w:r>
      <w:r>
        <w:rPr>
          <w:spacing w:val="-1"/>
          <w:w w:val="90"/>
        </w:rPr>
        <w:t xml:space="preserve"> </w:t>
      </w:r>
      <w:r>
        <w:rPr>
          <w:w w:val="90"/>
        </w:rPr>
        <w:t>Date:</w:t>
      </w:r>
      <w:r>
        <w:rPr>
          <w:spacing w:val="-4"/>
        </w:rPr>
        <w:t xml:space="preserve"> </w:t>
      </w:r>
      <w:r>
        <w:rPr>
          <w:spacing w:val="-2"/>
          <w:w w:val="90"/>
        </w:rPr>
        <w:t>XX/XX/20XX</w:t>
      </w:r>
    </w:p>
    <w:p>
      <w:pPr>
        <w:spacing w:before="140"/>
        <w:ind w:left="324" w:right="0" w:firstLine="0"/>
        <w:jc w:val="left"/>
        <w:rPr>
          <w:i/>
          <w:sz w:val="13"/>
        </w:rPr>
      </w:pPr>
      <w:r>
        <w:rPr>
          <w:i/>
          <w:sz w:val="13"/>
        </w:rPr>
        <w:t>All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fields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with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an</w:t>
      </w:r>
      <w:r>
        <w:rPr>
          <w:i/>
          <w:spacing w:val="-6"/>
          <w:sz w:val="13"/>
        </w:rPr>
        <w:t xml:space="preserve"> </w:t>
      </w:r>
      <w:r>
        <w:rPr>
          <w:i/>
          <w:sz w:val="13"/>
        </w:rPr>
        <w:t>asterisk</w:t>
      </w:r>
      <w:r>
        <w:rPr>
          <w:i/>
          <w:spacing w:val="-6"/>
          <w:sz w:val="13"/>
        </w:rPr>
        <w:t xml:space="preserve"> </w:t>
      </w:r>
      <w:r>
        <w:rPr>
          <w:i/>
          <w:sz w:val="13"/>
        </w:rPr>
        <w:t>(</w:t>
      </w:r>
      <w:r>
        <w:rPr>
          <w:i/>
          <w:spacing w:val="-5"/>
          <w:sz w:val="13"/>
        </w:rPr>
        <w:t xml:space="preserve"> </w:t>
      </w:r>
      <w:r>
        <w:rPr>
          <w:i/>
          <w:color w:val="993300"/>
          <w:sz w:val="13"/>
        </w:rPr>
        <w:t>*</w:t>
      </w:r>
      <w:r>
        <w:rPr>
          <w:i/>
          <w:color w:val="993300"/>
          <w:spacing w:val="-5"/>
          <w:sz w:val="13"/>
        </w:rPr>
        <w:t xml:space="preserve"> </w:t>
      </w:r>
      <w:r>
        <w:rPr>
          <w:i/>
          <w:sz w:val="13"/>
        </w:rPr>
        <w:t>)</w:t>
      </w:r>
      <w:r>
        <w:rPr>
          <w:i/>
          <w:spacing w:val="-5"/>
          <w:sz w:val="13"/>
        </w:rPr>
        <w:t xml:space="preserve"> </w:t>
      </w:r>
      <w:r>
        <w:rPr>
          <w:i/>
          <w:sz w:val="13"/>
        </w:rPr>
        <w:t>are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required.</w:t>
      </w:r>
      <w:r>
        <w:rPr>
          <w:i/>
          <w:spacing w:val="-6"/>
          <w:sz w:val="13"/>
        </w:rPr>
        <w:t xml:space="preserve"> </w:t>
      </w:r>
      <w:r>
        <w:rPr>
          <w:i/>
          <w:sz w:val="13"/>
        </w:rPr>
        <w:t>To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validate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the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template,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press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Validate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button</w:t>
      </w:r>
      <w:r>
        <w:rPr>
          <w:i/>
          <w:spacing w:val="-5"/>
          <w:sz w:val="13"/>
        </w:rPr>
        <w:t xml:space="preserve"> </w:t>
      </w:r>
      <w:r>
        <w:rPr>
          <w:i/>
          <w:sz w:val="13"/>
        </w:rPr>
        <w:t>or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Ctrl</w:t>
      </w:r>
      <w:r>
        <w:rPr>
          <w:i/>
          <w:spacing w:val="-6"/>
          <w:sz w:val="13"/>
        </w:rPr>
        <w:t xml:space="preserve"> </w:t>
      </w:r>
      <w:r>
        <w:rPr>
          <w:i/>
          <w:sz w:val="13"/>
        </w:rPr>
        <w:t>+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Shift</w:t>
      </w:r>
      <w:r>
        <w:rPr>
          <w:i/>
          <w:spacing w:val="-6"/>
          <w:sz w:val="13"/>
        </w:rPr>
        <w:t xml:space="preserve"> </w:t>
      </w:r>
      <w:r>
        <w:rPr>
          <w:i/>
          <w:sz w:val="13"/>
        </w:rPr>
        <w:t>+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I.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To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finalize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the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template,</w:t>
      </w:r>
      <w:r>
        <w:rPr>
          <w:i/>
          <w:spacing w:val="-8"/>
          <w:sz w:val="13"/>
        </w:rPr>
        <w:t xml:space="preserve"> </w:t>
      </w:r>
      <w:r>
        <w:rPr>
          <w:i/>
          <w:sz w:val="13"/>
        </w:rPr>
        <w:t>press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Finalize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button</w:t>
      </w:r>
      <w:r>
        <w:rPr>
          <w:i/>
          <w:spacing w:val="-6"/>
          <w:sz w:val="13"/>
        </w:rPr>
        <w:t xml:space="preserve"> </w:t>
      </w:r>
      <w:r>
        <w:rPr>
          <w:i/>
          <w:sz w:val="13"/>
        </w:rPr>
        <w:t>or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Ctrl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+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Shift</w:t>
      </w:r>
      <w:r>
        <w:rPr>
          <w:i/>
          <w:spacing w:val="-7"/>
          <w:sz w:val="13"/>
        </w:rPr>
        <w:t xml:space="preserve"> </w:t>
      </w:r>
      <w:r>
        <w:rPr>
          <w:i/>
          <w:sz w:val="13"/>
        </w:rPr>
        <w:t>+</w:t>
      </w:r>
      <w:r>
        <w:rPr>
          <w:i/>
          <w:spacing w:val="-7"/>
          <w:sz w:val="13"/>
        </w:rPr>
        <w:t xml:space="preserve"> </w:t>
      </w:r>
      <w:r>
        <w:rPr>
          <w:i/>
          <w:spacing w:val="-5"/>
          <w:sz w:val="13"/>
        </w:rPr>
        <w:t>F.</w:t>
      </w:r>
    </w:p>
    <w:p>
      <w:pPr>
        <w:spacing w:before="21" w:line="278" w:lineRule="auto"/>
        <w:ind w:left="4988" w:right="2186" w:hanging="2652"/>
        <w:jc w:val="left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718531</wp:posOffset>
                </wp:positionH>
                <wp:positionV relativeFrom="paragraph">
                  <wp:posOffset>260762</wp:posOffset>
                </wp:positionV>
                <wp:extent cx="645160" cy="141605"/>
                <wp:effectExtent l="0" t="0" r="0" b="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160" cy="1416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57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8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Validate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50.8pt;height:11.15pt;margin-top:20.53pt;margin-left:56.58pt;mso-position-horizontal-relative:page;mso-wrap-distance-left:0;mso-wrap-distance-right:0;position:absolute;z-index:-251657216" filled="t" fillcolor="#e8e8e8" stroked="t" strokecolor="black" strokeweight="0.45pt">
                <v:fill type="solid"/>
                <v:stroke dashstyle="solid"/>
                <v:textbox inset="0,0,0,0">
                  <w:txbxContent>
                    <w:p>
                      <w:pPr>
                        <w:spacing w:before="39"/>
                        <w:ind w:left="28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pacing w:val="-2"/>
                          <w:sz w:val="13"/>
                        </w:rPr>
                        <w:t>Validate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718531</wp:posOffset>
                </wp:positionH>
                <wp:positionV relativeFrom="paragraph">
                  <wp:posOffset>461422</wp:posOffset>
                </wp:positionV>
                <wp:extent cx="645160" cy="14097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160" cy="14097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57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9"/>
                              <w:ind w:left="302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Finalize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50.8pt;height:11.1pt;margin-top:36.33pt;margin-left:56.58pt;mso-position-horizontal-relative:page;mso-wrap-distance-left:0;mso-wrap-distance-right:0;position:absolute;z-index:-251655168" filled="t" fillcolor="#e8e8e8" stroked="t" strokecolor="black" strokeweight="0.45pt">
                <v:fill type="solid"/>
                <v:stroke dashstyle="solid"/>
                <v:textbox inset="0,0,0,0">
                  <w:txbxContent>
                    <w:p>
                      <w:pPr>
                        <w:spacing w:before="39"/>
                        <w:ind w:left="302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pacing w:val="-2"/>
                          <w:sz w:val="13"/>
                        </w:rPr>
                        <w:t>Finalize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3"/>
        </w:rPr>
        <w:t>Centers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for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Medicare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&amp;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Medicaid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Services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(CMS)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Qualified</w:t>
      </w:r>
      <w:r>
        <w:rPr>
          <w:b/>
          <w:spacing w:val="-6"/>
          <w:sz w:val="13"/>
        </w:rPr>
        <w:t xml:space="preserve"> </w:t>
      </w:r>
      <w:r>
        <w:rPr>
          <w:b/>
          <w:sz w:val="13"/>
        </w:rPr>
        <w:t>Health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Plan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(QHP)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Transparency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in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Coverage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Reporting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Plan</w:t>
      </w:r>
      <w:r>
        <w:rPr>
          <w:b/>
          <w:spacing w:val="-5"/>
          <w:sz w:val="13"/>
        </w:rPr>
        <w:t xml:space="preserve"> </w:t>
      </w:r>
      <w:r>
        <w:rPr>
          <w:b/>
          <w:sz w:val="13"/>
        </w:rPr>
        <w:t>Year</w:t>
      </w:r>
      <w:r>
        <w:rPr>
          <w:b/>
          <w:spacing w:val="-4"/>
          <w:sz w:val="13"/>
        </w:rPr>
        <w:t xml:space="preserve"> </w:t>
      </w:r>
      <w:r>
        <w:rPr>
          <w:b/>
          <w:sz w:val="13"/>
        </w:rPr>
        <w:t>2026</w:t>
      </w:r>
    </w:p>
    <w:p>
      <w:pPr>
        <w:spacing w:before="3" w:line="240" w:lineRule="auto"/>
        <w:rPr>
          <w:b/>
          <w:sz w:val="5"/>
        </w:rPr>
      </w:pPr>
    </w:p>
    <w:p>
      <w:pPr>
        <w:spacing w:before="10" w:after="0" w:line="240" w:lineRule="auto"/>
        <w:rPr>
          <w:b/>
          <w:sz w:val="12"/>
        </w:rPr>
      </w:pPr>
    </w:p>
    <w:tbl>
      <w:tblPr>
        <w:tblStyle w:val="TableNormal"/>
        <w:tblW w:w="0" w:type="auto"/>
        <w:jc w:val="left"/>
        <w:tblInd w:w="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70"/>
        <w:gridCol w:w="3004"/>
      </w:tblGrid>
      <w:tr>
        <w:tblPrEx>
          <w:tblW w:w="0" w:type="auto"/>
          <w:jc w:val="left"/>
          <w:tblInd w:w="31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2"/>
          <w:jc w:val="left"/>
        </w:trPr>
        <w:tc>
          <w:tcPr>
            <w:tcW w:w="10174" w:type="dxa"/>
            <w:gridSpan w:val="2"/>
            <w:shd w:val="clear" w:color="auto" w:fill="A6A6A6"/>
          </w:tcPr>
          <w:p>
            <w:pPr>
              <w:pStyle w:val="TableParagraph"/>
              <w:spacing w:line="142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General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Information</w:t>
            </w: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3"/>
          <w:jc w:val="left"/>
        </w:trPr>
        <w:tc>
          <w:tcPr>
            <w:tcW w:w="71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4" w:lineRule="exact"/>
              <w:ind w:left="29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this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Issuer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Exchange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2024?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8"/>
          <w:jc w:val="left"/>
        </w:trPr>
        <w:tc>
          <w:tcPr>
            <w:tcW w:w="7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" w:line="146" w:lineRule="exact"/>
              <w:ind w:left="29"/>
              <w:rPr>
                <w:sz w:val="13"/>
              </w:rPr>
            </w:pPr>
            <w:r>
              <w:rPr>
                <w:sz w:val="13"/>
              </w:rPr>
              <w:t xml:space="preserve">SADP </w:t>
            </w:r>
            <w:r>
              <w:rPr>
                <w:spacing w:val="-2"/>
                <w:sz w:val="13"/>
              </w:rPr>
              <w:t>Only?</w:t>
            </w:r>
            <w:r>
              <w:rPr>
                <w:color w:val="8000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7"/>
          <w:jc w:val="left"/>
        </w:trPr>
        <w:tc>
          <w:tcPr>
            <w:tcW w:w="71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5" w:lineRule="exact"/>
              <w:ind w:left="29"/>
              <w:rPr>
                <w:sz w:val="13"/>
              </w:rPr>
            </w:pPr>
            <w:r>
              <w:rPr>
                <w:sz w:val="13"/>
              </w:rPr>
              <w:t>Issuer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HIOS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ID</w:t>
            </w:r>
            <w:r>
              <w:rPr>
                <w:color w:val="993300"/>
                <w:spacing w:val="-5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2"/>
          <w:jc w:val="left"/>
        </w:trPr>
        <w:tc>
          <w:tcPr>
            <w:tcW w:w="7170" w:type="dxa"/>
            <w:shd w:val="clear" w:color="auto" w:fill="A6A6A6"/>
          </w:tcPr>
          <w:p>
            <w:pPr>
              <w:pStyle w:val="TableParagraph"/>
              <w:spacing w:line="142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Issuer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Level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Data</w:t>
            </w:r>
          </w:p>
        </w:tc>
        <w:tc>
          <w:tcPr>
            <w:tcW w:w="3004" w:type="dxa"/>
            <w:tcBorders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3"/>
          <w:jc w:val="left"/>
        </w:trPr>
        <w:tc>
          <w:tcPr>
            <w:tcW w:w="71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4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In-Network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Claims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with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Date(s)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(DOS)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2023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Also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Received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8"/>
          <w:jc w:val="left"/>
        </w:trPr>
        <w:tc>
          <w:tcPr>
            <w:tcW w:w="7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" w:line="146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In-Network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Claims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with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Also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Denied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8"/>
          <w:jc w:val="left"/>
        </w:trPr>
        <w:tc>
          <w:tcPr>
            <w:tcW w:w="7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" w:line="146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In-Network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Claims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with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Also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Resubmitted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9"/>
          <w:jc w:val="left"/>
        </w:trPr>
        <w:tc>
          <w:tcPr>
            <w:tcW w:w="7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" w:line="146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Out-of-Network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Claims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with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Also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Received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8"/>
          <w:jc w:val="left"/>
        </w:trPr>
        <w:tc>
          <w:tcPr>
            <w:tcW w:w="7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" w:line="146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Out-of-Network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Claims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with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Also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Denied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9"/>
          <w:jc w:val="left"/>
        </w:trPr>
        <w:tc>
          <w:tcPr>
            <w:tcW w:w="7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" w:line="146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Out-of-Network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Claims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with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2023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Also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Resubmitted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8"/>
          <w:jc w:val="left"/>
        </w:trPr>
        <w:tc>
          <w:tcPr>
            <w:tcW w:w="7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" w:line="146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Internal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Appeals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9"/>
          <w:jc w:val="left"/>
        </w:trPr>
        <w:tc>
          <w:tcPr>
            <w:tcW w:w="7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" w:line="146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Internal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Appeals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Overturned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from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Appeals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9"/>
          <w:jc w:val="left"/>
        </w:trPr>
        <w:tc>
          <w:tcPr>
            <w:tcW w:w="7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2" w:line="146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External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Appeals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7"/>
          <w:jc w:val="left"/>
        </w:trPr>
        <w:tc>
          <w:tcPr>
            <w:tcW w:w="71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145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Number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Issuer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Level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External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Appeals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Overturned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from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Calendar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Year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2024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Appeals</w:t>
            </w:r>
            <w:r>
              <w:rPr>
                <w:color w:val="993300"/>
                <w:spacing w:val="-2"/>
                <w:sz w:val="13"/>
              </w:rPr>
              <w:t>*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2"/>
          <w:jc w:val="left"/>
        </w:trPr>
        <w:tc>
          <w:tcPr>
            <w:tcW w:w="7170" w:type="dxa"/>
            <w:shd w:val="clear" w:color="auto" w:fill="A6A6A6"/>
          </w:tcPr>
          <w:p>
            <w:pPr>
              <w:pStyle w:val="TableParagraph"/>
              <w:spacing w:line="142" w:lineRule="exact"/>
              <w:ind w:left="2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Notes:</w:t>
            </w:r>
          </w:p>
        </w:tc>
        <w:tc>
          <w:tcPr>
            <w:tcW w:w="3004" w:type="dxa"/>
            <w:tcBorders>
              <w:right w:val="nil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blPrEx>
          <w:tblW w:w="0" w:type="auto"/>
          <w:jc w:val="left"/>
          <w:tblInd w:w="3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2"/>
          <w:jc w:val="left"/>
        </w:trPr>
        <w:tc>
          <w:tcPr>
            <w:tcW w:w="7170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142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Please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enter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comments/notes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here.</w:t>
            </w:r>
          </w:p>
        </w:tc>
        <w:tc>
          <w:tcPr>
            <w:tcW w:w="3004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0" w:line="240" w:lineRule="auto"/>
        <w:rPr>
          <w:b/>
          <w:sz w:val="16"/>
        </w:rPr>
      </w:pPr>
    </w:p>
    <w:p>
      <w:pPr>
        <w:spacing w:before="175" w:line="240" w:lineRule="auto"/>
        <w:rPr>
          <w:b/>
          <w:sz w:val="16"/>
        </w:rPr>
      </w:pPr>
    </w:p>
    <w:p>
      <w:pPr>
        <w:pStyle w:val="BodyText"/>
        <w:spacing w:before="1" w:line="213" w:lineRule="auto"/>
        <w:ind w:left="308" w:right="561"/>
      </w:pPr>
      <w:r>
        <w:rPr>
          <w:w w:val="90"/>
        </w:rPr>
        <w:t>According to the Paperwork Reduction Act of 1995, no persons are required to respond to a collection of information unless it displays a valid OMB control</w:t>
      </w:r>
      <w:r>
        <w:rPr>
          <w:spacing w:val="40"/>
        </w:rPr>
        <w:t xml:space="preserve"> </w:t>
      </w:r>
      <w:r>
        <w:rPr>
          <w:spacing w:val="-6"/>
        </w:rPr>
        <w:t>number.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valid</w:t>
      </w:r>
      <w:r>
        <w:t xml:space="preserve"> </w:t>
      </w:r>
      <w:r>
        <w:rPr>
          <w:spacing w:val="-6"/>
        </w:rPr>
        <w:t>OMB</w:t>
      </w:r>
      <w:r>
        <w:t xml:space="preserve"> </w:t>
      </w:r>
      <w:r>
        <w:rPr>
          <w:spacing w:val="-6"/>
        </w:rPr>
        <w:t>control</w:t>
      </w:r>
      <w:r>
        <w:t xml:space="preserve"> </w:t>
      </w:r>
      <w:r>
        <w:rPr>
          <w:spacing w:val="-6"/>
        </w:rPr>
        <w:t>number</w:t>
      </w:r>
      <w: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this</w:t>
      </w:r>
      <w:r>
        <w:t xml:space="preserve"> </w:t>
      </w:r>
      <w:r>
        <w:rPr>
          <w:spacing w:val="-6"/>
        </w:rPr>
        <w:t>information</w:t>
      </w:r>
      <w:r>
        <w:t xml:space="preserve"> </w:t>
      </w:r>
      <w:r>
        <w:rPr>
          <w:spacing w:val="-6"/>
        </w:rPr>
        <w:t>collection</w:t>
      </w:r>
      <w:r>
        <w:t xml:space="preserve"> </w:t>
      </w:r>
      <w:r>
        <w:rPr>
          <w:spacing w:val="-6"/>
        </w:rPr>
        <w:t>is</w:t>
      </w:r>
      <w:r>
        <w:t xml:space="preserve"> </w:t>
      </w:r>
      <w:r>
        <w:rPr>
          <w:spacing w:val="-6"/>
        </w:rPr>
        <w:t>0938-1310.</w:t>
      </w:r>
      <w:r>
        <w:t xml:space="preserve"> </w:t>
      </w:r>
      <w:r>
        <w:rPr>
          <w:spacing w:val="-6"/>
        </w:rPr>
        <w:t>This</w:t>
      </w:r>
      <w:r>
        <w:t xml:space="preserve"> </w:t>
      </w:r>
      <w:r>
        <w:rPr>
          <w:spacing w:val="-6"/>
        </w:rPr>
        <w:t>information</w:t>
      </w:r>
      <w:r>
        <w:t xml:space="preserve"> </w:t>
      </w:r>
      <w:r>
        <w:rPr>
          <w:spacing w:val="-6"/>
        </w:rPr>
        <w:t>collection</w:t>
      </w:r>
      <w:r>
        <w:t xml:space="preserve"> </w:t>
      </w:r>
      <w:r>
        <w:rPr>
          <w:spacing w:val="-6"/>
        </w:rPr>
        <w:t>is</w:t>
      </w:r>
      <w:r>
        <w:t xml:space="preserve"> </w:t>
      </w:r>
      <w:r>
        <w:rPr>
          <w:spacing w:val="-6"/>
        </w:rPr>
        <w:t>for</w:t>
      </w:r>
      <w:r>
        <w:t xml:space="preserve"> </w:t>
      </w:r>
      <w:r>
        <w:rPr>
          <w:spacing w:val="-6"/>
        </w:rPr>
        <w:t>the</w:t>
      </w:r>
      <w:r>
        <w:t xml:space="preserve"> </w:t>
      </w:r>
      <w:r>
        <w:rPr>
          <w:spacing w:val="-6"/>
        </w:rPr>
        <w:t>submission</w:t>
      </w:r>
      <w:r>
        <w:t xml:space="preserve"> </w:t>
      </w:r>
      <w:r>
        <w:rPr>
          <w:spacing w:val="-6"/>
        </w:rPr>
        <w:t>of</w:t>
      </w:r>
      <w:r>
        <w:t xml:space="preserve"> </w:t>
      </w:r>
      <w:r>
        <w:rPr>
          <w:spacing w:val="-6"/>
        </w:rPr>
        <w:t>data</w:t>
      </w:r>
      <w:r>
        <w:t xml:space="preserve"> </w:t>
      </w:r>
      <w:r>
        <w:rPr>
          <w:spacing w:val="-6"/>
        </w:rPr>
        <w:t>related</w:t>
      </w:r>
      <w:r>
        <w:t xml:space="preserve"> </w:t>
      </w:r>
      <w:r>
        <w:rPr>
          <w:spacing w:val="-6"/>
        </w:rPr>
        <w:t>to</w:t>
      </w:r>
      <w:r>
        <w:rPr>
          <w:spacing w:val="40"/>
        </w:rPr>
        <w:t xml:space="preserve"> </w:t>
      </w:r>
      <w:r>
        <w:rPr>
          <w:w w:val="90"/>
        </w:rPr>
        <w:t>transparency in coverage by QHP issuers to HHS, the Exchange, and the state insurance commissioner, and also make the information available to the</w:t>
      </w:r>
      <w:r>
        <w:rPr>
          <w:spacing w:val="80"/>
        </w:rPr>
        <w:t xml:space="preserve"> </w:t>
      </w:r>
      <w:r>
        <w:rPr>
          <w:w w:val="90"/>
        </w:rPr>
        <w:t>public</w:t>
      </w:r>
      <w:r>
        <w:t xml:space="preserve"> </w:t>
      </w:r>
      <w:r>
        <w:rPr>
          <w:w w:val="90"/>
        </w:rPr>
        <w:t>in</w:t>
      </w:r>
      <w:r>
        <w:t xml:space="preserve"> </w:t>
      </w:r>
      <w:r>
        <w:rPr>
          <w:w w:val="90"/>
        </w:rPr>
        <w:t>plain</w:t>
      </w:r>
      <w:r>
        <w:t xml:space="preserve"> </w:t>
      </w:r>
      <w:r>
        <w:rPr>
          <w:w w:val="90"/>
        </w:rPr>
        <w:t>language.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time</w:t>
      </w:r>
      <w:r>
        <w:t xml:space="preserve"> </w:t>
      </w:r>
      <w:r>
        <w:rPr>
          <w:w w:val="90"/>
        </w:rPr>
        <w:t>required</w:t>
      </w:r>
      <w: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complete</w:t>
      </w:r>
      <w:r>
        <w:t xml:space="preserve"> </w:t>
      </w:r>
      <w:r>
        <w:rPr>
          <w:w w:val="90"/>
        </w:rPr>
        <w:t>this</w:t>
      </w:r>
      <w:r>
        <w:t xml:space="preserve"> </w:t>
      </w:r>
      <w:r>
        <w:rPr>
          <w:w w:val="90"/>
        </w:rPr>
        <w:t>information</w:t>
      </w:r>
      <w:r>
        <w:t xml:space="preserve"> </w:t>
      </w:r>
      <w:r>
        <w:rPr>
          <w:w w:val="90"/>
        </w:rPr>
        <w:t>collection</w:t>
      </w:r>
      <w:r>
        <w:t xml:space="preserve"> </w:t>
      </w:r>
      <w:r>
        <w:rPr>
          <w:w w:val="90"/>
        </w:rPr>
        <w:t>includes</w:t>
      </w:r>
      <w: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one-time</w:t>
      </w:r>
      <w:r>
        <w:t xml:space="preserve"> </w:t>
      </w:r>
      <w:r>
        <w:rPr>
          <w:w w:val="90"/>
        </w:rPr>
        <w:t>technical</w:t>
      </w:r>
      <w:r>
        <w:t xml:space="preserve"> </w:t>
      </w:r>
      <w:r>
        <w:rPr>
          <w:w w:val="90"/>
        </w:rPr>
        <w:t>modification</w:t>
      </w:r>
      <w:r>
        <w:t xml:space="preserve"> </w:t>
      </w:r>
      <w:r>
        <w:rPr>
          <w:w w:val="90"/>
        </w:rPr>
        <w:t>estimated</w:t>
      </w:r>
      <w: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average</w:t>
      </w:r>
      <w:r>
        <w:t xml:space="preserve"> </w:t>
      </w:r>
      <w:r>
        <w:rPr>
          <w:w w:val="90"/>
        </w:rPr>
        <w:t>11</w:t>
      </w:r>
      <w:r>
        <w:rPr>
          <w:spacing w:val="40"/>
        </w:rPr>
        <w:t xml:space="preserve"> </w:t>
      </w:r>
      <w:r>
        <w:rPr>
          <w:w w:val="90"/>
        </w:rPr>
        <w:t>hours per response for QHP issuers and the time required to complete an annual submission of Transparency in Coverage data estimated to average 44</w:t>
      </w:r>
      <w:r>
        <w:rPr>
          <w:spacing w:val="40"/>
        </w:rPr>
        <w:t xml:space="preserve"> </w:t>
      </w:r>
      <w:r>
        <w:rPr>
          <w:w w:val="90"/>
        </w:rPr>
        <w:t>hours per response for QHP issuers, including the time to review instructions, search existing data resources, gather the data needed, to review and</w:t>
      </w:r>
      <w:r>
        <w:rPr>
          <w:spacing w:val="40"/>
        </w:rPr>
        <w:t xml:space="preserve"> </w:t>
      </w:r>
      <w:r>
        <w:rPr>
          <w:w w:val="90"/>
        </w:rPr>
        <w:t>complete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information</w:t>
      </w:r>
      <w:r>
        <w:t xml:space="preserve"> </w:t>
      </w:r>
      <w:r>
        <w:rPr>
          <w:w w:val="90"/>
        </w:rPr>
        <w:t>collection.</w:t>
      </w:r>
      <w:r>
        <w:t xml:space="preserve"> </w:t>
      </w:r>
      <w:r>
        <w:rPr>
          <w:w w:val="90"/>
        </w:rPr>
        <w:t>Pursuant</w:t>
      </w:r>
      <w: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45</w:t>
      </w:r>
      <w:r>
        <w:t xml:space="preserve"> </w:t>
      </w:r>
      <w:r>
        <w:rPr>
          <w:w w:val="90"/>
        </w:rPr>
        <w:t>CFR</w:t>
      </w:r>
      <w:r>
        <w:t xml:space="preserve"> </w:t>
      </w:r>
      <w:r>
        <w:rPr>
          <w:w w:val="90"/>
        </w:rPr>
        <w:t>156.220,</w:t>
      </w:r>
      <w:r>
        <w:t xml:space="preserve"> </w:t>
      </w:r>
      <w:r>
        <w:rPr>
          <w:w w:val="90"/>
        </w:rPr>
        <w:t>QHP</w:t>
      </w:r>
      <w:r>
        <w:t xml:space="preserve"> </w:t>
      </w:r>
      <w:r>
        <w:rPr>
          <w:w w:val="90"/>
        </w:rPr>
        <w:t>issuers</w:t>
      </w:r>
      <w:r>
        <w:t xml:space="preserve"> </w:t>
      </w:r>
      <w:r>
        <w:rPr>
          <w:w w:val="90"/>
        </w:rPr>
        <w:t>are</w:t>
      </w:r>
      <w:r>
        <w:t xml:space="preserve"> </w:t>
      </w:r>
      <w:r>
        <w:rPr>
          <w:w w:val="90"/>
        </w:rPr>
        <w:t>required</w:t>
      </w:r>
      <w: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make</w:t>
      </w:r>
      <w:r>
        <w:t xml:space="preserve"> </w:t>
      </w:r>
      <w:r>
        <w:rPr>
          <w:w w:val="90"/>
        </w:rPr>
        <w:t>this</w:t>
      </w:r>
      <w:r>
        <w:t xml:space="preserve"> </w:t>
      </w:r>
      <w:r>
        <w:rPr>
          <w:w w:val="90"/>
        </w:rPr>
        <w:t>information</w:t>
      </w:r>
      <w:r>
        <w:t xml:space="preserve"> </w:t>
      </w:r>
      <w:r>
        <w:rPr>
          <w:w w:val="90"/>
        </w:rPr>
        <w:t>available</w:t>
      </w:r>
      <w: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consumers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CMS.</w:t>
      </w:r>
      <w:r>
        <w:rPr>
          <w:spacing w:val="80"/>
        </w:rPr>
        <w:t xml:space="preserve"> </w:t>
      </w:r>
      <w:r>
        <w:rPr>
          <w:w w:val="90"/>
        </w:rPr>
        <w:t>CMS requires QHP issuers to update transparency in coverage data annually. If you have comments concerning the accuracy of the time estimate(s) or</w:t>
      </w:r>
      <w:r>
        <w:rPr>
          <w:spacing w:val="40"/>
        </w:rPr>
        <w:t xml:space="preserve"> </w:t>
      </w:r>
      <w:r>
        <w:rPr>
          <w:w w:val="90"/>
        </w:rPr>
        <w:t>suggestions for improving this form, please write to: CMS, 7500 Security Boulevard, Mail Stop C4-26-05, Baltimore, Maryland 21244-1850 and email</w:t>
      </w:r>
      <w:r>
        <w:rPr>
          <w:spacing w:val="80"/>
        </w:rPr>
        <w:t xml:space="preserve"> </w:t>
      </w:r>
      <w:r>
        <w:rPr>
          <w:spacing w:val="-4"/>
        </w:rPr>
        <w:t>Carolyn</w:t>
      </w:r>
      <w:r>
        <w:rPr>
          <w:spacing w:val="-6"/>
        </w:rPr>
        <w:t xml:space="preserve"> </w:t>
      </w:r>
      <w:r>
        <w:rPr>
          <w:spacing w:val="-4"/>
        </w:rPr>
        <w:t>Sabini</w:t>
      </w:r>
      <w:r>
        <w:rPr>
          <w:spacing w:val="-6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hyperlink r:id="rId4">
        <w:r>
          <w:rPr>
            <w:color w:val="0000FF"/>
            <w:spacing w:val="-4"/>
            <w:u w:val="single" w:color="0000FF"/>
          </w:rPr>
          <w:t>Carolyn.Sabini@cms.hhs.gov</w:t>
        </w:r>
      </w:hyperlink>
      <w:r>
        <w:rPr>
          <w:spacing w:val="-4"/>
          <w:u w:val="none"/>
        </w:rPr>
        <w:t>,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Attention: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Collections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Clearance</w:t>
      </w:r>
      <w:r>
        <w:rPr>
          <w:spacing w:val="-6"/>
          <w:u w:val="none"/>
        </w:rPr>
        <w:t xml:space="preserve"> </w:t>
      </w:r>
      <w:r>
        <w:rPr>
          <w:spacing w:val="-4"/>
          <w:u w:val="none"/>
        </w:rPr>
        <w:t>Officer.</w:t>
      </w:r>
    </w:p>
    <w:p>
      <w:pPr>
        <w:pStyle w:val="BodyText"/>
        <w:spacing w:after="0" w:line="213" w:lineRule="auto"/>
        <w:sectPr>
          <w:type w:val="continuous"/>
          <w:pgSz w:w="12240" w:h="15840"/>
          <w:pgMar w:top="620" w:right="720" w:bottom="280" w:left="720" w:header="720" w:footer="720"/>
          <w:cols w:space="720"/>
        </w:sectPr>
      </w:pPr>
    </w:p>
    <w:p>
      <w:pPr>
        <w:spacing w:before="71" w:line="276" w:lineRule="auto"/>
        <w:ind w:left="856" w:right="5497" w:firstLine="0"/>
        <w:jc w:val="left"/>
        <w:rPr>
          <w:i/>
          <w:sz w:val="6"/>
        </w:rPr>
      </w:pPr>
      <w:r>
        <w:rPr>
          <w:i/>
          <w:w w:val="105"/>
          <w:sz w:val="6"/>
        </w:rPr>
        <w:t>All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fields with an asterisk (</w:t>
      </w:r>
      <w:r>
        <w:rPr>
          <w:i/>
          <w:spacing w:val="-2"/>
          <w:w w:val="105"/>
          <w:sz w:val="6"/>
        </w:rPr>
        <w:t xml:space="preserve"> </w:t>
      </w:r>
      <w:r>
        <w:rPr>
          <w:i/>
          <w:color w:val="993300"/>
          <w:w w:val="105"/>
          <w:sz w:val="6"/>
        </w:rPr>
        <w:t>*</w:t>
      </w:r>
      <w:r>
        <w:rPr>
          <w:i/>
          <w:color w:val="993300"/>
          <w:spacing w:val="-3"/>
          <w:w w:val="105"/>
          <w:sz w:val="6"/>
        </w:rPr>
        <w:t xml:space="preserve"> </w:t>
      </w:r>
      <w:r>
        <w:rPr>
          <w:i/>
          <w:w w:val="105"/>
          <w:sz w:val="6"/>
        </w:rPr>
        <w:t>)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are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required. To validate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the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template, press Validate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button or</w:t>
      </w:r>
      <w:r>
        <w:rPr>
          <w:i/>
          <w:spacing w:val="-1"/>
          <w:w w:val="105"/>
          <w:sz w:val="6"/>
        </w:rPr>
        <w:t xml:space="preserve"> </w:t>
      </w:r>
      <w:r>
        <w:rPr>
          <w:i/>
          <w:w w:val="105"/>
          <w:sz w:val="6"/>
        </w:rPr>
        <w:t>Ctrl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+ Shift + I. To finalize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the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template, press Finalize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button or</w:t>
      </w:r>
      <w:r>
        <w:rPr>
          <w:i/>
          <w:spacing w:val="-1"/>
          <w:w w:val="105"/>
          <w:sz w:val="6"/>
        </w:rPr>
        <w:t xml:space="preserve"> </w:t>
      </w:r>
      <w:r>
        <w:rPr>
          <w:i/>
          <w:w w:val="105"/>
          <w:sz w:val="6"/>
        </w:rPr>
        <w:t>Ctrl</w:t>
      </w:r>
      <w:r>
        <w:rPr>
          <w:i/>
          <w:spacing w:val="2"/>
          <w:w w:val="105"/>
          <w:sz w:val="6"/>
        </w:rPr>
        <w:t xml:space="preserve"> </w:t>
      </w:r>
      <w:r>
        <w:rPr>
          <w:i/>
          <w:w w:val="105"/>
          <w:sz w:val="6"/>
        </w:rPr>
        <w:t>+ Shift + F.</w:t>
      </w:r>
      <w:r>
        <w:rPr>
          <w:i/>
          <w:spacing w:val="40"/>
          <w:w w:val="105"/>
          <w:sz w:val="6"/>
        </w:rPr>
        <w:t xml:space="preserve"> </w:t>
      </w:r>
      <w:r>
        <w:rPr>
          <w:i/>
          <w:w w:val="105"/>
          <w:sz w:val="6"/>
        </w:rPr>
        <w:t>All plan IDs submitted via Plans &amp; Benefits Template(s) must be included in this template.</w:t>
      </w:r>
    </w:p>
    <w:p>
      <w:pPr>
        <w:spacing w:before="3" w:line="302" w:lineRule="auto"/>
        <w:ind w:left="3705" w:right="4012" w:firstLine="0"/>
        <w:jc w:val="center"/>
        <w:rPr>
          <w:b/>
          <w:sz w:val="6"/>
        </w:rPr>
      </w:pPr>
      <w:r>
        <w:rPr>
          <w:b/>
          <w:w w:val="105"/>
          <w:sz w:val="6"/>
        </w:rPr>
        <w:t>Centers for Medicare &amp; Medicaid Services (CMS) Qualified Health Plan (QHP) Transparency in Coverage Reporting</w:t>
      </w:r>
      <w:r>
        <w:rPr>
          <w:b/>
          <w:spacing w:val="40"/>
          <w:w w:val="105"/>
          <w:sz w:val="6"/>
        </w:rPr>
        <w:t xml:space="preserve"> </w:t>
      </w:r>
      <w:r>
        <w:rPr>
          <w:b/>
          <w:w w:val="105"/>
          <w:sz w:val="6"/>
        </w:rPr>
        <w:t>Plan Year</w:t>
      </w:r>
      <w:r>
        <w:rPr>
          <w:b/>
          <w:spacing w:val="-1"/>
          <w:w w:val="105"/>
          <w:sz w:val="6"/>
        </w:rPr>
        <w:t xml:space="preserve"> </w:t>
      </w:r>
      <w:r>
        <w:rPr>
          <w:b/>
          <w:w w:val="105"/>
          <w:sz w:val="6"/>
        </w:rPr>
        <w:t>2026</w:t>
      </w:r>
    </w:p>
    <w:tbl>
      <w:tblPr>
        <w:tblStyle w:val="TableNormal"/>
        <w:tblW w:w="0" w:type="auto"/>
        <w:jc w:val="left"/>
        <w:tblInd w:w="2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608"/>
        <w:gridCol w:w="544"/>
        <w:gridCol w:w="544"/>
        <w:gridCol w:w="544"/>
        <w:gridCol w:w="584"/>
        <w:gridCol w:w="544"/>
        <w:gridCol w:w="544"/>
        <w:gridCol w:w="544"/>
      </w:tblGrid>
      <w:tr>
        <w:tblPrEx>
          <w:tblW w:w="0" w:type="auto"/>
          <w:jc w:val="left"/>
          <w:tblInd w:w="297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9896" w:type="dxa"/>
            <w:gridSpan w:val="18"/>
            <w:shd w:val="clear" w:color="auto" w:fill="E8E8E8"/>
          </w:tcPr>
          <w:p>
            <w:pPr>
              <w:pStyle w:val="TableParagraph"/>
              <w:spacing w:line="49" w:lineRule="exact"/>
              <w:ind w:left="19"/>
              <w:jc w:val="center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Plan</w:t>
            </w:r>
            <w:r>
              <w:rPr>
                <w:b/>
                <w:spacing w:val="4"/>
                <w:w w:val="105"/>
                <w:sz w:val="6"/>
              </w:rPr>
              <w:t xml:space="preserve"> </w:t>
            </w:r>
            <w:r>
              <w:rPr>
                <w:b/>
                <w:w w:val="105"/>
                <w:sz w:val="6"/>
              </w:rPr>
              <w:t>Level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4"/>
                <w:w w:val="105"/>
                <w:sz w:val="6"/>
              </w:rPr>
              <w:t>Data</w:t>
            </w: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3"/>
          <w:jc w:val="left"/>
        </w:trPr>
        <w:tc>
          <w:tcPr>
            <w:tcW w:w="544" w:type="dxa"/>
            <w:shd w:val="clear" w:color="auto" w:fill="E8E8E8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68" w:lineRule="exact"/>
              <w:ind w:left="17"/>
              <w:rPr>
                <w:sz w:val="6"/>
              </w:rPr>
            </w:pPr>
            <w:r>
              <w:rPr>
                <w:w w:val="105"/>
                <w:sz w:val="6"/>
              </w:rPr>
              <w:t xml:space="preserve">Plan </w:t>
            </w:r>
            <w:r>
              <w:rPr>
                <w:spacing w:val="-5"/>
                <w:w w:val="105"/>
                <w:sz w:val="6"/>
              </w:rPr>
              <w:t>ID</w:t>
            </w:r>
            <w:r>
              <w:rPr>
                <w:color w:val="993300"/>
                <w:spacing w:val="-5"/>
                <w:w w:val="105"/>
                <w:sz w:val="6"/>
              </w:rPr>
              <w:t>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7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In-Network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Date(s)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 Service (DOS) 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Received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7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20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In-Network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7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20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In-Network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Resubmitted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46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Out-of-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Network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Received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7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21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Out-of-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Network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 in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46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Out-of-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Network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Resubmitted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44" w:line="261" w:lineRule="auto"/>
              <w:ind w:left="17" w:right="46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Prior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Authorization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Referral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Required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44" w:line="261" w:lineRule="auto"/>
              <w:ind w:left="17" w:right="34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 with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 That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Out-Of-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Network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Provider/Claims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21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 with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 in 2024 That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Exclusion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608" w:type="dxa"/>
            <w:shd w:val="clear" w:color="auto" w:fill="E8E8E8"/>
          </w:tcPr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11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 with DOS 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 That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 Also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Lack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Medical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Necessity,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excluding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Behavioral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Health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44" w:line="261" w:lineRule="auto"/>
              <w:ind w:left="17" w:right="21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 with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 in 2024 That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Due to Lack of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Medical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Necessity,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Behavioral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Health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only,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44" w:line="261" w:lineRule="auto"/>
              <w:ind w:left="17" w:right="46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Enrollee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Benefit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Limit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Reached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44" w:line="261" w:lineRule="auto"/>
              <w:ind w:left="17" w:right="6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1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 with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 in 2024 That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Due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to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Member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Not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Covered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During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 Part of Date of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Service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2024*</w:t>
            </w:r>
          </w:p>
        </w:tc>
        <w:tc>
          <w:tcPr>
            <w:tcW w:w="584" w:type="dxa"/>
            <w:shd w:val="clear" w:color="auto" w:fill="E8E8E8"/>
          </w:tcPr>
          <w:p>
            <w:pPr>
              <w:pStyle w:val="TableParagraph"/>
              <w:spacing w:before="44" w:line="261" w:lineRule="auto"/>
              <w:ind w:left="17" w:right="8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 with DOS 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Investigational,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Experimental,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Cosmetic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Procedure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55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Due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Administrative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Reasons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46"/>
              <w:rPr>
                <w:sz w:val="6"/>
              </w:rPr>
            </w:pPr>
            <w:r>
              <w:rPr>
                <w:w w:val="105"/>
                <w:sz w:val="6"/>
              </w:rPr>
              <w:t>Number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Plan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Level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Claims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with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DOS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2024</w:t>
            </w:r>
            <w:r>
              <w:rPr>
                <w:spacing w:val="-2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That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Were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Also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Denied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for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"Other"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Reasons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in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Calendar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Year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2024*</w:t>
            </w:r>
          </w:p>
        </w:tc>
        <w:tc>
          <w:tcPr>
            <w:tcW w:w="544" w:type="dxa"/>
            <w:shd w:val="clear" w:color="auto" w:fill="E8E8E8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261" w:lineRule="auto"/>
              <w:ind w:left="17" w:right="46"/>
              <w:rPr>
                <w:sz w:val="6"/>
              </w:rPr>
            </w:pPr>
            <w:r>
              <w:rPr>
                <w:w w:val="105"/>
                <w:sz w:val="6"/>
              </w:rPr>
              <w:t>Notes: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(Please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enter</w:t>
            </w:r>
            <w:r>
              <w:rPr>
                <w:spacing w:val="-4"/>
                <w:w w:val="105"/>
                <w:sz w:val="6"/>
              </w:rPr>
              <w:t xml:space="preserve"> </w:t>
            </w:r>
            <w:r>
              <w:rPr>
                <w:w w:val="105"/>
                <w:sz w:val="6"/>
              </w:rPr>
              <w:t>any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comments/notes</w:t>
            </w:r>
            <w:r>
              <w:rPr>
                <w:spacing w:val="40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here.)</w:t>
            </w: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blPrEx>
          <w:tblW w:w="0" w:type="auto"/>
          <w:jc w:val="left"/>
          <w:tblInd w:w="2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"/>
          <w:jc w:val="left"/>
        </w:trPr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/>
    <w:sectPr>
      <w:pgSz w:w="12240" w:h="15840"/>
      <w:pgMar w:top="1020" w:right="720" w:bottom="280" w:left="7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  <w:font w:name="Palatino Linotype">
    <w:altName w:val="Palatino Linotype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  <w:sz w:val="16"/>
      <w:szCs w:val="16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88"/>
      <w:ind w:left="8214" w:right="354" w:hanging="268"/>
      <w:jc w:val="right"/>
    </w:pPr>
    <w:rPr>
      <w:rFonts w:ascii="Palatino Linotype" w:eastAsia="Palatino Linotype" w:hAnsi="Palatino Linotype" w:cs="Palatino Linotype"/>
      <w:sz w:val="18"/>
      <w:szCs w:val="18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arolyn.Sabini@cms.hhs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QHP Transparency in Coverage Reporting - Appendix A1</dc:title>
  <dc:subject>QHP Transparency in Coverage Reporting - Appendix A1</dc:subject>
  <dc:creator>Centers for Medicare</dc:creator>
  <cp:keywords>Qualified Health Plan; QHP; Transparency in Coverage; health care; healthcare; in-network claims; out-of-network claims; issuer; internal appeals; external appeals</cp:keywords>
  <cp:revision>0</cp:revision>
  <dcterms:created xsi:type="dcterms:W3CDTF">2025-10-01T11:00:11Z</dcterms:created>
  <dcterms:modified xsi:type="dcterms:W3CDTF">2025-10-01T11:00:11Z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24.5.96</vt:lpwstr>
  </property>
</Properties>
</file>