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>
      <w:pPr>
        <w:spacing w:before="38" w:line="276" w:lineRule="auto"/>
        <w:ind w:left="7151" w:right="354" w:hanging="452"/>
        <w:jc w:val="right"/>
        <w:rPr>
          <w:rFonts w:ascii="Calibri"/>
          <w:sz w:val="22"/>
        </w:rPr>
      </w:pPr>
      <w:bookmarkStart w:id="0" w:name="Appendix B2 – PY27-PY28 QHP Public Use F"/>
      <w:bookmarkEnd w:id="0"/>
      <w:r>
        <w:rPr>
          <w:rFonts w:ascii="Calibri"/>
          <w:sz w:val="22"/>
        </w:rPr>
        <w:t>OMB</w:t>
      </w:r>
      <w:r>
        <w:rPr>
          <w:rFonts w:ascii="Calibri"/>
          <w:spacing w:val="-13"/>
          <w:sz w:val="22"/>
        </w:rPr>
        <w:t xml:space="preserve"> </w:t>
      </w:r>
      <w:r>
        <w:rPr>
          <w:rFonts w:ascii="Calibri"/>
          <w:sz w:val="22"/>
        </w:rPr>
        <w:t>Control</w:t>
      </w:r>
      <w:r>
        <w:rPr>
          <w:rFonts w:ascii="Calibri"/>
          <w:spacing w:val="-11"/>
          <w:sz w:val="22"/>
        </w:rPr>
        <w:t xml:space="preserve"> </w:t>
      </w:r>
      <w:r>
        <w:rPr>
          <w:rFonts w:ascii="Calibri"/>
          <w:sz w:val="22"/>
        </w:rPr>
        <w:t>Number:</w:t>
      </w:r>
      <w:r>
        <w:rPr>
          <w:rFonts w:ascii="Calibri"/>
          <w:spacing w:val="-12"/>
          <w:sz w:val="22"/>
        </w:rPr>
        <w:t xml:space="preserve"> </w:t>
      </w:r>
      <w:r>
        <w:rPr>
          <w:rFonts w:ascii="Calibri"/>
          <w:sz w:val="22"/>
        </w:rPr>
        <w:t>0938-1310 Expiration</w:t>
      </w:r>
      <w:r>
        <w:rPr>
          <w:rFonts w:ascii="Calibri"/>
          <w:spacing w:val="-7"/>
          <w:sz w:val="22"/>
        </w:rPr>
        <w:t xml:space="preserve"> </w:t>
      </w:r>
      <w:r>
        <w:rPr>
          <w:rFonts w:ascii="Calibri"/>
          <w:sz w:val="22"/>
        </w:rPr>
        <w:t>Date:</w:t>
      </w:r>
      <w:r>
        <w:rPr>
          <w:rFonts w:ascii="Calibri"/>
          <w:spacing w:val="-6"/>
          <w:sz w:val="22"/>
        </w:rPr>
        <w:t xml:space="preserve"> </w:t>
      </w:r>
      <w:r>
        <w:rPr>
          <w:rFonts w:ascii="Calibri"/>
          <w:spacing w:val="-2"/>
          <w:sz w:val="22"/>
        </w:rPr>
        <w:t>XX/XX/20XX</w:t>
      </w:r>
    </w:p>
    <w:p>
      <w:pPr>
        <w:pStyle w:val="Title"/>
        <w:spacing w:line="480" w:lineRule="auto"/>
      </w:pPr>
      <w:r>
        <w:t>Transparency</w:t>
      </w:r>
      <w:r>
        <w:rPr>
          <w:spacing w:val="-11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Coverage</w:t>
      </w:r>
      <w:r>
        <w:rPr>
          <w:spacing w:val="-5"/>
        </w:rPr>
        <w:t xml:space="preserve"> </w:t>
      </w:r>
      <w:r>
        <w:t>Reporting</w:t>
      </w:r>
      <w:r>
        <w:rPr>
          <w:spacing w:val="-6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Qualified</w:t>
      </w:r>
      <w:r>
        <w:rPr>
          <w:spacing w:val="-8"/>
        </w:rPr>
        <w:t xml:space="preserve"> </w:t>
      </w:r>
      <w:r>
        <w:t>Health</w:t>
      </w:r>
      <w:r>
        <w:rPr>
          <w:spacing w:val="-8"/>
        </w:rPr>
        <w:t xml:space="preserve"> </w:t>
      </w:r>
      <w:r>
        <w:t>Plan</w:t>
      </w:r>
      <w:r>
        <w:rPr>
          <w:spacing w:val="-8"/>
        </w:rPr>
        <w:t xml:space="preserve"> </w:t>
      </w:r>
      <w:r>
        <w:t>Issuers Appendix B2 – PY27-PY28 QHP Public Use File</w:t>
      </w:r>
    </w:p>
    <w:p>
      <w:pPr>
        <w:spacing w:before="0"/>
        <w:ind w:left="360" w:right="468" w:firstLine="0"/>
        <w:jc w:val="left"/>
        <w:rPr>
          <w:sz w:val="24"/>
        </w:rPr>
      </w:pPr>
      <w:r>
        <w:rPr>
          <w:sz w:val="24"/>
        </w:rPr>
        <w:t>Issuers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not</w:t>
      </w:r>
      <w:r>
        <w:rPr>
          <w:spacing w:val="-1"/>
          <w:sz w:val="24"/>
        </w:rPr>
        <w:t xml:space="preserve"> </w:t>
      </w:r>
      <w:r>
        <w:rPr>
          <w:sz w:val="24"/>
        </w:rPr>
        <w:t>need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provide</w:t>
      </w:r>
      <w:r>
        <w:rPr>
          <w:spacing w:val="-1"/>
          <w:sz w:val="24"/>
        </w:rPr>
        <w:t xml:space="preserve"> </w:t>
      </w:r>
      <w:r>
        <w:rPr>
          <w:sz w:val="24"/>
        </w:rPr>
        <w:t>data</w:t>
      </w:r>
      <w:r>
        <w:rPr>
          <w:spacing w:val="-1"/>
          <w:sz w:val="24"/>
        </w:rPr>
        <w:t xml:space="preserve"> </w:t>
      </w:r>
      <w:r>
        <w:rPr>
          <w:sz w:val="24"/>
        </w:rPr>
        <w:t>elements</w:t>
      </w:r>
      <w:r>
        <w:rPr>
          <w:spacing w:val="-4"/>
          <w:sz w:val="24"/>
        </w:rPr>
        <w:t xml:space="preserve"> </w:t>
      </w:r>
      <w:r>
        <w:rPr>
          <w:sz w:val="24"/>
        </w:rPr>
        <w:t>marked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6"/>
          <w:sz w:val="24"/>
        </w:rPr>
        <w:t xml:space="preserve"> </w:t>
      </w:r>
      <w:r>
        <w:rPr>
          <w:sz w:val="24"/>
        </w:rPr>
        <w:t>an</w:t>
      </w:r>
      <w:r>
        <w:rPr>
          <w:spacing w:val="-2"/>
          <w:sz w:val="24"/>
        </w:rPr>
        <w:t xml:space="preserve"> </w:t>
      </w:r>
      <w:r>
        <w:rPr>
          <w:sz w:val="24"/>
        </w:rPr>
        <w:t>asterisk</w:t>
      </w:r>
      <w:r>
        <w:rPr>
          <w:spacing w:val="-2"/>
          <w:sz w:val="24"/>
        </w:rPr>
        <w:t xml:space="preserve"> </w:t>
      </w:r>
      <w:r>
        <w:rPr>
          <w:sz w:val="24"/>
        </w:rPr>
        <w:t>(*),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4"/>
          <w:sz w:val="24"/>
        </w:rPr>
        <w:t xml:space="preserve"> </w:t>
      </w:r>
      <w:r>
        <w:rPr>
          <w:sz w:val="24"/>
        </w:rPr>
        <w:t>CMS</w:t>
      </w:r>
      <w:r>
        <w:rPr>
          <w:spacing w:val="-4"/>
          <w:sz w:val="24"/>
        </w:rPr>
        <w:t xml:space="preserve"> </w:t>
      </w:r>
      <w:r>
        <w:rPr>
          <w:sz w:val="24"/>
        </w:rPr>
        <w:t>will</w:t>
      </w:r>
      <w:r>
        <w:rPr>
          <w:spacing w:val="-1"/>
          <w:sz w:val="24"/>
        </w:rPr>
        <w:t xml:space="preserve"> </w:t>
      </w:r>
      <w:r>
        <w:rPr>
          <w:sz w:val="24"/>
        </w:rPr>
        <w:t>provide those elements.</w:t>
      </w:r>
    </w:p>
    <w:p>
      <w:pPr>
        <w:pStyle w:val="BodyText"/>
        <w:spacing w:before="46"/>
        <w:rPr>
          <w:sz w:val="20"/>
        </w:rPr>
      </w:pPr>
    </w:p>
    <w:tbl>
      <w:tblPr>
        <w:tblStyle w:val="TableNormal"/>
        <w:tblW w:w="0" w:type="auto"/>
        <w:jc w:val="left"/>
        <w:tblInd w:w="5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40"/>
        <w:gridCol w:w="7020"/>
      </w:tblGrid>
      <w:tr>
        <w:tblPrEx>
          <w:tblW w:w="0" w:type="auto"/>
          <w:jc w:val="left"/>
          <w:tblInd w:w="569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30"/>
          <w:jc w:val="left"/>
        </w:trPr>
        <w:tc>
          <w:tcPr>
            <w:tcW w:w="2340" w:type="dxa"/>
          </w:tcPr>
          <w:p>
            <w:pPr>
              <w:pStyle w:val="TableParagraph"/>
              <w:spacing w:line="275" w:lineRule="exact"/>
              <w:ind w:left="107" w:firstLine="0"/>
              <w:rPr>
                <w:b/>
                <w:sz w:val="24"/>
              </w:rPr>
            </w:pPr>
            <w:r>
              <w:rPr>
                <w:b/>
                <w:sz w:val="24"/>
              </w:rPr>
              <w:t>Data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Element </w:t>
            </w:r>
            <w:r>
              <w:rPr>
                <w:b/>
                <w:spacing w:val="-4"/>
                <w:sz w:val="24"/>
              </w:rPr>
              <w:t>Name</w:t>
            </w:r>
          </w:p>
        </w:tc>
        <w:tc>
          <w:tcPr>
            <w:tcW w:w="7020" w:type="dxa"/>
          </w:tcPr>
          <w:p>
            <w:pPr>
              <w:pStyle w:val="TableParagraph"/>
              <w:spacing w:line="275" w:lineRule="exact"/>
              <w:ind w:left="107" w:firstLine="0"/>
              <w:rPr>
                <w:b/>
                <w:sz w:val="24"/>
              </w:rPr>
            </w:pPr>
            <w:r>
              <w:rPr>
                <w:b/>
                <w:sz w:val="24"/>
              </w:rPr>
              <w:t>Data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Element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Description</w:t>
            </w:r>
          </w:p>
        </w:tc>
      </w:tr>
      <w:tr>
        <w:tblPrEx>
          <w:tblW w:w="0" w:type="auto"/>
          <w:jc w:val="left"/>
          <w:tblInd w:w="569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554"/>
          <w:jc w:val="left"/>
        </w:trPr>
        <w:tc>
          <w:tcPr>
            <w:tcW w:w="2340" w:type="dxa"/>
          </w:tcPr>
          <w:p>
            <w:pPr>
              <w:pStyle w:val="TableParagraph"/>
              <w:spacing w:before="3"/>
              <w:ind w:left="107" w:firstLine="0"/>
              <w:rPr>
                <w:sz w:val="24"/>
              </w:rPr>
            </w:pPr>
            <w:r>
              <w:rPr>
                <w:sz w:val="24"/>
              </w:rPr>
              <w:t>Issuers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Name</w:t>
            </w:r>
          </w:p>
        </w:tc>
        <w:tc>
          <w:tcPr>
            <w:tcW w:w="7020" w:type="dxa"/>
          </w:tcPr>
          <w:p>
            <w:pPr>
              <w:pStyle w:val="TableParagraph"/>
              <w:spacing w:line="270" w:lineRule="atLeast"/>
              <w:ind w:left="107" w:firstLine="0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issuer’s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full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legal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name,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submitted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Qualified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Health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Plan (QHP) application.</w:t>
            </w:r>
          </w:p>
        </w:tc>
      </w:tr>
      <w:tr>
        <w:tblPrEx>
          <w:tblW w:w="0" w:type="auto"/>
          <w:jc w:val="left"/>
          <w:tblInd w:w="569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550"/>
          <w:jc w:val="left"/>
        </w:trPr>
        <w:tc>
          <w:tcPr>
            <w:tcW w:w="2340" w:type="dxa"/>
          </w:tcPr>
          <w:p>
            <w:pPr>
              <w:pStyle w:val="TableParagraph"/>
              <w:spacing w:line="276" w:lineRule="exact"/>
              <w:ind w:left="107" w:firstLine="0"/>
              <w:rPr>
                <w:sz w:val="24"/>
              </w:rPr>
            </w:pPr>
            <w:r>
              <w:rPr>
                <w:sz w:val="24"/>
              </w:rPr>
              <w:t>Issuer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D/B/A,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if </w:t>
            </w:r>
            <w:r>
              <w:rPr>
                <w:spacing w:val="-2"/>
                <w:sz w:val="24"/>
              </w:rPr>
              <w:t>Applicable</w:t>
            </w:r>
          </w:p>
        </w:tc>
        <w:tc>
          <w:tcPr>
            <w:tcW w:w="7020" w:type="dxa"/>
          </w:tcPr>
          <w:p>
            <w:pPr>
              <w:pStyle w:val="TableParagraph"/>
              <w:spacing w:line="276" w:lineRule="exact"/>
              <w:ind w:left="107" w:firstLine="0"/>
              <w:rPr>
                <w:sz w:val="24"/>
              </w:rPr>
            </w:pPr>
            <w:r>
              <w:rPr>
                <w:sz w:val="24"/>
              </w:rPr>
              <w:t>Business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name(s)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under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which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issuer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offers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QHP(s)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Federally- facilitated Marketplace, if different from Issuer Name.</w:t>
            </w:r>
          </w:p>
        </w:tc>
      </w:tr>
      <w:tr>
        <w:tblPrEx>
          <w:tblW w:w="0" w:type="auto"/>
          <w:jc w:val="left"/>
          <w:tblInd w:w="569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276"/>
          <w:jc w:val="left"/>
        </w:trPr>
        <w:tc>
          <w:tcPr>
            <w:tcW w:w="2340" w:type="dxa"/>
          </w:tcPr>
          <w:p>
            <w:pPr>
              <w:pStyle w:val="TableParagraph"/>
              <w:spacing w:before="1" w:line="255" w:lineRule="exact"/>
              <w:ind w:left="107" w:firstLine="0"/>
              <w:rPr>
                <w:sz w:val="24"/>
              </w:rPr>
            </w:pPr>
            <w:r>
              <w:rPr>
                <w:sz w:val="24"/>
              </w:rPr>
              <w:t>Issuer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ID</w:t>
            </w:r>
          </w:p>
        </w:tc>
        <w:tc>
          <w:tcPr>
            <w:tcW w:w="7020" w:type="dxa"/>
          </w:tcPr>
          <w:p>
            <w:pPr>
              <w:pStyle w:val="TableParagraph"/>
              <w:spacing w:before="1" w:line="255" w:lineRule="exact"/>
              <w:ind w:left="107" w:firstLine="0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issuer’s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5-digit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Health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Insurance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Oversight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System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(HIOS)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ID.</w:t>
            </w:r>
          </w:p>
        </w:tc>
      </w:tr>
      <w:tr>
        <w:tblPrEx>
          <w:tblW w:w="0" w:type="auto"/>
          <w:jc w:val="left"/>
          <w:tblInd w:w="569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273"/>
          <w:jc w:val="left"/>
        </w:trPr>
        <w:tc>
          <w:tcPr>
            <w:tcW w:w="2340" w:type="dxa"/>
          </w:tcPr>
          <w:p>
            <w:pPr>
              <w:pStyle w:val="TableParagraph"/>
              <w:spacing w:line="254" w:lineRule="exact"/>
              <w:ind w:left="107" w:firstLine="0"/>
              <w:rPr>
                <w:sz w:val="24"/>
              </w:rPr>
            </w:pPr>
            <w:r>
              <w:rPr>
                <w:sz w:val="24"/>
              </w:rPr>
              <w:t xml:space="preserve">Plan </w:t>
            </w:r>
            <w:r>
              <w:rPr>
                <w:spacing w:val="-5"/>
                <w:sz w:val="24"/>
              </w:rPr>
              <w:t>ID</w:t>
            </w:r>
          </w:p>
        </w:tc>
        <w:tc>
          <w:tcPr>
            <w:tcW w:w="7020" w:type="dxa"/>
          </w:tcPr>
          <w:p>
            <w:pPr>
              <w:pStyle w:val="TableParagraph"/>
              <w:spacing w:line="254" w:lineRule="exact"/>
              <w:ind w:left="107" w:firstLine="0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issuer’s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14-alpha-numeric </w:t>
            </w:r>
            <w:r>
              <w:rPr>
                <w:spacing w:val="-5"/>
                <w:sz w:val="24"/>
              </w:rPr>
              <w:t>ID.</w:t>
            </w:r>
          </w:p>
        </w:tc>
      </w:tr>
      <w:tr>
        <w:tblPrEx>
          <w:tblW w:w="0" w:type="auto"/>
          <w:jc w:val="left"/>
          <w:tblInd w:w="569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2486"/>
          <w:jc w:val="left"/>
        </w:trPr>
        <w:tc>
          <w:tcPr>
            <w:tcW w:w="2340" w:type="dxa"/>
          </w:tcPr>
          <w:p>
            <w:pPr>
              <w:pStyle w:val="TableParagraph"/>
              <w:spacing w:before="3"/>
              <w:ind w:left="107" w:right="122" w:firstLine="0"/>
              <w:rPr>
                <w:sz w:val="24"/>
              </w:rPr>
            </w:pPr>
            <w:r>
              <w:rPr>
                <w:sz w:val="24"/>
              </w:rPr>
              <w:t>Claims Payment Policies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Practices and Other Information URL</w:t>
            </w:r>
          </w:p>
        </w:tc>
        <w:tc>
          <w:tcPr>
            <w:tcW w:w="7020" w:type="dxa"/>
          </w:tcPr>
          <w:p>
            <w:pPr>
              <w:pStyle w:val="TableParagraph"/>
              <w:spacing w:line="270" w:lineRule="atLeast"/>
              <w:ind w:left="107" w:right="177" w:firstLine="0"/>
              <w:rPr>
                <w:sz w:val="24"/>
              </w:rPr>
            </w:pPr>
            <w:r>
              <w:rPr>
                <w:sz w:val="24"/>
              </w:rPr>
              <w:t>Issuers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provide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URL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link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titled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“Transparency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Coverage” to policies on their main websites on: out-of-network liability and balance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billing;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enrollee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claims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submission;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grace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periods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claims pending; retroactive denials; recoupment of overpayments; medical necessity and prior authorization timeframes and enrollee responsibilities; drug exception timeframes and enrollee responsibilities; explanation of benefits (EOB); and coordination of benefits (COB), as explained in Section V of the Supporting Statement and Appendix C.</w:t>
            </w:r>
          </w:p>
        </w:tc>
      </w:tr>
      <w:tr>
        <w:tblPrEx>
          <w:tblW w:w="0" w:type="auto"/>
          <w:jc w:val="left"/>
          <w:tblInd w:w="569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825"/>
          <w:jc w:val="left"/>
        </w:trPr>
        <w:tc>
          <w:tcPr>
            <w:tcW w:w="2340" w:type="dxa"/>
          </w:tcPr>
          <w:p>
            <w:pPr>
              <w:pStyle w:val="TableParagraph"/>
              <w:ind w:left="107" w:right="465" w:firstLine="0"/>
              <w:rPr>
                <w:sz w:val="24"/>
              </w:rPr>
            </w:pPr>
            <w:r>
              <w:rPr>
                <w:sz w:val="24"/>
              </w:rPr>
              <w:t>Periodic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Financial </w:t>
            </w:r>
            <w:r>
              <w:rPr>
                <w:spacing w:val="-2"/>
                <w:sz w:val="24"/>
              </w:rPr>
              <w:t>Disclosure*</w:t>
            </w:r>
          </w:p>
        </w:tc>
        <w:tc>
          <w:tcPr>
            <w:tcW w:w="7020" w:type="dxa"/>
          </w:tcPr>
          <w:p>
            <w:pPr>
              <w:pStyle w:val="TableParagraph"/>
              <w:spacing w:line="276" w:lineRule="exact"/>
              <w:ind w:left="107" w:right="177" w:firstLine="0"/>
              <w:rPr>
                <w:sz w:val="24"/>
              </w:rPr>
            </w:pPr>
            <w:r>
              <w:rPr>
                <w:sz w:val="24"/>
              </w:rPr>
              <w:t>URL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link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National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Association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Insurance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Commissioners (NAIC) web page listing issuer premium receipts, assets, and liabilities in dollar amounts.</w:t>
            </w:r>
          </w:p>
        </w:tc>
      </w:tr>
      <w:tr>
        <w:tblPrEx>
          <w:tblW w:w="0" w:type="auto"/>
          <w:jc w:val="left"/>
          <w:tblInd w:w="569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552"/>
          <w:jc w:val="left"/>
        </w:trPr>
        <w:tc>
          <w:tcPr>
            <w:tcW w:w="2340" w:type="dxa"/>
          </w:tcPr>
          <w:p>
            <w:pPr>
              <w:pStyle w:val="TableParagraph"/>
              <w:spacing w:before="1"/>
              <w:ind w:left="107" w:firstLine="0"/>
              <w:rPr>
                <w:sz w:val="24"/>
              </w:rPr>
            </w:pPr>
            <w:r>
              <w:rPr>
                <w:sz w:val="24"/>
              </w:rPr>
              <w:t>Data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on </w:t>
            </w:r>
            <w:r>
              <w:rPr>
                <w:spacing w:val="-2"/>
                <w:sz w:val="24"/>
              </w:rPr>
              <w:t>Enrollment*</w:t>
            </w:r>
          </w:p>
        </w:tc>
        <w:tc>
          <w:tcPr>
            <w:tcW w:w="7020" w:type="dxa"/>
          </w:tcPr>
          <w:p>
            <w:pPr>
              <w:pStyle w:val="TableParagraph"/>
              <w:spacing w:line="270" w:lineRule="atLeast"/>
              <w:ind w:left="107" w:firstLine="0"/>
              <w:rPr>
                <w:sz w:val="24"/>
              </w:rPr>
            </w:pPr>
            <w:r>
              <w:rPr>
                <w:sz w:val="24"/>
              </w:rPr>
              <w:t>Issuer-level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enrollment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numbers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derived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Federally- facilitated Exchange (CMS data).</w:t>
            </w:r>
          </w:p>
        </w:tc>
      </w:tr>
      <w:tr>
        <w:tblPrEx>
          <w:tblW w:w="0" w:type="auto"/>
          <w:jc w:val="left"/>
          <w:tblInd w:w="569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550"/>
          <w:jc w:val="left"/>
        </w:trPr>
        <w:tc>
          <w:tcPr>
            <w:tcW w:w="2340" w:type="dxa"/>
          </w:tcPr>
          <w:p>
            <w:pPr>
              <w:pStyle w:val="TableParagraph"/>
              <w:spacing w:line="276" w:lineRule="exact"/>
              <w:ind w:left="107" w:right="465" w:firstLine="0"/>
              <w:rPr>
                <w:sz w:val="24"/>
              </w:rPr>
            </w:pPr>
            <w:r>
              <w:rPr>
                <w:sz w:val="24"/>
              </w:rPr>
              <w:t xml:space="preserve">Data on </w:t>
            </w:r>
            <w:r>
              <w:rPr>
                <w:spacing w:val="-2"/>
                <w:sz w:val="24"/>
              </w:rPr>
              <w:t>Disenrollment*</w:t>
            </w:r>
          </w:p>
        </w:tc>
        <w:tc>
          <w:tcPr>
            <w:tcW w:w="7020" w:type="dxa"/>
          </w:tcPr>
          <w:p>
            <w:pPr>
              <w:pStyle w:val="TableParagraph"/>
              <w:spacing w:line="276" w:lineRule="exact"/>
              <w:ind w:left="107" w:firstLine="0"/>
              <w:rPr>
                <w:sz w:val="24"/>
              </w:rPr>
            </w:pPr>
            <w:r>
              <w:rPr>
                <w:sz w:val="24"/>
              </w:rPr>
              <w:t>Issuer-level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disenrollment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numbers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derived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Federally- facilitated Exchange (CMS data).</w:t>
            </w:r>
          </w:p>
        </w:tc>
      </w:tr>
    </w:tbl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186"/>
        <w:rPr>
          <w:sz w:val="24"/>
        </w:rPr>
      </w:pPr>
    </w:p>
    <w:p>
      <w:pPr>
        <w:pStyle w:val="BodyText"/>
        <w:spacing w:before="1"/>
        <w:ind w:left="355" w:right="365"/>
      </w:pPr>
      <w:r>
        <w:t>According to the Paperwork Reduction Act of 1995, no persons are required to respond to a collection of information unless it displays a valid</w:t>
      </w:r>
      <w:r>
        <w:rPr>
          <w:spacing w:val="40"/>
        </w:rPr>
        <w:t xml:space="preserve"> </w:t>
      </w:r>
      <w:r>
        <w:t>OMB control number. The valid OMB control number for this information collection is 0938-1310. This information collection is for the</w:t>
      </w:r>
      <w:r>
        <w:rPr>
          <w:spacing w:val="40"/>
        </w:rPr>
        <w:t xml:space="preserve"> </w:t>
      </w:r>
      <w:r>
        <w:t>submission of data related to transparency in coverage by QHP issuers to HHS, the Exchange, and the state insurance commissioner, and also</w:t>
      </w:r>
      <w:r>
        <w:rPr>
          <w:spacing w:val="40"/>
        </w:rPr>
        <w:t xml:space="preserve"> </w:t>
      </w:r>
      <w:r>
        <w:t>make the information available to the public in plain language.</w:t>
      </w:r>
      <w:r>
        <w:rPr>
          <w:spacing w:val="-2"/>
        </w:rPr>
        <w:t xml:space="preserve"> </w:t>
      </w:r>
      <w:r>
        <w:t>The time required to complete this information collection includes a one-time</w:t>
      </w:r>
      <w:r>
        <w:rPr>
          <w:spacing w:val="40"/>
        </w:rPr>
        <w:t xml:space="preserve"> </w:t>
      </w:r>
      <w:r>
        <w:t>technical modification estimated to average 11 hours per response for QHP issuers and the time required to complete an annual submission of</w:t>
      </w:r>
      <w:r>
        <w:rPr>
          <w:spacing w:val="40"/>
        </w:rPr>
        <w:t xml:space="preserve"> </w:t>
      </w:r>
      <w:r>
        <w:t>Transparency in Coverage data estimated to average 44 hours per response for QHP issuers, including the time to review instructions, search</w:t>
      </w:r>
      <w:r>
        <w:rPr>
          <w:spacing w:val="40"/>
        </w:rPr>
        <w:t xml:space="preserve"> </w:t>
      </w:r>
      <w:r>
        <w:t>existing data resources, gather</w:t>
      </w:r>
      <w:r>
        <w:rPr>
          <w:spacing w:val="-1"/>
        </w:rPr>
        <w:t xml:space="preserve"> </w:t>
      </w:r>
      <w:r>
        <w:t>the data needed, to review and</w:t>
      </w:r>
      <w:r>
        <w:rPr>
          <w:spacing w:val="-3"/>
        </w:rPr>
        <w:t xml:space="preserve"> </w:t>
      </w:r>
      <w:r>
        <w:t>complete the information collection. Pursuant to 45 CFR 156.220, QHP issuers are</w:t>
      </w:r>
      <w:r>
        <w:rPr>
          <w:spacing w:val="40"/>
        </w:rPr>
        <w:t xml:space="preserve"> </w:t>
      </w:r>
      <w:r>
        <w:t>required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make</w:t>
      </w:r>
      <w:r>
        <w:rPr>
          <w:spacing w:val="-2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available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consumers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CMS.</w:t>
      </w:r>
      <w:r>
        <w:rPr>
          <w:spacing w:val="-2"/>
        </w:rPr>
        <w:t xml:space="preserve"> </w:t>
      </w:r>
      <w:r>
        <w:t>CMS</w:t>
      </w:r>
      <w:r>
        <w:rPr>
          <w:spacing w:val="-3"/>
        </w:rPr>
        <w:t xml:space="preserve"> </w:t>
      </w:r>
      <w:r>
        <w:t>requires</w:t>
      </w:r>
      <w:r>
        <w:rPr>
          <w:spacing w:val="-1"/>
        </w:rPr>
        <w:t xml:space="preserve"> </w:t>
      </w:r>
      <w:r>
        <w:t>QHP</w:t>
      </w:r>
      <w:r>
        <w:rPr>
          <w:spacing w:val="-3"/>
        </w:rPr>
        <w:t xml:space="preserve"> </w:t>
      </w:r>
      <w:r>
        <w:t>issuers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update</w:t>
      </w:r>
      <w:r>
        <w:rPr>
          <w:spacing w:val="-2"/>
        </w:rPr>
        <w:t xml:space="preserve"> </w:t>
      </w:r>
      <w:r>
        <w:t>transparency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coverage</w:t>
      </w:r>
      <w:r>
        <w:rPr>
          <w:spacing w:val="-2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annually.</w:t>
      </w:r>
      <w:r>
        <w:rPr>
          <w:spacing w:val="40"/>
        </w:rPr>
        <w:t xml:space="preserve"> </w:t>
      </w:r>
      <w:r>
        <w:t>If you have comments concerning the accuracy of the time estimate(s) or suggestions for improving this form, please write to: CMS, 7500</w:t>
      </w:r>
      <w:r>
        <w:rPr>
          <w:spacing w:val="40"/>
        </w:rPr>
        <w:t xml:space="preserve"> </w:t>
      </w:r>
      <w:r>
        <w:t>Security</w:t>
      </w:r>
      <w:r>
        <w:rPr>
          <w:spacing w:val="-4"/>
        </w:rPr>
        <w:t xml:space="preserve"> </w:t>
      </w:r>
      <w:r>
        <w:t>Boulevard,</w:t>
      </w:r>
      <w:r>
        <w:rPr>
          <w:spacing w:val="-4"/>
        </w:rPr>
        <w:t xml:space="preserve"> </w:t>
      </w:r>
      <w:r>
        <w:t>Mail</w:t>
      </w:r>
      <w:r>
        <w:rPr>
          <w:spacing w:val="-5"/>
        </w:rPr>
        <w:t xml:space="preserve"> </w:t>
      </w:r>
      <w:r>
        <w:t>Stop</w:t>
      </w:r>
      <w:r>
        <w:rPr>
          <w:spacing w:val="-4"/>
        </w:rPr>
        <w:t xml:space="preserve"> </w:t>
      </w:r>
      <w:r>
        <w:t>C4-26-05,</w:t>
      </w:r>
      <w:r>
        <w:rPr>
          <w:spacing w:val="-4"/>
        </w:rPr>
        <w:t xml:space="preserve"> </w:t>
      </w:r>
      <w:r>
        <w:t>Baltimore,</w:t>
      </w:r>
      <w:r>
        <w:rPr>
          <w:spacing w:val="-4"/>
        </w:rPr>
        <w:t xml:space="preserve"> </w:t>
      </w:r>
      <w:r>
        <w:t>Maryland</w:t>
      </w:r>
      <w:r>
        <w:rPr>
          <w:spacing w:val="-4"/>
        </w:rPr>
        <w:t xml:space="preserve"> </w:t>
      </w:r>
      <w:r>
        <w:t>21244-1850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email</w:t>
      </w:r>
      <w:r>
        <w:rPr>
          <w:spacing w:val="-5"/>
        </w:rPr>
        <w:t xml:space="preserve"> </w:t>
      </w:r>
      <w:r>
        <w:t>Carolyn</w:t>
      </w:r>
      <w:r>
        <w:rPr>
          <w:spacing w:val="-5"/>
        </w:rPr>
        <w:t xml:space="preserve"> </w:t>
      </w:r>
      <w:r>
        <w:t>Sabini at</w:t>
      </w:r>
      <w:r>
        <w:rPr>
          <w:spacing w:val="-5"/>
        </w:rPr>
        <w:t xml:space="preserve"> </w:t>
      </w:r>
      <w:hyperlink r:id="rId4">
        <w:r>
          <w:rPr>
            <w:color w:val="0000FF"/>
            <w:u w:val="single" w:color="0000FF"/>
          </w:rPr>
          <w:t>Carolyn.Sabini@cms.hhs.gov</w:t>
        </w:r>
      </w:hyperlink>
      <w:r>
        <w:rPr>
          <w:u w:val="none"/>
        </w:rPr>
        <w:t>,</w:t>
      </w:r>
      <w:r>
        <w:rPr>
          <w:spacing w:val="-4"/>
          <w:u w:val="none"/>
        </w:rPr>
        <w:t xml:space="preserve"> </w:t>
      </w:r>
      <w:r>
        <w:rPr>
          <w:u w:val="none"/>
        </w:rPr>
        <w:t>Attention:</w:t>
      </w:r>
      <w:r>
        <w:rPr>
          <w:spacing w:val="40"/>
          <w:u w:val="none"/>
        </w:rPr>
        <w:t xml:space="preserve"> </w:t>
      </w:r>
      <w:r>
        <w:rPr>
          <w:u w:val="none"/>
        </w:rPr>
        <w:t>Information Collections Clearance Officer.</w:t>
      </w:r>
    </w:p>
    <w:p>
      <w:pPr>
        <w:pStyle w:val="BodyText"/>
        <w:spacing w:after="0"/>
        <w:sectPr>
          <w:type w:val="continuous"/>
          <w:pgSz w:w="12240" w:h="15840"/>
          <w:pgMar w:top="680" w:right="1080" w:bottom="280" w:left="1080" w:header="720" w:footer="720"/>
          <w:cols w:space="720"/>
        </w:sectPr>
      </w:pPr>
    </w:p>
    <w:tbl>
      <w:tblPr>
        <w:tblStyle w:val="TableNormal"/>
        <w:tblW w:w="0" w:type="auto"/>
        <w:jc w:val="left"/>
        <w:tblInd w:w="5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40"/>
        <w:gridCol w:w="7020"/>
      </w:tblGrid>
      <w:tr>
        <w:tblPrEx>
          <w:tblW w:w="0" w:type="auto"/>
          <w:jc w:val="left"/>
          <w:tblInd w:w="569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14"/>
          <w:jc w:val="left"/>
        </w:trPr>
        <w:tc>
          <w:tcPr>
            <w:tcW w:w="2340" w:type="dxa"/>
          </w:tcPr>
          <w:p>
            <w:pPr>
              <w:pStyle w:val="TableParagraph"/>
              <w:spacing w:line="275" w:lineRule="exact"/>
              <w:ind w:left="107" w:firstLine="0"/>
              <w:rPr>
                <w:b/>
                <w:sz w:val="24"/>
              </w:rPr>
            </w:pPr>
            <w:r>
              <w:rPr>
                <w:b/>
                <w:sz w:val="24"/>
              </w:rPr>
              <w:t>Data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Element </w:t>
            </w:r>
            <w:r>
              <w:rPr>
                <w:b/>
                <w:spacing w:val="-4"/>
                <w:sz w:val="24"/>
              </w:rPr>
              <w:t>Name</w:t>
            </w:r>
          </w:p>
        </w:tc>
        <w:tc>
          <w:tcPr>
            <w:tcW w:w="7020" w:type="dxa"/>
          </w:tcPr>
          <w:p>
            <w:pPr>
              <w:pStyle w:val="TableParagraph"/>
              <w:spacing w:line="275" w:lineRule="exact"/>
              <w:ind w:left="107" w:firstLine="0"/>
              <w:rPr>
                <w:b/>
                <w:sz w:val="24"/>
              </w:rPr>
            </w:pPr>
            <w:r>
              <w:rPr>
                <w:b/>
                <w:sz w:val="24"/>
              </w:rPr>
              <w:t>Data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Element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Description</w:t>
            </w:r>
          </w:p>
        </w:tc>
      </w:tr>
      <w:tr>
        <w:tblPrEx>
          <w:tblW w:w="0" w:type="auto"/>
          <w:jc w:val="left"/>
          <w:tblInd w:w="569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8053"/>
          <w:jc w:val="left"/>
        </w:trPr>
        <w:tc>
          <w:tcPr>
            <w:tcW w:w="2340" w:type="dxa"/>
          </w:tcPr>
          <w:p>
            <w:pPr>
              <w:pStyle w:val="TableParagraph"/>
              <w:spacing w:before="3"/>
              <w:ind w:left="107" w:firstLine="0"/>
              <w:rPr>
                <w:sz w:val="24"/>
              </w:rPr>
            </w:pPr>
            <w:r>
              <w:rPr>
                <w:sz w:val="24"/>
              </w:rPr>
              <w:t>Issuer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Level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Claims </w:t>
            </w:r>
            <w:r>
              <w:rPr>
                <w:spacing w:val="-4"/>
                <w:sz w:val="24"/>
              </w:rPr>
              <w:t>Data</w:t>
            </w:r>
          </w:p>
        </w:tc>
        <w:tc>
          <w:tcPr>
            <w:tcW w:w="7020" w:type="dxa"/>
          </w:tcPr>
          <w:p>
            <w:pPr>
              <w:pStyle w:val="TableParagraph"/>
              <w:spacing w:before="3" w:line="274" w:lineRule="exact"/>
              <w:ind w:left="107" w:firstLine="0"/>
              <w:rPr>
                <w:sz w:val="24"/>
              </w:rPr>
            </w:pPr>
            <w:r>
              <w:rPr>
                <w:sz w:val="24"/>
              </w:rPr>
              <w:t>Issuers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provide: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val="left" w:pos="823"/>
              </w:tabs>
              <w:spacing w:before="0" w:after="0" w:line="292" w:lineRule="exact"/>
              <w:ind w:left="823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In-network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Non-Behavioral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Health: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val="left" w:pos="1543"/>
              </w:tabs>
              <w:spacing w:before="0" w:after="0" w:line="286" w:lineRule="exact"/>
              <w:ind w:left="1543" w:right="0" w:hanging="359"/>
              <w:jc w:val="left"/>
              <w:rPr>
                <w:sz w:val="24"/>
              </w:rPr>
            </w:pPr>
            <w:r>
              <w:rPr>
                <w:sz w:val="24"/>
              </w:rPr>
              <w:t>Claims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received;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val="left" w:pos="1543"/>
              </w:tabs>
              <w:spacing w:before="0" w:after="0" w:line="276" w:lineRule="exact"/>
              <w:ind w:left="1543" w:right="0" w:hanging="359"/>
              <w:jc w:val="left"/>
              <w:rPr>
                <w:sz w:val="24"/>
              </w:rPr>
            </w:pPr>
            <w:r>
              <w:rPr>
                <w:sz w:val="24"/>
              </w:rPr>
              <w:t>Claims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denied;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and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val="left" w:pos="1543"/>
              </w:tabs>
              <w:spacing w:before="0" w:after="0" w:line="275" w:lineRule="exact"/>
              <w:ind w:left="1543" w:right="0" w:hanging="359"/>
              <w:jc w:val="left"/>
              <w:rPr>
                <w:sz w:val="24"/>
              </w:rPr>
            </w:pPr>
            <w:r>
              <w:rPr>
                <w:sz w:val="24"/>
              </w:rPr>
              <w:t>Claims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resubmitted.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val="left" w:pos="823"/>
              </w:tabs>
              <w:spacing w:before="0" w:after="0" w:line="283" w:lineRule="exact"/>
              <w:ind w:left="823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In-network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Behavioral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Health: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val="left" w:pos="1542"/>
              </w:tabs>
              <w:spacing w:before="0" w:after="0" w:line="296" w:lineRule="exact"/>
              <w:ind w:left="1542" w:right="0" w:hanging="359"/>
              <w:jc w:val="left"/>
              <w:rPr>
                <w:sz w:val="24"/>
              </w:rPr>
            </w:pPr>
            <w:r>
              <w:rPr>
                <w:sz w:val="24"/>
              </w:rPr>
              <w:t>Claims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received;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val="left" w:pos="1542"/>
              </w:tabs>
              <w:spacing w:before="23" w:after="0" w:line="240" w:lineRule="auto"/>
              <w:ind w:left="1542" w:right="0" w:hanging="359"/>
              <w:jc w:val="left"/>
              <w:rPr>
                <w:sz w:val="24"/>
              </w:rPr>
            </w:pPr>
            <w:r>
              <w:rPr>
                <w:sz w:val="24"/>
              </w:rPr>
              <w:t>Claims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denied;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and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val="left" w:pos="1542"/>
              </w:tabs>
              <w:spacing w:before="20" w:after="0" w:line="240" w:lineRule="auto"/>
              <w:ind w:left="1542" w:right="0" w:hanging="359"/>
              <w:jc w:val="left"/>
              <w:rPr>
                <w:sz w:val="24"/>
              </w:rPr>
            </w:pPr>
            <w:r>
              <w:rPr>
                <w:sz w:val="24"/>
              </w:rPr>
              <w:t>Claims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resubmitted.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val="left" w:pos="823"/>
              </w:tabs>
              <w:spacing w:before="19" w:after="0" w:line="240" w:lineRule="auto"/>
              <w:ind w:left="823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Out-of-network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Non-Behavioral </w:t>
            </w:r>
            <w:r>
              <w:rPr>
                <w:spacing w:val="-2"/>
                <w:sz w:val="24"/>
              </w:rPr>
              <w:t>Health: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val="left" w:pos="1542"/>
              </w:tabs>
              <w:spacing w:before="3" w:after="0" w:line="286" w:lineRule="exact"/>
              <w:ind w:left="1542" w:right="0" w:hanging="359"/>
              <w:jc w:val="left"/>
              <w:rPr>
                <w:sz w:val="24"/>
              </w:rPr>
            </w:pPr>
            <w:r>
              <w:rPr>
                <w:sz w:val="24"/>
              </w:rPr>
              <w:t>Claims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received;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val="left" w:pos="1542"/>
              </w:tabs>
              <w:spacing w:before="0" w:after="0" w:line="276" w:lineRule="exact"/>
              <w:ind w:left="1542" w:right="0" w:hanging="359"/>
              <w:jc w:val="left"/>
              <w:rPr>
                <w:sz w:val="24"/>
              </w:rPr>
            </w:pPr>
            <w:r>
              <w:rPr>
                <w:sz w:val="24"/>
              </w:rPr>
              <w:t>Claims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denied;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and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val="left" w:pos="1542"/>
              </w:tabs>
              <w:spacing w:before="0" w:after="0" w:line="277" w:lineRule="exact"/>
              <w:ind w:left="1542" w:right="0" w:hanging="359"/>
              <w:jc w:val="left"/>
              <w:rPr>
                <w:sz w:val="24"/>
              </w:rPr>
            </w:pPr>
            <w:r>
              <w:rPr>
                <w:sz w:val="24"/>
              </w:rPr>
              <w:t>Claims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resubmitted.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val="left" w:pos="823"/>
              </w:tabs>
              <w:spacing w:before="0" w:after="0" w:line="285" w:lineRule="exact"/>
              <w:ind w:left="823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Out-of-network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Behavioral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Health: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val="left" w:pos="1542"/>
              </w:tabs>
              <w:spacing w:before="39" w:after="0" w:line="240" w:lineRule="auto"/>
              <w:ind w:left="1542" w:right="0" w:hanging="359"/>
              <w:jc w:val="left"/>
              <w:rPr>
                <w:sz w:val="24"/>
              </w:rPr>
            </w:pPr>
            <w:r>
              <w:rPr>
                <w:sz w:val="24"/>
              </w:rPr>
              <w:t>Claims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received;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val="left" w:pos="1542"/>
              </w:tabs>
              <w:spacing w:before="20" w:after="0" w:line="240" w:lineRule="auto"/>
              <w:ind w:left="1542" w:right="0" w:hanging="359"/>
              <w:jc w:val="left"/>
              <w:rPr>
                <w:sz w:val="24"/>
              </w:rPr>
            </w:pPr>
            <w:r>
              <w:rPr>
                <w:sz w:val="24"/>
              </w:rPr>
              <w:t>Claims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denied;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and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val="left" w:pos="1542"/>
              </w:tabs>
              <w:spacing w:before="20" w:after="0" w:line="240" w:lineRule="auto"/>
              <w:ind w:left="1542" w:right="0" w:hanging="359"/>
              <w:jc w:val="left"/>
              <w:rPr>
                <w:sz w:val="24"/>
              </w:rPr>
            </w:pPr>
            <w:r>
              <w:rPr>
                <w:sz w:val="24"/>
              </w:rPr>
              <w:t>Claims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resubmitted.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val="left" w:pos="823"/>
                <w:tab w:val="left" w:pos="1183"/>
              </w:tabs>
              <w:spacing w:before="23" w:after="0" w:line="294" w:lineRule="exact"/>
              <w:ind w:left="823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Post-Service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Claims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Appeals: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val="left" w:pos="1542"/>
              </w:tabs>
              <w:spacing w:before="0" w:after="0" w:line="286" w:lineRule="exact"/>
              <w:ind w:left="1542" w:right="0" w:hanging="359"/>
              <w:jc w:val="left"/>
              <w:rPr>
                <w:sz w:val="24"/>
              </w:rPr>
            </w:pPr>
            <w:r>
              <w:rPr>
                <w:sz w:val="24"/>
              </w:rPr>
              <w:t>Internal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appeals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filed;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val="left" w:pos="1542"/>
              </w:tabs>
              <w:spacing w:before="0" w:after="0" w:line="276" w:lineRule="exact"/>
              <w:ind w:left="1542" w:right="0" w:hanging="359"/>
              <w:jc w:val="left"/>
              <w:rPr>
                <w:sz w:val="24"/>
              </w:rPr>
            </w:pPr>
            <w:r>
              <w:rPr>
                <w:sz w:val="24"/>
              </w:rPr>
              <w:t>Internal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appeals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overturned;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val="left" w:pos="1542"/>
              </w:tabs>
              <w:spacing w:before="0" w:after="0" w:line="276" w:lineRule="exact"/>
              <w:ind w:left="1542" w:right="0" w:hanging="359"/>
              <w:jc w:val="left"/>
              <w:rPr>
                <w:sz w:val="24"/>
              </w:rPr>
            </w:pPr>
            <w:r>
              <w:rPr>
                <w:sz w:val="24"/>
              </w:rPr>
              <w:t>External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appeals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filed;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and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val="left" w:pos="1542"/>
              </w:tabs>
              <w:spacing w:before="0" w:after="0" w:line="277" w:lineRule="exact"/>
              <w:ind w:left="1542" w:right="0" w:hanging="359"/>
              <w:jc w:val="left"/>
              <w:rPr>
                <w:sz w:val="24"/>
              </w:rPr>
            </w:pPr>
            <w:r>
              <w:rPr>
                <w:sz w:val="24"/>
              </w:rPr>
              <w:t>External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appeals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overturned.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val="left" w:pos="823"/>
              </w:tabs>
              <w:spacing w:before="0" w:after="0" w:line="285" w:lineRule="exact"/>
              <w:ind w:left="823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Pre-Service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Benefit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Requests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Appeals: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val="left" w:pos="1542"/>
              </w:tabs>
              <w:spacing w:before="39" w:after="0" w:line="240" w:lineRule="auto"/>
              <w:ind w:left="1542" w:right="0" w:hanging="359"/>
              <w:jc w:val="left"/>
              <w:rPr>
                <w:sz w:val="24"/>
              </w:rPr>
            </w:pPr>
            <w:r>
              <w:rPr>
                <w:sz w:val="24"/>
              </w:rPr>
              <w:t>Internal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appeals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filed;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val="left" w:pos="1542"/>
              </w:tabs>
              <w:spacing w:before="20" w:after="0" w:line="240" w:lineRule="auto"/>
              <w:ind w:left="1542" w:right="0" w:hanging="359"/>
              <w:jc w:val="left"/>
              <w:rPr>
                <w:sz w:val="24"/>
              </w:rPr>
            </w:pPr>
            <w:r>
              <w:rPr>
                <w:sz w:val="24"/>
              </w:rPr>
              <w:t>Internal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appeals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overturned;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val="left" w:pos="1542"/>
              </w:tabs>
              <w:spacing w:before="20" w:after="0" w:line="240" w:lineRule="auto"/>
              <w:ind w:left="1542" w:right="0" w:hanging="359"/>
              <w:jc w:val="left"/>
              <w:rPr>
                <w:sz w:val="24"/>
              </w:rPr>
            </w:pPr>
            <w:r>
              <w:rPr>
                <w:sz w:val="24"/>
              </w:rPr>
              <w:t>External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appeals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filed;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and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val="left" w:pos="1542"/>
              </w:tabs>
              <w:spacing w:before="24" w:after="0" w:line="240" w:lineRule="auto"/>
              <w:ind w:left="1542" w:right="0" w:hanging="359"/>
              <w:jc w:val="left"/>
              <w:rPr>
                <w:sz w:val="24"/>
              </w:rPr>
            </w:pPr>
            <w:r>
              <w:rPr>
                <w:sz w:val="24"/>
              </w:rPr>
              <w:t>External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appeals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overturned.</w:t>
            </w:r>
          </w:p>
        </w:tc>
      </w:tr>
      <w:tr>
        <w:tblPrEx>
          <w:tblW w:w="0" w:type="auto"/>
          <w:jc w:val="left"/>
          <w:tblInd w:w="569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5090"/>
          <w:jc w:val="left"/>
        </w:trPr>
        <w:tc>
          <w:tcPr>
            <w:tcW w:w="2340" w:type="dxa"/>
          </w:tcPr>
          <w:p>
            <w:pPr>
              <w:pStyle w:val="TableParagraph"/>
              <w:ind w:left="107" w:right="62" w:firstLine="0"/>
              <w:rPr>
                <w:sz w:val="24"/>
              </w:rPr>
            </w:pPr>
            <w:r>
              <w:rPr>
                <w:sz w:val="24"/>
              </w:rPr>
              <w:t>Plan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Level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Claims </w:t>
            </w:r>
            <w:r>
              <w:rPr>
                <w:spacing w:val="-4"/>
                <w:sz w:val="24"/>
              </w:rPr>
              <w:t>Data</w:t>
            </w:r>
          </w:p>
        </w:tc>
        <w:tc>
          <w:tcPr>
            <w:tcW w:w="7020" w:type="dxa"/>
          </w:tcPr>
          <w:p>
            <w:pPr>
              <w:pStyle w:val="TableParagraph"/>
              <w:spacing w:line="274" w:lineRule="exact"/>
              <w:ind w:left="107" w:firstLine="0"/>
              <w:rPr>
                <w:sz w:val="24"/>
              </w:rPr>
            </w:pPr>
            <w:r>
              <w:rPr>
                <w:sz w:val="24"/>
              </w:rPr>
              <w:t>Issuers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provide: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left" w:pos="823"/>
              </w:tabs>
              <w:spacing w:before="0" w:after="0" w:line="293" w:lineRule="exact"/>
              <w:ind w:left="823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In-network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Non-Behavioral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Health: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val="left" w:pos="1542"/>
              </w:tabs>
              <w:spacing w:before="3" w:after="0" w:line="286" w:lineRule="exact"/>
              <w:ind w:left="1542" w:right="0" w:hanging="359"/>
              <w:jc w:val="left"/>
              <w:rPr>
                <w:sz w:val="24"/>
              </w:rPr>
            </w:pPr>
            <w:r>
              <w:rPr>
                <w:sz w:val="24"/>
              </w:rPr>
              <w:t>Claims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received;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val="left" w:pos="1542"/>
              </w:tabs>
              <w:spacing w:before="0" w:after="0" w:line="276" w:lineRule="exact"/>
              <w:ind w:left="1542" w:right="0" w:hanging="359"/>
              <w:jc w:val="left"/>
              <w:rPr>
                <w:sz w:val="24"/>
              </w:rPr>
            </w:pPr>
            <w:r>
              <w:rPr>
                <w:sz w:val="24"/>
              </w:rPr>
              <w:t>Claims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denied;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and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val="left" w:pos="1542"/>
              </w:tabs>
              <w:spacing w:before="0" w:after="0" w:line="277" w:lineRule="exact"/>
              <w:ind w:left="1542" w:right="0" w:hanging="359"/>
              <w:jc w:val="left"/>
              <w:rPr>
                <w:sz w:val="24"/>
              </w:rPr>
            </w:pPr>
            <w:r>
              <w:rPr>
                <w:sz w:val="24"/>
              </w:rPr>
              <w:t>Claims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resubmitted.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left" w:pos="823"/>
              </w:tabs>
              <w:spacing w:before="0" w:after="0" w:line="285" w:lineRule="exact"/>
              <w:ind w:left="823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In-network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Behavioral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Health: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val="left" w:pos="1542"/>
              </w:tabs>
              <w:spacing w:before="35" w:after="0" w:line="240" w:lineRule="auto"/>
              <w:ind w:left="1542" w:right="0" w:hanging="359"/>
              <w:jc w:val="left"/>
              <w:rPr>
                <w:sz w:val="24"/>
              </w:rPr>
            </w:pPr>
            <w:r>
              <w:rPr>
                <w:sz w:val="24"/>
              </w:rPr>
              <w:t>Claims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received;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val="left" w:pos="1542"/>
              </w:tabs>
              <w:spacing w:before="24" w:after="0" w:line="240" w:lineRule="auto"/>
              <w:ind w:left="1542" w:right="0" w:hanging="359"/>
              <w:jc w:val="left"/>
              <w:rPr>
                <w:sz w:val="24"/>
              </w:rPr>
            </w:pPr>
            <w:r>
              <w:rPr>
                <w:sz w:val="24"/>
              </w:rPr>
              <w:t>Claims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denied;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and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val="left" w:pos="1542"/>
              </w:tabs>
              <w:spacing w:before="20" w:after="0" w:line="240" w:lineRule="auto"/>
              <w:ind w:left="1542" w:right="0" w:hanging="359"/>
              <w:jc w:val="left"/>
              <w:rPr>
                <w:sz w:val="24"/>
              </w:rPr>
            </w:pPr>
            <w:r>
              <w:rPr>
                <w:sz w:val="24"/>
              </w:rPr>
              <w:t>Claims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resubmitted.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left" w:pos="823"/>
              </w:tabs>
              <w:spacing w:before="18" w:after="0" w:line="240" w:lineRule="auto"/>
              <w:ind w:left="823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Out-of-network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Non-Behavioral </w:t>
            </w:r>
            <w:r>
              <w:rPr>
                <w:spacing w:val="-2"/>
                <w:sz w:val="24"/>
              </w:rPr>
              <w:t>Health: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val="left" w:pos="1542"/>
              </w:tabs>
              <w:spacing w:before="4" w:after="0" w:line="286" w:lineRule="exact"/>
              <w:ind w:left="1542" w:right="0" w:hanging="359"/>
              <w:jc w:val="left"/>
              <w:rPr>
                <w:sz w:val="24"/>
              </w:rPr>
            </w:pPr>
            <w:r>
              <w:rPr>
                <w:sz w:val="24"/>
              </w:rPr>
              <w:t>Claims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received;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val="left" w:pos="1542"/>
              </w:tabs>
              <w:spacing w:before="0" w:after="0" w:line="276" w:lineRule="exact"/>
              <w:ind w:left="1542" w:right="0" w:hanging="359"/>
              <w:jc w:val="left"/>
              <w:rPr>
                <w:sz w:val="24"/>
              </w:rPr>
            </w:pPr>
            <w:r>
              <w:rPr>
                <w:sz w:val="24"/>
              </w:rPr>
              <w:t>Claims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denied;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and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val="left" w:pos="1542"/>
              </w:tabs>
              <w:spacing w:before="0" w:after="0" w:line="277" w:lineRule="exact"/>
              <w:ind w:left="1542" w:right="0" w:hanging="359"/>
              <w:jc w:val="left"/>
              <w:rPr>
                <w:sz w:val="24"/>
              </w:rPr>
            </w:pPr>
            <w:r>
              <w:rPr>
                <w:sz w:val="24"/>
              </w:rPr>
              <w:t>Claims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resubmitted.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left" w:pos="823"/>
              </w:tabs>
              <w:spacing w:before="0" w:after="0" w:line="285" w:lineRule="exact"/>
              <w:ind w:left="823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Out-of-network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Behavioral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Health: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val="left" w:pos="1542"/>
              </w:tabs>
              <w:spacing w:before="35" w:after="0" w:line="240" w:lineRule="auto"/>
              <w:ind w:left="1542" w:right="0" w:hanging="359"/>
              <w:jc w:val="left"/>
              <w:rPr>
                <w:sz w:val="24"/>
              </w:rPr>
            </w:pPr>
            <w:r>
              <w:rPr>
                <w:sz w:val="24"/>
              </w:rPr>
              <w:t>Claims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received;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val="left" w:pos="1542"/>
              </w:tabs>
              <w:spacing w:before="24" w:after="0" w:line="240" w:lineRule="auto"/>
              <w:ind w:left="1542" w:right="0" w:hanging="359"/>
              <w:jc w:val="left"/>
              <w:rPr>
                <w:sz w:val="24"/>
              </w:rPr>
            </w:pPr>
            <w:r>
              <w:rPr>
                <w:sz w:val="24"/>
              </w:rPr>
              <w:t>Claims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denied;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and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val="left" w:pos="1542"/>
              </w:tabs>
              <w:spacing w:before="20" w:after="0" w:line="296" w:lineRule="exact"/>
              <w:ind w:left="1542" w:right="0" w:hanging="359"/>
              <w:jc w:val="left"/>
              <w:rPr>
                <w:sz w:val="24"/>
              </w:rPr>
            </w:pPr>
            <w:r>
              <w:rPr>
                <w:sz w:val="24"/>
              </w:rPr>
              <w:t>Claims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resubmitted.</w:t>
            </w:r>
          </w:p>
        </w:tc>
      </w:tr>
    </w:tbl>
    <w:p>
      <w:pPr>
        <w:pStyle w:val="TableParagraph"/>
        <w:spacing w:after="0" w:line="296" w:lineRule="exact"/>
        <w:jc w:val="left"/>
        <w:rPr>
          <w:sz w:val="24"/>
        </w:rPr>
        <w:sectPr>
          <w:pgSz w:w="12240" w:h="15840"/>
          <w:pgMar w:top="1420" w:right="1080" w:bottom="754" w:left="1080" w:header="720" w:footer="720"/>
          <w:cols w:space="720"/>
        </w:sectPr>
      </w:pPr>
    </w:p>
    <w:tbl>
      <w:tblPr>
        <w:tblStyle w:val="TableNormal"/>
        <w:tblW w:w="0" w:type="auto"/>
        <w:jc w:val="left"/>
        <w:tblInd w:w="5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40"/>
        <w:gridCol w:w="7020"/>
      </w:tblGrid>
      <w:tr>
        <w:tblPrEx>
          <w:tblW w:w="0" w:type="auto"/>
          <w:jc w:val="left"/>
          <w:tblInd w:w="569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37"/>
          <w:jc w:val="left"/>
        </w:trPr>
        <w:tc>
          <w:tcPr>
            <w:tcW w:w="2340" w:type="dxa"/>
          </w:tcPr>
          <w:p>
            <w:pPr>
              <w:pStyle w:val="TableParagraph"/>
              <w:spacing w:line="275" w:lineRule="exact"/>
              <w:ind w:left="107" w:firstLine="0"/>
              <w:rPr>
                <w:b/>
                <w:sz w:val="24"/>
              </w:rPr>
            </w:pPr>
            <w:r>
              <w:rPr>
                <w:b/>
                <w:sz w:val="24"/>
              </w:rPr>
              <w:t>Data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Element </w:t>
            </w:r>
            <w:r>
              <w:rPr>
                <w:b/>
                <w:spacing w:val="-4"/>
                <w:sz w:val="24"/>
              </w:rPr>
              <w:t>Name</w:t>
            </w:r>
          </w:p>
        </w:tc>
        <w:tc>
          <w:tcPr>
            <w:tcW w:w="7020" w:type="dxa"/>
          </w:tcPr>
          <w:p>
            <w:pPr>
              <w:pStyle w:val="TableParagraph"/>
              <w:spacing w:line="275" w:lineRule="exact"/>
              <w:ind w:left="107" w:firstLine="0"/>
              <w:rPr>
                <w:b/>
                <w:sz w:val="24"/>
              </w:rPr>
            </w:pPr>
            <w:r>
              <w:rPr>
                <w:b/>
                <w:sz w:val="24"/>
              </w:rPr>
              <w:t>Data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Element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Description</w:t>
            </w:r>
          </w:p>
        </w:tc>
      </w:tr>
      <w:tr>
        <w:tblPrEx>
          <w:tblW w:w="0" w:type="auto"/>
          <w:jc w:val="left"/>
          <w:tblInd w:w="569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6446"/>
          <w:jc w:val="left"/>
        </w:trPr>
        <w:tc>
          <w:tcPr>
            <w:tcW w:w="2340" w:type="dxa"/>
          </w:tcPr>
          <w:p>
            <w:pPr>
              <w:pStyle w:val="TableParagraph"/>
              <w:spacing w:before="3"/>
              <w:ind w:left="107" w:firstLine="0"/>
              <w:rPr>
                <w:sz w:val="24"/>
              </w:rPr>
            </w:pPr>
            <w:r>
              <w:rPr>
                <w:sz w:val="24"/>
              </w:rPr>
              <w:t>Plan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Level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Claim Denial Data</w:t>
            </w:r>
          </w:p>
        </w:tc>
        <w:tc>
          <w:tcPr>
            <w:tcW w:w="7020" w:type="dxa"/>
          </w:tcPr>
          <w:p>
            <w:pPr>
              <w:pStyle w:val="TableParagraph"/>
              <w:spacing w:before="3" w:line="274" w:lineRule="exact"/>
              <w:ind w:left="107" w:firstLine="0"/>
              <w:rPr>
                <w:sz w:val="24"/>
              </w:rPr>
            </w:pPr>
            <w:r>
              <w:rPr>
                <w:sz w:val="24"/>
              </w:rPr>
              <w:t>Issuers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provide: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left" w:pos="823"/>
              </w:tabs>
              <w:spacing w:before="0" w:after="0" w:line="292" w:lineRule="exact"/>
              <w:ind w:left="823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Out-of-Network Claim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denial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reasons: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val="left" w:pos="1542"/>
              </w:tabs>
              <w:spacing w:before="0" w:after="0" w:line="286" w:lineRule="exact"/>
              <w:ind w:left="1542" w:right="0" w:hanging="35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Out-of-Network;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val="left" w:pos="1542"/>
              </w:tabs>
              <w:spacing w:before="0" w:after="0" w:line="276" w:lineRule="exact"/>
              <w:ind w:left="1542" w:right="0" w:hanging="359"/>
              <w:jc w:val="left"/>
              <w:rPr>
                <w:sz w:val="24"/>
              </w:rPr>
            </w:pPr>
            <w:r>
              <w:rPr>
                <w:sz w:val="24"/>
              </w:rPr>
              <w:t>Enrollment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status;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val="left" w:pos="1542"/>
              </w:tabs>
              <w:spacing w:before="0" w:after="0" w:line="276" w:lineRule="exact"/>
              <w:ind w:left="1542" w:right="0" w:hanging="359"/>
              <w:jc w:val="left"/>
              <w:rPr>
                <w:sz w:val="24"/>
              </w:rPr>
            </w:pPr>
            <w:r>
              <w:rPr>
                <w:sz w:val="24"/>
              </w:rPr>
              <w:t>Benefit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limit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reached;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val="left" w:pos="1542"/>
              </w:tabs>
              <w:spacing w:before="0" w:after="0" w:line="276" w:lineRule="exact"/>
              <w:ind w:left="1542" w:right="0" w:hanging="359"/>
              <w:jc w:val="left"/>
              <w:rPr>
                <w:sz w:val="24"/>
              </w:rPr>
            </w:pPr>
            <w:r>
              <w:rPr>
                <w:sz w:val="24"/>
              </w:rPr>
              <w:t>Investigational,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cosmetic,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experimental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procedure;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val="left" w:pos="1542"/>
              </w:tabs>
              <w:spacing w:before="0" w:after="0" w:line="276" w:lineRule="exact"/>
              <w:ind w:left="1542" w:right="0" w:hanging="359"/>
              <w:jc w:val="left"/>
              <w:rPr>
                <w:sz w:val="24"/>
              </w:rPr>
            </w:pPr>
            <w:r>
              <w:rPr>
                <w:sz w:val="24"/>
              </w:rPr>
              <w:t>Prior authorization or referral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required;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val="left" w:pos="1542"/>
              </w:tabs>
              <w:spacing w:before="0" w:after="0" w:line="260" w:lineRule="exact"/>
              <w:ind w:left="1542" w:right="0" w:hanging="359"/>
              <w:jc w:val="left"/>
              <w:rPr>
                <w:sz w:val="24"/>
              </w:rPr>
            </w:pPr>
            <w:r>
              <w:rPr>
                <w:sz w:val="24"/>
              </w:rPr>
              <w:t xml:space="preserve">Exclusion of </w:t>
            </w:r>
            <w:r>
              <w:rPr>
                <w:spacing w:val="-2"/>
                <w:sz w:val="24"/>
              </w:rPr>
              <w:t>service;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val="left" w:pos="1542"/>
              </w:tabs>
              <w:spacing w:before="0" w:after="0" w:line="260" w:lineRule="exact"/>
              <w:ind w:left="1542" w:right="0" w:hanging="359"/>
              <w:jc w:val="left"/>
              <w:rPr>
                <w:sz w:val="24"/>
              </w:rPr>
            </w:pPr>
            <w:r>
              <w:rPr>
                <w:sz w:val="24"/>
              </w:rPr>
              <w:t>Medical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necessity,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excluding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behavioral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health;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val="left" w:pos="1542"/>
              </w:tabs>
              <w:spacing w:before="0" w:after="0" w:line="276" w:lineRule="exact"/>
              <w:ind w:left="1542" w:right="0" w:hanging="359"/>
              <w:jc w:val="left"/>
              <w:rPr>
                <w:sz w:val="24"/>
              </w:rPr>
            </w:pPr>
            <w:r>
              <w:rPr>
                <w:sz w:val="24"/>
              </w:rPr>
              <w:t>Medical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necessity,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behavioral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health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only;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val="left" w:pos="1542"/>
              </w:tabs>
              <w:spacing w:before="0" w:after="0" w:line="276" w:lineRule="exact"/>
              <w:ind w:left="1542" w:right="0" w:hanging="359"/>
              <w:jc w:val="left"/>
              <w:rPr>
                <w:sz w:val="24"/>
              </w:rPr>
            </w:pPr>
            <w:r>
              <w:rPr>
                <w:sz w:val="24"/>
              </w:rPr>
              <w:t>Administrative;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and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val="left" w:pos="1542"/>
              </w:tabs>
              <w:spacing w:before="0" w:after="0" w:line="275" w:lineRule="exact"/>
              <w:ind w:left="1542" w:right="0" w:hanging="35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Other.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left" w:pos="823"/>
              </w:tabs>
              <w:spacing w:before="0" w:after="0" w:line="283" w:lineRule="exact"/>
              <w:ind w:left="823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In-Network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Claim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denial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reasons: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val="left" w:pos="1542"/>
              </w:tabs>
              <w:spacing w:before="0" w:after="0" w:line="296" w:lineRule="exact"/>
              <w:ind w:left="1542" w:right="0" w:hanging="359"/>
              <w:jc w:val="left"/>
              <w:rPr>
                <w:sz w:val="24"/>
              </w:rPr>
            </w:pPr>
            <w:r>
              <w:rPr>
                <w:sz w:val="24"/>
              </w:rPr>
              <w:t>Enrollment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status;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val="left" w:pos="1542"/>
              </w:tabs>
              <w:spacing w:before="23" w:after="0" w:line="240" w:lineRule="auto"/>
              <w:ind w:left="1542" w:right="0" w:hanging="359"/>
              <w:jc w:val="left"/>
              <w:rPr>
                <w:sz w:val="24"/>
              </w:rPr>
            </w:pPr>
            <w:r>
              <w:rPr>
                <w:sz w:val="24"/>
              </w:rPr>
              <w:t>Benefit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limit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reached;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val="left" w:pos="1542"/>
              </w:tabs>
              <w:spacing w:before="20" w:after="0" w:line="240" w:lineRule="auto"/>
              <w:ind w:left="1542" w:right="0" w:hanging="359"/>
              <w:jc w:val="left"/>
              <w:rPr>
                <w:sz w:val="24"/>
              </w:rPr>
            </w:pPr>
            <w:r>
              <w:rPr>
                <w:sz w:val="24"/>
              </w:rPr>
              <w:t>Investigational,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cosmetic,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or experimental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procedure;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val="left" w:pos="1542"/>
              </w:tabs>
              <w:spacing w:before="20" w:after="0" w:line="240" w:lineRule="auto"/>
              <w:ind w:left="1542" w:right="0" w:hanging="359"/>
              <w:jc w:val="left"/>
              <w:rPr>
                <w:sz w:val="24"/>
              </w:rPr>
            </w:pPr>
            <w:r>
              <w:rPr>
                <w:sz w:val="24"/>
              </w:rPr>
              <w:t>Prior authorization or referral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required;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val="left" w:pos="1542"/>
              </w:tabs>
              <w:spacing w:before="24" w:after="0" w:line="240" w:lineRule="auto"/>
              <w:ind w:left="1542" w:right="0" w:hanging="359"/>
              <w:jc w:val="left"/>
              <w:rPr>
                <w:sz w:val="24"/>
              </w:rPr>
            </w:pPr>
            <w:r>
              <w:rPr>
                <w:sz w:val="24"/>
              </w:rPr>
              <w:t xml:space="preserve">Exclusion of </w:t>
            </w:r>
            <w:r>
              <w:rPr>
                <w:spacing w:val="-2"/>
                <w:sz w:val="24"/>
              </w:rPr>
              <w:t>service;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val="left" w:pos="1542"/>
              </w:tabs>
              <w:spacing w:before="20" w:after="0" w:line="240" w:lineRule="auto"/>
              <w:ind w:left="1542" w:right="0" w:hanging="359"/>
              <w:jc w:val="left"/>
              <w:rPr>
                <w:sz w:val="24"/>
              </w:rPr>
            </w:pPr>
            <w:r>
              <w:rPr>
                <w:sz w:val="24"/>
              </w:rPr>
              <w:t>Medical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necessity,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excluding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behavioral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health;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val="left" w:pos="1542"/>
              </w:tabs>
              <w:spacing w:before="20" w:after="0" w:line="240" w:lineRule="auto"/>
              <w:ind w:left="1542" w:right="0" w:hanging="359"/>
              <w:jc w:val="left"/>
              <w:rPr>
                <w:sz w:val="24"/>
              </w:rPr>
            </w:pPr>
            <w:r>
              <w:rPr>
                <w:sz w:val="24"/>
              </w:rPr>
              <w:t>Medical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necessity,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behavioral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health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only;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val="left" w:pos="1542"/>
              </w:tabs>
              <w:spacing w:before="24" w:after="0" w:line="240" w:lineRule="auto"/>
              <w:ind w:left="1542" w:right="0" w:hanging="359"/>
              <w:jc w:val="left"/>
              <w:rPr>
                <w:sz w:val="24"/>
              </w:rPr>
            </w:pPr>
            <w:r>
              <w:rPr>
                <w:sz w:val="24"/>
              </w:rPr>
              <w:t>Administrative;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and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val="left" w:pos="1542"/>
              </w:tabs>
              <w:spacing w:before="19" w:after="0" w:line="240" w:lineRule="auto"/>
              <w:ind w:left="1542" w:right="0" w:hanging="35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Other.</w:t>
            </w:r>
          </w:p>
        </w:tc>
      </w:tr>
    </w:tbl>
    <w:p/>
    <w:sectPr>
      <w:type w:val="continuous"/>
      <w:pgSz w:w="12240" w:h="15840"/>
      <w:pgMar w:top="1420" w:right="1080" w:bottom="280" w:left="1080"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charset w:val="00"/>
    <w:family w:val="roman"/>
    <w:pitch w:val="variable"/>
  </w:font>
  <w:font w:name="Calibri">
    <w:altName w:val="Calibri"/>
    <w:charset w:val="00"/>
    <w:family w:val="swiss"/>
    <w:pitch w:val="variable"/>
  </w:font>
  <w:font w:name="Courier New">
    <w:altName w:val="Courier New"/>
    <w:charset w:val="00"/>
    <w:family w:val="modern"/>
    <w:pitch w:val="fixed"/>
  </w:font>
  <w:font w:name="Symbol">
    <w:altName w:val="Symbol"/>
    <w:charset w:val="02"/>
    <w:family w:val="roman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D68384E"/>
    <w:multiLevelType w:val="hybridMultilevel"/>
    <w:tmpl w:val="00000000"/>
    <w:lvl w:ilvl="0">
      <w:start w:val="0"/>
      <w:numFmt w:val="bullet"/>
      <w:lvlText w:val=""/>
      <w:lvlJc w:val="left"/>
      <w:pPr>
        <w:ind w:left="82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o"/>
      <w:lvlJc w:val="left"/>
      <w:pPr>
        <w:ind w:left="1543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47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5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63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971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57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18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794" w:hanging="360"/>
      </w:pPr>
      <w:rPr>
        <w:rFonts w:hint="default"/>
        <w:lang w:val="en-US" w:eastAsia="en-US" w:bidi="ar-SA"/>
      </w:rPr>
    </w:lvl>
  </w:abstractNum>
  <w:abstractNum w:abstractNumId="1">
    <w:nsid w:val="22311E77"/>
    <w:multiLevelType w:val="hybridMultilevel"/>
    <w:tmpl w:val="00000000"/>
    <w:lvl w:ilvl="0">
      <w:start w:val="0"/>
      <w:numFmt w:val="bullet"/>
      <w:lvlText w:val=""/>
      <w:lvlJc w:val="left"/>
      <w:pPr>
        <w:ind w:left="82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o"/>
      <w:lvlJc w:val="left"/>
      <w:pPr>
        <w:ind w:left="1543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47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5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63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971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57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18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794" w:hanging="360"/>
      </w:pPr>
      <w:rPr>
        <w:rFonts w:hint="default"/>
        <w:lang w:val="en-US" w:eastAsia="en-US" w:bidi="ar-SA"/>
      </w:rPr>
    </w:lvl>
  </w:abstractNum>
  <w:abstractNum w:abstractNumId="2">
    <w:nsid w:val="4E36B44F"/>
    <w:multiLevelType w:val="hybridMultilevel"/>
    <w:tmpl w:val="00000000"/>
    <w:lvl w:ilvl="0">
      <w:start w:val="0"/>
      <w:numFmt w:val="bullet"/>
      <w:lvlText w:val=""/>
      <w:lvlJc w:val="left"/>
      <w:pPr>
        <w:ind w:left="82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o"/>
      <w:lvlJc w:val="left"/>
      <w:pPr>
        <w:ind w:left="1544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47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5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63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971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57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18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794" w:hanging="360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spacing w:before="0" w:after="0" w:line="240" w:lineRule="auto"/>
        <w:ind w:left="0" w:right="0"/>
        <w:jc w:val="lef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en-US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numbering" w:default="1" w:styleId="NoLi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rFonts w:ascii="Times New Roman" w:eastAsia="Times New Roman" w:hAnsi="Times New Roman" w:cs="Times New Roman"/>
      <w:sz w:val="16"/>
      <w:szCs w:val="16"/>
      <w:lang w:val="en-US" w:eastAsia="en-US" w:bidi="ar-SA"/>
    </w:rPr>
  </w:style>
  <w:style w:type="paragraph" w:styleId="Title">
    <w:name w:val="Title"/>
    <w:basedOn w:val="Normal"/>
    <w:uiPriority w:val="1"/>
    <w:qFormat/>
    <w:pPr>
      <w:spacing w:before="104"/>
      <w:ind w:left="360" w:right="468" w:firstLine="1104"/>
    </w:pPr>
    <w:rPr>
      <w:rFonts w:ascii="Times New Roman" w:eastAsia="Times New Roman" w:hAnsi="Times New Roman" w:cs="Times New Roman"/>
      <w:b/>
      <w:bCs/>
      <w:sz w:val="24"/>
      <w:szCs w:val="24"/>
      <w:lang w:val="en-US" w:eastAsia="en-US" w:bidi="ar-SA"/>
    </w:rPr>
  </w:style>
  <w:style w:type="paragraph" w:styleId="ListParagraph">
    <w:name w:val="List Paragraph"/>
    <w:basedOn w:val="Normal"/>
    <w:uiPriority w:val="1"/>
    <w:qFormat/>
    <w:rPr>
      <w:lang w:val="en-US" w:eastAsia="en-US" w:bidi="ar-SA"/>
    </w:rPr>
  </w:style>
  <w:style w:type="paragraph" w:customStyle="1" w:styleId="TableParagraph">
    <w:name w:val="Table Paragraph"/>
    <w:basedOn w:val="Normal"/>
    <w:uiPriority w:val="1"/>
    <w:qFormat/>
    <w:pPr>
      <w:ind w:left="1542" w:hanging="359"/>
    </w:pPr>
    <w:rPr>
      <w:rFonts w:ascii="Times New Roman" w:eastAsia="Times New Roman" w:hAnsi="Times New Roman" w:cs="Times New Roman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Carolyn.Sabini@cms.hhs.gov" TargetMode="Externa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0</DocSecurity>
  <Lines>0</Lines>
  <Paragraphs>0</Paragraphs>
  <ScaleCrop>false</ScaleCrop>
  <Company>CMS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B2 – PY27-PY28 QHP Public Use File</dc:title>
  <dc:subject>Transparency in Coverage Reporting by Qualified Health Plan Issuers</dc:subject>
  <dc:creator>Centers for Medicare &amp; Medicaid Services (CMS)</dc:creator>
  <cp:keywords>Qualified Health Plan; QHP; Transparency in Coverage; health care; healthcare; in-network claims; out-of-network claims; issuer; internal appeals; external appeals</cp:keywords>
  <cp:revision>0</cp:revision>
  <dcterms:created xsi:type="dcterms:W3CDTF">2025-10-01T11:03:09Z</dcterms:created>
  <dcterms:modified xsi:type="dcterms:W3CDTF">2025-10-01T11:03:09Z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0x010100965FC27B0ED77545992A3C5070BA4731</vt:lpwstr>
  </property>
  <property fmtid="{D5CDD505-2E9C-101B-9397-08002B2CF9AE}" pid="3" name="Created">
    <vt:filetime>2024-12-17T00:00:00Z</vt:filetime>
  </property>
  <property fmtid="{D5CDD505-2E9C-101B-9397-08002B2CF9AE}" pid="4" name="Creator">
    <vt:lpwstr>Acrobat PDFMaker 24 for Word</vt:lpwstr>
  </property>
  <property fmtid="{D5CDD505-2E9C-101B-9397-08002B2CF9AE}" pid="5" name="LastSaved">
    <vt:filetime>2025-10-01T00:00:00Z</vt:filetime>
  </property>
  <property fmtid="{D5CDD505-2E9C-101B-9397-08002B2CF9AE}" pid="6" name="Producer">
    <vt:lpwstr>Adobe PDF Library 24.5.96</vt:lpwstr>
  </property>
  <property fmtid="{D5CDD505-2E9C-101B-9397-08002B2CF9AE}" pid="7" name="SourceModified">
    <vt:lpwstr>D:20241217174705</vt:lpwstr>
  </property>
  <property fmtid="{D5CDD505-2E9C-101B-9397-08002B2CF9AE}" pid="8" name="_dlc_DocId">
    <vt:lpwstr>QSXZK4DW25JC-1146626974-1220</vt:lpwstr>
  </property>
  <property fmtid="{D5CDD505-2E9C-101B-9397-08002B2CF9AE}" pid="9" name="_dlc_DocIdItemGuid">
    <vt:lpwstr>97e55ce0-9da1-4124-a542-ba5cde6cd525</vt:lpwstr>
  </property>
  <property fmtid="{D5CDD505-2E9C-101B-9397-08002B2CF9AE}" pid="10" name="_dlc_DocIdUrl">
    <vt:lpwstr>https://share.cms.gov/center/cciio/MPMG/_layouts/15/DocIdRedir.aspx?ID=QSXZK4DW25JC-1146626974-1220, QSXZK4DW25JC-1146626974-1220</vt:lpwstr>
  </property>
  <property fmtid="{D5CDD505-2E9C-101B-9397-08002B2CF9AE}" pid="11" name="_NewReviewCycle">
    <vt:lpwstr/>
  </property>
</Properties>
</file>