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spacing w:before="38" w:line="256" w:lineRule="auto"/>
        <w:ind w:left="7151" w:right="354" w:hanging="452"/>
        <w:jc w:val="right"/>
        <w:rPr>
          <w:rFonts w:ascii="Calibri"/>
          <w:sz w:val="22"/>
        </w:rPr>
      </w:pPr>
      <w:bookmarkStart w:id="0" w:name="Appendix D: Health Insurance Oversight S"/>
      <w:bookmarkEnd w:id="0"/>
      <w:r>
        <w:rPr>
          <w:rFonts w:ascii="Calibri"/>
          <w:sz w:val="22"/>
        </w:rPr>
        <w:t>OMB</w:t>
      </w:r>
      <w:r>
        <w:rPr>
          <w:rFonts w:ascii="Calibri"/>
          <w:spacing w:val="-13"/>
          <w:sz w:val="22"/>
        </w:rPr>
        <w:t xml:space="preserve"> </w:t>
      </w:r>
      <w:r>
        <w:rPr>
          <w:rFonts w:ascii="Calibri"/>
          <w:sz w:val="22"/>
        </w:rPr>
        <w:t>Control</w:t>
      </w:r>
      <w:r>
        <w:rPr>
          <w:rFonts w:ascii="Calibri"/>
          <w:spacing w:val="-11"/>
          <w:sz w:val="22"/>
        </w:rPr>
        <w:t xml:space="preserve"> </w:t>
      </w:r>
      <w:r>
        <w:rPr>
          <w:rFonts w:ascii="Calibri"/>
          <w:sz w:val="22"/>
        </w:rPr>
        <w:t>Number:</w:t>
      </w:r>
      <w:r>
        <w:rPr>
          <w:rFonts w:ascii="Calibri"/>
          <w:spacing w:val="-12"/>
          <w:sz w:val="22"/>
        </w:rPr>
        <w:t xml:space="preserve"> </w:t>
      </w:r>
      <w:r>
        <w:rPr>
          <w:rFonts w:ascii="Calibri"/>
          <w:sz w:val="22"/>
        </w:rPr>
        <w:t>0938-1310 Expiration</w:t>
      </w:r>
      <w:r>
        <w:rPr>
          <w:rFonts w:ascii="Calibri"/>
          <w:spacing w:val="-7"/>
          <w:sz w:val="22"/>
        </w:rPr>
        <w:t xml:space="preserve"> </w:t>
      </w:r>
      <w:r>
        <w:rPr>
          <w:rFonts w:ascii="Calibri"/>
          <w:sz w:val="22"/>
        </w:rPr>
        <w:t>Date:</w:t>
      </w:r>
      <w:r>
        <w:rPr>
          <w:rFonts w:ascii="Calibri"/>
          <w:spacing w:val="-6"/>
          <w:sz w:val="22"/>
        </w:rPr>
        <w:t xml:space="preserve"> </w:t>
      </w:r>
      <w:r>
        <w:rPr>
          <w:rFonts w:ascii="Calibri"/>
          <w:spacing w:val="-2"/>
          <w:sz w:val="22"/>
        </w:rPr>
        <w:t>XX/XX/20XX</w:t>
      </w:r>
    </w:p>
    <w:p>
      <w:pPr>
        <w:spacing w:before="147"/>
        <w:ind w:left="196" w:right="142" w:firstLine="0"/>
        <w:jc w:val="center"/>
        <w:rPr>
          <w:b/>
          <w:sz w:val="24"/>
        </w:rPr>
      </w:pPr>
      <w:r>
        <w:rPr>
          <w:b/>
          <w:sz w:val="24"/>
        </w:rPr>
        <w:t>Transparency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Coverage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Qualified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Issuers</w:t>
      </w:r>
    </w:p>
    <w:p>
      <w:pPr>
        <w:pStyle w:val="BodyText"/>
        <w:ind w:left="0"/>
        <w:rPr>
          <w:b/>
        </w:rPr>
      </w:pPr>
    </w:p>
    <w:p>
      <w:pPr>
        <w:spacing w:before="0"/>
        <w:ind w:left="193" w:right="142" w:firstLine="0"/>
        <w:jc w:val="center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Oversight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(HIOS)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Marketplace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Plan Management System (MPMS)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val="left" w:pos="716"/>
          <w:tab w:val="left" w:pos="722"/>
        </w:tabs>
        <w:spacing w:before="0" w:after="0" w:line="240" w:lineRule="auto"/>
        <w:ind w:left="722" w:right="480" w:hanging="363"/>
        <w:jc w:val="left"/>
        <w:rPr>
          <w:sz w:val="24"/>
        </w:rPr>
      </w:pPr>
      <w:r>
        <w:rPr>
          <w:sz w:val="24"/>
        </w:rPr>
        <w:t>Issuers applying for PY2025 QHP certification, including issuers offering off-Exchange SADPs, must submit a Transparency in Coverage URL in MPMS. Although SERFF</w:t>
      </w:r>
      <w:r>
        <w:rPr>
          <w:spacing w:val="-1"/>
          <w:sz w:val="24"/>
        </w:rPr>
        <w:t xml:space="preserve"> </w:t>
      </w:r>
      <w:r>
        <w:rPr>
          <w:sz w:val="24"/>
        </w:rPr>
        <w:t>issuers will submit their Transparency in Coverage Template in SERFF, the Transparency in Coverage URL must be submitted in MPMS.</w:t>
      </w:r>
    </w:p>
    <w:p>
      <w:pPr>
        <w:pStyle w:val="BodyText"/>
        <w:ind w:left="0"/>
      </w:pPr>
    </w:p>
    <w:p>
      <w:pPr>
        <w:spacing w:before="0"/>
        <w:ind w:left="359" w:right="0" w:firstLine="0"/>
        <w:jc w:val="left"/>
        <w:rPr>
          <w:b/>
          <w:sz w:val="24"/>
        </w:rPr>
      </w:pPr>
      <w:r>
        <w:rPr>
          <w:b/>
          <w:sz w:val="24"/>
        </w:rPr>
        <w:t>Figure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2M-5.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MPMS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Submission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Screen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 Transparency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Coverage </w:t>
      </w:r>
      <w:r>
        <w:rPr>
          <w:b/>
          <w:spacing w:val="-5"/>
          <w:sz w:val="24"/>
        </w:rPr>
        <w:t>URL</w:t>
      </w:r>
    </w:p>
    <w:p>
      <w:pPr>
        <w:pStyle w:val="BodyText"/>
        <w:spacing w:before="4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188862</wp:posOffset>
            </wp:positionV>
            <wp:extent cx="5973958" cy="3393757"/>
            <wp:effectExtent l="0" t="0" r="0" b="0"/>
            <wp:wrapTopAndBottom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958" cy="3393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4"/>
        <w:ind w:left="359" w:right="365"/>
      </w:pPr>
      <w:r>
        <w:t>Although a URL submission is required to apply for PY2025 QHP certification, issuers are 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URL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directs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compliant</w:t>
      </w:r>
      <w:r>
        <w:rPr>
          <w:spacing w:val="-1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website</w:t>
      </w:r>
      <w:r>
        <w:rPr>
          <w:spacing w:val="-1"/>
        </w:rPr>
        <w:t xml:space="preserve"> </w:t>
      </w:r>
      <w:r>
        <w:t>only if they offer on-Exchange QHPs and SADPs.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val="left" w:pos="718"/>
          <w:tab w:val="left" w:pos="722"/>
        </w:tabs>
        <w:spacing w:before="0" w:after="0" w:line="240" w:lineRule="auto"/>
        <w:ind w:left="722" w:right="577" w:hanging="363"/>
        <w:jc w:val="left"/>
        <w:rPr>
          <w:sz w:val="24"/>
        </w:rPr>
      </w:pPr>
      <w:r>
        <w:rPr>
          <w:sz w:val="24"/>
        </w:rPr>
        <w:t>The Transparency in Coverage Section is required as part of all QHP Applications and requires the user</w:t>
      </w:r>
      <w:r>
        <w:rPr>
          <w:spacing w:val="-1"/>
          <w:sz w:val="24"/>
        </w:rPr>
        <w:t xml:space="preserve"> </w:t>
      </w:r>
      <w:r>
        <w:rPr>
          <w:sz w:val="24"/>
        </w:rPr>
        <w:t>to link</w:t>
      </w:r>
      <w:r>
        <w:rPr>
          <w:spacing w:val="-1"/>
          <w:sz w:val="24"/>
        </w:rPr>
        <w:t xml:space="preserve"> </w:t>
      </w:r>
      <w:r>
        <w:rPr>
          <w:sz w:val="24"/>
        </w:rPr>
        <w:t>a Transparency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Coverage template XML to their application, as well as provide a Transparency in Coverage URL.</w:t>
      </w:r>
    </w:p>
    <w:p>
      <w:pPr>
        <w:pStyle w:val="BodyText"/>
        <w:spacing w:before="143"/>
        <w:ind w:left="0"/>
        <w:rPr>
          <w:sz w:val="16"/>
        </w:rPr>
      </w:pPr>
    </w:p>
    <w:p>
      <w:pPr>
        <w:spacing w:before="0"/>
        <w:ind w:left="355" w:right="365" w:firstLine="0"/>
        <w:jc w:val="left"/>
        <w:rPr>
          <w:sz w:val="16"/>
        </w:rPr>
      </w:pPr>
      <w:r>
        <w:rPr>
          <w:sz w:val="16"/>
        </w:rPr>
        <w:t>According to the Paperwork Reduction Act of 1995, no persons are required to respond to a collection of information unless it displays a valid</w:t>
      </w:r>
      <w:r>
        <w:rPr>
          <w:spacing w:val="40"/>
          <w:sz w:val="16"/>
        </w:rPr>
        <w:t xml:space="preserve"> </w:t>
      </w:r>
      <w:r>
        <w:rPr>
          <w:sz w:val="16"/>
        </w:rPr>
        <w:t>OMB control number. The valid OMB control number for this information collection is 0938-1310. This information collection is for the</w:t>
      </w:r>
      <w:r>
        <w:rPr>
          <w:spacing w:val="40"/>
          <w:sz w:val="16"/>
        </w:rPr>
        <w:t xml:space="preserve"> </w:t>
      </w:r>
      <w:r>
        <w:rPr>
          <w:sz w:val="16"/>
        </w:rPr>
        <w:t>submission of data related to transparency in coverage by QHP issuers to HHS, the Exchange, and the state insurance commissioner, and also</w:t>
      </w:r>
      <w:r>
        <w:rPr>
          <w:spacing w:val="40"/>
          <w:sz w:val="16"/>
        </w:rPr>
        <w:t xml:space="preserve"> </w:t>
      </w:r>
      <w:r>
        <w:rPr>
          <w:sz w:val="16"/>
        </w:rPr>
        <w:t>make the information available to the public in plain language.</w:t>
      </w:r>
      <w:r>
        <w:rPr>
          <w:spacing w:val="-1"/>
          <w:sz w:val="16"/>
        </w:rPr>
        <w:t xml:space="preserve"> </w:t>
      </w:r>
      <w:r>
        <w:rPr>
          <w:sz w:val="16"/>
        </w:rPr>
        <w:t>The time required to complete this information collection includes a one-time</w:t>
      </w:r>
      <w:r>
        <w:rPr>
          <w:spacing w:val="40"/>
          <w:sz w:val="16"/>
        </w:rPr>
        <w:t xml:space="preserve"> </w:t>
      </w:r>
      <w:r>
        <w:rPr>
          <w:sz w:val="16"/>
        </w:rPr>
        <w:t>technical modification estimated to average 11 hours per response for QHP issuers and the time required to complete an annual submission of</w:t>
      </w:r>
      <w:r>
        <w:rPr>
          <w:spacing w:val="40"/>
          <w:sz w:val="16"/>
        </w:rPr>
        <w:t xml:space="preserve"> </w:t>
      </w:r>
      <w:r>
        <w:rPr>
          <w:sz w:val="16"/>
        </w:rPr>
        <w:t>Transparency in Coverage data estimated to average 44 hours per response for QHP issuers, including the time to review instructions, search</w:t>
      </w:r>
      <w:r>
        <w:rPr>
          <w:spacing w:val="40"/>
          <w:sz w:val="16"/>
        </w:rPr>
        <w:t xml:space="preserve"> </w:t>
      </w:r>
      <w:r>
        <w:rPr>
          <w:sz w:val="16"/>
        </w:rPr>
        <w:t>existing data resources, gather</w:t>
      </w:r>
      <w:r>
        <w:rPr>
          <w:spacing w:val="-1"/>
          <w:sz w:val="16"/>
        </w:rPr>
        <w:t xml:space="preserve"> </w:t>
      </w:r>
      <w:r>
        <w:rPr>
          <w:sz w:val="16"/>
        </w:rPr>
        <w:t>the data needed, to review and</w:t>
      </w:r>
      <w:r>
        <w:rPr>
          <w:spacing w:val="-3"/>
          <w:sz w:val="16"/>
        </w:rPr>
        <w:t xml:space="preserve"> </w:t>
      </w:r>
      <w:r>
        <w:rPr>
          <w:sz w:val="16"/>
        </w:rPr>
        <w:t>complete the information collection. Pursuant to 45 CFR 156.220, QHP issuers are</w:t>
      </w:r>
      <w:r>
        <w:rPr>
          <w:spacing w:val="40"/>
          <w:sz w:val="16"/>
        </w:rPr>
        <w:t xml:space="preserve"> </w:t>
      </w:r>
      <w:r>
        <w:rPr>
          <w:sz w:val="16"/>
        </w:rPr>
        <w:t>required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make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-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2"/>
          <w:sz w:val="16"/>
        </w:rPr>
        <w:t xml:space="preserve"> </w:t>
      </w:r>
      <w:r>
        <w:rPr>
          <w:sz w:val="16"/>
        </w:rPr>
        <w:t>available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consumers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CMS.</w:t>
      </w:r>
      <w:r>
        <w:rPr>
          <w:spacing w:val="-2"/>
          <w:sz w:val="16"/>
        </w:rPr>
        <w:t xml:space="preserve"> </w:t>
      </w:r>
      <w:r>
        <w:rPr>
          <w:sz w:val="16"/>
        </w:rPr>
        <w:t>CMS</w:t>
      </w:r>
      <w:r>
        <w:rPr>
          <w:spacing w:val="-3"/>
          <w:sz w:val="16"/>
        </w:rPr>
        <w:t xml:space="preserve"> </w:t>
      </w:r>
      <w:r>
        <w:rPr>
          <w:sz w:val="16"/>
        </w:rPr>
        <w:t>requires</w:t>
      </w:r>
      <w:r>
        <w:rPr>
          <w:spacing w:val="-1"/>
          <w:sz w:val="16"/>
        </w:rPr>
        <w:t xml:space="preserve"> </w:t>
      </w:r>
      <w:r>
        <w:rPr>
          <w:sz w:val="16"/>
        </w:rPr>
        <w:t>QHP</w:t>
      </w:r>
      <w:r>
        <w:rPr>
          <w:spacing w:val="-3"/>
          <w:sz w:val="16"/>
        </w:rPr>
        <w:t xml:space="preserve"> </w:t>
      </w:r>
      <w:r>
        <w:rPr>
          <w:sz w:val="16"/>
        </w:rPr>
        <w:t>issuers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update</w:t>
      </w:r>
      <w:r>
        <w:rPr>
          <w:spacing w:val="-2"/>
          <w:sz w:val="16"/>
        </w:rPr>
        <w:t xml:space="preserve"> </w:t>
      </w:r>
      <w:r>
        <w:rPr>
          <w:sz w:val="16"/>
        </w:rPr>
        <w:t>transparency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coverage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annually.</w:t>
      </w:r>
      <w:r>
        <w:rPr>
          <w:spacing w:val="40"/>
          <w:sz w:val="16"/>
        </w:rPr>
        <w:t xml:space="preserve"> </w:t>
      </w:r>
      <w:r>
        <w:rPr>
          <w:sz w:val="16"/>
        </w:rPr>
        <w:t>If you have comments concerning the accuracy of the time estimate(s) or suggestions for improving this form, please write to: CMS, 7500</w:t>
      </w:r>
      <w:r>
        <w:rPr>
          <w:spacing w:val="40"/>
          <w:sz w:val="16"/>
        </w:rPr>
        <w:t xml:space="preserve"> </w:t>
      </w:r>
      <w:r>
        <w:rPr>
          <w:sz w:val="16"/>
        </w:rPr>
        <w:t>Security</w:t>
      </w:r>
      <w:r>
        <w:rPr>
          <w:spacing w:val="-4"/>
          <w:sz w:val="16"/>
        </w:rPr>
        <w:t xml:space="preserve"> </w:t>
      </w:r>
      <w:r>
        <w:rPr>
          <w:sz w:val="16"/>
        </w:rPr>
        <w:t>Boulevard,</w:t>
      </w:r>
      <w:r>
        <w:rPr>
          <w:spacing w:val="-4"/>
          <w:sz w:val="16"/>
        </w:rPr>
        <w:t xml:space="preserve"> </w:t>
      </w:r>
      <w:r>
        <w:rPr>
          <w:sz w:val="16"/>
        </w:rPr>
        <w:t>Mail</w:t>
      </w:r>
      <w:r>
        <w:rPr>
          <w:spacing w:val="-5"/>
          <w:sz w:val="16"/>
        </w:rPr>
        <w:t xml:space="preserve"> </w:t>
      </w:r>
      <w:r>
        <w:rPr>
          <w:sz w:val="16"/>
        </w:rPr>
        <w:t>Stop</w:t>
      </w:r>
      <w:r>
        <w:rPr>
          <w:spacing w:val="-4"/>
          <w:sz w:val="16"/>
        </w:rPr>
        <w:t xml:space="preserve"> </w:t>
      </w:r>
      <w:r>
        <w:rPr>
          <w:sz w:val="16"/>
        </w:rPr>
        <w:t>C4-26-05,</w:t>
      </w:r>
      <w:r>
        <w:rPr>
          <w:spacing w:val="-4"/>
          <w:sz w:val="16"/>
        </w:rPr>
        <w:t xml:space="preserve"> </w:t>
      </w:r>
      <w:r>
        <w:rPr>
          <w:sz w:val="16"/>
        </w:rPr>
        <w:t>Baltimore,</w:t>
      </w:r>
      <w:r>
        <w:rPr>
          <w:spacing w:val="-4"/>
          <w:sz w:val="16"/>
        </w:rPr>
        <w:t xml:space="preserve"> </w:t>
      </w:r>
      <w:r>
        <w:rPr>
          <w:sz w:val="16"/>
        </w:rPr>
        <w:t>Maryland</w:t>
      </w:r>
      <w:r>
        <w:rPr>
          <w:spacing w:val="-4"/>
          <w:sz w:val="16"/>
        </w:rPr>
        <w:t xml:space="preserve"> </w:t>
      </w:r>
      <w:r>
        <w:rPr>
          <w:sz w:val="16"/>
        </w:rPr>
        <w:t>21244-1850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email</w:t>
      </w:r>
      <w:r>
        <w:rPr>
          <w:spacing w:val="-5"/>
          <w:sz w:val="16"/>
        </w:rPr>
        <w:t xml:space="preserve"> </w:t>
      </w:r>
      <w:r>
        <w:rPr>
          <w:sz w:val="16"/>
        </w:rPr>
        <w:t>Carolyn</w:t>
      </w:r>
      <w:r>
        <w:rPr>
          <w:spacing w:val="-5"/>
          <w:sz w:val="16"/>
        </w:rPr>
        <w:t xml:space="preserve"> </w:t>
      </w:r>
      <w:r>
        <w:rPr>
          <w:sz w:val="16"/>
        </w:rPr>
        <w:t>Sabini at</w:t>
      </w:r>
      <w:r>
        <w:rPr>
          <w:spacing w:val="-5"/>
          <w:sz w:val="16"/>
        </w:rPr>
        <w:t xml:space="preserve"> </w:t>
      </w:r>
      <w:hyperlink r:id="rId5">
        <w:r>
          <w:rPr>
            <w:color w:val="0000FF"/>
            <w:sz w:val="16"/>
            <w:u w:val="single" w:color="0000FF"/>
          </w:rPr>
          <w:t>Carolyn.Sabini@cms.hhs.gov</w:t>
        </w:r>
      </w:hyperlink>
      <w:r>
        <w:rPr>
          <w:sz w:val="16"/>
          <w:u w:val="none"/>
        </w:rPr>
        <w:t>,</w:t>
      </w:r>
      <w:r>
        <w:rPr>
          <w:spacing w:val="-4"/>
          <w:sz w:val="16"/>
          <w:u w:val="none"/>
        </w:rPr>
        <w:t xml:space="preserve"> </w:t>
      </w:r>
      <w:r>
        <w:rPr>
          <w:sz w:val="16"/>
          <w:u w:val="none"/>
        </w:rPr>
        <w:t>Attention:</w:t>
      </w:r>
      <w:r>
        <w:rPr>
          <w:spacing w:val="40"/>
          <w:sz w:val="16"/>
          <w:u w:val="none"/>
        </w:rPr>
        <w:t xml:space="preserve"> </w:t>
      </w:r>
      <w:r>
        <w:rPr>
          <w:sz w:val="16"/>
          <w:u w:val="none"/>
        </w:rPr>
        <w:t>Information Collections Clearance Officer.</w:t>
      </w:r>
    </w:p>
    <w:p>
      <w:pPr>
        <w:spacing w:after="0"/>
        <w:jc w:val="left"/>
        <w:rPr>
          <w:sz w:val="16"/>
        </w:rPr>
        <w:sectPr>
          <w:footerReference w:type="default" r:id="rId6"/>
          <w:type w:val="continuous"/>
          <w:pgSz w:w="12240" w:h="15840"/>
          <w:pgMar w:top="680" w:right="1080" w:bottom="1100" w:left="1080" w:header="0" w:footer="905"/>
          <w:pgNumType w:start="1"/>
          <w:cols w:space="720"/>
        </w:sectPr>
      </w:pPr>
    </w:p>
    <w:p>
      <w:pPr>
        <w:pStyle w:val="BodyText"/>
        <w:spacing w:before="60"/>
        <w:ind w:left="360" w:right="365"/>
      </w:pPr>
      <w:r>
        <w:rPr>
          <w:b/>
        </w:rPr>
        <w:t>Note</w:t>
      </w:r>
      <w:r>
        <w:t>:</w:t>
      </w:r>
      <w:r>
        <w:rPr>
          <w:spacing w:val="-1"/>
        </w:rPr>
        <w:t xml:space="preserve"> </w:t>
      </w:r>
      <w:r>
        <w:t>SERFF</w:t>
      </w:r>
      <w:r>
        <w:rPr>
          <w:spacing w:val="-4"/>
        </w:rPr>
        <w:t xml:space="preserve"> </w:t>
      </w:r>
      <w:r>
        <w:t>Issuers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edit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Transparency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Coverage</w:t>
      </w:r>
      <w:r>
        <w:rPr>
          <w:spacing w:val="-1"/>
        </w:rPr>
        <w:t xml:space="preserve"> </w:t>
      </w:r>
      <w:r>
        <w:t>URL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section, and not link to a Transparency in Coverage template XML.</w:t>
      </w:r>
    </w:p>
    <w:p>
      <w:pPr>
        <w:pStyle w:val="BodyText"/>
        <w:ind w:left="360"/>
      </w:pPr>
      <w:r>
        <w:t>The</w:t>
      </w:r>
      <w:r>
        <w:rPr>
          <w:spacing w:val="-1"/>
        </w:rPr>
        <w:t xml:space="preserve"> </w:t>
      </w:r>
      <w:r>
        <w:t>URL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http://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https://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alphanumeric</w:t>
      </w:r>
      <w:r>
        <w:rPr>
          <w:spacing w:val="-5"/>
        </w:rPr>
        <w:t xml:space="preserve"> </w:t>
      </w:r>
      <w:r>
        <w:t>characters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special characters listed below: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>~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(Tilde)</w:t>
      </w:r>
      <w:r>
        <w:rPr>
          <w:sz w:val="24"/>
        </w:rPr>
        <w:tab/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(Addition)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 xml:space="preserve">` </w:t>
      </w:r>
      <w:r>
        <w:rPr>
          <w:spacing w:val="-2"/>
          <w:sz w:val="24"/>
        </w:rPr>
        <w:t>(Grave)</w:t>
      </w:r>
      <w:r>
        <w:rPr>
          <w:sz w:val="24"/>
        </w:rPr>
        <w:tab/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- (Hyphen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Minus)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 xml:space="preserve">! (Exclamation </w:t>
      </w:r>
      <w:r>
        <w:rPr>
          <w:spacing w:val="-4"/>
          <w:sz w:val="24"/>
        </w:rPr>
        <w:t>Mark)</w:t>
      </w:r>
      <w:r>
        <w:rPr>
          <w:sz w:val="24"/>
        </w:rPr>
        <w:tab/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= </w:t>
      </w:r>
      <w:r>
        <w:rPr>
          <w:spacing w:val="-2"/>
          <w:sz w:val="24"/>
        </w:rPr>
        <w:t>(Equals)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 xml:space="preserve"># </w:t>
      </w:r>
      <w:r>
        <w:rPr>
          <w:spacing w:val="-2"/>
          <w:sz w:val="24"/>
        </w:rPr>
        <w:t>(Pound)</w:t>
      </w:r>
      <w:r>
        <w:rPr>
          <w:sz w:val="24"/>
        </w:rPr>
        <w:tab/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[ ] (Open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Closed </w:t>
      </w:r>
      <w:r>
        <w:rPr>
          <w:spacing w:val="-2"/>
          <w:sz w:val="24"/>
        </w:rPr>
        <w:t>Bracket)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>@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(At </w:t>
      </w:r>
      <w:r>
        <w:rPr>
          <w:spacing w:val="-2"/>
          <w:sz w:val="24"/>
        </w:rPr>
        <w:t>Sign)</w:t>
      </w:r>
      <w:r>
        <w:rPr>
          <w:sz w:val="24"/>
        </w:rPr>
        <w:tab/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\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(Backslash)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 xml:space="preserve">$ </w:t>
      </w:r>
      <w:r>
        <w:rPr>
          <w:spacing w:val="-2"/>
          <w:sz w:val="24"/>
        </w:rPr>
        <w:t>(Dollar)</w:t>
      </w:r>
      <w:r>
        <w:rPr>
          <w:sz w:val="24"/>
        </w:rPr>
        <w:tab/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{} (Open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Closed </w:t>
      </w:r>
      <w:r>
        <w:rPr>
          <w:spacing w:val="-2"/>
          <w:sz w:val="24"/>
        </w:rPr>
        <w:t>Braces)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>%</w:t>
      </w:r>
      <w:r>
        <w:rPr>
          <w:spacing w:val="-2"/>
          <w:sz w:val="24"/>
        </w:rPr>
        <w:t xml:space="preserve"> (Percentage)</w:t>
      </w:r>
      <w:r>
        <w:rPr>
          <w:sz w:val="24"/>
        </w:rPr>
        <w:tab/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(Semicolon)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>^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(Carat)</w:t>
      </w:r>
      <w:r>
        <w:rPr>
          <w:sz w:val="24"/>
        </w:rPr>
        <w:tab/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(Colon)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(Ampersand)</w:t>
      </w:r>
      <w:r>
        <w:rPr>
          <w:sz w:val="24"/>
        </w:rPr>
        <w:tab/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(Quotation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 xml:space="preserve">* </w:t>
      </w:r>
      <w:r>
        <w:rPr>
          <w:spacing w:val="-2"/>
          <w:sz w:val="24"/>
        </w:rPr>
        <w:t>(Asterisk)</w:t>
      </w:r>
      <w:r>
        <w:rPr>
          <w:sz w:val="24"/>
        </w:rPr>
        <w:tab/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. </w:t>
      </w:r>
      <w:r>
        <w:rPr>
          <w:spacing w:val="-2"/>
          <w:sz w:val="24"/>
        </w:rPr>
        <w:t>(Period)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) (Open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Closed </w:t>
      </w:r>
      <w:r>
        <w:rPr>
          <w:spacing w:val="-2"/>
          <w:sz w:val="24"/>
        </w:rPr>
        <w:t>Parenthesis)</w:t>
      </w:r>
      <w:r>
        <w:rPr>
          <w:sz w:val="24"/>
        </w:rPr>
        <w:tab/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(Forward</w:t>
      </w:r>
      <w:r>
        <w:rPr>
          <w:spacing w:val="-2"/>
          <w:sz w:val="24"/>
        </w:rPr>
        <w:t xml:space="preserve"> Slash)</w:t>
      </w:r>
    </w:p>
    <w:p>
      <w:pPr>
        <w:pStyle w:val="ListParagraph"/>
        <w:numPr>
          <w:ilvl w:val="1"/>
          <w:numId w:val="1"/>
        </w:numPr>
        <w:tabs>
          <w:tab w:val="left" w:pos="611"/>
          <w:tab w:val="left" w:pos="5143"/>
        </w:tabs>
        <w:spacing w:before="0" w:after="0" w:line="240" w:lineRule="auto"/>
        <w:ind w:left="611" w:right="0" w:hanging="143"/>
        <w:jc w:val="left"/>
        <w:rPr>
          <w:sz w:val="24"/>
        </w:rPr>
      </w:pPr>
      <w:r>
        <w:rPr>
          <w:sz w:val="24"/>
        </w:rPr>
        <w:t xml:space="preserve">_ </w:t>
      </w:r>
      <w:r>
        <w:rPr>
          <w:spacing w:val="-2"/>
          <w:sz w:val="24"/>
        </w:rPr>
        <w:t>(Underscore)</w:t>
      </w:r>
      <w:r>
        <w:rPr>
          <w:sz w:val="24"/>
        </w:rPr>
        <w:tab/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? (Question </w:t>
      </w:r>
      <w:r>
        <w:rPr>
          <w:spacing w:val="-2"/>
          <w:sz w:val="24"/>
        </w:rPr>
        <w:t>Mark)</w:t>
      </w:r>
    </w:p>
    <w:p>
      <w:pPr>
        <w:pStyle w:val="BodyText"/>
        <w:ind w:left="0"/>
      </w:pPr>
    </w:p>
    <w:p>
      <w:pPr>
        <w:pStyle w:val="BodyText"/>
        <w:ind w:left="360" w:right="365"/>
        <w:rPr>
          <w:i/>
        </w:rPr>
      </w:pPr>
      <w:r>
        <w:t>Selecting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‘Save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Complete’</w:t>
      </w:r>
      <w:r>
        <w:rPr>
          <w:spacing w:val="-3"/>
        </w:rPr>
        <w:t xml:space="preserve"> </w:t>
      </w:r>
      <w:r>
        <w:t>button</w:t>
      </w:r>
      <w:r>
        <w:rPr>
          <w:spacing w:val="-6"/>
        </w:rPr>
        <w:t xml:space="preserve"> </w:t>
      </w:r>
      <w:r>
        <w:t>completes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returns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</w:t>
      </w:r>
      <w:r>
        <w:rPr>
          <w:spacing w:val="-6"/>
        </w:rPr>
        <w:t xml:space="preserve"> </w:t>
      </w:r>
      <w:r>
        <w:t xml:space="preserve">to Application Overview. </w:t>
      </w:r>
      <w:r>
        <w:rPr>
          <w:i/>
        </w:rPr>
        <w:t>See Figure 8-41.</w:t>
      </w:r>
    </w:p>
    <w:p>
      <w:pPr>
        <w:pStyle w:val="BodyText"/>
        <w:ind w:left="0"/>
        <w:rPr>
          <w:i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Figure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8-41.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Transparency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Coverage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Section</w:t>
      </w:r>
    </w:p>
    <w:p>
      <w:pPr>
        <w:pStyle w:val="BodyText"/>
        <w:spacing w:before="35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922554</wp:posOffset>
            </wp:positionH>
            <wp:positionV relativeFrom="paragraph">
              <wp:posOffset>183741</wp:posOffset>
            </wp:positionV>
            <wp:extent cx="5756660" cy="3521868"/>
            <wp:effectExtent l="0" t="0" r="0" b="0"/>
            <wp:wrapTopAndBottom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660" cy="3521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380" w:right="1080" w:bottom="1200" w:left="1080" w:header="0" w:footer="90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alibri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3812540</wp:posOffset>
              </wp:positionH>
              <wp:positionV relativeFrom="page">
                <wp:posOffset>9321165</wp:posOffset>
              </wp:positionV>
              <wp:extent cx="160020" cy="1651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0" w:line="244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2.6pt;height:13pt;margin-top:733.95pt;margin-left:300.2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0" w:line="244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DA5070"/>
    <w:multiLevelType w:val="hybridMultilevel"/>
    <w:tmpl w:val="00000000"/>
    <w:lvl w:ilvl="0">
      <w:start w:val="1"/>
      <w:numFmt w:val="upperLetter"/>
      <w:lvlText w:val="%1."/>
      <w:lvlJc w:val="left"/>
      <w:pPr>
        <w:ind w:left="722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0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0" w:hanging="1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11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611" w:hanging="143"/>
    </w:pPr>
    <w:rPr>
      <w:rFonts w:ascii="Times New Roman" w:eastAsia="Times New Roman" w:hAnsi="Times New Roman" w:cs="Times New Roman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Carolyn.Sabini@cms.hhs.gov" TargetMode="External" /><Relationship Id="rId6" Type="http://schemas.openxmlformats.org/officeDocument/2006/relationships/footer" Target="footer1.xml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IMPAQ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D: Health Insurance Oversight System (HIOS) via the Marketplace Plan Management System (MPMS)</dc:title>
  <dc:subject>Transparency in Coverage Reporting by Qualified Health Plan Issuers</dc:subject>
  <dc:creator>Centers for Medicare &amp; Medicaid Services (CMS)</dc:creator>
  <cp:keywords>Qualified Health Plan; QHP; Transparency in Coverage; health care; healthcare; in-network claims; out-of-network claims; issuer; internal appeals; external appeals; Marketplace Plan Management System; MPMS; health insurance;</cp:keywords>
  <cp:revision>0</cp:revision>
  <dcterms:created xsi:type="dcterms:W3CDTF">2025-10-01T11:04:27Z</dcterms:created>
  <dcterms:modified xsi:type="dcterms:W3CDTF">2025-10-01T11:04:27Z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0x010100965FC27B0ED77545992A3C5070BA4731</vt:lpwstr>
  </property>
  <property fmtid="{D5CDD505-2E9C-101B-9397-08002B2CF9AE}" pid="3" name="Created">
    <vt:filetime>2024-12-17T00:00:00Z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2025-10-01T00:00:00Z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>D:20241217174024</vt:lpwstr>
  </property>
  <property fmtid="{D5CDD505-2E9C-101B-9397-08002B2CF9AE}" pid="8" name="_dlc_DocId">
    <vt:lpwstr>QSXZK4DW25JC-1146626974-1222</vt:lpwstr>
  </property>
  <property fmtid="{D5CDD505-2E9C-101B-9397-08002B2CF9AE}" pid="9" name="_dlc_DocIdItemGuid">
    <vt:lpwstr>dc4b276f-4a87-487a-8e6d-d786096b6adf</vt:lpwstr>
  </property>
  <property fmtid="{D5CDD505-2E9C-101B-9397-08002B2CF9AE}" pid="10" name="_dlc_DocIdUrl">
    <vt:lpwstr>https://share.cms.gov/center/cciio/MPMG/_layouts/15/DocIdRedir.aspx?ID=QSXZK4DW25JC-1146626974-1222, QSXZK4DW25JC-1146626974-1222</vt:lpwstr>
  </property>
</Properties>
</file>