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spacing w:line="259" w:lineRule="auto"/>
      </w:pPr>
      <w:r>
        <w:t>Transparency in Coverage Information Collection (0938-1310) 60-Day</w:t>
      </w:r>
      <w:r>
        <w:rPr>
          <w:spacing w:val="-5"/>
        </w:rPr>
        <w:t xml:space="preserve"> </w:t>
      </w:r>
      <w:r>
        <w:t>Public</w:t>
      </w:r>
      <w:r>
        <w:rPr>
          <w:spacing w:val="-6"/>
        </w:rPr>
        <w:t xml:space="preserve"> </w:t>
      </w:r>
      <w:r>
        <w:t>Comment</w:t>
      </w:r>
      <w:r>
        <w:rPr>
          <w:spacing w:val="-6"/>
        </w:rPr>
        <w:t xml:space="preserve"> </w:t>
      </w:r>
      <w:r>
        <w:t>Response</w:t>
      </w:r>
      <w:r>
        <w:rPr>
          <w:spacing w:val="-9"/>
        </w:rPr>
        <w:t xml:space="preserve"> </w:t>
      </w:r>
      <w:r>
        <w:t>Summary</w:t>
      </w:r>
      <w:r>
        <w:rPr>
          <w:spacing w:val="-5"/>
        </w:rPr>
        <w:t xml:space="preserve"> </w:t>
      </w:r>
      <w:r>
        <w:t>(Ended</w:t>
      </w:r>
      <w:r>
        <w:rPr>
          <w:spacing w:val="-6"/>
        </w:rPr>
        <w:t xml:space="preserve"> </w:t>
      </w:r>
      <w:r>
        <w:t>6/20/2025)</w:t>
      </w:r>
    </w:p>
    <w:p>
      <w:pPr>
        <w:pStyle w:val="BodyText"/>
        <w:spacing w:before="124"/>
        <w:rPr>
          <w:b/>
          <w:sz w:val="20"/>
        </w:rPr>
      </w:pPr>
    </w:p>
    <w:tbl>
      <w:tblPr>
        <w:tblStyle w:val="TableNormal"/>
        <w:tblW w:w="0" w:type="auto"/>
        <w:jc w:val="left"/>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6"/>
        <w:gridCol w:w="6360"/>
        <w:gridCol w:w="6752"/>
      </w:tblGrid>
      <w:tr>
        <w:tblPrEx>
          <w:tblW w:w="0" w:type="auto"/>
          <w:jc w:val="left"/>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86"/>
          <w:jc w:val="left"/>
        </w:trPr>
        <w:tc>
          <w:tcPr>
            <w:tcW w:w="1196" w:type="dxa"/>
            <w:shd w:val="clear" w:color="auto" w:fill="006FC0"/>
          </w:tcPr>
          <w:p>
            <w:pPr>
              <w:pStyle w:val="TableParagraph"/>
              <w:spacing w:line="291" w:lineRule="exact"/>
              <w:rPr>
                <w:b/>
                <w:sz w:val="24"/>
              </w:rPr>
            </w:pPr>
            <w:r>
              <w:rPr>
                <w:b/>
                <w:color w:val="FFFFFF"/>
                <w:spacing w:val="-2"/>
                <w:sz w:val="24"/>
              </w:rPr>
              <w:t>Comment</w:t>
            </w:r>
          </w:p>
          <w:p>
            <w:pPr>
              <w:pStyle w:val="TableParagraph"/>
              <w:spacing w:line="275" w:lineRule="exact"/>
              <w:rPr>
                <w:b/>
                <w:sz w:val="24"/>
              </w:rPr>
            </w:pPr>
            <w:r>
              <w:rPr>
                <w:b/>
                <w:color w:val="FFFFFF"/>
                <w:spacing w:val="-4"/>
                <w:sz w:val="24"/>
              </w:rPr>
              <w:t>Type</w:t>
            </w:r>
          </w:p>
        </w:tc>
        <w:tc>
          <w:tcPr>
            <w:tcW w:w="6360" w:type="dxa"/>
            <w:shd w:val="clear" w:color="auto" w:fill="006FC0"/>
          </w:tcPr>
          <w:p>
            <w:pPr>
              <w:pStyle w:val="TableParagraph"/>
              <w:spacing w:line="291" w:lineRule="exact"/>
              <w:rPr>
                <w:b/>
                <w:sz w:val="24"/>
              </w:rPr>
            </w:pPr>
            <w:r>
              <w:rPr>
                <w:b/>
                <w:color w:val="FFFFFF"/>
                <w:sz w:val="24"/>
              </w:rPr>
              <w:t>Comment</w:t>
            </w:r>
            <w:r>
              <w:rPr>
                <w:b/>
                <w:color w:val="FFFFFF"/>
                <w:spacing w:val="-1"/>
                <w:sz w:val="24"/>
              </w:rPr>
              <w:t xml:space="preserve"> </w:t>
            </w:r>
            <w:r>
              <w:rPr>
                <w:b/>
                <w:color w:val="FFFFFF"/>
                <w:spacing w:val="-2"/>
                <w:sz w:val="24"/>
              </w:rPr>
              <w:t>Summary</w:t>
            </w:r>
          </w:p>
        </w:tc>
        <w:tc>
          <w:tcPr>
            <w:tcW w:w="6752" w:type="dxa"/>
            <w:shd w:val="clear" w:color="auto" w:fill="006FC0"/>
          </w:tcPr>
          <w:p>
            <w:pPr>
              <w:pStyle w:val="TableParagraph"/>
              <w:spacing w:line="291" w:lineRule="exact"/>
              <w:rPr>
                <w:b/>
                <w:sz w:val="24"/>
              </w:rPr>
            </w:pPr>
            <w:r>
              <w:rPr>
                <w:b/>
                <w:color w:val="FFFFFF"/>
                <w:spacing w:val="-2"/>
                <w:sz w:val="24"/>
              </w:rPr>
              <w:t>Response</w:t>
            </w:r>
          </w:p>
        </w:tc>
      </w:tr>
      <w:tr>
        <w:tblPrEx>
          <w:tblW w:w="0" w:type="auto"/>
          <w:jc w:val="left"/>
          <w:tblInd w:w="53" w:type="dxa"/>
          <w:tblLayout w:type="fixed"/>
          <w:tblCellMar>
            <w:top w:w="0" w:type="dxa"/>
            <w:left w:w="0" w:type="dxa"/>
            <w:bottom w:w="0" w:type="dxa"/>
            <w:right w:w="0" w:type="dxa"/>
          </w:tblCellMar>
          <w:tblLook w:val="01E0"/>
        </w:tblPrEx>
        <w:trPr>
          <w:trHeight w:val="2954"/>
          <w:jc w:val="left"/>
        </w:trPr>
        <w:tc>
          <w:tcPr>
            <w:tcW w:w="1196" w:type="dxa"/>
          </w:tcPr>
          <w:p>
            <w:pPr>
              <w:pStyle w:val="TableParagraph"/>
              <w:spacing w:line="266" w:lineRule="exact"/>
              <w:rPr>
                <w:sz w:val="22"/>
              </w:rPr>
            </w:pPr>
            <w:r>
              <w:rPr>
                <w:spacing w:val="-2"/>
                <w:sz w:val="22"/>
              </w:rPr>
              <w:t>Burden</w:t>
            </w:r>
          </w:p>
        </w:tc>
        <w:tc>
          <w:tcPr>
            <w:tcW w:w="6360" w:type="dxa"/>
          </w:tcPr>
          <w:p>
            <w:pPr>
              <w:pStyle w:val="TableParagraph"/>
              <w:ind w:right="35"/>
              <w:rPr>
                <w:sz w:val="22"/>
              </w:rPr>
            </w:pPr>
            <w:r>
              <w:rPr>
                <w:sz w:val="22"/>
              </w:rPr>
              <w:t>One commenter (a major organization representing insurers) wrote to share their input regarding the Transparency in Coverage (TIC) collection. They indicated that they “support efforts to improve the regulatory process and believe enhancing the accuracy and utility of [TIC] data while simplifying the reporting process will more provide more meaningful transparency to consumers while reducing regulatory burdens”. To this end, they put forward several suggestions</w:t>
            </w:r>
            <w:r>
              <w:rPr>
                <w:spacing w:val="-3"/>
                <w:sz w:val="22"/>
              </w:rPr>
              <w:t xml:space="preserve"> </w:t>
            </w:r>
            <w:r>
              <w:rPr>
                <w:sz w:val="22"/>
              </w:rPr>
              <w:t>to</w:t>
            </w:r>
            <w:r>
              <w:rPr>
                <w:spacing w:val="-5"/>
                <w:sz w:val="22"/>
              </w:rPr>
              <w:t xml:space="preserve"> </w:t>
            </w:r>
            <w:r>
              <w:rPr>
                <w:sz w:val="22"/>
              </w:rPr>
              <w:t>adjust</w:t>
            </w:r>
            <w:r>
              <w:rPr>
                <w:spacing w:val="-7"/>
                <w:sz w:val="22"/>
              </w:rPr>
              <w:t xml:space="preserve"> </w:t>
            </w:r>
            <w:r>
              <w:rPr>
                <w:sz w:val="22"/>
              </w:rPr>
              <w:t>the</w:t>
            </w:r>
            <w:r>
              <w:rPr>
                <w:spacing w:val="-3"/>
                <w:sz w:val="22"/>
              </w:rPr>
              <w:t xml:space="preserve"> </w:t>
            </w:r>
            <w:r>
              <w:rPr>
                <w:sz w:val="22"/>
              </w:rPr>
              <w:t>collection,</w:t>
            </w:r>
            <w:r>
              <w:rPr>
                <w:spacing w:val="-4"/>
                <w:sz w:val="22"/>
              </w:rPr>
              <w:t xml:space="preserve"> </w:t>
            </w:r>
            <w:r>
              <w:rPr>
                <w:sz w:val="22"/>
              </w:rPr>
              <w:t>including</w:t>
            </w:r>
            <w:r>
              <w:rPr>
                <w:spacing w:val="-9"/>
                <w:sz w:val="22"/>
              </w:rPr>
              <w:t xml:space="preserve"> </w:t>
            </w:r>
            <w:r>
              <w:rPr>
                <w:sz w:val="22"/>
              </w:rPr>
              <w:t>around</w:t>
            </w:r>
            <w:r>
              <w:rPr>
                <w:spacing w:val="-5"/>
                <w:sz w:val="22"/>
              </w:rPr>
              <w:t xml:space="preserve"> </w:t>
            </w:r>
            <w:r>
              <w:rPr>
                <w:sz w:val="22"/>
              </w:rPr>
              <w:t>when</w:t>
            </w:r>
            <w:r>
              <w:rPr>
                <w:spacing w:val="-5"/>
                <w:sz w:val="22"/>
              </w:rPr>
              <w:t xml:space="preserve"> </w:t>
            </w:r>
            <w:r>
              <w:rPr>
                <w:sz w:val="22"/>
              </w:rPr>
              <w:t>and</w:t>
            </w:r>
            <w:r>
              <w:rPr>
                <w:spacing w:val="-1"/>
                <w:sz w:val="22"/>
              </w:rPr>
              <w:t xml:space="preserve"> </w:t>
            </w:r>
            <w:r>
              <w:rPr>
                <w:sz w:val="22"/>
              </w:rPr>
              <w:t>how CMS publishes the results of the review, the definitions and granularity of collection elements, and the logistics of data</w:t>
            </w:r>
          </w:p>
          <w:p>
            <w:pPr>
              <w:pStyle w:val="TableParagraph"/>
              <w:spacing w:line="248" w:lineRule="exact"/>
              <w:rPr>
                <w:sz w:val="22"/>
              </w:rPr>
            </w:pPr>
            <w:r>
              <w:rPr>
                <w:spacing w:val="-2"/>
                <w:sz w:val="22"/>
              </w:rPr>
              <w:t>submission.</w:t>
            </w:r>
          </w:p>
        </w:tc>
        <w:tc>
          <w:tcPr>
            <w:tcW w:w="6752" w:type="dxa"/>
          </w:tcPr>
          <w:p>
            <w:pPr>
              <w:pStyle w:val="TableParagraph"/>
              <w:ind w:right="128"/>
              <w:rPr>
                <w:sz w:val="22"/>
              </w:rPr>
            </w:pPr>
            <w:r>
              <w:rPr>
                <w:sz w:val="22"/>
              </w:rPr>
              <w:t>CMS appreciates the detailed feedback this commenter provided and will</w:t>
            </w:r>
            <w:r>
              <w:rPr>
                <w:spacing w:val="-4"/>
                <w:sz w:val="22"/>
              </w:rPr>
              <w:t xml:space="preserve"> </w:t>
            </w:r>
            <w:r>
              <w:rPr>
                <w:sz w:val="22"/>
              </w:rPr>
              <w:t>consider</w:t>
            </w:r>
            <w:r>
              <w:rPr>
                <w:spacing w:val="-6"/>
                <w:sz w:val="22"/>
              </w:rPr>
              <w:t xml:space="preserve"> </w:t>
            </w:r>
            <w:r>
              <w:rPr>
                <w:sz w:val="22"/>
              </w:rPr>
              <w:t>these</w:t>
            </w:r>
            <w:r>
              <w:rPr>
                <w:spacing w:val="-6"/>
                <w:sz w:val="22"/>
              </w:rPr>
              <w:t xml:space="preserve"> </w:t>
            </w:r>
            <w:r>
              <w:rPr>
                <w:sz w:val="22"/>
              </w:rPr>
              <w:t>suggestions</w:t>
            </w:r>
            <w:r>
              <w:rPr>
                <w:spacing w:val="-3"/>
                <w:sz w:val="22"/>
              </w:rPr>
              <w:t xml:space="preserve"> </w:t>
            </w:r>
            <w:r>
              <w:rPr>
                <w:sz w:val="22"/>
              </w:rPr>
              <w:t>into</w:t>
            </w:r>
            <w:r>
              <w:rPr>
                <w:spacing w:val="-5"/>
                <w:sz w:val="22"/>
              </w:rPr>
              <w:t xml:space="preserve"> </w:t>
            </w:r>
            <w:r>
              <w:rPr>
                <w:sz w:val="22"/>
              </w:rPr>
              <w:t>future</w:t>
            </w:r>
            <w:r>
              <w:rPr>
                <w:spacing w:val="-6"/>
                <w:sz w:val="22"/>
              </w:rPr>
              <w:t xml:space="preserve"> </w:t>
            </w:r>
            <w:r>
              <w:rPr>
                <w:sz w:val="22"/>
              </w:rPr>
              <w:t>collection</w:t>
            </w:r>
            <w:r>
              <w:rPr>
                <w:spacing w:val="-5"/>
                <w:sz w:val="22"/>
              </w:rPr>
              <w:t xml:space="preserve"> </w:t>
            </w:r>
            <w:r>
              <w:rPr>
                <w:sz w:val="22"/>
              </w:rPr>
              <w:t>updates,</w:t>
            </w:r>
            <w:r>
              <w:rPr>
                <w:spacing w:val="-4"/>
                <w:sz w:val="22"/>
              </w:rPr>
              <w:t xml:space="preserve"> </w:t>
            </w:r>
            <w:r>
              <w:rPr>
                <w:sz w:val="22"/>
              </w:rPr>
              <w:t>as</w:t>
            </w:r>
            <w:r>
              <w:rPr>
                <w:spacing w:val="-3"/>
                <w:sz w:val="22"/>
              </w:rPr>
              <w:t xml:space="preserve"> </w:t>
            </w:r>
            <w:r>
              <w:rPr>
                <w:sz w:val="22"/>
              </w:rPr>
              <w:t>feasible and applicable. In particular, CMS will consider making adjustments to the</w:t>
            </w:r>
            <w:r>
              <w:rPr>
                <w:spacing w:val="-6"/>
                <w:sz w:val="22"/>
              </w:rPr>
              <w:t xml:space="preserve"> </w:t>
            </w:r>
            <w:hyperlink r:id="rId4">
              <w:r>
                <w:rPr>
                  <w:color w:val="0000FF"/>
                  <w:sz w:val="22"/>
                  <w:u w:val="single" w:color="0000FF"/>
                </w:rPr>
                <w:t>Transparency</w:t>
              </w:r>
              <w:r>
                <w:rPr>
                  <w:color w:val="0000FF"/>
                  <w:spacing w:val="-5"/>
                  <w:sz w:val="22"/>
                  <w:u w:val="single" w:color="0000FF"/>
                </w:rPr>
                <w:t xml:space="preserve"> </w:t>
              </w:r>
              <w:r>
                <w:rPr>
                  <w:color w:val="0000FF"/>
                  <w:sz w:val="22"/>
                  <w:u w:val="single" w:color="0000FF"/>
                </w:rPr>
                <w:t>in</w:t>
              </w:r>
              <w:r>
                <w:rPr>
                  <w:color w:val="0000FF"/>
                  <w:spacing w:val="-5"/>
                  <w:sz w:val="22"/>
                  <w:u w:val="single" w:color="0000FF"/>
                </w:rPr>
                <w:t xml:space="preserve"> </w:t>
              </w:r>
              <w:r>
                <w:rPr>
                  <w:color w:val="0000FF"/>
                  <w:sz w:val="22"/>
                  <w:u w:val="single" w:color="0000FF"/>
                </w:rPr>
                <w:t>Coverage</w:t>
              </w:r>
              <w:r>
                <w:rPr>
                  <w:color w:val="0000FF"/>
                  <w:spacing w:val="-3"/>
                  <w:sz w:val="22"/>
                  <w:u w:val="single" w:color="0000FF"/>
                </w:rPr>
                <w:t xml:space="preserve"> </w:t>
              </w:r>
              <w:r>
                <w:rPr>
                  <w:color w:val="0000FF"/>
                  <w:sz w:val="22"/>
                  <w:u w:val="single" w:color="0000FF"/>
                </w:rPr>
                <w:t>instructions</w:t>
              </w:r>
              <w:r>
                <w:rPr>
                  <w:sz w:val="22"/>
                  <w:u w:val="none"/>
                </w:rPr>
                <w:t>,</w:t>
              </w:r>
            </w:hyperlink>
            <w:r>
              <w:rPr>
                <w:spacing w:val="-4"/>
                <w:sz w:val="22"/>
                <w:u w:val="none"/>
              </w:rPr>
              <w:t xml:space="preserve"> </w:t>
            </w:r>
            <w:r>
              <w:rPr>
                <w:sz w:val="22"/>
                <w:u w:val="none"/>
              </w:rPr>
              <w:t>published</w:t>
            </w:r>
            <w:r>
              <w:rPr>
                <w:spacing w:val="-5"/>
                <w:sz w:val="22"/>
                <w:u w:val="none"/>
              </w:rPr>
              <w:t xml:space="preserve"> </w:t>
            </w:r>
            <w:r>
              <w:rPr>
                <w:sz w:val="22"/>
                <w:u w:val="none"/>
              </w:rPr>
              <w:t>annually,</w:t>
            </w:r>
            <w:r>
              <w:rPr>
                <w:spacing w:val="-4"/>
                <w:sz w:val="22"/>
                <w:u w:val="none"/>
              </w:rPr>
              <w:t xml:space="preserve"> </w:t>
            </w:r>
            <w:r>
              <w:rPr>
                <w:sz w:val="22"/>
                <w:u w:val="none"/>
              </w:rPr>
              <w:t>to</w:t>
            </w:r>
            <w:r>
              <w:rPr>
                <w:spacing w:val="-5"/>
                <w:sz w:val="22"/>
                <w:u w:val="none"/>
              </w:rPr>
              <w:t xml:space="preserve"> </w:t>
            </w:r>
            <w:r>
              <w:rPr>
                <w:sz w:val="22"/>
                <w:u w:val="none"/>
              </w:rPr>
              <w:t>ensure that data elements are clearly defined, and to the PUF data disclaimer,</w:t>
            </w:r>
            <w:r>
              <w:rPr>
                <w:sz w:val="22"/>
                <w:u w:val="none"/>
              </w:rPr>
              <w:t xml:space="preserve"> to enable consumers, researchers, and other stakeholders to effectively engage with the data issuers provide in response to this review.</w:t>
            </w:r>
          </w:p>
        </w:tc>
      </w:tr>
      <w:tr>
        <w:tblPrEx>
          <w:tblW w:w="0" w:type="auto"/>
          <w:jc w:val="left"/>
          <w:tblInd w:w="53" w:type="dxa"/>
          <w:tblLayout w:type="fixed"/>
          <w:tblCellMar>
            <w:top w:w="0" w:type="dxa"/>
            <w:left w:w="0" w:type="dxa"/>
            <w:bottom w:w="0" w:type="dxa"/>
            <w:right w:w="0" w:type="dxa"/>
          </w:tblCellMar>
          <w:tblLook w:val="01E0"/>
        </w:tblPrEx>
        <w:trPr>
          <w:trHeight w:val="2685"/>
          <w:jc w:val="left"/>
        </w:trPr>
        <w:tc>
          <w:tcPr>
            <w:tcW w:w="1196" w:type="dxa"/>
          </w:tcPr>
          <w:p>
            <w:pPr>
              <w:pStyle w:val="TableParagraph"/>
              <w:spacing w:line="266" w:lineRule="exact"/>
              <w:rPr>
                <w:sz w:val="22"/>
              </w:rPr>
            </w:pPr>
            <w:r>
              <w:rPr>
                <w:spacing w:val="-2"/>
                <w:sz w:val="22"/>
              </w:rPr>
              <w:t>Burden</w:t>
            </w:r>
          </w:p>
        </w:tc>
        <w:tc>
          <w:tcPr>
            <w:tcW w:w="6360" w:type="dxa"/>
          </w:tcPr>
          <w:p>
            <w:pPr>
              <w:pStyle w:val="TableParagraph"/>
              <w:ind w:right="192"/>
              <w:rPr>
                <w:sz w:val="22"/>
              </w:rPr>
            </w:pPr>
            <w:r>
              <w:rPr>
                <w:sz w:val="22"/>
              </w:rPr>
              <w:t>One commenter (an individual graduate student studying public health) wrote in support of the TIC collection and suggested additional steps for the agency to consider as part of this activity. These suggestions include updating the TIC PUF to be more easily and intuitively accessible, including demographic data in claims reporting,</w:t>
            </w:r>
            <w:r>
              <w:rPr>
                <w:spacing w:val="-6"/>
                <w:sz w:val="22"/>
              </w:rPr>
              <w:t xml:space="preserve"> </w:t>
            </w:r>
            <w:r>
              <w:rPr>
                <w:sz w:val="22"/>
              </w:rPr>
              <w:t>considering</w:t>
            </w:r>
            <w:r>
              <w:rPr>
                <w:spacing w:val="-7"/>
                <w:sz w:val="22"/>
              </w:rPr>
              <w:t xml:space="preserve"> </w:t>
            </w:r>
            <w:r>
              <w:rPr>
                <w:sz w:val="22"/>
              </w:rPr>
              <w:t>opportunities</w:t>
            </w:r>
            <w:r>
              <w:rPr>
                <w:spacing w:val="-5"/>
                <w:sz w:val="22"/>
              </w:rPr>
              <w:t xml:space="preserve"> </w:t>
            </w:r>
            <w:r>
              <w:rPr>
                <w:sz w:val="22"/>
              </w:rPr>
              <w:t>to</w:t>
            </w:r>
            <w:r>
              <w:rPr>
                <w:spacing w:val="-7"/>
                <w:sz w:val="22"/>
              </w:rPr>
              <w:t xml:space="preserve"> </w:t>
            </w:r>
            <w:r>
              <w:rPr>
                <w:sz w:val="22"/>
              </w:rPr>
              <w:t>utilize</w:t>
            </w:r>
            <w:r>
              <w:rPr>
                <w:spacing w:val="-12"/>
                <w:sz w:val="22"/>
              </w:rPr>
              <w:t xml:space="preserve"> </w:t>
            </w:r>
            <w:r>
              <w:rPr>
                <w:sz w:val="22"/>
              </w:rPr>
              <w:t>artificial</w:t>
            </w:r>
            <w:r>
              <w:rPr>
                <w:spacing w:val="-6"/>
                <w:sz w:val="22"/>
              </w:rPr>
              <w:t xml:space="preserve"> </w:t>
            </w:r>
            <w:r>
              <w:rPr>
                <w:sz w:val="22"/>
              </w:rPr>
              <w:t>intelligence or other smart solutions for data processing and analysis, and producing</w:t>
            </w:r>
            <w:r>
              <w:rPr>
                <w:spacing w:val="-7"/>
                <w:sz w:val="22"/>
              </w:rPr>
              <w:t xml:space="preserve"> </w:t>
            </w:r>
            <w:r>
              <w:rPr>
                <w:sz w:val="22"/>
              </w:rPr>
              <w:t>an</w:t>
            </w:r>
            <w:r>
              <w:rPr>
                <w:spacing w:val="-7"/>
                <w:sz w:val="22"/>
              </w:rPr>
              <w:t xml:space="preserve"> </w:t>
            </w:r>
            <w:r>
              <w:rPr>
                <w:sz w:val="22"/>
              </w:rPr>
              <w:t>annual</w:t>
            </w:r>
            <w:r>
              <w:rPr>
                <w:spacing w:val="-6"/>
                <w:sz w:val="22"/>
              </w:rPr>
              <w:t xml:space="preserve"> </w:t>
            </w:r>
            <w:r>
              <w:rPr>
                <w:sz w:val="22"/>
              </w:rPr>
              <w:t>review</w:t>
            </w:r>
            <w:r>
              <w:rPr>
                <w:spacing w:val="-9"/>
                <w:sz w:val="22"/>
              </w:rPr>
              <w:t xml:space="preserve"> </w:t>
            </w:r>
            <w:r>
              <w:rPr>
                <w:sz w:val="22"/>
              </w:rPr>
              <w:t>of</w:t>
            </w:r>
            <w:r>
              <w:rPr>
                <w:spacing w:val="-2"/>
                <w:sz w:val="22"/>
              </w:rPr>
              <w:t xml:space="preserve"> </w:t>
            </w:r>
            <w:r>
              <w:rPr>
                <w:sz w:val="22"/>
              </w:rPr>
              <w:t>transparency</w:t>
            </w:r>
            <w:r>
              <w:rPr>
                <w:spacing w:val="-3"/>
                <w:sz w:val="22"/>
              </w:rPr>
              <w:t xml:space="preserve"> </w:t>
            </w:r>
            <w:r>
              <w:rPr>
                <w:sz w:val="22"/>
              </w:rPr>
              <w:t>data.</w:t>
            </w:r>
            <w:r>
              <w:rPr>
                <w:spacing w:val="-7"/>
                <w:sz w:val="22"/>
              </w:rPr>
              <w:t xml:space="preserve"> </w:t>
            </w:r>
            <w:r>
              <w:rPr>
                <w:sz w:val="22"/>
              </w:rPr>
              <w:t>The</w:t>
            </w:r>
            <w:r>
              <w:rPr>
                <w:spacing w:val="-5"/>
                <w:sz w:val="22"/>
              </w:rPr>
              <w:t xml:space="preserve"> </w:t>
            </w:r>
            <w:r>
              <w:rPr>
                <w:sz w:val="22"/>
              </w:rPr>
              <w:t>commenter concluded by commending the TIC collection and encouraged the</w:t>
            </w:r>
          </w:p>
          <w:p>
            <w:pPr>
              <w:pStyle w:val="TableParagraph"/>
              <w:spacing w:line="251" w:lineRule="exact"/>
              <w:rPr>
                <w:sz w:val="22"/>
              </w:rPr>
            </w:pPr>
            <w:r>
              <w:rPr>
                <w:sz w:val="22"/>
              </w:rPr>
              <w:t>use</w:t>
            </w:r>
            <w:r>
              <w:rPr>
                <w:spacing w:val="-6"/>
                <w:sz w:val="22"/>
              </w:rPr>
              <w:t xml:space="preserve"> </w:t>
            </w:r>
            <w:r>
              <w:rPr>
                <w:sz w:val="22"/>
              </w:rPr>
              <w:t>of</w:t>
            </w:r>
            <w:r>
              <w:rPr>
                <w:spacing w:val="-3"/>
                <w:sz w:val="22"/>
              </w:rPr>
              <w:t xml:space="preserve"> </w:t>
            </w:r>
            <w:r>
              <w:rPr>
                <w:sz w:val="22"/>
              </w:rPr>
              <w:t>this</w:t>
            </w:r>
            <w:r>
              <w:rPr>
                <w:spacing w:val="-2"/>
                <w:sz w:val="22"/>
              </w:rPr>
              <w:t xml:space="preserve"> </w:t>
            </w:r>
            <w:r>
              <w:rPr>
                <w:sz w:val="22"/>
              </w:rPr>
              <w:t>collection</w:t>
            </w:r>
            <w:r>
              <w:rPr>
                <w:spacing w:val="-3"/>
                <w:sz w:val="22"/>
              </w:rPr>
              <w:t xml:space="preserve"> </w:t>
            </w:r>
            <w:r>
              <w:rPr>
                <w:sz w:val="22"/>
              </w:rPr>
              <w:t>to advance</w:t>
            </w:r>
            <w:r>
              <w:rPr>
                <w:spacing w:val="-6"/>
                <w:sz w:val="22"/>
              </w:rPr>
              <w:t xml:space="preserve"> </w:t>
            </w:r>
            <w:r>
              <w:rPr>
                <w:sz w:val="22"/>
              </w:rPr>
              <w:t>equity</w:t>
            </w:r>
            <w:r>
              <w:rPr>
                <w:spacing w:val="1"/>
                <w:sz w:val="22"/>
              </w:rPr>
              <w:t xml:space="preserve"> </w:t>
            </w:r>
            <w:r>
              <w:rPr>
                <w:spacing w:val="-2"/>
                <w:sz w:val="22"/>
              </w:rPr>
              <w:t>initiatives.</w:t>
            </w:r>
          </w:p>
        </w:tc>
        <w:tc>
          <w:tcPr>
            <w:tcW w:w="6752" w:type="dxa"/>
          </w:tcPr>
          <w:p>
            <w:pPr>
              <w:pStyle w:val="TableParagraph"/>
              <w:ind w:right="139"/>
              <w:rPr>
                <w:sz w:val="22"/>
              </w:rPr>
            </w:pPr>
            <w:r>
              <w:rPr>
                <w:sz w:val="22"/>
              </w:rPr>
              <w:t>We will take this feedback into consideration for future enhancements. Further, as noted in this PRA package, the agency is seeking to expand the</w:t>
            </w:r>
            <w:r>
              <w:rPr>
                <w:spacing w:val="-7"/>
                <w:sz w:val="22"/>
              </w:rPr>
              <w:t xml:space="preserve"> </w:t>
            </w:r>
            <w:r>
              <w:rPr>
                <w:sz w:val="22"/>
              </w:rPr>
              <w:t>collection</w:t>
            </w:r>
            <w:r>
              <w:rPr>
                <w:spacing w:val="-5"/>
                <w:sz w:val="22"/>
              </w:rPr>
              <w:t xml:space="preserve"> </w:t>
            </w:r>
            <w:r>
              <w:rPr>
                <w:sz w:val="22"/>
              </w:rPr>
              <w:t>at</w:t>
            </w:r>
            <w:r>
              <w:rPr>
                <w:spacing w:val="-3"/>
                <w:sz w:val="22"/>
              </w:rPr>
              <w:t xml:space="preserve"> </w:t>
            </w:r>
            <w:r>
              <w:rPr>
                <w:sz w:val="22"/>
              </w:rPr>
              <w:t>this</w:t>
            </w:r>
            <w:r>
              <w:rPr>
                <w:spacing w:val="-3"/>
                <w:sz w:val="22"/>
              </w:rPr>
              <w:t xml:space="preserve"> </w:t>
            </w:r>
            <w:r>
              <w:rPr>
                <w:sz w:val="22"/>
              </w:rPr>
              <w:t>time</w:t>
            </w:r>
            <w:r>
              <w:rPr>
                <w:spacing w:val="-3"/>
                <w:sz w:val="22"/>
              </w:rPr>
              <w:t xml:space="preserve"> </w:t>
            </w:r>
            <w:r>
              <w:rPr>
                <w:sz w:val="22"/>
              </w:rPr>
              <w:t>to,</w:t>
            </w:r>
            <w:r>
              <w:rPr>
                <w:spacing w:val="-4"/>
                <w:sz w:val="22"/>
              </w:rPr>
              <w:t xml:space="preserve"> </w:t>
            </w:r>
            <w:r>
              <w:rPr>
                <w:sz w:val="22"/>
              </w:rPr>
              <w:t>among</w:t>
            </w:r>
            <w:r>
              <w:rPr>
                <w:spacing w:val="-1"/>
                <w:sz w:val="22"/>
              </w:rPr>
              <w:t xml:space="preserve"> </w:t>
            </w:r>
            <w:r>
              <w:rPr>
                <w:sz w:val="22"/>
              </w:rPr>
              <w:t>other</w:t>
            </w:r>
            <w:r>
              <w:rPr>
                <w:spacing w:val="-2"/>
                <w:sz w:val="22"/>
              </w:rPr>
              <w:t xml:space="preserve"> </w:t>
            </w:r>
            <w:r>
              <w:rPr>
                <w:sz w:val="22"/>
              </w:rPr>
              <w:t>things,</w:t>
            </w:r>
            <w:r>
              <w:rPr>
                <w:spacing w:val="-4"/>
                <w:sz w:val="22"/>
              </w:rPr>
              <w:t xml:space="preserve"> </w:t>
            </w:r>
            <w:r>
              <w:rPr>
                <w:sz w:val="22"/>
              </w:rPr>
              <w:t>capture</w:t>
            </w:r>
            <w:r>
              <w:rPr>
                <w:spacing w:val="-7"/>
                <w:sz w:val="22"/>
              </w:rPr>
              <w:t xml:space="preserve"> </w:t>
            </w:r>
            <w:r>
              <w:rPr>
                <w:sz w:val="22"/>
              </w:rPr>
              <w:t>more</w:t>
            </w:r>
            <w:r>
              <w:rPr>
                <w:spacing w:val="-7"/>
                <w:sz w:val="22"/>
              </w:rPr>
              <w:t xml:space="preserve"> </w:t>
            </w:r>
            <w:r>
              <w:rPr>
                <w:sz w:val="22"/>
              </w:rPr>
              <w:t>granular behavioral health data.</w:t>
            </w:r>
          </w:p>
        </w:tc>
      </w:tr>
      <w:tr>
        <w:tblPrEx>
          <w:tblW w:w="0" w:type="auto"/>
          <w:jc w:val="left"/>
          <w:tblInd w:w="53" w:type="dxa"/>
          <w:tblLayout w:type="fixed"/>
          <w:tblCellMar>
            <w:top w:w="0" w:type="dxa"/>
            <w:left w:w="0" w:type="dxa"/>
            <w:bottom w:w="0" w:type="dxa"/>
            <w:right w:w="0" w:type="dxa"/>
          </w:tblCellMar>
          <w:tblLook w:val="01E0"/>
        </w:tblPrEx>
        <w:trPr>
          <w:trHeight w:val="2146"/>
          <w:jc w:val="left"/>
        </w:trPr>
        <w:tc>
          <w:tcPr>
            <w:tcW w:w="1196" w:type="dxa"/>
          </w:tcPr>
          <w:p>
            <w:pPr>
              <w:pStyle w:val="TableParagraph"/>
              <w:spacing w:line="266" w:lineRule="exact"/>
              <w:rPr>
                <w:sz w:val="22"/>
              </w:rPr>
            </w:pPr>
            <w:r>
              <w:rPr>
                <w:spacing w:val="-2"/>
                <w:sz w:val="22"/>
              </w:rPr>
              <w:t>Burden</w:t>
            </w:r>
          </w:p>
        </w:tc>
        <w:tc>
          <w:tcPr>
            <w:tcW w:w="6360" w:type="dxa"/>
          </w:tcPr>
          <w:p>
            <w:pPr>
              <w:pStyle w:val="TableParagraph"/>
              <w:rPr>
                <w:sz w:val="22"/>
              </w:rPr>
            </w:pPr>
            <w:r>
              <w:rPr>
                <w:sz w:val="22"/>
              </w:rPr>
              <w:t>One (anonymous) commenter wrote to remark that there is “persistent opacity in insurance billing and coverage decisions” and raised questions around how CMS can best mitigate that opacity through plain language requirements and accessibility consumers speaking languages other than English. This commenter also urged CMS</w:t>
            </w:r>
            <w:r>
              <w:rPr>
                <w:spacing w:val="-7"/>
                <w:sz w:val="22"/>
              </w:rPr>
              <w:t xml:space="preserve"> </w:t>
            </w:r>
            <w:r>
              <w:rPr>
                <w:sz w:val="22"/>
              </w:rPr>
              <w:t>to</w:t>
            </w:r>
            <w:r>
              <w:rPr>
                <w:spacing w:val="-2"/>
                <w:sz w:val="22"/>
              </w:rPr>
              <w:t xml:space="preserve"> </w:t>
            </w:r>
            <w:r>
              <w:rPr>
                <w:sz w:val="22"/>
              </w:rPr>
              <w:t>“consider</w:t>
            </w:r>
            <w:r>
              <w:rPr>
                <w:spacing w:val="-7"/>
                <w:sz w:val="22"/>
              </w:rPr>
              <w:t xml:space="preserve"> </w:t>
            </w:r>
            <w:r>
              <w:rPr>
                <w:sz w:val="22"/>
              </w:rPr>
              <w:t>partnerships</w:t>
            </w:r>
            <w:r>
              <w:rPr>
                <w:spacing w:val="-4"/>
                <w:sz w:val="22"/>
              </w:rPr>
              <w:t xml:space="preserve"> </w:t>
            </w:r>
            <w:r>
              <w:rPr>
                <w:sz w:val="22"/>
              </w:rPr>
              <w:t>with</w:t>
            </w:r>
            <w:r>
              <w:rPr>
                <w:spacing w:val="-6"/>
                <w:sz w:val="22"/>
              </w:rPr>
              <w:t xml:space="preserve"> </w:t>
            </w:r>
            <w:r>
              <w:rPr>
                <w:sz w:val="22"/>
              </w:rPr>
              <w:t>labor</w:t>
            </w:r>
            <w:r>
              <w:rPr>
                <w:spacing w:val="-7"/>
                <w:sz w:val="22"/>
              </w:rPr>
              <w:t xml:space="preserve"> </w:t>
            </w:r>
            <w:r>
              <w:rPr>
                <w:sz w:val="22"/>
              </w:rPr>
              <w:t>unions</w:t>
            </w:r>
            <w:r>
              <w:rPr>
                <w:spacing w:val="-4"/>
                <w:sz w:val="22"/>
              </w:rPr>
              <w:t xml:space="preserve"> </w:t>
            </w:r>
            <w:r>
              <w:rPr>
                <w:sz w:val="22"/>
              </w:rPr>
              <w:t>and</w:t>
            </w:r>
            <w:r>
              <w:rPr>
                <w:spacing w:val="-6"/>
                <w:sz w:val="22"/>
              </w:rPr>
              <w:t xml:space="preserve"> </w:t>
            </w:r>
            <w:r>
              <w:rPr>
                <w:sz w:val="22"/>
              </w:rPr>
              <w:t>worker</w:t>
            </w:r>
            <w:r>
              <w:rPr>
                <w:spacing w:val="-3"/>
                <w:sz w:val="22"/>
              </w:rPr>
              <w:t xml:space="preserve"> </w:t>
            </w:r>
            <w:r>
              <w:rPr>
                <w:sz w:val="22"/>
              </w:rPr>
              <w:t>centers to disseminate coverage information and support workers in</w:t>
            </w:r>
          </w:p>
          <w:p>
            <w:pPr>
              <w:pStyle w:val="TableParagraph"/>
              <w:spacing w:line="248" w:lineRule="exact"/>
              <w:rPr>
                <w:sz w:val="22"/>
              </w:rPr>
            </w:pPr>
            <w:r>
              <w:rPr>
                <w:sz w:val="22"/>
              </w:rPr>
              <w:t>understanding</w:t>
            </w:r>
            <w:r>
              <w:rPr>
                <w:spacing w:val="-5"/>
                <w:sz w:val="22"/>
              </w:rPr>
              <w:t xml:space="preserve"> </w:t>
            </w:r>
            <w:r>
              <w:rPr>
                <w:sz w:val="22"/>
              </w:rPr>
              <w:t>their</w:t>
            </w:r>
            <w:r>
              <w:rPr>
                <w:spacing w:val="-6"/>
                <w:sz w:val="22"/>
              </w:rPr>
              <w:t xml:space="preserve"> </w:t>
            </w:r>
            <w:r>
              <w:rPr>
                <w:sz w:val="22"/>
              </w:rPr>
              <w:t>rights”</w:t>
            </w:r>
            <w:r>
              <w:rPr>
                <w:spacing w:val="-4"/>
                <w:sz w:val="22"/>
              </w:rPr>
              <w:t xml:space="preserve"> </w:t>
            </w:r>
            <w:r>
              <w:rPr>
                <w:sz w:val="22"/>
              </w:rPr>
              <w:t>related</w:t>
            </w:r>
            <w:r>
              <w:rPr>
                <w:spacing w:val="-1"/>
                <w:sz w:val="22"/>
              </w:rPr>
              <w:t xml:space="preserve"> </w:t>
            </w:r>
            <w:r>
              <w:rPr>
                <w:sz w:val="22"/>
              </w:rPr>
              <w:t>to</w:t>
            </w:r>
            <w:r>
              <w:rPr>
                <w:spacing w:val="-1"/>
                <w:sz w:val="22"/>
              </w:rPr>
              <w:t xml:space="preserve"> </w:t>
            </w:r>
            <w:r>
              <w:rPr>
                <w:sz w:val="22"/>
              </w:rPr>
              <w:t>health</w:t>
            </w:r>
            <w:r>
              <w:rPr>
                <w:spacing w:val="-5"/>
                <w:sz w:val="22"/>
              </w:rPr>
              <w:t xml:space="preserve"> </w:t>
            </w:r>
            <w:r>
              <w:rPr>
                <w:sz w:val="22"/>
              </w:rPr>
              <w:t>insurance</w:t>
            </w:r>
            <w:r>
              <w:rPr>
                <w:spacing w:val="-6"/>
                <w:sz w:val="22"/>
              </w:rPr>
              <w:t xml:space="preserve"> </w:t>
            </w:r>
            <w:r>
              <w:rPr>
                <w:spacing w:val="-2"/>
                <w:sz w:val="22"/>
              </w:rPr>
              <w:t>coverage.</w:t>
            </w:r>
          </w:p>
        </w:tc>
        <w:tc>
          <w:tcPr>
            <w:tcW w:w="6752" w:type="dxa"/>
          </w:tcPr>
          <w:p>
            <w:pPr>
              <w:pStyle w:val="TableParagraph"/>
              <w:ind w:left="106" w:right="139"/>
              <w:rPr>
                <w:sz w:val="22"/>
              </w:rPr>
            </w:pPr>
            <w:r>
              <w:rPr>
                <w:sz w:val="22"/>
              </w:rPr>
              <w:t>CMS</w:t>
            </w:r>
            <w:r>
              <w:rPr>
                <w:spacing w:val="-5"/>
                <w:sz w:val="22"/>
              </w:rPr>
              <w:t xml:space="preserve"> </w:t>
            </w:r>
            <w:r>
              <w:rPr>
                <w:sz w:val="22"/>
              </w:rPr>
              <w:t>recommends</w:t>
            </w:r>
            <w:r>
              <w:rPr>
                <w:spacing w:val="-2"/>
                <w:sz w:val="22"/>
              </w:rPr>
              <w:t xml:space="preserve"> </w:t>
            </w:r>
            <w:r>
              <w:rPr>
                <w:sz w:val="22"/>
              </w:rPr>
              <w:t>that</w:t>
            </w:r>
            <w:r>
              <w:rPr>
                <w:spacing w:val="-6"/>
                <w:sz w:val="22"/>
              </w:rPr>
              <w:t xml:space="preserve"> </w:t>
            </w:r>
            <w:r>
              <w:rPr>
                <w:sz w:val="22"/>
              </w:rPr>
              <w:t>interested</w:t>
            </w:r>
            <w:r>
              <w:rPr>
                <w:spacing w:val="-4"/>
                <w:sz w:val="22"/>
              </w:rPr>
              <w:t xml:space="preserve"> </w:t>
            </w:r>
            <w:r>
              <w:rPr>
                <w:sz w:val="22"/>
              </w:rPr>
              <w:t>stakeholders</w:t>
            </w:r>
            <w:r>
              <w:rPr>
                <w:spacing w:val="-2"/>
                <w:sz w:val="22"/>
              </w:rPr>
              <w:t xml:space="preserve"> </w:t>
            </w:r>
            <w:r>
              <w:rPr>
                <w:sz w:val="22"/>
              </w:rPr>
              <w:t>review</w:t>
            </w:r>
            <w:r>
              <w:rPr>
                <w:spacing w:val="-2"/>
                <w:sz w:val="22"/>
              </w:rPr>
              <w:t xml:space="preserve"> </w:t>
            </w:r>
            <w:r>
              <w:rPr>
                <w:sz w:val="22"/>
              </w:rPr>
              <w:t>the</w:t>
            </w:r>
            <w:r>
              <w:rPr>
                <w:spacing w:val="-6"/>
                <w:sz w:val="22"/>
              </w:rPr>
              <w:t xml:space="preserve"> </w:t>
            </w:r>
            <w:r>
              <w:rPr>
                <w:sz w:val="22"/>
              </w:rPr>
              <w:t xml:space="preserve">information published on the CMS Website regarding efforts to ensure that communications are </w:t>
            </w:r>
            <w:hyperlink r:id="rId5">
              <w:r>
                <w:rPr>
                  <w:color w:val="0000FF"/>
                  <w:sz w:val="22"/>
                  <w:u w:val="single" w:color="0000FF"/>
                </w:rPr>
                <w:t>508-compliant</w:t>
              </w:r>
              <w:r>
                <w:rPr>
                  <w:sz w:val="22"/>
                  <w:u w:val="none"/>
                </w:rPr>
                <w:t>,</w:t>
              </w:r>
            </w:hyperlink>
            <w:r>
              <w:rPr>
                <w:sz w:val="22"/>
                <w:u w:val="none"/>
              </w:rPr>
              <w:t xml:space="preserve"> written in plain language, and otherwise</w:t>
            </w:r>
            <w:r>
              <w:rPr>
                <w:spacing w:val="-8"/>
                <w:sz w:val="22"/>
                <w:u w:val="none"/>
              </w:rPr>
              <w:t xml:space="preserve"> </w:t>
            </w:r>
            <w:r>
              <w:rPr>
                <w:sz w:val="22"/>
                <w:u w:val="none"/>
              </w:rPr>
              <w:t>accessible.</w:t>
            </w:r>
            <w:r>
              <w:rPr>
                <w:spacing w:val="-7"/>
                <w:sz w:val="22"/>
                <w:u w:val="none"/>
              </w:rPr>
              <w:t xml:space="preserve"> </w:t>
            </w:r>
            <w:r>
              <w:rPr>
                <w:sz w:val="22"/>
                <w:u w:val="none"/>
              </w:rPr>
              <w:t>There</w:t>
            </w:r>
            <w:r>
              <w:rPr>
                <w:spacing w:val="-5"/>
                <w:sz w:val="22"/>
                <w:u w:val="none"/>
              </w:rPr>
              <w:t xml:space="preserve"> </w:t>
            </w:r>
            <w:r>
              <w:rPr>
                <w:sz w:val="22"/>
                <w:u w:val="none"/>
              </w:rPr>
              <w:t>are</w:t>
            </w:r>
            <w:r>
              <w:rPr>
                <w:spacing w:val="-5"/>
                <w:sz w:val="22"/>
                <w:u w:val="none"/>
              </w:rPr>
              <w:t xml:space="preserve"> </w:t>
            </w:r>
            <w:r>
              <w:rPr>
                <w:sz w:val="22"/>
                <w:u w:val="none"/>
              </w:rPr>
              <w:t>existing</w:t>
            </w:r>
            <w:r>
              <w:rPr>
                <w:spacing w:val="-7"/>
                <w:sz w:val="22"/>
                <w:u w:val="none"/>
              </w:rPr>
              <w:t xml:space="preserve"> </w:t>
            </w:r>
            <w:r>
              <w:rPr>
                <w:sz w:val="22"/>
                <w:u w:val="none"/>
              </w:rPr>
              <w:t>requirements</w:t>
            </w:r>
            <w:r>
              <w:rPr>
                <w:spacing w:val="-5"/>
                <w:sz w:val="22"/>
                <w:u w:val="none"/>
              </w:rPr>
              <w:t xml:space="preserve"> </w:t>
            </w:r>
            <w:r>
              <w:rPr>
                <w:sz w:val="22"/>
                <w:u w:val="none"/>
              </w:rPr>
              <w:t>related</w:t>
            </w:r>
            <w:r>
              <w:rPr>
                <w:spacing w:val="-3"/>
                <w:sz w:val="22"/>
                <w:u w:val="none"/>
              </w:rPr>
              <w:t xml:space="preserve"> </w:t>
            </w:r>
            <w:r>
              <w:rPr>
                <w:sz w:val="22"/>
                <w:u w:val="none"/>
              </w:rPr>
              <w:t>to</w:t>
            </w:r>
            <w:r>
              <w:rPr>
                <w:spacing w:val="-3"/>
                <w:sz w:val="22"/>
                <w:u w:val="none"/>
              </w:rPr>
              <w:t xml:space="preserve"> </w:t>
            </w:r>
            <w:r>
              <w:rPr>
                <w:sz w:val="22"/>
                <w:u w:val="none"/>
              </w:rPr>
              <w:t>this</w:t>
            </w:r>
            <w:r>
              <w:rPr>
                <w:spacing w:val="-5"/>
                <w:sz w:val="22"/>
                <w:u w:val="none"/>
              </w:rPr>
              <w:t xml:space="preserve"> </w:t>
            </w:r>
            <w:r>
              <w:rPr>
                <w:sz w:val="22"/>
                <w:u w:val="none"/>
              </w:rPr>
              <w:t>at 45 CFR 155.205(c).</w:t>
            </w:r>
          </w:p>
        </w:tc>
      </w:tr>
    </w:tbl>
    <w:p>
      <w:pPr>
        <w:pStyle w:val="BodyText"/>
        <w:rPr>
          <w:b/>
          <w:sz w:val="22"/>
        </w:rPr>
      </w:pPr>
    </w:p>
    <w:p>
      <w:pPr>
        <w:pStyle w:val="BodyText"/>
        <w:spacing w:before="24"/>
        <w:rPr>
          <w:b/>
          <w:sz w:val="22"/>
        </w:rPr>
      </w:pPr>
    </w:p>
    <w:p>
      <w:pPr>
        <w:tabs>
          <w:tab w:val="left" w:pos="6510"/>
          <w:tab w:val="left" w:pos="11519"/>
        </w:tabs>
        <w:spacing w:before="0"/>
        <w:ind w:left="0" w:right="0" w:firstLine="0"/>
        <w:jc w:val="left"/>
        <w:rPr>
          <w:sz w:val="22"/>
        </w:rPr>
      </w:pPr>
      <w:r>
        <w:rPr>
          <w:spacing w:val="-2"/>
          <w:sz w:val="22"/>
        </w:rPr>
        <w:t>06/27/2025</w:t>
      </w:r>
      <w:r>
        <w:rPr>
          <w:sz w:val="22"/>
        </w:rPr>
        <w:tab/>
      </w:r>
      <w:r>
        <w:rPr>
          <w:spacing w:val="-10"/>
          <w:sz w:val="22"/>
        </w:rPr>
        <w:t>1</w:t>
      </w:r>
      <w:r>
        <w:rPr>
          <w:sz w:val="22"/>
        </w:rPr>
        <w:tab/>
        <w:t>Transparency</w:t>
      </w:r>
      <w:r>
        <w:rPr>
          <w:spacing w:val="-8"/>
          <w:sz w:val="22"/>
        </w:rPr>
        <w:t xml:space="preserve"> </w:t>
      </w:r>
      <w:r>
        <w:rPr>
          <w:sz w:val="22"/>
        </w:rPr>
        <w:t>in</w:t>
      </w:r>
      <w:r>
        <w:rPr>
          <w:spacing w:val="-6"/>
          <w:sz w:val="22"/>
        </w:rPr>
        <w:t xml:space="preserve"> </w:t>
      </w:r>
      <w:r>
        <w:rPr>
          <w:sz w:val="22"/>
        </w:rPr>
        <w:t>Coverage</w:t>
      </w:r>
      <w:r>
        <w:rPr>
          <w:spacing w:val="-3"/>
          <w:sz w:val="22"/>
        </w:rPr>
        <w:t xml:space="preserve"> </w:t>
      </w:r>
      <w:r>
        <w:rPr>
          <w:spacing w:val="-5"/>
          <w:sz w:val="22"/>
        </w:rPr>
        <w:t>PRA</w:t>
      </w:r>
    </w:p>
    <w:p>
      <w:pPr>
        <w:pStyle w:val="BodyText"/>
        <w:spacing w:before="100"/>
        <w:ind w:right="104" w:hanging="1"/>
      </w:pPr>
      <w:r>
        <w:t>CLOSE</w:t>
      </w:r>
      <w:r>
        <w:rPr>
          <w:spacing w:val="-1"/>
        </w:rPr>
        <w:t xml:space="preserve"> </w:t>
      </w:r>
      <w:r>
        <w:t>HOLD –</w:t>
      </w:r>
      <w:r>
        <w:rPr>
          <w:spacing w:val="-3"/>
        </w:rPr>
        <w:t xml:space="preserve"> </w:t>
      </w:r>
      <w:r>
        <w:t>DO</w:t>
      </w:r>
      <w:r>
        <w:rPr>
          <w:spacing w:val="-6"/>
        </w:rPr>
        <w:t xml:space="preserve"> </w:t>
      </w:r>
      <w:r>
        <w:t>NOT</w:t>
      </w:r>
      <w:r>
        <w:rPr>
          <w:spacing w:val="-1"/>
        </w:rPr>
        <w:t xml:space="preserve"> </w:t>
      </w:r>
      <w:r>
        <w:t>SHARE</w:t>
      </w:r>
      <w:r>
        <w:rPr>
          <w:spacing w:val="-1"/>
        </w:rPr>
        <w:t xml:space="preserve"> </w:t>
      </w:r>
      <w:r>
        <w:t>INFORMATION NOT</w:t>
      </w:r>
      <w:r>
        <w:rPr>
          <w:spacing w:val="-1"/>
        </w:rPr>
        <w:t xml:space="preserve"> </w:t>
      </w:r>
      <w:r>
        <w:t>RELEASABLE</w:t>
      </w:r>
      <w:r>
        <w:rPr>
          <w:spacing w:val="-1"/>
        </w:rPr>
        <w:t xml:space="preserve"> </w:t>
      </w:r>
      <w:r>
        <w:t>TO</w:t>
      </w:r>
      <w:r>
        <w:rPr>
          <w:spacing w:val="-2"/>
        </w:rPr>
        <w:t xml:space="preserve"> </w:t>
      </w:r>
      <w:r>
        <w:t>THE</w:t>
      </w:r>
      <w:r>
        <w:rPr>
          <w:spacing w:val="-6"/>
        </w:rPr>
        <w:t xml:space="preserve"> </w:t>
      </w:r>
      <w:r>
        <w:t>PUBLIC UNLESS</w:t>
      </w:r>
      <w:r>
        <w:rPr>
          <w:spacing w:val="-1"/>
        </w:rPr>
        <w:t xml:space="preserve"> </w:t>
      </w:r>
      <w:r>
        <w:t>AUTHORIZED BY</w:t>
      </w:r>
      <w:r>
        <w:rPr>
          <w:spacing w:val="-1"/>
        </w:rPr>
        <w:t xml:space="preserve"> </w:t>
      </w:r>
      <w:r>
        <w:t>LAW:</w:t>
      </w:r>
      <w:r>
        <w:rPr>
          <w:spacing w:val="-3"/>
        </w:rPr>
        <w:t xml:space="preserve"> </w:t>
      </w:r>
      <w:r>
        <w:t>This information</w:t>
      </w:r>
      <w:r>
        <w:rPr>
          <w:spacing w:val="-3"/>
        </w:rPr>
        <w:t xml:space="preserve"> </w:t>
      </w:r>
      <w:r>
        <w:t>has not been publicly</w:t>
      </w:r>
      <w:r>
        <w:rPr>
          <w:spacing w:val="-1"/>
        </w:rPr>
        <w:t xml:space="preserve"> </w:t>
      </w:r>
      <w:r>
        <w:t>disclosed</w:t>
      </w:r>
      <w:r>
        <w:rPr>
          <w:spacing w:val="-3"/>
        </w:rPr>
        <w:t xml:space="preserve"> </w:t>
      </w:r>
      <w:r>
        <w:t>and</w:t>
      </w:r>
      <w:r>
        <w:rPr>
          <w:spacing w:val="-3"/>
        </w:rPr>
        <w:t xml:space="preserve"> </w:t>
      </w:r>
      <w:r>
        <w:t>may be</w:t>
      </w:r>
      <w:r>
        <w:rPr>
          <w:spacing w:val="-3"/>
        </w:rPr>
        <w:t xml:space="preserve"> </w:t>
      </w:r>
      <w:r>
        <w:t>privileged</w:t>
      </w:r>
      <w:r>
        <w:rPr>
          <w:spacing w:val="-3"/>
        </w:rPr>
        <w:t xml:space="preserve"> </w:t>
      </w:r>
      <w:r>
        <w:t>and</w:t>
      </w:r>
      <w:r>
        <w:rPr>
          <w:spacing w:val="-3"/>
        </w:rPr>
        <w:t xml:space="preserve"> </w:t>
      </w:r>
      <w:r>
        <w:t>confidential. It is for</w:t>
      </w:r>
      <w:r>
        <w:rPr>
          <w:spacing w:val="-2"/>
        </w:rPr>
        <w:t xml:space="preserve"> </w:t>
      </w:r>
      <w:r>
        <w:t>internal</w:t>
      </w:r>
      <w:r>
        <w:rPr>
          <w:spacing w:val="-1"/>
        </w:rPr>
        <w:t xml:space="preserve"> </w:t>
      </w:r>
      <w:r>
        <w:t>government use</w:t>
      </w:r>
      <w:r>
        <w:rPr>
          <w:spacing w:val="-3"/>
        </w:rPr>
        <w:t xml:space="preserve"> </w:t>
      </w:r>
      <w:r>
        <w:t>only and</w:t>
      </w:r>
      <w:r>
        <w:rPr>
          <w:spacing w:val="-3"/>
        </w:rPr>
        <w:t xml:space="preserve"> </w:t>
      </w:r>
      <w:r>
        <w:t>must not</w:t>
      </w:r>
      <w:r>
        <w:rPr>
          <w:spacing w:val="40"/>
        </w:rPr>
        <w:t xml:space="preserve"> </w:t>
      </w:r>
      <w:r>
        <w:t>be disseminated, distributed, or copied to persons not authorized to receive the information.</w:t>
      </w:r>
      <w:r>
        <w:rPr>
          <w:spacing w:val="37"/>
        </w:rPr>
        <w:t xml:space="preserve"> </w:t>
      </w:r>
      <w:r>
        <w:t>Unauthorized disclosure may result in prosecution to the full extent of the law.</w:t>
      </w:r>
    </w:p>
    <w:sectPr>
      <w:type w:val="continuous"/>
      <w:pgSz w:w="15840" w:h="12240" w:orient="landscape"/>
      <w:pgMar w:top="700" w:right="720" w:bottom="280" w:left="72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14"/>
      <w:szCs w:val="14"/>
      <w:lang w:val="en-US" w:eastAsia="en-US" w:bidi="ar-SA"/>
    </w:rPr>
  </w:style>
  <w:style w:type="paragraph" w:styleId="Title">
    <w:name w:val="Title"/>
    <w:basedOn w:val="Normal"/>
    <w:uiPriority w:val="1"/>
    <w:qFormat/>
    <w:pPr>
      <w:spacing w:before="21"/>
      <w:ind w:left="3496" w:right="3494" w:firstLine="131"/>
    </w:pPr>
    <w:rPr>
      <w:rFonts w:ascii="Calibri" w:eastAsia="Calibri" w:hAnsi="Calibri" w:cs="Calibri"/>
      <w:b/>
      <w:bCs/>
      <w:sz w:val="28"/>
      <w:szCs w:val="28"/>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pPr>
      <w:ind w:left="107"/>
    </w:pPr>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qhpcertification.cms.gov/QHPvforcesite/apex/FileDownload?file=PY26-Instructions-02M-TransparencyCoverage-v3-v1" TargetMode="External" /><Relationship Id="rId5" Type="http://schemas.openxmlformats.org/officeDocument/2006/relationships/hyperlink" Target="https://www.cms.gov/data-research/cms-information-technology/section-508"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Transparency in Coverage Information Collection - 60-Day Public Comment Response Summary</dc:title>
  <dc:subject>Transparency in Coverage Information Collection (0938-1310) 60-Day Public Comment Response Summary (Ended 6/20/2025)</dc:subject>
  <dc:creator>Centers for Medicare &amp; Medicaid Services (CMS)</dc:creator>
  <cp:keywords>Transparency in Coverage; TIC; health care; healthcare; public use files; annual data review; health insurance; insurance billing;</cp:keywords>
  <cp:revision>0</cp:revision>
  <dcterms:created xsi:type="dcterms:W3CDTF">2025-10-01T10:51:43Z</dcterms:created>
  <dcterms:modified xsi:type="dcterms:W3CDTF">2025-10-01T10:51:43Z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0x0101009E578BCD0A5C2A4BBD05EA6AD5FE1F46</vt:lpwstr>
  </property>
  <property fmtid="{D5CDD505-2E9C-101B-9397-08002B2CF9AE}" pid="3" name="Created">
    <vt:filetime>2025-07-23T00:00:00Z</vt:filetime>
  </property>
  <property fmtid="{D5CDD505-2E9C-101B-9397-08002B2CF9AE}" pid="4" name="Creator">
    <vt:lpwstr>Acrobat PDFMaker 25 for Word</vt:lpwstr>
  </property>
  <property fmtid="{D5CDD505-2E9C-101B-9397-08002B2CF9AE}" pid="5" name="LastSaved">
    <vt:filetime>2025-10-01T00:00:00Z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25.1.97</vt:lpwstr>
  </property>
  <property fmtid="{D5CDD505-2E9C-101B-9397-08002B2CF9AE}" pid="9" name="SourceModified">
    <vt:lpwstr/>
  </property>
  <property fmtid="{D5CDD505-2E9C-101B-9397-08002B2CF9AE}" pid="10" name="_dlc_DocId">
    <vt:lpwstr>QSXZK4DW25JC-1146626974-4672</vt:lpwstr>
  </property>
  <property fmtid="{D5CDD505-2E9C-101B-9397-08002B2CF9AE}" pid="11" name="_dlc_DocIdItemGuid">
    <vt:lpwstr>8135fa18-6183-4d28-b74c-056c331241c5</vt:lpwstr>
  </property>
  <property fmtid="{D5CDD505-2E9C-101B-9397-08002B2CF9AE}" pid="12" name="_dlc_DocIdUrl">
    <vt:lpwstr>https://share.cms.gov/center/cciio/MPMG/_layouts/15/DocIdRedir.aspx?ID=QSXZK4DW25JC-1146626974-4672, QSXZK4DW25JC-1146626974-4672</vt:lpwstr>
  </property>
  <property fmtid="{D5CDD505-2E9C-101B-9397-08002B2CF9AE}" pid="13" name="_NewReviewCycle">
    <vt:lpwstr/>
  </property>
</Properties>
</file>