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0E24" w:rsidRPr="007B100B" w:rsidP="00750E24" w14:paraId="268656EC" w14:textId="41310E1F">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 xml:space="preserve">Placement and Transfer of </w:t>
      </w:r>
    </w:p>
    <w:p w:rsidR="00750E24" w:rsidRPr="007B100B" w:rsidP="00750E24" w14:paraId="0AC1664B" w14:textId="1DFB3314">
      <w:pPr>
        <w:pStyle w:val="ReportCover-Title"/>
        <w:jc w:val="center"/>
        <w:rPr>
          <w:rFonts w:ascii="Arial" w:eastAsia="Arial Unicode MS" w:hAnsi="Arial" w:cs="Arial"/>
          <w:noProof/>
          <w:color w:val="auto"/>
        </w:rPr>
      </w:pPr>
      <w:r w:rsidRPr="007B100B">
        <w:rPr>
          <w:rFonts w:ascii="Arial" w:eastAsia="Arial Unicode MS" w:hAnsi="Arial" w:cs="Arial"/>
          <w:noProof/>
          <w:color w:val="auto"/>
        </w:rPr>
        <w:t xml:space="preserve">Unaccompanied </w:t>
      </w:r>
      <w:r w:rsidR="00A91E90">
        <w:rPr>
          <w:rFonts w:ascii="Arial" w:eastAsia="Arial Unicode MS" w:hAnsi="Arial" w:cs="Arial"/>
          <w:noProof/>
          <w:color w:val="auto"/>
        </w:rPr>
        <w:t xml:space="preserve">[Alien] </w:t>
      </w:r>
      <w:r w:rsidRPr="007B100B">
        <w:rPr>
          <w:rFonts w:ascii="Arial" w:eastAsia="Arial Unicode MS" w:hAnsi="Arial" w:cs="Arial"/>
          <w:noProof/>
          <w:color w:val="auto"/>
        </w:rPr>
        <w:t>Children</w:t>
      </w:r>
    </w:p>
    <w:p w:rsidR="00750E24" w:rsidRPr="007B100B" w:rsidP="00750E24" w14:paraId="387DF475" w14:textId="77777777">
      <w:pPr>
        <w:pStyle w:val="ReportCover-Title"/>
        <w:jc w:val="center"/>
        <w:rPr>
          <w:rFonts w:ascii="Arial" w:hAnsi="Arial" w:cs="Arial"/>
          <w:color w:val="auto"/>
        </w:rPr>
      </w:pPr>
      <w:r w:rsidRPr="007B100B">
        <w:rPr>
          <w:rFonts w:ascii="Arial" w:eastAsia="Arial Unicode MS" w:hAnsi="Arial" w:cs="Arial"/>
          <w:noProof/>
          <w:color w:val="auto"/>
        </w:rPr>
        <w:t>into ORR Care Provider Facilities</w:t>
      </w:r>
    </w:p>
    <w:p w:rsidR="00750E24" w:rsidRPr="007B100B" w:rsidP="00750E24" w14:paraId="53180298" w14:textId="77777777">
      <w:pPr>
        <w:pStyle w:val="ReportCover-Title"/>
        <w:rPr>
          <w:rFonts w:ascii="Arial" w:hAnsi="Arial" w:cs="Arial"/>
          <w:color w:val="auto"/>
        </w:rPr>
      </w:pPr>
    </w:p>
    <w:p w:rsidR="00750E24" w:rsidRPr="007B100B" w:rsidP="00750E24" w14:paraId="5B28761B" w14:textId="77777777">
      <w:pPr>
        <w:pStyle w:val="ReportCover-Title"/>
        <w:rPr>
          <w:rFonts w:ascii="Arial" w:hAnsi="Arial" w:cs="Arial"/>
          <w:color w:val="auto"/>
        </w:rPr>
      </w:pPr>
    </w:p>
    <w:p w:rsidR="00750E24" w:rsidRPr="007B100B" w:rsidP="00750E24" w14:paraId="3A47D16F" w14:textId="77777777">
      <w:pPr>
        <w:pStyle w:val="ReportCover-Title"/>
        <w:jc w:val="center"/>
        <w:rPr>
          <w:rFonts w:ascii="Arial" w:hAnsi="Arial" w:cs="Arial"/>
          <w:color w:val="auto"/>
          <w:sz w:val="32"/>
          <w:szCs w:val="32"/>
        </w:rPr>
      </w:pPr>
      <w:r w:rsidRPr="007B100B">
        <w:rPr>
          <w:rFonts w:ascii="Arial" w:hAnsi="Arial" w:cs="Arial"/>
          <w:color w:val="auto"/>
          <w:sz w:val="32"/>
          <w:szCs w:val="32"/>
        </w:rPr>
        <w:t>OMB Information Collection Request</w:t>
      </w:r>
    </w:p>
    <w:p w:rsidR="00750E24" w:rsidRPr="007B100B" w:rsidP="00750E24" w14:paraId="703A712E" w14:textId="77777777">
      <w:pPr>
        <w:pStyle w:val="ReportCover-Title"/>
        <w:jc w:val="center"/>
        <w:rPr>
          <w:rFonts w:ascii="Arial" w:hAnsi="Arial" w:cs="Arial"/>
          <w:color w:val="auto"/>
          <w:sz w:val="32"/>
          <w:szCs w:val="32"/>
        </w:rPr>
      </w:pPr>
      <w:r w:rsidRPr="007B100B">
        <w:rPr>
          <w:rFonts w:ascii="Arial" w:hAnsi="Arial" w:cs="Arial"/>
          <w:color w:val="auto"/>
          <w:sz w:val="32"/>
          <w:szCs w:val="32"/>
        </w:rPr>
        <w:t>0970 - 0554</w:t>
      </w:r>
    </w:p>
    <w:p w:rsidR="00750E24" w:rsidRPr="007B100B" w:rsidP="00750E24" w14:paraId="0D14D418" w14:textId="77777777">
      <w:pPr>
        <w:rPr>
          <w:rFonts w:ascii="Arial" w:hAnsi="Arial" w:cs="Arial"/>
          <w:szCs w:val="22"/>
        </w:rPr>
      </w:pPr>
    </w:p>
    <w:p w:rsidR="00750E24" w:rsidRPr="007B100B" w:rsidP="00750E24" w14:paraId="73196339" w14:textId="77777777">
      <w:pPr>
        <w:pStyle w:val="ReportCover-Date"/>
        <w:jc w:val="center"/>
        <w:rPr>
          <w:rFonts w:ascii="Arial" w:hAnsi="Arial" w:cs="Arial"/>
          <w:color w:val="auto"/>
        </w:rPr>
      </w:pPr>
    </w:p>
    <w:p w:rsidR="00750E24" w:rsidRPr="007B100B" w:rsidP="00750E24" w14:paraId="30007EFD" w14:textId="1CDD7F4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Attachment</w:t>
      </w:r>
      <w:r w:rsidRPr="007B100B">
        <w:rPr>
          <w:rFonts w:ascii="Arial" w:hAnsi="Arial" w:cs="Arial"/>
          <w:color w:val="auto"/>
          <w:sz w:val="48"/>
          <w:szCs w:val="48"/>
        </w:rPr>
        <w:t xml:space="preserve"> A </w:t>
      </w:r>
      <w:r>
        <w:rPr>
          <w:rFonts w:ascii="Arial" w:hAnsi="Arial" w:cs="Arial"/>
          <w:color w:val="auto"/>
          <w:sz w:val="48"/>
          <w:szCs w:val="48"/>
        </w:rPr>
        <w:t>–</w:t>
      </w:r>
      <w:r w:rsidRPr="007B100B">
        <w:rPr>
          <w:rFonts w:ascii="Arial" w:hAnsi="Arial" w:cs="Arial"/>
          <w:color w:val="auto"/>
          <w:sz w:val="48"/>
          <w:szCs w:val="48"/>
        </w:rPr>
        <w:t xml:space="preserve"> </w:t>
      </w:r>
      <w:r>
        <w:rPr>
          <w:rFonts w:ascii="Arial" w:hAnsi="Arial" w:cs="Arial"/>
          <w:color w:val="auto"/>
          <w:sz w:val="48"/>
          <w:szCs w:val="48"/>
        </w:rPr>
        <w:t xml:space="preserve">Emergency </w:t>
      </w:r>
      <w:r w:rsidRPr="007B100B">
        <w:rPr>
          <w:rFonts w:ascii="Arial" w:hAnsi="Arial" w:cs="Arial"/>
          <w:color w:val="auto"/>
          <w:sz w:val="48"/>
          <w:szCs w:val="48"/>
        </w:rPr>
        <w:t>Justification</w:t>
      </w:r>
    </w:p>
    <w:p w:rsidR="00750E24" w:rsidP="00750E24" w14:paraId="1E147E5D" w14:textId="77777777">
      <w:pPr>
        <w:pStyle w:val="ReportCover-Date"/>
        <w:jc w:val="center"/>
        <w:rPr>
          <w:rFonts w:ascii="Arial" w:hAnsi="Arial" w:cs="Arial"/>
          <w:color w:val="auto"/>
        </w:rPr>
      </w:pPr>
      <w:r>
        <w:rPr>
          <w:rFonts w:ascii="Arial" w:hAnsi="Arial" w:cs="Arial"/>
          <w:color w:val="auto"/>
        </w:rPr>
        <w:t>September 2025</w:t>
      </w:r>
    </w:p>
    <w:p w:rsidR="00750E24" w:rsidRPr="000620BD" w:rsidP="000620BD" w14:paraId="13407015" w14:textId="4851422A">
      <w:pPr>
        <w:jc w:val="center"/>
        <w:rPr>
          <w:rFonts w:ascii="Arial" w:hAnsi="Arial" w:cs="Arial"/>
          <w:sz w:val="32"/>
          <w:szCs w:val="32"/>
        </w:rPr>
      </w:pPr>
      <w:r w:rsidRPr="000620BD">
        <w:rPr>
          <w:rFonts w:ascii="Arial" w:hAnsi="Arial" w:cs="Arial"/>
          <w:sz w:val="32"/>
          <w:szCs w:val="32"/>
        </w:rPr>
        <w:t>Type of Request: Emergency</w:t>
      </w:r>
    </w:p>
    <w:p w:rsidR="00750E24" w:rsidRPr="007B100B" w:rsidP="00750E24" w14:paraId="2A18953F" w14:textId="77777777">
      <w:pPr>
        <w:jc w:val="center"/>
        <w:rPr>
          <w:rFonts w:ascii="Arial" w:hAnsi="Arial" w:cs="Arial"/>
        </w:rPr>
      </w:pPr>
    </w:p>
    <w:p w:rsidR="00750E24" w:rsidRPr="007B100B" w:rsidP="00750E24" w14:paraId="0C224D88" w14:textId="77777777">
      <w:pPr>
        <w:jc w:val="center"/>
        <w:rPr>
          <w:rFonts w:ascii="Arial" w:hAnsi="Arial" w:cs="Arial"/>
        </w:rPr>
      </w:pPr>
    </w:p>
    <w:p w:rsidR="00750E24" w:rsidRPr="007B100B" w:rsidP="00750E24" w14:paraId="1B05245D" w14:textId="77777777">
      <w:pPr>
        <w:jc w:val="center"/>
        <w:rPr>
          <w:rFonts w:ascii="Arial" w:hAnsi="Arial" w:cs="Arial"/>
        </w:rPr>
      </w:pPr>
    </w:p>
    <w:p w:rsidR="00750E24" w:rsidRPr="007B100B" w:rsidP="00750E24" w14:paraId="2F50C1FA" w14:textId="77777777">
      <w:pPr>
        <w:jc w:val="center"/>
        <w:rPr>
          <w:rFonts w:ascii="Arial" w:hAnsi="Arial" w:cs="Arial"/>
        </w:rPr>
      </w:pPr>
    </w:p>
    <w:p w:rsidR="00750E24" w:rsidRPr="007B100B" w:rsidP="00750E24" w14:paraId="482E6485" w14:textId="77777777">
      <w:pPr>
        <w:jc w:val="center"/>
        <w:rPr>
          <w:rFonts w:ascii="Arial" w:hAnsi="Arial" w:cs="Arial"/>
        </w:rPr>
      </w:pPr>
    </w:p>
    <w:p w:rsidR="00750E24" w:rsidRPr="00094384" w:rsidP="00750E24" w14:paraId="36D30DD8" w14:textId="77777777">
      <w:pPr>
        <w:jc w:val="center"/>
      </w:pPr>
    </w:p>
    <w:p w:rsidR="00750E24" w:rsidRPr="00094384" w:rsidP="00750E24" w14:paraId="59C6F4E7" w14:textId="77777777">
      <w:pPr>
        <w:jc w:val="center"/>
        <w:rPr>
          <w:sz w:val="22"/>
        </w:rPr>
      </w:pPr>
    </w:p>
    <w:p w:rsidR="00750E24" w:rsidRPr="00094384" w:rsidP="00750E24" w14:paraId="40AE2F2A" w14:textId="77777777">
      <w:pPr>
        <w:jc w:val="center"/>
        <w:rPr>
          <w:sz w:val="22"/>
        </w:rPr>
      </w:pPr>
    </w:p>
    <w:p w:rsidR="00750E24" w:rsidRPr="00094384" w:rsidP="00750E24" w14:paraId="755431A6" w14:textId="77777777">
      <w:pPr>
        <w:jc w:val="center"/>
        <w:rPr>
          <w:sz w:val="22"/>
        </w:rPr>
      </w:pPr>
    </w:p>
    <w:p w:rsidR="00750E24" w:rsidRPr="00094384" w:rsidP="00750E24" w14:paraId="3A01B3E0" w14:textId="77777777">
      <w:pPr>
        <w:jc w:val="center"/>
        <w:rPr>
          <w:sz w:val="22"/>
        </w:rPr>
      </w:pPr>
    </w:p>
    <w:p w:rsidR="00750E24" w:rsidRPr="00094384" w:rsidP="00750E24" w14:paraId="6E5E7AE7" w14:textId="77777777">
      <w:pPr>
        <w:jc w:val="center"/>
        <w:rPr>
          <w:sz w:val="22"/>
        </w:rPr>
      </w:pPr>
    </w:p>
    <w:p w:rsidR="00750E24" w:rsidRPr="00094384" w:rsidP="00750E24" w14:paraId="399DEAA7" w14:textId="77777777">
      <w:pPr>
        <w:jc w:val="center"/>
        <w:rPr>
          <w:sz w:val="22"/>
        </w:rPr>
      </w:pPr>
    </w:p>
    <w:p w:rsidR="00750E24" w:rsidRPr="00CE4133" w:rsidP="00750E24" w14:paraId="7A3FD085" w14:textId="77777777">
      <w:pPr>
        <w:jc w:val="center"/>
        <w:rPr>
          <w:rFonts w:ascii="Arial" w:hAnsi="Arial" w:cs="Arial"/>
          <w:sz w:val="22"/>
        </w:rPr>
      </w:pPr>
    </w:p>
    <w:p w:rsidR="00750E24" w:rsidRPr="00CE4133" w:rsidP="00750E24" w14:paraId="7D2F85EF" w14:textId="77777777">
      <w:pPr>
        <w:jc w:val="center"/>
        <w:rPr>
          <w:rFonts w:ascii="Arial" w:hAnsi="Arial" w:cs="Arial"/>
          <w:sz w:val="22"/>
        </w:rPr>
      </w:pPr>
    </w:p>
    <w:p w:rsidR="00750E24" w:rsidRPr="00CE4133" w:rsidP="00750E24" w14:paraId="23321956" w14:textId="77777777">
      <w:pPr>
        <w:jc w:val="center"/>
        <w:rPr>
          <w:rFonts w:ascii="Arial" w:hAnsi="Arial" w:cs="Arial"/>
          <w:sz w:val="22"/>
        </w:rPr>
      </w:pPr>
    </w:p>
    <w:p w:rsidR="00750E24" w:rsidRPr="00CE4133" w:rsidP="00750E24" w14:paraId="5402C74A" w14:textId="77777777">
      <w:pPr>
        <w:jc w:val="center"/>
        <w:rPr>
          <w:sz w:val="22"/>
        </w:rPr>
      </w:pPr>
      <w:r w:rsidRPr="00CE4133">
        <w:rPr>
          <w:sz w:val="22"/>
        </w:rPr>
        <w:t>Submitted By:</w:t>
      </w:r>
    </w:p>
    <w:p w:rsidR="00750E24" w:rsidRPr="00CE4133" w:rsidP="00750E24" w14:paraId="09A453ED" w14:textId="77777777">
      <w:pPr>
        <w:jc w:val="center"/>
        <w:rPr>
          <w:sz w:val="22"/>
        </w:rPr>
      </w:pPr>
      <w:r w:rsidRPr="00CE4133">
        <w:rPr>
          <w:sz w:val="22"/>
        </w:rPr>
        <w:t>Office of Refugee Resettlement</w:t>
      </w:r>
    </w:p>
    <w:p w:rsidR="00750E24" w:rsidRPr="00CE4133" w:rsidP="00750E24" w14:paraId="0034701C" w14:textId="77777777">
      <w:pPr>
        <w:jc w:val="center"/>
        <w:rPr>
          <w:sz w:val="22"/>
        </w:rPr>
      </w:pPr>
      <w:r w:rsidRPr="00CE4133">
        <w:rPr>
          <w:sz w:val="22"/>
        </w:rPr>
        <w:t xml:space="preserve">Administration for Children and Families </w:t>
      </w:r>
    </w:p>
    <w:p w:rsidR="00750E24" w:rsidRPr="002C4F75" w:rsidP="00750E24" w14:paraId="76BDA0CF" w14:textId="77777777">
      <w:pPr>
        <w:jc w:val="center"/>
        <w:rPr>
          <w:rFonts w:ascii="Arial" w:hAnsi="Arial" w:cs="Arial"/>
        </w:rPr>
      </w:pPr>
      <w:r w:rsidRPr="00CE4133">
        <w:rPr>
          <w:sz w:val="22"/>
        </w:rPr>
        <w:t>U.S. Department of Health and Human Services</w:t>
      </w:r>
    </w:p>
    <w:p w:rsidR="00DE65D5" w14:paraId="2D3A7392" w14:textId="63CF1FB5">
      <w:pPr>
        <w:widowControl/>
        <w:suppressAutoHyphens w:val="0"/>
        <w:spacing w:after="160" w:line="259" w:lineRule="auto"/>
        <w:rPr>
          <w:b/>
          <w:bCs/>
          <w:kern w:val="24"/>
        </w:rPr>
      </w:pPr>
    </w:p>
    <w:p w:rsidR="000620BD" w:rsidP="00EA0E3D" w14:paraId="78870EA2" w14:textId="77777777">
      <w:pPr>
        <w:spacing w:after="120"/>
        <w:rPr>
          <w:b/>
          <w:bCs/>
          <w:kern w:val="24"/>
        </w:rPr>
      </w:pPr>
    </w:p>
    <w:p w:rsidR="000620BD" w:rsidP="00EA0E3D" w14:paraId="4AF3A347" w14:textId="77777777">
      <w:pPr>
        <w:spacing w:after="120"/>
        <w:rPr>
          <w:b/>
          <w:bCs/>
          <w:kern w:val="24"/>
        </w:rPr>
      </w:pPr>
    </w:p>
    <w:p w:rsidR="004E698A" w:rsidRPr="004E698A" w:rsidP="00EA0E3D" w14:paraId="72EC7941" w14:textId="704966A4">
      <w:pPr>
        <w:spacing w:after="120"/>
        <w:rPr>
          <w:b/>
          <w:bCs/>
          <w:kern w:val="24"/>
        </w:rPr>
      </w:pPr>
      <w:r w:rsidRPr="004E698A">
        <w:rPr>
          <w:b/>
          <w:bCs/>
          <w:kern w:val="24"/>
        </w:rPr>
        <w:t>EMERGENCY JUSTIFICATION</w:t>
      </w:r>
    </w:p>
    <w:p w:rsidR="0062235C" w:rsidP="00EA0E3D" w14:paraId="71FCBF92" w14:textId="0EE1D64C">
      <w:pPr>
        <w:rPr>
          <w:kern w:val="24"/>
        </w:rPr>
      </w:pPr>
      <w:r w:rsidRPr="00666CCB">
        <w:rPr>
          <w:kern w:val="24"/>
        </w:rPr>
        <w:t xml:space="preserve">ACF is requesting emergency review and approval by OMB to update two forms approved under the Placement and Transfer of Unaccompanied </w:t>
      </w:r>
      <w:r w:rsidR="00E745DF">
        <w:rPr>
          <w:kern w:val="24"/>
        </w:rPr>
        <w:t xml:space="preserve">[Alien] </w:t>
      </w:r>
      <w:r w:rsidRPr="00666CCB">
        <w:rPr>
          <w:kern w:val="24"/>
        </w:rPr>
        <w:t>Children into ORR Care Provider Facilities information collection (OMB #0970-0554), as authorized under </w:t>
      </w:r>
      <w:r w:rsidRPr="005C590B" w:rsidR="005C590B">
        <w:rPr>
          <w:kern w:val="24"/>
        </w:rPr>
        <w:t>5 CFR 1320.13</w:t>
      </w:r>
      <w:r w:rsidRPr="00666CCB">
        <w:rPr>
          <w:kern w:val="24"/>
        </w:rPr>
        <w:t>. </w:t>
      </w:r>
      <w:r w:rsidR="00F0422B">
        <w:rPr>
          <w:kern w:val="24"/>
        </w:rPr>
        <w:t xml:space="preserve"> </w:t>
      </w:r>
      <w:r w:rsidRPr="00F0422B" w:rsidR="00F0422B">
        <w:rPr>
          <w:kern w:val="24"/>
        </w:rPr>
        <w:t>ACF is requesting approval as soon as possible due to secure beds becoming available on September 15, 2025</w:t>
      </w:r>
      <w:r w:rsidR="00864E0F">
        <w:rPr>
          <w:kern w:val="24"/>
        </w:rPr>
        <w:t>,</w:t>
      </w:r>
      <w:r w:rsidRPr="00F0422B" w:rsidR="00F0422B">
        <w:rPr>
          <w:kern w:val="24"/>
        </w:rPr>
        <w:t xml:space="preserve"> and requests 180 days of approval, during which time a full revision request will be submitted under normal procedures under the Paperwork Reduction Act.</w:t>
      </w:r>
      <w:r w:rsidR="00F0422B">
        <w:rPr>
          <w:kern w:val="24"/>
        </w:rPr>
        <w:t xml:space="preserve"> </w:t>
      </w:r>
    </w:p>
    <w:p w:rsidR="0062235C" w:rsidP="00EA0E3D" w14:paraId="3CA2BB72" w14:textId="77777777">
      <w:pPr>
        <w:rPr>
          <w:kern w:val="24"/>
        </w:rPr>
      </w:pPr>
    </w:p>
    <w:p w:rsidR="005C590B" w:rsidP="00EA0E3D" w14:paraId="41437C5B" w14:textId="461A7645">
      <w:pPr>
        <w:rPr>
          <w:kern w:val="24"/>
        </w:rPr>
      </w:pPr>
      <w:r w:rsidRPr="00666CCB">
        <w:rPr>
          <w:kern w:val="24"/>
        </w:rPr>
        <w:t xml:space="preserve">The information collection is </w:t>
      </w:r>
      <w:r w:rsidRPr="006C0631">
        <w:rPr>
          <w:b/>
          <w:bCs/>
          <w:kern w:val="24"/>
          <w:u w:val="single"/>
        </w:rPr>
        <w:t>essential to the mission of the agency</w:t>
      </w:r>
      <w:r w:rsidR="00F0422B">
        <w:rPr>
          <w:b/>
          <w:bCs/>
          <w:kern w:val="24"/>
          <w:u w:val="single"/>
        </w:rPr>
        <w:t xml:space="preserve">, </w:t>
      </w:r>
      <w:r w:rsidR="00F0422B">
        <w:rPr>
          <w:kern w:val="24"/>
        </w:rPr>
        <w:t xml:space="preserve">the </w:t>
      </w:r>
      <w:r w:rsidRPr="0070000D" w:rsidR="00F0422B">
        <w:rPr>
          <w:b/>
          <w:bCs/>
          <w:kern w:val="24"/>
          <w:u w:val="single"/>
        </w:rPr>
        <w:t>use of normal clearance procedures is reasonably likely to prevent or disrupt the collection of information</w:t>
      </w:r>
      <w:r w:rsidR="00F0422B">
        <w:rPr>
          <w:kern w:val="24"/>
        </w:rPr>
        <w:t xml:space="preserve">, and </w:t>
      </w:r>
      <w:r w:rsidRPr="006C0631">
        <w:rPr>
          <w:b/>
          <w:bCs/>
          <w:kern w:val="24"/>
          <w:u w:val="single"/>
        </w:rPr>
        <w:t>public harm is reasonably likely to result</w:t>
      </w:r>
      <w:r w:rsidRPr="006C0631">
        <w:rPr>
          <w:kern w:val="24"/>
          <w:u w:val="single"/>
        </w:rPr>
        <w:t xml:space="preserve"> </w:t>
      </w:r>
      <w:r w:rsidRPr="006C0631">
        <w:rPr>
          <w:b/>
          <w:bCs/>
          <w:kern w:val="24"/>
          <w:u w:val="single"/>
        </w:rPr>
        <w:t>if normal clearance procedures are followed</w:t>
      </w:r>
      <w:r>
        <w:rPr>
          <w:kern w:val="24"/>
        </w:rPr>
        <w:t>.</w:t>
      </w:r>
    </w:p>
    <w:p w:rsidR="005C590B" w:rsidP="00EA0E3D" w14:paraId="37E85CDC" w14:textId="77777777">
      <w:pPr>
        <w:rPr>
          <w:kern w:val="24"/>
        </w:rPr>
      </w:pPr>
    </w:p>
    <w:p w:rsidR="005C590B" w:rsidRPr="007C1F78" w:rsidP="00EA0E3D" w14:paraId="735C88F5" w14:textId="7131865E">
      <w:pPr>
        <w:spacing w:after="60"/>
        <w:rPr>
          <w:i/>
          <w:iCs/>
          <w:kern w:val="24"/>
        </w:rPr>
      </w:pPr>
      <w:r w:rsidRPr="79AE3060">
        <w:rPr>
          <w:i/>
          <w:iCs/>
        </w:rPr>
        <w:t>Essential to Mission</w:t>
      </w:r>
    </w:p>
    <w:p w:rsidR="003114CA" w:rsidP="00C70855" w14:paraId="2E54293B" w14:textId="007F76AF">
      <w:pPr>
        <w:spacing w:after="60"/>
        <w:rPr>
          <w:kern w:val="24"/>
        </w:rPr>
      </w:pPr>
      <w:r w:rsidRPr="00666CCB">
        <w:rPr>
          <w:kern w:val="24"/>
        </w:rPr>
        <w:t xml:space="preserve">The forms are necessary </w:t>
      </w:r>
      <w:r w:rsidR="005C590B">
        <w:rPr>
          <w:kern w:val="24"/>
        </w:rPr>
        <w:t>and essential to the agency</w:t>
      </w:r>
      <w:r w:rsidR="00DF7E5B">
        <w:rPr>
          <w:kern w:val="24"/>
        </w:rPr>
        <w:t>,</w:t>
      </w:r>
      <w:r w:rsidR="005C590B">
        <w:rPr>
          <w:kern w:val="24"/>
        </w:rPr>
        <w:t xml:space="preserve"> as they will</w:t>
      </w:r>
      <w:r w:rsidR="00385D6F">
        <w:rPr>
          <w:kern w:val="24"/>
        </w:rPr>
        <w:t xml:space="preserve"> e</w:t>
      </w:r>
      <w:r w:rsidR="0062235C">
        <w:rPr>
          <w:kern w:val="24"/>
        </w:rPr>
        <w:t xml:space="preserve">nsure </w:t>
      </w:r>
      <w:r w:rsidR="00E64BBA">
        <w:rPr>
          <w:kern w:val="24"/>
        </w:rPr>
        <w:t xml:space="preserve">that </w:t>
      </w:r>
      <w:r w:rsidRPr="004E698A" w:rsidR="006C0631">
        <w:t>the Office of Refugee Resettlement (</w:t>
      </w:r>
      <w:r>
        <w:rPr>
          <w:kern w:val="24"/>
        </w:rPr>
        <w:t>ORR</w:t>
      </w:r>
      <w:r w:rsidR="006C0631">
        <w:rPr>
          <w:kern w:val="24"/>
        </w:rPr>
        <w:t>)</w:t>
      </w:r>
      <w:r>
        <w:rPr>
          <w:kern w:val="24"/>
        </w:rPr>
        <w:t xml:space="preserve"> is able to </w:t>
      </w:r>
      <w:r w:rsidR="002A2A93">
        <w:rPr>
          <w:kern w:val="24"/>
        </w:rPr>
        <w:t>comply with</w:t>
      </w:r>
      <w:r>
        <w:rPr>
          <w:kern w:val="24"/>
        </w:rPr>
        <w:t xml:space="preserve"> the following statutory mandates</w:t>
      </w:r>
      <w:r w:rsidR="00C85945">
        <w:rPr>
          <w:kern w:val="24"/>
        </w:rPr>
        <w:t xml:space="preserve"> </w:t>
      </w:r>
      <w:r w:rsidR="003A3360">
        <w:rPr>
          <w:kern w:val="24"/>
        </w:rPr>
        <w:t xml:space="preserve">from the </w:t>
      </w:r>
      <w:r w:rsidR="0045205C">
        <w:rPr>
          <w:kern w:val="24"/>
        </w:rPr>
        <w:t>Trafficking Victims Protection Reauthorization Act</w:t>
      </w:r>
      <w:r w:rsidR="000159E3">
        <w:rPr>
          <w:kern w:val="24"/>
        </w:rPr>
        <w:t xml:space="preserve"> (TVPRA)</w:t>
      </w:r>
      <w:r w:rsidR="0045205C">
        <w:rPr>
          <w:kern w:val="24"/>
        </w:rPr>
        <w:t xml:space="preserve">, </w:t>
      </w:r>
      <w:hyperlink r:id="rId8" w:history="1">
        <w:r w:rsidRPr="003114CA" w:rsidR="00C85945">
          <w:rPr>
            <w:rStyle w:val="Hyperlink"/>
            <w:kern w:val="24"/>
          </w:rPr>
          <w:t>8 U.S.C. § 1232(c)(2)(A)</w:t>
        </w:r>
      </w:hyperlink>
      <w:r w:rsidR="005C590B">
        <w:rPr>
          <w:kern w:val="24"/>
        </w:rPr>
        <w:t>, which support the mission of the agency</w:t>
      </w:r>
      <w:r>
        <w:rPr>
          <w:kern w:val="24"/>
        </w:rPr>
        <w:t>:</w:t>
      </w:r>
    </w:p>
    <w:p w:rsidR="0062235C" w:rsidP="00C70855" w14:paraId="2D2FBF2C" w14:textId="2D5A9023">
      <w:pPr>
        <w:pStyle w:val="ListParagraph"/>
        <w:numPr>
          <w:ilvl w:val="0"/>
          <w:numId w:val="37"/>
        </w:numPr>
        <w:spacing w:after="60"/>
        <w:contextualSpacing w:val="0"/>
        <w:rPr>
          <w:kern w:val="24"/>
        </w:rPr>
      </w:pPr>
      <w:r>
        <w:rPr>
          <w:kern w:val="24"/>
        </w:rPr>
        <w:t>C</w:t>
      </w:r>
      <w:r w:rsidRPr="003114CA" w:rsidR="00E64BBA">
        <w:rPr>
          <w:kern w:val="24"/>
        </w:rPr>
        <w:t xml:space="preserve">hildren </w:t>
      </w:r>
      <w:r w:rsidR="00C85945">
        <w:rPr>
          <w:kern w:val="24"/>
        </w:rPr>
        <w:t>must be</w:t>
      </w:r>
      <w:r w:rsidRPr="003114CA" w:rsidR="00E64BBA">
        <w:rPr>
          <w:kern w:val="24"/>
        </w:rPr>
        <w:t xml:space="preserve"> </w:t>
      </w:r>
      <w:r w:rsidR="00C85945">
        <w:rPr>
          <w:kern w:val="24"/>
        </w:rPr>
        <w:t xml:space="preserve">promptly </w:t>
      </w:r>
      <w:r w:rsidRPr="003114CA" w:rsidR="00E64BBA">
        <w:rPr>
          <w:kern w:val="24"/>
        </w:rPr>
        <w:t xml:space="preserve">placed in the least restrictive setting that </w:t>
      </w:r>
      <w:r w:rsidRPr="003114CA" w:rsidR="001041F4">
        <w:rPr>
          <w:kern w:val="24"/>
        </w:rPr>
        <w:t>is in the best interest of the child</w:t>
      </w:r>
      <w:r w:rsidR="008673C3">
        <w:rPr>
          <w:kern w:val="24"/>
        </w:rPr>
        <w:t>.</w:t>
      </w:r>
    </w:p>
    <w:p w:rsidR="003114CA" w:rsidP="00C70855" w14:paraId="7FCA6985" w14:textId="065863D6">
      <w:pPr>
        <w:pStyle w:val="ListParagraph"/>
        <w:numPr>
          <w:ilvl w:val="0"/>
          <w:numId w:val="37"/>
        </w:numPr>
        <w:spacing w:after="60"/>
        <w:contextualSpacing w:val="0"/>
        <w:rPr>
          <w:kern w:val="24"/>
        </w:rPr>
      </w:pPr>
      <w:r>
        <w:rPr>
          <w:kern w:val="24"/>
        </w:rPr>
        <w:t>Children must</w:t>
      </w:r>
      <w:r w:rsidRPr="00EE62CD">
        <w:rPr>
          <w:kern w:val="24"/>
        </w:rPr>
        <w:t xml:space="preserve"> not be placed in a secure facility absent a determination that the child poses a danger to self or others or has been charged with having committed a criminal offense</w:t>
      </w:r>
      <w:r w:rsidR="008673C3">
        <w:rPr>
          <w:kern w:val="24"/>
        </w:rPr>
        <w:t>.</w:t>
      </w:r>
    </w:p>
    <w:p w:rsidR="009251C0" w:rsidRPr="003114CA" w:rsidP="00EA0E3D" w14:paraId="3103D564" w14:textId="07FAC969">
      <w:pPr>
        <w:pStyle w:val="ListParagraph"/>
        <w:numPr>
          <w:ilvl w:val="0"/>
          <w:numId w:val="37"/>
        </w:numPr>
        <w:rPr>
          <w:kern w:val="24"/>
        </w:rPr>
      </w:pPr>
      <w:r>
        <w:rPr>
          <w:kern w:val="24"/>
        </w:rPr>
        <w:t>P</w:t>
      </w:r>
      <w:r w:rsidRPr="00A5018D">
        <w:rPr>
          <w:kern w:val="24"/>
        </w:rPr>
        <w:t xml:space="preserve">lacement of a child in a secure facility </w:t>
      </w:r>
      <w:r>
        <w:rPr>
          <w:kern w:val="24"/>
        </w:rPr>
        <w:t>must</w:t>
      </w:r>
      <w:r w:rsidRPr="00A5018D">
        <w:rPr>
          <w:kern w:val="24"/>
        </w:rPr>
        <w:t xml:space="preserve"> be reviewed, at a minimum, on a monthly basis</w:t>
      </w:r>
      <w:r w:rsidR="008673C3">
        <w:rPr>
          <w:kern w:val="24"/>
        </w:rPr>
        <w:t>.</w:t>
      </w:r>
    </w:p>
    <w:p w:rsidR="00EE5A08" w:rsidP="00EA0E3D" w14:paraId="32F7439A" w14:textId="77777777">
      <w:pPr>
        <w:rPr>
          <w:kern w:val="24"/>
        </w:rPr>
      </w:pPr>
    </w:p>
    <w:p w:rsidR="00896CB8" w:rsidP="00C70855" w14:paraId="06A010C7" w14:textId="494D2BF8">
      <w:pPr>
        <w:spacing w:after="60"/>
        <w:rPr>
          <w:kern w:val="24"/>
        </w:rPr>
      </w:pPr>
      <w:r>
        <w:rPr>
          <w:kern w:val="24"/>
        </w:rPr>
        <w:t>The forms are also necessary and essential to the agency being able to comply with mandates from t</w:t>
      </w:r>
      <w:r w:rsidR="00AD2F11">
        <w:rPr>
          <w:kern w:val="24"/>
        </w:rPr>
        <w:t>he Homeland Security Act</w:t>
      </w:r>
      <w:r>
        <w:rPr>
          <w:kern w:val="24"/>
        </w:rPr>
        <w:t xml:space="preserve"> (HSA) of 2002, 6 U.S.C. 279</w:t>
      </w:r>
      <w:r w:rsidR="00D579E5">
        <w:rPr>
          <w:kern w:val="24"/>
        </w:rPr>
        <w:t>(b)</w:t>
      </w:r>
      <w:r>
        <w:rPr>
          <w:kern w:val="24"/>
        </w:rPr>
        <w:t xml:space="preserve">, which </w:t>
      </w:r>
      <w:r>
        <w:rPr>
          <w:kern w:val="24"/>
        </w:rPr>
        <w:t>requires ORR</w:t>
      </w:r>
      <w:r>
        <w:rPr>
          <w:kern w:val="24"/>
        </w:rPr>
        <w:t xml:space="preserve"> to</w:t>
      </w:r>
      <w:r>
        <w:rPr>
          <w:kern w:val="24"/>
        </w:rPr>
        <w:t>:</w:t>
      </w:r>
    </w:p>
    <w:p w:rsidR="00896CB8" w:rsidP="00C70855" w14:paraId="1435A223" w14:textId="15DF9C10">
      <w:pPr>
        <w:pStyle w:val="ListParagraph"/>
        <w:numPr>
          <w:ilvl w:val="0"/>
          <w:numId w:val="38"/>
        </w:numPr>
        <w:spacing w:after="60"/>
        <w:contextualSpacing w:val="0"/>
        <w:rPr>
          <w:kern w:val="24"/>
        </w:rPr>
      </w:pPr>
      <w:r>
        <w:rPr>
          <w:kern w:val="24"/>
        </w:rPr>
        <w:t>Ensure</w:t>
      </w:r>
      <w:r w:rsidRPr="007A142B">
        <w:rPr>
          <w:kern w:val="24"/>
        </w:rPr>
        <w:t xml:space="preserve"> that the interests of the child are considered</w:t>
      </w:r>
      <w:r>
        <w:rPr>
          <w:kern w:val="24"/>
        </w:rPr>
        <w:t xml:space="preserve"> </w:t>
      </w:r>
      <w:r w:rsidRPr="007A142B">
        <w:rPr>
          <w:kern w:val="24"/>
        </w:rPr>
        <w:t>in decisions and actions relating to the care and</w:t>
      </w:r>
      <w:r>
        <w:rPr>
          <w:kern w:val="24"/>
        </w:rPr>
        <w:t xml:space="preserve"> </w:t>
      </w:r>
      <w:r w:rsidRPr="007A142B">
        <w:rPr>
          <w:kern w:val="24"/>
        </w:rPr>
        <w:t>custody of an unaccompanied alien child</w:t>
      </w:r>
      <w:r>
        <w:rPr>
          <w:kern w:val="24"/>
        </w:rPr>
        <w:t>.</w:t>
      </w:r>
    </w:p>
    <w:p w:rsidR="007A142B" w:rsidP="00C70855" w14:paraId="1F1D3A95" w14:textId="253B7A2E">
      <w:pPr>
        <w:pStyle w:val="ListParagraph"/>
        <w:numPr>
          <w:ilvl w:val="0"/>
          <w:numId w:val="38"/>
        </w:numPr>
        <w:spacing w:after="60"/>
        <w:contextualSpacing w:val="0"/>
        <w:rPr>
          <w:kern w:val="24"/>
        </w:rPr>
      </w:pPr>
      <w:r>
        <w:rPr>
          <w:kern w:val="24"/>
        </w:rPr>
        <w:t>Provide children with an explanation for the basis of their placement.</w:t>
      </w:r>
    </w:p>
    <w:p w:rsidR="003768A1" w:rsidRPr="00261249" w:rsidP="00EA0E3D" w14:paraId="0A2F2F0D" w14:textId="75AB7869">
      <w:pPr>
        <w:pStyle w:val="ListParagraph"/>
        <w:numPr>
          <w:ilvl w:val="0"/>
          <w:numId w:val="38"/>
        </w:numPr>
      </w:pPr>
      <w:r>
        <w:t xml:space="preserve">Ensure that children are </w:t>
      </w:r>
      <w:r w:rsidRPr="0051304B">
        <w:t>placed in a setting in which they are</w:t>
      </w:r>
      <w:r>
        <w:t xml:space="preserve"> </w:t>
      </w:r>
      <w:r w:rsidRPr="0051304B">
        <w:t>not likely to pose a danger to themselves or others</w:t>
      </w:r>
      <w:r>
        <w:t>.</w:t>
      </w:r>
    </w:p>
    <w:p w:rsidR="00AD2F11" w:rsidP="00EA0E3D" w14:paraId="4675AA33" w14:textId="77777777">
      <w:pPr>
        <w:rPr>
          <w:kern w:val="24"/>
        </w:rPr>
      </w:pPr>
    </w:p>
    <w:p w:rsidR="00D5164C" w:rsidP="00EA0E3D" w14:paraId="5E614890" w14:textId="3582E289">
      <w:pPr>
        <w:rPr>
          <w:kern w:val="24"/>
        </w:rPr>
      </w:pPr>
      <w:r>
        <w:rPr>
          <w:kern w:val="24"/>
        </w:rPr>
        <w:t xml:space="preserve">Notably, the </w:t>
      </w:r>
      <w:r w:rsidRPr="00D5164C">
        <w:rPr>
          <w:i/>
          <w:iCs/>
          <w:kern w:val="24"/>
        </w:rPr>
        <w:t xml:space="preserve">Lucas R. </w:t>
      </w:r>
      <w:r w:rsidRPr="00D5164C">
        <w:rPr>
          <w:kern w:val="24"/>
        </w:rPr>
        <w:t xml:space="preserve">Disabilities Settlement Agreement and Psychotropic Medication Settlement Agreement </w:t>
      </w:r>
      <w:r>
        <w:rPr>
          <w:kern w:val="24"/>
        </w:rPr>
        <w:t xml:space="preserve">mandate specific placement procedures and criteria </w:t>
      </w:r>
      <w:r w:rsidR="00AC202B">
        <w:rPr>
          <w:kern w:val="24"/>
        </w:rPr>
        <w:t xml:space="preserve">for children with disabilities </w:t>
      </w:r>
      <w:r w:rsidR="00DE58E3">
        <w:rPr>
          <w:kern w:val="24"/>
        </w:rPr>
        <w:t>and children receiving psychotropic medications</w:t>
      </w:r>
      <w:r w:rsidR="00AC202B">
        <w:rPr>
          <w:kern w:val="24"/>
        </w:rPr>
        <w:t xml:space="preserve"> that are also essential to ORR’s mission. </w:t>
      </w:r>
      <w:r w:rsidRPr="00D52663" w:rsidR="00D52663">
        <w:rPr>
          <w:i/>
          <w:iCs/>
          <w:kern w:val="24"/>
        </w:rPr>
        <w:t>Lucas R. v. Azar</w:t>
      </w:r>
      <w:r w:rsidRPr="00D52663" w:rsidR="00D52663">
        <w:rPr>
          <w:kern w:val="24"/>
        </w:rPr>
        <w:t xml:space="preserve">, Case No. 2:18-CV-05741-DMG (W.D. Cal. </w:t>
      </w:r>
      <w:r w:rsidR="00010324">
        <w:rPr>
          <w:kern w:val="24"/>
        </w:rPr>
        <w:t>May 3, 2024</w:t>
      </w:r>
      <w:r w:rsidRPr="00D52663" w:rsidR="00D52663">
        <w:rPr>
          <w:kern w:val="24"/>
        </w:rPr>
        <w:t>)</w:t>
      </w:r>
      <w:r w:rsidR="00D52663">
        <w:rPr>
          <w:kern w:val="24"/>
        </w:rPr>
        <w:t>.</w:t>
      </w:r>
      <w:r w:rsidRPr="00D52663" w:rsidR="00D52663">
        <w:rPr>
          <w:kern w:val="24"/>
        </w:rPr>
        <w:t xml:space="preserve"> </w:t>
      </w:r>
      <w:r w:rsidR="00AC202B">
        <w:rPr>
          <w:kern w:val="24"/>
        </w:rPr>
        <w:t xml:space="preserve">Similarly, </w:t>
      </w:r>
      <w:r w:rsidR="002860F4">
        <w:rPr>
          <w:kern w:val="24"/>
        </w:rPr>
        <w:t xml:space="preserve">ORR is still </w:t>
      </w:r>
      <w:r w:rsidR="00240D9B">
        <w:rPr>
          <w:kern w:val="24"/>
        </w:rPr>
        <w:t xml:space="preserve">bound to parts of the </w:t>
      </w:r>
      <w:r w:rsidRPr="00565292" w:rsidR="00240D9B">
        <w:rPr>
          <w:i/>
          <w:iCs/>
          <w:kern w:val="24"/>
        </w:rPr>
        <w:t>Flores</w:t>
      </w:r>
      <w:r w:rsidR="00240D9B">
        <w:rPr>
          <w:kern w:val="24"/>
        </w:rPr>
        <w:t xml:space="preserve"> Settlement Agreement</w:t>
      </w:r>
      <w:r w:rsidR="009C7312">
        <w:rPr>
          <w:kern w:val="24"/>
        </w:rPr>
        <w:t xml:space="preserve"> </w:t>
      </w:r>
      <w:r w:rsidR="00242E06">
        <w:rPr>
          <w:kern w:val="24"/>
        </w:rPr>
        <w:t>that govern how ORR places</w:t>
      </w:r>
      <w:r w:rsidR="00E965EF">
        <w:rPr>
          <w:kern w:val="24"/>
        </w:rPr>
        <w:t xml:space="preserve"> and supports children in secure facilities, heightened </w:t>
      </w:r>
      <w:r w:rsidR="00F7048D">
        <w:rPr>
          <w:kern w:val="24"/>
        </w:rPr>
        <w:t xml:space="preserve">supervision facilities, and out-of-network facilities. </w:t>
      </w:r>
      <w:r w:rsidRPr="009C7312" w:rsidR="009C7312">
        <w:rPr>
          <w:i/>
          <w:iCs/>
          <w:kern w:val="24"/>
        </w:rPr>
        <w:t>Flores v. Bondi</w:t>
      </w:r>
      <w:r w:rsidRPr="009C7312" w:rsidR="009C7312">
        <w:rPr>
          <w:kern w:val="24"/>
        </w:rPr>
        <w:t>, No. 2:85-cv-04544-DMG (C.D. Cal. Aug. 15, 2025).</w:t>
      </w:r>
      <w:r w:rsidR="00D63918">
        <w:rPr>
          <w:kern w:val="24"/>
        </w:rPr>
        <w:t xml:space="preserve"> It is essential to ORR’s mission that the agency </w:t>
      </w:r>
      <w:r w:rsidR="00D72AA3">
        <w:rPr>
          <w:kern w:val="24"/>
        </w:rPr>
        <w:t xml:space="preserve">is able to </w:t>
      </w:r>
      <w:r w:rsidR="00D63918">
        <w:rPr>
          <w:kern w:val="24"/>
        </w:rPr>
        <w:t xml:space="preserve">comply with these settlement agreements </w:t>
      </w:r>
      <w:r w:rsidR="00F727B0">
        <w:rPr>
          <w:kern w:val="24"/>
        </w:rPr>
        <w:t>because they are</w:t>
      </w:r>
      <w:r w:rsidR="001122F9">
        <w:rPr>
          <w:kern w:val="24"/>
        </w:rPr>
        <w:t xml:space="preserve"> based on </w:t>
      </w:r>
      <w:r w:rsidR="00D732FA">
        <w:rPr>
          <w:kern w:val="24"/>
        </w:rPr>
        <w:t xml:space="preserve">the statutory mandates </w:t>
      </w:r>
      <w:r w:rsidR="00D72AA3">
        <w:rPr>
          <w:kern w:val="24"/>
        </w:rPr>
        <w:t xml:space="preserve">that govern how ORR </w:t>
      </w:r>
      <w:r w:rsidR="000F7C54">
        <w:rPr>
          <w:kern w:val="24"/>
        </w:rPr>
        <w:t>must</w:t>
      </w:r>
      <w:r w:rsidR="00D72AA3">
        <w:rPr>
          <w:kern w:val="24"/>
        </w:rPr>
        <w:t xml:space="preserve"> make placements of UAC in its care and custody.</w:t>
      </w:r>
    </w:p>
    <w:p w:rsidR="00D5164C" w:rsidP="00EA0E3D" w14:paraId="087F9F74" w14:textId="77777777">
      <w:pPr>
        <w:rPr>
          <w:kern w:val="24"/>
        </w:rPr>
      </w:pPr>
    </w:p>
    <w:p w:rsidR="009932BE" w:rsidP="00EA0E3D" w14:paraId="254BA59A" w14:textId="77777777">
      <w:pPr>
        <w:rPr>
          <w:kern w:val="24"/>
        </w:rPr>
      </w:pPr>
      <w:r>
        <w:rPr>
          <w:kern w:val="24"/>
        </w:rPr>
        <w:t>ORR recently published a regulation (</w:t>
      </w:r>
      <w:hyperlink r:id="rId9" w:history="1">
        <w:r w:rsidRPr="005804BB" w:rsidR="005804BB">
          <w:rPr>
            <w:rStyle w:val="Hyperlink"/>
            <w:kern w:val="24"/>
          </w:rPr>
          <w:t>45 CFR Part 410</w:t>
        </w:r>
      </w:hyperlink>
      <w:r w:rsidR="00F67326">
        <w:rPr>
          <w:rStyle w:val="Hyperlink"/>
          <w:kern w:val="24"/>
        </w:rPr>
        <w:t>, “Foundational Rule”</w:t>
      </w:r>
      <w:r w:rsidR="00590560">
        <w:rPr>
          <w:kern w:val="24"/>
        </w:rPr>
        <w:t>)</w:t>
      </w:r>
      <w:r w:rsidR="00F2770C">
        <w:rPr>
          <w:kern w:val="24"/>
        </w:rPr>
        <w:t xml:space="preserve"> </w:t>
      </w:r>
      <w:r w:rsidR="00156279">
        <w:rPr>
          <w:kern w:val="24"/>
        </w:rPr>
        <w:t xml:space="preserve">that includes </w:t>
      </w:r>
      <w:r w:rsidR="00E60BFF">
        <w:rPr>
          <w:kern w:val="24"/>
        </w:rPr>
        <w:t xml:space="preserve">updated </w:t>
      </w:r>
      <w:r w:rsidR="00156279">
        <w:rPr>
          <w:kern w:val="24"/>
        </w:rPr>
        <w:t xml:space="preserve">criteria </w:t>
      </w:r>
      <w:r w:rsidR="00E8607D">
        <w:rPr>
          <w:kern w:val="24"/>
        </w:rPr>
        <w:t xml:space="preserve">that </w:t>
      </w:r>
      <w:r w:rsidR="0096345A">
        <w:rPr>
          <w:kern w:val="24"/>
        </w:rPr>
        <w:t xml:space="preserve">ORR and care provider staff must use </w:t>
      </w:r>
      <w:r w:rsidR="002B1B05">
        <w:rPr>
          <w:kern w:val="24"/>
        </w:rPr>
        <w:t xml:space="preserve">when determining whether it is permissible to place </w:t>
      </w:r>
      <w:r w:rsidR="008851B4">
        <w:rPr>
          <w:kern w:val="24"/>
        </w:rPr>
        <w:t>UAC</w:t>
      </w:r>
      <w:r w:rsidR="002B1B05">
        <w:rPr>
          <w:kern w:val="24"/>
        </w:rPr>
        <w:t xml:space="preserve"> in a restrictive setting.</w:t>
      </w:r>
      <w:r w:rsidR="002E21D7">
        <w:rPr>
          <w:kern w:val="24"/>
        </w:rPr>
        <w:t xml:space="preserve"> </w:t>
      </w:r>
      <w:r w:rsidR="00FD722C">
        <w:rPr>
          <w:kern w:val="24"/>
        </w:rPr>
        <w:t xml:space="preserve">The </w:t>
      </w:r>
      <w:r w:rsidR="0012554C">
        <w:rPr>
          <w:kern w:val="24"/>
        </w:rPr>
        <w:t xml:space="preserve">placement </w:t>
      </w:r>
      <w:r w:rsidR="00FD722C">
        <w:rPr>
          <w:kern w:val="24"/>
        </w:rPr>
        <w:t xml:space="preserve">criteria </w:t>
      </w:r>
      <w:r w:rsidR="0012554C">
        <w:rPr>
          <w:kern w:val="24"/>
        </w:rPr>
        <w:t>are also located</w:t>
      </w:r>
      <w:r w:rsidR="001259DE">
        <w:rPr>
          <w:kern w:val="24"/>
        </w:rPr>
        <w:t xml:space="preserve"> in ORR’s Intakes Restrictive </w:t>
      </w:r>
      <w:r w:rsidR="001259DE">
        <w:rPr>
          <w:kern w:val="24"/>
        </w:rPr>
        <w:t>Placement Checklist and Notice of Placement in a Restrictive Setting forms</w:t>
      </w:r>
      <w:r w:rsidR="003522E6">
        <w:rPr>
          <w:kern w:val="24"/>
        </w:rPr>
        <w:t>, the focus of this request</w:t>
      </w:r>
      <w:r w:rsidR="001259DE">
        <w:rPr>
          <w:kern w:val="24"/>
        </w:rPr>
        <w:t xml:space="preserve">. </w:t>
      </w:r>
      <w:r w:rsidR="00835A64">
        <w:rPr>
          <w:kern w:val="24"/>
        </w:rPr>
        <w:t xml:space="preserve">These two </w:t>
      </w:r>
      <w:r w:rsidR="00A67500">
        <w:rPr>
          <w:kern w:val="24"/>
        </w:rPr>
        <w:t>critical documents</w:t>
      </w:r>
      <w:r w:rsidR="00835A64">
        <w:rPr>
          <w:kern w:val="24"/>
        </w:rPr>
        <w:t xml:space="preserve"> are the </w:t>
      </w:r>
      <w:r w:rsidR="00180C86">
        <w:rPr>
          <w:kern w:val="24"/>
        </w:rPr>
        <w:t>primary instrument</w:t>
      </w:r>
      <w:r w:rsidR="002C395D">
        <w:rPr>
          <w:kern w:val="24"/>
        </w:rPr>
        <w:t>s</w:t>
      </w:r>
      <w:r w:rsidR="00180C86">
        <w:rPr>
          <w:kern w:val="24"/>
        </w:rPr>
        <w:t xml:space="preserve"> ORR utilizes to </w:t>
      </w:r>
      <w:r w:rsidR="002C395D">
        <w:rPr>
          <w:kern w:val="24"/>
        </w:rPr>
        <w:t xml:space="preserve">operationalize </w:t>
      </w:r>
      <w:r w:rsidR="001F798B">
        <w:rPr>
          <w:kern w:val="24"/>
        </w:rPr>
        <w:t>its</w:t>
      </w:r>
      <w:r w:rsidR="002C395D">
        <w:rPr>
          <w:kern w:val="24"/>
        </w:rPr>
        <w:t xml:space="preserve"> statutory and regulatory mandates </w:t>
      </w:r>
      <w:r w:rsidR="00B719A9">
        <w:rPr>
          <w:kern w:val="24"/>
        </w:rPr>
        <w:t>that govern the placement of</w:t>
      </w:r>
      <w:r w:rsidR="00180C86">
        <w:rPr>
          <w:kern w:val="24"/>
        </w:rPr>
        <w:t xml:space="preserve"> </w:t>
      </w:r>
      <w:r w:rsidR="008851B4">
        <w:rPr>
          <w:kern w:val="24"/>
        </w:rPr>
        <w:t>UA</w:t>
      </w:r>
      <w:r w:rsidR="00B719A9">
        <w:rPr>
          <w:kern w:val="24"/>
        </w:rPr>
        <w:t>C</w:t>
      </w:r>
      <w:r w:rsidR="00273728">
        <w:rPr>
          <w:kern w:val="24"/>
        </w:rPr>
        <w:t xml:space="preserve"> in restrictive settings</w:t>
      </w:r>
      <w:r w:rsidR="00440F4F">
        <w:rPr>
          <w:kern w:val="24"/>
        </w:rPr>
        <w:t>, as well as to</w:t>
      </w:r>
      <w:r w:rsidR="00B41624">
        <w:rPr>
          <w:kern w:val="24"/>
        </w:rPr>
        <w:t xml:space="preserve"> comply with court-ordered settlement agreements</w:t>
      </w:r>
      <w:r w:rsidR="00273728">
        <w:rPr>
          <w:kern w:val="24"/>
        </w:rPr>
        <w:t xml:space="preserve"> </w:t>
      </w:r>
      <w:r w:rsidR="00440F4F">
        <w:rPr>
          <w:kern w:val="24"/>
        </w:rPr>
        <w:t xml:space="preserve">that apply to </w:t>
      </w:r>
      <w:r w:rsidR="00F36BE3">
        <w:rPr>
          <w:kern w:val="24"/>
        </w:rPr>
        <w:t>those settings</w:t>
      </w:r>
      <w:r w:rsidR="00B41624">
        <w:rPr>
          <w:kern w:val="24"/>
        </w:rPr>
        <w:t>.</w:t>
      </w:r>
      <w:r w:rsidR="00180C86">
        <w:rPr>
          <w:kern w:val="24"/>
        </w:rPr>
        <w:t xml:space="preserve"> </w:t>
      </w:r>
      <w:r w:rsidR="00A67500">
        <w:rPr>
          <w:kern w:val="24"/>
        </w:rPr>
        <w:t xml:space="preserve">The forms also ensure that the due process rights of children, also guaranteed by statute and regulation, are </w:t>
      </w:r>
      <w:r w:rsidR="007E5F19">
        <w:rPr>
          <w:kern w:val="24"/>
        </w:rPr>
        <w:t>followed.</w:t>
      </w:r>
      <w:r w:rsidR="00A67500">
        <w:rPr>
          <w:kern w:val="24"/>
        </w:rPr>
        <w:t xml:space="preserve"> </w:t>
      </w:r>
      <w:r w:rsidR="00F55F92">
        <w:rPr>
          <w:kern w:val="24"/>
        </w:rPr>
        <w:t>As a result, these forms are essential to ORR being able to conduct its mission</w:t>
      </w:r>
      <w:r w:rsidR="008C1A1B">
        <w:rPr>
          <w:kern w:val="24"/>
        </w:rPr>
        <w:t>,</w:t>
      </w:r>
      <w:r w:rsidR="00512B70">
        <w:rPr>
          <w:kern w:val="24"/>
        </w:rPr>
        <w:t xml:space="preserve"> which has been mandated by statute</w:t>
      </w:r>
      <w:r w:rsidR="00BB5544">
        <w:rPr>
          <w:kern w:val="24"/>
        </w:rPr>
        <w:t>,</w:t>
      </w:r>
      <w:r w:rsidR="00512B70">
        <w:rPr>
          <w:kern w:val="24"/>
        </w:rPr>
        <w:t xml:space="preserve"> bolstered by regulation</w:t>
      </w:r>
      <w:r w:rsidR="00BB5544">
        <w:rPr>
          <w:kern w:val="24"/>
        </w:rPr>
        <w:t xml:space="preserve">, and </w:t>
      </w:r>
      <w:r w:rsidR="005B3BB2">
        <w:rPr>
          <w:kern w:val="24"/>
        </w:rPr>
        <w:t>supported by ongoing settlement agreements</w:t>
      </w:r>
      <w:r w:rsidR="00512B70">
        <w:rPr>
          <w:kern w:val="24"/>
        </w:rPr>
        <w:t xml:space="preserve">. </w:t>
      </w:r>
    </w:p>
    <w:p w:rsidR="009932BE" w:rsidP="00EA0E3D" w14:paraId="045FE774" w14:textId="77777777">
      <w:pPr>
        <w:rPr>
          <w:kern w:val="24"/>
        </w:rPr>
      </w:pPr>
    </w:p>
    <w:p w:rsidR="005C590B" w:rsidP="00EA0E3D" w14:paraId="1FE7A88D" w14:textId="16BD6F22">
      <w:pPr>
        <w:rPr>
          <w:kern w:val="24"/>
        </w:rPr>
      </w:pPr>
      <w:r w:rsidRPr="009932BE">
        <w:rPr>
          <w:b/>
          <w:bCs/>
          <w:kern w:val="24"/>
          <w:u w:val="single"/>
        </w:rPr>
        <w:t>These proposed c</w:t>
      </w:r>
      <w:r w:rsidRPr="009932BE" w:rsidR="00CA36D8">
        <w:rPr>
          <w:b/>
          <w:bCs/>
          <w:kern w:val="24"/>
          <w:u w:val="single"/>
        </w:rPr>
        <w:t xml:space="preserve">hanges </w:t>
      </w:r>
      <w:r w:rsidRPr="009932BE" w:rsidR="00EC6BC2">
        <w:rPr>
          <w:b/>
          <w:bCs/>
          <w:kern w:val="24"/>
          <w:u w:val="single"/>
        </w:rPr>
        <w:t>are</w:t>
      </w:r>
      <w:r w:rsidRPr="009932BE" w:rsidR="00CA36D8">
        <w:rPr>
          <w:b/>
          <w:bCs/>
          <w:kern w:val="24"/>
          <w:u w:val="single"/>
        </w:rPr>
        <w:t xml:space="preserve"> </w:t>
      </w:r>
      <w:r w:rsidRPr="009932BE" w:rsidR="00EC6BC2">
        <w:rPr>
          <w:b/>
          <w:bCs/>
          <w:kern w:val="24"/>
          <w:u w:val="single"/>
        </w:rPr>
        <w:t xml:space="preserve">also </w:t>
      </w:r>
      <w:r w:rsidRPr="009932BE" w:rsidR="00E00D8B">
        <w:rPr>
          <w:b/>
          <w:bCs/>
          <w:kern w:val="24"/>
          <w:u w:val="single"/>
        </w:rPr>
        <w:t>essential</w:t>
      </w:r>
      <w:r w:rsidR="00E00D8B">
        <w:rPr>
          <w:kern w:val="24"/>
        </w:rPr>
        <w:t xml:space="preserve"> </w:t>
      </w:r>
      <w:r w:rsidR="00444780">
        <w:rPr>
          <w:kern w:val="24"/>
        </w:rPr>
        <w:t>for ensuring that ORR continues</w:t>
      </w:r>
      <w:r w:rsidR="00E4521F">
        <w:rPr>
          <w:kern w:val="24"/>
        </w:rPr>
        <w:t xml:space="preserve"> to</w:t>
      </w:r>
      <w:r w:rsidR="00192194">
        <w:rPr>
          <w:kern w:val="24"/>
        </w:rPr>
        <w:t xml:space="preserve"> properly enact its mandates and comply with all applicable authorities</w:t>
      </w:r>
      <w:r w:rsidR="00CA36D8">
        <w:rPr>
          <w:kern w:val="24"/>
        </w:rPr>
        <w:t xml:space="preserve">. For example, </w:t>
      </w:r>
      <w:r w:rsidR="00BC72A6">
        <w:rPr>
          <w:kern w:val="24"/>
        </w:rPr>
        <w:t xml:space="preserve">the </w:t>
      </w:r>
      <w:r w:rsidR="00604038">
        <w:rPr>
          <w:kern w:val="24"/>
        </w:rPr>
        <w:t>updates</w:t>
      </w:r>
      <w:r w:rsidR="00BC72A6">
        <w:rPr>
          <w:kern w:val="24"/>
        </w:rPr>
        <w:t xml:space="preserve"> make the required legal burden of proof that must be met for these placement decisions clear</w:t>
      </w:r>
      <w:r w:rsidR="00421958">
        <w:rPr>
          <w:kern w:val="24"/>
        </w:rPr>
        <w:t>.</w:t>
      </w:r>
      <w:r w:rsidR="00566305">
        <w:rPr>
          <w:kern w:val="24"/>
        </w:rPr>
        <w:t xml:space="preserve"> The previous version of the form </w:t>
      </w:r>
      <w:r w:rsidR="000D26C1">
        <w:rPr>
          <w:kern w:val="24"/>
        </w:rPr>
        <w:t>makes no mention of the burden of proof</w:t>
      </w:r>
      <w:r w:rsidR="00243732">
        <w:rPr>
          <w:kern w:val="24"/>
        </w:rPr>
        <w:t xml:space="preserve"> at all</w:t>
      </w:r>
      <w:r w:rsidR="000D26C1">
        <w:rPr>
          <w:kern w:val="24"/>
        </w:rPr>
        <w:t xml:space="preserve">. </w:t>
      </w:r>
      <w:r w:rsidR="00421958">
        <w:rPr>
          <w:kern w:val="24"/>
        </w:rPr>
        <w:t xml:space="preserve">Without this clarification, </w:t>
      </w:r>
      <w:r w:rsidR="00E4521F">
        <w:rPr>
          <w:kern w:val="24"/>
        </w:rPr>
        <w:t xml:space="preserve">ORR staff who complete these forms will not have the </w:t>
      </w:r>
      <w:r w:rsidR="006E5130">
        <w:rPr>
          <w:kern w:val="24"/>
        </w:rPr>
        <w:t>proper guidance for applying the correct burden of proof required by law and policy</w:t>
      </w:r>
      <w:r w:rsidR="00AC49C8">
        <w:rPr>
          <w:kern w:val="24"/>
        </w:rPr>
        <w:t>, preventing the agency from making placements</w:t>
      </w:r>
      <w:r w:rsidR="007E1FD6">
        <w:rPr>
          <w:kern w:val="24"/>
        </w:rPr>
        <w:t xml:space="preserve"> in UAC’s best interests and in accordance with </w:t>
      </w:r>
      <w:r w:rsidR="00B644D1">
        <w:rPr>
          <w:kern w:val="24"/>
        </w:rPr>
        <w:t>its mandates</w:t>
      </w:r>
      <w:r w:rsidR="006E5130">
        <w:rPr>
          <w:kern w:val="24"/>
        </w:rPr>
        <w:t xml:space="preserve">. Additionally, the form updates </w:t>
      </w:r>
      <w:r w:rsidR="00713D6C">
        <w:rPr>
          <w:kern w:val="24"/>
        </w:rPr>
        <w:t>significantly clarify how each placement’s criteria and supporting factors should be considered</w:t>
      </w:r>
      <w:r w:rsidR="00746E40">
        <w:rPr>
          <w:kern w:val="24"/>
        </w:rPr>
        <w:t>, weighed,</w:t>
      </w:r>
      <w:r w:rsidR="00713D6C">
        <w:rPr>
          <w:kern w:val="24"/>
        </w:rPr>
        <w:t xml:space="preserve"> and applied</w:t>
      </w:r>
      <w:r w:rsidR="00707D3B">
        <w:rPr>
          <w:kern w:val="24"/>
        </w:rPr>
        <w:t xml:space="preserve">, such as factors around a child’s </w:t>
      </w:r>
      <w:r w:rsidR="002E069F">
        <w:rPr>
          <w:kern w:val="24"/>
        </w:rPr>
        <w:t xml:space="preserve">criminal or delinquent </w:t>
      </w:r>
      <w:r w:rsidR="00204E32">
        <w:rPr>
          <w:kern w:val="24"/>
        </w:rPr>
        <w:t>background</w:t>
      </w:r>
      <w:r w:rsidR="009065E7">
        <w:rPr>
          <w:kern w:val="24"/>
        </w:rPr>
        <w:t xml:space="preserve"> and </w:t>
      </w:r>
      <w:r w:rsidR="002E069F">
        <w:rPr>
          <w:kern w:val="24"/>
        </w:rPr>
        <w:t>escape risk</w:t>
      </w:r>
      <w:r w:rsidR="009C2CB2">
        <w:rPr>
          <w:kern w:val="24"/>
        </w:rPr>
        <w:t xml:space="preserve">. </w:t>
      </w:r>
      <w:r w:rsidR="00B644D1">
        <w:rPr>
          <w:kern w:val="24"/>
        </w:rPr>
        <w:t>Furthermore</w:t>
      </w:r>
      <w:r w:rsidR="00BC72A6">
        <w:rPr>
          <w:kern w:val="24"/>
        </w:rPr>
        <w:t xml:space="preserve">, </w:t>
      </w:r>
      <w:r w:rsidR="00B64627">
        <w:rPr>
          <w:kern w:val="24"/>
        </w:rPr>
        <w:t xml:space="preserve">the updates provide clearer notice to the child about their rights and add consideration of a child’s disability, a particularly critical factor that was not previously on the form either. </w:t>
      </w:r>
      <w:r w:rsidR="0052020C">
        <w:rPr>
          <w:kern w:val="24"/>
        </w:rPr>
        <w:t xml:space="preserve">All of these changes are required in order for ORR to comply with </w:t>
      </w:r>
      <w:r w:rsidR="00335277">
        <w:rPr>
          <w:kern w:val="24"/>
        </w:rPr>
        <w:t xml:space="preserve">the </w:t>
      </w:r>
      <w:r w:rsidR="000E140E">
        <w:rPr>
          <w:kern w:val="24"/>
        </w:rPr>
        <w:t>agency mandates</w:t>
      </w:r>
      <w:r w:rsidR="00335277">
        <w:rPr>
          <w:kern w:val="24"/>
        </w:rPr>
        <w:t xml:space="preserve"> that are essential to its mission.</w:t>
      </w:r>
    </w:p>
    <w:p w:rsidR="005C590B" w:rsidP="00EA0E3D" w14:paraId="58E54F75" w14:textId="77777777">
      <w:pPr>
        <w:rPr>
          <w:kern w:val="24"/>
        </w:rPr>
      </w:pPr>
    </w:p>
    <w:p w:rsidR="005C590B" w:rsidRPr="007C1F78" w:rsidP="00EA0E3D" w14:paraId="4B7C9E27" w14:textId="6EBF9F97">
      <w:pPr>
        <w:spacing w:after="60"/>
        <w:rPr>
          <w:i/>
          <w:iCs/>
          <w:kern w:val="24"/>
        </w:rPr>
      </w:pPr>
      <w:r w:rsidRPr="79AE3060">
        <w:rPr>
          <w:i/>
          <w:iCs/>
        </w:rPr>
        <w:t>Potential Public Harm</w:t>
      </w:r>
    </w:p>
    <w:p w:rsidR="004E4900" w:rsidP="00EA0E3D" w14:paraId="66DABCA5" w14:textId="56E673E9">
      <w:pPr>
        <w:rPr>
          <w:kern w:val="24"/>
        </w:rPr>
      </w:pPr>
      <w:r>
        <w:rPr>
          <w:kern w:val="24"/>
        </w:rPr>
        <w:t xml:space="preserve">It is vital that ORR have accurate </w:t>
      </w:r>
      <w:r w:rsidR="00AE02CC">
        <w:rPr>
          <w:kern w:val="24"/>
        </w:rPr>
        <w:t>forms</w:t>
      </w:r>
      <w:r>
        <w:rPr>
          <w:kern w:val="24"/>
        </w:rPr>
        <w:t xml:space="preserve"> available </w:t>
      </w:r>
      <w:r w:rsidR="00AE02CC">
        <w:rPr>
          <w:kern w:val="24"/>
        </w:rPr>
        <w:t>for staff who</w:t>
      </w:r>
      <w:r>
        <w:rPr>
          <w:kern w:val="24"/>
        </w:rPr>
        <w:t xml:space="preserve"> mak</w:t>
      </w:r>
      <w:r w:rsidR="00146A4C">
        <w:rPr>
          <w:kern w:val="24"/>
        </w:rPr>
        <w:t>e</w:t>
      </w:r>
      <w:r>
        <w:rPr>
          <w:kern w:val="24"/>
        </w:rPr>
        <w:t xml:space="preserve"> placement decisions.</w:t>
      </w:r>
      <w:r w:rsidR="00C60268">
        <w:rPr>
          <w:kern w:val="24"/>
        </w:rPr>
        <w:t xml:space="preserve"> </w:t>
      </w:r>
      <w:r w:rsidRPr="00385100" w:rsidR="00385100">
        <w:rPr>
          <w:kern w:val="24"/>
        </w:rPr>
        <w:t xml:space="preserve">If these forms are not updated with the proper instructions and guidance, ORR and care provider staff will not have </w:t>
      </w:r>
      <w:r w:rsidR="005750AA">
        <w:rPr>
          <w:kern w:val="24"/>
        </w:rPr>
        <w:t xml:space="preserve">the </w:t>
      </w:r>
      <w:r w:rsidRPr="00385100" w:rsidR="00385100">
        <w:rPr>
          <w:kern w:val="24"/>
        </w:rPr>
        <w:t>accurate and effective tools it needs to meet its essential mission and functions</w:t>
      </w:r>
      <w:r w:rsidR="00AF5494">
        <w:rPr>
          <w:kern w:val="24"/>
        </w:rPr>
        <w:t xml:space="preserve"> </w:t>
      </w:r>
      <w:r w:rsidR="00CB0913">
        <w:rPr>
          <w:kern w:val="24"/>
        </w:rPr>
        <w:t>as</w:t>
      </w:r>
      <w:r w:rsidR="00AF5494">
        <w:rPr>
          <w:kern w:val="24"/>
        </w:rPr>
        <w:t xml:space="preserve"> established in the </w:t>
      </w:r>
      <w:r w:rsidRPr="00AF5494" w:rsidR="00AF5494">
        <w:rPr>
          <w:kern w:val="24"/>
        </w:rPr>
        <w:t>TVPRA, HSA, and Foundational Rule</w:t>
      </w:r>
      <w:r w:rsidR="00CB0913">
        <w:rPr>
          <w:kern w:val="24"/>
        </w:rPr>
        <w:t xml:space="preserve"> and as </w:t>
      </w:r>
      <w:r w:rsidR="00B75742">
        <w:rPr>
          <w:kern w:val="24"/>
        </w:rPr>
        <w:t>reinforced in active settlement agreements</w:t>
      </w:r>
      <w:r w:rsidRPr="00385100" w:rsidR="00385100">
        <w:rPr>
          <w:kern w:val="24"/>
        </w:rPr>
        <w:t>.</w:t>
      </w:r>
      <w:r w:rsidR="00DE0D4F">
        <w:rPr>
          <w:kern w:val="24"/>
        </w:rPr>
        <w:t xml:space="preserve"> Specifically, it will be </w:t>
      </w:r>
      <w:r w:rsidR="00B81B62">
        <w:rPr>
          <w:kern w:val="24"/>
        </w:rPr>
        <w:t xml:space="preserve">exceedingly </w:t>
      </w:r>
      <w:r w:rsidR="00DE0D4F">
        <w:rPr>
          <w:kern w:val="24"/>
        </w:rPr>
        <w:t xml:space="preserve">difficult for ORR </w:t>
      </w:r>
      <w:r w:rsidR="0093125F">
        <w:rPr>
          <w:kern w:val="24"/>
        </w:rPr>
        <w:t>to</w:t>
      </w:r>
      <w:r w:rsidR="00DE0D4F">
        <w:rPr>
          <w:kern w:val="24"/>
        </w:rPr>
        <w:t xml:space="preserve"> </w:t>
      </w:r>
      <w:r w:rsidR="00B81B62">
        <w:rPr>
          <w:kern w:val="24"/>
        </w:rPr>
        <w:t xml:space="preserve">properly </w:t>
      </w:r>
      <w:r w:rsidR="00DE0D4F">
        <w:rPr>
          <w:kern w:val="24"/>
        </w:rPr>
        <w:t>assess whether a restrictive setting is appropriate for a child</w:t>
      </w:r>
      <w:r w:rsidR="00AF5494">
        <w:rPr>
          <w:kern w:val="24"/>
        </w:rPr>
        <w:t xml:space="preserve">; </w:t>
      </w:r>
      <w:r w:rsidR="00061F16">
        <w:rPr>
          <w:kern w:val="24"/>
        </w:rPr>
        <w:t xml:space="preserve">to </w:t>
      </w:r>
      <w:r w:rsidR="008E79F6">
        <w:rPr>
          <w:kern w:val="24"/>
        </w:rPr>
        <w:t>properly document those decisions for its administrative record</w:t>
      </w:r>
      <w:r w:rsidR="00CE0F11">
        <w:rPr>
          <w:kern w:val="24"/>
        </w:rPr>
        <w:t xml:space="preserve"> with accurate </w:t>
      </w:r>
      <w:r w:rsidR="002E7123">
        <w:rPr>
          <w:kern w:val="24"/>
        </w:rPr>
        <w:t>information</w:t>
      </w:r>
      <w:r w:rsidR="005750AA">
        <w:rPr>
          <w:kern w:val="24"/>
        </w:rPr>
        <w:t>;</w:t>
      </w:r>
      <w:r w:rsidR="007B4B4E">
        <w:rPr>
          <w:kern w:val="24"/>
        </w:rPr>
        <w:t xml:space="preserve"> </w:t>
      </w:r>
      <w:r w:rsidR="00061F16">
        <w:rPr>
          <w:kern w:val="24"/>
        </w:rPr>
        <w:t xml:space="preserve">to </w:t>
      </w:r>
      <w:r w:rsidR="008E79F6">
        <w:rPr>
          <w:kern w:val="24"/>
        </w:rPr>
        <w:t>ensure that children understand the placement decision</w:t>
      </w:r>
      <w:r w:rsidR="007B4B4E">
        <w:rPr>
          <w:kern w:val="24"/>
        </w:rPr>
        <w:t>;</w:t>
      </w:r>
      <w:r w:rsidR="008E79F6">
        <w:rPr>
          <w:kern w:val="24"/>
        </w:rPr>
        <w:t xml:space="preserve"> </w:t>
      </w:r>
      <w:r w:rsidR="00FA1F16">
        <w:rPr>
          <w:kern w:val="24"/>
        </w:rPr>
        <w:t xml:space="preserve">and </w:t>
      </w:r>
      <w:r w:rsidR="00061F16">
        <w:rPr>
          <w:kern w:val="24"/>
        </w:rPr>
        <w:t xml:space="preserve">to </w:t>
      </w:r>
      <w:r w:rsidR="008E79F6">
        <w:rPr>
          <w:kern w:val="24"/>
        </w:rPr>
        <w:t xml:space="preserve">ensure that children understand their rights </w:t>
      </w:r>
      <w:r w:rsidR="006643B7">
        <w:rPr>
          <w:kern w:val="24"/>
        </w:rPr>
        <w:t xml:space="preserve">and available recourse </w:t>
      </w:r>
      <w:r w:rsidR="008E79F6">
        <w:rPr>
          <w:kern w:val="24"/>
        </w:rPr>
        <w:t>associated with that placement decision</w:t>
      </w:r>
      <w:r w:rsidR="00AB56E4">
        <w:rPr>
          <w:kern w:val="24"/>
        </w:rPr>
        <w:t xml:space="preserve">. </w:t>
      </w:r>
      <w:r w:rsidR="009B5E49">
        <w:rPr>
          <w:kern w:val="24"/>
        </w:rPr>
        <w:t xml:space="preserve">Because </w:t>
      </w:r>
      <w:r w:rsidR="00DC0955">
        <w:rPr>
          <w:kern w:val="24"/>
        </w:rPr>
        <w:t>ORR anticipates hav</w:t>
      </w:r>
      <w:r w:rsidR="00AB56E4">
        <w:rPr>
          <w:kern w:val="24"/>
        </w:rPr>
        <w:t>ing</w:t>
      </w:r>
      <w:r w:rsidR="00DC0955">
        <w:rPr>
          <w:kern w:val="24"/>
        </w:rPr>
        <w:t xml:space="preserve"> secure facility </w:t>
      </w:r>
      <w:r w:rsidR="00A22793">
        <w:rPr>
          <w:kern w:val="24"/>
        </w:rPr>
        <w:t>placements</w:t>
      </w:r>
      <w:r w:rsidR="00DC0955">
        <w:rPr>
          <w:kern w:val="24"/>
        </w:rPr>
        <w:t xml:space="preserve"> available in just a </w:t>
      </w:r>
      <w:r w:rsidR="002E7123">
        <w:rPr>
          <w:kern w:val="24"/>
        </w:rPr>
        <w:t>matter</w:t>
      </w:r>
      <w:r w:rsidR="00DC0955">
        <w:rPr>
          <w:kern w:val="24"/>
        </w:rPr>
        <w:t xml:space="preserve"> of days (as discussed below),</w:t>
      </w:r>
      <w:r w:rsidR="00D6728B">
        <w:rPr>
          <w:kern w:val="24"/>
        </w:rPr>
        <w:t xml:space="preserve"> not having updated forms </w:t>
      </w:r>
      <w:r w:rsidR="00852CD0">
        <w:rPr>
          <w:kern w:val="24"/>
        </w:rPr>
        <w:t>imperils</w:t>
      </w:r>
      <w:r w:rsidR="00D6728B">
        <w:rPr>
          <w:kern w:val="24"/>
        </w:rPr>
        <w:t xml:space="preserve"> </w:t>
      </w:r>
      <w:r w:rsidR="00FA1F16">
        <w:rPr>
          <w:kern w:val="24"/>
        </w:rPr>
        <w:t>ORR</w:t>
      </w:r>
      <w:r w:rsidR="00852CD0">
        <w:rPr>
          <w:kern w:val="24"/>
        </w:rPr>
        <w:t>’s ability</w:t>
      </w:r>
      <w:r w:rsidR="00D6728B">
        <w:rPr>
          <w:kern w:val="24"/>
        </w:rPr>
        <w:t xml:space="preserve"> </w:t>
      </w:r>
      <w:r w:rsidR="00FA1F16">
        <w:rPr>
          <w:kern w:val="24"/>
        </w:rPr>
        <w:t xml:space="preserve">to meet its essential mission and functions </w:t>
      </w:r>
      <w:r w:rsidR="00D6728B">
        <w:rPr>
          <w:kern w:val="24"/>
        </w:rPr>
        <w:t>to ensure</w:t>
      </w:r>
      <w:r w:rsidR="002E7123">
        <w:rPr>
          <w:kern w:val="24"/>
        </w:rPr>
        <w:t xml:space="preserve"> that</w:t>
      </w:r>
      <w:r w:rsidR="00D6728B">
        <w:rPr>
          <w:kern w:val="24"/>
        </w:rPr>
        <w:t xml:space="preserve"> placements are</w:t>
      </w:r>
      <w:r w:rsidR="00EC3EBC">
        <w:rPr>
          <w:kern w:val="24"/>
        </w:rPr>
        <w:t xml:space="preserve"> safe and</w:t>
      </w:r>
      <w:r w:rsidR="00D6728B">
        <w:rPr>
          <w:kern w:val="24"/>
        </w:rPr>
        <w:t xml:space="preserve"> in children’s best interest. </w:t>
      </w:r>
    </w:p>
    <w:p w:rsidR="001F01D1" w:rsidP="00EA0E3D" w14:paraId="4F24CF3D" w14:textId="77777777">
      <w:pPr>
        <w:rPr>
          <w:kern w:val="24"/>
        </w:rPr>
      </w:pPr>
    </w:p>
    <w:p w:rsidR="00FD5F5F" w:rsidRPr="00574CFA" w:rsidP="00EA0E3D" w14:paraId="2E4B2913" w14:textId="0B9F1C99">
      <w:pPr>
        <w:spacing w:after="60"/>
        <w:rPr>
          <w:i/>
          <w:iCs/>
          <w:kern w:val="24"/>
        </w:rPr>
      </w:pPr>
      <w:r>
        <w:rPr>
          <w:i/>
          <w:iCs/>
          <w:kern w:val="24"/>
        </w:rPr>
        <w:t>Consultation</w:t>
      </w:r>
    </w:p>
    <w:p w:rsidR="003522E6" w:rsidP="00EA0E3D" w14:paraId="3C268FAD" w14:textId="61F994A0">
      <w:pPr>
        <w:spacing w:after="60"/>
        <w:rPr>
          <w:kern w:val="24"/>
        </w:rPr>
      </w:pPr>
      <w:r w:rsidRPr="003522E6">
        <w:rPr>
          <w:kern w:val="24"/>
        </w:rPr>
        <w:t xml:space="preserve">ORR has taken steps to consult with </w:t>
      </w:r>
      <w:r>
        <w:rPr>
          <w:kern w:val="24"/>
        </w:rPr>
        <w:t>stakeholders</w:t>
      </w:r>
      <w:r w:rsidRPr="003522E6">
        <w:rPr>
          <w:kern w:val="24"/>
        </w:rPr>
        <w:t xml:space="preserve"> in order to minimize the burden of the collection of information</w:t>
      </w:r>
      <w:r w:rsidR="00D00031">
        <w:rPr>
          <w:kern w:val="24"/>
        </w:rPr>
        <w:t xml:space="preserve"> and has consulted internally to ensure revisions minimize burden to the extent possible</w:t>
      </w:r>
      <w:r w:rsidRPr="003522E6">
        <w:rPr>
          <w:kern w:val="24"/>
        </w:rPr>
        <w:t>.</w:t>
      </w:r>
      <w:r>
        <w:rPr>
          <w:kern w:val="24"/>
        </w:rPr>
        <w:t xml:space="preserve"> </w:t>
      </w:r>
    </w:p>
    <w:p w:rsidR="00FD5F5F" w:rsidRPr="00622E56" w:rsidP="00EA0E3D" w14:paraId="0437A03A" w14:textId="6141D894">
      <w:pPr>
        <w:pStyle w:val="ListParagraph"/>
        <w:numPr>
          <w:ilvl w:val="0"/>
          <w:numId w:val="39"/>
        </w:numPr>
        <w:spacing w:after="60"/>
        <w:contextualSpacing w:val="0"/>
        <w:rPr>
          <w:kern w:val="24"/>
        </w:rPr>
      </w:pPr>
      <w:r w:rsidRPr="00622E56">
        <w:rPr>
          <w:kern w:val="24"/>
        </w:rPr>
        <w:t xml:space="preserve">The </w:t>
      </w:r>
      <w:r w:rsidRPr="00622E56" w:rsidR="00221C42">
        <w:rPr>
          <w:kern w:val="24"/>
        </w:rPr>
        <w:t xml:space="preserve">Intakes Restrictive Placement Checklist </w:t>
      </w:r>
      <w:r w:rsidR="00AC5B5B">
        <w:rPr>
          <w:kern w:val="24"/>
        </w:rPr>
        <w:t>may be</w:t>
      </w:r>
      <w:r w:rsidRPr="00622E56" w:rsidR="00AC5B5B">
        <w:rPr>
          <w:kern w:val="24"/>
        </w:rPr>
        <w:t xml:space="preserve"> </w:t>
      </w:r>
      <w:r w:rsidRPr="00622E56" w:rsidR="00221C42">
        <w:rPr>
          <w:kern w:val="24"/>
        </w:rPr>
        <w:t xml:space="preserve">completed by </w:t>
      </w:r>
      <w:r w:rsidRPr="00622E56" w:rsidR="00A43E77">
        <w:rPr>
          <w:kern w:val="24"/>
        </w:rPr>
        <w:t>contract</w:t>
      </w:r>
      <w:r w:rsidRPr="00622E56" w:rsidR="00EA0616">
        <w:rPr>
          <w:kern w:val="24"/>
        </w:rPr>
        <w:t xml:space="preserve">or </w:t>
      </w:r>
      <w:r w:rsidRPr="00622E56" w:rsidR="00F13140">
        <w:rPr>
          <w:kern w:val="24"/>
        </w:rPr>
        <w:t>staff</w:t>
      </w:r>
      <w:r w:rsidRPr="00622E56" w:rsidR="008D66AD">
        <w:rPr>
          <w:kern w:val="24"/>
        </w:rPr>
        <w:t xml:space="preserve"> within ORR’s Division of Placements. </w:t>
      </w:r>
      <w:r w:rsidRPr="00622E56" w:rsidR="00F13140">
        <w:rPr>
          <w:kern w:val="24"/>
        </w:rPr>
        <w:t xml:space="preserve">Staff were consulted </w:t>
      </w:r>
      <w:r w:rsidRPr="00622E56" w:rsidR="00893A3A">
        <w:rPr>
          <w:kern w:val="24"/>
        </w:rPr>
        <w:t xml:space="preserve">to ensure </w:t>
      </w:r>
      <w:r w:rsidRPr="00622E56" w:rsidR="00B5050E">
        <w:rPr>
          <w:kern w:val="24"/>
        </w:rPr>
        <w:t>the update</w:t>
      </w:r>
      <w:r w:rsidRPr="00622E56" w:rsidR="006161B2">
        <w:rPr>
          <w:kern w:val="24"/>
        </w:rPr>
        <w:t>d</w:t>
      </w:r>
      <w:r w:rsidRPr="00622E56" w:rsidR="00B5050E">
        <w:rPr>
          <w:kern w:val="24"/>
        </w:rPr>
        <w:t xml:space="preserve"> criteria </w:t>
      </w:r>
      <w:r w:rsidRPr="00622E56" w:rsidR="003739AB">
        <w:rPr>
          <w:kern w:val="24"/>
        </w:rPr>
        <w:t>are underst</w:t>
      </w:r>
      <w:r w:rsidRPr="00622E56" w:rsidR="00A969A3">
        <w:rPr>
          <w:kern w:val="24"/>
        </w:rPr>
        <w:t>andable</w:t>
      </w:r>
      <w:r w:rsidRPr="00622E56" w:rsidR="00735D16">
        <w:rPr>
          <w:kern w:val="24"/>
        </w:rPr>
        <w:t xml:space="preserve"> and</w:t>
      </w:r>
      <w:r w:rsidRPr="00622E56" w:rsidR="009A7354">
        <w:rPr>
          <w:kern w:val="24"/>
        </w:rPr>
        <w:t xml:space="preserve"> </w:t>
      </w:r>
      <w:r w:rsidRPr="00622E56" w:rsidR="00735D16">
        <w:rPr>
          <w:kern w:val="24"/>
        </w:rPr>
        <w:t>will facilitate compliance with statutory, regulatory, and settlement agreement requirements</w:t>
      </w:r>
      <w:r w:rsidRPr="00622E56" w:rsidR="000F6467">
        <w:rPr>
          <w:kern w:val="24"/>
        </w:rPr>
        <w:t>. Instruction</w:t>
      </w:r>
      <w:r w:rsidRPr="00622E56" w:rsidR="0022767E">
        <w:rPr>
          <w:kern w:val="24"/>
        </w:rPr>
        <w:t xml:space="preserve">s were added based on </w:t>
      </w:r>
      <w:r w:rsidRPr="00622E56" w:rsidR="001E78EF">
        <w:rPr>
          <w:kern w:val="24"/>
        </w:rPr>
        <w:t xml:space="preserve">staff </w:t>
      </w:r>
      <w:r w:rsidRPr="00622E56" w:rsidR="0022767E">
        <w:rPr>
          <w:kern w:val="24"/>
        </w:rPr>
        <w:t>feedback</w:t>
      </w:r>
      <w:r w:rsidRPr="00622E56" w:rsidR="00B319F5">
        <w:rPr>
          <w:kern w:val="24"/>
        </w:rPr>
        <w:t>,</w:t>
      </w:r>
      <w:r w:rsidRPr="00622E56" w:rsidR="0078772A">
        <w:rPr>
          <w:kern w:val="24"/>
        </w:rPr>
        <w:t xml:space="preserve"> and the form </w:t>
      </w:r>
      <w:r w:rsidRPr="00622E56" w:rsidR="0022767E">
        <w:rPr>
          <w:kern w:val="24"/>
        </w:rPr>
        <w:t>was</w:t>
      </w:r>
      <w:r w:rsidRPr="00622E56" w:rsidR="0078772A">
        <w:rPr>
          <w:kern w:val="24"/>
        </w:rPr>
        <w:t xml:space="preserve"> </w:t>
      </w:r>
      <w:r w:rsidRPr="00622E56" w:rsidR="00C33B9A">
        <w:rPr>
          <w:kern w:val="24"/>
        </w:rPr>
        <w:t>re</w:t>
      </w:r>
      <w:r w:rsidRPr="00622E56" w:rsidR="0078772A">
        <w:rPr>
          <w:kern w:val="24"/>
        </w:rPr>
        <w:t xml:space="preserve">organized </w:t>
      </w:r>
      <w:r w:rsidRPr="00622E56" w:rsidR="00C33B9A">
        <w:rPr>
          <w:kern w:val="24"/>
        </w:rPr>
        <w:t xml:space="preserve">to help staff better understand </w:t>
      </w:r>
      <w:r w:rsidRPr="00622E56" w:rsidR="009E75F4">
        <w:rPr>
          <w:kern w:val="24"/>
        </w:rPr>
        <w:t xml:space="preserve">how they are </w:t>
      </w:r>
      <w:r w:rsidRPr="00622E56" w:rsidR="001E0F3A">
        <w:rPr>
          <w:kern w:val="24"/>
        </w:rPr>
        <w:t xml:space="preserve">expected </w:t>
      </w:r>
      <w:r w:rsidRPr="00622E56" w:rsidR="009E75F4">
        <w:rPr>
          <w:kern w:val="24"/>
        </w:rPr>
        <w:t>to make placement determinations.</w:t>
      </w:r>
      <w:r w:rsidRPr="00622E56" w:rsidR="00F135F0">
        <w:rPr>
          <w:kern w:val="24"/>
        </w:rPr>
        <w:t xml:space="preserve"> New fields were kept to a minimum</w:t>
      </w:r>
      <w:r w:rsidRPr="00622E56" w:rsidR="002337BD">
        <w:rPr>
          <w:kern w:val="24"/>
        </w:rPr>
        <w:t>,</w:t>
      </w:r>
      <w:r w:rsidRPr="00622E56" w:rsidR="00F135F0">
        <w:rPr>
          <w:kern w:val="24"/>
        </w:rPr>
        <w:t xml:space="preserve"> and only </w:t>
      </w:r>
      <w:r w:rsidRPr="00622E56" w:rsidR="00CE43DE">
        <w:rPr>
          <w:kern w:val="24"/>
        </w:rPr>
        <w:t>field</w:t>
      </w:r>
      <w:r w:rsidRPr="00622E56" w:rsidR="00AC111A">
        <w:rPr>
          <w:kern w:val="24"/>
        </w:rPr>
        <w:t>s</w:t>
      </w:r>
      <w:r w:rsidRPr="00622E56" w:rsidR="00CE43DE">
        <w:rPr>
          <w:kern w:val="24"/>
        </w:rPr>
        <w:t xml:space="preserve"> necessary to ensure proper documentation of placement determinations were added.</w:t>
      </w:r>
    </w:p>
    <w:p w:rsidR="00575CE3" w:rsidRPr="00622E56" w:rsidP="00EA0E3D" w14:paraId="535D263E" w14:textId="2A24B333">
      <w:pPr>
        <w:pStyle w:val="ListParagraph"/>
        <w:numPr>
          <w:ilvl w:val="0"/>
          <w:numId w:val="39"/>
        </w:numPr>
        <w:spacing w:after="60"/>
        <w:rPr>
          <w:kern w:val="24"/>
        </w:rPr>
      </w:pPr>
      <w:r w:rsidRPr="00622E56">
        <w:rPr>
          <w:kern w:val="24"/>
        </w:rPr>
        <w:t xml:space="preserve">The Notice of Placement in a Restrictive Setting </w:t>
      </w:r>
      <w:r w:rsidRPr="00622E56" w:rsidR="00446573">
        <w:rPr>
          <w:kern w:val="24"/>
        </w:rPr>
        <w:t>is completed by grantee</w:t>
      </w:r>
      <w:r w:rsidRPr="00622E56" w:rsidR="008F3E93">
        <w:rPr>
          <w:kern w:val="24"/>
        </w:rPr>
        <w:t>/c</w:t>
      </w:r>
      <w:r w:rsidRPr="00622E56" w:rsidR="00E5352C">
        <w:rPr>
          <w:kern w:val="24"/>
        </w:rPr>
        <w:t>ontractor staff</w:t>
      </w:r>
      <w:r w:rsidRPr="00622E56" w:rsidR="00A901ED">
        <w:rPr>
          <w:kern w:val="24"/>
        </w:rPr>
        <w:t xml:space="preserve">, who </w:t>
      </w:r>
      <w:r w:rsidRPr="00622E56" w:rsidR="00A901ED">
        <w:rPr>
          <w:kern w:val="24"/>
        </w:rPr>
        <w:t xml:space="preserve">then explain </w:t>
      </w:r>
      <w:r w:rsidRPr="00622E56" w:rsidR="00D779E6">
        <w:rPr>
          <w:kern w:val="24"/>
        </w:rPr>
        <w:t xml:space="preserve">the </w:t>
      </w:r>
      <w:r w:rsidRPr="00622E56" w:rsidR="008F3E93">
        <w:rPr>
          <w:kern w:val="24"/>
        </w:rPr>
        <w:t xml:space="preserve">information in the </w:t>
      </w:r>
      <w:r w:rsidRPr="00622E56" w:rsidR="00D779E6">
        <w:rPr>
          <w:kern w:val="24"/>
        </w:rPr>
        <w:t xml:space="preserve">completed form </w:t>
      </w:r>
      <w:r w:rsidRPr="00622E56" w:rsidR="008F3E93">
        <w:rPr>
          <w:kern w:val="24"/>
        </w:rPr>
        <w:t>to the child</w:t>
      </w:r>
      <w:r w:rsidRPr="00622E56" w:rsidR="00CD16E4">
        <w:rPr>
          <w:kern w:val="24"/>
        </w:rPr>
        <w:t xml:space="preserve"> in the child’s preferred language</w:t>
      </w:r>
      <w:r w:rsidRPr="00622E56" w:rsidR="008F3E93">
        <w:rPr>
          <w:kern w:val="24"/>
        </w:rPr>
        <w:t xml:space="preserve">. </w:t>
      </w:r>
      <w:r w:rsidRPr="00622E56" w:rsidR="00200C77">
        <w:rPr>
          <w:kern w:val="24"/>
        </w:rPr>
        <w:t xml:space="preserve">It </w:t>
      </w:r>
      <w:r w:rsidRPr="00622E56" w:rsidR="00C32717">
        <w:rPr>
          <w:kern w:val="24"/>
        </w:rPr>
        <w:t>is</w:t>
      </w:r>
      <w:r w:rsidRPr="00622E56" w:rsidR="00D72DE6">
        <w:rPr>
          <w:kern w:val="24"/>
        </w:rPr>
        <w:t xml:space="preserve"> not practicable to consult </w:t>
      </w:r>
      <w:r w:rsidRPr="00622E56" w:rsidR="006504E3">
        <w:rPr>
          <w:kern w:val="24"/>
        </w:rPr>
        <w:t xml:space="preserve">staff </w:t>
      </w:r>
      <w:r w:rsidRPr="00622E56" w:rsidR="00B77F89">
        <w:rPr>
          <w:kern w:val="24"/>
        </w:rPr>
        <w:t xml:space="preserve">outside ORR </w:t>
      </w:r>
      <w:r w:rsidRPr="00622E56" w:rsidR="008611F6">
        <w:rPr>
          <w:kern w:val="24"/>
        </w:rPr>
        <w:t xml:space="preserve">on minimizing burden at this time </w:t>
      </w:r>
      <w:r w:rsidRPr="00622E56" w:rsidR="00A44B35">
        <w:rPr>
          <w:kern w:val="24"/>
        </w:rPr>
        <w:t>due to the urgent nature</w:t>
      </w:r>
      <w:r w:rsidRPr="00622E56" w:rsidR="00C646C0">
        <w:rPr>
          <w:kern w:val="24"/>
        </w:rPr>
        <w:t xml:space="preserve"> of the form revisions.</w:t>
      </w:r>
      <w:r w:rsidRPr="00622E56" w:rsidR="00417437">
        <w:rPr>
          <w:kern w:val="24"/>
        </w:rPr>
        <w:t xml:space="preserve"> Howe</w:t>
      </w:r>
      <w:r w:rsidRPr="00622E56" w:rsidR="00526CA7">
        <w:rPr>
          <w:kern w:val="24"/>
        </w:rPr>
        <w:t xml:space="preserve">ver, </w:t>
      </w:r>
      <w:r w:rsidRPr="00622E56" w:rsidR="00BC7494">
        <w:rPr>
          <w:kern w:val="24"/>
        </w:rPr>
        <w:t>only a few</w:t>
      </w:r>
      <w:r w:rsidRPr="00622E56" w:rsidR="00526CA7">
        <w:rPr>
          <w:kern w:val="24"/>
        </w:rPr>
        <w:t xml:space="preserve"> new fields were added</w:t>
      </w:r>
      <w:r w:rsidRPr="00622E56" w:rsidR="00805FBE">
        <w:rPr>
          <w:kern w:val="24"/>
        </w:rPr>
        <w:t xml:space="preserve"> and </w:t>
      </w:r>
      <w:r w:rsidRPr="00622E56" w:rsidR="00BC7494">
        <w:rPr>
          <w:kern w:val="24"/>
        </w:rPr>
        <w:t xml:space="preserve">the increase in burden is minimal. In addition, most of the new field are required </w:t>
      </w:r>
      <w:r w:rsidRPr="00622E56" w:rsidR="001E34BF">
        <w:rPr>
          <w:kern w:val="24"/>
        </w:rPr>
        <w:t xml:space="preserve">under the </w:t>
      </w:r>
      <w:r w:rsidRPr="00622E56" w:rsidR="001E34BF">
        <w:rPr>
          <w:i/>
          <w:iCs/>
          <w:kern w:val="24"/>
        </w:rPr>
        <w:t>Lucas R.</w:t>
      </w:r>
      <w:r w:rsidRPr="00622E56" w:rsidR="001E34BF">
        <w:rPr>
          <w:kern w:val="24"/>
        </w:rPr>
        <w:t xml:space="preserve"> Disabilities Settlement Agreement</w:t>
      </w:r>
      <w:r w:rsidRPr="00622E56" w:rsidR="00E80DC6">
        <w:rPr>
          <w:kern w:val="24"/>
        </w:rPr>
        <w:t xml:space="preserve"> and</w:t>
      </w:r>
      <w:r w:rsidRPr="00622E56" w:rsidR="00C75960">
        <w:rPr>
          <w:kern w:val="24"/>
        </w:rPr>
        <w:t xml:space="preserve"> ORR is required </w:t>
      </w:r>
      <w:r w:rsidRPr="00622E56" w:rsidR="00E80DC6">
        <w:rPr>
          <w:kern w:val="24"/>
        </w:rPr>
        <w:t xml:space="preserve">to </w:t>
      </w:r>
      <w:r w:rsidRPr="00622E56" w:rsidR="00C75960">
        <w:rPr>
          <w:kern w:val="24"/>
        </w:rPr>
        <w:t xml:space="preserve">add them to </w:t>
      </w:r>
      <w:r w:rsidRPr="00622E56" w:rsidR="00E80DC6">
        <w:rPr>
          <w:kern w:val="24"/>
        </w:rPr>
        <w:t>the form</w:t>
      </w:r>
      <w:r w:rsidRPr="00622E56" w:rsidR="001E34BF">
        <w:rPr>
          <w:kern w:val="24"/>
        </w:rPr>
        <w:t>.</w:t>
      </w:r>
      <w:r w:rsidRPr="00622E56" w:rsidR="00416270">
        <w:rPr>
          <w:kern w:val="24"/>
        </w:rPr>
        <w:t xml:space="preserve"> </w:t>
      </w:r>
    </w:p>
    <w:p w:rsidR="00221C42" w:rsidP="00EA0E3D" w14:paraId="43000174" w14:textId="77777777">
      <w:pPr>
        <w:rPr>
          <w:i/>
          <w:iCs/>
          <w:kern w:val="24"/>
        </w:rPr>
      </w:pPr>
    </w:p>
    <w:p w:rsidR="00D92BAD" w:rsidRPr="007C1F78" w:rsidP="00EA0E3D" w14:paraId="0B58872D" w14:textId="33CAC014">
      <w:pPr>
        <w:spacing w:after="60"/>
        <w:rPr>
          <w:i/>
          <w:iCs/>
          <w:kern w:val="24"/>
        </w:rPr>
      </w:pPr>
      <w:r>
        <w:rPr>
          <w:i/>
          <w:iCs/>
          <w:kern w:val="24"/>
        </w:rPr>
        <w:t>Timing and Time Period</w:t>
      </w:r>
    </w:p>
    <w:p w:rsidR="00D228A1" w:rsidP="00EA0E3D" w14:paraId="17BD0F9B" w14:textId="4D420BE3">
      <w:pPr>
        <w:rPr>
          <w:kern w:val="24"/>
        </w:rPr>
      </w:pPr>
      <w:r>
        <w:rPr>
          <w:kern w:val="24"/>
        </w:rPr>
        <w:t xml:space="preserve">ORR </w:t>
      </w:r>
      <w:r w:rsidR="00F16C39">
        <w:rPr>
          <w:kern w:val="24"/>
        </w:rPr>
        <w:t>did</w:t>
      </w:r>
      <w:r>
        <w:rPr>
          <w:kern w:val="24"/>
        </w:rPr>
        <w:t xml:space="preserve"> not previously </w:t>
      </w:r>
      <w:r w:rsidR="00630883">
        <w:rPr>
          <w:kern w:val="24"/>
        </w:rPr>
        <w:t>prioritize</w:t>
      </w:r>
      <w:r>
        <w:rPr>
          <w:kern w:val="24"/>
        </w:rPr>
        <w:t xml:space="preserve"> </w:t>
      </w:r>
      <w:r w:rsidR="00BD4A54">
        <w:rPr>
          <w:kern w:val="24"/>
        </w:rPr>
        <w:t xml:space="preserve">these revisions </w:t>
      </w:r>
      <w:r w:rsidR="00E30A34">
        <w:rPr>
          <w:kern w:val="24"/>
        </w:rPr>
        <w:t xml:space="preserve">for two reasons. First, </w:t>
      </w:r>
      <w:r w:rsidR="00EA5A28">
        <w:rPr>
          <w:kern w:val="24"/>
        </w:rPr>
        <w:t xml:space="preserve">ORR </w:t>
      </w:r>
      <w:r w:rsidR="004A2C33">
        <w:rPr>
          <w:kern w:val="24"/>
        </w:rPr>
        <w:t>knew that</w:t>
      </w:r>
      <w:r w:rsidR="005A0668">
        <w:rPr>
          <w:kern w:val="24"/>
        </w:rPr>
        <w:t>,</w:t>
      </w:r>
      <w:r w:rsidR="004A2C33">
        <w:rPr>
          <w:kern w:val="24"/>
        </w:rPr>
        <w:t xml:space="preserve"> in addition to updating the placement criteria, </w:t>
      </w:r>
      <w:r w:rsidR="0010741B">
        <w:rPr>
          <w:kern w:val="24"/>
        </w:rPr>
        <w:t xml:space="preserve">there would also be a need to </w:t>
      </w:r>
      <w:r w:rsidR="00B45A99">
        <w:rPr>
          <w:kern w:val="24"/>
        </w:rPr>
        <w:t>update</w:t>
      </w:r>
      <w:r w:rsidR="005D0F26">
        <w:rPr>
          <w:kern w:val="24"/>
        </w:rPr>
        <w:t xml:space="preserve"> the Notice of Placement </w:t>
      </w:r>
      <w:r w:rsidR="00277064">
        <w:rPr>
          <w:kern w:val="24"/>
        </w:rPr>
        <w:t>in a Restrictive Setting</w:t>
      </w:r>
      <w:r w:rsidR="00B95A58">
        <w:rPr>
          <w:kern w:val="24"/>
        </w:rPr>
        <w:t xml:space="preserve"> with forthcoming </w:t>
      </w:r>
      <w:r w:rsidR="001333EF">
        <w:rPr>
          <w:kern w:val="24"/>
        </w:rPr>
        <w:t xml:space="preserve">requirements under </w:t>
      </w:r>
      <w:r w:rsidRPr="007C1F78" w:rsidR="001333EF">
        <w:rPr>
          <w:i/>
          <w:iCs/>
          <w:kern w:val="24"/>
        </w:rPr>
        <w:t xml:space="preserve">Lucas R. </w:t>
      </w:r>
      <w:r w:rsidR="001333EF">
        <w:rPr>
          <w:kern w:val="24"/>
        </w:rPr>
        <w:t>litigation</w:t>
      </w:r>
      <w:r w:rsidR="00A12AEA">
        <w:rPr>
          <w:kern w:val="24"/>
        </w:rPr>
        <w:t>. ORR</w:t>
      </w:r>
      <w:r w:rsidR="00BF6120">
        <w:rPr>
          <w:kern w:val="24"/>
        </w:rPr>
        <w:t xml:space="preserve"> </w:t>
      </w:r>
      <w:r w:rsidR="00E5055B">
        <w:rPr>
          <w:kern w:val="24"/>
        </w:rPr>
        <w:t xml:space="preserve">planned to </w:t>
      </w:r>
      <w:r w:rsidR="00A12AEA">
        <w:rPr>
          <w:kern w:val="24"/>
        </w:rPr>
        <w:t xml:space="preserve">make the criteria and </w:t>
      </w:r>
      <w:r w:rsidRPr="007C1F78" w:rsidR="00A12AEA">
        <w:rPr>
          <w:i/>
          <w:iCs/>
          <w:kern w:val="24"/>
        </w:rPr>
        <w:t xml:space="preserve">Lucas R. </w:t>
      </w:r>
      <w:r w:rsidR="00A12AEA">
        <w:rPr>
          <w:kern w:val="24"/>
        </w:rPr>
        <w:t xml:space="preserve">updates concurrently </w:t>
      </w:r>
      <w:r w:rsidR="00007697">
        <w:rPr>
          <w:kern w:val="24"/>
        </w:rPr>
        <w:t>and, therefore,</w:t>
      </w:r>
      <w:r w:rsidR="001D403E">
        <w:rPr>
          <w:kern w:val="24"/>
        </w:rPr>
        <w:t xml:space="preserve"> did not immediately pursue changes to the form. Second, </w:t>
      </w:r>
      <w:r w:rsidR="00A32AE9">
        <w:rPr>
          <w:kern w:val="24"/>
        </w:rPr>
        <w:t xml:space="preserve">there was a need to prioritize work </w:t>
      </w:r>
      <w:r w:rsidR="00DE7050">
        <w:rPr>
          <w:kern w:val="24"/>
        </w:rPr>
        <w:t>on</w:t>
      </w:r>
      <w:r w:rsidR="00A93C46">
        <w:rPr>
          <w:kern w:val="24"/>
        </w:rPr>
        <w:t xml:space="preserve"> </w:t>
      </w:r>
      <w:r w:rsidR="007B7ABA">
        <w:rPr>
          <w:kern w:val="24"/>
        </w:rPr>
        <w:t xml:space="preserve">two </w:t>
      </w:r>
      <w:r w:rsidR="006D6F6B">
        <w:rPr>
          <w:kern w:val="24"/>
        </w:rPr>
        <w:t>new information collections</w:t>
      </w:r>
      <w:r w:rsidR="001C326D">
        <w:rPr>
          <w:kern w:val="24"/>
        </w:rPr>
        <w:t xml:space="preserve"> </w:t>
      </w:r>
      <w:r w:rsidR="00C15BBF">
        <w:rPr>
          <w:kern w:val="24"/>
        </w:rPr>
        <w:t>to ensure they were approved for use by</w:t>
      </w:r>
      <w:r w:rsidR="00DF294B">
        <w:rPr>
          <w:kern w:val="24"/>
        </w:rPr>
        <w:t xml:space="preserve"> a </w:t>
      </w:r>
      <w:r w:rsidRPr="009932BE" w:rsidR="00DF294B">
        <w:rPr>
          <w:kern w:val="24"/>
          <w:u w:val="single"/>
        </w:rPr>
        <w:t>court-ordered deadline</w:t>
      </w:r>
      <w:r w:rsidR="00D117A7">
        <w:rPr>
          <w:kern w:val="24"/>
        </w:rPr>
        <w:t xml:space="preserve"> under </w:t>
      </w:r>
      <w:r w:rsidRPr="00D117A7" w:rsidR="00D117A7">
        <w:rPr>
          <w:i/>
          <w:iCs/>
          <w:kern w:val="24"/>
        </w:rPr>
        <w:t>Lucas R.</w:t>
      </w:r>
      <w:r w:rsidR="00D117A7">
        <w:rPr>
          <w:kern w:val="24"/>
        </w:rPr>
        <w:t xml:space="preserve"> litigation</w:t>
      </w:r>
      <w:r w:rsidR="008E638D">
        <w:rPr>
          <w:kern w:val="24"/>
        </w:rPr>
        <w:t xml:space="preserve">. Conversely, </w:t>
      </w:r>
      <w:r w:rsidR="009932BE">
        <w:rPr>
          <w:kern w:val="24"/>
        </w:rPr>
        <w:t xml:space="preserve">at the time, </w:t>
      </w:r>
      <w:r w:rsidR="005116A9">
        <w:rPr>
          <w:kern w:val="24"/>
        </w:rPr>
        <w:t xml:space="preserve">there </w:t>
      </w:r>
      <w:r w:rsidR="001C2661">
        <w:rPr>
          <w:kern w:val="24"/>
        </w:rPr>
        <w:t>were</w:t>
      </w:r>
      <w:r w:rsidR="005116A9">
        <w:rPr>
          <w:kern w:val="24"/>
        </w:rPr>
        <w:t xml:space="preserve"> no external deadline</w:t>
      </w:r>
      <w:r w:rsidR="008E638D">
        <w:rPr>
          <w:kern w:val="24"/>
        </w:rPr>
        <w:t>s</w:t>
      </w:r>
      <w:r w:rsidR="005116A9">
        <w:rPr>
          <w:kern w:val="24"/>
        </w:rPr>
        <w:t xml:space="preserve"> for updating placement criteria in ORR forms</w:t>
      </w:r>
      <w:r w:rsidR="001C326D">
        <w:rPr>
          <w:kern w:val="24"/>
        </w:rPr>
        <w:t>.</w:t>
      </w:r>
      <w:r w:rsidR="00DA07CC">
        <w:rPr>
          <w:kern w:val="24"/>
        </w:rPr>
        <w:t xml:space="preserve"> </w:t>
      </w:r>
    </w:p>
    <w:p w:rsidR="00E96D1F" w:rsidP="00EA0E3D" w14:paraId="3F9E1931" w14:textId="77777777">
      <w:pPr>
        <w:rPr>
          <w:kern w:val="24"/>
        </w:rPr>
      </w:pPr>
    </w:p>
    <w:p w:rsidR="009932BE" w:rsidP="00EA0E3D" w14:paraId="65BDDDC5" w14:textId="361E9B08">
      <w:pPr>
        <w:rPr>
          <w:kern w:val="24"/>
        </w:rPr>
      </w:pPr>
      <w:r>
        <w:rPr>
          <w:kern w:val="24"/>
        </w:rPr>
        <w:t xml:space="preserve">In addition, ORR did not have any secure facility </w:t>
      </w:r>
      <w:r w:rsidR="00196F1A">
        <w:rPr>
          <w:kern w:val="24"/>
        </w:rPr>
        <w:t xml:space="preserve">beds available at that time. </w:t>
      </w:r>
      <w:r w:rsidR="00C67B9E">
        <w:rPr>
          <w:kern w:val="24"/>
        </w:rPr>
        <w:t>ORR’s secure facility care providers</w:t>
      </w:r>
      <w:r w:rsidR="00326FCA">
        <w:rPr>
          <w:kern w:val="24"/>
        </w:rPr>
        <w:t xml:space="preserve"> voluntarily relinquished their grants over time</w:t>
      </w:r>
      <w:r w:rsidR="006B7715">
        <w:rPr>
          <w:kern w:val="24"/>
        </w:rPr>
        <w:t xml:space="preserve"> and ORR </w:t>
      </w:r>
      <w:r w:rsidR="008750F4">
        <w:rPr>
          <w:kern w:val="24"/>
        </w:rPr>
        <w:t xml:space="preserve">has not had secure beds </w:t>
      </w:r>
      <w:r w:rsidR="00FC3054">
        <w:rPr>
          <w:kern w:val="24"/>
        </w:rPr>
        <w:t xml:space="preserve">available </w:t>
      </w:r>
      <w:r w:rsidR="008750F4">
        <w:rPr>
          <w:kern w:val="24"/>
        </w:rPr>
        <w:t>since January 2023</w:t>
      </w:r>
      <w:r w:rsidR="00326FCA">
        <w:rPr>
          <w:kern w:val="24"/>
        </w:rPr>
        <w:t xml:space="preserve">. </w:t>
      </w:r>
      <w:r w:rsidR="00FE53E1">
        <w:rPr>
          <w:kern w:val="24"/>
        </w:rPr>
        <w:t xml:space="preserve">ORR initially </w:t>
      </w:r>
      <w:r w:rsidR="00941208">
        <w:rPr>
          <w:kern w:val="24"/>
        </w:rPr>
        <w:t>pur</w:t>
      </w:r>
      <w:r w:rsidR="004D24A2">
        <w:rPr>
          <w:kern w:val="24"/>
        </w:rPr>
        <w:t xml:space="preserve">sued </w:t>
      </w:r>
      <w:r w:rsidR="001F7F76">
        <w:rPr>
          <w:kern w:val="24"/>
        </w:rPr>
        <w:t>a continuum of care contract</w:t>
      </w:r>
      <w:r w:rsidR="00A3729E">
        <w:rPr>
          <w:kern w:val="24"/>
        </w:rPr>
        <w:t xml:space="preserve">, </w:t>
      </w:r>
      <w:r w:rsidR="007150CE">
        <w:rPr>
          <w:kern w:val="24"/>
        </w:rPr>
        <w:t xml:space="preserve">under which the contractor would have provided </w:t>
      </w:r>
      <w:r w:rsidR="00623C74">
        <w:rPr>
          <w:kern w:val="24"/>
        </w:rPr>
        <w:t>beds at multiple levels of care (e.g., shelter</w:t>
      </w:r>
      <w:r w:rsidR="00450FA7">
        <w:rPr>
          <w:kern w:val="24"/>
        </w:rPr>
        <w:t xml:space="preserve">, </w:t>
      </w:r>
      <w:r w:rsidR="001B42E0">
        <w:rPr>
          <w:kern w:val="24"/>
        </w:rPr>
        <w:t>foster care</w:t>
      </w:r>
      <w:r w:rsidR="00AF0DB0">
        <w:rPr>
          <w:kern w:val="24"/>
        </w:rPr>
        <w:t>)</w:t>
      </w:r>
      <w:r w:rsidR="009A1CDA">
        <w:rPr>
          <w:kern w:val="24"/>
        </w:rPr>
        <w:t>,</w:t>
      </w:r>
      <w:r w:rsidR="00AF0DB0">
        <w:rPr>
          <w:kern w:val="24"/>
        </w:rPr>
        <w:t xml:space="preserve"> including </w:t>
      </w:r>
      <w:r w:rsidR="009D5ECA">
        <w:rPr>
          <w:kern w:val="24"/>
        </w:rPr>
        <w:t xml:space="preserve">secure </w:t>
      </w:r>
      <w:r w:rsidR="001A20FB">
        <w:rPr>
          <w:kern w:val="24"/>
        </w:rPr>
        <w:t>facility beds.</w:t>
      </w:r>
      <w:r w:rsidR="00FC3054">
        <w:rPr>
          <w:kern w:val="24"/>
        </w:rPr>
        <w:t xml:space="preserve"> </w:t>
      </w:r>
      <w:r w:rsidR="00265E4D">
        <w:rPr>
          <w:kern w:val="24"/>
        </w:rPr>
        <w:t xml:space="preserve">Given that the continuum of care contract </w:t>
      </w:r>
      <w:r w:rsidR="00A608CD">
        <w:rPr>
          <w:kern w:val="24"/>
        </w:rPr>
        <w:t xml:space="preserve">has </w:t>
      </w:r>
      <w:r w:rsidR="004F2971">
        <w:rPr>
          <w:kern w:val="24"/>
        </w:rPr>
        <w:t xml:space="preserve">never </w:t>
      </w:r>
      <w:r w:rsidR="00B67290">
        <w:rPr>
          <w:kern w:val="24"/>
        </w:rPr>
        <w:t>b</w:t>
      </w:r>
      <w:r w:rsidR="00A608CD">
        <w:rPr>
          <w:kern w:val="24"/>
        </w:rPr>
        <w:t>orne</w:t>
      </w:r>
      <w:r w:rsidR="00265E4D">
        <w:rPr>
          <w:kern w:val="24"/>
        </w:rPr>
        <w:t xml:space="preserve"> fruit</w:t>
      </w:r>
      <w:r w:rsidR="00612628">
        <w:rPr>
          <w:kern w:val="24"/>
        </w:rPr>
        <w:t xml:space="preserve"> and </w:t>
      </w:r>
      <w:r w:rsidRPr="009932BE">
        <w:rPr>
          <w:b/>
          <w:bCs/>
          <w:kern w:val="24"/>
        </w:rPr>
        <w:t xml:space="preserve">changes in </w:t>
      </w:r>
      <w:r w:rsidRPr="009932BE" w:rsidR="0031413B">
        <w:rPr>
          <w:b/>
          <w:bCs/>
          <w:kern w:val="24"/>
        </w:rPr>
        <w:t>administrati</w:t>
      </w:r>
      <w:r w:rsidR="0031413B">
        <w:rPr>
          <w:b/>
          <w:bCs/>
          <w:kern w:val="24"/>
        </w:rPr>
        <w:t>on</w:t>
      </w:r>
      <w:r w:rsidRPr="009932BE" w:rsidR="0031413B">
        <w:rPr>
          <w:b/>
          <w:bCs/>
          <w:kern w:val="24"/>
        </w:rPr>
        <w:t xml:space="preserve"> </w:t>
      </w:r>
      <w:r w:rsidRPr="009932BE">
        <w:rPr>
          <w:b/>
          <w:bCs/>
          <w:kern w:val="24"/>
        </w:rPr>
        <w:t>priorities</w:t>
      </w:r>
      <w:r>
        <w:rPr>
          <w:kern w:val="24"/>
        </w:rPr>
        <w:t xml:space="preserve"> – </w:t>
      </w:r>
      <w:r w:rsidR="00612628">
        <w:rPr>
          <w:kern w:val="24"/>
        </w:rPr>
        <w:t>the current admi</w:t>
      </w:r>
      <w:r w:rsidR="00BB61B0">
        <w:rPr>
          <w:kern w:val="24"/>
        </w:rPr>
        <w:t>nis</w:t>
      </w:r>
      <w:r w:rsidR="00612628">
        <w:rPr>
          <w:kern w:val="24"/>
        </w:rPr>
        <w:t>tration</w:t>
      </w:r>
      <w:r>
        <w:rPr>
          <w:kern w:val="24"/>
        </w:rPr>
        <w:t xml:space="preserve"> believes</w:t>
      </w:r>
      <w:r w:rsidRPr="00196F1A" w:rsidR="00612628">
        <w:rPr>
          <w:kern w:val="24"/>
        </w:rPr>
        <w:t xml:space="preserve"> </w:t>
      </w:r>
      <w:r w:rsidR="00347157">
        <w:rPr>
          <w:kern w:val="24"/>
        </w:rPr>
        <w:t>secure beds</w:t>
      </w:r>
      <w:r w:rsidRPr="00196F1A" w:rsidR="00612628">
        <w:rPr>
          <w:kern w:val="24"/>
        </w:rPr>
        <w:t xml:space="preserve"> are critical for protecting the health and safety of all children in ORR care</w:t>
      </w:r>
      <w:r>
        <w:rPr>
          <w:kern w:val="24"/>
        </w:rPr>
        <w:t xml:space="preserve"> –</w:t>
      </w:r>
      <w:r w:rsidR="00347157">
        <w:rPr>
          <w:kern w:val="24"/>
        </w:rPr>
        <w:t xml:space="preserve"> </w:t>
      </w:r>
      <w:r w:rsidR="00B779D5">
        <w:rPr>
          <w:kern w:val="24"/>
        </w:rPr>
        <w:t xml:space="preserve">ORR </w:t>
      </w:r>
      <w:r w:rsidR="00E41949">
        <w:rPr>
          <w:kern w:val="24"/>
        </w:rPr>
        <w:t>shifted</w:t>
      </w:r>
      <w:r w:rsidR="00671CD9">
        <w:rPr>
          <w:kern w:val="24"/>
        </w:rPr>
        <w:t xml:space="preserve"> to pursuing secure beds through </w:t>
      </w:r>
      <w:r w:rsidR="00CA1675">
        <w:rPr>
          <w:kern w:val="24"/>
        </w:rPr>
        <w:t xml:space="preserve">a contract </w:t>
      </w:r>
      <w:r w:rsidR="007A5528">
        <w:rPr>
          <w:kern w:val="24"/>
        </w:rPr>
        <w:t>solely</w:t>
      </w:r>
      <w:r w:rsidR="00331DE4">
        <w:rPr>
          <w:kern w:val="24"/>
        </w:rPr>
        <w:t xml:space="preserve"> for </w:t>
      </w:r>
      <w:r w:rsidR="007723D0">
        <w:rPr>
          <w:kern w:val="24"/>
        </w:rPr>
        <w:t>that specific level</w:t>
      </w:r>
      <w:r w:rsidRPr="00196F1A" w:rsidR="00196F1A">
        <w:rPr>
          <w:kern w:val="24"/>
        </w:rPr>
        <w:t xml:space="preserve"> of care</w:t>
      </w:r>
      <w:r>
        <w:rPr>
          <w:kern w:val="24"/>
        </w:rPr>
        <w:t>, which has led to the availability of beds sooner than expected</w:t>
      </w:r>
      <w:r w:rsidR="00FC4CB1">
        <w:rPr>
          <w:kern w:val="24"/>
        </w:rPr>
        <w:t>.</w:t>
      </w:r>
      <w:r w:rsidR="00210B0E">
        <w:rPr>
          <w:kern w:val="24"/>
        </w:rPr>
        <w:t xml:space="preserve"> ORR now </w:t>
      </w:r>
      <w:r w:rsidR="00867ACF">
        <w:rPr>
          <w:kern w:val="24"/>
        </w:rPr>
        <w:t xml:space="preserve">anticipates </w:t>
      </w:r>
      <w:r w:rsidRPr="004E698A" w:rsidR="00867ACF">
        <w:rPr>
          <w:kern w:val="24"/>
        </w:rPr>
        <w:t>having secure facility beds available by September 15, 2025.</w:t>
      </w:r>
      <w:r w:rsidR="00F42C8B">
        <w:rPr>
          <w:kern w:val="24"/>
        </w:rPr>
        <w:t xml:space="preserve"> </w:t>
      </w:r>
    </w:p>
    <w:p w:rsidR="009932BE" w:rsidP="00EA0E3D" w14:paraId="37B36E7A" w14:textId="77777777">
      <w:pPr>
        <w:rPr>
          <w:kern w:val="24"/>
        </w:rPr>
      </w:pPr>
    </w:p>
    <w:p w:rsidR="00115DF5" w:rsidP="00EA0E3D" w14:paraId="4C28A239" w14:textId="3985E294">
      <w:pPr>
        <w:rPr>
          <w:kern w:val="24"/>
        </w:rPr>
      </w:pPr>
      <w:r>
        <w:rPr>
          <w:kern w:val="24"/>
        </w:rPr>
        <w:t xml:space="preserve">Due to </w:t>
      </w:r>
      <w:r w:rsidR="00E536FF">
        <w:rPr>
          <w:kern w:val="24"/>
        </w:rPr>
        <w:t>secure beds becoming available sooner than expected</w:t>
      </w:r>
      <w:r>
        <w:rPr>
          <w:kern w:val="24"/>
        </w:rPr>
        <w:t xml:space="preserve">, </w:t>
      </w:r>
      <w:r w:rsidR="0034618C">
        <w:rPr>
          <w:kern w:val="24"/>
        </w:rPr>
        <w:t xml:space="preserve">it has become especially crucial that ORR be able to update these forms as soon as possible </w:t>
      </w:r>
      <w:r w:rsidR="00DE0FA3">
        <w:rPr>
          <w:kern w:val="24"/>
        </w:rPr>
        <w:t xml:space="preserve">to ensure ORR can </w:t>
      </w:r>
      <w:r w:rsidR="007F7432">
        <w:rPr>
          <w:kern w:val="24"/>
        </w:rPr>
        <w:t xml:space="preserve">continue to </w:t>
      </w:r>
      <w:r w:rsidR="001D4099">
        <w:rPr>
          <w:kern w:val="24"/>
        </w:rPr>
        <w:t>safely</w:t>
      </w:r>
      <w:r w:rsidR="00DE0FA3">
        <w:rPr>
          <w:kern w:val="24"/>
        </w:rPr>
        <w:t xml:space="preserve"> serv</w:t>
      </w:r>
      <w:r w:rsidR="007F7432">
        <w:rPr>
          <w:kern w:val="24"/>
        </w:rPr>
        <w:t xml:space="preserve">e </w:t>
      </w:r>
      <w:r w:rsidR="001D4099">
        <w:rPr>
          <w:kern w:val="24"/>
        </w:rPr>
        <w:t>children</w:t>
      </w:r>
      <w:r w:rsidR="007F7432">
        <w:rPr>
          <w:kern w:val="24"/>
        </w:rPr>
        <w:t xml:space="preserve"> in its care and custody</w:t>
      </w:r>
      <w:r w:rsidR="001D4099">
        <w:rPr>
          <w:kern w:val="24"/>
        </w:rPr>
        <w:t>.</w:t>
      </w:r>
      <w:r w:rsidR="009932BE">
        <w:rPr>
          <w:kern w:val="24"/>
        </w:rPr>
        <w:t xml:space="preserve"> As such, </w:t>
      </w:r>
      <w:bookmarkStart w:id="0" w:name="_Hlk208819763"/>
      <w:r w:rsidRPr="009932BE" w:rsidR="005C590B">
        <w:rPr>
          <w:b/>
          <w:bCs/>
          <w:kern w:val="24"/>
        </w:rPr>
        <w:t xml:space="preserve">ACF is requesting approval </w:t>
      </w:r>
      <w:r w:rsidRPr="009932BE" w:rsidR="00B37084">
        <w:rPr>
          <w:b/>
          <w:bCs/>
          <w:kern w:val="24"/>
        </w:rPr>
        <w:t xml:space="preserve">as soon as possible </w:t>
      </w:r>
      <w:r w:rsidRPr="009932BE" w:rsidR="00861ED8">
        <w:rPr>
          <w:b/>
          <w:bCs/>
          <w:kern w:val="24"/>
        </w:rPr>
        <w:t>due to secure beds</w:t>
      </w:r>
      <w:r w:rsidRPr="009932BE" w:rsidR="00B37084">
        <w:rPr>
          <w:b/>
          <w:bCs/>
          <w:kern w:val="24"/>
        </w:rPr>
        <w:t xml:space="preserve"> becoming available on</w:t>
      </w:r>
      <w:r w:rsidRPr="009932BE" w:rsidR="005C590B">
        <w:rPr>
          <w:b/>
          <w:bCs/>
          <w:kern w:val="24"/>
        </w:rPr>
        <w:t xml:space="preserve"> September 15, 2025</w:t>
      </w:r>
      <w:r w:rsidR="00B86FA9">
        <w:rPr>
          <w:b/>
          <w:bCs/>
          <w:kern w:val="24"/>
        </w:rPr>
        <w:t>,</w:t>
      </w:r>
      <w:r w:rsidRPr="009932BE" w:rsidR="005C590B">
        <w:rPr>
          <w:b/>
          <w:bCs/>
          <w:kern w:val="24"/>
        </w:rPr>
        <w:t xml:space="preserve"> and requests 180 days of approval</w:t>
      </w:r>
      <w:r w:rsidR="005C590B">
        <w:rPr>
          <w:kern w:val="24"/>
        </w:rPr>
        <w:t xml:space="preserve">, during which time a full revision request will be submitted under normal procedures under the Paperwork Reduction Act. </w:t>
      </w:r>
    </w:p>
    <w:bookmarkEnd w:id="0"/>
    <w:p w:rsidR="00415175" w:rsidP="00EA0E3D" w14:paraId="145C1C1A" w14:textId="77777777">
      <w:pPr>
        <w:rPr>
          <w:kern w:val="24"/>
        </w:rPr>
      </w:pPr>
    </w:p>
    <w:p w:rsidR="0005680D" w:rsidRPr="004E698A" w:rsidP="00EA0E3D" w14:paraId="37532181" w14:textId="08FBC285">
      <w:pPr>
        <w:spacing w:after="120"/>
        <w:rPr>
          <w:caps/>
          <w:kern w:val="24"/>
        </w:rPr>
      </w:pPr>
      <w:r w:rsidRPr="004E698A">
        <w:rPr>
          <w:b/>
          <w:caps/>
          <w:kern w:val="24"/>
        </w:rPr>
        <w:t>Background</w:t>
      </w:r>
    </w:p>
    <w:p w:rsidR="007E7516" w:rsidRPr="004E698A" w:rsidP="00EA0E3D" w14:paraId="286AD925" w14:textId="5F23F8B8">
      <w:r w:rsidRPr="004E698A">
        <w:t xml:space="preserve">The </w:t>
      </w:r>
      <w:r w:rsidRPr="004E698A" w:rsidR="0071627B">
        <w:t>Placement and Transfer of Unaccompanied</w:t>
      </w:r>
      <w:r w:rsidR="00B86FA9">
        <w:t xml:space="preserve"> </w:t>
      </w:r>
      <w:r w:rsidR="00C047BD">
        <w:t>[</w:t>
      </w:r>
      <w:r w:rsidR="00B86FA9">
        <w:t>Alien</w:t>
      </w:r>
      <w:r w:rsidR="00C047BD">
        <w:t>]</w:t>
      </w:r>
      <w:r w:rsidRPr="004E698A" w:rsidR="0071627B">
        <w:t xml:space="preserve"> Children into ORR Care Provider Facilities</w:t>
      </w:r>
      <w:r w:rsidRPr="004E698A" w:rsidR="009759BB">
        <w:t xml:space="preserve"> </w:t>
      </w:r>
      <w:r w:rsidRPr="004E698A">
        <w:t xml:space="preserve">information collection contains </w:t>
      </w:r>
      <w:r w:rsidRPr="004E698A" w:rsidR="002E19F2">
        <w:t>20</w:t>
      </w:r>
      <w:r w:rsidRPr="004E698A">
        <w:t xml:space="preserve"> instruments</w:t>
      </w:r>
      <w:r w:rsidRPr="004E698A">
        <w:t xml:space="preserve"> that allow ORR to </w:t>
      </w:r>
      <w:r w:rsidRPr="004E698A" w:rsidR="00544893">
        <w:t>place unaccompanied alien children referred to ORR by federal agencies into care provider facilities and to transfer children within the ORR care provider network</w:t>
      </w:r>
      <w:r w:rsidRPr="004E698A">
        <w:t xml:space="preserve">. The collection was last approved by OMB on </w:t>
      </w:r>
      <w:r w:rsidRPr="004E698A" w:rsidR="00D427A9">
        <w:t>June 12, 2023</w:t>
      </w:r>
      <w:r w:rsidR="00B86FA9">
        <w:t>,</w:t>
      </w:r>
      <w:r w:rsidRPr="004E698A">
        <w:t xml:space="preserve"> and </w:t>
      </w:r>
      <w:r w:rsidRPr="004E698A" w:rsidR="00F91793">
        <w:t>the current expiration date is</w:t>
      </w:r>
      <w:r w:rsidRPr="004E698A">
        <w:t xml:space="preserve"> </w:t>
      </w:r>
      <w:r w:rsidRPr="004E698A" w:rsidR="00D427A9">
        <w:t>June 30, 2026</w:t>
      </w:r>
      <w:r w:rsidRPr="004E698A">
        <w:t>.</w:t>
      </w:r>
    </w:p>
    <w:p w:rsidR="00B25500" w:rsidRPr="004E698A" w:rsidP="00EA0E3D" w14:paraId="613F507D" w14:textId="54FFC551"/>
    <w:p w:rsidR="00B25500" w:rsidRPr="004E698A" w:rsidP="00EA0E3D" w14:paraId="5621371A" w14:textId="161E56EF">
      <w:pPr>
        <w:widowControl/>
        <w:suppressAutoHyphens w:val="0"/>
        <w:spacing w:after="120"/>
      </w:pPr>
      <w:r w:rsidRPr="004E698A">
        <w:t>ORR is proposing changes</w:t>
      </w:r>
      <w:r w:rsidRPr="004E698A" w:rsidR="003C008F">
        <w:t xml:space="preserve"> related to current administration priorities,</w:t>
      </w:r>
      <w:r w:rsidRPr="004E698A">
        <w:t xml:space="preserve"> to </w:t>
      </w:r>
      <w:r w:rsidRPr="004E698A" w:rsidR="00245C8B">
        <w:t>align the placement criteria</w:t>
      </w:r>
      <w:r w:rsidRPr="004E698A" w:rsidR="001568AD">
        <w:t xml:space="preserve"> in forms</w:t>
      </w:r>
      <w:r w:rsidRPr="004E698A" w:rsidR="00245C8B">
        <w:t xml:space="preserve"> with the criteria found in 45 CFR 410.1105 and UAC Policy Guide Sections 1.2.4 and 1.4.6 and to meet requirements in the </w:t>
      </w:r>
      <w:r w:rsidRPr="004E698A" w:rsidR="00245C8B">
        <w:rPr>
          <w:i/>
          <w:iCs/>
        </w:rPr>
        <w:t xml:space="preserve">Lucas R. </w:t>
      </w:r>
      <w:r w:rsidRPr="004E698A" w:rsidR="00245C8B">
        <w:t>Disabilities Settlement Agreement and Psychotropic Medication Settlement Agreement (Case No. 2:18-CV-05741 DMG PLA).</w:t>
      </w:r>
      <w:r w:rsidRPr="004E698A" w:rsidR="003C008F">
        <w:t xml:space="preserve"> </w:t>
      </w:r>
      <w:r w:rsidRPr="004E698A" w:rsidR="00245C8B">
        <w:t xml:space="preserve">Specifically, </w:t>
      </w:r>
      <w:r w:rsidRPr="004E698A" w:rsidR="003C008F">
        <w:t>the following</w:t>
      </w:r>
      <w:r w:rsidRPr="004E698A" w:rsidR="00245C8B">
        <w:t xml:space="preserve"> two </w:t>
      </w:r>
      <w:r w:rsidRPr="004E698A">
        <w:t>forms</w:t>
      </w:r>
      <w:r w:rsidRPr="004E698A" w:rsidR="003C008F">
        <w:t>:</w:t>
      </w:r>
    </w:p>
    <w:p w:rsidR="00245C8B" w:rsidRPr="004E698A" w:rsidP="00EA0E3D" w14:paraId="1D255CB0" w14:textId="24E05E0C">
      <w:pPr>
        <w:pStyle w:val="ListParagraph"/>
        <w:widowControl/>
        <w:numPr>
          <w:ilvl w:val="0"/>
          <w:numId w:val="30"/>
        </w:numPr>
        <w:suppressAutoHyphens w:val="0"/>
        <w:spacing w:after="120"/>
        <w:contextualSpacing w:val="0"/>
      </w:pPr>
      <w:r w:rsidRPr="004E698A">
        <w:rPr>
          <w:b/>
          <w:bCs/>
        </w:rPr>
        <w:t>Notice of Placement in a Restrictive Setting (Form P-4)</w:t>
      </w:r>
      <w:r w:rsidRPr="004E698A" w:rsidR="00F35FA0">
        <w:rPr>
          <w:b/>
          <w:bCs/>
        </w:rPr>
        <w:t xml:space="preserve"> – </w:t>
      </w:r>
      <w:r w:rsidRPr="004E698A">
        <w:t xml:space="preserve">Updates </w:t>
      </w:r>
      <w:r w:rsidRPr="004E698A" w:rsidR="001568AD">
        <w:t>associated</w:t>
      </w:r>
      <w:r w:rsidRPr="004E698A">
        <w:t xml:space="preserve"> with the criteria found in </w:t>
      </w:r>
      <w:hyperlink r:id="rId10" w:history="1">
        <w:r w:rsidRPr="004E698A">
          <w:rPr>
            <w:rStyle w:val="Hyperlink"/>
          </w:rPr>
          <w:t>45 CFR 410.1105</w:t>
        </w:r>
      </w:hyperlink>
      <w:r w:rsidRPr="004E698A">
        <w:t xml:space="preserve"> and </w:t>
      </w:r>
      <w:hyperlink r:id="rId11" w:anchor="1.2.4" w:history="1">
        <w:r w:rsidRPr="004E698A">
          <w:rPr>
            <w:rStyle w:val="Hyperlink"/>
          </w:rPr>
          <w:t xml:space="preserve">UAC Policy Guide Sections 1.2.4 </w:t>
        </w:r>
      </w:hyperlink>
      <w:r w:rsidRPr="004E698A">
        <w:t xml:space="preserve">and </w:t>
      </w:r>
      <w:hyperlink r:id="rId11" w:anchor="1.4.6" w:history="1">
        <w:r w:rsidRPr="004E698A">
          <w:rPr>
            <w:rStyle w:val="Hyperlink"/>
          </w:rPr>
          <w:t>1.4.6</w:t>
        </w:r>
      </w:hyperlink>
      <w:r w:rsidRPr="004E698A" w:rsidR="001568AD">
        <w:t xml:space="preserve"> and</w:t>
      </w:r>
      <w:r w:rsidRPr="004E698A">
        <w:t xml:space="preserve"> requirements in </w:t>
      </w:r>
      <w:r w:rsidRPr="004E698A">
        <w:t xml:space="preserve">the </w:t>
      </w:r>
      <w:r w:rsidRPr="004E698A">
        <w:rPr>
          <w:i/>
          <w:iCs/>
        </w:rPr>
        <w:t xml:space="preserve">Lucas R. </w:t>
      </w:r>
      <w:r w:rsidRPr="004E698A">
        <w:t>Disabilities Settlement Agreement (Case No. 2:18-CV-05741 DMG PLA)</w:t>
      </w:r>
      <w:r w:rsidRPr="004E698A" w:rsidR="00EB4176">
        <w:t xml:space="preserve"> and </w:t>
      </w:r>
      <w:r w:rsidRPr="004E698A" w:rsidR="00714C56">
        <w:rPr>
          <w:i/>
          <w:iCs/>
        </w:rPr>
        <w:t>Flores</w:t>
      </w:r>
      <w:r w:rsidRPr="004E698A" w:rsidR="00714C56">
        <w:t xml:space="preserve"> litigation</w:t>
      </w:r>
      <w:r w:rsidRPr="004E698A" w:rsidR="00201FA0">
        <w:t xml:space="preserve"> (Case No. CV85-4544-RJK (C.D. Cal. 1996))</w:t>
      </w:r>
      <w:r w:rsidRPr="004E698A">
        <w:t>.</w:t>
      </w:r>
    </w:p>
    <w:p w:rsidR="007E7516" w:rsidRPr="004E698A" w:rsidP="00EA0E3D" w14:paraId="2D9C1356" w14:textId="3FB21435">
      <w:pPr>
        <w:pStyle w:val="ListParagraph"/>
        <w:widowControl/>
        <w:numPr>
          <w:ilvl w:val="0"/>
          <w:numId w:val="30"/>
        </w:numPr>
        <w:suppressAutoHyphens w:val="0"/>
      </w:pPr>
      <w:r w:rsidRPr="006C0631">
        <w:rPr>
          <w:b/>
          <w:bCs/>
        </w:rPr>
        <w:t xml:space="preserve">Unaccompanied </w:t>
      </w:r>
      <w:r w:rsidR="00F447D9">
        <w:rPr>
          <w:b/>
          <w:bCs/>
        </w:rPr>
        <w:t>[</w:t>
      </w:r>
      <w:r w:rsidR="00B86FA9">
        <w:rPr>
          <w:b/>
          <w:bCs/>
        </w:rPr>
        <w:t>Alien</w:t>
      </w:r>
      <w:r w:rsidR="00F447D9">
        <w:rPr>
          <w:b/>
          <w:bCs/>
        </w:rPr>
        <w:t>]</w:t>
      </w:r>
      <w:r w:rsidR="00B86FA9">
        <w:rPr>
          <w:b/>
          <w:bCs/>
        </w:rPr>
        <w:t xml:space="preserve"> </w:t>
      </w:r>
      <w:r w:rsidRPr="006C0631">
        <w:rPr>
          <w:b/>
          <w:bCs/>
        </w:rPr>
        <w:t xml:space="preserve">Child Referral </w:t>
      </w:r>
      <w:r w:rsidRPr="006C0631" w:rsidR="00E75A75">
        <w:rPr>
          <w:b/>
          <w:bCs/>
        </w:rPr>
        <w:t xml:space="preserve">(aka Intakes Placement Checklist) </w:t>
      </w:r>
      <w:r w:rsidRPr="006C0631">
        <w:rPr>
          <w:b/>
          <w:bCs/>
        </w:rPr>
        <w:t>(Form P-7)</w:t>
      </w:r>
      <w:r w:rsidRPr="006C0631" w:rsidR="00F35FA0">
        <w:rPr>
          <w:b/>
          <w:bCs/>
        </w:rPr>
        <w:t xml:space="preserve"> – </w:t>
      </w:r>
      <w:r w:rsidRPr="004E698A" w:rsidR="001568AD">
        <w:t xml:space="preserve">Updates associated with the criteria found in </w:t>
      </w:r>
      <w:hyperlink r:id="rId10" w:history="1">
        <w:r w:rsidRPr="004E698A" w:rsidR="001568AD">
          <w:rPr>
            <w:rStyle w:val="Hyperlink"/>
          </w:rPr>
          <w:t>45 CFR 410.1105</w:t>
        </w:r>
      </w:hyperlink>
      <w:r w:rsidRPr="004E698A" w:rsidR="001568AD">
        <w:t xml:space="preserve"> and </w:t>
      </w:r>
      <w:hyperlink r:id="rId11" w:anchor="1.2.4" w:history="1">
        <w:r w:rsidRPr="004E698A" w:rsidR="001568AD">
          <w:rPr>
            <w:rStyle w:val="Hyperlink"/>
          </w:rPr>
          <w:t xml:space="preserve">UAC Policy Guide Sections 1.2.4 </w:t>
        </w:r>
      </w:hyperlink>
      <w:r w:rsidRPr="004E698A" w:rsidR="001568AD">
        <w:t xml:space="preserve">and </w:t>
      </w:r>
      <w:hyperlink r:id="rId11" w:anchor="1.4.6" w:history="1">
        <w:r w:rsidRPr="004E698A" w:rsidR="001568AD">
          <w:rPr>
            <w:rStyle w:val="Hyperlink"/>
          </w:rPr>
          <w:t>1.4.6</w:t>
        </w:r>
      </w:hyperlink>
    </w:p>
    <w:p w:rsidR="00FB43F7" w:rsidRPr="004E698A" w:rsidP="00EA0E3D" w14:paraId="397CDE3A" w14:textId="6C56E28E"/>
    <w:p w:rsidR="0005680D" w:rsidRPr="004E698A" w:rsidP="00EA0E3D" w14:paraId="5CC77B63" w14:textId="4672961C">
      <w:pPr>
        <w:spacing w:after="120"/>
        <w:rPr>
          <w:b/>
          <w:caps/>
          <w:kern w:val="24"/>
        </w:rPr>
      </w:pPr>
      <w:r w:rsidRPr="004E698A">
        <w:rPr>
          <w:b/>
          <w:caps/>
          <w:kern w:val="24"/>
        </w:rPr>
        <w:t>Overview of Requested Changes</w:t>
      </w:r>
    </w:p>
    <w:p w:rsidR="00937207" w:rsidRPr="00414462" w:rsidP="00EA0E3D" w14:paraId="7F370471" w14:textId="42E20328">
      <w:pPr>
        <w:widowControl/>
        <w:suppressAutoHyphens w:val="0"/>
      </w:pPr>
      <w:r>
        <w:t>The proposed revisions for each form are outline</w:t>
      </w:r>
      <w:r w:rsidR="006A77C1">
        <w:t>d in the tables below.</w:t>
      </w:r>
      <w:r>
        <w:t xml:space="preserve"> </w:t>
      </w:r>
      <w:r w:rsidR="007B726F">
        <w:t xml:space="preserve">Several of the proposed </w:t>
      </w:r>
      <w:r w:rsidRPr="00414462" w:rsidR="00414462">
        <w:t>changes are nonsubstantive in nature</w:t>
      </w:r>
      <w:r w:rsidR="007B726F">
        <w:t xml:space="preserve">. </w:t>
      </w:r>
      <w:r w:rsidR="005E1929">
        <w:t>The changes</w:t>
      </w:r>
      <w:r w:rsidRPr="00414462" w:rsidR="00414462">
        <w:t xml:space="preserve"> for which this emergency request appl</w:t>
      </w:r>
      <w:r w:rsidR="00AC642A">
        <w:t>ies</w:t>
      </w:r>
      <w:r w:rsidRPr="00414462" w:rsidR="00414462">
        <w:t xml:space="preserve"> directly are highlighted</w:t>
      </w:r>
      <w:r w:rsidR="007B726F">
        <w:t xml:space="preserve"> in </w:t>
      </w:r>
      <w:r w:rsidR="00A45907">
        <w:t>gold.</w:t>
      </w:r>
    </w:p>
    <w:p w:rsidR="00414462" w:rsidRPr="004E698A" w:rsidP="00EA0E3D" w14:paraId="33DB7E40" w14:textId="77777777">
      <w:pPr>
        <w:widowControl/>
        <w:suppressAutoHyphens w:val="0"/>
        <w:rPr>
          <w:b/>
          <w:bCs/>
        </w:rPr>
      </w:pPr>
    </w:p>
    <w:p w:rsidR="00D13252" w:rsidP="00EA0E3D" w14:paraId="3F95865E" w14:textId="38891D54">
      <w:pPr>
        <w:widowControl/>
        <w:suppressAutoHyphens w:val="0"/>
        <w:spacing w:after="60"/>
        <w:rPr>
          <w:b/>
          <w:bCs/>
        </w:rPr>
      </w:pPr>
      <w:r w:rsidRPr="004E698A">
        <w:rPr>
          <w:b/>
          <w:bCs/>
        </w:rPr>
        <w:t>Notice of Placement in a Restrictive Setting (Form P-4)</w:t>
      </w:r>
    </w:p>
    <w:p w:rsidR="00292894" w:rsidP="00EA0E3D" w14:paraId="1AF4E59B" w14:textId="41AD6278">
      <w:pPr>
        <w:spacing w:after="60"/>
        <w:rPr>
          <w:kern w:val="24"/>
        </w:rPr>
      </w:pPr>
      <w:r>
        <w:rPr>
          <w:kern w:val="24"/>
        </w:rPr>
        <w:t xml:space="preserve">This form is completed by grantee/contractor staff, who then explain the information in the completed form to the child in the child’s preferred language. It is not practicable to consult staff outside ORR on minimizing burden at this time due to the urgent nature of the form revisions. However, only a few new fields were added and the increase in burden is minimal. In addition, most of the new field are required under the </w:t>
      </w:r>
      <w:r w:rsidRPr="00574CFA">
        <w:rPr>
          <w:i/>
          <w:iCs/>
          <w:kern w:val="24"/>
        </w:rPr>
        <w:t>Lucas R.</w:t>
      </w:r>
      <w:r>
        <w:rPr>
          <w:kern w:val="24"/>
        </w:rPr>
        <w:t xml:space="preserve"> Disabilities Settlement Agreement and ORR is required to add them to the form. </w:t>
      </w:r>
    </w:p>
    <w:p w:rsidR="00292894" w:rsidRPr="004E698A" w:rsidP="00EA0E3D" w14:paraId="618C6315" w14:textId="77777777">
      <w:pPr>
        <w:widowControl/>
        <w:suppressAutoHyphens w:val="0"/>
        <w:spacing w:after="60"/>
        <w:rPr>
          <w:b/>
          <w:bCs/>
        </w:rPr>
      </w:pPr>
    </w:p>
    <w:tbl>
      <w:tblPr>
        <w:tblStyle w:val="TableGrid"/>
        <w:tblW w:w="10075" w:type="dxa"/>
        <w:tblLook w:val="04A0"/>
      </w:tblPr>
      <w:tblGrid>
        <w:gridCol w:w="2875"/>
        <w:gridCol w:w="3780"/>
        <w:gridCol w:w="3420"/>
      </w:tblGrid>
      <w:tr w14:paraId="2F577A13" w14:textId="77777777" w:rsidTr="00D045F6">
        <w:tblPrEx>
          <w:tblW w:w="10075" w:type="dxa"/>
          <w:tblLook w:val="04A0"/>
        </w:tblPrEx>
        <w:trPr>
          <w:trHeight w:val="360"/>
        </w:trPr>
        <w:tc>
          <w:tcPr>
            <w:tcW w:w="2875" w:type="dxa"/>
            <w:shd w:val="clear" w:color="auto" w:fill="F2F2F2" w:themeFill="background1" w:themeFillShade="F2"/>
            <w:vAlign w:val="center"/>
          </w:tcPr>
          <w:p w:rsidR="003C008F" w:rsidRPr="004E698A" w:rsidP="00EA0E3D" w14:paraId="164BE749" w14:textId="77B8E14C">
            <w:pPr>
              <w:widowControl/>
              <w:suppressAutoHyphens w:val="0"/>
              <w:rPr>
                <w:b/>
                <w:bCs/>
              </w:rPr>
            </w:pPr>
            <w:r w:rsidRPr="004E698A">
              <w:rPr>
                <w:b/>
                <w:bCs/>
              </w:rPr>
              <w:t>Proposed Change</w:t>
            </w:r>
          </w:p>
        </w:tc>
        <w:tc>
          <w:tcPr>
            <w:tcW w:w="3780" w:type="dxa"/>
            <w:shd w:val="clear" w:color="auto" w:fill="F2F2F2" w:themeFill="background1" w:themeFillShade="F2"/>
            <w:vAlign w:val="center"/>
          </w:tcPr>
          <w:p w:rsidR="003C008F" w:rsidRPr="004E698A" w:rsidP="00EA0E3D" w14:paraId="78F4AA6A" w14:textId="01C24147">
            <w:pPr>
              <w:widowControl/>
              <w:suppressAutoHyphens w:val="0"/>
              <w:rPr>
                <w:b/>
                <w:bCs/>
              </w:rPr>
            </w:pPr>
            <w:r w:rsidRPr="004E698A">
              <w:rPr>
                <w:b/>
                <w:bCs/>
              </w:rPr>
              <w:t>Details</w:t>
            </w:r>
          </w:p>
        </w:tc>
        <w:tc>
          <w:tcPr>
            <w:tcW w:w="3420" w:type="dxa"/>
            <w:shd w:val="clear" w:color="auto" w:fill="F2F2F2" w:themeFill="background1" w:themeFillShade="F2"/>
            <w:vAlign w:val="center"/>
          </w:tcPr>
          <w:p w:rsidR="003C008F" w:rsidRPr="004E698A" w:rsidP="00EA0E3D" w14:paraId="5D3AAEF9" w14:textId="5CBA433F">
            <w:pPr>
              <w:widowControl/>
              <w:suppressAutoHyphens w:val="0"/>
              <w:rPr>
                <w:b/>
                <w:bCs/>
              </w:rPr>
            </w:pPr>
            <w:r w:rsidRPr="004E698A">
              <w:rPr>
                <w:b/>
                <w:bCs/>
              </w:rPr>
              <w:t>Context</w:t>
            </w:r>
          </w:p>
        </w:tc>
      </w:tr>
      <w:tr w14:paraId="2609E7AE" w14:textId="77777777" w:rsidTr="00D045F6">
        <w:tblPrEx>
          <w:tblW w:w="10075" w:type="dxa"/>
          <w:tblLook w:val="04A0"/>
        </w:tblPrEx>
        <w:trPr>
          <w:trHeight w:val="2744"/>
        </w:trPr>
        <w:tc>
          <w:tcPr>
            <w:tcW w:w="2875" w:type="dxa"/>
          </w:tcPr>
          <w:p w:rsidR="00237E97" w:rsidRPr="004E698A" w:rsidP="00EA0E3D" w14:paraId="66C7F5DE" w14:textId="7E51D4C7">
            <w:pPr>
              <w:widowControl/>
              <w:suppressAutoHyphens w:val="0"/>
            </w:pPr>
            <w:r w:rsidRPr="004E698A">
              <w:t>Update terminology to align with ORR regulations and to comply with guidance from the current Administration</w:t>
            </w:r>
          </w:p>
          <w:p w:rsidR="003C008F" w:rsidRPr="004E698A" w:rsidP="00EA0E3D" w14:paraId="49F2E8CB" w14:textId="77777777">
            <w:pPr>
              <w:widowControl/>
              <w:suppressAutoHyphens w:val="0"/>
              <w:rPr>
                <w:b/>
                <w:bCs/>
              </w:rPr>
            </w:pPr>
          </w:p>
        </w:tc>
        <w:tc>
          <w:tcPr>
            <w:tcW w:w="3780" w:type="dxa"/>
          </w:tcPr>
          <w:p w:rsidR="00237E97" w:rsidRPr="004E698A" w:rsidP="00EA0E3D" w14:paraId="3FC9C3B7" w14:textId="77777777">
            <w:pPr>
              <w:pStyle w:val="ListParagraph"/>
              <w:widowControl/>
              <w:numPr>
                <w:ilvl w:val="0"/>
                <w:numId w:val="31"/>
              </w:numPr>
              <w:suppressAutoHyphens w:val="0"/>
              <w:ind w:left="196" w:hanging="180"/>
            </w:pPr>
            <w:r w:rsidRPr="004E698A">
              <w:t>Change “staff secure” to “heightened supervision facility”</w:t>
            </w:r>
          </w:p>
          <w:p w:rsidR="00237E97" w:rsidRPr="004E698A" w:rsidP="00EA0E3D" w14:paraId="3A6622A4" w14:textId="77777777">
            <w:pPr>
              <w:pStyle w:val="ListParagraph"/>
              <w:widowControl/>
              <w:numPr>
                <w:ilvl w:val="0"/>
                <w:numId w:val="31"/>
              </w:numPr>
              <w:suppressAutoHyphens w:val="0"/>
              <w:ind w:left="196" w:hanging="180"/>
            </w:pPr>
            <w:r w:rsidRPr="004E698A">
              <w:t>Change “gender” to “sex”</w:t>
            </w:r>
          </w:p>
          <w:p w:rsidR="00237E97" w:rsidRPr="004E698A" w:rsidP="00EA0E3D" w14:paraId="7B4BBB47" w14:textId="77777777">
            <w:pPr>
              <w:pStyle w:val="ListParagraph"/>
              <w:widowControl/>
              <w:numPr>
                <w:ilvl w:val="0"/>
                <w:numId w:val="31"/>
              </w:numPr>
              <w:suppressAutoHyphens w:val="0"/>
              <w:ind w:left="196" w:hanging="180"/>
            </w:pPr>
            <w:r w:rsidRPr="004E698A">
              <w:t>Change “country of Birth” to “Country of Origin”</w:t>
            </w:r>
          </w:p>
          <w:p w:rsidR="003C008F" w:rsidRPr="004E698A" w:rsidP="00EA0E3D" w14:paraId="06D98EF0" w14:textId="40C470C9">
            <w:pPr>
              <w:pStyle w:val="ListParagraph"/>
              <w:widowControl/>
              <w:numPr>
                <w:ilvl w:val="0"/>
                <w:numId w:val="31"/>
              </w:numPr>
              <w:suppressAutoHyphens w:val="0"/>
              <w:ind w:left="196" w:hanging="180"/>
              <w:rPr>
                <w:b/>
                <w:bCs/>
              </w:rPr>
            </w:pPr>
            <w:r w:rsidRPr="004E698A">
              <w:t>Change “unaccompanied child” to “child” or “unaccompanied alien child”</w:t>
            </w:r>
          </w:p>
        </w:tc>
        <w:tc>
          <w:tcPr>
            <w:tcW w:w="3420" w:type="dxa"/>
          </w:tcPr>
          <w:p w:rsidR="003C008F" w:rsidRPr="004E698A" w:rsidP="00EA0E3D" w14:paraId="634D42D6" w14:textId="25272E8F">
            <w:pPr>
              <w:widowControl/>
              <w:suppressAutoHyphens w:val="0"/>
              <w:rPr>
                <w:b/>
                <w:bCs/>
              </w:rPr>
            </w:pPr>
            <w:r w:rsidRPr="004E698A">
              <w:t>To align with ORR</w:t>
            </w:r>
            <w:r w:rsidRPr="004E698A" w:rsidR="00E54BCE">
              <w:t>’s Foundational Rule (</w:t>
            </w:r>
            <w:hyperlink r:id="rId12" w:history="1">
              <w:r w:rsidRPr="004E698A" w:rsidR="005C3347">
                <w:rPr>
                  <w:rStyle w:val="Hyperlink"/>
                </w:rPr>
                <w:t>45 CFR 410.1001</w:t>
              </w:r>
            </w:hyperlink>
            <w:r w:rsidRPr="004E698A" w:rsidR="00E54BCE">
              <w:t>)</w:t>
            </w:r>
            <w:r w:rsidRPr="004E698A">
              <w:t xml:space="preserve"> and to comply with Executive Order 14168 </w:t>
            </w:r>
            <w:r w:rsidRPr="004E698A">
              <w:rPr>
                <w:i/>
                <w:iCs/>
              </w:rPr>
              <w:t>Defending Women from Gender Ideology Extremism and Restoring Biological Truth to the Federal Government</w:t>
            </w:r>
            <w:r w:rsidRPr="004E698A">
              <w:t>, as well as other guidance from the current Administration</w:t>
            </w:r>
          </w:p>
        </w:tc>
      </w:tr>
      <w:tr w14:paraId="0DAD31A0" w14:textId="77777777" w:rsidTr="00D045F6">
        <w:tblPrEx>
          <w:tblW w:w="10075" w:type="dxa"/>
          <w:tblLook w:val="04A0"/>
        </w:tblPrEx>
        <w:trPr>
          <w:trHeight w:val="1673"/>
        </w:trPr>
        <w:tc>
          <w:tcPr>
            <w:tcW w:w="2875" w:type="dxa"/>
          </w:tcPr>
          <w:p w:rsidR="00237E97" w:rsidRPr="004E698A" w:rsidP="00EA0E3D" w14:paraId="7D4F2957" w14:textId="7FE01F6C">
            <w:pPr>
              <w:widowControl/>
              <w:suppressAutoHyphens w:val="0"/>
            </w:pPr>
            <w:r w:rsidRPr="004E698A">
              <w:t xml:space="preserve">Reorganize where some information/fields appear in the form </w:t>
            </w:r>
          </w:p>
        </w:tc>
        <w:tc>
          <w:tcPr>
            <w:tcW w:w="3780" w:type="dxa"/>
          </w:tcPr>
          <w:p w:rsidR="00237E97" w:rsidRPr="004E698A" w:rsidP="00EA0E3D" w14:paraId="38D4BB29" w14:textId="77777777">
            <w:pPr>
              <w:pStyle w:val="ListParagraph"/>
              <w:widowControl/>
              <w:numPr>
                <w:ilvl w:val="0"/>
                <w:numId w:val="31"/>
              </w:numPr>
              <w:suppressAutoHyphens w:val="0"/>
              <w:ind w:left="196" w:hanging="180"/>
            </w:pPr>
            <w:r w:rsidRPr="004E698A">
              <w:t>Move information regarding the child’s right to challenge their placement to the top of the form</w:t>
            </w:r>
          </w:p>
          <w:p w:rsidR="00237E97" w:rsidRPr="004E698A" w:rsidP="00EA0E3D" w14:paraId="60F1E6F0" w14:textId="6219ED9F">
            <w:pPr>
              <w:pStyle w:val="ListParagraph"/>
              <w:widowControl/>
              <w:numPr>
                <w:ilvl w:val="0"/>
                <w:numId w:val="31"/>
              </w:numPr>
              <w:suppressAutoHyphens w:val="0"/>
              <w:ind w:left="196" w:hanging="180"/>
            </w:pPr>
            <w:r w:rsidRPr="004E698A">
              <w:t>Move fields related to placement into their own “Placement Information” section</w:t>
            </w:r>
          </w:p>
        </w:tc>
        <w:tc>
          <w:tcPr>
            <w:tcW w:w="3420" w:type="dxa"/>
          </w:tcPr>
          <w:p w:rsidR="00237E97" w:rsidRPr="004E698A" w:rsidP="00EA0E3D" w14:paraId="3B357A9A" w14:textId="14C1B5AE">
            <w:pPr>
              <w:widowControl/>
              <w:suppressAutoHyphens w:val="0"/>
            </w:pPr>
            <w:r w:rsidRPr="004E698A">
              <w:t>For clarification</w:t>
            </w:r>
          </w:p>
        </w:tc>
      </w:tr>
      <w:tr w14:paraId="030BEC79" w14:textId="77777777" w:rsidTr="00D139AB">
        <w:tblPrEx>
          <w:tblW w:w="10075" w:type="dxa"/>
          <w:tblLook w:val="04A0"/>
        </w:tblPrEx>
        <w:trPr>
          <w:trHeight w:val="1340"/>
        </w:trPr>
        <w:tc>
          <w:tcPr>
            <w:tcW w:w="2875" w:type="dxa"/>
            <w:shd w:val="clear" w:color="auto" w:fill="FEF2CC" w:themeFill="accent4" w:themeFillTint="33"/>
          </w:tcPr>
          <w:p w:rsidR="00237E97" w:rsidRPr="00D139AB" w:rsidP="00EA0E3D" w14:paraId="45B5591B" w14:textId="0163F5F4">
            <w:pPr>
              <w:widowControl/>
              <w:suppressAutoHyphens w:val="0"/>
            </w:pPr>
            <w:r w:rsidRPr="00D139AB">
              <w:t>Add a “Disability</w:t>
            </w:r>
            <w:r w:rsidRPr="00D139AB" w:rsidR="00A712ED">
              <w:t xml:space="preserve"> Considerations</w:t>
            </w:r>
            <w:r w:rsidRPr="00D139AB">
              <w:t>” subsection</w:t>
            </w:r>
            <w:r w:rsidRPr="00D139AB" w:rsidR="00CC00E6">
              <w:t xml:space="preserve"> in “Section B: Placement Information”</w:t>
            </w:r>
          </w:p>
          <w:p w:rsidR="00237E97" w:rsidRPr="00D139AB" w:rsidP="00EA0E3D" w14:paraId="2D0664DB" w14:textId="77777777">
            <w:pPr>
              <w:widowControl/>
              <w:suppressAutoHyphens w:val="0"/>
            </w:pPr>
          </w:p>
        </w:tc>
        <w:tc>
          <w:tcPr>
            <w:tcW w:w="3780" w:type="dxa"/>
            <w:shd w:val="clear" w:color="auto" w:fill="FEF2CC" w:themeFill="accent4" w:themeFillTint="33"/>
          </w:tcPr>
          <w:p w:rsidR="002E735F" w:rsidRPr="00D139AB" w:rsidP="00EA0E3D" w14:paraId="4F6BC619" w14:textId="30954322">
            <w:pPr>
              <w:widowControl/>
              <w:suppressAutoHyphens w:val="0"/>
            </w:pPr>
            <w:r w:rsidRPr="00D139AB">
              <w:t>Questions for the new subsection are:</w:t>
            </w:r>
          </w:p>
          <w:p w:rsidR="00B53871" w:rsidRPr="00D139AB" w:rsidP="00EA0E3D" w14:paraId="66EFF14C" w14:textId="77777777">
            <w:pPr>
              <w:pStyle w:val="ListParagraph"/>
              <w:widowControl/>
              <w:numPr>
                <w:ilvl w:val="0"/>
                <w:numId w:val="31"/>
              </w:numPr>
              <w:suppressAutoHyphens w:val="0"/>
              <w:ind w:left="286" w:hanging="270"/>
            </w:pPr>
            <w:r w:rsidRPr="00D139AB">
              <w:t>Does the child have a disability or disabilities?</w:t>
            </w:r>
          </w:p>
          <w:p w:rsidR="00237E97" w:rsidRPr="00D139AB" w:rsidP="00EA0E3D" w14:paraId="5AF59748" w14:textId="1BC16FEF">
            <w:pPr>
              <w:pStyle w:val="ListParagraph"/>
              <w:widowControl/>
              <w:numPr>
                <w:ilvl w:val="0"/>
                <w:numId w:val="31"/>
              </w:numPr>
              <w:suppressAutoHyphens w:val="0"/>
              <w:ind w:left="286" w:hanging="270"/>
            </w:pPr>
            <w:r w:rsidRPr="00D139AB">
              <w:t>If yes, what is the disability</w:t>
            </w:r>
            <w:r w:rsidRPr="00D139AB" w:rsidR="00A712ED">
              <w:t xml:space="preserve"> or disabilities</w:t>
            </w:r>
            <w:r w:rsidRPr="00D139AB">
              <w:t>?</w:t>
            </w:r>
          </w:p>
          <w:p w:rsidR="00334476" w:rsidRPr="00D139AB" w:rsidP="00EA0E3D" w14:paraId="3AB7FD40" w14:textId="6E9E5658">
            <w:pPr>
              <w:pStyle w:val="ListParagraph"/>
              <w:widowControl/>
              <w:numPr>
                <w:ilvl w:val="0"/>
                <w:numId w:val="31"/>
              </w:numPr>
              <w:suppressAutoHyphens w:val="0"/>
              <w:ind w:left="286" w:hanging="270"/>
            </w:pPr>
            <w:r w:rsidRPr="00D139AB">
              <w:t>If yes, w</w:t>
            </w:r>
            <w:r w:rsidRPr="00D139AB">
              <w:t>hen was the child referred for an evaluation based on their presenting symptoms?</w:t>
            </w:r>
          </w:p>
          <w:p w:rsidR="00237E97" w:rsidRPr="00D139AB" w:rsidP="00EA0E3D" w14:paraId="1AB987B1" w14:textId="524862F3">
            <w:pPr>
              <w:pStyle w:val="ListParagraph"/>
              <w:widowControl/>
              <w:numPr>
                <w:ilvl w:val="0"/>
                <w:numId w:val="31"/>
              </w:numPr>
              <w:suppressAutoHyphens w:val="0"/>
              <w:ind w:left="286" w:hanging="270"/>
            </w:pPr>
            <w:r w:rsidRPr="00D139AB">
              <w:t>If yes, w</w:t>
            </w:r>
            <w:r w:rsidRPr="00D139AB">
              <w:t>hat accommodations or services are currently being offered to meet the child’s disability-related needs?</w:t>
            </w:r>
          </w:p>
          <w:p w:rsidR="00237E97" w:rsidRPr="00D139AB" w:rsidP="00EA0E3D" w14:paraId="6957F415" w14:textId="298BCD52">
            <w:pPr>
              <w:pStyle w:val="ListParagraph"/>
              <w:widowControl/>
              <w:numPr>
                <w:ilvl w:val="0"/>
                <w:numId w:val="31"/>
              </w:numPr>
              <w:suppressAutoHyphens w:val="0"/>
              <w:ind w:left="286" w:hanging="270"/>
            </w:pPr>
            <w:r w:rsidRPr="00D139AB">
              <w:t xml:space="preserve">If yes, </w:t>
            </w:r>
            <w:r w:rsidRPr="00D139AB">
              <w:t xml:space="preserve">describe the services </w:t>
            </w:r>
            <w:r w:rsidRPr="00D139AB" w:rsidR="00A702B2">
              <w:t>or care that will be provided at the restrictive placement, why they are necessary, and why they cannot be provided in a more integrated and less restrictive setting with additional services, supports, and/or accommodations.</w:t>
            </w:r>
          </w:p>
        </w:tc>
        <w:tc>
          <w:tcPr>
            <w:tcW w:w="3420" w:type="dxa"/>
            <w:shd w:val="clear" w:color="auto" w:fill="FEF2CC" w:themeFill="accent4" w:themeFillTint="33"/>
          </w:tcPr>
          <w:p w:rsidR="00CC00E6" w:rsidRPr="00D139AB" w:rsidP="00EA0E3D" w14:paraId="413D1588" w14:textId="0B5B766E">
            <w:pPr>
              <w:widowControl/>
              <w:suppressAutoHyphens w:val="0"/>
            </w:pPr>
            <w:r w:rsidRPr="00D139AB">
              <w:t xml:space="preserve">To meet requirements found in the </w:t>
            </w:r>
            <w:r w:rsidRPr="00D139AB">
              <w:rPr>
                <w:i/>
                <w:iCs/>
              </w:rPr>
              <w:t xml:space="preserve">Lucas R. </w:t>
            </w:r>
            <w:r w:rsidRPr="00D139AB">
              <w:t>Disabilities Settlement Agreement.</w:t>
            </w:r>
          </w:p>
          <w:p w:rsidR="00CC00E6" w:rsidRPr="00D139AB" w:rsidP="00EA0E3D" w14:paraId="7C3E478F" w14:textId="77777777">
            <w:pPr>
              <w:widowControl/>
              <w:suppressAutoHyphens w:val="0"/>
            </w:pPr>
          </w:p>
          <w:p w:rsidR="00237E97" w:rsidRPr="00D139AB" w:rsidP="00EA0E3D" w14:paraId="1771ACD6" w14:textId="14D4C2AD">
            <w:pPr>
              <w:widowControl/>
              <w:suppressAutoHyphens w:val="0"/>
            </w:pPr>
            <w:r w:rsidRPr="00D139AB">
              <w:t xml:space="preserve">First two questions are asked in Psychotropic Medication Informed Consent (Form MMH-1), which underwent public comment and is approved under </w:t>
            </w:r>
            <w:r w:rsidRPr="00D139AB">
              <w:t>OMB# 0970-0641.</w:t>
            </w:r>
            <w:r w:rsidRPr="00D139AB" w:rsidR="009B173F">
              <w:t xml:space="preserve"> They are also needed in this form to ensure </w:t>
            </w:r>
            <w:r w:rsidRPr="00D139AB" w:rsidR="009B5136">
              <w:t>children with an identified disability are placed in least restrictive setting as required under the Settlement.</w:t>
            </w:r>
          </w:p>
          <w:p w:rsidR="00237E97" w:rsidRPr="00D139AB" w:rsidP="00EA0E3D" w14:paraId="091FBBCD" w14:textId="77777777">
            <w:pPr>
              <w:widowControl/>
              <w:suppressAutoHyphens w:val="0"/>
            </w:pPr>
          </w:p>
          <w:p w:rsidR="00334476" w:rsidRPr="00D139AB" w:rsidP="00EA0E3D" w14:paraId="7EACE1C0" w14:textId="3A0F8A20">
            <w:pPr>
              <w:widowControl/>
              <w:suppressAutoHyphens w:val="0"/>
            </w:pPr>
            <w:r w:rsidRPr="00D139AB">
              <w:t>Third</w:t>
            </w:r>
            <w:r w:rsidRPr="00D139AB">
              <w:t xml:space="preserve"> question</w:t>
            </w:r>
            <w:r w:rsidRPr="00D139AB" w:rsidR="00145CBD">
              <w:t xml:space="preserve"> is a follow-up question</w:t>
            </w:r>
            <w:r w:rsidRPr="00D139AB" w:rsidR="006E5437">
              <w:t xml:space="preserve"> to </w:t>
            </w:r>
            <w:r w:rsidRPr="00D139AB" w:rsidR="00805FB9">
              <w:t xml:space="preserve">ensure </w:t>
            </w:r>
            <w:r w:rsidRPr="00D139AB" w:rsidR="00D13B6A">
              <w:t>children have been appropriately evaluated</w:t>
            </w:r>
            <w:r w:rsidRPr="00D139AB" w:rsidR="002849A3">
              <w:t xml:space="preserve"> so their needs</w:t>
            </w:r>
            <w:r w:rsidRPr="00D139AB" w:rsidR="008D6BA5">
              <w:t xml:space="preserve"> may be considered when making placement determinations.</w:t>
            </w:r>
          </w:p>
          <w:p w:rsidR="00334476" w:rsidRPr="00D139AB" w:rsidP="00EA0E3D" w14:paraId="246151C9" w14:textId="77777777">
            <w:pPr>
              <w:widowControl/>
              <w:suppressAutoHyphens w:val="0"/>
            </w:pPr>
          </w:p>
          <w:p w:rsidR="00237E97" w:rsidRPr="00D139AB" w:rsidP="00EA0E3D" w14:paraId="1BBCAC66" w14:textId="112E8711">
            <w:pPr>
              <w:widowControl/>
              <w:suppressAutoHyphens w:val="0"/>
            </w:pPr>
            <w:r w:rsidRPr="00D139AB">
              <w:t>Fourth</w:t>
            </w:r>
            <w:r w:rsidRPr="00D139AB">
              <w:t xml:space="preserve"> question is documented in the Individualized Section 504 Service Plan (Form S-25), approved under OMB# 0970-0643. User will summarize what is in the child’s 504 Service Plan in this field.</w:t>
            </w:r>
          </w:p>
          <w:p w:rsidR="006E5437" w:rsidRPr="00D139AB" w:rsidP="00EA0E3D" w14:paraId="7BC24CC9" w14:textId="77777777">
            <w:pPr>
              <w:widowControl/>
              <w:suppressAutoHyphens w:val="0"/>
            </w:pPr>
          </w:p>
          <w:p w:rsidR="00237E97" w:rsidRPr="00D139AB" w:rsidP="00EA0E3D" w14:paraId="6E3BB141" w14:textId="70CA6166">
            <w:pPr>
              <w:widowControl/>
              <w:suppressAutoHyphens w:val="0"/>
            </w:pPr>
            <w:r w:rsidRPr="00D139AB">
              <w:t>Final question is a follow-up question to ensure children with an identified disability are placed in least restrictive setting as required under the Settlement.</w:t>
            </w:r>
          </w:p>
        </w:tc>
      </w:tr>
      <w:tr w14:paraId="4E23B188" w14:textId="77777777" w:rsidTr="00D045F6">
        <w:tblPrEx>
          <w:tblW w:w="10075" w:type="dxa"/>
          <w:tblLook w:val="04A0"/>
        </w:tblPrEx>
        <w:trPr>
          <w:trHeight w:val="1340"/>
        </w:trPr>
        <w:tc>
          <w:tcPr>
            <w:tcW w:w="2875" w:type="dxa"/>
          </w:tcPr>
          <w:p w:rsidR="002C2E02" w:rsidRPr="004E698A" w:rsidP="00EA0E3D" w14:paraId="4687AB44" w14:textId="3923E1F4">
            <w:pPr>
              <w:widowControl/>
              <w:suppressAutoHyphens w:val="0"/>
            </w:pPr>
            <w:r w:rsidRPr="004E698A">
              <w:t xml:space="preserve">Remove </w:t>
            </w:r>
            <w:r w:rsidRPr="004E698A" w:rsidR="00C5108C">
              <w:t>“Section B: ORR’s Determination Related to Safety”</w:t>
            </w:r>
          </w:p>
        </w:tc>
        <w:tc>
          <w:tcPr>
            <w:tcW w:w="3780" w:type="dxa"/>
          </w:tcPr>
          <w:p w:rsidR="002C2E02" w:rsidRPr="004E698A" w:rsidP="00EA0E3D" w14:paraId="001C5830" w14:textId="77777777">
            <w:pPr>
              <w:widowControl/>
              <w:suppressAutoHyphens w:val="0"/>
            </w:pPr>
            <w:r w:rsidRPr="004E698A">
              <w:t>Section contains the following checkbox options:</w:t>
            </w:r>
          </w:p>
          <w:p w:rsidR="00CA5335" w:rsidRPr="004E698A" w:rsidP="00EA0E3D" w14:paraId="695C2607" w14:textId="77777777">
            <w:pPr>
              <w:pStyle w:val="ListParagraph"/>
              <w:widowControl/>
              <w:numPr>
                <w:ilvl w:val="0"/>
                <w:numId w:val="33"/>
              </w:numPr>
              <w:suppressAutoHyphens w:val="0"/>
              <w:ind w:left="286" w:hanging="270"/>
            </w:pPr>
            <w:r w:rsidRPr="004E698A">
              <w:t>Child presents a danger to self or community</w:t>
            </w:r>
          </w:p>
          <w:p w:rsidR="00CA5335" w:rsidRPr="004E698A" w:rsidP="00EA0E3D" w14:paraId="5DC23634" w14:textId="0F6F68C0">
            <w:pPr>
              <w:pStyle w:val="ListParagraph"/>
              <w:widowControl/>
              <w:numPr>
                <w:ilvl w:val="0"/>
                <w:numId w:val="33"/>
              </w:numPr>
              <w:suppressAutoHyphens w:val="0"/>
              <w:ind w:left="286" w:hanging="270"/>
            </w:pPr>
            <w:r w:rsidRPr="004E698A">
              <w:t>Child poses a risk of escape</w:t>
            </w:r>
          </w:p>
        </w:tc>
        <w:tc>
          <w:tcPr>
            <w:tcW w:w="3420" w:type="dxa"/>
          </w:tcPr>
          <w:p w:rsidR="000C0285" w:rsidRPr="004E698A" w:rsidP="00EA0E3D" w14:paraId="7EA6554F" w14:textId="2833F623">
            <w:pPr>
              <w:widowControl/>
              <w:suppressAutoHyphens w:val="0"/>
            </w:pPr>
            <w:r w:rsidRPr="004E698A">
              <w:t>To align with ORR’s Foundational Rule</w:t>
            </w:r>
            <w:r w:rsidRPr="004E698A" w:rsidR="001169DB">
              <w:t xml:space="preserve"> (</w:t>
            </w:r>
            <w:hyperlink r:id="rId10" w:history="1">
              <w:r w:rsidRPr="004E698A" w:rsidR="001169DB">
                <w:rPr>
                  <w:rStyle w:val="Hyperlink"/>
                </w:rPr>
                <w:t>45 CFR 410.1105</w:t>
              </w:r>
            </w:hyperlink>
            <w:r w:rsidRPr="004E698A" w:rsidR="001169DB">
              <w:t>)</w:t>
            </w:r>
            <w:r w:rsidRPr="004E698A" w:rsidR="00B51AAF">
              <w:t xml:space="preserve"> and </w:t>
            </w:r>
            <w:hyperlink r:id="rId11" w:anchor="1.2.4" w:history="1">
              <w:r w:rsidRPr="004E698A" w:rsidR="00B51AAF">
                <w:rPr>
                  <w:rStyle w:val="Hyperlink"/>
                </w:rPr>
                <w:t xml:space="preserve">UAC Policy Guide Sections 1.2.4 </w:t>
              </w:r>
            </w:hyperlink>
            <w:r w:rsidRPr="004E698A" w:rsidR="00B51AAF">
              <w:t xml:space="preserve">and </w:t>
            </w:r>
            <w:hyperlink r:id="rId11" w:anchor="1.4.6" w:history="1">
              <w:r w:rsidRPr="004E698A" w:rsidR="00B51AAF">
                <w:rPr>
                  <w:rStyle w:val="Hyperlink"/>
                </w:rPr>
                <w:t>1.4.6</w:t>
              </w:r>
            </w:hyperlink>
            <w:r w:rsidRPr="004E698A" w:rsidR="00B51AAF">
              <w:t>.</w:t>
            </w:r>
            <w:r w:rsidRPr="004E698A" w:rsidR="001169DB">
              <w:t xml:space="preserve"> </w:t>
            </w:r>
          </w:p>
        </w:tc>
      </w:tr>
      <w:tr w14:paraId="4513A233" w14:textId="77777777" w:rsidTr="00A45907">
        <w:tblPrEx>
          <w:tblW w:w="10075" w:type="dxa"/>
          <w:tblLook w:val="04A0"/>
        </w:tblPrEx>
        <w:trPr>
          <w:trHeight w:val="1340"/>
        </w:trPr>
        <w:tc>
          <w:tcPr>
            <w:tcW w:w="2875" w:type="dxa"/>
            <w:shd w:val="clear" w:color="auto" w:fill="FEF2CC" w:themeFill="accent4" w:themeFillTint="33"/>
          </w:tcPr>
          <w:p w:rsidR="002C2E02" w:rsidRPr="004E698A" w:rsidP="00EA0E3D" w14:paraId="360C8154" w14:textId="621B3139">
            <w:pPr>
              <w:widowControl/>
              <w:suppressAutoHyphens w:val="0"/>
            </w:pPr>
            <w:r w:rsidRPr="004E698A">
              <w:t>Update “Section C: Reasons for Restrictive Placement”</w:t>
            </w:r>
          </w:p>
        </w:tc>
        <w:tc>
          <w:tcPr>
            <w:tcW w:w="3780" w:type="dxa"/>
            <w:shd w:val="clear" w:color="auto" w:fill="FEF2CC" w:themeFill="accent4" w:themeFillTint="33"/>
          </w:tcPr>
          <w:p w:rsidR="002C2E02" w:rsidRPr="004E698A" w:rsidP="00EA0E3D" w14:paraId="59505864" w14:textId="0D5D5B92">
            <w:pPr>
              <w:pStyle w:val="ListParagraph"/>
              <w:widowControl/>
              <w:numPr>
                <w:ilvl w:val="0"/>
                <w:numId w:val="34"/>
              </w:numPr>
              <w:suppressAutoHyphens w:val="0"/>
              <w:ind w:left="286" w:hanging="270"/>
            </w:pPr>
            <w:r w:rsidRPr="004E698A">
              <w:t>Update the criteria for each type of restrictive placement</w:t>
            </w:r>
            <w:r w:rsidRPr="004E698A" w:rsidR="00144023">
              <w:t xml:space="preserve"> (</w:t>
            </w:r>
            <w:r w:rsidRPr="004E698A" w:rsidR="000943BF">
              <w:t>heightened supervision facility, secure facility, and residential treatment center)</w:t>
            </w:r>
          </w:p>
          <w:p w:rsidR="00144023" w:rsidRPr="004E698A" w:rsidP="00EA0E3D" w14:paraId="18CA518E" w14:textId="2E76D185">
            <w:pPr>
              <w:pStyle w:val="ListParagraph"/>
              <w:widowControl/>
              <w:numPr>
                <w:ilvl w:val="0"/>
                <w:numId w:val="34"/>
              </w:numPr>
              <w:suppressAutoHyphens w:val="0"/>
              <w:ind w:left="286" w:hanging="270"/>
            </w:pPr>
            <w:r w:rsidRPr="004E698A">
              <w:t>Add a new s</w:t>
            </w:r>
            <w:r w:rsidRPr="004E698A" w:rsidR="000943BF">
              <w:t>ubsection</w:t>
            </w:r>
            <w:r w:rsidRPr="004E698A" w:rsidR="00F102DC">
              <w:t xml:space="preserve"> for “Out-of-Network Hospital”</w:t>
            </w:r>
          </w:p>
        </w:tc>
        <w:tc>
          <w:tcPr>
            <w:tcW w:w="3420" w:type="dxa"/>
            <w:shd w:val="clear" w:color="auto" w:fill="FEF2CC" w:themeFill="accent4" w:themeFillTint="33"/>
          </w:tcPr>
          <w:p w:rsidR="002C2E02" w:rsidRPr="004E698A" w:rsidP="00EA0E3D" w14:paraId="0BCFCFD1" w14:textId="39D65FB4">
            <w:pPr>
              <w:widowControl/>
              <w:suppressAutoHyphens w:val="0"/>
            </w:pPr>
            <w:r w:rsidRPr="004E698A">
              <w:t>First set of changes are t</w:t>
            </w:r>
            <w:r w:rsidRPr="004E698A" w:rsidR="00E66A6B">
              <w:t>o align</w:t>
            </w:r>
            <w:r w:rsidRPr="004E698A">
              <w:t xml:space="preserve"> the criteria</w:t>
            </w:r>
            <w:r w:rsidRPr="004E698A" w:rsidR="00E66A6B">
              <w:t xml:space="preserve"> with ORR</w:t>
            </w:r>
            <w:r w:rsidRPr="004E698A" w:rsidR="00EC1D20">
              <w:t>’ Foundational Rule (</w:t>
            </w:r>
            <w:hyperlink r:id="rId10" w:history="1">
              <w:r w:rsidRPr="004E698A" w:rsidR="00DC5A44">
                <w:rPr>
                  <w:rStyle w:val="Hyperlink"/>
                </w:rPr>
                <w:t>45 CFR 410.1105</w:t>
              </w:r>
            </w:hyperlink>
            <w:r w:rsidRPr="004E698A" w:rsidR="00EC1D20">
              <w:t>)</w:t>
            </w:r>
            <w:r w:rsidRPr="004E698A" w:rsidR="00E66A6B">
              <w:t xml:space="preserve"> </w:t>
            </w:r>
            <w:r w:rsidRPr="004E698A" w:rsidR="00946722">
              <w:t xml:space="preserve">and </w:t>
            </w:r>
            <w:hyperlink r:id="rId11" w:anchor="1.2.4" w:history="1">
              <w:r w:rsidRPr="004E698A" w:rsidR="00946722">
                <w:rPr>
                  <w:rStyle w:val="Hyperlink"/>
                </w:rPr>
                <w:t xml:space="preserve">UAC Policy Guide Sections 1.2.4 </w:t>
              </w:r>
            </w:hyperlink>
            <w:r w:rsidRPr="004E698A" w:rsidR="00946722">
              <w:t xml:space="preserve">and </w:t>
            </w:r>
            <w:hyperlink r:id="rId11" w:anchor="1.4.6" w:history="1">
              <w:r w:rsidRPr="004E698A" w:rsidR="00946722">
                <w:rPr>
                  <w:rStyle w:val="Hyperlink"/>
                </w:rPr>
                <w:t>1.4.6</w:t>
              </w:r>
            </w:hyperlink>
            <w:r w:rsidRPr="004E698A">
              <w:t>.</w:t>
            </w:r>
          </w:p>
          <w:p w:rsidR="007D036C" w:rsidRPr="004E698A" w:rsidP="00EA0E3D" w14:paraId="26B1EF22" w14:textId="77777777">
            <w:pPr>
              <w:widowControl/>
              <w:suppressAutoHyphens w:val="0"/>
            </w:pPr>
          </w:p>
          <w:p w:rsidR="007D036C" w:rsidRPr="004E698A" w:rsidP="00EA0E3D" w14:paraId="24A7667D" w14:textId="6A1C841F">
            <w:pPr>
              <w:widowControl/>
              <w:suppressAutoHyphens w:val="0"/>
            </w:pPr>
            <w:r w:rsidRPr="004E698A">
              <w:t xml:space="preserve">Second change </w:t>
            </w:r>
            <w:r w:rsidRPr="004E698A" w:rsidR="00FA14DA">
              <w:t xml:space="preserve">is </w:t>
            </w:r>
            <w:r w:rsidRPr="004E698A" w:rsidR="00ED28B6">
              <w:t xml:space="preserve">to comply with </w:t>
            </w:r>
            <w:r w:rsidRPr="004E698A" w:rsidR="00A90C3C">
              <w:rPr>
                <w:i/>
                <w:iCs/>
              </w:rPr>
              <w:t>Flores</w:t>
            </w:r>
            <w:r w:rsidRPr="004E698A" w:rsidR="00A90C3C">
              <w:t xml:space="preserve"> litigation (Case No. CV85-4544-RJK (C.D. Cal. 1996))</w:t>
            </w:r>
            <w:r w:rsidRPr="004E698A" w:rsidR="003443B9">
              <w:t>.</w:t>
            </w:r>
          </w:p>
        </w:tc>
      </w:tr>
      <w:tr w14:paraId="5911DCCE" w14:textId="77777777" w:rsidTr="00A45907">
        <w:tblPrEx>
          <w:tblW w:w="10075" w:type="dxa"/>
          <w:tblLook w:val="04A0"/>
        </w:tblPrEx>
        <w:trPr>
          <w:trHeight w:val="2051"/>
        </w:trPr>
        <w:tc>
          <w:tcPr>
            <w:tcW w:w="2875" w:type="dxa"/>
            <w:shd w:val="clear" w:color="auto" w:fill="FEF2CC" w:themeFill="accent4" w:themeFillTint="33"/>
          </w:tcPr>
          <w:p w:rsidR="002C2E02" w:rsidRPr="004E698A" w:rsidP="00EA0E3D" w14:paraId="173F8EC9" w14:textId="6DD3515C">
            <w:pPr>
              <w:widowControl/>
              <w:suppressAutoHyphens w:val="0"/>
            </w:pPr>
            <w:r w:rsidRPr="004E698A">
              <w:t>Add “Translation” subsection</w:t>
            </w:r>
            <w:r w:rsidRPr="004E698A" w:rsidR="0056221B">
              <w:t xml:space="preserve"> to </w:t>
            </w:r>
            <w:r w:rsidRPr="004E698A" w:rsidR="00FA2ABE">
              <w:t>“</w:t>
            </w:r>
            <w:r w:rsidRPr="004E698A" w:rsidR="0056221B">
              <w:t xml:space="preserve">Section </w:t>
            </w:r>
            <w:r w:rsidRPr="004E698A" w:rsidR="00FA2ABE">
              <w:t>E</w:t>
            </w:r>
            <w:r w:rsidRPr="004E698A" w:rsidR="0056221B">
              <w:t>:</w:t>
            </w:r>
            <w:r w:rsidRPr="004E698A" w:rsidR="00FA2ABE">
              <w:t xml:space="preserve"> Acknowledgement and Certification”</w:t>
            </w:r>
          </w:p>
        </w:tc>
        <w:tc>
          <w:tcPr>
            <w:tcW w:w="3780" w:type="dxa"/>
            <w:shd w:val="clear" w:color="auto" w:fill="FEF2CC" w:themeFill="accent4" w:themeFillTint="33"/>
          </w:tcPr>
          <w:p w:rsidR="002C2E02" w:rsidRPr="004E698A" w:rsidP="00EA0E3D" w14:paraId="189633EF" w14:textId="6CF40CF7">
            <w:pPr>
              <w:widowControl/>
              <w:suppressAutoHyphens w:val="0"/>
            </w:pPr>
            <w:r w:rsidRPr="004E698A">
              <w:t>Information requested in subsection includes</w:t>
            </w:r>
            <w:r w:rsidRPr="004E698A" w:rsidR="00290871">
              <w:t>:</w:t>
            </w:r>
          </w:p>
          <w:p w:rsidR="00290871" w:rsidRPr="004E698A" w:rsidP="00EA0E3D" w14:paraId="5E3BE936" w14:textId="513A5130">
            <w:pPr>
              <w:pStyle w:val="ListParagraph"/>
              <w:widowControl/>
              <w:numPr>
                <w:ilvl w:val="0"/>
                <w:numId w:val="35"/>
              </w:numPr>
              <w:suppressAutoHyphens w:val="0"/>
              <w:ind w:left="286" w:hanging="270"/>
            </w:pPr>
            <w:r w:rsidRPr="004E698A">
              <w:t>Language</w:t>
            </w:r>
            <w:r w:rsidRPr="004E698A" w:rsidR="00A646E9">
              <w:t xml:space="preserve"> </w:t>
            </w:r>
            <w:r w:rsidRPr="004E698A">
              <w:t>form</w:t>
            </w:r>
            <w:r w:rsidRPr="004E698A" w:rsidR="00A646E9">
              <w:t xml:space="preserve"> was translated into</w:t>
            </w:r>
          </w:p>
          <w:p w:rsidR="00A646E9" w:rsidRPr="004E698A" w:rsidP="00EA0E3D" w14:paraId="605D7428" w14:textId="77777777">
            <w:pPr>
              <w:pStyle w:val="ListParagraph"/>
              <w:widowControl/>
              <w:numPr>
                <w:ilvl w:val="0"/>
                <w:numId w:val="35"/>
              </w:numPr>
              <w:suppressAutoHyphens w:val="0"/>
              <w:ind w:left="286" w:hanging="270"/>
            </w:pPr>
            <w:r w:rsidRPr="004E698A">
              <w:t>Who translated the form</w:t>
            </w:r>
          </w:p>
          <w:p w:rsidR="00D86D14" w:rsidRPr="004E698A" w:rsidP="00EA0E3D" w14:paraId="7C556E90" w14:textId="105D12C9">
            <w:pPr>
              <w:pStyle w:val="ListParagraph"/>
              <w:widowControl/>
              <w:numPr>
                <w:ilvl w:val="0"/>
                <w:numId w:val="35"/>
              </w:numPr>
              <w:suppressAutoHyphens w:val="0"/>
              <w:ind w:left="286" w:hanging="270"/>
            </w:pPr>
            <w:r w:rsidRPr="004E698A">
              <w:t>The translators ID# (if applicable)</w:t>
            </w:r>
          </w:p>
        </w:tc>
        <w:tc>
          <w:tcPr>
            <w:tcW w:w="3420" w:type="dxa"/>
            <w:shd w:val="clear" w:color="auto" w:fill="FEF2CC" w:themeFill="accent4" w:themeFillTint="33"/>
          </w:tcPr>
          <w:p w:rsidR="002C2E02" w:rsidRPr="004E698A" w:rsidP="00EA0E3D" w14:paraId="747F7755" w14:textId="74B592D4">
            <w:pPr>
              <w:widowControl/>
              <w:suppressAutoHyphens w:val="0"/>
            </w:pPr>
            <w:r w:rsidRPr="004E698A">
              <w:t>To help ORR monitor for compliance with its regulations, which requires that all documents be translated into the child’s native or preferred language for step ups and step downs from restrictive placements (</w:t>
            </w:r>
            <w:hyperlink r:id="rId13" w:anchor="p-410.1306(c)(4)" w:history="1">
              <w:r w:rsidRPr="004E698A">
                <w:rPr>
                  <w:rStyle w:val="Hyperlink"/>
                </w:rPr>
                <w:t>45 CFR 410.1306(c)(4)</w:t>
              </w:r>
            </w:hyperlink>
            <w:r w:rsidRPr="004E698A">
              <w:t xml:space="preserve">). </w:t>
            </w:r>
          </w:p>
        </w:tc>
      </w:tr>
    </w:tbl>
    <w:p w:rsidR="003C008F" w:rsidRPr="004E698A" w:rsidP="00EA0E3D" w14:paraId="6D965BA8" w14:textId="77777777">
      <w:pPr>
        <w:widowControl/>
        <w:suppressAutoHyphens w:val="0"/>
        <w:rPr>
          <w:b/>
          <w:bCs/>
        </w:rPr>
      </w:pPr>
    </w:p>
    <w:p w:rsidR="00D13252" w:rsidRPr="004E698A" w:rsidP="00EA0E3D" w14:paraId="66509871" w14:textId="0FFB9A63">
      <w:pPr>
        <w:widowControl/>
        <w:suppressAutoHyphens w:val="0"/>
        <w:spacing w:after="60"/>
        <w:rPr>
          <w:b/>
          <w:bCs/>
        </w:rPr>
      </w:pPr>
      <w:r w:rsidRPr="004E698A">
        <w:rPr>
          <w:b/>
          <w:bCs/>
        </w:rPr>
        <w:t xml:space="preserve">Unaccompanied </w:t>
      </w:r>
      <w:r w:rsidR="00E745DF">
        <w:rPr>
          <w:b/>
          <w:bCs/>
        </w:rPr>
        <w:t>[</w:t>
      </w:r>
      <w:r w:rsidR="00A70055">
        <w:rPr>
          <w:b/>
          <w:bCs/>
        </w:rPr>
        <w:t>Alien</w:t>
      </w:r>
      <w:r w:rsidR="00E745DF">
        <w:rPr>
          <w:b/>
          <w:bCs/>
        </w:rPr>
        <w:t>]</w:t>
      </w:r>
      <w:r w:rsidR="00A70055">
        <w:rPr>
          <w:b/>
          <w:bCs/>
        </w:rPr>
        <w:t xml:space="preserve"> </w:t>
      </w:r>
      <w:r w:rsidRPr="004E698A">
        <w:rPr>
          <w:b/>
          <w:bCs/>
        </w:rPr>
        <w:t xml:space="preserve">Child Referral </w:t>
      </w:r>
      <w:r w:rsidRPr="004E698A" w:rsidR="00924358">
        <w:rPr>
          <w:b/>
          <w:bCs/>
        </w:rPr>
        <w:t xml:space="preserve">(aka Intakes Placement Checklist) </w:t>
      </w:r>
      <w:r w:rsidRPr="004E698A">
        <w:rPr>
          <w:b/>
          <w:bCs/>
        </w:rPr>
        <w:t>(Form P-7)</w:t>
      </w:r>
    </w:p>
    <w:p w:rsidR="00665E6F" w:rsidP="00EA0E3D" w14:paraId="2E02D1A0" w14:textId="2AEE698A">
      <w:pPr>
        <w:widowControl/>
        <w:suppressAutoHyphens w:val="0"/>
      </w:pPr>
      <w:r w:rsidRPr="004E698A">
        <w:t xml:space="preserve">ORR has two versions of Form P-7 approved under this information collection. </w:t>
      </w:r>
      <w:r w:rsidRPr="004E698A" w:rsidR="00924358">
        <w:t>The first version</w:t>
      </w:r>
      <w:r w:rsidRPr="004E698A" w:rsidR="00534269">
        <w:t xml:space="preserve">, titled Unaccompanied </w:t>
      </w:r>
      <w:r w:rsidR="00E745DF">
        <w:t xml:space="preserve">[Alien] </w:t>
      </w:r>
      <w:r w:rsidRPr="004E698A" w:rsidR="00534269">
        <w:t>Child Referral,</w:t>
      </w:r>
      <w:r w:rsidRPr="004E698A" w:rsidR="000E083C">
        <w:t xml:space="preserve"> was created for the UAC Path system, which was never implemented. The second version</w:t>
      </w:r>
      <w:r w:rsidRPr="004E698A" w:rsidR="00534269">
        <w:t xml:space="preserve">, titled Intakes Placement Checklist, is a PDF </w:t>
      </w:r>
      <w:r w:rsidRPr="004E698A" w:rsidR="00035690">
        <w:t>version that is currently in use. ORR is only proposing revisions</w:t>
      </w:r>
      <w:r w:rsidRPr="004E698A" w:rsidR="00605CD5">
        <w:t xml:space="preserve"> to the PDF version of this form.</w:t>
      </w:r>
    </w:p>
    <w:p w:rsidR="005D0AC0" w:rsidP="00EA0E3D" w14:paraId="0452FC96" w14:textId="77777777">
      <w:pPr>
        <w:widowControl/>
        <w:suppressAutoHyphens w:val="0"/>
      </w:pPr>
    </w:p>
    <w:p w:rsidR="005D0AC0" w:rsidP="00EA0E3D" w14:paraId="6DC7EF32" w14:textId="68D2F5F3">
      <w:pPr>
        <w:spacing w:after="60"/>
        <w:rPr>
          <w:kern w:val="24"/>
        </w:rPr>
      </w:pPr>
      <w:r>
        <w:rPr>
          <w:kern w:val="24"/>
        </w:rPr>
        <w:t>This form is completed by contractor staff within ORR’s Division of Placements. Staff were consulted to ensure the updated criteria are understood. Instructions were added based on staff feedback and the form was reorganized to help staff better understand how they are expected to make placement determinations. New fields were kept to a minimum and only fields necessary to ensure proper documentation of placement determinations were added.</w:t>
      </w:r>
    </w:p>
    <w:p w:rsidR="008325AE" w:rsidRPr="004E698A" w:rsidP="00EA0E3D" w14:paraId="177AC12C" w14:textId="77777777">
      <w:pPr>
        <w:widowControl/>
        <w:suppressAutoHyphens w:val="0"/>
      </w:pPr>
    </w:p>
    <w:tbl>
      <w:tblPr>
        <w:tblStyle w:val="TableGrid"/>
        <w:tblW w:w="10075" w:type="dxa"/>
        <w:tblLook w:val="04A0"/>
      </w:tblPr>
      <w:tblGrid>
        <w:gridCol w:w="3116"/>
        <w:gridCol w:w="3539"/>
        <w:gridCol w:w="3420"/>
      </w:tblGrid>
      <w:tr w14:paraId="3E6CF4CA" w14:textId="77777777" w:rsidTr="00327E71">
        <w:tblPrEx>
          <w:tblW w:w="10075" w:type="dxa"/>
          <w:tblLook w:val="04A0"/>
        </w:tblPrEx>
        <w:trPr>
          <w:trHeight w:val="360"/>
        </w:trPr>
        <w:tc>
          <w:tcPr>
            <w:tcW w:w="3116" w:type="dxa"/>
            <w:shd w:val="clear" w:color="auto" w:fill="F2F2F2" w:themeFill="background1" w:themeFillShade="F2"/>
            <w:vAlign w:val="center"/>
          </w:tcPr>
          <w:p w:rsidR="008325AE" w:rsidRPr="004E698A" w:rsidP="00EA0E3D" w14:paraId="0D27AE2A" w14:textId="77777777">
            <w:pPr>
              <w:widowControl/>
              <w:suppressAutoHyphens w:val="0"/>
              <w:rPr>
                <w:b/>
                <w:bCs/>
              </w:rPr>
            </w:pPr>
            <w:r w:rsidRPr="004E698A">
              <w:rPr>
                <w:b/>
                <w:bCs/>
              </w:rPr>
              <w:t>Proposed Change</w:t>
            </w:r>
          </w:p>
        </w:tc>
        <w:tc>
          <w:tcPr>
            <w:tcW w:w="3539" w:type="dxa"/>
            <w:shd w:val="clear" w:color="auto" w:fill="F2F2F2" w:themeFill="background1" w:themeFillShade="F2"/>
            <w:vAlign w:val="center"/>
          </w:tcPr>
          <w:p w:rsidR="008325AE" w:rsidRPr="004E698A" w:rsidP="00EA0E3D" w14:paraId="46514657" w14:textId="77777777">
            <w:pPr>
              <w:widowControl/>
              <w:suppressAutoHyphens w:val="0"/>
              <w:rPr>
                <w:b/>
                <w:bCs/>
              </w:rPr>
            </w:pPr>
            <w:r w:rsidRPr="004E698A">
              <w:rPr>
                <w:b/>
                <w:bCs/>
              </w:rPr>
              <w:t>Details</w:t>
            </w:r>
          </w:p>
        </w:tc>
        <w:tc>
          <w:tcPr>
            <w:tcW w:w="3420" w:type="dxa"/>
            <w:shd w:val="clear" w:color="auto" w:fill="F2F2F2" w:themeFill="background1" w:themeFillShade="F2"/>
            <w:vAlign w:val="center"/>
          </w:tcPr>
          <w:p w:rsidR="008325AE" w:rsidRPr="004E698A" w:rsidP="00EA0E3D" w14:paraId="37046394" w14:textId="77777777">
            <w:pPr>
              <w:widowControl/>
              <w:suppressAutoHyphens w:val="0"/>
              <w:rPr>
                <w:b/>
                <w:bCs/>
              </w:rPr>
            </w:pPr>
            <w:r w:rsidRPr="004E698A">
              <w:rPr>
                <w:b/>
                <w:bCs/>
              </w:rPr>
              <w:t>Context</w:t>
            </w:r>
          </w:p>
        </w:tc>
      </w:tr>
      <w:tr w14:paraId="651B8C63" w14:textId="77777777" w:rsidTr="00327E71">
        <w:tblPrEx>
          <w:tblW w:w="10075" w:type="dxa"/>
          <w:tblLook w:val="04A0"/>
        </w:tblPrEx>
        <w:trPr>
          <w:trHeight w:val="70"/>
        </w:trPr>
        <w:tc>
          <w:tcPr>
            <w:tcW w:w="3116" w:type="dxa"/>
          </w:tcPr>
          <w:p w:rsidR="008325AE" w:rsidRPr="004E698A" w:rsidP="00EA0E3D" w14:paraId="5FFDB3E5" w14:textId="2803D6B3">
            <w:pPr>
              <w:widowControl/>
              <w:suppressAutoHyphens w:val="0"/>
            </w:pPr>
            <w:r w:rsidRPr="004E698A">
              <w:t>Change form title</w:t>
            </w:r>
          </w:p>
        </w:tc>
        <w:tc>
          <w:tcPr>
            <w:tcW w:w="3539" w:type="dxa"/>
          </w:tcPr>
          <w:p w:rsidR="008325AE" w:rsidRPr="004E698A" w:rsidP="00EA0E3D" w14:paraId="602F16EE" w14:textId="561F8121">
            <w:pPr>
              <w:widowControl/>
              <w:suppressAutoHyphens w:val="0"/>
            </w:pPr>
            <w:r w:rsidRPr="004E698A">
              <w:t>Change from</w:t>
            </w:r>
            <w:r w:rsidRPr="004E698A" w:rsidR="00AA1382">
              <w:t xml:space="preserve"> “Intakes Placement Checklist” to “Intakes Restrictive Placement Checklist”</w:t>
            </w:r>
          </w:p>
        </w:tc>
        <w:tc>
          <w:tcPr>
            <w:tcW w:w="3420" w:type="dxa"/>
          </w:tcPr>
          <w:p w:rsidR="006C68D8" w:rsidRPr="004E698A" w:rsidP="00EA0E3D" w14:paraId="1E08FC37" w14:textId="76BB2280">
            <w:pPr>
              <w:widowControl/>
              <w:suppressAutoHyphens w:val="0"/>
            </w:pPr>
            <w:r w:rsidRPr="004E698A">
              <w:t>To better align the form’s title with its purpose</w:t>
            </w:r>
          </w:p>
          <w:p w:rsidR="008325AE" w:rsidRPr="004E698A" w:rsidP="00EA0E3D" w14:paraId="098F9A35" w14:textId="0E0B27FB">
            <w:pPr>
              <w:widowControl/>
              <w:suppressAutoHyphens w:val="0"/>
            </w:pPr>
          </w:p>
        </w:tc>
      </w:tr>
      <w:tr w14:paraId="0FD82CEE" w14:textId="77777777" w:rsidTr="00327E71">
        <w:tblPrEx>
          <w:tblW w:w="10075" w:type="dxa"/>
          <w:tblLook w:val="04A0"/>
        </w:tblPrEx>
        <w:trPr>
          <w:trHeight w:val="70"/>
        </w:trPr>
        <w:tc>
          <w:tcPr>
            <w:tcW w:w="3116" w:type="dxa"/>
          </w:tcPr>
          <w:p w:rsidR="006C68D8" w:rsidRPr="004E698A" w:rsidP="00EA0E3D" w14:paraId="2B0C4834" w14:textId="77777777">
            <w:pPr>
              <w:widowControl/>
              <w:suppressAutoHyphens w:val="0"/>
            </w:pPr>
            <w:r w:rsidRPr="004E698A">
              <w:t>Update terminology to align with ORR regulations and to comply with guidance from the current Administration</w:t>
            </w:r>
          </w:p>
          <w:p w:rsidR="006C68D8" w:rsidRPr="004E698A" w:rsidP="00EA0E3D" w14:paraId="6CE5A773" w14:textId="5C874CB6">
            <w:pPr>
              <w:widowControl/>
              <w:suppressAutoHyphens w:val="0"/>
            </w:pPr>
          </w:p>
        </w:tc>
        <w:tc>
          <w:tcPr>
            <w:tcW w:w="3539" w:type="dxa"/>
          </w:tcPr>
          <w:p w:rsidR="006C68D8" w:rsidRPr="004E698A" w:rsidP="00EA0E3D" w14:paraId="113ABBF3" w14:textId="77777777">
            <w:pPr>
              <w:pStyle w:val="ListParagraph"/>
              <w:widowControl/>
              <w:numPr>
                <w:ilvl w:val="0"/>
                <w:numId w:val="31"/>
              </w:numPr>
              <w:suppressAutoHyphens w:val="0"/>
              <w:ind w:left="196" w:hanging="180"/>
            </w:pPr>
            <w:r w:rsidRPr="004E698A">
              <w:t>Change “staff secure” to “heightened supervision facility”</w:t>
            </w:r>
          </w:p>
          <w:p w:rsidR="006C68D8" w:rsidRPr="004E698A" w:rsidP="00EA0E3D" w14:paraId="15491094" w14:textId="77777777">
            <w:pPr>
              <w:pStyle w:val="ListParagraph"/>
              <w:widowControl/>
              <w:numPr>
                <w:ilvl w:val="0"/>
                <w:numId w:val="31"/>
              </w:numPr>
              <w:suppressAutoHyphens w:val="0"/>
              <w:ind w:left="196" w:hanging="180"/>
            </w:pPr>
            <w:r w:rsidRPr="004E698A">
              <w:t>Change “gender” to “sex”</w:t>
            </w:r>
          </w:p>
          <w:p w:rsidR="006C68D8" w:rsidRPr="004E698A" w:rsidP="00EA0E3D" w14:paraId="3BA025D5" w14:textId="77777777">
            <w:pPr>
              <w:pStyle w:val="ListParagraph"/>
              <w:widowControl/>
              <w:numPr>
                <w:ilvl w:val="0"/>
                <w:numId w:val="31"/>
              </w:numPr>
              <w:suppressAutoHyphens w:val="0"/>
              <w:ind w:left="196" w:hanging="180"/>
            </w:pPr>
            <w:r w:rsidRPr="004E698A">
              <w:t>Change “unaccompanied child” to “child” or “unaccompanied alien child”</w:t>
            </w:r>
          </w:p>
          <w:p w:rsidR="006C68D8" w:rsidRPr="004E698A" w:rsidP="00EA0E3D" w14:paraId="16770959" w14:textId="3E479E0E">
            <w:pPr>
              <w:widowControl/>
              <w:suppressAutoHyphens w:val="0"/>
            </w:pPr>
          </w:p>
        </w:tc>
        <w:tc>
          <w:tcPr>
            <w:tcW w:w="3420" w:type="dxa"/>
          </w:tcPr>
          <w:p w:rsidR="006C68D8" w:rsidRPr="004E698A" w:rsidP="00EA0E3D" w14:paraId="6FAE6150" w14:textId="344DF1C9">
            <w:pPr>
              <w:widowControl/>
              <w:suppressAutoHyphens w:val="0"/>
            </w:pPr>
            <w:r w:rsidRPr="004E698A">
              <w:t>To align with ORR’s Foundational Rule (</w:t>
            </w:r>
            <w:hyperlink r:id="rId12" w:history="1">
              <w:r w:rsidRPr="004E698A">
                <w:rPr>
                  <w:rStyle w:val="Hyperlink"/>
                </w:rPr>
                <w:t>45 CFR 410.1001</w:t>
              </w:r>
            </w:hyperlink>
            <w:r w:rsidRPr="004E698A">
              <w:t xml:space="preserve">) and to comply with Executive Order 14168 </w:t>
            </w:r>
            <w:r w:rsidRPr="004E698A">
              <w:rPr>
                <w:i/>
                <w:iCs/>
              </w:rPr>
              <w:t>Defending Women from Gender Ideology Extremism and Restoring Biological Truth to the Federal Government</w:t>
            </w:r>
            <w:r w:rsidRPr="004E698A">
              <w:t>, as well as other guidance from the current Administration</w:t>
            </w:r>
          </w:p>
        </w:tc>
      </w:tr>
      <w:tr w14:paraId="0D1CF820" w14:textId="77777777" w:rsidTr="00327E71">
        <w:tblPrEx>
          <w:tblW w:w="10075" w:type="dxa"/>
          <w:tblLook w:val="04A0"/>
        </w:tblPrEx>
        <w:trPr>
          <w:trHeight w:val="70"/>
        </w:trPr>
        <w:tc>
          <w:tcPr>
            <w:tcW w:w="3116" w:type="dxa"/>
          </w:tcPr>
          <w:p w:rsidR="00477FB4" w:rsidRPr="004E698A" w:rsidP="00EA0E3D" w14:paraId="27C337EA" w14:textId="777027FF">
            <w:pPr>
              <w:widowControl/>
              <w:suppressAutoHyphens w:val="0"/>
            </w:pPr>
            <w:r w:rsidRPr="004E698A">
              <w:t>Reorganize “</w:t>
            </w:r>
            <w:r w:rsidRPr="004E698A" w:rsidR="00923BD3">
              <w:t xml:space="preserve">Section B: </w:t>
            </w:r>
            <w:r w:rsidRPr="004E698A">
              <w:t>Heightened Supervision Facility Criteria” and “</w:t>
            </w:r>
            <w:r w:rsidRPr="004E698A" w:rsidR="00923BD3">
              <w:t xml:space="preserve">Section C: </w:t>
            </w:r>
            <w:r w:rsidRPr="004E698A">
              <w:t xml:space="preserve">Secure Facility Criteria” </w:t>
            </w:r>
          </w:p>
        </w:tc>
        <w:tc>
          <w:tcPr>
            <w:tcW w:w="3539" w:type="dxa"/>
          </w:tcPr>
          <w:p w:rsidR="00477FB4" w:rsidRPr="004E698A" w:rsidP="00EA0E3D" w14:paraId="66560A83" w14:textId="77777777">
            <w:pPr>
              <w:widowControl/>
              <w:suppressAutoHyphens w:val="0"/>
            </w:pPr>
            <w:r w:rsidRPr="004E698A">
              <w:t>Each section will include:</w:t>
            </w:r>
          </w:p>
          <w:p w:rsidR="00923BD3" w:rsidRPr="004E698A" w:rsidP="00EA0E3D" w14:paraId="64F6D834" w14:textId="77777777">
            <w:pPr>
              <w:pStyle w:val="ListParagraph"/>
              <w:widowControl/>
              <w:numPr>
                <w:ilvl w:val="0"/>
                <w:numId w:val="32"/>
              </w:numPr>
              <w:suppressAutoHyphens w:val="0"/>
              <w:ind w:left="196" w:hanging="180"/>
            </w:pPr>
            <w:r w:rsidRPr="004E698A">
              <w:t>A brief definition of the type of facility</w:t>
            </w:r>
          </w:p>
          <w:p w:rsidR="00923BD3" w:rsidRPr="004E698A" w:rsidP="00EA0E3D" w14:paraId="6CD13E12" w14:textId="77777777">
            <w:pPr>
              <w:pStyle w:val="ListParagraph"/>
              <w:widowControl/>
              <w:numPr>
                <w:ilvl w:val="0"/>
                <w:numId w:val="32"/>
              </w:numPr>
              <w:suppressAutoHyphens w:val="0"/>
              <w:ind w:left="196" w:hanging="180"/>
            </w:pPr>
            <w:r w:rsidRPr="004E698A">
              <w:t>A reminder that placement decisions must be made based on clear and convincing evidence along with the definition for clear and convincing evidence</w:t>
            </w:r>
          </w:p>
          <w:p w:rsidR="00923BD3" w:rsidRPr="004E698A" w:rsidP="00EA0E3D" w14:paraId="32472A0E" w14:textId="77777777">
            <w:pPr>
              <w:pStyle w:val="ListParagraph"/>
              <w:widowControl/>
              <w:numPr>
                <w:ilvl w:val="0"/>
                <w:numId w:val="32"/>
              </w:numPr>
              <w:suppressAutoHyphens w:val="0"/>
              <w:ind w:left="196" w:hanging="180"/>
            </w:pPr>
            <w:r w:rsidRPr="004E698A">
              <w:t>A subsection for each criterion that includes:</w:t>
            </w:r>
          </w:p>
          <w:p w:rsidR="00923BD3" w:rsidRPr="004E698A" w:rsidP="00EA0E3D" w14:paraId="6F253C1E" w14:textId="77777777">
            <w:pPr>
              <w:pStyle w:val="ListParagraph"/>
              <w:widowControl/>
              <w:numPr>
                <w:ilvl w:val="1"/>
                <w:numId w:val="32"/>
              </w:numPr>
              <w:suppressAutoHyphens w:val="0"/>
              <w:ind w:left="556" w:hanging="270"/>
            </w:pPr>
            <w:r w:rsidRPr="004E698A">
              <w:t>The criterion, as written in ORR regulations and policy</w:t>
            </w:r>
          </w:p>
          <w:p w:rsidR="00923BD3" w:rsidRPr="004E698A" w:rsidP="00EA0E3D" w14:paraId="02802D5C" w14:textId="77777777">
            <w:pPr>
              <w:pStyle w:val="ListParagraph"/>
              <w:widowControl/>
              <w:numPr>
                <w:ilvl w:val="1"/>
                <w:numId w:val="32"/>
              </w:numPr>
              <w:suppressAutoHyphens w:val="0"/>
              <w:ind w:left="556" w:hanging="270"/>
            </w:pPr>
            <w:r w:rsidRPr="004E698A">
              <w:t>A list of supporting factors that may be used to help determine whether the child meets the criterion</w:t>
            </w:r>
          </w:p>
          <w:p w:rsidR="00A01747" w:rsidRPr="004E698A" w:rsidP="00EA0E3D" w14:paraId="0744DBA9" w14:textId="0C52E6B9">
            <w:pPr>
              <w:pStyle w:val="ListParagraph"/>
              <w:widowControl/>
              <w:numPr>
                <w:ilvl w:val="1"/>
                <w:numId w:val="32"/>
              </w:numPr>
              <w:suppressAutoHyphens w:val="0"/>
              <w:ind w:left="556" w:hanging="270"/>
            </w:pPr>
            <w:r w:rsidRPr="004E698A">
              <w:t>A final determination on whether the criterion is met</w:t>
            </w:r>
          </w:p>
        </w:tc>
        <w:tc>
          <w:tcPr>
            <w:tcW w:w="3420" w:type="dxa"/>
          </w:tcPr>
          <w:p w:rsidR="00477FB4" w:rsidRPr="004E698A" w:rsidP="00EA0E3D" w14:paraId="77AB9917" w14:textId="65443CA3">
            <w:pPr>
              <w:widowControl/>
              <w:suppressAutoHyphens w:val="0"/>
            </w:pPr>
            <w:r w:rsidRPr="004E698A">
              <w:t>For clarity</w:t>
            </w:r>
          </w:p>
        </w:tc>
      </w:tr>
      <w:tr w14:paraId="022B5AEB" w14:textId="77777777" w:rsidTr="00A45907">
        <w:tblPrEx>
          <w:tblW w:w="10075" w:type="dxa"/>
          <w:tblLook w:val="04A0"/>
        </w:tblPrEx>
        <w:trPr>
          <w:trHeight w:val="70"/>
        </w:trPr>
        <w:tc>
          <w:tcPr>
            <w:tcW w:w="3116" w:type="dxa"/>
            <w:shd w:val="clear" w:color="auto" w:fill="FEF2CC" w:themeFill="accent4" w:themeFillTint="33"/>
          </w:tcPr>
          <w:p w:rsidR="00477FB4" w:rsidRPr="004E698A" w:rsidP="00EA0E3D" w14:paraId="525105A2" w14:textId="58B21DEA">
            <w:pPr>
              <w:widowControl/>
              <w:suppressAutoHyphens w:val="0"/>
            </w:pPr>
            <w:r w:rsidRPr="004E698A">
              <w:t>Update criteria and supporting factors</w:t>
            </w:r>
            <w:r w:rsidRPr="004E698A" w:rsidR="00564768">
              <w:t xml:space="preserve"> in Sections B and C</w:t>
            </w:r>
          </w:p>
        </w:tc>
        <w:tc>
          <w:tcPr>
            <w:tcW w:w="3539" w:type="dxa"/>
            <w:shd w:val="clear" w:color="auto" w:fill="FEF2CC" w:themeFill="accent4" w:themeFillTint="33"/>
          </w:tcPr>
          <w:p w:rsidR="00F775C0" w:rsidRPr="004E698A" w:rsidP="00EA0E3D" w14:paraId="0951F930" w14:textId="62FF97BD">
            <w:pPr>
              <w:widowControl/>
              <w:suppressAutoHyphens w:val="0"/>
            </w:pPr>
            <w:r w:rsidRPr="004E698A">
              <w:t xml:space="preserve">Criteria </w:t>
            </w:r>
            <w:r w:rsidRPr="004E698A" w:rsidR="00EF5468">
              <w:t xml:space="preserve">and supporting factors will be </w:t>
            </w:r>
            <w:r w:rsidRPr="004E698A">
              <w:t>updated to</w:t>
            </w:r>
            <w:r w:rsidRPr="004E698A">
              <w:t xml:space="preserve"> mirror language used in the Foundational Rule, and any language</w:t>
            </w:r>
            <w:r w:rsidRPr="004E698A" w:rsidR="00EF5468">
              <w:t xml:space="preserve"> that contradicts or does not align with the Rule will be removed</w:t>
            </w:r>
          </w:p>
        </w:tc>
        <w:tc>
          <w:tcPr>
            <w:tcW w:w="3420" w:type="dxa"/>
            <w:shd w:val="clear" w:color="auto" w:fill="FEF2CC" w:themeFill="accent4" w:themeFillTint="33"/>
          </w:tcPr>
          <w:p w:rsidR="00A01747" w:rsidRPr="004E698A" w:rsidP="00EA0E3D" w14:paraId="28D1580B" w14:textId="62418EF4">
            <w:pPr>
              <w:widowControl/>
              <w:suppressAutoHyphens w:val="0"/>
            </w:pPr>
            <w:r w:rsidRPr="004E698A">
              <w:t>To align the criteria with ORR’ Foundational Rule (</w:t>
            </w:r>
            <w:hyperlink r:id="rId10" w:history="1">
              <w:r w:rsidRPr="004E698A">
                <w:rPr>
                  <w:rStyle w:val="Hyperlink"/>
                </w:rPr>
                <w:t>45 CFR 410.1105</w:t>
              </w:r>
            </w:hyperlink>
            <w:r w:rsidRPr="004E698A">
              <w:t xml:space="preserve">) and </w:t>
            </w:r>
            <w:hyperlink r:id="rId11" w:anchor="1.2.4" w:history="1">
              <w:r w:rsidRPr="004E698A">
                <w:rPr>
                  <w:rStyle w:val="Hyperlink"/>
                </w:rPr>
                <w:t xml:space="preserve">UAC Policy Guide Sections 1.2.4 </w:t>
              </w:r>
            </w:hyperlink>
            <w:r w:rsidRPr="004E698A">
              <w:t xml:space="preserve">and </w:t>
            </w:r>
            <w:hyperlink r:id="rId11" w:anchor="1.4.6" w:history="1">
              <w:r w:rsidRPr="004E698A">
                <w:rPr>
                  <w:rStyle w:val="Hyperlink"/>
                </w:rPr>
                <w:t>1.4.6</w:t>
              </w:r>
            </w:hyperlink>
            <w:r w:rsidRPr="004E698A">
              <w:t>.</w:t>
            </w:r>
          </w:p>
        </w:tc>
      </w:tr>
      <w:tr w14:paraId="6B07E620" w14:textId="77777777" w:rsidTr="00A45907">
        <w:tblPrEx>
          <w:tblW w:w="10075" w:type="dxa"/>
          <w:tblLook w:val="04A0"/>
        </w:tblPrEx>
        <w:trPr>
          <w:trHeight w:val="70"/>
        </w:trPr>
        <w:tc>
          <w:tcPr>
            <w:tcW w:w="3116" w:type="dxa"/>
            <w:shd w:val="clear" w:color="auto" w:fill="FEF2CC" w:themeFill="accent4" w:themeFillTint="33"/>
          </w:tcPr>
          <w:p w:rsidR="00477FB4" w:rsidRPr="004E698A" w:rsidP="00EA0E3D" w14:paraId="5DB5FA59" w14:textId="76983D33">
            <w:pPr>
              <w:widowControl/>
              <w:suppressAutoHyphens w:val="0"/>
            </w:pPr>
            <w:r w:rsidRPr="004E698A">
              <w:t>Add follow-up questions in Sections B and C</w:t>
            </w:r>
          </w:p>
        </w:tc>
        <w:tc>
          <w:tcPr>
            <w:tcW w:w="3539" w:type="dxa"/>
            <w:shd w:val="clear" w:color="auto" w:fill="FEF2CC" w:themeFill="accent4" w:themeFillTint="33"/>
          </w:tcPr>
          <w:p w:rsidR="00A81D1E" w:rsidRPr="004E698A" w:rsidP="00EA0E3D" w14:paraId="1CAACD15" w14:textId="39BA6F11">
            <w:pPr>
              <w:widowControl/>
              <w:suppressAutoHyphens w:val="0"/>
            </w:pPr>
            <w:r w:rsidRPr="004E698A">
              <w:t>Users are asked to:</w:t>
            </w:r>
          </w:p>
          <w:p w:rsidR="00AC1411" w:rsidRPr="004E698A" w:rsidP="00EA0E3D" w14:paraId="0DC94D33" w14:textId="426AF7A2">
            <w:pPr>
              <w:pStyle w:val="ListParagraph"/>
              <w:widowControl/>
              <w:numPr>
                <w:ilvl w:val="0"/>
                <w:numId w:val="32"/>
              </w:numPr>
              <w:suppressAutoHyphens w:val="0"/>
              <w:ind w:left="196" w:hanging="180"/>
            </w:pPr>
            <w:r w:rsidRPr="004E698A">
              <w:t>List the evidence used to determine whether the child meets the criteria for placement</w:t>
            </w:r>
          </w:p>
          <w:p w:rsidR="00477FB4" w:rsidRPr="004E698A" w:rsidP="00EA0E3D" w14:paraId="2952088B" w14:textId="0AA04E16">
            <w:pPr>
              <w:pStyle w:val="ListParagraph"/>
              <w:widowControl/>
              <w:numPr>
                <w:ilvl w:val="0"/>
                <w:numId w:val="32"/>
              </w:numPr>
              <w:suppressAutoHyphens w:val="0"/>
              <w:ind w:left="196" w:hanging="180"/>
            </w:pPr>
            <w:r w:rsidRPr="004E698A">
              <w:t>Confirm whether there is clear and convincing evidence that the child meets the criteria for placement</w:t>
            </w:r>
          </w:p>
        </w:tc>
        <w:tc>
          <w:tcPr>
            <w:tcW w:w="3420" w:type="dxa"/>
            <w:shd w:val="clear" w:color="auto" w:fill="FEF2CC" w:themeFill="accent4" w:themeFillTint="33"/>
          </w:tcPr>
          <w:p w:rsidR="004556F8" w:rsidRPr="004E698A" w:rsidP="00EA0E3D" w14:paraId="65693F83" w14:textId="77777777">
            <w:pPr>
              <w:widowControl/>
              <w:suppressAutoHyphens w:val="0"/>
            </w:pPr>
            <w:r w:rsidRPr="004E698A">
              <w:t xml:space="preserve">First </w:t>
            </w:r>
            <w:r w:rsidRPr="004E698A" w:rsidR="00BD7C41">
              <w:t xml:space="preserve">question </w:t>
            </w:r>
            <w:r w:rsidRPr="004E698A" w:rsidR="009B6090">
              <w:t xml:space="preserve">is </w:t>
            </w:r>
            <w:r w:rsidRPr="004E698A" w:rsidR="00074088">
              <w:t>asked so that there is a record of what information/documents were relied upon</w:t>
            </w:r>
            <w:r w:rsidRPr="004E698A">
              <w:t xml:space="preserve"> to make the placement determination.</w:t>
            </w:r>
          </w:p>
          <w:p w:rsidR="004556F8" w:rsidRPr="004E698A" w:rsidP="00EA0E3D" w14:paraId="1F623054" w14:textId="77777777">
            <w:pPr>
              <w:widowControl/>
              <w:suppressAutoHyphens w:val="0"/>
            </w:pPr>
          </w:p>
          <w:p w:rsidR="00477FB4" w:rsidRPr="004E698A" w:rsidP="00EA0E3D" w14:paraId="4B1E78AA" w14:textId="608C9EA1">
            <w:pPr>
              <w:widowControl/>
              <w:suppressAutoHyphens w:val="0"/>
            </w:pPr>
            <w:r w:rsidRPr="004E698A">
              <w:t xml:space="preserve">Second question is asked </w:t>
            </w:r>
            <w:r w:rsidRPr="004E698A" w:rsidR="004A4D0A">
              <w:t xml:space="preserve">to </w:t>
            </w:r>
            <w:r w:rsidRPr="004E698A" w:rsidR="00E31C37">
              <w:t xml:space="preserve">remove any ambiguity regarding whether each criterion </w:t>
            </w:r>
            <w:r w:rsidRPr="004E698A" w:rsidR="00F03432">
              <w:t xml:space="preserve">was </w:t>
            </w:r>
            <w:r w:rsidRPr="004E698A" w:rsidR="00E31C37">
              <w:t>met</w:t>
            </w:r>
            <w:r w:rsidRPr="004E698A" w:rsidR="00F03432">
              <w:t>.</w:t>
            </w:r>
          </w:p>
        </w:tc>
      </w:tr>
      <w:tr w14:paraId="41B8AB7A" w14:textId="77777777" w:rsidTr="00327E71">
        <w:tblPrEx>
          <w:tblW w:w="10075" w:type="dxa"/>
          <w:tblLook w:val="04A0"/>
        </w:tblPrEx>
        <w:trPr>
          <w:trHeight w:val="70"/>
        </w:trPr>
        <w:tc>
          <w:tcPr>
            <w:tcW w:w="3116" w:type="dxa"/>
          </w:tcPr>
          <w:p w:rsidR="00477FB4" w:rsidRPr="004E698A" w:rsidP="00EA0E3D" w14:paraId="539F3590" w14:textId="389C650F">
            <w:pPr>
              <w:widowControl/>
              <w:suppressAutoHyphens w:val="0"/>
            </w:pPr>
            <w:r w:rsidRPr="004E698A">
              <w:t>Update “Section D: Placement Determination”</w:t>
            </w:r>
          </w:p>
        </w:tc>
        <w:tc>
          <w:tcPr>
            <w:tcW w:w="3539" w:type="dxa"/>
          </w:tcPr>
          <w:p w:rsidR="00FF4831" w:rsidRPr="004E698A" w:rsidP="00EA0E3D" w14:paraId="4BFAEB0F" w14:textId="77777777">
            <w:pPr>
              <w:pStyle w:val="ListParagraph"/>
              <w:widowControl/>
              <w:numPr>
                <w:ilvl w:val="0"/>
                <w:numId w:val="32"/>
              </w:numPr>
              <w:suppressAutoHyphens w:val="0"/>
              <w:ind w:left="196" w:hanging="180"/>
            </w:pPr>
            <w:r w:rsidRPr="004E698A">
              <w:t>Add subheadings to separate fields related to the “Intakes Specialist Recommended Level of Care” from the “Placements Supervisor Level of Care Determination”</w:t>
            </w:r>
          </w:p>
          <w:p w:rsidR="00D3058A" w:rsidRPr="004E698A" w:rsidP="00EA0E3D" w14:paraId="2DCBFFD9" w14:textId="77777777">
            <w:pPr>
              <w:pStyle w:val="ListParagraph"/>
              <w:widowControl/>
              <w:numPr>
                <w:ilvl w:val="0"/>
                <w:numId w:val="32"/>
              </w:numPr>
              <w:suppressAutoHyphens w:val="0"/>
              <w:ind w:left="196" w:hanging="180"/>
            </w:pPr>
            <w:r w:rsidRPr="004E698A">
              <w:t>Replace the “Recommended Placement” radio buttons with a “Recommended Level of Care” dropdown field</w:t>
            </w:r>
          </w:p>
          <w:p w:rsidR="00FF4831" w:rsidRPr="004E698A" w:rsidP="00EA0E3D" w14:paraId="741879EF" w14:textId="77777777">
            <w:pPr>
              <w:pStyle w:val="ListParagraph"/>
              <w:widowControl/>
              <w:numPr>
                <w:ilvl w:val="0"/>
                <w:numId w:val="32"/>
              </w:numPr>
              <w:suppressAutoHyphens w:val="0"/>
              <w:ind w:left="196" w:hanging="180"/>
            </w:pPr>
            <w:r w:rsidRPr="004E698A">
              <w:t>Update field labels to reflect that the responsibility for making a final level of care determination has moved from the Federal Field Specialist (FFS) to the Placements Supervisor</w:t>
            </w:r>
          </w:p>
          <w:p w:rsidR="00FF4831" w:rsidRPr="004E698A" w:rsidP="00EA0E3D" w14:paraId="6A0ABDB5" w14:textId="77777777">
            <w:pPr>
              <w:pStyle w:val="ListParagraph"/>
              <w:widowControl/>
              <w:numPr>
                <w:ilvl w:val="0"/>
                <w:numId w:val="32"/>
              </w:numPr>
              <w:suppressAutoHyphens w:val="0"/>
              <w:ind w:left="196" w:hanging="180"/>
            </w:pPr>
            <w:r w:rsidRPr="004E698A">
              <w:t xml:space="preserve">Reword “Reason for Override” to “Explain reason for placement in a different level of </w:t>
            </w:r>
            <w:r w:rsidRPr="004E698A">
              <w:t>care than the initial recommended level of care”</w:t>
            </w:r>
          </w:p>
          <w:p w:rsidR="00FF4831" w:rsidRPr="004E698A" w:rsidP="00EA0E3D" w14:paraId="391CBA92" w14:textId="77777777">
            <w:pPr>
              <w:pStyle w:val="ListParagraph"/>
              <w:widowControl/>
              <w:numPr>
                <w:ilvl w:val="0"/>
                <w:numId w:val="32"/>
              </w:numPr>
              <w:suppressAutoHyphens w:val="0"/>
              <w:ind w:left="196" w:hanging="180"/>
            </w:pPr>
            <w:r w:rsidRPr="004E698A">
              <w:t>Replace the “Final Placement Determination” radio buttons with a “Level of Care” dropdown field</w:t>
            </w:r>
          </w:p>
          <w:p w:rsidR="00477FB4" w:rsidRPr="004E698A" w:rsidP="00EA0E3D" w14:paraId="5142B9C4" w14:textId="77777777">
            <w:pPr>
              <w:pStyle w:val="ListParagraph"/>
              <w:widowControl/>
              <w:numPr>
                <w:ilvl w:val="0"/>
                <w:numId w:val="32"/>
              </w:numPr>
              <w:suppressAutoHyphens w:val="0"/>
              <w:ind w:left="196" w:hanging="180"/>
            </w:pPr>
            <w:r w:rsidRPr="004E698A">
              <w:t>Reword “Designated Placement” to “Care Provider Name”</w:t>
            </w:r>
          </w:p>
          <w:p w:rsidR="008B7C0A" w:rsidRPr="004E698A" w:rsidP="00EA0E3D" w14:paraId="1DD6A9AF" w14:textId="59DB346E">
            <w:pPr>
              <w:pStyle w:val="ListParagraph"/>
              <w:widowControl/>
              <w:numPr>
                <w:ilvl w:val="0"/>
                <w:numId w:val="32"/>
              </w:numPr>
              <w:suppressAutoHyphens w:val="0"/>
              <w:ind w:left="196" w:hanging="180"/>
            </w:pPr>
            <w:r w:rsidRPr="004E698A">
              <w:t>Add field for “Reason for Recommended Level of Care”</w:t>
            </w:r>
          </w:p>
        </w:tc>
        <w:tc>
          <w:tcPr>
            <w:tcW w:w="3420" w:type="dxa"/>
          </w:tcPr>
          <w:p w:rsidR="00477FB4" w:rsidRPr="004E698A" w:rsidP="00EA0E3D" w14:paraId="4890C6DB" w14:textId="77777777">
            <w:pPr>
              <w:widowControl/>
              <w:suppressAutoHyphens w:val="0"/>
            </w:pPr>
            <w:r w:rsidRPr="004E698A">
              <w:t>For clarity.</w:t>
            </w:r>
          </w:p>
          <w:p w:rsidR="008B7C0A" w:rsidRPr="004E698A" w:rsidP="00EA0E3D" w14:paraId="578CF41F" w14:textId="77777777">
            <w:pPr>
              <w:widowControl/>
              <w:suppressAutoHyphens w:val="0"/>
            </w:pPr>
          </w:p>
          <w:p w:rsidR="008B7C0A" w:rsidRPr="00477FB4" w:rsidP="00EA0E3D" w14:paraId="4F386648" w14:textId="7A9FDB0F">
            <w:pPr>
              <w:widowControl/>
              <w:suppressAutoHyphens w:val="0"/>
            </w:pPr>
            <w:r w:rsidRPr="004E698A">
              <w:t>Last item</w:t>
            </w:r>
            <w:r w:rsidRPr="004E698A" w:rsidR="00791CF8">
              <w:t xml:space="preserve"> is a follow-up question added </w:t>
            </w:r>
            <w:r w:rsidRPr="004E698A" w:rsidR="00703842">
              <w:t>to ensure ORR’s decision making is appropriately documented.</w:t>
            </w:r>
          </w:p>
        </w:tc>
      </w:tr>
    </w:tbl>
    <w:p w:rsidR="00AC69DD" w:rsidP="00EA0E3D" w14:paraId="23860838" w14:textId="77777777">
      <w:pPr>
        <w:rPr>
          <w:kern w:val="24"/>
        </w:rPr>
      </w:pPr>
    </w:p>
    <w:p w:rsidR="005C3091" w:rsidRPr="00E25566" w:rsidP="00EA0E3D" w14:paraId="55C0C8C4" w14:textId="52685082">
      <w:pPr>
        <w:spacing w:after="240"/>
        <w:rPr>
          <w:kern w:val="24"/>
        </w:rPr>
      </w:pPr>
      <w:r>
        <w:rPr>
          <w:kern w:val="24"/>
        </w:rPr>
        <w:t xml:space="preserve"> </w:t>
      </w:r>
    </w:p>
    <w:sectPr w:rsidSect="00327E7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8">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36365A"/>
    <w:multiLevelType w:val="hybridMultilevel"/>
    <w:tmpl w:val="B0AC3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3">
    <w:nsid w:val="26647526"/>
    <w:multiLevelType w:val="hybridMultilevel"/>
    <w:tmpl w:val="E8BAD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E1472F"/>
    <w:multiLevelType w:val="hybridMultilevel"/>
    <w:tmpl w:val="4A9CC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0A79AB"/>
    <w:multiLevelType w:val="hybridMultilevel"/>
    <w:tmpl w:val="C0563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2">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8E3955"/>
    <w:multiLevelType w:val="hybridMultilevel"/>
    <w:tmpl w:val="57CA3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E41C3C"/>
    <w:multiLevelType w:val="hybridMultilevel"/>
    <w:tmpl w:val="BFFCE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C8270C"/>
    <w:multiLevelType w:val="hybridMultilevel"/>
    <w:tmpl w:val="0DF84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8D1A3C"/>
    <w:multiLevelType w:val="hybridMultilevel"/>
    <w:tmpl w:val="2D70A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D513A13"/>
    <w:multiLevelType w:val="hybridMultilevel"/>
    <w:tmpl w:val="50D44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3E36A2"/>
    <w:multiLevelType w:val="hybridMultilevel"/>
    <w:tmpl w:val="39422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E04869"/>
    <w:multiLevelType w:val="hybridMultilevel"/>
    <w:tmpl w:val="3F146B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2830200">
    <w:abstractNumId w:val="14"/>
  </w:num>
  <w:num w:numId="2" w16cid:durableId="1529756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917433">
    <w:abstractNumId w:val="20"/>
  </w:num>
  <w:num w:numId="4" w16cid:durableId="973406625">
    <w:abstractNumId w:val="10"/>
  </w:num>
  <w:num w:numId="5" w16cid:durableId="1084184983">
    <w:abstractNumId w:val="0"/>
  </w:num>
  <w:num w:numId="6" w16cid:durableId="663361427">
    <w:abstractNumId w:val="18"/>
  </w:num>
  <w:num w:numId="7" w16cid:durableId="747463890">
    <w:abstractNumId w:val="2"/>
  </w:num>
  <w:num w:numId="8" w16cid:durableId="2059474764">
    <w:abstractNumId w:val="34"/>
  </w:num>
  <w:num w:numId="9" w16cid:durableId="1390105948">
    <w:abstractNumId w:val="36"/>
  </w:num>
  <w:num w:numId="10" w16cid:durableId="1284078553">
    <w:abstractNumId w:val="5"/>
  </w:num>
  <w:num w:numId="11" w16cid:durableId="990059302">
    <w:abstractNumId w:val="25"/>
  </w:num>
  <w:num w:numId="12" w16cid:durableId="1596938718">
    <w:abstractNumId w:val="37"/>
  </w:num>
  <w:num w:numId="13" w16cid:durableId="324669195">
    <w:abstractNumId w:val="6"/>
  </w:num>
  <w:num w:numId="14" w16cid:durableId="1830056736">
    <w:abstractNumId w:val="26"/>
  </w:num>
  <w:num w:numId="15" w16cid:durableId="1834952437">
    <w:abstractNumId w:val="4"/>
  </w:num>
  <w:num w:numId="16" w16cid:durableId="1275868622">
    <w:abstractNumId w:val="30"/>
  </w:num>
  <w:num w:numId="17" w16cid:durableId="1698197333">
    <w:abstractNumId w:val="22"/>
  </w:num>
  <w:num w:numId="18" w16cid:durableId="1703821401">
    <w:abstractNumId w:val="32"/>
  </w:num>
  <w:num w:numId="19" w16cid:durableId="230578374">
    <w:abstractNumId w:val="8"/>
  </w:num>
  <w:num w:numId="20" w16cid:durableId="326325063">
    <w:abstractNumId w:val="16"/>
  </w:num>
  <w:num w:numId="21" w16cid:durableId="39549462">
    <w:abstractNumId w:val="21"/>
  </w:num>
  <w:num w:numId="22" w16cid:durableId="459887006">
    <w:abstractNumId w:val="35"/>
  </w:num>
  <w:num w:numId="23" w16cid:durableId="623656535">
    <w:abstractNumId w:val="12"/>
  </w:num>
  <w:num w:numId="24" w16cid:durableId="509031823">
    <w:abstractNumId w:val="7"/>
  </w:num>
  <w:num w:numId="25" w16cid:durableId="1247686144">
    <w:abstractNumId w:val="1"/>
  </w:num>
  <w:num w:numId="26" w16cid:durableId="561450565">
    <w:abstractNumId w:val="3"/>
  </w:num>
  <w:num w:numId="27" w16cid:durableId="1489249325">
    <w:abstractNumId w:val="19"/>
  </w:num>
  <w:num w:numId="28" w16cid:durableId="962535637">
    <w:abstractNumId w:val="9"/>
  </w:num>
  <w:num w:numId="29" w16cid:durableId="1378627431">
    <w:abstractNumId w:val="27"/>
  </w:num>
  <w:num w:numId="30" w16cid:durableId="88236785">
    <w:abstractNumId w:val="33"/>
  </w:num>
  <w:num w:numId="31" w16cid:durableId="728040099">
    <w:abstractNumId w:val="17"/>
  </w:num>
  <w:num w:numId="32" w16cid:durableId="1994286279">
    <w:abstractNumId w:val="24"/>
  </w:num>
  <w:num w:numId="33" w16cid:durableId="889876400">
    <w:abstractNumId w:val="29"/>
  </w:num>
  <w:num w:numId="34" w16cid:durableId="2076122037">
    <w:abstractNumId w:val="31"/>
  </w:num>
  <w:num w:numId="35" w16cid:durableId="789275325">
    <w:abstractNumId w:val="28"/>
  </w:num>
  <w:num w:numId="36" w16cid:durableId="1399665268">
    <w:abstractNumId w:val="11"/>
  </w:num>
  <w:num w:numId="37" w16cid:durableId="2080209818">
    <w:abstractNumId w:val="15"/>
  </w:num>
  <w:num w:numId="38" w16cid:durableId="2093383089">
    <w:abstractNumId w:val="13"/>
  </w:num>
  <w:num w:numId="39" w16cid:durableId="6718331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075"/>
    <w:rsid w:val="000014E1"/>
    <w:rsid w:val="000034EE"/>
    <w:rsid w:val="000053BC"/>
    <w:rsid w:val="00005F40"/>
    <w:rsid w:val="000071AB"/>
    <w:rsid w:val="00007697"/>
    <w:rsid w:val="0000786E"/>
    <w:rsid w:val="00010324"/>
    <w:rsid w:val="00010EE4"/>
    <w:rsid w:val="000114DE"/>
    <w:rsid w:val="00011C31"/>
    <w:rsid w:val="00013C6C"/>
    <w:rsid w:val="00014474"/>
    <w:rsid w:val="00014EBA"/>
    <w:rsid w:val="00015221"/>
    <w:rsid w:val="000159E3"/>
    <w:rsid w:val="00015B5A"/>
    <w:rsid w:val="000166C6"/>
    <w:rsid w:val="00017EB0"/>
    <w:rsid w:val="00020AE7"/>
    <w:rsid w:val="00020FCF"/>
    <w:rsid w:val="0002121F"/>
    <w:rsid w:val="0002171F"/>
    <w:rsid w:val="00022C00"/>
    <w:rsid w:val="000235F0"/>
    <w:rsid w:val="00024649"/>
    <w:rsid w:val="00025D88"/>
    <w:rsid w:val="0002760C"/>
    <w:rsid w:val="00035690"/>
    <w:rsid w:val="00036A36"/>
    <w:rsid w:val="000411CE"/>
    <w:rsid w:val="000412F5"/>
    <w:rsid w:val="00041D8F"/>
    <w:rsid w:val="000457D2"/>
    <w:rsid w:val="00045D7C"/>
    <w:rsid w:val="0004608E"/>
    <w:rsid w:val="00046876"/>
    <w:rsid w:val="00047392"/>
    <w:rsid w:val="00050886"/>
    <w:rsid w:val="00050E20"/>
    <w:rsid w:val="00051B46"/>
    <w:rsid w:val="00053E66"/>
    <w:rsid w:val="00055A72"/>
    <w:rsid w:val="00055DB9"/>
    <w:rsid w:val="0005680D"/>
    <w:rsid w:val="000575CA"/>
    <w:rsid w:val="000579EC"/>
    <w:rsid w:val="0006067F"/>
    <w:rsid w:val="00061995"/>
    <w:rsid w:val="00061B4B"/>
    <w:rsid w:val="00061F16"/>
    <w:rsid w:val="000620BD"/>
    <w:rsid w:val="00064724"/>
    <w:rsid w:val="00064D94"/>
    <w:rsid w:val="0006507B"/>
    <w:rsid w:val="0006536C"/>
    <w:rsid w:val="00070F47"/>
    <w:rsid w:val="00072DB5"/>
    <w:rsid w:val="00074088"/>
    <w:rsid w:val="0007561C"/>
    <w:rsid w:val="00076118"/>
    <w:rsid w:val="0008313E"/>
    <w:rsid w:val="0008421C"/>
    <w:rsid w:val="00084365"/>
    <w:rsid w:val="000851CC"/>
    <w:rsid w:val="00090975"/>
    <w:rsid w:val="00091278"/>
    <w:rsid w:val="000921E7"/>
    <w:rsid w:val="00094384"/>
    <w:rsid w:val="000943BF"/>
    <w:rsid w:val="000956B3"/>
    <w:rsid w:val="00096AB9"/>
    <w:rsid w:val="00096B8C"/>
    <w:rsid w:val="000973B4"/>
    <w:rsid w:val="000A19C9"/>
    <w:rsid w:val="000A1AE2"/>
    <w:rsid w:val="000A363E"/>
    <w:rsid w:val="000A56B3"/>
    <w:rsid w:val="000A76AE"/>
    <w:rsid w:val="000B33F9"/>
    <w:rsid w:val="000B34B6"/>
    <w:rsid w:val="000C0285"/>
    <w:rsid w:val="000C3487"/>
    <w:rsid w:val="000C4A15"/>
    <w:rsid w:val="000D26C1"/>
    <w:rsid w:val="000D4E1A"/>
    <w:rsid w:val="000D5354"/>
    <w:rsid w:val="000E083C"/>
    <w:rsid w:val="000E10D1"/>
    <w:rsid w:val="000E1181"/>
    <w:rsid w:val="000E13C0"/>
    <w:rsid w:val="000E140E"/>
    <w:rsid w:val="000E2808"/>
    <w:rsid w:val="000E540A"/>
    <w:rsid w:val="000F18A8"/>
    <w:rsid w:val="000F3C57"/>
    <w:rsid w:val="000F4C79"/>
    <w:rsid w:val="000F6467"/>
    <w:rsid w:val="000F781E"/>
    <w:rsid w:val="000F7C54"/>
    <w:rsid w:val="00100543"/>
    <w:rsid w:val="001035F1"/>
    <w:rsid w:val="001041F4"/>
    <w:rsid w:val="0010741B"/>
    <w:rsid w:val="0011105C"/>
    <w:rsid w:val="001122F9"/>
    <w:rsid w:val="00112B26"/>
    <w:rsid w:val="001132F8"/>
    <w:rsid w:val="00113BE4"/>
    <w:rsid w:val="0011405B"/>
    <w:rsid w:val="00115DF5"/>
    <w:rsid w:val="00116024"/>
    <w:rsid w:val="001169DB"/>
    <w:rsid w:val="00120B14"/>
    <w:rsid w:val="001239B6"/>
    <w:rsid w:val="00124A72"/>
    <w:rsid w:val="0012554C"/>
    <w:rsid w:val="001259DE"/>
    <w:rsid w:val="0012629B"/>
    <w:rsid w:val="001265C0"/>
    <w:rsid w:val="00127C67"/>
    <w:rsid w:val="001333EF"/>
    <w:rsid w:val="00134EC4"/>
    <w:rsid w:val="0013507C"/>
    <w:rsid w:val="001357F5"/>
    <w:rsid w:val="00136A11"/>
    <w:rsid w:val="00140698"/>
    <w:rsid w:val="001417A0"/>
    <w:rsid w:val="00143838"/>
    <w:rsid w:val="00144023"/>
    <w:rsid w:val="00144343"/>
    <w:rsid w:val="00145CA9"/>
    <w:rsid w:val="00145CBD"/>
    <w:rsid w:val="00146A4C"/>
    <w:rsid w:val="00147D5E"/>
    <w:rsid w:val="00151946"/>
    <w:rsid w:val="00151F95"/>
    <w:rsid w:val="00152E12"/>
    <w:rsid w:val="00152F19"/>
    <w:rsid w:val="0015502D"/>
    <w:rsid w:val="00155CE7"/>
    <w:rsid w:val="00156279"/>
    <w:rsid w:val="001568AD"/>
    <w:rsid w:val="00160D0C"/>
    <w:rsid w:val="00160FC1"/>
    <w:rsid w:val="00162657"/>
    <w:rsid w:val="0016497B"/>
    <w:rsid w:val="0016511A"/>
    <w:rsid w:val="001657B0"/>
    <w:rsid w:val="00173132"/>
    <w:rsid w:val="001755C9"/>
    <w:rsid w:val="001755EB"/>
    <w:rsid w:val="00177B5A"/>
    <w:rsid w:val="00180C86"/>
    <w:rsid w:val="00181142"/>
    <w:rsid w:val="0018231E"/>
    <w:rsid w:val="001826AC"/>
    <w:rsid w:val="00185795"/>
    <w:rsid w:val="00186521"/>
    <w:rsid w:val="0019154F"/>
    <w:rsid w:val="00192194"/>
    <w:rsid w:val="0019416E"/>
    <w:rsid w:val="00194C46"/>
    <w:rsid w:val="001964B6"/>
    <w:rsid w:val="00196F1A"/>
    <w:rsid w:val="00196F6C"/>
    <w:rsid w:val="001A0496"/>
    <w:rsid w:val="001A14D1"/>
    <w:rsid w:val="001A20A8"/>
    <w:rsid w:val="001A20FB"/>
    <w:rsid w:val="001A356D"/>
    <w:rsid w:val="001A38A7"/>
    <w:rsid w:val="001A53C2"/>
    <w:rsid w:val="001A6866"/>
    <w:rsid w:val="001A798A"/>
    <w:rsid w:val="001B29A9"/>
    <w:rsid w:val="001B2ADC"/>
    <w:rsid w:val="001B2EC0"/>
    <w:rsid w:val="001B4296"/>
    <w:rsid w:val="001B42E0"/>
    <w:rsid w:val="001B4CDE"/>
    <w:rsid w:val="001B6823"/>
    <w:rsid w:val="001C2661"/>
    <w:rsid w:val="001C326D"/>
    <w:rsid w:val="001C44AA"/>
    <w:rsid w:val="001C7E71"/>
    <w:rsid w:val="001D06AB"/>
    <w:rsid w:val="001D07F0"/>
    <w:rsid w:val="001D3739"/>
    <w:rsid w:val="001D403E"/>
    <w:rsid w:val="001D4099"/>
    <w:rsid w:val="001D4C2D"/>
    <w:rsid w:val="001E0889"/>
    <w:rsid w:val="001E0F3A"/>
    <w:rsid w:val="001E1633"/>
    <w:rsid w:val="001E1794"/>
    <w:rsid w:val="001E2AD8"/>
    <w:rsid w:val="001E34BF"/>
    <w:rsid w:val="001E4967"/>
    <w:rsid w:val="001E5051"/>
    <w:rsid w:val="001E6510"/>
    <w:rsid w:val="001E6A0A"/>
    <w:rsid w:val="001E78EF"/>
    <w:rsid w:val="001F01D1"/>
    <w:rsid w:val="001F3E20"/>
    <w:rsid w:val="001F4631"/>
    <w:rsid w:val="001F5ABD"/>
    <w:rsid w:val="001F69E2"/>
    <w:rsid w:val="001F798B"/>
    <w:rsid w:val="001F7F76"/>
    <w:rsid w:val="00200C77"/>
    <w:rsid w:val="00201D4A"/>
    <w:rsid w:val="00201FA0"/>
    <w:rsid w:val="00204E32"/>
    <w:rsid w:val="0020532B"/>
    <w:rsid w:val="0021054F"/>
    <w:rsid w:val="00210B0E"/>
    <w:rsid w:val="00210F42"/>
    <w:rsid w:val="00211E76"/>
    <w:rsid w:val="00214FA5"/>
    <w:rsid w:val="00216124"/>
    <w:rsid w:val="002167C2"/>
    <w:rsid w:val="00216862"/>
    <w:rsid w:val="002204CA"/>
    <w:rsid w:val="00220DFA"/>
    <w:rsid w:val="00221C42"/>
    <w:rsid w:val="00222289"/>
    <w:rsid w:val="00222329"/>
    <w:rsid w:val="0022374D"/>
    <w:rsid w:val="0022767E"/>
    <w:rsid w:val="00227771"/>
    <w:rsid w:val="002337BD"/>
    <w:rsid w:val="00234762"/>
    <w:rsid w:val="002366C1"/>
    <w:rsid w:val="0023732C"/>
    <w:rsid w:val="00237751"/>
    <w:rsid w:val="00237E97"/>
    <w:rsid w:val="00240D9B"/>
    <w:rsid w:val="002422F4"/>
    <w:rsid w:val="0024277F"/>
    <w:rsid w:val="00242E06"/>
    <w:rsid w:val="00243732"/>
    <w:rsid w:val="00243D4D"/>
    <w:rsid w:val="00245305"/>
    <w:rsid w:val="00245C8B"/>
    <w:rsid w:val="00261249"/>
    <w:rsid w:val="00262E3E"/>
    <w:rsid w:val="002644F6"/>
    <w:rsid w:val="00265E4D"/>
    <w:rsid w:val="00267169"/>
    <w:rsid w:val="002719D1"/>
    <w:rsid w:val="00271FAC"/>
    <w:rsid w:val="00273728"/>
    <w:rsid w:val="00277064"/>
    <w:rsid w:val="00277226"/>
    <w:rsid w:val="002821AA"/>
    <w:rsid w:val="00282280"/>
    <w:rsid w:val="00282685"/>
    <w:rsid w:val="002827E3"/>
    <w:rsid w:val="002849A3"/>
    <w:rsid w:val="00285CDB"/>
    <w:rsid w:val="002860F4"/>
    <w:rsid w:val="002867C7"/>
    <w:rsid w:val="00290871"/>
    <w:rsid w:val="00290DB7"/>
    <w:rsid w:val="002917A5"/>
    <w:rsid w:val="00292894"/>
    <w:rsid w:val="00293F80"/>
    <w:rsid w:val="00294806"/>
    <w:rsid w:val="0029601B"/>
    <w:rsid w:val="00297094"/>
    <w:rsid w:val="002A17E8"/>
    <w:rsid w:val="002A2A93"/>
    <w:rsid w:val="002A54CD"/>
    <w:rsid w:val="002A6509"/>
    <w:rsid w:val="002A66B5"/>
    <w:rsid w:val="002A76C8"/>
    <w:rsid w:val="002B12BF"/>
    <w:rsid w:val="002B17B4"/>
    <w:rsid w:val="002B1B05"/>
    <w:rsid w:val="002B73A8"/>
    <w:rsid w:val="002C24BC"/>
    <w:rsid w:val="002C2E02"/>
    <w:rsid w:val="002C2F0A"/>
    <w:rsid w:val="002C395D"/>
    <w:rsid w:val="002C4079"/>
    <w:rsid w:val="002C4F75"/>
    <w:rsid w:val="002C551D"/>
    <w:rsid w:val="002D0824"/>
    <w:rsid w:val="002D0E68"/>
    <w:rsid w:val="002D5E1B"/>
    <w:rsid w:val="002D7899"/>
    <w:rsid w:val="002E069F"/>
    <w:rsid w:val="002E19F2"/>
    <w:rsid w:val="002E21D7"/>
    <w:rsid w:val="002E3B9F"/>
    <w:rsid w:val="002E4435"/>
    <w:rsid w:val="002E49D7"/>
    <w:rsid w:val="002E7123"/>
    <w:rsid w:val="002E735F"/>
    <w:rsid w:val="002E7CE1"/>
    <w:rsid w:val="002F080B"/>
    <w:rsid w:val="002F0B36"/>
    <w:rsid w:val="002F102A"/>
    <w:rsid w:val="002F212E"/>
    <w:rsid w:val="002F2E43"/>
    <w:rsid w:val="002F3846"/>
    <w:rsid w:val="002F3CF9"/>
    <w:rsid w:val="002F573D"/>
    <w:rsid w:val="002F616F"/>
    <w:rsid w:val="002F648C"/>
    <w:rsid w:val="003001B2"/>
    <w:rsid w:val="00300737"/>
    <w:rsid w:val="00301DA7"/>
    <w:rsid w:val="003030AE"/>
    <w:rsid w:val="00304D67"/>
    <w:rsid w:val="00307DA6"/>
    <w:rsid w:val="003114CA"/>
    <w:rsid w:val="0031156A"/>
    <w:rsid w:val="00312830"/>
    <w:rsid w:val="00313010"/>
    <w:rsid w:val="00313DBC"/>
    <w:rsid w:val="0031413B"/>
    <w:rsid w:val="003169BE"/>
    <w:rsid w:val="003171EC"/>
    <w:rsid w:val="003176A6"/>
    <w:rsid w:val="00317D39"/>
    <w:rsid w:val="0032373C"/>
    <w:rsid w:val="00326FCA"/>
    <w:rsid w:val="00327694"/>
    <w:rsid w:val="00327E71"/>
    <w:rsid w:val="003303DE"/>
    <w:rsid w:val="00330CD5"/>
    <w:rsid w:val="00331DE4"/>
    <w:rsid w:val="003332C9"/>
    <w:rsid w:val="00334476"/>
    <w:rsid w:val="00335277"/>
    <w:rsid w:val="00337396"/>
    <w:rsid w:val="003443B9"/>
    <w:rsid w:val="003455E9"/>
    <w:rsid w:val="0034618C"/>
    <w:rsid w:val="00347157"/>
    <w:rsid w:val="0034736E"/>
    <w:rsid w:val="003475C0"/>
    <w:rsid w:val="003478E2"/>
    <w:rsid w:val="003522E6"/>
    <w:rsid w:val="003530AC"/>
    <w:rsid w:val="00353759"/>
    <w:rsid w:val="00356BE7"/>
    <w:rsid w:val="00357AE2"/>
    <w:rsid w:val="0036103B"/>
    <w:rsid w:val="00362B01"/>
    <w:rsid w:val="0036592C"/>
    <w:rsid w:val="00371829"/>
    <w:rsid w:val="003739AB"/>
    <w:rsid w:val="00373DBD"/>
    <w:rsid w:val="003762B5"/>
    <w:rsid w:val="003768A1"/>
    <w:rsid w:val="003770CE"/>
    <w:rsid w:val="0038070D"/>
    <w:rsid w:val="0038073B"/>
    <w:rsid w:val="003810C0"/>
    <w:rsid w:val="00381680"/>
    <w:rsid w:val="00385100"/>
    <w:rsid w:val="00385D6F"/>
    <w:rsid w:val="00386793"/>
    <w:rsid w:val="00386844"/>
    <w:rsid w:val="0039044D"/>
    <w:rsid w:val="00393B72"/>
    <w:rsid w:val="00393F67"/>
    <w:rsid w:val="00395868"/>
    <w:rsid w:val="003A04CA"/>
    <w:rsid w:val="003A05BC"/>
    <w:rsid w:val="003A2368"/>
    <w:rsid w:val="003A2565"/>
    <w:rsid w:val="003A3360"/>
    <w:rsid w:val="003A4CE1"/>
    <w:rsid w:val="003B5DD1"/>
    <w:rsid w:val="003C008F"/>
    <w:rsid w:val="003C4366"/>
    <w:rsid w:val="003C507F"/>
    <w:rsid w:val="003C6E70"/>
    <w:rsid w:val="003C70A0"/>
    <w:rsid w:val="003C7A41"/>
    <w:rsid w:val="003D2032"/>
    <w:rsid w:val="003D4C80"/>
    <w:rsid w:val="003D5575"/>
    <w:rsid w:val="003D66DB"/>
    <w:rsid w:val="003D722B"/>
    <w:rsid w:val="003E3FE7"/>
    <w:rsid w:val="003E48AD"/>
    <w:rsid w:val="003E5352"/>
    <w:rsid w:val="003E7F76"/>
    <w:rsid w:val="003F11B0"/>
    <w:rsid w:val="003F2571"/>
    <w:rsid w:val="003F36C7"/>
    <w:rsid w:val="003F44A4"/>
    <w:rsid w:val="003F57BE"/>
    <w:rsid w:val="003F66B2"/>
    <w:rsid w:val="00400F25"/>
    <w:rsid w:val="0040493B"/>
    <w:rsid w:val="004053F3"/>
    <w:rsid w:val="00407CC2"/>
    <w:rsid w:val="00414462"/>
    <w:rsid w:val="00415175"/>
    <w:rsid w:val="00415418"/>
    <w:rsid w:val="00415A48"/>
    <w:rsid w:val="00416270"/>
    <w:rsid w:val="00416431"/>
    <w:rsid w:val="00416E1B"/>
    <w:rsid w:val="00417437"/>
    <w:rsid w:val="0042092B"/>
    <w:rsid w:val="00420E40"/>
    <w:rsid w:val="00421958"/>
    <w:rsid w:val="00421C3F"/>
    <w:rsid w:val="004235C1"/>
    <w:rsid w:val="00423895"/>
    <w:rsid w:val="004311F7"/>
    <w:rsid w:val="0043266A"/>
    <w:rsid w:val="00432D7B"/>
    <w:rsid w:val="00434072"/>
    <w:rsid w:val="0043420F"/>
    <w:rsid w:val="0043491E"/>
    <w:rsid w:val="00436C8A"/>
    <w:rsid w:val="00440AB2"/>
    <w:rsid w:val="00440C78"/>
    <w:rsid w:val="00440F4F"/>
    <w:rsid w:val="004414B4"/>
    <w:rsid w:val="00441D35"/>
    <w:rsid w:val="0044264B"/>
    <w:rsid w:val="00442A7D"/>
    <w:rsid w:val="00443401"/>
    <w:rsid w:val="00443DA2"/>
    <w:rsid w:val="00444780"/>
    <w:rsid w:val="00446573"/>
    <w:rsid w:val="004475D5"/>
    <w:rsid w:val="00447FA8"/>
    <w:rsid w:val="00450FA7"/>
    <w:rsid w:val="00451037"/>
    <w:rsid w:val="0045159C"/>
    <w:rsid w:val="0045205C"/>
    <w:rsid w:val="004556F8"/>
    <w:rsid w:val="004566E8"/>
    <w:rsid w:val="004578B5"/>
    <w:rsid w:val="00460A8E"/>
    <w:rsid w:val="00461F78"/>
    <w:rsid w:val="00462BAB"/>
    <w:rsid w:val="00463742"/>
    <w:rsid w:val="00464510"/>
    <w:rsid w:val="00466623"/>
    <w:rsid w:val="00473140"/>
    <w:rsid w:val="00473C0C"/>
    <w:rsid w:val="00474356"/>
    <w:rsid w:val="0047555B"/>
    <w:rsid w:val="00476FDE"/>
    <w:rsid w:val="00477FB4"/>
    <w:rsid w:val="004849F5"/>
    <w:rsid w:val="004850DC"/>
    <w:rsid w:val="00486D4F"/>
    <w:rsid w:val="00487093"/>
    <w:rsid w:val="004874ED"/>
    <w:rsid w:val="004874F9"/>
    <w:rsid w:val="00487ACB"/>
    <w:rsid w:val="00491BCF"/>
    <w:rsid w:val="00495771"/>
    <w:rsid w:val="00497D97"/>
    <w:rsid w:val="004A131B"/>
    <w:rsid w:val="004A2C33"/>
    <w:rsid w:val="004A46AF"/>
    <w:rsid w:val="004A4D0A"/>
    <w:rsid w:val="004A4F76"/>
    <w:rsid w:val="004A68D2"/>
    <w:rsid w:val="004B0906"/>
    <w:rsid w:val="004B107A"/>
    <w:rsid w:val="004B49B7"/>
    <w:rsid w:val="004B62E1"/>
    <w:rsid w:val="004C14EF"/>
    <w:rsid w:val="004C52BB"/>
    <w:rsid w:val="004C589C"/>
    <w:rsid w:val="004C6ADE"/>
    <w:rsid w:val="004C72A8"/>
    <w:rsid w:val="004D2260"/>
    <w:rsid w:val="004D23D8"/>
    <w:rsid w:val="004D24A2"/>
    <w:rsid w:val="004D45CC"/>
    <w:rsid w:val="004E3AAB"/>
    <w:rsid w:val="004E4900"/>
    <w:rsid w:val="004E698A"/>
    <w:rsid w:val="004E76AC"/>
    <w:rsid w:val="004F1627"/>
    <w:rsid w:val="004F2971"/>
    <w:rsid w:val="00501D82"/>
    <w:rsid w:val="00501EEC"/>
    <w:rsid w:val="00502DBE"/>
    <w:rsid w:val="0050335B"/>
    <w:rsid w:val="00504CEB"/>
    <w:rsid w:val="00504E98"/>
    <w:rsid w:val="005050EA"/>
    <w:rsid w:val="0050575F"/>
    <w:rsid w:val="005067CB"/>
    <w:rsid w:val="00507AB6"/>
    <w:rsid w:val="00511554"/>
    <w:rsid w:val="005116A9"/>
    <w:rsid w:val="00511B88"/>
    <w:rsid w:val="00511D08"/>
    <w:rsid w:val="00512B70"/>
    <w:rsid w:val="0051304B"/>
    <w:rsid w:val="00513C6A"/>
    <w:rsid w:val="00513EB9"/>
    <w:rsid w:val="00514402"/>
    <w:rsid w:val="00515A94"/>
    <w:rsid w:val="00516684"/>
    <w:rsid w:val="0051736F"/>
    <w:rsid w:val="00517E65"/>
    <w:rsid w:val="0052020C"/>
    <w:rsid w:val="00521D46"/>
    <w:rsid w:val="005240C1"/>
    <w:rsid w:val="00524B28"/>
    <w:rsid w:val="00526CA7"/>
    <w:rsid w:val="005271D2"/>
    <w:rsid w:val="00530078"/>
    <w:rsid w:val="00530787"/>
    <w:rsid w:val="005320DB"/>
    <w:rsid w:val="005333C6"/>
    <w:rsid w:val="00534269"/>
    <w:rsid w:val="00535831"/>
    <w:rsid w:val="0053645D"/>
    <w:rsid w:val="00542EBE"/>
    <w:rsid w:val="00544893"/>
    <w:rsid w:val="00546026"/>
    <w:rsid w:val="00547B6B"/>
    <w:rsid w:val="0055194F"/>
    <w:rsid w:val="00551EB2"/>
    <w:rsid w:val="00551F7D"/>
    <w:rsid w:val="0055225F"/>
    <w:rsid w:val="00554578"/>
    <w:rsid w:val="00555DDC"/>
    <w:rsid w:val="00556035"/>
    <w:rsid w:val="0055727E"/>
    <w:rsid w:val="005601FB"/>
    <w:rsid w:val="00561676"/>
    <w:rsid w:val="0056221B"/>
    <w:rsid w:val="0056383B"/>
    <w:rsid w:val="00564768"/>
    <w:rsid w:val="00565292"/>
    <w:rsid w:val="00566305"/>
    <w:rsid w:val="00566822"/>
    <w:rsid w:val="00567493"/>
    <w:rsid w:val="00567D0D"/>
    <w:rsid w:val="0057007A"/>
    <w:rsid w:val="005714BB"/>
    <w:rsid w:val="00572187"/>
    <w:rsid w:val="005721ED"/>
    <w:rsid w:val="005724FA"/>
    <w:rsid w:val="00572D9F"/>
    <w:rsid w:val="005730F6"/>
    <w:rsid w:val="005736DE"/>
    <w:rsid w:val="00574CFA"/>
    <w:rsid w:val="005750AA"/>
    <w:rsid w:val="00575C58"/>
    <w:rsid w:val="00575CE3"/>
    <w:rsid w:val="00577778"/>
    <w:rsid w:val="005804BB"/>
    <w:rsid w:val="00581B69"/>
    <w:rsid w:val="00582886"/>
    <w:rsid w:val="00582F2E"/>
    <w:rsid w:val="00586534"/>
    <w:rsid w:val="00590560"/>
    <w:rsid w:val="0059232F"/>
    <w:rsid w:val="0059299E"/>
    <w:rsid w:val="00594597"/>
    <w:rsid w:val="0059538E"/>
    <w:rsid w:val="005A046D"/>
    <w:rsid w:val="005A0668"/>
    <w:rsid w:val="005A1084"/>
    <w:rsid w:val="005A72AC"/>
    <w:rsid w:val="005B0829"/>
    <w:rsid w:val="005B105C"/>
    <w:rsid w:val="005B3BB2"/>
    <w:rsid w:val="005B3E30"/>
    <w:rsid w:val="005B7D1E"/>
    <w:rsid w:val="005C0898"/>
    <w:rsid w:val="005C301A"/>
    <w:rsid w:val="005C3091"/>
    <w:rsid w:val="005C3347"/>
    <w:rsid w:val="005C43C2"/>
    <w:rsid w:val="005C5696"/>
    <w:rsid w:val="005C590B"/>
    <w:rsid w:val="005C64CF"/>
    <w:rsid w:val="005D0977"/>
    <w:rsid w:val="005D0AC0"/>
    <w:rsid w:val="005D0F26"/>
    <w:rsid w:val="005D2CC1"/>
    <w:rsid w:val="005D3E2C"/>
    <w:rsid w:val="005D4906"/>
    <w:rsid w:val="005D5539"/>
    <w:rsid w:val="005D61AC"/>
    <w:rsid w:val="005D7453"/>
    <w:rsid w:val="005E0E63"/>
    <w:rsid w:val="005E10E6"/>
    <w:rsid w:val="005E1929"/>
    <w:rsid w:val="005E26E5"/>
    <w:rsid w:val="005E2D2E"/>
    <w:rsid w:val="005E3322"/>
    <w:rsid w:val="005E52A5"/>
    <w:rsid w:val="005F0AD9"/>
    <w:rsid w:val="005F2F4F"/>
    <w:rsid w:val="005F2F5B"/>
    <w:rsid w:val="005F4F3B"/>
    <w:rsid w:val="00600101"/>
    <w:rsid w:val="00603BFE"/>
    <w:rsid w:val="00604038"/>
    <w:rsid w:val="00604F70"/>
    <w:rsid w:val="00605CD5"/>
    <w:rsid w:val="0060624A"/>
    <w:rsid w:val="00612628"/>
    <w:rsid w:val="00612668"/>
    <w:rsid w:val="00612AF0"/>
    <w:rsid w:val="00612E8A"/>
    <w:rsid w:val="00616108"/>
    <w:rsid w:val="006161B2"/>
    <w:rsid w:val="0061718F"/>
    <w:rsid w:val="00617470"/>
    <w:rsid w:val="00617A9B"/>
    <w:rsid w:val="00617B28"/>
    <w:rsid w:val="00620609"/>
    <w:rsid w:val="0062074F"/>
    <w:rsid w:val="0062108F"/>
    <w:rsid w:val="0062235C"/>
    <w:rsid w:val="006228D9"/>
    <w:rsid w:val="00622E56"/>
    <w:rsid w:val="0062357B"/>
    <w:rsid w:val="00623C74"/>
    <w:rsid w:val="006243CC"/>
    <w:rsid w:val="00625290"/>
    <w:rsid w:val="00626054"/>
    <w:rsid w:val="00626A61"/>
    <w:rsid w:val="00630883"/>
    <w:rsid w:val="00630E66"/>
    <w:rsid w:val="0063105B"/>
    <w:rsid w:val="00631BC4"/>
    <w:rsid w:val="00631F35"/>
    <w:rsid w:val="00636ECD"/>
    <w:rsid w:val="00636F68"/>
    <w:rsid w:val="006377C3"/>
    <w:rsid w:val="00643815"/>
    <w:rsid w:val="006439F6"/>
    <w:rsid w:val="00644844"/>
    <w:rsid w:val="00644AE8"/>
    <w:rsid w:val="00644EC4"/>
    <w:rsid w:val="006470A0"/>
    <w:rsid w:val="00647612"/>
    <w:rsid w:val="006504E3"/>
    <w:rsid w:val="00651431"/>
    <w:rsid w:val="00651482"/>
    <w:rsid w:val="006558C9"/>
    <w:rsid w:val="00656DEC"/>
    <w:rsid w:val="006577F4"/>
    <w:rsid w:val="00663D75"/>
    <w:rsid w:val="006643B7"/>
    <w:rsid w:val="00664648"/>
    <w:rsid w:val="006650E3"/>
    <w:rsid w:val="00665306"/>
    <w:rsid w:val="00665E6F"/>
    <w:rsid w:val="00666184"/>
    <w:rsid w:val="006662E4"/>
    <w:rsid w:val="00666CCB"/>
    <w:rsid w:val="00666FE7"/>
    <w:rsid w:val="0067026C"/>
    <w:rsid w:val="00671CD9"/>
    <w:rsid w:val="00672A64"/>
    <w:rsid w:val="006752CE"/>
    <w:rsid w:val="00675591"/>
    <w:rsid w:val="006766A9"/>
    <w:rsid w:val="00677848"/>
    <w:rsid w:val="00682EC3"/>
    <w:rsid w:val="00686873"/>
    <w:rsid w:val="006923A5"/>
    <w:rsid w:val="00694780"/>
    <w:rsid w:val="0069568C"/>
    <w:rsid w:val="006976A5"/>
    <w:rsid w:val="006A102E"/>
    <w:rsid w:val="006A2A23"/>
    <w:rsid w:val="006A55CA"/>
    <w:rsid w:val="006A5683"/>
    <w:rsid w:val="006A755C"/>
    <w:rsid w:val="006A77C1"/>
    <w:rsid w:val="006B0546"/>
    <w:rsid w:val="006B3E2D"/>
    <w:rsid w:val="006B5675"/>
    <w:rsid w:val="006B604B"/>
    <w:rsid w:val="006B6651"/>
    <w:rsid w:val="006B6AF3"/>
    <w:rsid w:val="006B7715"/>
    <w:rsid w:val="006C0631"/>
    <w:rsid w:val="006C0E90"/>
    <w:rsid w:val="006C135C"/>
    <w:rsid w:val="006C1555"/>
    <w:rsid w:val="006C2295"/>
    <w:rsid w:val="006C36B7"/>
    <w:rsid w:val="006C4272"/>
    <w:rsid w:val="006C645B"/>
    <w:rsid w:val="006C65C8"/>
    <w:rsid w:val="006C68D8"/>
    <w:rsid w:val="006D3000"/>
    <w:rsid w:val="006D3AB2"/>
    <w:rsid w:val="006D407F"/>
    <w:rsid w:val="006D5F2C"/>
    <w:rsid w:val="006D6F6B"/>
    <w:rsid w:val="006E0D95"/>
    <w:rsid w:val="006E2C55"/>
    <w:rsid w:val="006E2E95"/>
    <w:rsid w:val="006E3664"/>
    <w:rsid w:val="006E448E"/>
    <w:rsid w:val="006E44AD"/>
    <w:rsid w:val="006E5130"/>
    <w:rsid w:val="006E5437"/>
    <w:rsid w:val="006E6E53"/>
    <w:rsid w:val="006F0993"/>
    <w:rsid w:val="006F0BFB"/>
    <w:rsid w:val="006F2BF1"/>
    <w:rsid w:val="006F4CF8"/>
    <w:rsid w:val="006F5E09"/>
    <w:rsid w:val="0070000D"/>
    <w:rsid w:val="00703842"/>
    <w:rsid w:val="007039E5"/>
    <w:rsid w:val="00707D3B"/>
    <w:rsid w:val="007112A6"/>
    <w:rsid w:val="007113F7"/>
    <w:rsid w:val="00713D32"/>
    <w:rsid w:val="00713D6C"/>
    <w:rsid w:val="00714398"/>
    <w:rsid w:val="00714713"/>
    <w:rsid w:val="00714C56"/>
    <w:rsid w:val="007150CE"/>
    <w:rsid w:val="00715A97"/>
    <w:rsid w:val="00715BCD"/>
    <w:rsid w:val="0071627B"/>
    <w:rsid w:val="00720331"/>
    <w:rsid w:val="00721852"/>
    <w:rsid w:val="00721BFD"/>
    <w:rsid w:val="00723029"/>
    <w:rsid w:val="0072320F"/>
    <w:rsid w:val="00723A33"/>
    <w:rsid w:val="00724B17"/>
    <w:rsid w:val="00724FDC"/>
    <w:rsid w:val="00725B0C"/>
    <w:rsid w:val="007303B6"/>
    <w:rsid w:val="00730683"/>
    <w:rsid w:val="00730942"/>
    <w:rsid w:val="00732C8E"/>
    <w:rsid w:val="00733458"/>
    <w:rsid w:val="00735D16"/>
    <w:rsid w:val="00745A5A"/>
    <w:rsid w:val="00746449"/>
    <w:rsid w:val="00746E40"/>
    <w:rsid w:val="00747EBF"/>
    <w:rsid w:val="00750E24"/>
    <w:rsid w:val="00752751"/>
    <w:rsid w:val="00754FD2"/>
    <w:rsid w:val="007557A4"/>
    <w:rsid w:val="00755A63"/>
    <w:rsid w:val="00756757"/>
    <w:rsid w:val="00760ABC"/>
    <w:rsid w:val="00761938"/>
    <w:rsid w:val="00761FA5"/>
    <w:rsid w:val="007639AD"/>
    <w:rsid w:val="007648E3"/>
    <w:rsid w:val="00764AFE"/>
    <w:rsid w:val="007657A3"/>
    <w:rsid w:val="00767261"/>
    <w:rsid w:val="007723D0"/>
    <w:rsid w:val="00773C2C"/>
    <w:rsid w:val="007750F8"/>
    <w:rsid w:val="00775510"/>
    <w:rsid w:val="00781144"/>
    <w:rsid w:val="00784D4A"/>
    <w:rsid w:val="0078619C"/>
    <w:rsid w:val="0078772A"/>
    <w:rsid w:val="00787DDB"/>
    <w:rsid w:val="00791BC4"/>
    <w:rsid w:val="00791CF8"/>
    <w:rsid w:val="00792E13"/>
    <w:rsid w:val="007A142B"/>
    <w:rsid w:val="007A1EF1"/>
    <w:rsid w:val="007A2473"/>
    <w:rsid w:val="007A541B"/>
    <w:rsid w:val="007A5528"/>
    <w:rsid w:val="007A5D1F"/>
    <w:rsid w:val="007A6304"/>
    <w:rsid w:val="007B088E"/>
    <w:rsid w:val="007B100B"/>
    <w:rsid w:val="007B4B4E"/>
    <w:rsid w:val="007B71CF"/>
    <w:rsid w:val="007B726F"/>
    <w:rsid w:val="007B7ABA"/>
    <w:rsid w:val="007B7E3F"/>
    <w:rsid w:val="007C005D"/>
    <w:rsid w:val="007C1F78"/>
    <w:rsid w:val="007C4902"/>
    <w:rsid w:val="007C738C"/>
    <w:rsid w:val="007C7BEC"/>
    <w:rsid w:val="007D036C"/>
    <w:rsid w:val="007D048B"/>
    <w:rsid w:val="007D30CE"/>
    <w:rsid w:val="007D36D1"/>
    <w:rsid w:val="007D4FFE"/>
    <w:rsid w:val="007D6739"/>
    <w:rsid w:val="007D6DFA"/>
    <w:rsid w:val="007D7D1A"/>
    <w:rsid w:val="007E1FD6"/>
    <w:rsid w:val="007E203C"/>
    <w:rsid w:val="007E2B1A"/>
    <w:rsid w:val="007E2B98"/>
    <w:rsid w:val="007E377D"/>
    <w:rsid w:val="007E5F19"/>
    <w:rsid w:val="007E7516"/>
    <w:rsid w:val="007F0626"/>
    <w:rsid w:val="007F494E"/>
    <w:rsid w:val="007F7432"/>
    <w:rsid w:val="008055BE"/>
    <w:rsid w:val="00805792"/>
    <w:rsid w:val="00805E17"/>
    <w:rsid w:val="00805FB9"/>
    <w:rsid w:val="00805FBE"/>
    <w:rsid w:val="0081151F"/>
    <w:rsid w:val="00813C00"/>
    <w:rsid w:val="00814637"/>
    <w:rsid w:val="008172D4"/>
    <w:rsid w:val="00817BC3"/>
    <w:rsid w:val="008213FA"/>
    <w:rsid w:val="008218FA"/>
    <w:rsid w:val="00822CEC"/>
    <w:rsid w:val="008237D8"/>
    <w:rsid w:val="00823C3B"/>
    <w:rsid w:val="0082594E"/>
    <w:rsid w:val="008274C3"/>
    <w:rsid w:val="008325AE"/>
    <w:rsid w:val="00833D6E"/>
    <w:rsid w:val="00834106"/>
    <w:rsid w:val="0083437D"/>
    <w:rsid w:val="00835A64"/>
    <w:rsid w:val="008361EE"/>
    <w:rsid w:val="00837361"/>
    <w:rsid w:val="00841940"/>
    <w:rsid w:val="00842502"/>
    <w:rsid w:val="00843076"/>
    <w:rsid w:val="0084611D"/>
    <w:rsid w:val="00846A0A"/>
    <w:rsid w:val="008504DC"/>
    <w:rsid w:val="0085099D"/>
    <w:rsid w:val="00852CD0"/>
    <w:rsid w:val="0085724E"/>
    <w:rsid w:val="008611F6"/>
    <w:rsid w:val="00861ED8"/>
    <w:rsid w:val="00862145"/>
    <w:rsid w:val="00864E0F"/>
    <w:rsid w:val="0086521A"/>
    <w:rsid w:val="008673C3"/>
    <w:rsid w:val="00867ACF"/>
    <w:rsid w:val="008703C7"/>
    <w:rsid w:val="0087065D"/>
    <w:rsid w:val="00871771"/>
    <w:rsid w:val="008734DB"/>
    <w:rsid w:val="008750F4"/>
    <w:rsid w:val="00877285"/>
    <w:rsid w:val="008774F0"/>
    <w:rsid w:val="008779CE"/>
    <w:rsid w:val="00880488"/>
    <w:rsid w:val="00882A6F"/>
    <w:rsid w:val="008850D2"/>
    <w:rsid w:val="008851B4"/>
    <w:rsid w:val="00886CB9"/>
    <w:rsid w:val="0089009A"/>
    <w:rsid w:val="00890B8F"/>
    <w:rsid w:val="00892905"/>
    <w:rsid w:val="00892D0D"/>
    <w:rsid w:val="00893A3A"/>
    <w:rsid w:val="00894BA7"/>
    <w:rsid w:val="00895998"/>
    <w:rsid w:val="00895D09"/>
    <w:rsid w:val="00896CB8"/>
    <w:rsid w:val="00897876"/>
    <w:rsid w:val="00897E07"/>
    <w:rsid w:val="008A033C"/>
    <w:rsid w:val="008A2886"/>
    <w:rsid w:val="008A3944"/>
    <w:rsid w:val="008A4569"/>
    <w:rsid w:val="008A760A"/>
    <w:rsid w:val="008B1F5D"/>
    <w:rsid w:val="008B1F89"/>
    <w:rsid w:val="008B35C8"/>
    <w:rsid w:val="008B6BEA"/>
    <w:rsid w:val="008B6EDB"/>
    <w:rsid w:val="008B7C0A"/>
    <w:rsid w:val="008B7D7A"/>
    <w:rsid w:val="008C14C7"/>
    <w:rsid w:val="008C1A1B"/>
    <w:rsid w:val="008C2E35"/>
    <w:rsid w:val="008C67D7"/>
    <w:rsid w:val="008C77D8"/>
    <w:rsid w:val="008D3014"/>
    <w:rsid w:val="008D4C7A"/>
    <w:rsid w:val="008D66AD"/>
    <w:rsid w:val="008D6BA5"/>
    <w:rsid w:val="008D6C54"/>
    <w:rsid w:val="008D6D2C"/>
    <w:rsid w:val="008E01E2"/>
    <w:rsid w:val="008E1330"/>
    <w:rsid w:val="008E4660"/>
    <w:rsid w:val="008E638D"/>
    <w:rsid w:val="008E65FB"/>
    <w:rsid w:val="008E6717"/>
    <w:rsid w:val="008E6B2B"/>
    <w:rsid w:val="008E757B"/>
    <w:rsid w:val="008E79F6"/>
    <w:rsid w:val="008F3908"/>
    <w:rsid w:val="008F3E93"/>
    <w:rsid w:val="00901EFE"/>
    <w:rsid w:val="00901FFB"/>
    <w:rsid w:val="0090201C"/>
    <w:rsid w:val="00904724"/>
    <w:rsid w:val="009056CB"/>
    <w:rsid w:val="00905B5F"/>
    <w:rsid w:val="00905FCB"/>
    <w:rsid w:val="009065E7"/>
    <w:rsid w:val="00906C66"/>
    <w:rsid w:val="00912B16"/>
    <w:rsid w:val="0091325F"/>
    <w:rsid w:val="009161B6"/>
    <w:rsid w:val="009179F6"/>
    <w:rsid w:val="00922FAB"/>
    <w:rsid w:val="00923716"/>
    <w:rsid w:val="00923AD1"/>
    <w:rsid w:val="00923BD3"/>
    <w:rsid w:val="00924358"/>
    <w:rsid w:val="009251C0"/>
    <w:rsid w:val="00925AD0"/>
    <w:rsid w:val="00925D13"/>
    <w:rsid w:val="00927EF2"/>
    <w:rsid w:val="0093125F"/>
    <w:rsid w:val="00931D15"/>
    <w:rsid w:val="009356F9"/>
    <w:rsid w:val="00937207"/>
    <w:rsid w:val="00937FAF"/>
    <w:rsid w:val="00940A13"/>
    <w:rsid w:val="00941208"/>
    <w:rsid w:val="009423E3"/>
    <w:rsid w:val="00944927"/>
    <w:rsid w:val="0094500F"/>
    <w:rsid w:val="00946101"/>
    <w:rsid w:val="00946722"/>
    <w:rsid w:val="00947F82"/>
    <w:rsid w:val="009535D9"/>
    <w:rsid w:val="009540D8"/>
    <w:rsid w:val="0095485B"/>
    <w:rsid w:val="00957530"/>
    <w:rsid w:val="00961ABA"/>
    <w:rsid w:val="0096345A"/>
    <w:rsid w:val="00967253"/>
    <w:rsid w:val="009707F6"/>
    <w:rsid w:val="00970B23"/>
    <w:rsid w:val="00972988"/>
    <w:rsid w:val="00972B60"/>
    <w:rsid w:val="009759BB"/>
    <w:rsid w:val="0098088F"/>
    <w:rsid w:val="00980E24"/>
    <w:rsid w:val="009810D2"/>
    <w:rsid w:val="009828ED"/>
    <w:rsid w:val="009831E3"/>
    <w:rsid w:val="0098448E"/>
    <w:rsid w:val="0098707D"/>
    <w:rsid w:val="009932BE"/>
    <w:rsid w:val="009943F4"/>
    <w:rsid w:val="009944E3"/>
    <w:rsid w:val="00995018"/>
    <w:rsid w:val="00995D64"/>
    <w:rsid w:val="00996DA1"/>
    <w:rsid w:val="0099774B"/>
    <w:rsid w:val="00997DA0"/>
    <w:rsid w:val="009A0B31"/>
    <w:rsid w:val="009A0EE9"/>
    <w:rsid w:val="009A1CDA"/>
    <w:rsid w:val="009A34BC"/>
    <w:rsid w:val="009A61B9"/>
    <w:rsid w:val="009A7354"/>
    <w:rsid w:val="009B120C"/>
    <w:rsid w:val="009B173F"/>
    <w:rsid w:val="009B265E"/>
    <w:rsid w:val="009B4940"/>
    <w:rsid w:val="009B5136"/>
    <w:rsid w:val="009B5E49"/>
    <w:rsid w:val="009B6090"/>
    <w:rsid w:val="009B63A1"/>
    <w:rsid w:val="009C2664"/>
    <w:rsid w:val="009C2CB2"/>
    <w:rsid w:val="009C500E"/>
    <w:rsid w:val="009C7312"/>
    <w:rsid w:val="009D1241"/>
    <w:rsid w:val="009D1D27"/>
    <w:rsid w:val="009D44DD"/>
    <w:rsid w:val="009D5ECA"/>
    <w:rsid w:val="009D7489"/>
    <w:rsid w:val="009D7626"/>
    <w:rsid w:val="009D7A0E"/>
    <w:rsid w:val="009E1D4D"/>
    <w:rsid w:val="009E3079"/>
    <w:rsid w:val="009E34C9"/>
    <w:rsid w:val="009E4A0D"/>
    <w:rsid w:val="009E75F4"/>
    <w:rsid w:val="009F160C"/>
    <w:rsid w:val="009F1A22"/>
    <w:rsid w:val="009F3320"/>
    <w:rsid w:val="009F4CF2"/>
    <w:rsid w:val="00A01747"/>
    <w:rsid w:val="00A03B47"/>
    <w:rsid w:val="00A05209"/>
    <w:rsid w:val="00A06DFA"/>
    <w:rsid w:val="00A10196"/>
    <w:rsid w:val="00A125CE"/>
    <w:rsid w:val="00A127BF"/>
    <w:rsid w:val="00A12AEA"/>
    <w:rsid w:val="00A151E4"/>
    <w:rsid w:val="00A2031C"/>
    <w:rsid w:val="00A2198B"/>
    <w:rsid w:val="00A22793"/>
    <w:rsid w:val="00A23BC5"/>
    <w:rsid w:val="00A25076"/>
    <w:rsid w:val="00A30A8E"/>
    <w:rsid w:val="00A31654"/>
    <w:rsid w:val="00A31FEE"/>
    <w:rsid w:val="00A3295D"/>
    <w:rsid w:val="00A32AE9"/>
    <w:rsid w:val="00A32C7B"/>
    <w:rsid w:val="00A366AA"/>
    <w:rsid w:val="00A3715B"/>
    <w:rsid w:val="00A3729E"/>
    <w:rsid w:val="00A3C84D"/>
    <w:rsid w:val="00A420CB"/>
    <w:rsid w:val="00A43E77"/>
    <w:rsid w:val="00A4432A"/>
    <w:rsid w:val="00A44387"/>
    <w:rsid w:val="00A44667"/>
    <w:rsid w:val="00A44B35"/>
    <w:rsid w:val="00A45907"/>
    <w:rsid w:val="00A45FF5"/>
    <w:rsid w:val="00A46D30"/>
    <w:rsid w:val="00A5018D"/>
    <w:rsid w:val="00A5150B"/>
    <w:rsid w:val="00A520D5"/>
    <w:rsid w:val="00A53FDC"/>
    <w:rsid w:val="00A56802"/>
    <w:rsid w:val="00A579F2"/>
    <w:rsid w:val="00A608CD"/>
    <w:rsid w:val="00A61415"/>
    <w:rsid w:val="00A62624"/>
    <w:rsid w:val="00A646E9"/>
    <w:rsid w:val="00A648F1"/>
    <w:rsid w:val="00A656F2"/>
    <w:rsid w:val="00A67500"/>
    <w:rsid w:val="00A70055"/>
    <w:rsid w:val="00A700E7"/>
    <w:rsid w:val="00A701A0"/>
    <w:rsid w:val="00A702B2"/>
    <w:rsid w:val="00A70F82"/>
    <w:rsid w:val="00A712ED"/>
    <w:rsid w:val="00A74406"/>
    <w:rsid w:val="00A75F32"/>
    <w:rsid w:val="00A81936"/>
    <w:rsid w:val="00A81D1E"/>
    <w:rsid w:val="00A83D96"/>
    <w:rsid w:val="00A84BB4"/>
    <w:rsid w:val="00A86BE7"/>
    <w:rsid w:val="00A901ED"/>
    <w:rsid w:val="00A90B63"/>
    <w:rsid w:val="00A90C3C"/>
    <w:rsid w:val="00A910F7"/>
    <w:rsid w:val="00A91E90"/>
    <w:rsid w:val="00A92760"/>
    <w:rsid w:val="00A92CA8"/>
    <w:rsid w:val="00A93C46"/>
    <w:rsid w:val="00A95D38"/>
    <w:rsid w:val="00A969A3"/>
    <w:rsid w:val="00AA049B"/>
    <w:rsid w:val="00AA1382"/>
    <w:rsid w:val="00AB069F"/>
    <w:rsid w:val="00AB1690"/>
    <w:rsid w:val="00AB179D"/>
    <w:rsid w:val="00AB1E43"/>
    <w:rsid w:val="00AB4212"/>
    <w:rsid w:val="00AB422C"/>
    <w:rsid w:val="00AB53C7"/>
    <w:rsid w:val="00AB56E4"/>
    <w:rsid w:val="00AC111A"/>
    <w:rsid w:val="00AC1411"/>
    <w:rsid w:val="00AC19A7"/>
    <w:rsid w:val="00AC202B"/>
    <w:rsid w:val="00AC3EC1"/>
    <w:rsid w:val="00AC49C8"/>
    <w:rsid w:val="00AC5B5B"/>
    <w:rsid w:val="00AC642A"/>
    <w:rsid w:val="00AC6666"/>
    <w:rsid w:val="00AC69DD"/>
    <w:rsid w:val="00AC7139"/>
    <w:rsid w:val="00AC796D"/>
    <w:rsid w:val="00AC7DEF"/>
    <w:rsid w:val="00AD2F11"/>
    <w:rsid w:val="00AD627D"/>
    <w:rsid w:val="00AE02CC"/>
    <w:rsid w:val="00AE104A"/>
    <w:rsid w:val="00AE23F4"/>
    <w:rsid w:val="00AE3D98"/>
    <w:rsid w:val="00AE5674"/>
    <w:rsid w:val="00AE58A7"/>
    <w:rsid w:val="00AE6094"/>
    <w:rsid w:val="00AF0DB0"/>
    <w:rsid w:val="00AF0FFB"/>
    <w:rsid w:val="00AF160C"/>
    <w:rsid w:val="00AF1FA2"/>
    <w:rsid w:val="00AF4DD9"/>
    <w:rsid w:val="00AF5494"/>
    <w:rsid w:val="00AF575B"/>
    <w:rsid w:val="00AF78C1"/>
    <w:rsid w:val="00AF7EE6"/>
    <w:rsid w:val="00B02AE3"/>
    <w:rsid w:val="00B04919"/>
    <w:rsid w:val="00B124AE"/>
    <w:rsid w:val="00B131BE"/>
    <w:rsid w:val="00B1621F"/>
    <w:rsid w:val="00B1739A"/>
    <w:rsid w:val="00B2239C"/>
    <w:rsid w:val="00B22E86"/>
    <w:rsid w:val="00B23050"/>
    <w:rsid w:val="00B23453"/>
    <w:rsid w:val="00B25500"/>
    <w:rsid w:val="00B27390"/>
    <w:rsid w:val="00B27CF8"/>
    <w:rsid w:val="00B27E0D"/>
    <w:rsid w:val="00B305A8"/>
    <w:rsid w:val="00B319F5"/>
    <w:rsid w:val="00B32B8A"/>
    <w:rsid w:val="00B358AB"/>
    <w:rsid w:val="00B37084"/>
    <w:rsid w:val="00B41624"/>
    <w:rsid w:val="00B418D2"/>
    <w:rsid w:val="00B42783"/>
    <w:rsid w:val="00B4303A"/>
    <w:rsid w:val="00B431D5"/>
    <w:rsid w:val="00B45A99"/>
    <w:rsid w:val="00B47688"/>
    <w:rsid w:val="00B5050E"/>
    <w:rsid w:val="00B51AAF"/>
    <w:rsid w:val="00B52D9C"/>
    <w:rsid w:val="00B53871"/>
    <w:rsid w:val="00B5482A"/>
    <w:rsid w:val="00B56F38"/>
    <w:rsid w:val="00B621D1"/>
    <w:rsid w:val="00B63BD3"/>
    <w:rsid w:val="00B644D1"/>
    <w:rsid w:val="00B64627"/>
    <w:rsid w:val="00B663BB"/>
    <w:rsid w:val="00B67290"/>
    <w:rsid w:val="00B70695"/>
    <w:rsid w:val="00B70B78"/>
    <w:rsid w:val="00B71739"/>
    <w:rsid w:val="00B719A9"/>
    <w:rsid w:val="00B73753"/>
    <w:rsid w:val="00B75374"/>
    <w:rsid w:val="00B75742"/>
    <w:rsid w:val="00B76F44"/>
    <w:rsid w:val="00B779D5"/>
    <w:rsid w:val="00B77F89"/>
    <w:rsid w:val="00B81B62"/>
    <w:rsid w:val="00B837A7"/>
    <w:rsid w:val="00B84288"/>
    <w:rsid w:val="00B842B2"/>
    <w:rsid w:val="00B85F6E"/>
    <w:rsid w:val="00B86FA9"/>
    <w:rsid w:val="00B90CFE"/>
    <w:rsid w:val="00B95A58"/>
    <w:rsid w:val="00B96CA2"/>
    <w:rsid w:val="00B9721D"/>
    <w:rsid w:val="00BA028A"/>
    <w:rsid w:val="00BA1ACB"/>
    <w:rsid w:val="00BA1F7E"/>
    <w:rsid w:val="00BA22FA"/>
    <w:rsid w:val="00BA3EA1"/>
    <w:rsid w:val="00BA4433"/>
    <w:rsid w:val="00BA4507"/>
    <w:rsid w:val="00BA4E12"/>
    <w:rsid w:val="00BA54F2"/>
    <w:rsid w:val="00BA6246"/>
    <w:rsid w:val="00BA6D78"/>
    <w:rsid w:val="00BA7BC7"/>
    <w:rsid w:val="00BB1654"/>
    <w:rsid w:val="00BB1DBD"/>
    <w:rsid w:val="00BB2ADF"/>
    <w:rsid w:val="00BB37C9"/>
    <w:rsid w:val="00BB3B90"/>
    <w:rsid w:val="00BB5544"/>
    <w:rsid w:val="00BB61B0"/>
    <w:rsid w:val="00BB7B4B"/>
    <w:rsid w:val="00BC1B60"/>
    <w:rsid w:val="00BC201C"/>
    <w:rsid w:val="00BC26C9"/>
    <w:rsid w:val="00BC44BE"/>
    <w:rsid w:val="00BC5889"/>
    <w:rsid w:val="00BC5DEB"/>
    <w:rsid w:val="00BC5F16"/>
    <w:rsid w:val="00BC72A6"/>
    <w:rsid w:val="00BC7494"/>
    <w:rsid w:val="00BC7DE9"/>
    <w:rsid w:val="00BD1213"/>
    <w:rsid w:val="00BD1362"/>
    <w:rsid w:val="00BD3C45"/>
    <w:rsid w:val="00BD4A54"/>
    <w:rsid w:val="00BD5382"/>
    <w:rsid w:val="00BD686E"/>
    <w:rsid w:val="00BD72B4"/>
    <w:rsid w:val="00BD7C41"/>
    <w:rsid w:val="00BD7C50"/>
    <w:rsid w:val="00BD7C84"/>
    <w:rsid w:val="00BD7E71"/>
    <w:rsid w:val="00BE0848"/>
    <w:rsid w:val="00BE14DF"/>
    <w:rsid w:val="00BE2D35"/>
    <w:rsid w:val="00BE32FC"/>
    <w:rsid w:val="00BE34D1"/>
    <w:rsid w:val="00BE6B88"/>
    <w:rsid w:val="00BE6D3A"/>
    <w:rsid w:val="00BE77B0"/>
    <w:rsid w:val="00BE7B32"/>
    <w:rsid w:val="00BF560E"/>
    <w:rsid w:val="00BF5AFB"/>
    <w:rsid w:val="00BF5D57"/>
    <w:rsid w:val="00BF6120"/>
    <w:rsid w:val="00C019B7"/>
    <w:rsid w:val="00C047BD"/>
    <w:rsid w:val="00C05EE2"/>
    <w:rsid w:val="00C05F09"/>
    <w:rsid w:val="00C071F4"/>
    <w:rsid w:val="00C132D1"/>
    <w:rsid w:val="00C151B0"/>
    <w:rsid w:val="00C155C5"/>
    <w:rsid w:val="00C15BBF"/>
    <w:rsid w:val="00C16FEF"/>
    <w:rsid w:val="00C17AB8"/>
    <w:rsid w:val="00C20B01"/>
    <w:rsid w:val="00C20ED0"/>
    <w:rsid w:val="00C20F43"/>
    <w:rsid w:val="00C2302C"/>
    <w:rsid w:val="00C23BAA"/>
    <w:rsid w:val="00C23F07"/>
    <w:rsid w:val="00C25DAF"/>
    <w:rsid w:val="00C26932"/>
    <w:rsid w:val="00C26A1D"/>
    <w:rsid w:val="00C26CF3"/>
    <w:rsid w:val="00C26EDF"/>
    <w:rsid w:val="00C302A7"/>
    <w:rsid w:val="00C32717"/>
    <w:rsid w:val="00C33B9A"/>
    <w:rsid w:val="00C37D65"/>
    <w:rsid w:val="00C40EDC"/>
    <w:rsid w:val="00C41B46"/>
    <w:rsid w:val="00C41FD5"/>
    <w:rsid w:val="00C42230"/>
    <w:rsid w:val="00C42D70"/>
    <w:rsid w:val="00C44A75"/>
    <w:rsid w:val="00C44FC9"/>
    <w:rsid w:val="00C46C0E"/>
    <w:rsid w:val="00C500C3"/>
    <w:rsid w:val="00C5108C"/>
    <w:rsid w:val="00C53524"/>
    <w:rsid w:val="00C6011A"/>
    <w:rsid w:val="00C60268"/>
    <w:rsid w:val="00C646C0"/>
    <w:rsid w:val="00C67B9E"/>
    <w:rsid w:val="00C70855"/>
    <w:rsid w:val="00C70A2F"/>
    <w:rsid w:val="00C72641"/>
    <w:rsid w:val="00C73E95"/>
    <w:rsid w:val="00C75960"/>
    <w:rsid w:val="00C83593"/>
    <w:rsid w:val="00C83A00"/>
    <w:rsid w:val="00C85122"/>
    <w:rsid w:val="00C85945"/>
    <w:rsid w:val="00C869FC"/>
    <w:rsid w:val="00C87E47"/>
    <w:rsid w:val="00C90675"/>
    <w:rsid w:val="00C9131F"/>
    <w:rsid w:val="00CA07C4"/>
    <w:rsid w:val="00CA1675"/>
    <w:rsid w:val="00CA36D8"/>
    <w:rsid w:val="00CA376A"/>
    <w:rsid w:val="00CA45BA"/>
    <w:rsid w:val="00CA5335"/>
    <w:rsid w:val="00CA610E"/>
    <w:rsid w:val="00CA6D0B"/>
    <w:rsid w:val="00CA718D"/>
    <w:rsid w:val="00CB0913"/>
    <w:rsid w:val="00CB25C8"/>
    <w:rsid w:val="00CB5B0C"/>
    <w:rsid w:val="00CB68B5"/>
    <w:rsid w:val="00CC00E6"/>
    <w:rsid w:val="00CC199A"/>
    <w:rsid w:val="00CC25EF"/>
    <w:rsid w:val="00CD08DE"/>
    <w:rsid w:val="00CD16E4"/>
    <w:rsid w:val="00CD17BF"/>
    <w:rsid w:val="00CD2716"/>
    <w:rsid w:val="00CD3846"/>
    <w:rsid w:val="00CD5CA9"/>
    <w:rsid w:val="00CE0F11"/>
    <w:rsid w:val="00CE1655"/>
    <w:rsid w:val="00CE2593"/>
    <w:rsid w:val="00CE25DA"/>
    <w:rsid w:val="00CE3459"/>
    <w:rsid w:val="00CE4133"/>
    <w:rsid w:val="00CE43DE"/>
    <w:rsid w:val="00CE44BC"/>
    <w:rsid w:val="00CE572A"/>
    <w:rsid w:val="00CF2853"/>
    <w:rsid w:val="00CF4D19"/>
    <w:rsid w:val="00CF74D5"/>
    <w:rsid w:val="00D00031"/>
    <w:rsid w:val="00D012FA"/>
    <w:rsid w:val="00D0143B"/>
    <w:rsid w:val="00D045F6"/>
    <w:rsid w:val="00D05FB9"/>
    <w:rsid w:val="00D060C8"/>
    <w:rsid w:val="00D061F1"/>
    <w:rsid w:val="00D117A7"/>
    <w:rsid w:val="00D11B09"/>
    <w:rsid w:val="00D12D71"/>
    <w:rsid w:val="00D13252"/>
    <w:rsid w:val="00D139AB"/>
    <w:rsid w:val="00D13A2F"/>
    <w:rsid w:val="00D13B6A"/>
    <w:rsid w:val="00D20895"/>
    <w:rsid w:val="00D228A1"/>
    <w:rsid w:val="00D263C9"/>
    <w:rsid w:val="00D3058A"/>
    <w:rsid w:val="00D313A0"/>
    <w:rsid w:val="00D370EA"/>
    <w:rsid w:val="00D40220"/>
    <w:rsid w:val="00D4023A"/>
    <w:rsid w:val="00D41FDA"/>
    <w:rsid w:val="00D427A9"/>
    <w:rsid w:val="00D4379D"/>
    <w:rsid w:val="00D45296"/>
    <w:rsid w:val="00D459C6"/>
    <w:rsid w:val="00D5164C"/>
    <w:rsid w:val="00D52663"/>
    <w:rsid w:val="00D54485"/>
    <w:rsid w:val="00D5553A"/>
    <w:rsid w:val="00D568EA"/>
    <w:rsid w:val="00D579E5"/>
    <w:rsid w:val="00D6283B"/>
    <w:rsid w:val="00D63918"/>
    <w:rsid w:val="00D64B8B"/>
    <w:rsid w:val="00D65171"/>
    <w:rsid w:val="00D666EA"/>
    <w:rsid w:val="00D67245"/>
    <w:rsid w:val="00D6728B"/>
    <w:rsid w:val="00D678D1"/>
    <w:rsid w:val="00D6798D"/>
    <w:rsid w:val="00D70DE6"/>
    <w:rsid w:val="00D7159D"/>
    <w:rsid w:val="00D71751"/>
    <w:rsid w:val="00D72AA3"/>
    <w:rsid w:val="00D72DE6"/>
    <w:rsid w:val="00D732FA"/>
    <w:rsid w:val="00D74110"/>
    <w:rsid w:val="00D74243"/>
    <w:rsid w:val="00D74315"/>
    <w:rsid w:val="00D75602"/>
    <w:rsid w:val="00D779E6"/>
    <w:rsid w:val="00D824E1"/>
    <w:rsid w:val="00D8298B"/>
    <w:rsid w:val="00D86D14"/>
    <w:rsid w:val="00D86FB2"/>
    <w:rsid w:val="00D87955"/>
    <w:rsid w:val="00D90FF1"/>
    <w:rsid w:val="00D9146B"/>
    <w:rsid w:val="00D9177C"/>
    <w:rsid w:val="00D92A82"/>
    <w:rsid w:val="00D92BAD"/>
    <w:rsid w:val="00D92C69"/>
    <w:rsid w:val="00D939D9"/>
    <w:rsid w:val="00D94F6E"/>
    <w:rsid w:val="00D95E64"/>
    <w:rsid w:val="00D96158"/>
    <w:rsid w:val="00DA07CC"/>
    <w:rsid w:val="00DA4C68"/>
    <w:rsid w:val="00DA7EA4"/>
    <w:rsid w:val="00DB0666"/>
    <w:rsid w:val="00DB2E36"/>
    <w:rsid w:val="00DB5817"/>
    <w:rsid w:val="00DB688B"/>
    <w:rsid w:val="00DC0955"/>
    <w:rsid w:val="00DC10AC"/>
    <w:rsid w:val="00DC1231"/>
    <w:rsid w:val="00DC19B8"/>
    <w:rsid w:val="00DC2B18"/>
    <w:rsid w:val="00DC387B"/>
    <w:rsid w:val="00DC3963"/>
    <w:rsid w:val="00DC5A44"/>
    <w:rsid w:val="00DD1939"/>
    <w:rsid w:val="00DD2996"/>
    <w:rsid w:val="00DD2A90"/>
    <w:rsid w:val="00DD2B30"/>
    <w:rsid w:val="00DD5740"/>
    <w:rsid w:val="00DD6002"/>
    <w:rsid w:val="00DE08C8"/>
    <w:rsid w:val="00DE0D4F"/>
    <w:rsid w:val="00DE0FA3"/>
    <w:rsid w:val="00DE4734"/>
    <w:rsid w:val="00DE58E3"/>
    <w:rsid w:val="00DE65D5"/>
    <w:rsid w:val="00DE7050"/>
    <w:rsid w:val="00DE784D"/>
    <w:rsid w:val="00DF15B6"/>
    <w:rsid w:val="00DF1A71"/>
    <w:rsid w:val="00DF294B"/>
    <w:rsid w:val="00DF7525"/>
    <w:rsid w:val="00DF7E5B"/>
    <w:rsid w:val="00E00D34"/>
    <w:rsid w:val="00E00D8B"/>
    <w:rsid w:val="00E01D12"/>
    <w:rsid w:val="00E0233A"/>
    <w:rsid w:val="00E02749"/>
    <w:rsid w:val="00E031F8"/>
    <w:rsid w:val="00E058C0"/>
    <w:rsid w:val="00E064E7"/>
    <w:rsid w:val="00E06612"/>
    <w:rsid w:val="00E06AD8"/>
    <w:rsid w:val="00E07FD4"/>
    <w:rsid w:val="00E11C69"/>
    <w:rsid w:val="00E161C0"/>
    <w:rsid w:val="00E206A3"/>
    <w:rsid w:val="00E217A1"/>
    <w:rsid w:val="00E23507"/>
    <w:rsid w:val="00E23F47"/>
    <w:rsid w:val="00E25566"/>
    <w:rsid w:val="00E259B4"/>
    <w:rsid w:val="00E265A1"/>
    <w:rsid w:val="00E27F68"/>
    <w:rsid w:val="00E30A34"/>
    <w:rsid w:val="00E31AD7"/>
    <w:rsid w:val="00E31C37"/>
    <w:rsid w:val="00E32F9C"/>
    <w:rsid w:val="00E362B9"/>
    <w:rsid w:val="00E36522"/>
    <w:rsid w:val="00E406A1"/>
    <w:rsid w:val="00E41949"/>
    <w:rsid w:val="00E44196"/>
    <w:rsid w:val="00E4521F"/>
    <w:rsid w:val="00E4526A"/>
    <w:rsid w:val="00E45799"/>
    <w:rsid w:val="00E479D8"/>
    <w:rsid w:val="00E5055B"/>
    <w:rsid w:val="00E507FC"/>
    <w:rsid w:val="00E525D4"/>
    <w:rsid w:val="00E5352C"/>
    <w:rsid w:val="00E536FF"/>
    <w:rsid w:val="00E54BCE"/>
    <w:rsid w:val="00E54CA0"/>
    <w:rsid w:val="00E579A6"/>
    <w:rsid w:val="00E60023"/>
    <w:rsid w:val="00E60289"/>
    <w:rsid w:val="00E60BFF"/>
    <w:rsid w:val="00E62B2F"/>
    <w:rsid w:val="00E63C90"/>
    <w:rsid w:val="00E63EAC"/>
    <w:rsid w:val="00E64BBA"/>
    <w:rsid w:val="00E651B5"/>
    <w:rsid w:val="00E66566"/>
    <w:rsid w:val="00E66A6B"/>
    <w:rsid w:val="00E66AF5"/>
    <w:rsid w:val="00E71203"/>
    <w:rsid w:val="00E71358"/>
    <w:rsid w:val="00E7170B"/>
    <w:rsid w:val="00E72E75"/>
    <w:rsid w:val="00E745DF"/>
    <w:rsid w:val="00E75899"/>
    <w:rsid w:val="00E75A75"/>
    <w:rsid w:val="00E75F35"/>
    <w:rsid w:val="00E76376"/>
    <w:rsid w:val="00E80DC6"/>
    <w:rsid w:val="00E85807"/>
    <w:rsid w:val="00E8607D"/>
    <w:rsid w:val="00E91AA8"/>
    <w:rsid w:val="00E921CF"/>
    <w:rsid w:val="00E931AE"/>
    <w:rsid w:val="00E94A8D"/>
    <w:rsid w:val="00E965EF"/>
    <w:rsid w:val="00E96AAF"/>
    <w:rsid w:val="00E96D1F"/>
    <w:rsid w:val="00E96DC1"/>
    <w:rsid w:val="00E96FBF"/>
    <w:rsid w:val="00E970A2"/>
    <w:rsid w:val="00EA01E6"/>
    <w:rsid w:val="00EA0616"/>
    <w:rsid w:val="00EA0E3D"/>
    <w:rsid w:val="00EA13FE"/>
    <w:rsid w:val="00EA5A28"/>
    <w:rsid w:val="00EA5DE3"/>
    <w:rsid w:val="00EB006C"/>
    <w:rsid w:val="00EB09C1"/>
    <w:rsid w:val="00EB4176"/>
    <w:rsid w:val="00EB567B"/>
    <w:rsid w:val="00EB5E22"/>
    <w:rsid w:val="00EB6E13"/>
    <w:rsid w:val="00EC0FD5"/>
    <w:rsid w:val="00EC1D20"/>
    <w:rsid w:val="00EC3EBC"/>
    <w:rsid w:val="00EC4262"/>
    <w:rsid w:val="00EC4460"/>
    <w:rsid w:val="00EC6BC2"/>
    <w:rsid w:val="00ED0A45"/>
    <w:rsid w:val="00ED28B6"/>
    <w:rsid w:val="00ED2CE1"/>
    <w:rsid w:val="00ED3E14"/>
    <w:rsid w:val="00ED6B00"/>
    <w:rsid w:val="00ED7EDE"/>
    <w:rsid w:val="00EE124E"/>
    <w:rsid w:val="00EE2888"/>
    <w:rsid w:val="00EE3AA5"/>
    <w:rsid w:val="00EE48C6"/>
    <w:rsid w:val="00EE5546"/>
    <w:rsid w:val="00EE5A08"/>
    <w:rsid w:val="00EE5F66"/>
    <w:rsid w:val="00EE62CD"/>
    <w:rsid w:val="00EE7FB3"/>
    <w:rsid w:val="00EF448E"/>
    <w:rsid w:val="00EF5468"/>
    <w:rsid w:val="00EF7C64"/>
    <w:rsid w:val="00EF7E55"/>
    <w:rsid w:val="00F00CB2"/>
    <w:rsid w:val="00F01563"/>
    <w:rsid w:val="00F02FEC"/>
    <w:rsid w:val="00F03432"/>
    <w:rsid w:val="00F039DD"/>
    <w:rsid w:val="00F0422B"/>
    <w:rsid w:val="00F102DC"/>
    <w:rsid w:val="00F13140"/>
    <w:rsid w:val="00F1331D"/>
    <w:rsid w:val="00F135F0"/>
    <w:rsid w:val="00F15F4D"/>
    <w:rsid w:val="00F16C39"/>
    <w:rsid w:val="00F229FE"/>
    <w:rsid w:val="00F26243"/>
    <w:rsid w:val="00F27254"/>
    <w:rsid w:val="00F2770C"/>
    <w:rsid w:val="00F31256"/>
    <w:rsid w:val="00F32E7A"/>
    <w:rsid w:val="00F33221"/>
    <w:rsid w:val="00F35FA0"/>
    <w:rsid w:val="00F36BE3"/>
    <w:rsid w:val="00F36E03"/>
    <w:rsid w:val="00F37983"/>
    <w:rsid w:val="00F40DEF"/>
    <w:rsid w:val="00F42C8B"/>
    <w:rsid w:val="00F4379F"/>
    <w:rsid w:val="00F444C9"/>
    <w:rsid w:val="00F447D9"/>
    <w:rsid w:val="00F45893"/>
    <w:rsid w:val="00F50F04"/>
    <w:rsid w:val="00F513BF"/>
    <w:rsid w:val="00F51D1E"/>
    <w:rsid w:val="00F51FAA"/>
    <w:rsid w:val="00F554B8"/>
    <w:rsid w:val="00F55B51"/>
    <w:rsid w:val="00F55C3E"/>
    <w:rsid w:val="00F55F92"/>
    <w:rsid w:val="00F60347"/>
    <w:rsid w:val="00F63CD0"/>
    <w:rsid w:val="00F67121"/>
    <w:rsid w:val="00F67326"/>
    <w:rsid w:val="00F7048D"/>
    <w:rsid w:val="00F715BC"/>
    <w:rsid w:val="00F727B0"/>
    <w:rsid w:val="00F72B21"/>
    <w:rsid w:val="00F73EB9"/>
    <w:rsid w:val="00F75358"/>
    <w:rsid w:val="00F775C0"/>
    <w:rsid w:val="00F81F75"/>
    <w:rsid w:val="00F837E9"/>
    <w:rsid w:val="00F8673A"/>
    <w:rsid w:val="00F87715"/>
    <w:rsid w:val="00F90744"/>
    <w:rsid w:val="00F91793"/>
    <w:rsid w:val="00F95326"/>
    <w:rsid w:val="00FA1248"/>
    <w:rsid w:val="00FA14DA"/>
    <w:rsid w:val="00FA18D8"/>
    <w:rsid w:val="00FA1CBF"/>
    <w:rsid w:val="00FA1F16"/>
    <w:rsid w:val="00FA2ABE"/>
    <w:rsid w:val="00FA2AF9"/>
    <w:rsid w:val="00FA684D"/>
    <w:rsid w:val="00FA690C"/>
    <w:rsid w:val="00FA6FB3"/>
    <w:rsid w:val="00FA7190"/>
    <w:rsid w:val="00FB153C"/>
    <w:rsid w:val="00FB43F7"/>
    <w:rsid w:val="00FC04FC"/>
    <w:rsid w:val="00FC0C01"/>
    <w:rsid w:val="00FC3054"/>
    <w:rsid w:val="00FC4CB1"/>
    <w:rsid w:val="00FC6AB1"/>
    <w:rsid w:val="00FD18EB"/>
    <w:rsid w:val="00FD229D"/>
    <w:rsid w:val="00FD4C58"/>
    <w:rsid w:val="00FD5F5F"/>
    <w:rsid w:val="00FD6540"/>
    <w:rsid w:val="00FD722C"/>
    <w:rsid w:val="00FE2A01"/>
    <w:rsid w:val="00FE2C78"/>
    <w:rsid w:val="00FE3DA7"/>
    <w:rsid w:val="00FE3F1F"/>
    <w:rsid w:val="00FE41BE"/>
    <w:rsid w:val="00FE53E1"/>
    <w:rsid w:val="00FE5788"/>
    <w:rsid w:val="00FE5852"/>
    <w:rsid w:val="00FF0BB4"/>
    <w:rsid w:val="00FF3FE8"/>
    <w:rsid w:val="00FF4831"/>
    <w:rsid w:val="00FF4DF6"/>
    <w:rsid w:val="00FF77FA"/>
    <w:rsid w:val="01846336"/>
    <w:rsid w:val="042B88BA"/>
    <w:rsid w:val="051DDF54"/>
    <w:rsid w:val="05D66270"/>
    <w:rsid w:val="0AEB6D86"/>
    <w:rsid w:val="0DD52DB4"/>
    <w:rsid w:val="0F09C204"/>
    <w:rsid w:val="154478CC"/>
    <w:rsid w:val="1A0BA34E"/>
    <w:rsid w:val="1E8BB783"/>
    <w:rsid w:val="211B0B55"/>
    <w:rsid w:val="22E1FBAD"/>
    <w:rsid w:val="265DCFA9"/>
    <w:rsid w:val="2A750481"/>
    <w:rsid w:val="2BE56EB4"/>
    <w:rsid w:val="2E5BD366"/>
    <w:rsid w:val="2EABDF44"/>
    <w:rsid w:val="30E73FEA"/>
    <w:rsid w:val="311C1DCF"/>
    <w:rsid w:val="34490E84"/>
    <w:rsid w:val="34BEFAB5"/>
    <w:rsid w:val="36398A75"/>
    <w:rsid w:val="39CEC66D"/>
    <w:rsid w:val="3C93F39D"/>
    <w:rsid w:val="3CE288A5"/>
    <w:rsid w:val="3E2FC3FE"/>
    <w:rsid w:val="42381AAF"/>
    <w:rsid w:val="440A053D"/>
    <w:rsid w:val="456D07AF"/>
    <w:rsid w:val="4759827A"/>
    <w:rsid w:val="4814ACC7"/>
    <w:rsid w:val="481E8BB4"/>
    <w:rsid w:val="4979CCEC"/>
    <w:rsid w:val="4A7A0902"/>
    <w:rsid w:val="4C7133A0"/>
    <w:rsid w:val="4DC91F64"/>
    <w:rsid w:val="544E85FD"/>
    <w:rsid w:val="545506E7"/>
    <w:rsid w:val="54A626E2"/>
    <w:rsid w:val="55FD2B07"/>
    <w:rsid w:val="578626BF"/>
    <w:rsid w:val="5B20B079"/>
    <w:rsid w:val="5B91E31C"/>
    <w:rsid w:val="5DE12B21"/>
    <w:rsid w:val="5F4846A1"/>
    <w:rsid w:val="60C1C9A3"/>
    <w:rsid w:val="61358E03"/>
    <w:rsid w:val="6238AD0E"/>
    <w:rsid w:val="64875B7E"/>
    <w:rsid w:val="66BE241E"/>
    <w:rsid w:val="67A4380F"/>
    <w:rsid w:val="6ADBD8D1"/>
    <w:rsid w:val="6CBF3129"/>
    <w:rsid w:val="6D24B31D"/>
    <w:rsid w:val="747684C8"/>
    <w:rsid w:val="74841D2F"/>
    <w:rsid w:val="75EDB662"/>
    <w:rsid w:val="79AE3060"/>
    <w:rsid w:val="79BE3F36"/>
    <w:rsid w:val="7C714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68C643AF-3723-42AB-AAB4-E8B69DC7B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semiHidden/>
    <w:unhideWhenUsed/>
    <w:rsid w:val="00D74243"/>
    <w:pPr>
      <w:tabs>
        <w:tab w:val="center" w:pos="4680"/>
        <w:tab w:val="right" w:pos="9360"/>
      </w:tabs>
    </w:pPr>
  </w:style>
  <w:style w:type="character" w:customStyle="1" w:styleId="HeaderChar">
    <w:name w:val="Header Char"/>
    <w:basedOn w:val="DefaultParagraphFont"/>
    <w:link w:val="Header"/>
    <w:uiPriority w:val="99"/>
    <w:semiHidden/>
    <w:rsid w:val="00D74243"/>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D74243"/>
    <w:pPr>
      <w:tabs>
        <w:tab w:val="center" w:pos="4680"/>
        <w:tab w:val="right" w:pos="9360"/>
      </w:tabs>
    </w:pPr>
  </w:style>
  <w:style w:type="character" w:customStyle="1" w:styleId="FooterChar">
    <w:name w:val="Footer Char"/>
    <w:basedOn w:val="DefaultParagraphFont"/>
    <w:link w:val="Footer"/>
    <w:uiPriority w:val="99"/>
    <w:semiHidden/>
    <w:rsid w:val="00D74243"/>
    <w:rPr>
      <w:rFonts w:ascii="Times New Roman" w:eastAsia="Tahoma" w:hAnsi="Times New Roman" w:cs="Times New Roman"/>
      <w:kern w:val="1"/>
      <w:sz w:val="24"/>
      <w:szCs w:val="24"/>
    </w:rPr>
  </w:style>
  <w:style w:type="paragraph" w:styleId="Revision">
    <w:name w:val="Revision"/>
    <w:hidden/>
    <w:uiPriority w:val="99"/>
    <w:semiHidden/>
    <w:rsid w:val="00386793"/>
    <w:pPr>
      <w:spacing w:after="0" w:line="240" w:lineRule="auto"/>
    </w:pPr>
    <w:rPr>
      <w:rFonts w:ascii="Times New Roman" w:eastAsia="Tahoma" w:hAnsi="Times New Roman" w:cs="Times New Roman"/>
      <w:kern w:val="1"/>
      <w:sz w:val="24"/>
      <w:szCs w:val="24"/>
    </w:rPr>
  </w:style>
  <w:style w:type="character" w:styleId="FollowedHyperlink">
    <w:name w:val="FollowedHyperlink"/>
    <w:basedOn w:val="DefaultParagraphFont"/>
    <w:uiPriority w:val="99"/>
    <w:semiHidden/>
    <w:unhideWhenUsed/>
    <w:rsid w:val="00E64BBA"/>
    <w:rPr>
      <w:color w:val="954F72" w:themeColor="followedHyperlink"/>
      <w:u w:val="single"/>
    </w:rPr>
  </w:style>
  <w:style w:type="paragraph" w:customStyle="1" w:styleId="ReportCover-Title">
    <w:name w:val="ReportCover-Title"/>
    <w:basedOn w:val="Normal"/>
    <w:rsid w:val="00750E24"/>
    <w:pPr>
      <w:widowControl/>
      <w:suppressAutoHyphens w:val="0"/>
      <w:spacing w:line="420" w:lineRule="exact"/>
    </w:pPr>
    <w:rPr>
      <w:rFonts w:ascii="Franklin Gothic Medium" w:eastAsia="Times New Roman" w:hAnsi="Franklin Gothic Medium"/>
      <w:b/>
      <w:color w:val="003C79"/>
      <w:kern w:val="0"/>
      <w:sz w:val="40"/>
      <w:szCs w:val="40"/>
    </w:rPr>
  </w:style>
  <w:style w:type="paragraph" w:customStyle="1" w:styleId="ReportCover-Date">
    <w:name w:val="ReportCover-Date"/>
    <w:basedOn w:val="Normal"/>
    <w:rsid w:val="00750E24"/>
    <w:pPr>
      <w:widowControl/>
      <w:suppressAutoHyphens w:val="0"/>
      <w:spacing w:after="840" w:line="260" w:lineRule="exact"/>
    </w:pPr>
    <w:rPr>
      <w:rFonts w:ascii="Franklin Gothic Medium" w:eastAsia="Times New Roman" w:hAnsi="Franklin Gothic Medium"/>
      <w:b/>
      <w:color w:val="003C79"/>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section-410.1105" TargetMode="External" /><Relationship Id="rId11" Type="http://schemas.openxmlformats.org/officeDocument/2006/relationships/hyperlink" Target="https://acf.gov/orr/policy-guidance/unaccompanied-children-program-policy-guide-section-1" TargetMode="External" /><Relationship Id="rId12" Type="http://schemas.openxmlformats.org/officeDocument/2006/relationships/hyperlink" Target="https://www.ecfr.gov/current/title-45/section-410.1001" TargetMode="External" /><Relationship Id="rId13" Type="http://schemas.openxmlformats.org/officeDocument/2006/relationships/hyperlink" Target="https://www.ecfr.gov/current/title-45/part-410/section-410.1306"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ovinfo.gov/content/pkg/USCODE-2023-title8/html/USCODE-2023-title8-chap12-subchapII-partIV-sec1232.htm" TargetMode="External" /><Relationship Id="rId9" Type="http://schemas.openxmlformats.org/officeDocument/2006/relationships/hyperlink" Target="https://www.ecfr.gov/current/title-45/subtitle-B/chapter-IV/part-410?toc=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customXml/itemProps2.xml><?xml version="1.0" encoding="utf-8"?>
<ds:datastoreItem xmlns:ds="http://schemas.openxmlformats.org/officeDocument/2006/customXml" ds:itemID="{69427763-6C17-4683-BE66-D42E977DCA4F}">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6f2f78f1-91a5-4d68-8b46-c99d45c19e6d"/>
    <ds:schemaRef ds:uri="http://schemas.microsoft.com/office/infopath/2007/PartnerControls"/>
    <ds:schemaRef ds:uri="23ef38b6-7648-470d-b5e3-09395448522b"/>
    <ds:schemaRef ds:uri="http://purl.org/dc/dcmitype/"/>
  </ds:schemaRefs>
</ds:datastoreItem>
</file>

<file path=customXml/itemProps3.xml><?xml version="1.0" encoding="utf-8"?>
<ds:datastoreItem xmlns:ds="http://schemas.openxmlformats.org/officeDocument/2006/customXml" ds:itemID="{72A92E9B-72CB-494F-95DD-9EC73D1A2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28</TotalTime>
  <Pages>9</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32</cp:revision>
  <dcterms:created xsi:type="dcterms:W3CDTF">2025-09-16T15:21:00Z</dcterms:created>
  <dcterms:modified xsi:type="dcterms:W3CDTF">2025-09-25T13:40:00Z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