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32BA2" w:rsidRPr="003C5E70" w:rsidP="00217445" w14:paraId="4B8C43F2" w14:textId="5A802B14">
      <w:pPr>
        <w:pStyle w:val="Heading1"/>
        <w:jc w:val="center"/>
        <w:rPr>
          <w:b/>
          <w:bCs/>
          <w:color w:val="105C95"/>
        </w:rPr>
      </w:pPr>
      <w:r w:rsidRPr="00574572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-933866</wp:posOffset>
                </wp:positionV>
                <wp:extent cx="2377440" cy="460638"/>
                <wp:effectExtent l="0" t="0" r="0" b="0"/>
                <wp:wrapNone/>
                <wp:docPr id="527852405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F38762EE-06F2-4F44-91C7-634C94CB65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606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572" w:rsidRPr="006046E5" w:rsidP="00574572" w14:textId="6E790C1C">
                            <w:pPr>
                              <w:spacing w:after="0"/>
                              <w:jc w:val="right"/>
                            </w:pPr>
                            <w:r w:rsidRPr="006046E5">
                              <w:t>OMB Control Number 0970-0401</w:t>
                            </w:r>
                          </w:p>
                          <w:p w:rsidR="00574572" w:rsidRPr="006046E5" w:rsidP="00574572" w14:textId="15BA6C54">
                            <w:pPr>
                              <w:jc w:val="right"/>
                            </w:pPr>
                            <w:r w:rsidRPr="006046E5">
                              <w:t>Expiration Date 05/31/2027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5.9pt;height:36.25pt;margin-top:-73.55pt;margin-left:319.9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 filled="f" stroked="f">
                <v:textbox>
                  <w:txbxContent>
                    <w:p w:rsidR="00574572" w:rsidRPr="006046E5" w:rsidP="00574572" w14:paraId="0A72B849" w14:textId="6E790C1C">
                      <w:pPr>
                        <w:spacing w:after="0"/>
                        <w:jc w:val="right"/>
                      </w:pPr>
                      <w:r w:rsidRPr="006046E5">
                        <w:t>OMB Control Number 0970-0401</w:t>
                      </w:r>
                    </w:p>
                    <w:p w:rsidR="00574572" w:rsidRPr="006046E5" w:rsidP="00574572" w14:paraId="11D80C9A" w14:textId="15BA6C54">
                      <w:pPr>
                        <w:jc w:val="right"/>
                      </w:pPr>
                      <w:r w:rsidRPr="006046E5">
                        <w:t>Expiration Date 05/31/2027</w:t>
                      </w:r>
                    </w:p>
                  </w:txbxContent>
                </v:textbox>
              </v:shape>
            </w:pict>
          </mc:Fallback>
        </mc:AlternateContent>
      </w:r>
      <w:r w:rsidRPr="5AB49CC0" w:rsidR="00EC0F5F">
        <w:rPr>
          <w:b/>
          <w:bCs/>
          <w:color w:val="105C95"/>
        </w:rPr>
        <w:t xml:space="preserve">Tailored </w:t>
      </w:r>
      <w:r w:rsidRPr="5AB49CC0" w:rsidR="00AD12DF">
        <w:rPr>
          <w:b/>
          <w:bCs/>
          <w:color w:val="105C95"/>
        </w:rPr>
        <w:t xml:space="preserve">Data-Driven Assistance </w:t>
      </w:r>
      <w:r w:rsidRPr="5AB49CC0" w:rsidR="004669F7">
        <w:rPr>
          <w:b/>
          <w:bCs/>
          <w:color w:val="105C95"/>
        </w:rPr>
        <w:t>Post</w:t>
      </w:r>
      <w:r w:rsidRPr="5AB49CC0" w:rsidR="00986387">
        <w:rPr>
          <w:b/>
          <w:bCs/>
          <w:color w:val="105C95"/>
        </w:rPr>
        <w:t>-P</w:t>
      </w:r>
      <w:r w:rsidRPr="5AB49CC0" w:rsidR="00EC0F5F">
        <w:rPr>
          <w:b/>
          <w:bCs/>
          <w:color w:val="105C95"/>
        </w:rPr>
        <w:t>roject</w:t>
      </w:r>
      <w:r w:rsidRPr="5AB49CC0" w:rsidR="004669F7">
        <w:rPr>
          <w:b/>
          <w:bCs/>
          <w:color w:val="105C95"/>
        </w:rPr>
        <w:t xml:space="preserve"> </w:t>
      </w:r>
      <w:r w:rsidRPr="5AB49CC0" w:rsidR="00932675">
        <w:rPr>
          <w:b/>
          <w:bCs/>
          <w:color w:val="105C95"/>
        </w:rPr>
        <w:t>Survey</w:t>
      </w:r>
    </w:p>
    <w:p w:rsidR="00D07661" w:rsidRPr="003C05C9" w:rsidP="00D07661" w14:paraId="245480AF" w14:textId="1992310E">
      <w:pPr>
        <w:rPr>
          <w:i/>
          <w:iCs/>
          <w:sz w:val="24"/>
          <w:szCs w:val="24"/>
        </w:rPr>
      </w:pPr>
      <w:r w:rsidRPr="003C05C9">
        <w:rPr>
          <w:i/>
          <w:iCs/>
          <w:sz w:val="24"/>
          <w:szCs w:val="24"/>
        </w:rPr>
        <w:t xml:space="preserve">The following survey will be customized for each </w:t>
      </w:r>
      <w:r w:rsidRPr="003C05C9" w:rsidR="003C05C9">
        <w:rPr>
          <w:i/>
          <w:iCs/>
          <w:sz w:val="24"/>
          <w:szCs w:val="24"/>
        </w:rPr>
        <w:t>tailored DDA project</w:t>
      </w:r>
      <w:r w:rsidRPr="003C05C9">
        <w:rPr>
          <w:i/>
          <w:iCs/>
          <w:sz w:val="24"/>
          <w:szCs w:val="24"/>
        </w:rPr>
        <w:t xml:space="preserve"> and sent using </w:t>
      </w:r>
      <w:r w:rsidRPr="003C05C9" w:rsidR="00167BDE">
        <w:rPr>
          <w:i/>
          <w:iCs/>
          <w:sz w:val="24"/>
          <w:szCs w:val="24"/>
        </w:rPr>
        <w:t xml:space="preserve">a platform, such as </w:t>
      </w:r>
      <w:r w:rsidRPr="003C05C9">
        <w:rPr>
          <w:i/>
          <w:iCs/>
          <w:sz w:val="24"/>
          <w:szCs w:val="24"/>
        </w:rPr>
        <w:t>Salesforce</w:t>
      </w:r>
      <w:r w:rsidRPr="003C05C9" w:rsidR="003C05C9">
        <w:rPr>
          <w:i/>
          <w:iCs/>
          <w:sz w:val="24"/>
          <w:szCs w:val="24"/>
        </w:rPr>
        <w:t>,</w:t>
      </w:r>
      <w:r w:rsidRPr="003C05C9">
        <w:rPr>
          <w:i/>
          <w:iCs/>
          <w:sz w:val="24"/>
          <w:szCs w:val="24"/>
        </w:rPr>
        <w:t xml:space="preserve"> to all who </w:t>
      </w:r>
      <w:r w:rsidRPr="003C05C9" w:rsidR="00163843">
        <w:rPr>
          <w:i/>
          <w:iCs/>
          <w:sz w:val="24"/>
          <w:szCs w:val="24"/>
        </w:rPr>
        <w:t>participated in the specific project</w:t>
      </w:r>
      <w:r w:rsidRPr="003C05C9">
        <w:rPr>
          <w:i/>
          <w:iCs/>
          <w:sz w:val="24"/>
          <w:szCs w:val="24"/>
        </w:rPr>
        <w:t xml:space="preserve">. </w:t>
      </w:r>
    </w:p>
    <w:p w:rsidR="00F03728" w:rsidP="004669F7" w14:paraId="0E92D579" w14:textId="214C1826">
      <w:pPr>
        <w:rPr>
          <w:sz w:val="24"/>
          <w:szCs w:val="24"/>
        </w:rPr>
      </w:pPr>
      <w:r w:rsidRPr="00217445">
        <w:rPr>
          <w:sz w:val="24"/>
          <w:szCs w:val="24"/>
        </w:rPr>
        <w:t xml:space="preserve">Thank you for </w:t>
      </w:r>
      <w:r w:rsidRPr="00217445" w:rsidR="004669F7">
        <w:rPr>
          <w:sz w:val="24"/>
          <w:szCs w:val="24"/>
        </w:rPr>
        <w:t>participating in the recent</w:t>
      </w:r>
      <w:r w:rsidRPr="00217445" w:rsidR="00062E7E">
        <w:rPr>
          <w:sz w:val="24"/>
          <w:szCs w:val="24"/>
        </w:rPr>
        <w:t xml:space="preserve"> partnership between </w:t>
      </w:r>
      <w:r w:rsidRPr="00217445" w:rsidR="004669F7">
        <w:rPr>
          <w:i/>
          <w:iCs/>
          <w:sz w:val="24"/>
          <w:szCs w:val="24"/>
        </w:rPr>
        <w:t xml:space="preserve">[name of </w:t>
      </w:r>
      <w:r w:rsidRPr="00217445" w:rsidR="00EC0F5F">
        <w:rPr>
          <w:i/>
          <w:iCs/>
          <w:sz w:val="24"/>
          <w:szCs w:val="24"/>
        </w:rPr>
        <w:t>jurisdiction</w:t>
      </w:r>
      <w:r w:rsidRPr="00217445" w:rsidR="001E5BB1">
        <w:rPr>
          <w:i/>
          <w:iCs/>
          <w:sz w:val="24"/>
          <w:szCs w:val="24"/>
        </w:rPr>
        <w:t xml:space="preserve"> and project name, if there was one</w:t>
      </w:r>
      <w:r w:rsidRPr="00217445" w:rsidR="004669F7">
        <w:rPr>
          <w:i/>
          <w:iCs/>
          <w:sz w:val="24"/>
          <w:szCs w:val="24"/>
        </w:rPr>
        <w:t>]</w:t>
      </w:r>
      <w:r w:rsidRPr="00217445" w:rsidR="00062E7E">
        <w:rPr>
          <w:i/>
          <w:iCs/>
          <w:sz w:val="24"/>
          <w:szCs w:val="24"/>
        </w:rPr>
        <w:t xml:space="preserve"> </w:t>
      </w:r>
      <w:r w:rsidRPr="00217445" w:rsidR="00062E7E">
        <w:rPr>
          <w:sz w:val="24"/>
          <w:szCs w:val="24"/>
        </w:rPr>
        <w:t>and NCWCIA</w:t>
      </w:r>
      <w:r w:rsidRPr="00217445" w:rsidR="004669F7">
        <w:rPr>
          <w:sz w:val="24"/>
          <w:szCs w:val="24"/>
        </w:rPr>
        <w:t>.</w:t>
      </w:r>
      <w:r w:rsidRPr="5908BFB0" w:rsidR="004669F7">
        <w:rPr>
          <w:sz w:val="24"/>
          <w:szCs w:val="24"/>
        </w:rPr>
        <w:t xml:space="preserve"> </w:t>
      </w:r>
    </w:p>
    <w:p w:rsidR="004669F7" w:rsidP="004669F7" w14:paraId="1D8FBF54" w14:textId="729F5060">
      <w:pPr>
        <w:rPr>
          <w:sz w:val="24"/>
          <w:szCs w:val="24"/>
        </w:rPr>
      </w:pPr>
      <w:r w:rsidRPr="01BC7D96">
        <w:rPr>
          <w:sz w:val="24"/>
          <w:szCs w:val="24"/>
        </w:rPr>
        <w:t xml:space="preserve">We </w:t>
      </w:r>
      <w:r w:rsidRPr="01BC7D96" w:rsidR="2938CFF5">
        <w:rPr>
          <w:sz w:val="24"/>
          <w:szCs w:val="24"/>
        </w:rPr>
        <w:t xml:space="preserve">are committed to </w:t>
      </w:r>
      <w:r w:rsidRPr="01BC7D96">
        <w:rPr>
          <w:sz w:val="24"/>
          <w:szCs w:val="24"/>
        </w:rPr>
        <w:t>support</w:t>
      </w:r>
      <w:r w:rsidRPr="01BC7D96" w:rsidR="4E424038">
        <w:rPr>
          <w:sz w:val="24"/>
          <w:szCs w:val="24"/>
        </w:rPr>
        <w:t>ing</w:t>
      </w:r>
      <w:r w:rsidRPr="01BC7D96">
        <w:rPr>
          <w:sz w:val="24"/>
          <w:szCs w:val="24"/>
        </w:rPr>
        <w:t xml:space="preserve"> you and your peers in providing services to children, youth, and families. </w:t>
      </w:r>
      <w:r w:rsidRPr="01BC7D96" w:rsidR="4B4AA571">
        <w:rPr>
          <w:sz w:val="24"/>
          <w:szCs w:val="24"/>
        </w:rPr>
        <w:t>Y</w:t>
      </w:r>
      <w:r w:rsidRPr="01BC7D96">
        <w:rPr>
          <w:sz w:val="24"/>
          <w:szCs w:val="24"/>
        </w:rPr>
        <w:t>our feedback</w:t>
      </w:r>
      <w:r w:rsidRPr="01BC7D96" w:rsidR="3561B32D">
        <w:rPr>
          <w:sz w:val="24"/>
          <w:szCs w:val="24"/>
        </w:rPr>
        <w:t xml:space="preserve"> is essential </w:t>
      </w:r>
      <w:r w:rsidRPr="01BC7D96" w:rsidR="00AE5D89">
        <w:rPr>
          <w:sz w:val="24"/>
          <w:szCs w:val="24"/>
        </w:rPr>
        <w:t>in helping</w:t>
      </w:r>
      <w:r w:rsidRPr="01BC7D96">
        <w:rPr>
          <w:sz w:val="24"/>
          <w:szCs w:val="24"/>
        </w:rPr>
        <w:t xml:space="preserve"> us </w:t>
      </w:r>
      <w:r w:rsidRPr="01BC7D96" w:rsidR="6603380E">
        <w:rPr>
          <w:sz w:val="24"/>
          <w:szCs w:val="24"/>
        </w:rPr>
        <w:t xml:space="preserve">enhance </w:t>
      </w:r>
      <w:r w:rsidRPr="01BC7D96">
        <w:rPr>
          <w:sz w:val="24"/>
          <w:szCs w:val="24"/>
        </w:rPr>
        <w:t>our activities</w:t>
      </w:r>
      <w:r w:rsidRPr="01BC7D96" w:rsidR="7F9C046B">
        <w:rPr>
          <w:sz w:val="24"/>
          <w:szCs w:val="24"/>
        </w:rPr>
        <w:t xml:space="preserve"> and ensure they </w:t>
      </w:r>
      <w:r w:rsidRPr="01BC7D96" w:rsidR="00B32D5C">
        <w:rPr>
          <w:sz w:val="24"/>
          <w:szCs w:val="24"/>
        </w:rPr>
        <w:t>effectively meet</w:t>
      </w:r>
      <w:r w:rsidRPr="01BC7D96">
        <w:rPr>
          <w:sz w:val="24"/>
          <w:szCs w:val="24"/>
        </w:rPr>
        <w:t xml:space="preserve"> your needs. </w:t>
      </w:r>
    </w:p>
    <w:p w:rsidR="004669F7" w:rsidP="004669F7" w14:paraId="2ADD0404" w14:textId="7F473CE6">
      <w:pPr>
        <w:rPr>
          <w:sz w:val="24"/>
          <w:szCs w:val="24"/>
        </w:rPr>
      </w:pPr>
      <w:r w:rsidRPr="5908BFB0">
        <w:rPr>
          <w:sz w:val="24"/>
          <w:szCs w:val="24"/>
        </w:rPr>
        <w:t>Reflecting on</w:t>
      </w:r>
      <w:r w:rsidR="006D36CA">
        <w:rPr>
          <w:sz w:val="24"/>
          <w:szCs w:val="24"/>
        </w:rPr>
        <w:t xml:space="preserve"> your recent partnership with NCWCIA</w:t>
      </w:r>
      <w:r w:rsidRPr="5908BFB0">
        <w:rPr>
          <w:sz w:val="24"/>
          <w:szCs w:val="24"/>
        </w:rPr>
        <w:t xml:space="preserve">, please complete the following questions. We do not expect this to take you more than 5 minutes. </w:t>
      </w:r>
    </w:p>
    <w:p w:rsidR="004669F7" w:rsidP="004669F7" w14:paraId="50BE7DEE" w14:textId="7547DF66">
      <w:pPr>
        <w:rPr>
          <w:sz w:val="24"/>
          <w:szCs w:val="24"/>
        </w:rPr>
      </w:pPr>
      <w:r w:rsidRPr="5908BFB0">
        <w:rPr>
          <w:sz w:val="24"/>
          <w:szCs w:val="24"/>
        </w:rPr>
        <w:t xml:space="preserve">We appreciate your feedback. </w:t>
      </w:r>
    </w:p>
    <w:p w:rsidR="0026005C" w:rsidRPr="0026005C" w:rsidP="5AB49CC0" w14:paraId="2AEE8F50" w14:textId="33AAE3C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5AB49CC0">
        <w:rPr>
          <w:b/>
          <w:bCs/>
          <w:sz w:val="24"/>
          <w:szCs w:val="24"/>
        </w:rPr>
        <w:t xml:space="preserve"> NCWCIA services supported our jurisdiction in</w:t>
      </w:r>
      <w:r w:rsidRPr="5AB49CC0" w:rsidR="00644C90">
        <w:rPr>
          <w:b/>
          <w:bCs/>
          <w:sz w:val="24"/>
          <w:szCs w:val="24"/>
        </w:rPr>
        <w:t>: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1"/>
        <w:gridCol w:w="970"/>
        <w:gridCol w:w="740"/>
        <w:gridCol w:w="897"/>
        <w:gridCol w:w="1019"/>
        <w:gridCol w:w="1019"/>
      </w:tblGrid>
      <w:tr w14:paraId="4A381BE1" w14:textId="77777777" w:rsidTr="0026005C">
        <w:tblPrEx>
          <w:tblW w:w="958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406" w:type="dxa"/>
            <w:vAlign w:val="bottom"/>
            <w:hideMark/>
          </w:tcPr>
          <w:p w:rsidR="0026005C" w:rsidRPr="0026005C" w:rsidP="0026005C" w14:paraId="1214217F" w14:textId="02BC24B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bottom"/>
            <w:hideMark/>
          </w:tcPr>
          <w:p w:rsidR="0026005C" w:rsidRPr="0026005C" w:rsidP="0026005C" w14:paraId="2955B697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6005C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0" w:type="auto"/>
            <w:vAlign w:val="bottom"/>
            <w:hideMark/>
          </w:tcPr>
          <w:p w:rsidR="0026005C" w:rsidRPr="0026005C" w:rsidP="0026005C" w14:paraId="584A9433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6005C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0" w:type="auto"/>
            <w:vAlign w:val="bottom"/>
            <w:hideMark/>
          </w:tcPr>
          <w:p w:rsidR="0026005C" w:rsidRPr="0026005C" w:rsidP="0026005C" w14:paraId="40243E19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6005C">
              <w:rPr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0" w:type="auto"/>
            <w:vAlign w:val="bottom"/>
            <w:hideMark/>
          </w:tcPr>
          <w:p w:rsidR="0026005C" w:rsidRPr="0026005C" w:rsidP="0026005C" w14:paraId="496F0931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6005C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0" w:type="auto"/>
            <w:vAlign w:val="bottom"/>
            <w:hideMark/>
          </w:tcPr>
          <w:p w:rsidR="0026005C" w:rsidRPr="0026005C" w:rsidP="0026005C" w14:paraId="43C07AE9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6005C">
              <w:rPr>
                <w:b/>
                <w:bCs/>
                <w:sz w:val="20"/>
                <w:szCs w:val="20"/>
              </w:rPr>
              <w:t>Strongly Disagree</w:t>
            </w:r>
          </w:p>
        </w:tc>
      </w:tr>
      <w:tr w14:paraId="75E2EC0A" w14:textId="77777777" w:rsidTr="0026005C">
        <w:tblPrEx>
          <w:tblW w:w="9586" w:type="dxa"/>
          <w:tblLook w:val="04A0"/>
        </w:tblPrEx>
        <w:tc>
          <w:tcPr>
            <w:tcW w:w="5406" w:type="dxa"/>
            <w:hideMark/>
          </w:tcPr>
          <w:p w:rsidR="0026005C" w:rsidRPr="00D978B0" w:rsidP="00D978B0" w14:paraId="65925B68" w14:textId="6D4F3B7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D978B0">
              <w:rPr>
                <w:sz w:val="24"/>
                <w:szCs w:val="24"/>
              </w:rPr>
              <w:t>mproving service delivery to children, youth, and families</w:t>
            </w:r>
          </w:p>
        </w:tc>
        <w:tc>
          <w:tcPr>
            <w:tcW w:w="236" w:type="dxa"/>
            <w:vAlign w:val="center"/>
            <w:hideMark/>
          </w:tcPr>
          <w:p w:rsidR="0026005C" w:rsidRPr="0026005C" w:rsidP="0026005C" w14:paraId="3AC9885D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60811A9F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53E72080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64D6A710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19D4057A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</w:tr>
      <w:tr w14:paraId="21ACDE0F" w14:textId="77777777" w:rsidTr="0026005C">
        <w:tblPrEx>
          <w:tblW w:w="9586" w:type="dxa"/>
          <w:tblLook w:val="04A0"/>
        </w:tblPrEx>
        <w:tc>
          <w:tcPr>
            <w:tcW w:w="5406" w:type="dxa"/>
            <w:hideMark/>
          </w:tcPr>
          <w:p w:rsidR="0026005C" w:rsidRPr="00D978B0" w:rsidP="00D978B0" w14:paraId="1D8629DB" w14:textId="13A9966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978B0">
              <w:rPr>
                <w:sz w:val="24"/>
                <w:szCs w:val="24"/>
              </w:rPr>
              <w:t>aking progress toward our identified goals and activities</w:t>
            </w:r>
          </w:p>
        </w:tc>
        <w:tc>
          <w:tcPr>
            <w:tcW w:w="236" w:type="dxa"/>
            <w:vAlign w:val="center"/>
            <w:hideMark/>
          </w:tcPr>
          <w:p w:rsidR="0026005C" w:rsidRPr="0026005C" w:rsidP="0026005C" w14:paraId="3F007187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0F102003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78A8D001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7F40AA0D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6EC89FF1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</w:tr>
      <w:tr w14:paraId="3A1C49E6" w14:textId="77777777" w:rsidTr="0026005C">
        <w:tblPrEx>
          <w:tblW w:w="9586" w:type="dxa"/>
          <w:tblLook w:val="04A0"/>
        </w:tblPrEx>
        <w:tc>
          <w:tcPr>
            <w:tcW w:w="5406" w:type="dxa"/>
            <w:hideMark/>
          </w:tcPr>
          <w:p w:rsidR="0026005C" w:rsidRPr="0026005C" w:rsidP="00D978B0" w14:paraId="7FCFA283" w14:textId="6BFBDA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26005C">
              <w:rPr>
                <w:sz w:val="24"/>
                <w:szCs w:val="24"/>
              </w:rPr>
              <w:t>nhancing the skills and knowledge of our staff</w:t>
            </w:r>
          </w:p>
        </w:tc>
        <w:tc>
          <w:tcPr>
            <w:tcW w:w="236" w:type="dxa"/>
            <w:vAlign w:val="center"/>
            <w:hideMark/>
          </w:tcPr>
          <w:p w:rsidR="0026005C" w:rsidRPr="0026005C" w:rsidP="0026005C" w14:paraId="5B9A7D37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50C28A1C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523939EC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78700632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7CAAA8D7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</w:tr>
      <w:tr w14:paraId="2AD15B67" w14:textId="77777777" w:rsidTr="0026005C">
        <w:tblPrEx>
          <w:tblW w:w="9586" w:type="dxa"/>
          <w:tblLook w:val="04A0"/>
        </w:tblPrEx>
        <w:tc>
          <w:tcPr>
            <w:tcW w:w="5406" w:type="dxa"/>
            <w:hideMark/>
          </w:tcPr>
          <w:p w:rsidR="0026005C" w:rsidRPr="00D978B0" w:rsidP="00D978B0" w14:paraId="6A4BD7E4" w14:textId="37FD9F4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978B0">
              <w:rPr>
                <w:sz w:val="24"/>
                <w:szCs w:val="24"/>
              </w:rPr>
              <w:t>trengthening our ability to use data to monitor progress</w:t>
            </w:r>
          </w:p>
        </w:tc>
        <w:tc>
          <w:tcPr>
            <w:tcW w:w="236" w:type="dxa"/>
            <w:vAlign w:val="center"/>
            <w:hideMark/>
          </w:tcPr>
          <w:p w:rsidR="0026005C" w:rsidRPr="0026005C" w:rsidP="0026005C" w14:paraId="7AA62FC6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5483B8FD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5C5C97B4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6734AD67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6AED4087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</w:tr>
      <w:tr w14:paraId="11CB26B8" w14:textId="77777777" w:rsidTr="0026005C">
        <w:tblPrEx>
          <w:tblW w:w="9586" w:type="dxa"/>
          <w:tblLook w:val="04A0"/>
        </w:tblPrEx>
        <w:tc>
          <w:tcPr>
            <w:tcW w:w="5406" w:type="dxa"/>
            <w:hideMark/>
          </w:tcPr>
          <w:p w:rsidR="0026005C" w:rsidRPr="0026005C" w:rsidP="00D978B0" w14:paraId="3CAC48AC" w14:textId="17D471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26005C">
              <w:rPr>
                <w:sz w:val="24"/>
                <w:szCs w:val="24"/>
              </w:rPr>
              <w:t>trengthening our ability to use data to inform decisions (including adapting strategies)</w:t>
            </w:r>
          </w:p>
        </w:tc>
        <w:tc>
          <w:tcPr>
            <w:tcW w:w="236" w:type="dxa"/>
            <w:vAlign w:val="center"/>
            <w:hideMark/>
          </w:tcPr>
          <w:p w:rsidR="0026005C" w:rsidRPr="0026005C" w:rsidP="0026005C" w14:paraId="386CC88D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40568970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52E35AB7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771BEDD4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057FC592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</w:tr>
      <w:tr w14:paraId="1728CC02" w14:textId="77777777" w:rsidTr="0026005C">
        <w:tblPrEx>
          <w:tblW w:w="9586" w:type="dxa"/>
          <w:tblLook w:val="04A0"/>
        </w:tblPrEx>
        <w:tc>
          <w:tcPr>
            <w:tcW w:w="5406" w:type="dxa"/>
            <w:hideMark/>
          </w:tcPr>
          <w:p w:rsidR="0026005C" w:rsidRPr="0026005C" w:rsidP="00D978B0" w14:paraId="3999088E" w14:textId="4C1284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26005C">
              <w:rPr>
                <w:sz w:val="24"/>
                <w:szCs w:val="24"/>
              </w:rPr>
              <w:t>uilding capabilities to sustain what we have learned to continue the work</w:t>
            </w:r>
          </w:p>
        </w:tc>
        <w:tc>
          <w:tcPr>
            <w:tcW w:w="236" w:type="dxa"/>
            <w:vAlign w:val="center"/>
            <w:hideMark/>
          </w:tcPr>
          <w:p w:rsidR="0026005C" w:rsidRPr="0026005C" w:rsidP="0026005C" w14:paraId="3EEA13C4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35051A6C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1FD3815F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1016CEB7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5604F49B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</w:tr>
      <w:tr w14:paraId="2D57E318" w14:textId="77777777" w:rsidTr="0026005C">
        <w:tblPrEx>
          <w:tblW w:w="9586" w:type="dxa"/>
          <w:tblLook w:val="04A0"/>
        </w:tblPrEx>
        <w:tc>
          <w:tcPr>
            <w:tcW w:w="5406" w:type="dxa"/>
            <w:hideMark/>
          </w:tcPr>
          <w:p w:rsidR="0026005C" w:rsidRPr="0026005C" w:rsidP="00D978B0" w14:paraId="13271935" w14:textId="7D6696C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26005C">
              <w:rPr>
                <w:sz w:val="24"/>
                <w:szCs w:val="24"/>
              </w:rPr>
              <w:t>trengthening and improving our data systems and technology</w:t>
            </w:r>
          </w:p>
        </w:tc>
        <w:tc>
          <w:tcPr>
            <w:tcW w:w="236" w:type="dxa"/>
            <w:vAlign w:val="center"/>
            <w:hideMark/>
          </w:tcPr>
          <w:p w:rsidR="0026005C" w:rsidRPr="0026005C" w:rsidP="0026005C" w14:paraId="5DFECDBC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13278A14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6EE8E081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76F99A63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6005C" w:rsidRPr="0026005C" w:rsidP="0026005C" w14:paraId="60A4CCF6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005C">
              <w:rPr>
                <w:sz w:val="24"/>
                <w:szCs w:val="24"/>
              </w:rPr>
              <w:t>☐</w:t>
            </w:r>
          </w:p>
        </w:tc>
      </w:tr>
    </w:tbl>
    <w:p w:rsidR="00FD1F2F" w:rsidRPr="00FD1F2F" w:rsidP="00FD1F2F" w14:paraId="73A89960" w14:textId="77777777">
      <w:pPr>
        <w:spacing w:after="0"/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:rsidR="00FD1F2F" w:rsidRPr="00FD1F2F" w:rsidP="00FD1F2F" w14:paraId="72F035AF" w14:textId="77777777">
      <w:pPr>
        <w:spacing w:after="0"/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:rsidR="0026005C" w:rsidRPr="004B1929" w:rsidP="0026005C" w14:paraId="2E528100" w14:textId="290ED7B0">
      <w:pPr>
        <w:pStyle w:val="ListParagraph"/>
        <w:numPr>
          <w:ilvl w:val="0"/>
          <w:numId w:val="6"/>
        </w:numPr>
        <w:spacing w:after="0"/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B1929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NCWCIA service</w:t>
      </w:r>
      <w:r w:rsidRPr="004B1929" w:rsidR="00855740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s wer</w:t>
      </w:r>
      <w:r w:rsidR="0046635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e: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0"/>
        <w:gridCol w:w="970"/>
        <w:gridCol w:w="740"/>
        <w:gridCol w:w="905"/>
        <w:gridCol w:w="1051"/>
        <w:gridCol w:w="1019"/>
      </w:tblGrid>
      <w:tr w14:paraId="3030C1CA" w14:textId="77777777" w:rsidTr="5AB49CC0">
        <w:tblPrEx>
          <w:tblW w:w="96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20"/>
        </w:trPr>
        <w:tc>
          <w:tcPr>
            <w:tcW w:w="4940" w:type="dxa"/>
            <w:vAlign w:val="bottom"/>
            <w:hideMark/>
          </w:tcPr>
          <w:p w:rsidR="0026005C" w:rsidRPr="0026005C" w:rsidP="0026005C" w14:paraId="2E2BAE60" w14:textId="7A4BA9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  <w:vAlign w:val="bottom"/>
            <w:hideMark/>
          </w:tcPr>
          <w:p w:rsidR="0026005C" w:rsidRPr="0026005C" w:rsidP="0026005C" w14:paraId="5CCD5664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6005C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740" w:type="dxa"/>
            <w:vAlign w:val="bottom"/>
            <w:hideMark/>
          </w:tcPr>
          <w:p w:rsidR="0026005C" w:rsidRPr="0026005C" w:rsidP="0026005C" w14:paraId="4C781909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6005C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905" w:type="dxa"/>
            <w:vAlign w:val="bottom"/>
            <w:hideMark/>
          </w:tcPr>
          <w:p w:rsidR="0026005C" w:rsidRPr="0026005C" w:rsidP="0026005C" w14:paraId="36655EE3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6005C">
              <w:rPr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1051" w:type="dxa"/>
            <w:vAlign w:val="bottom"/>
            <w:hideMark/>
          </w:tcPr>
          <w:p w:rsidR="0026005C" w:rsidRPr="0026005C" w:rsidP="0026005C" w14:paraId="69F60487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6005C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19" w:type="dxa"/>
            <w:vAlign w:val="bottom"/>
            <w:hideMark/>
          </w:tcPr>
          <w:p w:rsidR="0026005C" w:rsidRPr="0026005C" w:rsidP="0026005C" w14:paraId="1E18959F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6005C">
              <w:rPr>
                <w:b/>
                <w:bCs/>
                <w:sz w:val="20"/>
                <w:szCs w:val="20"/>
              </w:rPr>
              <w:t>Strongly Disagree</w:t>
            </w:r>
          </w:p>
        </w:tc>
      </w:tr>
      <w:tr w14:paraId="6EC6E972" w14:textId="77777777" w:rsidTr="5AB49CC0">
        <w:tblPrEx>
          <w:tblW w:w="9625" w:type="dxa"/>
          <w:tblLook w:val="04A0"/>
        </w:tblPrEx>
        <w:trPr>
          <w:trHeight w:val="720"/>
        </w:trPr>
        <w:tc>
          <w:tcPr>
            <w:tcW w:w="4940" w:type="dxa"/>
            <w:hideMark/>
          </w:tcPr>
          <w:p w:rsidR="0026005C" w:rsidRPr="00D978B0" w:rsidP="00D978B0" w14:paraId="1E90E397" w14:textId="63B352F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978B0">
              <w:rPr>
                <w:sz w:val="24"/>
                <w:szCs w:val="24"/>
              </w:rPr>
              <w:t>ailored to my jurisdiction’s needs and environment</w:t>
            </w:r>
          </w:p>
        </w:tc>
        <w:tc>
          <w:tcPr>
            <w:tcW w:w="970" w:type="dxa"/>
            <w:vAlign w:val="center"/>
            <w:hideMark/>
          </w:tcPr>
          <w:p w:rsidR="0026005C" w:rsidRPr="0026005C" w:rsidP="0026005C" w14:paraId="3777E45C" w14:textId="777777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740" w:type="dxa"/>
            <w:vAlign w:val="center"/>
            <w:hideMark/>
          </w:tcPr>
          <w:p w:rsidR="0026005C" w:rsidRPr="0026005C" w:rsidP="0026005C" w14:paraId="0D80625C" w14:textId="777777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905" w:type="dxa"/>
            <w:vAlign w:val="center"/>
            <w:hideMark/>
          </w:tcPr>
          <w:p w:rsidR="0026005C" w:rsidRPr="0026005C" w:rsidP="0026005C" w14:paraId="114A1B19" w14:textId="777777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1051" w:type="dxa"/>
            <w:vAlign w:val="center"/>
            <w:hideMark/>
          </w:tcPr>
          <w:p w:rsidR="0026005C" w:rsidRPr="0026005C" w:rsidP="0026005C" w14:paraId="62FE3FFC" w14:textId="777777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1019" w:type="dxa"/>
            <w:vAlign w:val="center"/>
            <w:hideMark/>
          </w:tcPr>
          <w:p w:rsidR="0026005C" w:rsidRPr="0026005C" w:rsidP="0026005C" w14:paraId="4EE97F56" w14:textId="777777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</w:tr>
      <w:tr w14:paraId="4D70009D" w14:textId="77777777" w:rsidTr="5AB49CC0">
        <w:tblPrEx>
          <w:tblW w:w="9625" w:type="dxa"/>
          <w:tblLook w:val="04A0"/>
        </w:tblPrEx>
        <w:trPr>
          <w:trHeight w:val="962"/>
        </w:trPr>
        <w:tc>
          <w:tcPr>
            <w:tcW w:w="4940" w:type="dxa"/>
          </w:tcPr>
          <w:p w:rsidR="003A7FF2" w:rsidRPr="0026005C" w:rsidP="00D978B0" w14:paraId="04E5AB2B" w14:textId="3E45B8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5AB49CC0">
              <w:rPr>
                <w:sz w:val="24"/>
                <w:szCs w:val="24"/>
              </w:rPr>
              <w:t>S</w:t>
            </w:r>
            <w:r w:rsidRPr="5AB49CC0">
              <w:rPr>
                <w:sz w:val="24"/>
                <w:szCs w:val="24"/>
              </w:rPr>
              <w:t>upported by tools and strategies that were easy to understand and ready to use in our daily work</w:t>
            </w:r>
          </w:p>
        </w:tc>
        <w:tc>
          <w:tcPr>
            <w:tcW w:w="970" w:type="dxa"/>
            <w:vAlign w:val="center"/>
          </w:tcPr>
          <w:p w:rsidR="003A7FF2" w:rsidRPr="0026005C" w:rsidP="003A7FF2" w14:paraId="79E43FAC" w14:textId="09F09B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740" w:type="dxa"/>
            <w:vAlign w:val="center"/>
          </w:tcPr>
          <w:p w:rsidR="003A7FF2" w:rsidRPr="0026005C" w:rsidP="003A7FF2" w14:paraId="446BAC62" w14:textId="6E7948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905" w:type="dxa"/>
            <w:vAlign w:val="center"/>
          </w:tcPr>
          <w:p w:rsidR="003A7FF2" w:rsidRPr="0026005C" w:rsidP="003A7FF2" w14:paraId="71C11207" w14:textId="3DE887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1051" w:type="dxa"/>
            <w:vAlign w:val="center"/>
          </w:tcPr>
          <w:p w:rsidR="003A7FF2" w:rsidRPr="0026005C" w:rsidP="003A7FF2" w14:paraId="16DD7C00" w14:textId="1C8FED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1019" w:type="dxa"/>
            <w:vAlign w:val="center"/>
          </w:tcPr>
          <w:p w:rsidR="003A7FF2" w:rsidRPr="0026005C" w:rsidP="003A7FF2" w14:paraId="49EABD61" w14:textId="58870F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</w:tr>
      <w:tr w14:paraId="09844BFD" w14:textId="77777777" w:rsidTr="5AB49CC0">
        <w:tblPrEx>
          <w:tblW w:w="9625" w:type="dxa"/>
          <w:tblLook w:val="04A0"/>
        </w:tblPrEx>
        <w:trPr>
          <w:trHeight w:val="720"/>
        </w:trPr>
        <w:tc>
          <w:tcPr>
            <w:tcW w:w="4940" w:type="dxa"/>
          </w:tcPr>
          <w:p w:rsidR="003A7FF2" w:rsidRPr="0026005C" w:rsidP="00D978B0" w14:paraId="5B2F3961" w14:textId="40E129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978B0">
              <w:rPr>
                <w:sz w:val="24"/>
                <w:szCs w:val="24"/>
              </w:rPr>
              <w:t>elivered in a coordinated and consistent way</w:t>
            </w:r>
          </w:p>
        </w:tc>
        <w:tc>
          <w:tcPr>
            <w:tcW w:w="970" w:type="dxa"/>
            <w:vAlign w:val="center"/>
          </w:tcPr>
          <w:p w:rsidR="003A7FF2" w:rsidRPr="0026005C" w:rsidP="003A7FF2" w14:paraId="3DB917DA" w14:textId="5AE29C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740" w:type="dxa"/>
            <w:vAlign w:val="center"/>
          </w:tcPr>
          <w:p w:rsidR="003A7FF2" w:rsidRPr="0026005C" w:rsidP="003A7FF2" w14:paraId="00D4E954" w14:textId="42A83A7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905" w:type="dxa"/>
            <w:vAlign w:val="center"/>
          </w:tcPr>
          <w:p w:rsidR="003A7FF2" w:rsidRPr="0026005C" w:rsidP="003A7FF2" w14:paraId="0307FAE9" w14:textId="4AD827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1051" w:type="dxa"/>
            <w:vAlign w:val="center"/>
          </w:tcPr>
          <w:p w:rsidR="003A7FF2" w:rsidRPr="0026005C" w:rsidP="003A7FF2" w14:paraId="64316362" w14:textId="6175D0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1019" w:type="dxa"/>
            <w:vAlign w:val="center"/>
          </w:tcPr>
          <w:p w:rsidR="003A7FF2" w:rsidRPr="0026005C" w:rsidP="003A7FF2" w14:paraId="55BE886B" w14:textId="7FBFB25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6005C">
              <w:rPr>
                <w:b/>
                <w:bCs/>
                <w:sz w:val="24"/>
                <w:szCs w:val="24"/>
              </w:rPr>
              <w:t>☐</w:t>
            </w:r>
          </w:p>
        </w:tc>
      </w:tr>
    </w:tbl>
    <w:p w:rsidR="00EC0F5F" w:rsidP="00EC0F5F" w14:paraId="196AF003" w14:textId="77777777">
      <w:pPr>
        <w:pStyle w:val="ListParagraph"/>
        <w:spacing w:after="0" w:line="240" w:lineRule="auto"/>
        <w:ind w:left="360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EC0F5F" w:rsidP="00EC0F5F" w14:paraId="38F38DDC" w14:textId="77777777">
      <w:pPr>
        <w:pStyle w:val="ListParagraph"/>
        <w:spacing w:after="0" w:line="240" w:lineRule="auto"/>
        <w:ind w:left="360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4669F7" w:rsidRPr="00574572" w:rsidP="0026005C" w14:paraId="05A30031" w14:textId="36F69511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6635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How likely are you to recommend NCWCIA services within your jurisdiction or to another jurisdiction?</w:t>
      </w:r>
      <w:r w:rsidRPr="0046635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46635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Select </w:t>
      </w:r>
      <w:r w:rsidR="00130931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466356" w:rsidR="00130931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46635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number between 1 (not very likely) and 10 (very likely). </w:t>
      </w:r>
    </w:p>
    <w:p w:rsidR="00F03728" w:rsidRPr="00762B29" w:rsidP="00F03728" w14:paraId="0100594E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65"/>
        <w:gridCol w:w="864"/>
        <w:gridCol w:w="862"/>
        <w:gridCol w:w="862"/>
        <w:gridCol w:w="862"/>
        <w:gridCol w:w="863"/>
        <w:gridCol w:w="863"/>
        <w:gridCol w:w="863"/>
        <w:gridCol w:w="863"/>
        <w:gridCol w:w="863"/>
      </w:tblGrid>
      <w:tr w14:paraId="002FD457" w14:textId="77777777" w:rsidTr="5AB49CC0">
        <w:tblPrEx>
          <w:tblW w:w="0" w:type="auto"/>
          <w:tblInd w:w="720" w:type="dxa"/>
          <w:tblLook w:val="04A0"/>
        </w:tblPrEx>
        <w:tc>
          <w:tcPr>
            <w:tcW w:w="865" w:type="dxa"/>
          </w:tcPr>
          <w:p w:rsidR="00EC0F5F" w:rsidRPr="00EC0F5F" w:rsidP="00EC0F5F" w14:paraId="1D345C43" w14:textId="77777777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  <w:p w:rsidR="00EC0F5F" w:rsidP="00EC0F5F" w14:paraId="5808B44C" w14:textId="77777777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:rsidR="00EC0F5F" w:rsidRPr="00EC0F5F" w:rsidP="00EC0F5F" w14:paraId="4D29240A" w14:textId="7F8215F5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Not </w:t>
            </w:r>
            <w:r w:rsidR="0013093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  <w:r w:rsidRPr="00EC0F5F" w:rsidR="0013093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ery </w:t>
            </w:r>
            <w:r w:rsidR="0013093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Pr="00EC0F5F" w:rsidR="0013093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ikely</w:t>
            </w:r>
          </w:p>
        </w:tc>
        <w:tc>
          <w:tcPr>
            <w:tcW w:w="864" w:type="dxa"/>
          </w:tcPr>
          <w:p w:rsidR="00EC0F5F" w:rsidRPr="00EC0F5F" w:rsidP="00EC0F5F" w14:paraId="0CC20AE1" w14:textId="4A7F329B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62" w:type="dxa"/>
          </w:tcPr>
          <w:p w:rsidR="00EC0F5F" w:rsidRPr="00EC0F5F" w:rsidP="00EC0F5F" w14:paraId="5D34A6F7" w14:textId="0CC551EF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62" w:type="dxa"/>
          </w:tcPr>
          <w:p w:rsidR="00EC0F5F" w:rsidRPr="00EC0F5F" w:rsidP="00EC0F5F" w14:paraId="125F41E9" w14:textId="08E4E757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62" w:type="dxa"/>
          </w:tcPr>
          <w:p w:rsidR="00EC0F5F" w:rsidRPr="00EC0F5F" w:rsidP="00EC0F5F" w14:paraId="23A8C336" w14:textId="77777777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  <w:p w:rsidR="00EC0F5F" w:rsidP="00EC0F5F" w14:paraId="67A75CED" w14:textId="77777777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:rsidR="00EC0F5F" w:rsidRPr="00EC0F5F" w:rsidP="00EC0F5F" w14:paraId="3E5872F1" w14:textId="60F9BBD2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Likely</w:t>
            </w:r>
          </w:p>
        </w:tc>
        <w:tc>
          <w:tcPr>
            <w:tcW w:w="863" w:type="dxa"/>
          </w:tcPr>
          <w:p w:rsidR="00EC0F5F" w:rsidRPr="00EC0F5F" w:rsidP="00EC0F5F" w14:paraId="623E6330" w14:textId="1699D7E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63" w:type="dxa"/>
          </w:tcPr>
          <w:p w:rsidR="00EC0F5F" w:rsidRPr="00EC0F5F" w:rsidP="00EC0F5F" w14:paraId="0E7007E6" w14:textId="26FB6F23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63" w:type="dxa"/>
          </w:tcPr>
          <w:p w:rsidR="00EC0F5F" w:rsidRPr="00EC0F5F" w:rsidP="00EC0F5F" w14:paraId="7AEBC5C3" w14:textId="16E3657D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63" w:type="dxa"/>
          </w:tcPr>
          <w:p w:rsidR="00EC0F5F" w:rsidRPr="00EC0F5F" w:rsidP="00EC0F5F" w14:paraId="420EC76B" w14:textId="2DD31B4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63" w:type="dxa"/>
          </w:tcPr>
          <w:p w:rsidR="00EC0F5F" w:rsidRPr="00EC0F5F" w:rsidP="00EC0F5F" w14:paraId="492EB0B4" w14:textId="77777777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  <w:p w:rsidR="00EC0F5F" w:rsidP="00EC0F5F" w14:paraId="3FE68238" w14:textId="77777777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:rsidR="00EC0F5F" w:rsidRPr="00EC0F5F" w:rsidP="00EC0F5F" w14:paraId="4C053E32" w14:textId="791A2E21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C0F5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Very </w:t>
            </w:r>
            <w:r w:rsidR="0013093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Pr="00EC0F5F" w:rsidR="0013093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ikely</w:t>
            </w:r>
          </w:p>
        </w:tc>
      </w:tr>
    </w:tbl>
    <w:p w:rsidR="00F03728" w:rsidRPr="00762B29" w:rsidP="00F03728" w14:paraId="05B75E17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F03728" w:rsidRPr="00762B29" w:rsidP="00F03728" w14:paraId="5130A119" w14:textId="77777777">
      <w:pPr>
        <w:pStyle w:val="ListParagraph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004669F7" w:rsidRPr="008359FC" w:rsidP="0026005C" w14:paraId="7CC73682" w14:textId="216C369D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8359FC">
        <w:rPr>
          <w:b/>
          <w:bCs/>
          <w:sz w:val="24"/>
          <w:szCs w:val="24"/>
        </w:rPr>
        <w:t xml:space="preserve">Please add any additional comments or thoughts you have on how we can improve our partnership with jurisdictions. </w:t>
      </w:r>
    </w:p>
    <w:p w:rsidR="00641EEF" w:rsidP="00641EEF" w14:paraId="72F2D3F9" w14:textId="77777777">
      <w:pPr>
        <w:pStyle w:val="ListParagraph"/>
        <w:ind w:left="360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8990"/>
      </w:tblGrid>
      <w:tr w14:paraId="7D526813" w14:textId="77777777" w:rsidTr="5AB49CC0">
        <w:tblPrEx>
          <w:tblW w:w="0" w:type="auto"/>
          <w:tblInd w:w="360" w:type="dxa"/>
          <w:tblLook w:val="04A0"/>
        </w:tblPrEx>
        <w:tc>
          <w:tcPr>
            <w:tcW w:w="9350" w:type="dxa"/>
          </w:tcPr>
          <w:p w:rsidR="00641EEF" w:rsidRPr="00641EEF" w:rsidP="5AB49CC0" w14:paraId="3A62DA03" w14:textId="4AA2D183">
            <w:pPr>
              <w:pStyle w:val="ListParagraph"/>
              <w:ind w:left="0"/>
              <w:rPr>
                <w:i/>
                <w:iCs/>
                <w:sz w:val="24"/>
                <w:szCs w:val="24"/>
              </w:rPr>
            </w:pPr>
            <w:r w:rsidRPr="5AB49CC0">
              <w:rPr>
                <w:i/>
                <w:iCs/>
                <w:sz w:val="24"/>
                <w:szCs w:val="24"/>
              </w:rPr>
              <w:t>Fill-in text box</w:t>
            </w:r>
            <w:r w:rsidRPr="5AB49CC0" w:rsidR="0C66879D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:rsidR="00641EEF" w:rsidRPr="00641EEF" w:rsidP="00641EEF" w14:paraId="680C5C85" w14:textId="77777777">
      <w:pPr>
        <w:pStyle w:val="ListParagraph"/>
        <w:ind w:left="360"/>
        <w:rPr>
          <w:sz w:val="24"/>
          <w:szCs w:val="24"/>
        </w:rPr>
      </w:pPr>
    </w:p>
    <w:sectPr w:rsidSect="0021744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80" w:right="1440" w:bottom="1440" w:left="1440" w:header="27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69A6" w:rsidP="00C569A6" w14:paraId="15E12985" w14:textId="6D38C1F8">
    <w:pPr>
      <w:pStyle w:val="Footer"/>
      <w:ind w:left="-990"/>
    </w:pPr>
    <w:r>
      <w:rPr>
        <w:noProof/>
      </w:rPr>
      <w:drawing>
        <wp:inline distT="0" distB="0" distL="0" distR="0">
          <wp:extent cx="6764247" cy="1057275"/>
          <wp:effectExtent l="0" t="0" r="0" b="0"/>
          <wp:docPr id="1340020919" name="Picture 2" descr="A black background with green text&#10;&#10;AI-generated content may be incorrect.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4531D8FE-7FBB-4F08-B9A3-1715C35653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020919" name="Picture 2" descr="A black background with green text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977" cy="1058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7214" w:rsidRPr="00217445" w14:paraId="4B0D6EC6" w14:textId="43745D0A">
    <w:pPr>
      <w:pStyle w:val="Footer"/>
      <w:rPr>
        <w:sz w:val="16"/>
        <w:szCs w:val="16"/>
      </w:rPr>
    </w:pPr>
    <w:r w:rsidRPr="00217445">
      <w:rPr>
        <w:i/>
        <w:i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-1218565</wp:posOffset>
              </wp:positionV>
              <wp:extent cx="6224905" cy="1214120"/>
              <wp:effectExtent l="0" t="0" r="23495" b="24130"/>
              <wp:wrapSquare wrapText="bothSides"/>
              <wp:docPr id="217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3907D7C3-6D42-4DF3-8EB0-EC0F98A18C1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214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7445" w:rsidRPr="00217445" w:rsidP="00217445" w14:textId="020A950A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P</w:t>
                          </w:r>
                          <w:r w:rsidRPr="00217445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APERWORK REDUCTION ACT OF 1995 (Pub</w:t>
                          </w:r>
                          <w:r w:rsidR="00EF233E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lic Law</w:t>
                          </w:r>
                          <w:r w:rsidRPr="00217445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104-13) </w:t>
                          </w:r>
                          <w:r w:rsidRPr="00217445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STATEMENT OF PUBLIC BURDEN: The</w:t>
                          </w:r>
                          <w:r w:rsidRPr="00217445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purpose of this information collection is to gather feedback on a specific project on which a public child welfare agency and NCWCIA partnered. The feedback will be used to continuously improve the NCWCIA offerings to public child welfare staff.</w:t>
                          </w:r>
                          <w:r w:rsidRPr="00217445">
                            <w:rPr>
                              <w:i/>
                              <w:iCs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17445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Public reporting burden for this collection of information is estimated to average 5 minutes per respondent, including the time for reviewing instructions, gathering and maintaining the data needed, and reviewing the collection of information.  </w:t>
                          </w:r>
                          <w:r w:rsidRPr="00217445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This is a voluntary collection of information.</w:t>
                          </w:r>
                          <w:r w:rsidRPr="00217445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                    </w:r>
                          <w:r w:rsidR="00EF233E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0</w:t>
                          </w:r>
                          <w:r w:rsidRPr="00217445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5/31/2027.  </w:t>
                          </w:r>
                          <w:r w:rsidRPr="00217445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 xml:space="preserve">If you have any comments on this collection of information, please contact Beth Claxon, ACF, Administration on Children, Youth, and Families by e-mail at </w:t>
                          </w:r>
                          <w:hyperlink r:id="rId1" w:history="1">
                            <w:r w:rsidRPr="00217445">
                              <w:rPr>
                                <w:rStyle w:val="Hyperlink"/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Beth.Claxon@acf.hhs.gov</w:t>
                            </w:r>
                          </w:hyperlink>
                          <w:r w:rsidRPr="00217445">
                            <w:rPr>
                              <w:i/>
                              <w:iCs/>
                              <w:sz w:val="16"/>
                              <w:szCs w:val="16"/>
                              <w:lang w:val="en"/>
                            </w:rPr>
                            <w:t>.</w:t>
                          </w:r>
                        </w:p>
                        <w:p w:rsidR="00217445" w14:textId="44A5A86A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490.15pt;height:95.6pt;margin-top:-95.95pt;margin-left:-9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<v:textbox>
                <w:txbxContent>
                  <w:p w:rsidR="00217445" w:rsidRPr="00217445" w:rsidP="00217445" w14:paraId="223AC3C0" w14:textId="020A950A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</w:rPr>
                      <w:t>P</w:t>
                    </w:r>
                    <w:r w:rsidRPr="00217445">
                      <w:rPr>
                        <w:i/>
                        <w:iCs/>
                        <w:sz w:val="16"/>
                        <w:szCs w:val="16"/>
                      </w:rPr>
                      <w:t>APERWORK REDUCTION ACT OF 1995 (Pub</w:t>
                    </w:r>
                    <w:r w:rsidR="00EF233E">
                      <w:rPr>
                        <w:i/>
                        <w:iCs/>
                        <w:sz w:val="16"/>
                        <w:szCs w:val="16"/>
                      </w:rPr>
                      <w:t>lic Law</w:t>
                    </w:r>
                    <w:r w:rsidRPr="00217445">
                      <w:rPr>
                        <w:i/>
                        <w:iCs/>
                        <w:sz w:val="16"/>
                        <w:szCs w:val="16"/>
                      </w:rPr>
                      <w:t xml:space="preserve"> 104-13) </w:t>
                    </w:r>
                    <w:r w:rsidRPr="00217445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STATEMENT OF PUBLIC BURDEN: The</w:t>
                    </w:r>
                    <w:r w:rsidRPr="00217445">
                      <w:rPr>
                        <w:i/>
                        <w:iCs/>
                        <w:sz w:val="16"/>
                        <w:szCs w:val="16"/>
                      </w:rPr>
                      <w:t xml:space="preserve"> purpose of this information collection is to gather feedback on a specific project on which a public child welfare agency and NCWCIA partnered. The feedback will be used to continuously improve the NCWCIA offerings to public child welfare staff.</w:t>
                    </w:r>
                    <w:r w:rsidRPr="00217445">
                      <w:rPr>
                        <w:i/>
                        <w:iCs/>
                        <w:color w:val="FF0000"/>
                        <w:sz w:val="16"/>
                        <w:szCs w:val="16"/>
                      </w:rPr>
                      <w:t xml:space="preserve"> </w:t>
                    </w:r>
                    <w:r w:rsidRPr="00217445">
                      <w:rPr>
                        <w:i/>
                        <w:iCs/>
                        <w:sz w:val="16"/>
                        <w:szCs w:val="16"/>
                      </w:rPr>
                      <w:t xml:space="preserve">Public reporting burden for this collection of information is estimated to average 5 minutes per respondent, including the time for reviewing instructions, gathering and maintaining the data needed, and reviewing the collection of information.  </w:t>
                    </w:r>
                    <w:r w:rsidRPr="00217445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This is a voluntary collection of information.</w:t>
                    </w:r>
                    <w:r w:rsidRPr="00217445">
                      <w:rPr>
                        <w:i/>
                        <w:iCs/>
                        <w:sz w:val="16"/>
                        <w:szCs w:val="16"/>
                      </w:rPr>
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              </w:r>
                    <w:r w:rsidR="00EF233E">
                      <w:rPr>
                        <w:i/>
                        <w:iCs/>
                        <w:sz w:val="16"/>
                        <w:szCs w:val="16"/>
                      </w:rPr>
                      <w:t>0</w:t>
                    </w:r>
                    <w:r w:rsidRPr="00217445">
                      <w:rPr>
                        <w:i/>
                        <w:iCs/>
                        <w:sz w:val="16"/>
                        <w:szCs w:val="16"/>
                      </w:rPr>
                      <w:t xml:space="preserve">5/31/2027.  </w:t>
                    </w:r>
                    <w:r w:rsidRPr="00217445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 xml:space="preserve">If you have any comments on this collection of information, please contact Beth Claxon, ACF, Administration on Children, Youth, and Families by e-mail at </w:t>
                    </w:r>
                    <w:hyperlink r:id="rId1" w:history="1">
                      <w:r w:rsidRPr="00217445">
                        <w:rPr>
                          <w:rStyle w:val="Hyperlink"/>
                          <w:i/>
                          <w:iCs/>
                          <w:sz w:val="16"/>
                          <w:szCs w:val="16"/>
                          <w:lang w:val="en"/>
                        </w:rPr>
                        <w:t>Beth.Claxon@acf.hhs.gov</w:t>
                      </w:r>
                    </w:hyperlink>
                    <w:r w:rsidRPr="00217445">
                      <w:rPr>
                        <w:i/>
                        <w:iCs/>
                        <w:sz w:val="16"/>
                        <w:szCs w:val="16"/>
                        <w:lang w:val="en"/>
                      </w:rPr>
                      <w:t>.</w:t>
                    </w:r>
                  </w:p>
                  <w:p w:rsidR="00217445" w14:paraId="1F6317A8" w14:textId="44A5A86A"/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6729" w:rsidP="00856729" w14:paraId="1E516DD7" w14:textId="64479079">
    <w:pPr>
      <w:pStyle w:val="Header"/>
      <w:ind w:left="-1080"/>
    </w:pPr>
  </w:p>
  <w:p w:rsidR="00856729" w14:paraId="6463ED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69A6" w:rsidP="00C569A6" w14:paraId="0C8F6CDB" w14:textId="680D05A3">
    <w:pPr>
      <w:pStyle w:val="Header"/>
      <w:ind w:left="-810"/>
    </w:pPr>
    <w:r>
      <w:rPr>
        <w:noProof/>
      </w:rPr>
      <w:drawing>
        <wp:inline distT="0" distB="0" distL="0" distR="0">
          <wp:extent cx="6908497" cy="841248"/>
          <wp:effectExtent l="0" t="0" r="0" b="0"/>
          <wp:docPr id="1378257079" name="Picture 1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71097B9D-91B9-4034-9808-4F9827719F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257079" name="Picture 123923332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9767" cy="89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BE2EDB"/>
    <w:multiLevelType w:val="hybridMultilevel"/>
    <w:tmpl w:val="919A6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0A78B1"/>
    <w:multiLevelType w:val="hybridMultilevel"/>
    <w:tmpl w:val="574C9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4B013A"/>
    <w:multiLevelType w:val="hybridMultilevel"/>
    <w:tmpl w:val="9782EBD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FA1EC6"/>
    <w:multiLevelType w:val="multilevel"/>
    <w:tmpl w:val="6F322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1CD72A3"/>
    <w:multiLevelType w:val="hybridMultilevel"/>
    <w:tmpl w:val="0DCA4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67B38"/>
    <w:multiLevelType w:val="hybridMultilevel"/>
    <w:tmpl w:val="1E447BDA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8F7DFD"/>
    <w:multiLevelType w:val="hybridMultilevel"/>
    <w:tmpl w:val="67582670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84106"/>
    <w:multiLevelType w:val="hybridMultilevel"/>
    <w:tmpl w:val="6B703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41BBC"/>
    <w:multiLevelType w:val="hybridMultilevel"/>
    <w:tmpl w:val="A9F22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0939034">
    <w:abstractNumId w:val="4"/>
  </w:num>
  <w:num w:numId="2" w16cid:durableId="937568077">
    <w:abstractNumId w:val="6"/>
  </w:num>
  <w:num w:numId="3" w16cid:durableId="1604680081">
    <w:abstractNumId w:val="7"/>
  </w:num>
  <w:num w:numId="4" w16cid:durableId="930821360">
    <w:abstractNumId w:val="0"/>
  </w:num>
  <w:num w:numId="5" w16cid:durableId="1027214302">
    <w:abstractNumId w:val="8"/>
  </w:num>
  <w:num w:numId="6" w16cid:durableId="417599183">
    <w:abstractNumId w:val="1"/>
  </w:num>
  <w:num w:numId="7" w16cid:durableId="711541201">
    <w:abstractNumId w:val="3"/>
  </w:num>
  <w:num w:numId="8" w16cid:durableId="1297032694">
    <w:abstractNumId w:val="2"/>
  </w:num>
  <w:num w:numId="9" w16cid:durableId="380255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61"/>
    <w:rsid w:val="00012488"/>
    <w:rsid w:val="00013C00"/>
    <w:rsid w:val="00030C86"/>
    <w:rsid w:val="000378A7"/>
    <w:rsid w:val="000378CA"/>
    <w:rsid w:val="000473A6"/>
    <w:rsid w:val="00055ED5"/>
    <w:rsid w:val="000617F2"/>
    <w:rsid w:val="00061F24"/>
    <w:rsid w:val="00062E7E"/>
    <w:rsid w:val="0006438F"/>
    <w:rsid w:val="0007072A"/>
    <w:rsid w:val="0008700C"/>
    <w:rsid w:val="000A098A"/>
    <w:rsid w:val="000A7777"/>
    <w:rsid w:val="000B7EEF"/>
    <w:rsid w:val="000C755A"/>
    <w:rsid w:val="000D4297"/>
    <w:rsid w:val="000F103F"/>
    <w:rsid w:val="000F43F6"/>
    <w:rsid w:val="000F69B8"/>
    <w:rsid w:val="00102A84"/>
    <w:rsid w:val="00130931"/>
    <w:rsid w:val="00153072"/>
    <w:rsid w:val="00154527"/>
    <w:rsid w:val="00163396"/>
    <w:rsid w:val="00163843"/>
    <w:rsid w:val="00167BDE"/>
    <w:rsid w:val="00172E03"/>
    <w:rsid w:val="00176F2E"/>
    <w:rsid w:val="001B00D5"/>
    <w:rsid w:val="001B2B2D"/>
    <w:rsid w:val="001E5BB1"/>
    <w:rsid w:val="001E5FBF"/>
    <w:rsid w:val="001E72DC"/>
    <w:rsid w:val="001F2637"/>
    <w:rsid w:val="00217445"/>
    <w:rsid w:val="002211D2"/>
    <w:rsid w:val="00222F0F"/>
    <w:rsid w:val="0026005C"/>
    <w:rsid w:val="0027742B"/>
    <w:rsid w:val="002A49BD"/>
    <w:rsid w:val="002B2C9B"/>
    <w:rsid w:val="002C32B5"/>
    <w:rsid w:val="002C4E4B"/>
    <w:rsid w:val="002C5F02"/>
    <w:rsid w:val="002D1E36"/>
    <w:rsid w:val="00317CF5"/>
    <w:rsid w:val="00326309"/>
    <w:rsid w:val="00332BA2"/>
    <w:rsid w:val="00340BAC"/>
    <w:rsid w:val="0034254C"/>
    <w:rsid w:val="003819DF"/>
    <w:rsid w:val="00384770"/>
    <w:rsid w:val="003A7FF2"/>
    <w:rsid w:val="003B443E"/>
    <w:rsid w:val="003C05C9"/>
    <w:rsid w:val="003C2A97"/>
    <w:rsid w:val="003C5E70"/>
    <w:rsid w:val="003D3BB3"/>
    <w:rsid w:val="003E2D3A"/>
    <w:rsid w:val="003E7480"/>
    <w:rsid w:val="003E7889"/>
    <w:rsid w:val="003F5CEC"/>
    <w:rsid w:val="003F6E62"/>
    <w:rsid w:val="00407B98"/>
    <w:rsid w:val="004277CE"/>
    <w:rsid w:val="0043021B"/>
    <w:rsid w:val="00466268"/>
    <w:rsid w:val="00466356"/>
    <w:rsid w:val="004669F7"/>
    <w:rsid w:val="00494B64"/>
    <w:rsid w:val="004B1929"/>
    <w:rsid w:val="004D4485"/>
    <w:rsid w:val="004E3F1C"/>
    <w:rsid w:val="004F0FE8"/>
    <w:rsid w:val="005228EB"/>
    <w:rsid w:val="0052355D"/>
    <w:rsid w:val="0052467B"/>
    <w:rsid w:val="00526E7D"/>
    <w:rsid w:val="0053013F"/>
    <w:rsid w:val="0054186C"/>
    <w:rsid w:val="005600A2"/>
    <w:rsid w:val="0056093E"/>
    <w:rsid w:val="00571875"/>
    <w:rsid w:val="00571FB7"/>
    <w:rsid w:val="00574572"/>
    <w:rsid w:val="00577AEA"/>
    <w:rsid w:val="00591E25"/>
    <w:rsid w:val="005A59D9"/>
    <w:rsid w:val="005B08FF"/>
    <w:rsid w:val="005B0ED7"/>
    <w:rsid w:val="005B592D"/>
    <w:rsid w:val="005C5F98"/>
    <w:rsid w:val="005C74EE"/>
    <w:rsid w:val="005C7C4A"/>
    <w:rsid w:val="005E4580"/>
    <w:rsid w:val="005F0465"/>
    <w:rsid w:val="005F521A"/>
    <w:rsid w:val="006046E5"/>
    <w:rsid w:val="00614648"/>
    <w:rsid w:val="00641EEF"/>
    <w:rsid w:val="00643E53"/>
    <w:rsid w:val="00644C90"/>
    <w:rsid w:val="00653F1D"/>
    <w:rsid w:val="00680F25"/>
    <w:rsid w:val="006844FC"/>
    <w:rsid w:val="00690310"/>
    <w:rsid w:val="00692070"/>
    <w:rsid w:val="006B6092"/>
    <w:rsid w:val="006D1CF5"/>
    <w:rsid w:val="006D36CA"/>
    <w:rsid w:val="006D67C9"/>
    <w:rsid w:val="006E22DE"/>
    <w:rsid w:val="006E65CA"/>
    <w:rsid w:val="006F49D5"/>
    <w:rsid w:val="00702C99"/>
    <w:rsid w:val="00705C59"/>
    <w:rsid w:val="007116CF"/>
    <w:rsid w:val="0072139C"/>
    <w:rsid w:val="00722447"/>
    <w:rsid w:val="007621F9"/>
    <w:rsid w:val="00762B29"/>
    <w:rsid w:val="00765ADD"/>
    <w:rsid w:val="007D3F18"/>
    <w:rsid w:val="007D7137"/>
    <w:rsid w:val="00803F2A"/>
    <w:rsid w:val="008359FC"/>
    <w:rsid w:val="00855740"/>
    <w:rsid w:val="00856729"/>
    <w:rsid w:val="00864476"/>
    <w:rsid w:val="0086639B"/>
    <w:rsid w:val="00881D0E"/>
    <w:rsid w:val="008A590C"/>
    <w:rsid w:val="008A5BA6"/>
    <w:rsid w:val="008B58FD"/>
    <w:rsid w:val="008C0A70"/>
    <w:rsid w:val="008C5D67"/>
    <w:rsid w:val="008F7FD2"/>
    <w:rsid w:val="00901A10"/>
    <w:rsid w:val="00931C61"/>
    <w:rsid w:val="00932675"/>
    <w:rsid w:val="00940933"/>
    <w:rsid w:val="00960315"/>
    <w:rsid w:val="00971785"/>
    <w:rsid w:val="00974BD7"/>
    <w:rsid w:val="00986387"/>
    <w:rsid w:val="0099768F"/>
    <w:rsid w:val="00997C55"/>
    <w:rsid w:val="009B4D02"/>
    <w:rsid w:val="009C5DC6"/>
    <w:rsid w:val="00A0293D"/>
    <w:rsid w:val="00A07A9B"/>
    <w:rsid w:val="00A1302D"/>
    <w:rsid w:val="00A62E93"/>
    <w:rsid w:val="00A65916"/>
    <w:rsid w:val="00A7132A"/>
    <w:rsid w:val="00AA52CB"/>
    <w:rsid w:val="00AD12DF"/>
    <w:rsid w:val="00AD4A59"/>
    <w:rsid w:val="00AD7282"/>
    <w:rsid w:val="00AE4E76"/>
    <w:rsid w:val="00AE5D89"/>
    <w:rsid w:val="00AF3518"/>
    <w:rsid w:val="00B01E42"/>
    <w:rsid w:val="00B0307D"/>
    <w:rsid w:val="00B11B26"/>
    <w:rsid w:val="00B21A79"/>
    <w:rsid w:val="00B32D5C"/>
    <w:rsid w:val="00B37BC9"/>
    <w:rsid w:val="00B648E3"/>
    <w:rsid w:val="00B6531A"/>
    <w:rsid w:val="00B6579E"/>
    <w:rsid w:val="00B8370F"/>
    <w:rsid w:val="00B90D9B"/>
    <w:rsid w:val="00BC7214"/>
    <w:rsid w:val="00BE150B"/>
    <w:rsid w:val="00BF023D"/>
    <w:rsid w:val="00BF6571"/>
    <w:rsid w:val="00C11BF6"/>
    <w:rsid w:val="00C157A2"/>
    <w:rsid w:val="00C162A1"/>
    <w:rsid w:val="00C33E5B"/>
    <w:rsid w:val="00C344FA"/>
    <w:rsid w:val="00C40822"/>
    <w:rsid w:val="00C43FE7"/>
    <w:rsid w:val="00C569A6"/>
    <w:rsid w:val="00C60DA5"/>
    <w:rsid w:val="00C77BA2"/>
    <w:rsid w:val="00C9581E"/>
    <w:rsid w:val="00CA5C58"/>
    <w:rsid w:val="00CB361A"/>
    <w:rsid w:val="00CB3F3D"/>
    <w:rsid w:val="00CB4CC7"/>
    <w:rsid w:val="00CD6893"/>
    <w:rsid w:val="00D07661"/>
    <w:rsid w:val="00D15CD1"/>
    <w:rsid w:val="00D34D9F"/>
    <w:rsid w:val="00D5022F"/>
    <w:rsid w:val="00D57201"/>
    <w:rsid w:val="00D64FBE"/>
    <w:rsid w:val="00D978B0"/>
    <w:rsid w:val="00DA04D4"/>
    <w:rsid w:val="00DA5729"/>
    <w:rsid w:val="00DB1761"/>
    <w:rsid w:val="00DB1AEE"/>
    <w:rsid w:val="00DD7D4A"/>
    <w:rsid w:val="00DE0FB3"/>
    <w:rsid w:val="00DF4583"/>
    <w:rsid w:val="00E026D4"/>
    <w:rsid w:val="00E027D7"/>
    <w:rsid w:val="00E06170"/>
    <w:rsid w:val="00E12FCE"/>
    <w:rsid w:val="00E27E06"/>
    <w:rsid w:val="00E462E2"/>
    <w:rsid w:val="00E57A6D"/>
    <w:rsid w:val="00E61FD6"/>
    <w:rsid w:val="00E736B4"/>
    <w:rsid w:val="00E81C49"/>
    <w:rsid w:val="00E938CE"/>
    <w:rsid w:val="00EA67E8"/>
    <w:rsid w:val="00EC0F5F"/>
    <w:rsid w:val="00EC23CD"/>
    <w:rsid w:val="00EC6BF3"/>
    <w:rsid w:val="00ED7F4A"/>
    <w:rsid w:val="00EE61D4"/>
    <w:rsid w:val="00EF233E"/>
    <w:rsid w:val="00EF7CBC"/>
    <w:rsid w:val="00F03728"/>
    <w:rsid w:val="00F05AB4"/>
    <w:rsid w:val="00F505CF"/>
    <w:rsid w:val="00F615D8"/>
    <w:rsid w:val="00F632AA"/>
    <w:rsid w:val="00F947CD"/>
    <w:rsid w:val="00FA19BA"/>
    <w:rsid w:val="00FA7886"/>
    <w:rsid w:val="00FB3595"/>
    <w:rsid w:val="00FC2C2F"/>
    <w:rsid w:val="00FC5685"/>
    <w:rsid w:val="00FC66EC"/>
    <w:rsid w:val="00FD1F2F"/>
    <w:rsid w:val="00FE2E8F"/>
    <w:rsid w:val="01BC7D96"/>
    <w:rsid w:val="020B7798"/>
    <w:rsid w:val="038F27E4"/>
    <w:rsid w:val="04082BBD"/>
    <w:rsid w:val="04819AB9"/>
    <w:rsid w:val="049F8143"/>
    <w:rsid w:val="06E6A184"/>
    <w:rsid w:val="07AA06B1"/>
    <w:rsid w:val="08297B53"/>
    <w:rsid w:val="08404FFB"/>
    <w:rsid w:val="0907BC33"/>
    <w:rsid w:val="0949434A"/>
    <w:rsid w:val="0A29F571"/>
    <w:rsid w:val="0ABC4AAE"/>
    <w:rsid w:val="0AC25296"/>
    <w:rsid w:val="0C66879D"/>
    <w:rsid w:val="0D1223DB"/>
    <w:rsid w:val="0D9A5186"/>
    <w:rsid w:val="0E61DC03"/>
    <w:rsid w:val="0F031B57"/>
    <w:rsid w:val="0F1DA511"/>
    <w:rsid w:val="0FB7AB0F"/>
    <w:rsid w:val="113AE065"/>
    <w:rsid w:val="1223EB7E"/>
    <w:rsid w:val="1326A0A2"/>
    <w:rsid w:val="14584523"/>
    <w:rsid w:val="16A7D8A2"/>
    <w:rsid w:val="16C60427"/>
    <w:rsid w:val="172DB4CB"/>
    <w:rsid w:val="175F9016"/>
    <w:rsid w:val="1942BA1B"/>
    <w:rsid w:val="1957411C"/>
    <w:rsid w:val="1AA08039"/>
    <w:rsid w:val="1ABF03B9"/>
    <w:rsid w:val="1DF04182"/>
    <w:rsid w:val="1E88E7C5"/>
    <w:rsid w:val="1F09D912"/>
    <w:rsid w:val="1F75FC2A"/>
    <w:rsid w:val="204CF5C9"/>
    <w:rsid w:val="21A1E1D1"/>
    <w:rsid w:val="21C7B88E"/>
    <w:rsid w:val="23B87BFE"/>
    <w:rsid w:val="249D8924"/>
    <w:rsid w:val="252BDFD1"/>
    <w:rsid w:val="26163BE0"/>
    <w:rsid w:val="28501D39"/>
    <w:rsid w:val="2938CFF5"/>
    <w:rsid w:val="2A0F2FB0"/>
    <w:rsid w:val="2A53CE52"/>
    <w:rsid w:val="2A92E516"/>
    <w:rsid w:val="2CFC23FD"/>
    <w:rsid w:val="2DF5D7AA"/>
    <w:rsid w:val="2E209B58"/>
    <w:rsid w:val="2EE007DB"/>
    <w:rsid w:val="2F156B2B"/>
    <w:rsid w:val="2F98B2BA"/>
    <w:rsid w:val="30582892"/>
    <w:rsid w:val="3099B44D"/>
    <w:rsid w:val="30BF1F29"/>
    <w:rsid w:val="3188CB0A"/>
    <w:rsid w:val="31B4F2EE"/>
    <w:rsid w:val="31C0B0F8"/>
    <w:rsid w:val="31D10C35"/>
    <w:rsid w:val="320EA026"/>
    <w:rsid w:val="336C4DFE"/>
    <w:rsid w:val="33ADB8B1"/>
    <w:rsid w:val="347F7BB8"/>
    <w:rsid w:val="350EA0F4"/>
    <w:rsid w:val="3561B32D"/>
    <w:rsid w:val="35857598"/>
    <w:rsid w:val="3586988C"/>
    <w:rsid w:val="38C11514"/>
    <w:rsid w:val="393BF4B7"/>
    <w:rsid w:val="3992A17B"/>
    <w:rsid w:val="3B78641B"/>
    <w:rsid w:val="3C85FE67"/>
    <w:rsid w:val="3D8CD823"/>
    <w:rsid w:val="3E5671E7"/>
    <w:rsid w:val="3F934C24"/>
    <w:rsid w:val="440DE002"/>
    <w:rsid w:val="4417BDF2"/>
    <w:rsid w:val="44827050"/>
    <w:rsid w:val="448AF7AF"/>
    <w:rsid w:val="46048306"/>
    <w:rsid w:val="465AFA43"/>
    <w:rsid w:val="482BD842"/>
    <w:rsid w:val="48DE42F3"/>
    <w:rsid w:val="49AE9DEF"/>
    <w:rsid w:val="4AA63626"/>
    <w:rsid w:val="4B4AA571"/>
    <w:rsid w:val="4E3B013C"/>
    <w:rsid w:val="4E424038"/>
    <w:rsid w:val="4F08EED1"/>
    <w:rsid w:val="507ED11C"/>
    <w:rsid w:val="510616F8"/>
    <w:rsid w:val="53259986"/>
    <w:rsid w:val="5455B8F2"/>
    <w:rsid w:val="55106B5E"/>
    <w:rsid w:val="5590698C"/>
    <w:rsid w:val="55A194DB"/>
    <w:rsid w:val="56944376"/>
    <w:rsid w:val="58528438"/>
    <w:rsid w:val="5873D0FC"/>
    <w:rsid w:val="5881BA89"/>
    <w:rsid w:val="5908BFB0"/>
    <w:rsid w:val="5AB49CC0"/>
    <w:rsid w:val="5B478982"/>
    <w:rsid w:val="5BCAF8C5"/>
    <w:rsid w:val="5C87653F"/>
    <w:rsid w:val="5D1B05AF"/>
    <w:rsid w:val="5D9568D6"/>
    <w:rsid w:val="5DEFFF7C"/>
    <w:rsid w:val="5EDB8792"/>
    <w:rsid w:val="626CA167"/>
    <w:rsid w:val="628FAFB5"/>
    <w:rsid w:val="6294127E"/>
    <w:rsid w:val="62D8E3A4"/>
    <w:rsid w:val="635E0F7E"/>
    <w:rsid w:val="6369F342"/>
    <w:rsid w:val="64B24778"/>
    <w:rsid w:val="6603380E"/>
    <w:rsid w:val="6630AF4A"/>
    <w:rsid w:val="68294F67"/>
    <w:rsid w:val="69EBB77D"/>
    <w:rsid w:val="6A63B999"/>
    <w:rsid w:val="6A6DA184"/>
    <w:rsid w:val="6AC17824"/>
    <w:rsid w:val="6AD55B75"/>
    <w:rsid w:val="6BA4A35C"/>
    <w:rsid w:val="6E5CF273"/>
    <w:rsid w:val="6EA17C17"/>
    <w:rsid w:val="6EF90A35"/>
    <w:rsid w:val="6F052BA9"/>
    <w:rsid w:val="70E6FD9D"/>
    <w:rsid w:val="711CED99"/>
    <w:rsid w:val="73B16850"/>
    <w:rsid w:val="73CCEE66"/>
    <w:rsid w:val="74411B68"/>
    <w:rsid w:val="74A6C1ED"/>
    <w:rsid w:val="7615D704"/>
    <w:rsid w:val="77CC735B"/>
    <w:rsid w:val="783E6170"/>
    <w:rsid w:val="7934E605"/>
    <w:rsid w:val="79497F10"/>
    <w:rsid w:val="7AA1B80B"/>
    <w:rsid w:val="7AAB2EA5"/>
    <w:rsid w:val="7CAA1E5B"/>
    <w:rsid w:val="7E466C32"/>
    <w:rsid w:val="7F600626"/>
    <w:rsid w:val="7F9C046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244A59"/>
  <w15:chartTrackingRefBased/>
  <w15:docId w15:val="{ED721CEE-4486-48EE-B18B-1937B224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6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76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6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4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FB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729"/>
  </w:style>
  <w:style w:type="paragraph" w:styleId="Footer">
    <w:name w:val="footer"/>
    <w:basedOn w:val="Normal"/>
    <w:link w:val="FooterChar"/>
    <w:uiPriority w:val="99"/>
    <w:unhideWhenUsed/>
    <w:rsid w:val="0085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29"/>
  </w:style>
  <w:style w:type="character" w:styleId="PlaceholderText">
    <w:name w:val="Placeholder Text"/>
    <w:basedOn w:val="DefaultParagraphFont"/>
    <w:uiPriority w:val="99"/>
    <w:semiHidden/>
    <w:rsid w:val="00EE61D4"/>
    <w:rPr>
      <w:color w:val="666666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B11B2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B11B26"/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B11B2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B11B26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3819DF"/>
    <w:pPr>
      <w:spacing w:after="0" w:line="240" w:lineRule="auto"/>
    </w:pPr>
  </w:style>
  <w:style w:type="table" w:styleId="TableGrid">
    <w:name w:val="Table Grid"/>
    <w:basedOn w:val="TableNormal"/>
    <w:uiPriority w:val="39"/>
    <w:rsid w:val="00F0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7F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Beth.Claxon@acf.hhs.gov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c6fe39-91e7-4e4b-8aab-0cd09a9660c3" xsi:nil="true"/>
    <lcf76f155ced4ddcb4097134ff3c332f xmlns="c9859449-a485-45eb-928d-576cb8401392">
      <Terms xmlns="http://schemas.microsoft.com/office/infopath/2007/PartnerControls"/>
    </lcf76f155ced4ddcb4097134ff3c332f>
    <Status_x002d_test xmlns="c9859449-a485-45eb-928d-576cb84013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B478D6EA63B4FB97D3AF86A18530C" ma:contentTypeVersion="21" ma:contentTypeDescription="Create a new document." ma:contentTypeScope="" ma:versionID="f1e0a03b3ff60f9942d30519105ad10f">
  <xsd:schema xmlns:xsd="http://www.w3.org/2001/XMLSchema" xmlns:xs="http://www.w3.org/2001/XMLSchema" xmlns:p="http://schemas.microsoft.com/office/2006/metadata/properties" xmlns:ns2="c9859449-a485-45eb-928d-576cb8401392" xmlns:ns3="2dc6fe39-91e7-4e4b-8aab-0cd09a9660c3" targetNamespace="http://schemas.microsoft.com/office/2006/metadata/properties" ma:root="true" ma:fieldsID="72e6b5c2d3e73f7dac30204289ee38ab" ns2:_="" ns3:_="">
    <xsd:import namespace="c9859449-a485-45eb-928d-576cb8401392"/>
    <xsd:import namespace="2dc6fe39-91e7-4e4b-8aab-0cd09a966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Status_x002d_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9449-a485-45eb-928d-576cb8401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_x002d_test" ma:index="21" nillable="true" ma:displayName="Status - test" ma:format="Dropdown" ma:internalName="Status_x002d_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fe39-91e7-4e4b-8aab-0cd09a9660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c79ffb-b3b8-4d40-b2ca-52d7aa906a56}" ma:internalName="TaxCatchAll" ma:showField="CatchAllData" ma:web="2dc6fe39-91e7-4e4b-8aab-0cd09a9660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EAAE9-F97B-4F8B-B155-D797D79E0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AE65E-DB36-445F-8C0F-1254C2EC1E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93F44A-1390-46F1-820E-04F09133420F}">
  <ds:schemaRefs>
    <ds:schemaRef ds:uri="http://schemas.microsoft.com/office/2006/metadata/properties"/>
    <ds:schemaRef ds:uri="http://schemas.microsoft.com/office/infopath/2007/PartnerControls"/>
    <ds:schemaRef ds:uri="2dc6fe39-91e7-4e4b-8aab-0cd09a9660c3"/>
    <ds:schemaRef ds:uri="c9859449-a485-45eb-928d-576cb8401392"/>
  </ds:schemaRefs>
</ds:datastoreItem>
</file>

<file path=customXml/itemProps4.xml><?xml version="1.0" encoding="utf-8"?>
<ds:datastoreItem xmlns:ds="http://schemas.openxmlformats.org/officeDocument/2006/customXml" ds:itemID="{EAA58129-D634-418E-A044-410D3633E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59449-a485-45eb-928d-576cb8401392"/>
    <ds:schemaRef ds:uri="2dc6fe39-91e7-4e4b-8aab-0cd09a966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King</dc:creator>
  <cp:lastModifiedBy>Logan Goldschmidt</cp:lastModifiedBy>
  <cp:revision>30</cp:revision>
  <dcterms:created xsi:type="dcterms:W3CDTF">2025-09-30T15:38:00Z</dcterms:created>
  <dcterms:modified xsi:type="dcterms:W3CDTF">2025-12-18T20:02:00Z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0x010100228B478D6EA63B4FB97D3AF86A18530C</vt:lpwstr>
  </property>
  <property fmtid="{D5CDD505-2E9C-101B-9397-08002B2CF9AE}" pid="4" name="GrammarlyDocumentId">
    <vt:lpwstr>e872ddfe-a041-41a8-97ae-fecd81345d98</vt:lpwstr>
  </property>
  <property fmtid="{D5CDD505-2E9C-101B-9397-08002B2CF9AE}" pid="5" name="MediaServiceImageTags">
    <vt:lpwstr/>
  </property>
  <property fmtid="{D5CDD505-2E9C-101B-9397-08002B2CF9AE}" pid="6" name="Order">
    <vt:r8>1347900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