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ink/ink1.xml" ContentType="application/inkml+xml"/>
  <Override PartName="/word/ink/ink2.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A6CA4" w:rsidP="00364CDC" w14:paraId="061146CC" w14:textId="77777777">
      <w:pPr>
        <w:jc w:val="center"/>
        <w:rPr>
          <w:b/>
        </w:rPr>
      </w:pPr>
      <w:bookmarkStart w:id="0" w:name="OLE_LINK3"/>
      <w:bookmarkStart w:id="1" w:name="OLE_LINK4"/>
    </w:p>
    <w:p w:rsidR="00867042" w:rsidRPr="0001631D" w:rsidP="00364CDC" w14:paraId="58F7E0EB" w14:textId="75DEF95C">
      <w:pPr>
        <w:jc w:val="center"/>
        <w:rPr>
          <w:b/>
        </w:rPr>
      </w:pPr>
      <w:r w:rsidRPr="0001631D">
        <w:rPr>
          <w:b/>
        </w:rPr>
        <w:t>S</w:t>
      </w:r>
      <w:r w:rsidR="00CA6CA4">
        <w:rPr>
          <w:b/>
        </w:rPr>
        <w:t>UPPORTING STATEMENT FOR</w:t>
      </w:r>
    </w:p>
    <w:p w:rsidR="00FA369E" w:rsidRPr="0001631D" w:rsidP="00544745" w14:paraId="387C8C1C" w14:textId="77777777">
      <w:pPr>
        <w:ind w:left="1440" w:firstLine="720"/>
        <w:rPr>
          <w:rFonts w:cs="Shruti"/>
          <w:b/>
        </w:rPr>
      </w:pPr>
      <w:r w:rsidRPr="0001631D">
        <w:rPr>
          <w:rFonts w:cs="Shruti"/>
          <w:b/>
        </w:rPr>
        <w:t>Application for Registration</w:t>
      </w:r>
      <w:r w:rsidRPr="0001631D" w:rsidR="004A70EB">
        <w:rPr>
          <w:rFonts w:cs="Shruti"/>
          <w:b/>
        </w:rPr>
        <w:t xml:space="preserve"> </w:t>
      </w:r>
      <w:r w:rsidRPr="0001631D">
        <w:rPr>
          <w:rFonts w:cs="Shruti"/>
          <w:b/>
        </w:rPr>
        <w:t>(DEA Form 363)</w:t>
      </w:r>
    </w:p>
    <w:p w:rsidR="00BF67DF" w:rsidRPr="0001631D" w:rsidP="00BF67DF" w14:paraId="1D17E7DD" w14:textId="77777777">
      <w:pPr>
        <w:jc w:val="center"/>
        <w:rPr>
          <w:rFonts w:cs="Shruti"/>
          <w:b/>
        </w:rPr>
      </w:pPr>
      <w:r w:rsidRPr="0001631D">
        <w:rPr>
          <w:rFonts w:cs="Shruti"/>
          <w:b/>
        </w:rPr>
        <w:t xml:space="preserve">Application for Registration </w:t>
      </w:r>
      <w:r w:rsidRPr="0001631D" w:rsidR="004A70EB">
        <w:rPr>
          <w:rFonts w:cs="Shruti"/>
          <w:b/>
        </w:rPr>
        <w:t xml:space="preserve">Renewal </w:t>
      </w:r>
      <w:r w:rsidRPr="0001631D" w:rsidR="00FA369E">
        <w:rPr>
          <w:rFonts w:cs="Shruti"/>
          <w:b/>
        </w:rPr>
        <w:t>(DEA Form 363a)</w:t>
      </w:r>
    </w:p>
    <w:bookmarkEnd w:id="0"/>
    <w:bookmarkEnd w:id="1"/>
    <w:p w:rsidR="00544745" w:rsidP="0001631D" w14:paraId="20941A73" w14:textId="65011048">
      <w:pPr>
        <w:jc w:val="center"/>
        <w:rPr>
          <w:rFonts w:cs="Shruti"/>
        </w:rPr>
      </w:pPr>
      <w:r>
        <w:rPr>
          <w:b/>
        </w:rPr>
        <w:br/>
      </w:r>
    </w:p>
    <w:p w:rsidR="00B831BB" w:rsidP="00510C11" w14:paraId="7698C461" w14:textId="647D13B7">
      <w:pPr>
        <w:rPr>
          <w:rFonts w:cs="Shruti"/>
        </w:rPr>
      </w:pPr>
      <w:r>
        <w:rPr>
          <w:rFonts w:cs="Shruti"/>
        </w:rPr>
        <w:t xml:space="preserve">The Drug Enforcement Administration (DEA) seeks </w:t>
      </w:r>
      <w:r w:rsidR="009F6388">
        <w:rPr>
          <w:rFonts w:cs="Shruti"/>
        </w:rPr>
        <w:t xml:space="preserve">approval by </w:t>
      </w:r>
      <w:r>
        <w:rPr>
          <w:rFonts w:cs="Shruti"/>
        </w:rPr>
        <w:t xml:space="preserve">the Office of Management and Budget (OMB) </w:t>
      </w:r>
      <w:r w:rsidR="009F6388">
        <w:rPr>
          <w:rFonts w:cs="Shruti"/>
        </w:rPr>
        <w:t>for</w:t>
      </w:r>
      <w:r>
        <w:rPr>
          <w:rFonts w:cs="Shruti"/>
        </w:rPr>
        <w:t xml:space="preserve"> an existing collection of information that </w:t>
      </w:r>
      <w:r w:rsidR="00EC39B4">
        <w:rPr>
          <w:rFonts w:cs="Shruti"/>
        </w:rPr>
        <w:t>was</w:t>
      </w:r>
      <w:r>
        <w:rPr>
          <w:rFonts w:cs="Shruti"/>
        </w:rPr>
        <w:t xml:space="preserve"> previously approved by OMB-OMB Approval </w:t>
      </w:r>
      <w:r w:rsidR="00971A7A">
        <w:rPr>
          <w:rFonts w:cs="Shruti"/>
        </w:rPr>
        <w:t>#</w:t>
      </w:r>
      <w:r>
        <w:rPr>
          <w:rFonts w:cs="Shruti"/>
        </w:rPr>
        <w:t>11</w:t>
      </w:r>
      <w:r w:rsidR="00B62576">
        <w:rPr>
          <w:rFonts w:cs="Shruti"/>
        </w:rPr>
        <w:t>1</w:t>
      </w:r>
      <w:r>
        <w:rPr>
          <w:rFonts w:cs="Shruti"/>
        </w:rPr>
        <w:t xml:space="preserve">7-0015, Application for Registration (DEA Form 363) and Application for Registration Renewal (DEA Form 363a). </w:t>
      </w:r>
    </w:p>
    <w:p w:rsidR="00544745" w:rsidP="005038D3" w14:paraId="3BD03F69" w14:textId="77777777"/>
    <w:p w:rsidR="005038D3" w:rsidRPr="0001631D" w:rsidP="005038D3" w14:paraId="3F1D6E0B" w14:textId="0BFC53E3">
      <w:pPr>
        <w:rPr>
          <w:b/>
        </w:rPr>
      </w:pPr>
      <w:r w:rsidRPr="0001631D">
        <w:rPr>
          <w:b/>
        </w:rPr>
        <w:t xml:space="preserve">A.  </w:t>
      </w:r>
      <w:r w:rsidR="00CA6CA4">
        <w:rPr>
          <w:b/>
        </w:rPr>
        <w:t>JUSTIFICATION</w:t>
      </w:r>
    </w:p>
    <w:p w:rsidR="005038D3" w:rsidP="005038D3" w14:paraId="67138019" w14:textId="77777777"/>
    <w:p w:rsidR="0001631D" w:rsidP="00C413E2" w14:paraId="78D6A4B5" w14:textId="4DCEB675">
      <w:r w:rsidRPr="00F836AC">
        <w:rPr>
          <w:b/>
          <w:bCs/>
        </w:rPr>
        <w:t>1.</w:t>
      </w:r>
      <w:r>
        <w:t xml:space="preserve"> </w:t>
      </w:r>
      <w:r w:rsidR="003F0971">
        <w:t xml:space="preserve">The Narcotic Addict Treatment Act of 1974 </w:t>
      </w:r>
      <w:r w:rsidR="009F6388">
        <w:t>(NATA)</w:t>
      </w:r>
      <w:r w:rsidRPr="009F6388" w:rsidR="009F6388">
        <w:t xml:space="preserve"> </w:t>
      </w:r>
      <w:r w:rsidR="009F6388">
        <w:t xml:space="preserve">(Pub. L. 93-281) </w:t>
      </w:r>
      <w:r w:rsidR="003F0971">
        <w:t>amended the Controlled Substance Act (CSA)</w:t>
      </w:r>
      <w:r w:rsidR="009B04C3">
        <w:t xml:space="preserve"> to provide for the registration of practitioners conducting narcotic treatment programs.  NATA required </w:t>
      </w:r>
      <w:r w:rsidR="00467CC2">
        <w:t xml:space="preserve">a </w:t>
      </w:r>
      <w:r w:rsidR="009B04C3">
        <w:t xml:space="preserve">separate </w:t>
      </w:r>
      <w:r w:rsidR="00FD66A5">
        <w:t xml:space="preserve">registration </w:t>
      </w:r>
      <w:r w:rsidR="003F0971">
        <w:t>of practitioners</w:t>
      </w:r>
      <w:r w:rsidR="009B04C3">
        <w:t xml:space="preserve"> who dispense narcotic drugs to individuals for maintenance treatment or detoxification treatment.</w:t>
      </w:r>
      <w:r>
        <w:rPr>
          <w:rStyle w:val="FootnoteReference"/>
          <w:vertAlign w:val="superscript"/>
        </w:rPr>
        <w:footnoteReference w:id="2"/>
      </w:r>
      <w:r w:rsidRPr="00467CC2" w:rsidR="009B04C3">
        <w:rPr>
          <w:vertAlign w:val="superscript"/>
        </w:rPr>
        <w:t xml:space="preserve"> </w:t>
      </w:r>
      <w:r w:rsidR="009B04C3">
        <w:t xml:space="preserve"> 21 U.S.C. 823(g).  </w:t>
      </w:r>
      <w:r w:rsidR="003F0971">
        <w:t xml:space="preserve"> </w:t>
      </w:r>
      <w:r w:rsidR="00CB69DF">
        <w:t>These practitioners register</w:t>
      </w:r>
      <w:r w:rsidR="00FC3598">
        <w:t xml:space="preserve"> as</w:t>
      </w:r>
      <w:r w:rsidR="00F555A8">
        <w:t xml:space="preserve"> Narcotic Treatment Program</w:t>
      </w:r>
      <w:r w:rsidR="00467CC2">
        <w:t>s</w:t>
      </w:r>
      <w:r w:rsidR="00F555A8">
        <w:t xml:space="preserve"> using DEA Form 363</w:t>
      </w:r>
      <w:r w:rsidR="00FD66A5">
        <w:t xml:space="preserve"> </w:t>
      </w:r>
      <w:r w:rsidR="00CB69DF">
        <w:t>and</w:t>
      </w:r>
      <w:r w:rsidR="00FD66A5">
        <w:t xml:space="preserve"> using DEA Form 363a</w:t>
      </w:r>
      <w:r w:rsidR="00CB69DF">
        <w:t xml:space="preserve"> for renewals</w:t>
      </w:r>
      <w:r w:rsidR="00762B33">
        <w:t xml:space="preserve">.  </w:t>
      </w:r>
    </w:p>
    <w:p w:rsidR="007D165E" w:rsidP="007D165E" w14:paraId="5D799DB3" w14:textId="77777777"/>
    <w:p w:rsidR="004971BF" w:rsidP="004971BF" w14:paraId="1617EEF3" w14:textId="0139AE53">
      <w:r w:rsidRPr="00F836AC">
        <w:rPr>
          <w:b/>
          <w:bCs/>
        </w:rPr>
        <w:t>2.</w:t>
      </w:r>
      <w:r>
        <w:t xml:space="preserve"> </w:t>
      </w:r>
      <w:r w:rsidR="00ED6E29">
        <w:rPr>
          <w:noProof/>
        </w:rPr>
        <mc:AlternateContent>
          <mc:Choice Requires="wpi">
            <w:drawing>
              <wp:anchor distT="0" distB="0" distL="114300" distR="114300" simplePos="0" relativeHeight="251660288" behindDoc="0" locked="0" layoutInCell="1" allowOverlap="1">
                <wp:simplePos x="0" y="0"/>
                <wp:positionH relativeFrom="column">
                  <wp:posOffset>2419583</wp:posOffset>
                </wp:positionH>
                <wp:positionV relativeFrom="paragraph">
                  <wp:posOffset>355946</wp:posOffset>
                </wp:positionV>
                <wp:extent cx="360" cy="360"/>
                <wp:effectExtent l="0" t="0" r="0" b="0"/>
                <wp:wrapNone/>
                <wp:docPr id="2" name="Ink 2"/>
                <wp:cNvGraphicFramePr/>
                <a:graphic xmlns:a="http://schemas.openxmlformats.org/drawingml/2006/main">
                  <a:graphicData uri="http://schemas.microsoft.com/office/word/2010/wordprocessingInk">
                    <w14:contentPart xmlns:r="http://schemas.openxmlformats.org/officeDocument/2006/relationships" xmlns:w14="http://schemas.microsoft.com/office/word/2010/wordml" bwMode="auto" r:id="rId9">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5" type="#_x0000_t75" style="width:1.95pt;height:1.95pt;margin-top:27.1pt;margin-left:189.55pt;mso-wrap-distance-bottom:0;mso-wrap-distance-left:9pt;mso-wrap-distance-right:9pt;mso-wrap-distance-top:0;mso-wrap-style:square;position:absolute;visibility:visible;z-index:251661312">
                <v:imagedata r:id="rId10" o:title=""/>
              </v:shape>
            </w:pict>
          </mc:Fallback>
        </mc:AlternateContent>
      </w:r>
      <w:r w:rsidR="00ED6E29">
        <w:rPr>
          <w:noProof/>
        </w:rPr>
        <mc:AlternateContent>
          <mc:Choice Requires="wpi">
            <w:drawing>
              <wp:anchor distT="0" distB="0" distL="114300" distR="114300" simplePos="0" relativeHeight="251658240" behindDoc="0" locked="0" layoutInCell="1" allowOverlap="1">
                <wp:simplePos x="0" y="0"/>
                <wp:positionH relativeFrom="column">
                  <wp:posOffset>2894783</wp:posOffset>
                </wp:positionH>
                <wp:positionV relativeFrom="paragraph">
                  <wp:posOffset>189626</wp:posOffset>
                </wp:positionV>
                <wp:extent cx="360" cy="360"/>
                <wp:effectExtent l="0" t="0" r="0" b="0"/>
                <wp:wrapNone/>
                <wp:docPr id="1" name="Ink 1"/>
                <wp:cNvGraphicFramePr/>
                <a:graphic xmlns:a="http://schemas.openxmlformats.org/drawingml/2006/main">
                  <a:graphicData uri="http://schemas.microsoft.com/office/word/2010/wordprocessingInk">
                    <w14:contentPart xmlns:r="http://schemas.openxmlformats.org/officeDocument/2006/relationships" xmlns:w14="http://schemas.microsoft.com/office/word/2010/wordml" bwMode="auto" r:id="rId11">
                      <w14:nvContentPartPr>
                        <w14:cNvContentPartPr/>
                      </w14:nvContentPartPr>
                      <w14:xfrm>
                        <a:off x="0" y="0"/>
                        <a:ext cx="360" cy="360"/>
                      </w14:xfrm>
                    </w14:contentPart>
                  </a:graphicData>
                </a:graphic>
              </wp:anchor>
            </w:drawing>
          </mc:Choice>
          <mc:Fallback>
            <w:pict>
              <v:shape id="Ink 1" o:spid="_x0000_s1026" type="#_x0000_t75" style="width:1.95pt;height:1.95pt;margin-top:14pt;margin-left:227pt;mso-wrap-distance-bottom:0;mso-wrap-distance-left:9pt;mso-wrap-distance-right:9pt;mso-wrap-distance-top:0;mso-wrap-style:square;position:absolute;visibility:visible;z-index:251659264">
                <v:imagedata r:id="rId10" o:title=""/>
              </v:shape>
            </w:pict>
          </mc:Fallback>
        </mc:AlternateContent>
      </w:r>
      <w:r w:rsidR="00492812">
        <w:t xml:space="preserve">DEA Form 363 is </w:t>
      </w:r>
      <w:r w:rsidR="009C6D73">
        <w:t>ut</w:t>
      </w:r>
      <w:r>
        <w:t xml:space="preserve">ilized </w:t>
      </w:r>
      <w:r w:rsidR="00492812">
        <w:t>by applicants seeking to be</w:t>
      </w:r>
      <w:r w:rsidR="00177FFD">
        <w:t>come</w:t>
      </w:r>
      <w:r w:rsidR="00492812">
        <w:t xml:space="preserve"> registered as narcotic treatment programs to dispense </w:t>
      </w:r>
      <w:r w:rsidR="00F55B44">
        <w:t>narcotic drugs</w:t>
      </w:r>
      <w:r w:rsidR="00492812">
        <w:t xml:space="preserve"> for maintenance </w:t>
      </w:r>
      <w:r w:rsidR="006C1EF9">
        <w:t xml:space="preserve">treatment </w:t>
      </w:r>
      <w:r w:rsidR="00492812">
        <w:t>or detoxification treatment</w:t>
      </w:r>
      <w:r w:rsidR="00F577A6">
        <w:t>.  21 U.S.C. </w:t>
      </w:r>
      <w:r w:rsidR="007A3839">
        <w:t>823(g)</w:t>
      </w:r>
      <w:r w:rsidR="006C1EF9">
        <w:t>.</w:t>
      </w:r>
      <w:r w:rsidR="00A92679">
        <w:t xml:space="preserve">  DEA Form 363a is </w:t>
      </w:r>
      <w:r>
        <w:t xml:space="preserve">utilized </w:t>
      </w:r>
      <w:r w:rsidR="00A92679">
        <w:t>for renewal</w:t>
      </w:r>
      <w:r w:rsidR="00C22C57">
        <w:t>s</w:t>
      </w:r>
      <w:r w:rsidR="00A92679">
        <w:t xml:space="preserve"> of registrations on a</w:t>
      </w:r>
      <w:r w:rsidR="009C6D73">
        <w:t>n</w:t>
      </w:r>
      <w:r w:rsidR="00A92679">
        <w:t xml:space="preserve"> </w:t>
      </w:r>
      <w:r w:rsidR="00B62576">
        <w:t xml:space="preserve">annual </w:t>
      </w:r>
      <w:r w:rsidR="00A92679">
        <w:t xml:space="preserve">basis. </w:t>
      </w:r>
      <w:r w:rsidRPr="00A92679" w:rsidR="00A92679">
        <w:t xml:space="preserve"> </w:t>
      </w:r>
      <w:r w:rsidR="00A92679">
        <w:t xml:space="preserve">The information submitted is used to identify </w:t>
      </w:r>
      <w:r w:rsidR="00A92679">
        <w:t>persons</w:t>
      </w:r>
      <w:r w:rsidR="00A92679">
        <w:t xml:space="preserve"> seeking registration and </w:t>
      </w:r>
      <w:r>
        <w:t xml:space="preserve">provide </w:t>
      </w:r>
      <w:r w:rsidR="00A92679">
        <w:t>information</w:t>
      </w:r>
      <w:r>
        <w:t xml:space="preserve"> so that DEA can</w:t>
      </w:r>
      <w:r w:rsidR="00A92679">
        <w:t xml:space="preserve"> determine whether </w:t>
      </w:r>
      <w:r w:rsidR="00F55B44">
        <w:t xml:space="preserve">such </w:t>
      </w:r>
      <w:r w:rsidR="00A92679">
        <w:t xml:space="preserve">registration would be </w:t>
      </w:r>
      <w:r>
        <w:t>in accordance with the Controlled Substances Act.  See 21 U.S.C. 823, 824</w:t>
      </w:r>
      <w:r w:rsidR="00A92679">
        <w:t>.</w:t>
      </w:r>
      <w:r w:rsidR="005404ED">
        <w:t xml:space="preserve">  </w:t>
      </w:r>
      <w:r>
        <w:t xml:space="preserve">The purpose of registration or reregistration is to ensure </w:t>
      </w:r>
      <w:r w:rsidR="00DA56D3">
        <w:t xml:space="preserve">the persons handling controlled substances are qualified and have the experience necessary to handle controlled substances.  The purpose is to also ensure the integrity of the closed system </w:t>
      </w:r>
      <w:r w:rsidR="006D1056">
        <w:t xml:space="preserve">of </w:t>
      </w:r>
      <w:r w:rsidR="00DA56D3">
        <w:t xml:space="preserve">distribution as well as track/monitor the movement of controlled substances.  </w:t>
      </w:r>
    </w:p>
    <w:p w:rsidR="005139C4" w:rsidP="00A92679" w14:paraId="2F369088" w14:textId="77777777"/>
    <w:p w:rsidR="004A70EB" w:rsidP="00C413E2" w14:paraId="74F16965" w14:textId="044A5D89">
      <w:r w:rsidRPr="00F836AC">
        <w:rPr>
          <w:b/>
          <w:bCs/>
        </w:rPr>
        <w:t>3.</w:t>
      </w:r>
      <w:r w:rsidRPr="00406453" w:rsidR="00406453">
        <w:t xml:space="preserve"> </w:t>
      </w:r>
      <w:r w:rsidR="003F65C8">
        <w:t xml:space="preserve">Currently, </w:t>
      </w:r>
      <w:r w:rsidR="00C413E2">
        <w:t>DEA</w:t>
      </w:r>
      <w:r w:rsidR="003F65C8">
        <w:t xml:space="preserve"> </w:t>
      </w:r>
      <w:r w:rsidR="00C413E2">
        <w:t xml:space="preserve">has a system which permits </w:t>
      </w:r>
      <w:r w:rsidR="004C1E13">
        <w:t xml:space="preserve">online </w:t>
      </w:r>
      <w:r w:rsidR="00C413E2">
        <w:t>registration</w:t>
      </w:r>
      <w:r w:rsidR="001368B4">
        <w:t xml:space="preserve"> </w:t>
      </w:r>
      <w:r w:rsidR="003F65C8">
        <w:t>through the secure network application on</w:t>
      </w:r>
      <w:r w:rsidR="00C413E2">
        <w:t xml:space="preserve"> the DEA</w:t>
      </w:r>
      <w:r w:rsidR="007A3839">
        <w:t xml:space="preserve"> </w:t>
      </w:r>
      <w:r w:rsidR="00C413E2">
        <w:t xml:space="preserve">Diversion Control </w:t>
      </w:r>
      <w:r w:rsidR="00A2523C">
        <w:t xml:space="preserve">Division </w:t>
      </w:r>
      <w:r w:rsidR="00C413E2">
        <w:t xml:space="preserve">web site </w:t>
      </w:r>
      <w:r w:rsidR="003A242C">
        <w:t>(</w:t>
      </w:r>
      <w:r w:rsidRPr="00B70895" w:rsidR="003A242C">
        <w:rPr>
          <w:rStyle w:val="Hyperlink"/>
          <w:rFonts w:eastAsiaTheme="minorHAnsi"/>
          <w:i/>
        </w:rPr>
        <w:t>http://www.deadiversion.usdoj.gov</w:t>
      </w:r>
      <w:r w:rsidR="003A242C">
        <w:t xml:space="preserve">).  </w:t>
      </w:r>
      <w:r w:rsidR="00971A7A">
        <w:t>Applicants may complete and submit the form online, along with credit card payment</w:t>
      </w:r>
      <w:r w:rsidR="00C413E2">
        <w:t>.</w:t>
      </w:r>
      <w:r w:rsidR="00B831BB">
        <w:t xml:space="preserve">  This </w:t>
      </w:r>
      <w:r w:rsidR="00A15F0B">
        <w:t>final rule</w:t>
      </w:r>
      <w:r w:rsidR="00B831BB">
        <w:t xml:space="preserve"> would require 100% online submissions.</w:t>
      </w:r>
    </w:p>
    <w:p w:rsidR="00A7508F" w:rsidP="00364CDC" w14:paraId="02FCFF88" w14:textId="77777777">
      <w:pPr>
        <w:rPr>
          <w:color w:val="000000"/>
        </w:rPr>
      </w:pPr>
    </w:p>
    <w:p w:rsidR="00A7508F" w:rsidRPr="00CA6CA4" w:rsidP="00364CDC" w14:paraId="32318A92" w14:textId="707D8155">
      <w:pPr>
        <w:rPr>
          <w:color w:val="000000"/>
        </w:rPr>
      </w:pPr>
      <w:r w:rsidRPr="00F836AC">
        <w:rPr>
          <w:b/>
          <w:bCs/>
          <w:color w:val="000000"/>
        </w:rPr>
        <w:t>4.</w:t>
      </w:r>
      <w:r>
        <w:rPr>
          <w:color w:val="000000"/>
        </w:rPr>
        <w:t xml:space="preserve"> </w:t>
      </w:r>
      <w:r w:rsidR="0086712B">
        <w:t>DEA has made efforts to identify and prevent duplication of the collection of information.  The existing DEA Form 363 and 363a are not duplicative</w:t>
      </w:r>
      <w:r w:rsidR="007A3839">
        <w:t xml:space="preserve"> of any other DEA Forms</w:t>
      </w:r>
      <w:r w:rsidR="0086712B">
        <w:t xml:space="preserve">.  The collection of this information is unique to </w:t>
      </w:r>
      <w:r w:rsidR="00A8788E">
        <w:t xml:space="preserve">the </w:t>
      </w:r>
      <w:r w:rsidR="0086712B">
        <w:t xml:space="preserve">DEA.  </w:t>
      </w:r>
      <w:r w:rsidR="00824323">
        <w:t xml:space="preserve">  </w:t>
      </w:r>
    </w:p>
    <w:p w:rsidR="00886498" w:rsidP="00364CDC" w14:paraId="319DC49A" w14:textId="77777777"/>
    <w:p w:rsidR="00A7508F" w:rsidP="00364CDC" w14:paraId="0FAFD24D" w14:textId="393CC584">
      <w:r w:rsidRPr="00F836AC">
        <w:rPr>
          <w:b/>
          <w:bCs/>
        </w:rPr>
        <w:t>5.</w:t>
      </w:r>
      <w:r>
        <w:t xml:space="preserve"> </w:t>
      </w:r>
      <w:r w:rsidR="0086712B">
        <w:t xml:space="preserve">DEA does not anticipate any additional impact on small businesses or other small entities since the initial approval of this form.  The collection will not have a significant </w:t>
      </w:r>
      <w:r w:rsidR="0086712B">
        <w:t xml:space="preserve">economic impact on small businesses or other small entities within the meaning and intent of the Regulatory Flexibility Act, 5 U.S.C. 601-612.  </w:t>
      </w:r>
    </w:p>
    <w:p w:rsidR="00886498" w:rsidP="00364CDC" w14:paraId="672395D5" w14:textId="77777777"/>
    <w:p w:rsidR="00B5274C" w:rsidP="00B5274C" w14:paraId="1CB5DFC8" w14:textId="7CE90379">
      <w:r w:rsidRPr="00F836AC">
        <w:rPr>
          <w:b/>
          <w:bCs/>
        </w:rPr>
        <w:t>6.</w:t>
      </w:r>
      <w:r>
        <w:t xml:space="preserve"> </w:t>
      </w:r>
      <w:r w:rsidR="006D1056">
        <w:t xml:space="preserve">The CSA requires all </w:t>
      </w:r>
      <w:r w:rsidR="006D1056">
        <w:t>persons</w:t>
      </w:r>
      <w:r w:rsidR="006D1056">
        <w:t xml:space="preserve"> who dispense, or propose to </w:t>
      </w:r>
      <w:r w:rsidR="006D1056">
        <w:t>dispense</w:t>
      </w:r>
      <w:r w:rsidR="006D1056">
        <w:t xml:space="preserve">, controlled substances to obtain </w:t>
      </w:r>
      <w:r w:rsidR="006D1056">
        <w:t>a registration</w:t>
      </w:r>
      <w:r w:rsidR="006D1056">
        <w:t xml:space="preserve">.  21 U.S.C. 822(a)(2).  The NATA specified that “practitioners who dispense narcotic drugs to individuals for maintenance treatment or detoxification treatment shall obtain annually a separate registration for that purpose.”  21 U.S.C. 823(g)(1).  Accordingly, DEA has no discretion with respect to less frequent collection in instances of Narcotic Treatment Program registrations or registration renewals.  </w:t>
      </w:r>
      <w:r w:rsidRPr="005128EE" w:rsidR="005128EE">
        <w:t xml:space="preserve">The information submitted is used to identify </w:t>
      </w:r>
      <w:r w:rsidRPr="005128EE" w:rsidR="005128EE">
        <w:t>persons</w:t>
      </w:r>
      <w:r w:rsidRPr="005128EE" w:rsidR="005128EE">
        <w:t xml:space="preserve"> seeking registration and provide information so that DEA can determine whether such registration would be in accordance with the Controlled Substances Act.  See 21 U.S.C. 823, 824</w:t>
      </w:r>
      <w:r w:rsidR="005128EE">
        <w:t>.</w:t>
      </w:r>
      <w:r w:rsidR="004A6220">
        <w:t xml:space="preserve"> </w:t>
      </w:r>
    </w:p>
    <w:p w:rsidR="00923609" w:rsidP="00364CDC" w14:paraId="0856AF6F" w14:textId="77777777"/>
    <w:p w:rsidR="00A7508F" w:rsidP="00364CDC" w14:paraId="36E87814" w14:textId="6F72360A">
      <w:r w:rsidRPr="00F836AC">
        <w:rPr>
          <w:b/>
          <w:bCs/>
        </w:rPr>
        <w:t>7.</w:t>
      </w:r>
      <w:r>
        <w:t xml:space="preserve"> </w:t>
      </w:r>
      <w:r w:rsidR="00B5274C">
        <w:t>There are no special circumstances applicable to this information collection.</w:t>
      </w:r>
      <w:r w:rsidR="00EA0412">
        <w:t xml:space="preserve">  </w:t>
      </w:r>
    </w:p>
    <w:p w:rsidR="00886498" w:rsidP="00364CDC" w14:paraId="0F536079" w14:textId="77777777"/>
    <w:p w:rsidR="00C80ABE" w:rsidRPr="00C80ABE" w:rsidP="00C80ABE" w14:paraId="75DCCADF" w14:textId="2B3EE879">
      <w:pPr>
        <w:rPr>
          <w:u w:val="single"/>
        </w:rPr>
      </w:pPr>
      <w:r w:rsidRPr="00F836AC">
        <w:rPr>
          <w:b/>
          <w:bCs/>
        </w:rPr>
        <w:t>8.</w:t>
      </w:r>
      <w:r w:rsidRPr="007B488F">
        <w:t xml:space="preserve"> </w:t>
      </w:r>
      <w:bookmarkStart w:id="2" w:name="OLE_LINK2"/>
      <w:r w:rsidRPr="00C80ABE">
        <w:t xml:space="preserve">The 60-Day Notice was published in the Federal Register on </w:t>
      </w:r>
      <w:r w:rsidR="00F11AA5">
        <w:t xml:space="preserve">July 7, </w:t>
      </w:r>
      <w:r w:rsidR="00F11AA5">
        <w:t>2025</w:t>
      </w:r>
      <w:r w:rsidR="00F11AA5">
        <w:t xml:space="preserve"> at 90</w:t>
      </w:r>
      <w:r w:rsidRPr="00C80ABE">
        <w:t xml:space="preserve"> FR </w:t>
      </w:r>
      <w:r w:rsidR="00F11AA5">
        <w:t>29887</w:t>
      </w:r>
      <w:r w:rsidRPr="00C80ABE">
        <w:t xml:space="preserve">. The comment period ended on </w:t>
      </w:r>
      <w:r w:rsidR="00F6172F">
        <w:t>September 5, 2025</w:t>
      </w:r>
      <w:r w:rsidRPr="00C80ABE">
        <w:t>. No comments were received.</w:t>
      </w:r>
      <w:bookmarkEnd w:id="2"/>
      <w:r w:rsidR="00373B4D">
        <w:t xml:space="preserve">  The 30-Day Notice was published in the Federal Register on September 10, 2025, at 90 FR 43632.</w:t>
      </w:r>
    </w:p>
    <w:p w:rsidR="00CA6CA4" w:rsidP="0003397F" w14:paraId="7335E9AA" w14:textId="325FCCB1"/>
    <w:p w:rsidR="009256A5" w:rsidP="00CB231D" w14:paraId="2F5ABED3" w14:textId="0C7EE8DD">
      <w:r>
        <w:t>DEA meets regularly with the affected industry to discuss policies, programs, and regulations.  These meetings provide an open forum to discuss matters of mutual concern with representatives of those entities from whom the information is obtained.</w:t>
      </w:r>
    </w:p>
    <w:p w:rsidR="00824323" w:rsidP="00364CDC" w14:paraId="01EA4178" w14:textId="77777777"/>
    <w:p w:rsidR="00533C25" w:rsidP="00364CDC" w14:paraId="567333B0" w14:textId="11496F84">
      <w:r w:rsidRPr="00F836AC">
        <w:rPr>
          <w:b/>
          <w:bCs/>
        </w:rPr>
        <w:t>9.</w:t>
      </w:r>
      <w:r w:rsidR="00CA6CA4">
        <w:t xml:space="preserve"> </w:t>
      </w:r>
      <w:r w:rsidR="00824323">
        <w:t xml:space="preserve">This collection of information does </w:t>
      </w:r>
      <w:r w:rsidR="00824323">
        <w:t xml:space="preserve">not propose to </w:t>
      </w:r>
      <w:r w:rsidR="000772F8">
        <w:t>provide</w:t>
      </w:r>
      <w:r w:rsidR="000772F8">
        <w:t xml:space="preserve"> any payment </w:t>
      </w:r>
      <w:r w:rsidR="00376B8D">
        <w:t>or</w:t>
      </w:r>
      <w:r w:rsidR="00824323">
        <w:t xml:space="preserve"> gift to respondents.</w:t>
      </w:r>
    </w:p>
    <w:p w:rsidR="00886498" w:rsidP="00364CDC" w14:paraId="1C92DBC1" w14:textId="77777777"/>
    <w:p w:rsidR="000362B5" w:rsidP="00A92679" w14:paraId="66FC407B" w14:textId="787F7388">
      <w:r w:rsidRPr="00F836AC">
        <w:rPr>
          <w:b/>
          <w:bCs/>
        </w:rPr>
        <w:t>10.</w:t>
      </w:r>
      <w:r w:rsidR="00CA6CA4">
        <w:t xml:space="preserve">  </w:t>
      </w:r>
      <w:r>
        <w:t>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disclosure of such information.  The information is protected by DEA through secure storage, limited access, and federal regulatory and DEA procedures.  In the event a FOIA request is made to obtain information that has been designated</w:t>
      </w:r>
      <w:r w:rsidR="00F77E8E">
        <w:t xml:space="preserve"> as confidential</w:t>
      </w:r>
      <w:r>
        <w:t xml:space="preserve"> business information per 28 CFR 16.8(c) and Exemption 4 of FOIA,</w:t>
      </w:r>
      <w:r w:rsidR="004706BF">
        <w:t xml:space="preserve"> </w:t>
      </w:r>
      <w:r>
        <w:t>DEA will give written notice to the submitter to allow an opportunity to object within a reasonable time prior to any disclosure by</w:t>
      </w:r>
      <w:r w:rsidR="004706BF">
        <w:t xml:space="preserve"> </w:t>
      </w:r>
      <w:r>
        <w:t>DEA.</w:t>
      </w:r>
    </w:p>
    <w:p w:rsidR="00F577A6" w:rsidP="00364CDC" w14:paraId="76429F00" w14:textId="77777777"/>
    <w:p w:rsidR="00410863" w:rsidP="00364CDC" w14:paraId="4C0852DD" w14:textId="5C10D92B">
      <w:r w:rsidRPr="00F836AC">
        <w:rPr>
          <w:b/>
          <w:bCs/>
        </w:rPr>
        <w:t>11.</w:t>
      </w:r>
      <w:r>
        <w:t xml:space="preserve"> </w:t>
      </w:r>
      <w:r w:rsidR="005318BC">
        <w:t>This collection of information does not ask any questions of a sensitive nature.</w:t>
      </w:r>
    </w:p>
    <w:p w:rsidR="00801C74" w:rsidP="00364CDC" w14:paraId="765FC472" w14:textId="77777777"/>
    <w:p w:rsidR="009304DC" w:rsidP="009304DC" w14:paraId="5C559C61" w14:textId="32480C7D">
      <w:r w:rsidRPr="00F836AC">
        <w:rPr>
          <w:b/>
          <w:bCs/>
        </w:rPr>
        <w:t>12.</w:t>
      </w:r>
      <w:r w:rsidRPr="001D29D1">
        <w:t xml:space="preserve"> </w:t>
      </w:r>
      <w:bookmarkStart w:id="3" w:name="OLE_LINK5"/>
      <w:bookmarkStart w:id="4" w:name="OLE_LINK6"/>
      <w:r w:rsidR="002C388B">
        <w:t>DEA</w:t>
      </w:r>
      <w:r w:rsidR="009C6D73">
        <w:t xml:space="preserve"> </w:t>
      </w:r>
      <w:r w:rsidR="007C6A7F">
        <w:t>Form</w:t>
      </w:r>
      <w:r w:rsidR="00DF02EF">
        <w:t xml:space="preserve"> </w:t>
      </w:r>
      <w:r w:rsidR="002C388B">
        <w:t>363 is submitted on an as</w:t>
      </w:r>
      <w:r w:rsidR="002C388B">
        <w:noBreakHyphen/>
        <w:t>needed basis by persons seeking to become registered; DEA</w:t>
      </w:r>
      <w:r w:rsidR="007C6A7F">
        <w:t xml:space="preserve"> Form </w:t>
      </w:r>
      <w:r w:rsidR="002C388B">
        <w:t>363a is submitted on an annual basis thereafter</w:t>
      </w:r>
      <w:r w:rsidR="000B11BD">
        <w:t xml:space="preserve"> to renew existing registrations</w:t>
      </w:r>
      <w:r w:rsidR="002C388B">
        <w:t>.</w:t>
      </w:r>
    </w:p>
    <w:p w:rsidR="00C80ABE" w:rsidP="009304DC" w14:paraId="5E0A012D" w14:textId="77777777"/>
    <w:p w:rsidR="00C80ABE" w:rsidP="009304DC" w14:paraId="5592D37B" w14:textId="77777777"/>
    <w:p w:rsidR="00C80ABE" w:rsidP="009304DC" w14:paraId="20AC51C8" w14:textId="77777777"/>
    <w:p w:rsidR="00C80ABE" w:rsidP="009304DC" w14:paraId="1DDF7744" w14:textId="77777777"/>
    <w:p w:rsidR="00C80ABE" w:rsidP="009304DC" w14:paraId="13AB156F" w14:textId="77777777"/>
    <w:p w:rsidR="00C80ABE" w:rsidRPr="00140735" w:rsidP="009304DC" w14:paraId="3AFDDFDE" w14:textId="0FB4DAA2">
      <w:pPr>
        <w:rPr>
          <w:b/>
          <w:bCs/>
        </w:rPr>
      </w:pPr>
      <w:r>
        <w:rPr>
          <w:b/>
          <w:bCs/>
        </w:rPr>
        <w:t>Estimated Annualized Respondent Cost and Hour Burden</w:t>
      </w:r>
    </w:p>
    <w:p w:rsidR="00140735" w:rsidP="009304DC" w14:paraId="3B1CA5D5" w14:textId="77777777"/>
    <w:tbl>
      <w:tblPr>
        <w:tblW w:w="8810" w:type="dxa"/>
        <w:tblLook w:val="04A0"/>
      </w:tblPr>
      <w:tblGrid>
        <w:gridCol w:w="1070"/>
        <w:gridCol w:w="1306"/>
        <w:gridCol w:w="1127"/>
        <w:gridCol w:w="1094"/>
        <w:gridCol w:w="1017"/>
        <w:gridCol w:w="1036"/>
        <w:gridCol w:w="1080"/>
        <w:gridCol w:w="1228"/>
      </w:tblGrid>
      <w:tr w14:paraId="08403E5E" w14:textId="77777777" w:rsidTr="00C833BA">
        <w:tblPrEx>
          <w:tblW w:w="8810" w:type="dxa"/>
          <w:tblLook w:val="04A0"/>
        </w:tblPrEx>
        <w:trPr>
          <w:trHeight w:val="884"/>
        </w:trPr>
        <w:tc>
          <w:tcPr>
            <w:tcW w:w="1070" w:type="dxa"/>
            <w:tcBorders>
              <w:top w:val="single" w:sz="8" w:space="0" w:color="auto"/>
              <w:left w:val="single" w:sz="8" w:space="0" w:color="auto"/>
              <w:bottom w:val="nil"/>
              <w:right w:val="single" w:sz="8" w:space="0" w:color="auto"/>
            </w:tcBorders>
            <w:shd w:val="clear" w:color="000000" w:fill="C5D9F1"/>
            <w:vAlign w:val="center"/>
            <w:hideMark/>
          </w:tcPr>
          <w:p w:rsidR="004F38CE" w14:paraId="0D7CDADD" w14:textId="77777777">
            <w:pPr>
              <w:rPr>
                <w:color w:val="000000"/>
                <w:sz w:val="20"/>
                <w:szCs w:val="20"/>
              </w:rPr>
            </w:pPr>
            <w:r>
              <w:rPr>
                <w:color w:val="000000"/>
                <w:sz w:val="20"/>
                <w:szCs w:val="20"/>
              </w:rPr>
              <w:t> </w:t>
            </w:r>
            <w:r>
              <w:rPr>
                <w:b/>
                <w:bCs/>
                <w:color w:val="000000"/>
                <w:sz w:val="20"/>
                <w:szCs w:val="20"/>
              </w:rPr>
              <w:t xml:space="preserve">Activity </w:t>
            </w:r>
          </w:p>
        </w:tc>
        <w:tc>
          <w:tcPr>
            <w:tcW w:w="1306" w:type="dxa"/>
            <w:tcBorders>
              <w:top w:val="single" w:sz="8" w:space="0" w:color="auto"/>
              <w:left w:val="nil"/>
              <w:bottom w:val="nil"/>
              <w:right w:val="single" w:sz="8" w:space="0" w:color="auto"/>
            </w:tcBorders>
            <w:shd w:val="clear" w:color="000000" w:fill="C5D9F1"/>
            <w:vAlign w:val="center"/>
            <w:hideMark/>
          </w:tcPr>
          <w:p w:rsidR="004F38CE" w14:paraId="09E4F707" w14:textId="77777777">
            <w:pPr>
              <w:jc w:val="center"/>
              <w:rPr>
                <w:b/>
                <w:bCs/>
                <w:color w:val="000000"/>
                <w:sz w:val="20"/>
                <w:szCs w:val="20"/>
              </w:rPr>
            </w:pPr>
            <w:r>
              <w:rPr>
                <w:b/>
                <w:bCs/>
                <w:color w:val="000000"/>
                <w:sz w:val="20"/>
                <w:szCs w:val="20"/>
              </w:rPr>
              <w:t>Number of Respondents</w:t>
            </w:r>
          </w:p>
        </w:tc>
        <w:tc>
          <w:tcPr>
            <w:tcW w:w="1127" w:type="dxa"/>
            <w:tcBorders>
              <w:top w:val="single" w:sz="8" w:space="0" w:color="auto"/>
              <w:left w:val="nil"/>
              <w:bottom w:val="nil"/>
              <w:right w:val="single" w:sz="8" w:space="0" w:color="auto"/>
            </w:tcBorders>
            <w:shd w:val="clear" w:color="000000" w:fill="C5D9F1"/>
            <w:vAlign w:val="center"/>
            <w:hideMark/>
          </w:tcPr>
          <w:p w:rsidR="004F38CE" w14:paraId="2FE57780" w14:textId="77777777">
            <w:pPr>
              <w:jc w:val="center"/>
              <w:rPr>
                <w:b/>
                <w:bCs/>
                <w:color w:val="000000"/>
                <w:sz w:val="20"/>
                <w:szCs w:val="20"/>
              </w:rPr>
            </w:pPr>
            <w:r>
              <w:rPr>
                <w:b/>
                <w:bCs/>
                <w:color w:val="000000"/>
                <w:sz w:val="20"/>
                <w:szCs w:val="20"/>
              </w:rPr>
              <w:t>Frequency</w:t>
            </w:r>
          </w:p>
        </w:tc>
        <w:tc>
          <w:tcPr>
            <w:tcW w:w="1094" w:type="dxa"/>
            <w:tcBorders>
              <w:top w:val="single" w:sz="8" w:space="0" w:color="auto"/>
              <w:left w:val="nil"/>
              <w:bottom w:val="nil"/>
              <w:right w:val="single" w:sz="8" w:space="0" w:color="auto"/>
            </w:tcBorders>
            <w:shd w:val="clear" w:color="000000" w:fill="C5D9F1"/>
            <w:vAlign w:val="center"/>
            <w:hideMark/>
          </w:tcPr>
          <w:p w:rsidR="004F38CE" w14:paraId="11262692" w14:textId="77777777">
            <w:pPr>
              <w:jc w:val="center"/>
              <w:rPr>
                <w:b/>
                <w:bCs/>
                <w:color w:val="000000"/>
                <w:sz w:val="20"/>
                <w:szCs w:val="20"/>
              </w:rPr>
            </w:pPr>
            <w:r>
              <w:rPr>
                <w:b/>
                <w:bCs/>
                <w:color w:val="000000"/>
                <w:sz w:val="20"/>
                <w:szCs w:val="20"/>
              </w:rPr>
              <w:t>Total Annual Responses</w:t>
            </w:r>
          </w:p>
        </w:tc>
        <w:tc>
          <w:tcPr>
            <w:tcW w:w="1017" w:type="dxa"/>
            <w:tcBorders>
              <w:top w:val="single" w:sz="8" w:space="0" w:color="auto"/>
              <w:left w:val="nil"/>
              <w:bottom w:val="nil"/>
              <w:right w:val="single" w:sz="8" w:space="0" w:color="auto"/>
            </w:tcBorders>
            <w:shd w:val="clear" w:color="000000" w:fill="C5D9F1"/>
            <w:vAlign w:val="center"/>
            <w:hideMark/>
          </w:tcPr>
          <w:p w:rsidR="004F38CE" w14:paraId="7FA263EF" w14:textId="6044AEAF">
            <w:pPr>
              <w:jc w:val="center"/>
              <w:rPr>
                <w:b/>
                <w:bCs/>
                <w:color w:val="000000"/>
                <w:sz w:val="20"/>
                <w:szCs w:val="20"/>
              </w:rPr>
            </w:pPr>
            <w:r>
              <w:rPr>
                <w:b/>
                <w:bCs/>
                <w:color w:val="000000"/>
                <w:sz w:val="20"/>
                <w:szCs w:val="20"/>
              </w:rPr>
              <w:t>Time Per Response (</w:t>
            </w:r>
            <w:r w:rsidR="00234944">
              <w:rPr>
                <w:b/>
                <w:bCs/>
                <w:color w:val="000000"/>
                <w:sz w:val="20"/>
                <w:szCs w:val="20"/>
              </w:rPr>
              <w:t>H</w:t>
            </w:r>
            <w:r>
              <w:rPr>
                <w:b/>
                <w:bCs/>
                <w:color w:val="000000"/>
                <w:sz w:val="20"/>
                <w:szCs w:val="20"/>
              </w:rPr>
              <w:t>ours)</w:t>
            </w:r>
          </w:p>
        </w:tc>
        <w:tc>
          <w:tcPr>
            <w:tcW w:w="1036" w:type="dxa"/>
            <w:tcBorders>
              <w:top w:val="single" w:sz="8" w:space="0" w:color="auto"/>
              <w:left w:val="nil"/>
              <w:bottom w:val="nil"/>
              <w:right w:val="single" w:sz="8" w:space="0" w:color="auto"/>
            </w:tcBorders>
            <w:shd w:val="clear" w:color="000000" w:fill="C5D9F1"/>
            <w:vAlign w:val="center"/>
            <w:hideMark/>
          </w:tcPr>
          <w:p w:rsidR="004F38CE" w14:paraId="13E0D12C" w14:textId="77777777">
            <w:pPr>
              <w:jc w:val="center"/>
              <w:rPr>
                <w:b/>
                <w:bCs/>
                <w:color w:val="000000"/>
                <w:sz w:val="20"/>
                <w:szCs w:val="20"/>
              </w:rPr>
            </w:pPr>
            <w:r>
              <w:rPr>
                <w:b/>
                <w:bCs/>
                <w:color w:val="000000"/>
                <w:sz w:val="20"/>
                <w:szCs w:val="20"/>
              </w:rPr>
              <w:t>Total Annual Burden (Hours)</w:t>
            </w:r>
          </w:p>
        </w:tc>
        <w:tc>
          <w:tcPr>
            <w:tcW w:w="1080" w:type="dxa"/>
            <w:tcBorders>
              <w:top w:val="single" w:sz="8" w:space="0" w:color="auto"/>
              <w:left w:val="nil"/>
              <w:bottom w:val="nil"/>
              <w:right w:val="single" w:sz="8" w:space="0" w:color="auto"/>
            </w:tcBorders>
            <w:shd w:val="clear" w:color="000000" w:fill="C5D9F1"/>
            <w:vAlign w:val="center"/>
            <w:hideMark/>
          </w:tcPr>
          <w:p w:rsidR="004F38CE" w14:paraId="32C53683" w14:textId="77777777">
            <w:pPr>
              <w:jc w:val="center"/>
              <w:rPr>
                <w:b/>
                <w:bCs/>
                <w:color w:val="000000"/>
                <w:sz w:val="20"/>
                <w:szCs w:val="20"/>
              </w:rPr>
            </w:pPr>
            <w:r>
              <w:rPr>
                <w:b/>
                <w:bCs/>
                <w:color w:val="000000"/>
                <w:sz w:val="20"/>
                <w:szCs w:val="20"/>
              </w:rPr>
              <w:t>Hourly Rate*</w:t>
            </w:r>
          </w:p>
        </w:tc>
        <w:tc>
          <w:tcPr>
            <w:tcW w:w="1080" w:type="dxa"/>
            <w:tcBorders>
              <w:top w:val="single" w:sz="8" w:space="0" w:color="auto"/>
              <w:left w:val="nil"/>
              <w:bottom w:val="nil"/>
              <w:right w:val="single" w:sz="8" w:space="0" w:color="auto"/>
            </w:tcBorders>
            <w:shd w:val="clear" w:color="000000" w:fill="C5D9F1"/>
            <w:vAlign w:val="center"/>
            <w:hideMark/>
          </w:tcPr>
          <w:p w:rsidR="004F38CE" w14:paraId="52C91BE7" w14:textId="77777777">
            <w:pPr>
              <w:jc w:val="center"/>
              <w:rPr>
                <w:b/>
                <w:bCs/>
                <w:color w:val="000000"/>
                <w:sz w:val="20"/>
                <w:szCs w:val="20"/>
              </w:rPr>
            </w:pPr>
            <w:r>
              <w:rPr>
                <w:b/>
                <w:bCs/>
                <w:color w:val="000000"/>
                <w:sz w:val="20"/>
                <w:szCs w:val="20"/>
              </w:rPr>
              <w:t xml:space="preserve"> Monetized Value of Respondent Time </w:t>
            </w:r>
          </w:p>
        </w:tc>
      </w:tr>
      <w:tr w14:paraId="7D309C3A" w14:textId="77777777" w:rsidTr="00C833BA">
        <w:tblPrEx>
          <w:tblW w:w="8810" w:type="dxa"/>
          <w:tblLook w:val="04A0"/>
        </w:tblPrEx>
        <w:trPr>
          <w:trHeight w:val="610"/>
        </w:trPr>
        <w:tc>
          <w:tcPr>
            <w:tcW w:w="1070" w:type="dxa"/>
            <w:tcBorders>
              <w:top w:val="single" w:sz="8" w:space="0" w:color="auto"/>
              <w:left w:val="single" w:sz="8" w:space="0" w:color="auto"/>
              <w:bottom w:val="single" w:sz="8" w:space="0" w:color="auto"/>
              <w:right w:val="single" w:sz="8" w:space="0" w:color="auto"/>
            </w:tcBorders>
            <w:vAlign w:val="bottom"/>
            <w:hideMark/>
          </w:tcPr>
          <w:p w:rsidR="004F38CE" w:rsidRPr="00C833BA" w14:paraId="23A560A3" w14:textId="77777777">
            <w:pPr>
              <w:rPr>
                <w:i/>
                <w:color w:val="000000"/>
                <w:sz w:val="20"/>
                <w:szCs w:val="20"/>
              </w:rPr>
            </w:pPr>
            <w:r w:rsidRPr="00C833BA">
              <w:rPr>
                <w:i/>
                <w:color w:val="000000"/>
                <w:sz w:val="20"/>
                <w:szCs w:val="20"/>
              </w:rPr>
              <w:t>DEA 363</w:t>
            </w:r>
          </w:p>
        </w:tc>
        <w:tc>
          <w:tcPr>
            <w:tcW w:w="1306" w:type="dxa"/>
            <w:tcBorders>
              <w:top w:val="single" w:sz="8" w:space="0" w:color="auto"/>
              <w:left w:val="nil"/>
              <w:bottom w:val="single" w:sz="8" w:space="0" w:color="auto"/>
              <w:right w:val="single" w:sz="8" w:space="0" w:color="auto"/>
            </w:tcBorders>
            <w:noWrap/>
            <w:vAlign w:val="bottom"/>
            <w:hideMark/>
          </w:tcPr>
          <w:p w:rsidR="004F38CE" w:rsidRPr="00C833BA" w:rsidP="004F38CE" w14:paraId="1A790171" w14:textId="1B14E550">
            <w:pPr>
              <w:jc w:val="right"/>
              <w:rPr>
                <w:color w:val="000000"/>
                <w:sz w:val="20"/>
                <w:szCs w:val="20"/>
              </w:rPr>
            </w:pPr>
            <w:r w:rsidRPr="00C833BA">
              <w:rPr>
                <w:color w:val="000000"/>
                <w:sz w:val="20"/>
                <w:szCs w:val="20"/>
              </w:rPr>
              <w:t>517</w:t>
            </w:r>
          </w:p>
        </w:tc>
        <w:tc>
          <w:tcPr>
            <w:tcW w:w="1127" w:type="dxa"/>
            <w:tcBorders>
              <w:top w:val="single" w:sz="8" w:space="0" w:color="auto"/>
              <w:left w:val="nil"/>
              <w:bottom w:val="single" w:sz="8" w:space="0" w:color="auto"/>
              <w:right w:val="nil"/>
            </w:tcBorders>
            <w:noWrap/>
            <w:vAlign w:val="bottom"/>
            <w:hideMark/>
          </w:tcPr>
          <w:p w:rsidR="004F38CE" w:rsidRPr="00C833BA" w:rsidP="004F38CE" w14:paraId="2F3916AE" w14:textId="77777777">
            <w:pPr>
              <w:jc w:val="right"/>
              <w:rPr>
                <w:color w:val="000000"/>
                <w:sz w:val="20"/>
                <w:szCs w:val="20"/>
              </w:rPr>
            </w:pPr>
            <w:r w:rsidRPr="00C833BA">
              <w:rPr>
                <w:color w:val="000000"/>
                <w:sz w:val="20"/>
                <w:szCs w:val="20"/>
              </w:rPr>
              <w:t>1</w:t>
            </w:r>
          </w:p>
        </w:tc>
        <w:tc>
          <w:tcPr>
            <w:tcW w:w="1094" w:type="dxa"/>
            <w:tcBorders>
              <w:top w:val="single" w:sz="8" w:space="0" w:color="auto"/>
              <w:left w:val="single" w:sz="8" w:space="0" w:color="auto"/>
              <w:bottom w:val="single" w:sz="8" w:space="0" w:color="auto"/>
              <w:right w:val="single" w:sz="8" w:space="0" w:color="auto"/>
            </w:tcBorders>
            <w:noWrap/>
            <w:vAlign w:val="bottom"/>
            <w:hideMark/>
          </w:tcPr>
          <w:p w:rsidR="004F38CE" w:rsidRPr="00C833BA" w:rsidP="004F38CE" w14:paraId="3C27E7C1" w14:textId="288CDE7D">
            <w:pPr>
              <w:jc w:val="right"/>
              <w:rPr>
                <w:color w:val="000000"/>
                <w:sz w:val="20"/>
                <w:szCs w:val="20"/>
              </w:rPr>
            </w:pPr>
            <w:r w:rsidRPr="00C833BA">
              <w:rPr>
                <w:color w:val="000000"/>
                <w:sz w:val="20"/>
                <w:szCs w:val="20"/>
              </w:rPr>
              <w:t>517</w:t>
            </w:r>
          </w:p>
        </w:tc>
        <w:tc>
          <w:tcPr>
            <w:tcW w:w="1017" w:type="dxa"/>
            <w:tcBorders>
              <w:top w:val="single" w:sz="8" w:space="0" w:color="auto"/>
              <w:left w:val="nil"/>
              <w:bottom w:val="single" w:sz="8" w:space="0" w:color="auto"/>
              <w:right w:val="nil"/>
            </w:tcBorders>
            <w:noWrap/>
            <w:vAlign w:val="bottom"/>
            <w:hideMark/>
          </w:tcPr>
          <w:p w:rsidR="004F38CE" w:rsidRPr="00C833BA" w:rsidP="004F38CE" w14:paraId="61F2A915" w14:textId="1037DF70">
            <w:pPr>
              <w:jc w:val="right"/>
              <w:rPr>
                <w:color w:val="000000"/>
                <w:sz w:val="20"/>
                <w:szCs w:val="20"/>
              </w:rPr>
            </w:pPr>
            <w:r w:rsidRPr="00C833BA">
              <w:rPr>
                <w:color w:val="000000"/>
                <w:sz w:val="20"/>
                <w:szCs w:val="20"/>
              </w:rPr>
              <w:t>0.33</w:t>
            </w:r>
            <w:r w:rsidRPr="00C833BA" w:rsidR="00140735">
              <w:rPr>
                <w:color w:val="000000"/>
                <w:sz w:val="20"/>
                <w:szCs w:val="20"/>
              </w:rPr>
              <w:t xml:space="preserve"> (20 minutes)</w:t>
            </w:r>
          </w:p>
        </w:tc>
        <w:tc>
          <w:tcPr>
            <w:tcW w:w="1036" w:type="dxa"/>
            <w:tcBorders>
              <w:top w:val="single" w:sz="8" w:space="0" w:color="auto"/>
              <w:left w:val="single" w:sz="8" w:space="0" w:color="auto"/>
              <w:bottom w:val="single" w:sz="8" w:space="0" w:color="auto"/>
              <w:right w:val="single" w:sz="8" w:space="0" w:color="auto"/>
            </w:tcBorders>
            <w:noWrap/>
            <w:vAlign w:val="bottom"/>
            <w:hideMark/>
          </w:tcPr>
          <w:p w:rsidR="004F38CE" w:rsidRPr="00C833BA" w:rsidP="004F38CE" w14:paraId="354D7FE5" w14:textId="77777777">
            <w:pPr>
              <w:jc w:val="right"/>
              <w:rPr>
                <w:color w:val="000000"/>
                <w:sz w:val="20"/>
                <w:szCs w:val="20"/>
              </w:rPr>
            </w:pPr>
            <w:r w:rsidRPr="00C833BA">
              <w:rPr>
                <w:color w:val="000000"/>
                <w:sz w:val="20"/>
                <w:szCs w:val="20"/>
              </w:rPr>
              <w:t>171</w:t>
            </w:r>
          </w:p>
        </w:tc>
        <w:tc>
          <w:tcPr>
            <w:tcW w:w="1080" w:type="dxa"/>
            <w:tcBorders>
              <w:top w:val="single" w:sz="8" w:space="0" w:color="auto"/>
              <w:left w:val="nil"/>
              <w:bottom w:val="single" w:sz="8" w:space="0" w:color="auto"/>
              <w:right w:val="nil"/>
            </w:tcBorders>
            <w:noWrap/>
            <w:vAlign w:val="bottom"/>
            <w:hideMark/>
          </w:tcPr>
          <w:p w:rsidR="004F38CE" w:rsidRPr="00C833BA" w:rsidP="004F38CE" w14:paraId="793031EE" w14:textId="413FC24B">
            <w:pPr>
              <w:jc w:val="right"/>
              <w:rPr>
                <w:color w:val="000000"/>
                <w:sz w:val="20"/>
                <w:szCs w:val="20"/>
              </w:rPr>
            </w:pPr>
            <w:r w:rsidRPr="00C833BA">
              <w:rPr>
                <w:color w:val="000000"/>
                <w:sz w:val="20"/>
                <w:szCs w:val="20"/>
              </w:rPr>
              <w:t>$70.39</w:t>
            </w:r>
          </w:p>
        </w:tc>
        <w:tc>
          <w:tcPr>
            <w:tcW w:w="1080" w:type="dxa"/>
            <w:tcBorders>
              <w:top w:val="single" w:sz="8" w:space="0" w:color="auto"/>
              <w:left w:val="single" w:sz="8" w:space="0" w:color="auto"/>
              <w:bottom w:val="single" w:sz="8" w:space="0" w:color="auto"/>
              <w:right w:val="single" w:sz="8" w:space="0" w:color="auto"/>
            </w:tcBorders>
            <w:noWrap/>
            <w:vAlign w:val="bottom"/>
            <w:hideMark/>
          </w:tcPr>
          <w:p w:rsidR="004F38CE" w:rsidRPr="00C833BA" w:rsidP="004F38CE" w14:paraId="48F86B13" w14:textId="0791B3FC">
            <w:pPr>
              <w:jc w:val="right"/>
              <w:rPr>
                <w:color w:val="000000"/>
                <w:sz w:val="20"/>
                <w:szCs w:val="20"/>
              </w:rPr>
            </w:pPr>
            <w:r w:rsidRPr="00C833BA">
              <w:rPr>
                <w:color w:val="000000"/>
                <w:sz w:val="20"/>
                <w:szCs w:val="20"/>
              </w:rPr>
              <w:t>$     12,037</w:t>
            </w:r>
          </w:p>
        </w:tc>
      </w:tr>
      <w:tr w14:paraId="375B7ADB" w14:textId="77777777" w:rsidTr="00C833BA">
        <w:tblPrEx>
          <w:tblW w:w="8810" w:type="dxa"/>
          <w:tblLook w:val="04A0"/>
        </w:tblPrEx>
        <w:trPr>
          <w:trHeight w:val="448"/>
        </w:trPr>
        <w:tc>
          <w:tcPr>
            <w:tcW w:w="1070" w:type="dxa"/>
            <w:tcBorders>
              <w:top w:val="nil"/>
              <w:left w:val="single" w:sz="8" w:space="0" w:color="auto"/>
              <w:bottom w:val="single" w:sz="8" w:space="0" w:color="auto"/>
              <w:right w:val="single" w:sz="8" w:space="0" w:color="auto"/>
            </w:tcBorders>
            <w:noWrap/>
            <w:vAlign w:val="bottom"/>
            <w:hideMark/>
          </w:tcPr>
          <w:p w:rsidR="004F38CE" w:rsidRPr="00C833BA" w14:paraId="4CE66597" w14:textId="77777777">
            <w:pPr>
              <w:rPr>
                <w:i/>
                <w:color w:val="000000"/>
                <w:sz w:val="20"/>
                <w:szCs w:val="20"/>
              </w:rPr>
            </w:pPr>
            <w:r w:rsidRPr="00C833BA">
              <w:rPr>
                <w:i/>
                <w:color w:val="000000"/>
                <w:sz w:val="20"/>
                <w:szCs w:val="20"/>
              </w:rPr>
              <w:t>DEA 363a</w:t>
            </w:r>
          </w:p>
        </w:tc>
        <w:tc>
          <w:tcPr>
            <w:tcW w:w="1306" w:type="dxa"/>
            <w:tcBorders>
              <w:top w:val="nil"/>
              <w:left w:val="nil"/>
              <w:bottom w:val="single" w:sz="8" w:space="0" w:color="auto"/>
              <w:right w:val="single" w:sz="8" w:space="0" w:color="auto"/>
            </w:tcBorders>
            <w:noWrap/>
            <w:vAlign w:val="bottom"/>
            <w:hideMark/>
          </w:tcPr>
          <w:p w:rsidR="004F38CE" w:rsidRPr="00C833BA" w:rsidP="004F38CE" w14:paraId="3DD429E6" w14:textId="77777777">
            <w:pPr>
              <w:jc w:val="right"/>
              <w:rPr>
                <w:color w:val="000000"/>
                <w:sz w:val="20"/>
                <w:szCs w:val="20"/>
              </w:rPr>
            </w:pPr>
            <w:r w:rsidRPr="00C833BA">
              <w:rPr>
                <w:color w:val="000000"/>
                <w:sz w:val="20"/>
                <w:szCs w:val="20"/>
              </w:rPr>
              <w:t>1336</w:t>
            </w:r>
          </w:p>
        </w:tc>
        <w:tc>
          <w:tcPr>
            <w:tcW w:w="1127" w:type="dxa"/>
            <w:tcBorders>
              <w:top w:val="nil"/>
              <w:left w:val="nil"/>
              <w:bottom w:val="single" w:sz="8" w:space="0" w:color="auto"/>
              <w:right w:val="nil"/>
            </w:tcBorders>
            <w:noWrap/>
            <w:vAlign w:val="bottom"/>
            <w:hideMark/>
          </w:tcPr>
          <w:p w:rsidR="004F38CE" w:rsidRPr="00C833BA" w:rsidP="004F38CE" w14:paraId="0F582071" w14:textId="77777777">
            <w:pPr>
              <w:jc w:val="right"/>
              <w:rPr>
                <w:color w:val="000000"/>
                <w:sz w:val="20"/>
                <w:szCs w:val="20"/>
              </w:rPr>
            </w:pPr>
            <w:r w:rsidRPr="00C833BA">
              <w:rPr>
                <w:color w:val="000000"/>
                <w:sz w:val="20"/>
                <w:szCs w:val="20"/>
              </w:rPr>
              <w:t>1</w:t>
            </w:r>
          </w:p>
        </w:tc>
        <w:tc>
          <w:tcPr>
            <w:tcW w:w="1094" w:type="dxa"/>
            <w:tcBorders>
              <w:top w:val="nil"/>
              <w:left w:val="single" w:sz="8" w:space="0" w:color="auto"/>
              <w:bottom w:val="single" w:sz="8" w:space="0" w:color="auto"/>
              <w:right w:val="single" w:sz="8" w:space="0" w:color="auto"/>
            </w:tcBorders>
            <w:noWrap/>
            <w:vAlign w:val="bottom"/>
            <w:hideMark/>
          </w:tcPr>
          <w:p w:rsidR="004F38CE" w:rsidRPr="00C833BA" w:rsidP="004F38CE" w14:paraId="42E15842" w14:textId="07017BBB">
            <w:pPr>
              <w:jc w:val="right"/>
              <w:rPr>
                <w:color w:val="000000"/>
                <w:sz w:val="20"/>
                <w:szCs w:val="20"/>
              </w:rPr>
            </w:pPr>
            <w:r w:rsidRPr="00C833BA">
              <w:rPr>
                <w:color w:val="000000"/>
                <w:sz w:val="20"/>
                <w:szCs w:val="20"/>
              </w:rPr>
              <w:t>1,336</w:t>
            </w:r>
          </w:p>
        </w:tc>
        <w:tc>
          <w:tcPr>
            <w:tcW w:w="1017" w:type="dxa"/>
            <w:tcBorders>
              <w:top w:val="nil"/>
              <w:left w:val="nil"/>
              <w:bottom w:val="single" w:sz="8" w:space="0" w:color="auto"/>
              <w:right w:val="nil"/>
            </w:tcBorders>
            <w:noWrap/>
            <w:vAlign w:val="bottom"/>
            <w:hideMark/>
          </w:tcPr>
          <w:p w:rsidR="004F38CE" w:rsidRPr="00C833BA" w:rsidP="004F38CE" w14:paraId="5A03A136" w14:textId="35C9A70D">
            <w:pPr>
              <w:jc w:val="right"/>
              <w:rPr>
                <w:color w:val="000000"/>
                <w:sz w:val="20"/>
                <w:szCs w:val="20"/>
              </w:rPr>
            </w:pPr>
            <w:r w:rsidRPr="00C833BA">
              <w:rPr>
                <w:color w:val="000000"/>
                <w:sz w:val="20"/>
                <w:szCs w:val="20"/>
              </w:rPr>
              <w:t>0.17</w:t>
            </w:r>
            <w:r w:rsidRPr="00C833BA" w:rsidR="00140735">
              <w:rPr>
                <w:color w:val="000000"/>
                <w:sz w:val="20"/>
                <w:szCs w:val="20"/>
              </w:rPr>
              <w:t xml:space="preserve"> (10 minutes)</w:t>
            </w:r>
          </w:p>
        </w:tc>
        <w:tc>
          <w:tcPr>
            <w:tcW w:w="1036" w:type="dxa"/>
            <w:tcBorders>
              <w:top w:val="nil"/>
              <w:left w:val="single" w:sz="8" w:space="0" w:color="auto"/>
              <w:bottom w:val="single" w:sz="8" w:space="0" w:color="auto"/>
              <w:right w:val="single" w:sz="8" w:space="0" w:color="auto"/>
            </w:tcBorders>
            <w:noWrap/>
            <w:vAlign w:val="bottom"/>
            <w:hideMark/>
          </w:tcPr>
          <w:p w:rsidR="004F38CE" w:rsidRPr="00C833BA" w:rsidP="004F38CE" w14:paraId="584C6829" w14:textId="77777777">
            <w:pPr>
              <w:jc w:val="right"/>
              <w:rPr>
                <w:color w:val="000000"/>
                <w:sz w:val="20"/>
                <w:szCs w:val="20"/>
              </w:rPr>
            </w:pPr>
            <w:r w:rsidRPr="00C833BA">
              <w:rPr>
                <w:color w:val="000000"/>
                <w:sz w:val="20"/>
                <w:szCs w:val="20"/>
              </w:rPr>
              <w:t>227</w:t>
            </w:r>
          </w:p>
        </w:tc>
        <w:tc>
          <w:tcPr>
            <w:tcW w:w="1080" w:type="dxa"/>
            <w:tcBorders>
              <w:top w:val="nil"/>
              <w:left w:val="nil"/>
              <w:bottom w:val="single" w:sz="8" w:space="0" w:color="auto"/>
              <w:right w:val="nil"/>
            </w:tcBorders>
            <w:noWrap/>
            <w:vAlign w:val="bottom"/>
            <w:hideMark/>
          </w:tcPr>
          <w:p w:rsidR="004F38CE" w:rsidRPr="00C833BA" w:rsidP="004F38CE" w14:paraId="0644DB0B" w14:textId="2B75E15E">
            <w:pPr>
              <w:jc w:val="right"/>
              <w:rPr>
                <w:color w:val="000000"/>
                <w:sz w:val="20"/>
                <w:szCs w:val="20"/>
              </w:rPr>
            </w:pPr>
            <w:r w:rsidRPr="00C833BA">
              <w:rPr>
                <w:color w:val="000000"/>
                <w:sz w:val="20"/>
                <w:szCs w:val="20"/>
              </w:rPr>
              <w:t>$70.39</w:t>
            </w:r>
          </w:p>
        </w:tc>
        <w:tc>
          <w:tcPr>
            <w:tcW w:w="1080" w:type="dxa"/>
            <w:tcBorders>
              <w:top w:val="nil"/>
              <w:left w:val="single" w:sz="8" w:space="0" w:color="auto"/>
              <w:bottom w:val="single" w:sz="8" w:space="0" w:color="auto"/>
              <w:right w:val="single" w:sz="8" w:space="0" w:color="auto"/>
            </w:tcBorders>
            <w:noWrap/>
            <w:vAlign w:val="bottom"/>
            <w:hideMark/>
          </w:tcPr>
          <w:p w:rsidR="004F38CE" w:rsidRPr="00C833BA" w:rsidP="004F38CE" w14:paraId="1A93E8ED" w14:textId="5340F960">
            <w:pPr>
              <w:jc w:val="right"/>
              <w:rPr>
                <w:color w:val="000000"/>
                <w:sz w:val="20"/>
                <w:szCs w:val="20"/>
              </w:rPr>
            </w:pPr>
            <w:r w:rsidRPr="00C833BA">
              <w:rPr>
                <w:color w:val="000000"/>
                <w:sz w:val="20"/>
                <w:szCs w:val="20"/>
              </w:rPr>
              <w:t>$     15,979</w:t>
            </w:r>
          </w:p>
        </w:tc>
      </w:tr>
      <w:tr w14:paraId="1B049581" w14:textId="77777777" w:rsidTr="00C833BA">
        <w:tblPrEx>
          <w:tblW w:w="8810" w:type="dxa"/>
          <w:tblLook w:val="04A0"/>
        </w:tblPrEx>
        <w:trPr>
          <w:trHeight w:val="448"/>
        </w:trPr>
        <w:tc>
          <w:tcPr>
            <w:tcW w:w="1070" w:type="dxa"/>
            <w:tcBorders>
              <w:top w:val="nil"/>
              <w:left w:val="single" w:sz="8" w:space="0" w:color="auto"/>
              <w:bottom w:val="single" w:sz="8" w:space="0" w:color="auto"/>
              <w:right w:val="single" w:sz="8" w:space="0" w:color="auto"/>
            </w:tcBorders>
            <w:shd w:val="clear" w:color="000000" w:fill="C5D9F1"/>
            <w:vAlign w:val="center"/>
            <w:hideMark/>
          </w:tcPr>
          <w:p w:rsidR="004F38CE" w14:paraId="4B84E439" w14:textId="77777777">
            <w:pPr>
              <w:rPr>
                <w:b/>
                <w:bCs/>
                <w:color w:val="000000"/>
                <w:sz w:val="20"/>
                <w:szCs w:val="20"/>
              </w:rPr>
            </w:pPr>
            <w:r>
              <w:rPr>
                <w:b/>
                <w:bCs/>
                <w:color w:val="000000"/>
                <w:sz w:val="20"/>
                <w:szCs w:val="20"/>
              </w:rPr>
              <w:t>Total</w:t>
            </w:r>
          </w:p>
        </w:tc>
        <w:tc>
          <w:tcPr>
            <w:tcW w:w="1306" w:type="dxa"/>
            <w:tcBorders>
              <w:top w:val="nil"/>
              <w:left w:val="nil"/>
              <w:bottom w:val="single" w:sz="8" w:space="0" w:color="auto"/>
              <w:right w:val="single" w:sz="8" w:space="0" w:color="auto"/>
            </w:tcBorders>
            <w:shd w:val="clear" w:color="000000" w:fill="C5D9F1"/>
            <w:vAlign w:val="center"/>
            <w:hideMark/>
          </w:tcPr>
          <w:p w:rsidR="004F38CE" w:rsidP="004F38CE" w14:paraId="44342F2E" w14:textId="1AB99792">
            <w:pPr>
              <w:jc w:val="right"/>
              <w:rPr>
                <w:b/>
                <w:bCs/>
                <w:color w:val="000000"/>
                <w:sz w:val="20"/>
                <w:szCs w:val="20"/>
              </w:rPr>
            </w:pPr>
            <w:r>
              <w:rPr>
                <w:b/>
                <w:bCs/>
                <w:color w:val="000000"/>
                <w:sz w:val="20"/>
                <w:szCs w:val="20"/>
              </w:rPr>
              <w:t>1,853</w:t>
            </w:r>
          </w:p>
        </w:tc>
        <w:tc>
          <w:tcPr>
            <w:tcW w:w="1127" w:type="dxa"/>
            <w:tcBorders>
              <w:top w:val="nil"/>
              <w:left w:val="nil"/>
              <w:bottom w:val="single" w:sz="8" w:space="0" w:color="auto"/>
              <w:right w:val="single" w:sz="8" w:space="0" w:color="auto"/>
            </w:tcBorders>
            <w:shd w:val="clear" w:color="000000" w:fill="C5D9F1"/>
            <w:vAlign w:val="center"/>
            <w:hideMark/>
          </w:tcPr>
          <w:p w:rsidR="004F38CE" w:rsidP="004F38CE" w14:paraId="2102D4B3" w14:textId="77777777">
            <w:pPr>
              <w:jc w:val="right"/>
              <w:rPr>
                <w:b/>
                <w:bCs/>
                <w:color w:val="000000"/>
                <w:sz w:val="20"/>
                <w:szCs w:val="20"/>
              </w:rPr>
            </w:pPr>
            <w:r>
              <w:rPr>
                <w:b/>
                <w:bCs/>
                <w:color w:val="000000"/>
                <w:sz w:val="20"/>
                <w:szCs w:val="20"/>
              </w:rPr>
              <w:t>1</w:t>
            </w:r>
          </w:p>
        </w:tc>
        <w:tc>
          <w:tcPr>
            <w:tcW w:w="1094" w:type="dxa"/>
            <w:tcBorders>
              <w:top w:val="nil"/>
              <w:left w:val="nil"/>
              <w:bottom w:val="single" w:sz="8" w:space="0" w:color="auto"/>
              <w:right w:val="single" w:sz="8" w:space="0" w:color="auto"/>
            </w:tcBorders>
            <w:shd w:val="clear" w:color="000000" w:fill="C5D9F1"/>
            <w:vAlign w:val="center"/>
            <w:hideMark/>
          </w:tcPr>
          <w:p w:rsidR="004F38CE" w:rsidP="004F38CE" w14:paraId="04A69A77" w14:textId="439B5873">
            <w:pPr>
              <w:jc w:val="right"/>
              <w:rPr>
                <w:b/>
                <w:bCs/>
                <w:color w:val="000000"/>
                <w:sz w:val="20"/>
                <w:szCs w:val="20"/>
              </w:rPr>
            </w:pPr>
            <w:r>
              <w:rPr>
                <w:b/>
                <w:bCs/>
                <w:color w:val="000000"/>
                <w:sz w:val="20"/>
                <w:szCs w:val="20"/>
              </w:rPr>
              <w:t>1,853</w:t>
            </w:r>
          </w:p>
        </w:tc>
        <w:tc>
          <w:tcPr>
            <w:tcW w:w="1017" w:type="dxa"/>
            <w:tcBorders>
              <w:top w:val="nil"/>
              <w:left w:val="nil"/>
              <w:bottom w:val="single" w:sz="8" w:space="0" w:color="auto"/>
              <w:right w:val="nil"/>
            </w:tcBorders>
            <w:shd w:val="clear" w:color="000000" w:fill="C5D9F1"/>
            <w:vAlign w:val="center"/>
            <w:hideMark/>
          </w:tcPr>
          <w:p w:rsidR="004F38CE" w:rsidP="004F38CE" w14:paraId="06808CFE" w14:textId="77777777">
            <w:pPr>
              <w:jc w:val="right"/>
              <w:rPr>
                <w:b/>
                <w:bCs/>
                <w:color w:val="000000"/>
                <w:sz w:val="20"/>
                <w:szCs w:val="20"/>
              </w:rPr>
            </w:pPr>
            <w:r>
              <w:rPr>
                <w:b/>
                <w:bCs/>
                <w:color w:val="000000"/>
                <w:sz w:val="20"/>
                <w:szCs w:val="20"/>
              </w:rPr>
              <w:t>0.215</w:t>
            </w:r>
          </w:p>
        </w:tc>
        <w:tc>
          <w:tcPr>
            <w:tcW w:w="1036" w:type="dxa"/>
            <w:tcBorders>
              <w:top w:val="nil"/>
              <w:left w:val="single" w:sz="8" w:space="0" w:color="auto"/>
              <w:bottom w:val="single" w:sz="8" w:space="0" w:color="auto"/>
              <w:right w:val="single" w:sz="8" w:space="0" w:color="auto"/>
            </w:tcBorders>
            <w:shd w:val="clear" w:color="000000" w:fill="C5D9F1"/>
            <w:vAlign w:val="center"/>
            <w:hideMark/>
          </w:tcPr>
          <w:p w:rsidR="004F38CE" w:rsidP="004F38CE" w14:paraId="0CADA3E0" w14:textId="77777777">
            <w:pPr>
              <w:jc w:val="right"/>
              <w:rPr>
                <w:b/>
                <w:bCs/>
                <w:color w:val="000000"/>
                <w:sz w:val="20"/>
                <w:szCs w:val="20"/>
              </w:rPr>
            </w:pPr>
            <w:r>
              <w:rPr>
                <w:b/>
                <w:bCs/>
                <w:color w:val="000000"/>
                <w:sz w:val="20"/>
                <w:szCs w:val="20"/>
              </w:rPr>
              <w:t>398</w:t>
            </w:r>
          </w:p>
        </w:tc>
        <w:tc>
          <w:tcPr>
            <w:tcW w:w="1080" w:type="dxa"/>
            <w:tcBorders>
              <w:top w:val="nil"/>
              <w:left w:val="nil"/>
              <w:bottom w:val="single" w:sz="8" w:space="0" w:color="auto"/>
              <w:right w:val="nil"/>
            </w:tcBorders>
            <w:shd w:val="clear" w:color="000000" w:fill="C5D9F1"/>
            <w:vAlign w:val="center"/>
            <w:hideMark/>
          </w:tcPr>
          <w:p w:rsidR="004F38CE" w:rsidP="004F38CE" w14:paraId="7C74734E" w14:textId="7B4C9315">
            <w:pPr>
              <w:jc w:val="right"/>
              <w:rPr>
                <w:b/>
                <w:bCs/>
                <w:color w:val="000000"/>
                <w:sz w:val="20"/>
                <w:szCs w:val="20"/>
              </w:rPr>
            </w:pPr>
            <w:r>
              <w:rPr>
                <w:b/>
                <w:bCs/>
                <w:color w:val="000000"/>
                <w:sz w:val="20"/>
                <w:szCs w:val="20"/>
              </w:rPr>
              <w:t>$ 70.39</w:t>
            </w:r>
          </w:p>
        </w:tc>
        <w:tc>
          <w:tcPr>
            <w:tcW w:w="1080" w:type="dxa"/>
            <w:tcBorders>
              <w:top w:val="nil"/>
              <w:left w:val="single" w:sz="8" w:space="0" w:color="auto"/>
              <w:bottom w:val="single" w:sz="8" w:space="0" w:color="auto"/>
              <w:right w:val="single" w:sz="8" w:space="0" w:color="auto"/>
            </w:tcBorders>
            <w:shd w:val="clear" w:color="000000" w:fill="C5D9F1"/>
            <w:vAlign w:val="center"/>
            <w:hideMark/>
          </w:tcPr>
          <w:p w:rsidR="004F38CE" w:rsidP="004F38CE" w14:paraId="1A787A9D" w14:textId="3AEA443B">
            <w:pPr>
              <w:jc w:val="right"/>
              <w:rPr>
                <w:b/>
                <w:bCs/>
                <w:color w:val="000000"/>
                <w:sz w:val="20"/>
                <w:szCs w:val="20"/>
              </w:rPr>
            </w:pPr>
            <w:r>
              <w:rPr>
                <w:b/>
                <w:bCs/>
                <w:color w:val="000000"/>
                <w:sz w:val="20"/>
                <w:szCs w:val="20"/>
              </w:rPr>
              <w:t>$       28,016</w:t>
            </w:r>
          </w:p>
        </w:tc>
      </w:tr>
    </w:tbl>
    <w:p w:rsidR="00C80ABE" w:rsidP="009304DC" w14:paraId="5D4BD0A4" w14:textId="77777777"/>
    <w:tbl>
      <w:tblPr>
        <w:tblW w:w="6140" w:type="dxa"/>
        <w:tblLook w:val="04A0"/>
      </w:tblPr>
      <w:tblGrid>
        <w:gridCol w:w="1420"/>
        <w:gridCol w:w="3890"/>
        <w:gridCol w:w="891"/>
      </w:tblGrid>
      <w:tr w14:paraId="29E65200" w14:textId="77777777" w:rsidTr="004F38CE">
        <w:tblPrEx>
          <w:tblW w:w="6140" w:type="dxa"/>
          <w:tblLook w:val="04A0"/>
        </w:tblPrEx>
        <w:trPr>
          <w:trHeight w:val="600"/>
        </w:trPr>
        <w:tc>
          <w:tcPr>
            <w:tcW w:w="1420" w:type="dxa"/>
            <w:tcBorders>
              <w:top w:val="nil"/>
              <w:left w:val="nil"/>
              <w:bottom w:val="nil"/>
              <w:right w:val="nil"/>
            </w:tcBorders>
            <w:noWrap/>
            <w:vAlign w:val="bottom"/>
            <w:hideMark/>
          </w:tcPr>
          <w:p w:rsidR="004F38CE" w14:paraId="07841B00" w14:textId="7875126A">
            <w:pPr>
              <w:rPr>
                <w:color w:val="000000"/>
                <w:sz w:val="22"/>
                <w:szCs w:val="22"/>
              </w:rPr>
            </w:pPr>
            <w:r>
              <w:rPr>
                <w:color w:val="000000"/>
                <w:sz w:val="22"/>
                <w:szCs w:val="22"/>
              </w:rPr>
              <w:t>*</w:t>
            </w:r>
            <w:r>
              <w:rPr>
                <w:color w:val="000000"/>
                <w:sz w:val="22"/>
                <w:szCs w:val="22"/>
              </w:rPr>
              <w:t>Hourly Rate</w:t>
            </w:r>
          </w:p>
        </w:tc>
        <w:tc>
          <w:tcPr>
            <w:tcW w:w="3890" w:type="dxa"/>
            <w:tcBorders>
              <w:top w:val="nil"/>
              <w:left w:val="nil"/>
              <w:bottom w:val="nil"/>
              <w:right w:val="nil"/>
            </w:tcBorders>
            <w:noWrap/>
            <w:vAlign w:val="bottom"/>
            <w:hideMark/>
          </w:tcPr>
          <w:p w:rsidR="004F38CE" w14:paraId="720C7C2E" w14:textId="77777777">
            <w:pPr>
              <w:rPr>
                <w:color w:val="000000"/>
                <w:sz w:val="22"/>
                <w:szCs w:val="22"/>
              </w:rPr>
            </w:pPr>
          </w:p>
        </w:tc>
        <w:tc>
          <w:tcPr>
            <w:tcW w:w="830" w:type="dxa"/>
            <w:tcBorders>
              <w:top w:val="nil"/>
              <w:left w:val="nil"/>
              <w:bottom w:val="nil"/>
              <w:right w:val="nil"/>
            </w:tcBorders>
            <w:noWrap/>
            <w:vAlign w:val="bottom"/>
            <w:hideMark/>
          </w:tcPr>
          <w:p w:rsidR="004F38CE" w14:paraId="6404DEDB" w14:textId="77777777">
            <w:pPr>
              <w:rPr>
                <w:sz w:val="20"/>
                <w:szCs w:val="20"/>
              </w:rPr>
            </w:pPr>
          </w:p>
        </w:tc>
      </w:tr>
      <w:tr w14:paraId="24E387ED" w14:textId="77777777" w:rsidTr="004F38CE">
        <w:tblPrEx>
          <w:tblW w:w="6140" w:type="dxa"/>
          <w:tblLook w:val="04A0"/>
        </w:tblPrEx>
        <w:trPr>
          <w:trHeight w:val="300"/>
        </w:trPr>
        <w:tc>
          <w:tcPr>
            <w:tcW w:w="1420" w:type="dxa"/>
            <w:tcBorders>
              <w:top w:val="nil"/>
              <w:left w:val="nil"/>
              <w:bottom w:val="nil"/>
              <w:right w:val="nil"/>
            </w:tcBorders>
            <w:noWrap/>
            <w:vAlign w:val="bottom"/>
            <w:hideMark/>
          </w:tcPr>
          <w:p w:rsidR="004F38CE" w14:paraId="03E486B2" w14:textId="77777777">
            <w:pPr>
              <w:rPr>
                <w:sz w:val="20"/>
                <w:szCs w:val="20"/>
              </w:rPr>
            </w:pPr>
          </w:p>
        </w:tc>
        <w:tc>
          <w:tcPr>
            <w:tcW w:w="3890" w:type="dxa"/>
            <w:tcBorders>
              <w:top w:val="nil"/>
              <w:left w:val="nil"/>
              <w:bottom w:val="nil"/>
              <w:right w:val="nil"/>
            </w:tcBorders>
            <w:noWrap/>
            <w:vAlign w:val="bottom"/>
            <w:hideMark/>
          </w:tcPr>
          <w:p w:rsidR="004F38CE" w14:paraId="71101315" w14:textId="77777777">
            <w:pPr>
              <w:rPr>
                <w:color w:val="000000"/>
                <w:sz w:val="22"/>
                <w:szCs w:val="22"/>
              </w:rPr>
            </w:pPr>
            <w:r>
              <w:rPr>
                <w:color w:val="000000"/>
                <w:sz w:val="22"/>
                <w:szCs w:val="22"/>
              </w:rPr>
              <w:t>Estimated hourly wage ($/hour):</w:t>
            </w:r>
          </w:p>
        </w:tc>
        <w:tc>
          <w:tcPr>
            <w:tcW w:w="830" w:type="dxa"/>
            <w:tcBorders>
              <w:top w:val="nil"/>
              <w:left w:val="nil"/>
              <w:bottom w:val="nil"/>
              <w:right w:val="nil"/>
            </w:tcBorders>
            <w:noWrap/>
            <w:vAlign w:val="bottom"/>
            <w:hideMark/>
          </w:tcPr>
          <w:p w:rsidR="004F38CE" w14:paraId="10B90438" w14:textId="753D75D5">
            <w:pPr>
              <w:rPr>
                <w:color w:val="000000"/>
                <w:sz w:val="22"/>
                <w:szCs w:val="22"/>
              </w:rPr>
            </w:pPr>
            <w:r>
              <w:rPr>
                <w:color w:val="000000"/>
                <w:sz w:val="22"/>
                <w:szCs w:val="22"/>
              </w:rPr>
              <w:t xml:space="preserve"> $49.50</w:t>
            </w:r>
            <w:r>
              <w:rPr>
                <w:color w:val="000000"/>
                <w:sz w:val="22"/>
                <w:szCs w:val="22"/>
                <w:vertAlign w:val="superscript"/>
              </w:rPr>
              <w:footnoteReference w:id="3"/>
            </w:r>
            <w:r w:rsidRPr="004F38CE">
              <w:rPr>
                <w:color w:val="000000"/>
                <w:sz w:val="22"/>
                <w:szCs w:val="22"/>
              </w:rPr>
              <w:t xml:space="preserve"> </w:t>
            </w:r>
            <w:r>
              <w:rPr>
                <w:color w:val="000000"/>
                <w:sz w:val="22"/>
                <w:szCs w:val="22"/>
              </w:rPr>
              <w:t xml:space="preserve"> </w:t>
            </w:r>
          </w:p>
        </w:tc>
      </w:tr>
      <w:tr w14:paraId="05EF33F6" w14:textId="77777777" w:rsidTr="004F38CE">
        <w:tblPrEx>
          <w:tblW w:w="6140" w:type="dxa"/>
          <w:tblLook w:val="04A0"/>
        </w:tblPrEx>
        <w:trPr>
          <w:trHeight w:val="300"/>
        </w:trPr>
        <w:tc>
          <w:tcPr>
            <w:tcW w:w="1420" w:type="dxa"/>
            <w:tcBorders>
              <w:top w:val="nil"/>
              <w:left w:val="nil"/>
              <w:bottom w:val="nil"/>
              <w:right w:val="nil"/>
            </w:tcBorders>
            <w:noWrap/>
            <w:vAlign w:val="bottom"/>
            <w:hideMark/>
          </w:tcPr>
          <w:p w:rsidR="004F38CE" w14:paraId="47E24FB0" w14:textId="77777777">
            <w:pPr>
              <w:rPr>
                <w:color w:val="000000"/>
                <w:sz w:val="22"/>
                <w:szCs w:val="22"/>
              </w:rPr>
            </w:pPr>
          </w:p>
        </w:tc>
        <w:tc>
          <w:tcPr>
            <w:tcW w:w="3890" w:type="dxa"/>
            <w:tcBorders>
              <w:top w:val="nil"/>
              <w:left w:val="nil"/>
              <w:bottom w:val="nil"/>
              <w:right w:val="nil"/>
            </w:tcBorders>
            <w:noWrap/>
            <w:vAlign w:val="bottom"/>
            <w:hideMark/>
          </w:tcPr>
          <w:p w:rsidR="004F38CE" w14:paraId="5017DC71" w14:textId="77777777">
            <w:pPr>
              <w:rPr>
                <w:color w:val="000000"/>
                <w:sz w:val="22"/>
                <w:szCs w:val="22"/>
              </w:rPr>
            </w:pPr>
            <w:r>
              <w:rPr>
                <w:color w:val="000000"/>
                <w:sz w:val="22"/>
                <w:szCs w:val="22"/>
              </w:rPr>
              <w:t>Load for benefits (percent of labor rate):</w:t>
            </w:r>
          </w:p>
        </w:tc>
        <w:tc>
          <w:tcPr>
            <w:tcW w:w="830" w:type="dxa"/>
            <w:tcBorders>
              <w:top w:val="nil"/>
              <w:left w:val="nil"/>
              <w:bottom w:val="single" w:sz="4" w:space="0" w:color="auto"/>
              <w:right w:val="nil"/>
            </w:tcBorders>
            <w:noWrap/>
            <w:vAlign w:val="bottom"/>
            <w:hideMark/>
          </w:tcPr>
          <w:p w:rsidR="004F38CE" w:rsidP="004F38CE" w14:paraId="3E70BC29" w14:textId="584CB8DD">
            <w:pPr>
              <w:jc w:val="right"/>
              <w:rPr>
                <w:color w:val="000000"/>
                <w:sz w:val="22"/>
                <w:szCs w:val="22"/>
              </w:rPr>
            </w:pPr>
            <w:r>
              <w:rPr>
                <w:color w:val="000000"/>
                <w:sz w:val="22"/>
                <w:szCs w:val="22"/>
              </w:rPr>
              <w:t>42</w:t>
            </w:r>
            <w:r w:rsidR="00C833BA">
              <w:rPr>
                <w:color w:val="000000"/>
                <w:sz w:val="22"/>
                <w:szCs w:val="22"/>
              </w:rPr>
              <w:t>.2</w:t>
            </w:r>
            <w:r>
              <w:rPr>
                <w:color w:val="000000"/>
                <w:sz w:val="22"/>
                <w:szCs w:val="22"/>
              </w:rPr>
              <w:t>%</w:t>
            </w:r>
            <w:r>
              <w:rPr>
                <w:color w:val="000000"/>
                <w:sz w:val="22"/>
                <w:szCs w:val="22"/>
                <w:vertAlign w:val="superscript"/>
              </w:rPr>
              <w:footnoteReference w:id="4"/>
            </w:r>
            <w:r w:rsidRPr="004F38CE">
              <w:rPr>
                <w:color w:val="000000"/>
                <w:sz w:val="22"/>
                <w:szCs w:val="22"/>
              </w:rPr>
              <w:t xml:space="preserve"> </w:t>
            </w:r>
          </w:p>
        </w:tc>
      </w:tr>
      <w:tr w14:paraId="36423602" w14:textId="77777777" w:rsidTr="004F38CE">
        <w:tblPrEx>
          <w:tblW w:w="6140" w:type="dxa"/>
          <w:tblLook w:val="04A0"/>
        </w:tblPrEx>
        <w:trPr>
          <w:trHeight w:val="300"/>
        </w:trPr>
        <w:tc>
          <w:tcPr>
            <w:tcW w:w="1420" w:type="dxa"/>
            <w:tcBorders>
              <w:top w:val="nil"/>
              <w:left w:val="nil"/>
              <w:bottom w:val="nil"/>
              <w:right w:val="nil"/>
            </w:tcBorders>
            <w:noWrap/>
            <w:vAlign w:val="bottom"/>
            <w:hideMark/>
          </w:tcPr>
          <w:p w:rsidR="004F38CE" w14:paraId="44A90749" w14:textId="77777777">
            <w:pPr>
              <w:jc w:val="right"/>
              <w:rPr>
                <w:color w:val="000000"/>
                <w:sz w:val="22"/>
                <w:szCs w:val="22"/>
              </w:rPr>
            </w:pPr>
          </w:p>
        </w:tc>
        <w:tc>
          <w:tcPr>
            <w:tcW w:w="3890" w:type="dxa"/>
            <w:tcBorders>
              <w:top w:val="nil"/>
              <w:left w:val="nil"/>
              <w:bottom w:val="nil"/>
              <w:right w:val="nil"/>
            </w:tcBorders>
            <w:noWrap/>
            <w:vAlign w:val="bottom"/>
            <w:hideMark/>
          </w:tcPr>
          <w:p w:rsidR="004F38CE" w14:paraId="238947B9" w14:textId="77777777">
            <w:pPr>
              <w:rPr>
                <w:color w:val="000000"/>
                <w:sz w:val="22"/>
                <w:szCs w:val="22"/>
              </w:rPr>
            </w:pPr>
            <w:r>
              <w:rPr>
                <w:color w:val="000000"/>
                <w:sz w:val="22"/>
                <w:szCs w:val="22"/>
              </w:rPr>
              <w:t>Loaded labor rate ($/hour):</w:t>
            </w:r>
          </w:p>
        </w:tc>
        <w:tc>
          <w:tcPr>
            <w:tcW w:w="830" w:type="dxa"/>
            <w:tcBorders>
              <w:top w:val="nil"/>
              <w:left w:val="nil"/>
              <w:bottom w:val="nil"/>
              <w:right w:val="nil"/>
            </w:tcBorders>
            <w:noWrap/>
            <w:vAlign w:val="bottom"/>
            <w:hideMark/>
          </w:tcPr>
          <w:p w:rsidR="004F38CE" w14:paraId="649153A1" w14:textId="05B33014">
            <w:pPr>
              <w:rPr>
                <w:color w:val="000000"/>
                <w:sz w:val="22"/>
                <w:szCs w:val="22"/>
              </w:rPr>
            </w:pPr>
            <w:r>
              <w:rPr>
                <w:color w:val="000000"/>
                <w:sz w:val="22"/>
                <w:szCs w:val="22"/>
              </w:rPr>
              <w:t xml:space="preserve">$70.39 </w:t>
            </w:r>
          </w:p>
        </w:tc>
      </w:tr>
    </w:tbl>
    <w:p w:rsidR="00C80ABE" w:rsidP="009304DC" w14:paraId="63258228" w14:textId="77777777"/>
    <w:p w:rsidR="005A2676" w:rsidP="009304DC" w14:paraId="585EA3F3" w14:textId="67FEC92A">
      <w:r>
        <w:t>Total registration applications received on paper: 0</w:t>
      </w:r>
    </w:p>
    <w:p w:rsidR="005A2676" w:rsidP="009304DC" w14:paraId="0696A3D5" w14:textId="153CFA53">
      <w:r>
        <w:t>Total registration applications received online: 1,853</w:t>
      </w:r>
    </w:p>
    <w:p w:rsidR="005A2676" w:rsidP="009304DC" w14:paraId="68FBAFDA" w14:textId="77777777"/>
    <w:p w:rsidR="005A2676" w:rsidP="009304DC" w14:paraId="773A7217" w14:textId="6D3772DA">
      <w:r>
        <w:t>Percentage of applications received electronically: 100%</w:t>
      </w:r>
    </w:p>
    <w:bookmarkEnd w:id="3"/>
    <w:bookmarkEnd w:id="4"/>
    <w:p w:rsidR="00DE33A5" w:rsidP="00DE33A5" w14:paraId="6ACB19C2" w14:textId="77777777"/>
    <w:p w:rsidR="00DE33A5" w:rsidP="00DE33A5" w14:paraId="0CA80909" w14:textId="080FEEC6">
      <w:r>
        <w:t xml:space="preserve">Thus, the labor cost of this information collection is </w:t>
      </w:r>
      <w:r w:rsidRPr="00E54BB2">
        <w:t>$</w:t>
      </w:r>
      <w:r w:rsidR="00A10A49">
        <w:t>28,016</w:t>
      </w:r>
      <w:r>
        <w:t xml:space="preserve"> annually.</w:t>
      </w:r>
    </w:p>
    <w:p w:rsidR="007B521A" w:rsidP="007B521A" w14:paraId="3F592D89" w14:textId="00C7487D"/>
    <w:p w:rsidR="00CD6BED" w:rsidRPr="009F384F" w:rsidP="009304DC" w14:paraId="305D3B74" w14:textId="2854196A">
      <w:r w:rsidRPr="00F836AC">
        <w:rPr>
          <w:b/>
          <w:bCs/>
        </w:rPr>
        <w:t>13.</w:t>
      </w:r>
      <w:r w:rsidRPr="009F384F">
        <w:t xml:space="preserve"> The estimated annual cost burden is zero.  Respondents are estimated to not incur any    a) additional start-up cost or capital expenditure, or b) additional operation and maintenance costs or purchase services </w:t>
      </w:r>
      <w:r w:rsidRPr="009F384F">
        <w:t>as a result of</w:t>
      </w:r>
      <w:r w:rsidRPr="009F384F">
        <w:t xml:space="preserve"> this information collection.</w:t>
      </w:r>
    </w:p>
    <w:p w:rsidR="00CD6BED" w:rsidRPr="009F384F" w:rsidP="009304DC" w14:paraId="03BEB0AE" w14:textId="77777777"/>
    <w:p w:rsidR="00DE33A5" w:rsidP="00DE33A5" w14:paraId="1F2D9744" w14:textId="1E5AD771">
      <w:pPr>
        <w:rPr>
          <w:color w:val="000000"/>
        </w:rPr>
      </w:pPr>
      <w:r w:rsidRPr="00F836AC">
        <w:rPr>
          <w:b/>
          <w:bCs/>
        </w:rPr>
        <w:t>14.</w:t>
      </w:r>
      <w:r w:rsidRPr="009F384F">
        <w:t xml:space="preserve"> </w:t>
      </w:r>
      <w:r w:rsidRPr="008929A7">
        <w:rPr>
          <w:color w:val="000000"/>
        </w:rPr>
        <w:t>Estimated Annual Labor Cost to Government:</w:t>
      </w:r>
      <w:r w:rsidR="00A10A49">
        <w:rPr>
          <w:color w:val="000000"/>
        </w:rPr>
        <w:t xml:space="preserve"> $</w:t>
      </w:r>
      <w:r w:rsidR="00DA75BB">
        <w:rPr>
          <w:color w:val="000000"/>
        </w:rPr>
        <w:t>11,974</w:t>
      </w:r>
    </w:p>
    <w:p w:rsidR="00A10A49" w:rsidP="00DE33A5" w14:paraId="6F11AE96" w14:textId="77777777">
      <w:pPr>
        <w:rPr>
          <w:color w:val="000000"/>
        </w:rPr>
      </w:pPr>
    </w:p>
    <w:tbl>
      <w:tblPr>
        <w:tblW w:w="7960" w:type="dxa"/>
        <w:jc w:val="center"/>
        <w:tblLook w:val="04A0"/>
      </w:tblPr>
      <w:tblGrid>
        <w:gridCol w:w="2140"/>
        <w:gridCol w:w="960"/>
        <w:gridCol w:w="1300"/>
        <w:gridCol w:w="1300"/>
        <w:gridCol w:w="960"/>
        <w:gridCol w:w="1300"/>
      </w:tblGrid>
      <w:tr w14:paraId="7BA598F3" w14:textId="77777777" w:rsidTr="003B6A7C">
        <w:tblPrEx>
          <w:tblW w:w="7960" w:type="dxa"/>
          <w:jc w:val="center"/>
          <w:tblLook w:val="04A0"/>
        </w:tblPrEx>
        <w:trPr>
          <w:trHeight w:val="1035"/>
          <w:jc w:val="center"/>
        </w:trPr>
        <w:tc>
          <w:tcPr>
            <w:tcW w:w="2140" w:type="dxa"/>
            <w:tcBorders>
              <w:top w:val="single" w:sz="8" w:space="0" w:color="auto"/>
              <w:left w:val="single" w:sz="8" w:space="0" w:color="auto"/>
              <w:bottom w:val="single" w:sz="8" w:space="0" w:color="auto"/>
              <w:right w:val="single" w:sz="8" w:space="0" w:color="auto"/>
            </w:tcBorders>
            <w:shd w:val="clear" w:color="000000" w:fill="C5D9F1"/>
            <w:vAlign w:val="center"/>
            <w:hideMark/>
          </w:tcPr>
          <w:p w:rsidR="00A10A49" w14:paraId="38641B6E" w14:textId="77777777">
            <w:pPr>
              <w:rPr>
                <w:b/>
                <w:bCs/>
                <w:color w:val="000000"/>
                <w:sz w:val="20"/>
                <w:szCs w:val="20"/>
              </w:rPr>
            </w:pPr>
            <w:r>
              <w:rPr>
                <w:b/>
                <w:bCs/>
                <w:color w:val="000000"/>
                <w:sz w:val="20"/>
                <w:szCs w:val="20"/>
              </w:rPr>
              <w:t>Labor Category</w:t>
            </w:r>
          </w:p>
        </w:tc>
        <w:tc>
          <w:tcPr>
            <w:tcW w:w="960" w:type="dxa"/>
            <w:tcBorders>
              <w:top w:val="single" w:sz="8" w:space="0" w:color="auto"/>
              <w:left w:val="nil"/>
              <w:bottom w:val="single" w:sz="8" w:space="0" w:color="auto"/>
              <w:right w:val="single" w:sz="8" w:space="0" w:color="auto"/>
            </w:tcBorders>
            <w:shd w:val="clear" w:color="000000" w:fill="C5D9F1"/>
            <w:vAlign w:val="center"/>
            <w:hideMark/>
          </w:tcPr>
          <w:p w:rsidR="00A10A49" w14:paraId="737D1B0E" w14:textId="77777777">
            <w:pPr>
              <w:jc w:val="center"/>
              <w:rPr>
                <w:b/>
                <w:bCs/>
                <w:color w:val="000000"/>
                <w:sz w:val="20"/>
                <w:szCs w:val="20"/>
              </w:rPr>
            </w:pPr>
            <w:r>
              <w:rPr>
                <w:b/>
                <w:bCs/>
                <w:color w:val="000000"/>
                <w:sz w:val="20"/>
                <w:szCs w:val="20"/>
              </w:rPr>
              <w:t>Number</w:t>
            </w:r>
          </w:p>
        </w:tc>
        <w:tc>
          <w:tcPr>
            <w:tcW w:w="1300" w:type="dxa"/>
            <w:tcBorders>
              <w:top w:val="single" w:sz="8" w:space="0" w:color="auto"/>
              <w:left w:val="nil"/>
              <w:bottom w:val="single" w:sz="8" w:space="0" w:color="auto"/>
              <w:right w:val="nil"/>
            </w:tcBorders>
            <w:shd w:val="clear" w:color="000000" w:fill="C5D9F1"/>
            <w:vAlign w:val="center"/>
            <w:hideMark/>
          </w:tcPr>
          <w:p w:rsidR="00A10A49" w14:paraId="2183EEF6" w14:textId="77777777">
            <w:pPr>
              <w:jc w:val="center"/>
              <w:rPr>
                <w:b/>
                <w:bCs/>
                <w:color w:val="000000"/>
                <w:sz w:val="20"/>
                <w:szCs w:val="20"/>
              </w:rPr>
            </w:pPr>
            <w:r>
              <w:rPr>
                <w:b/>
                <w:bCs/>
                <w:color w:val="000000"/>
                <w:sz w:val="20"/>
                <w:szCs w:val="20"/>
              </w:rPr>
              <w:t>Annual rate</w:t>
            </w:r>
          </w:p>
        </w:tc>
        <w:tc>
          <w:tcPr>
            <w:tcW w:w="1300" w:type="dxa"/>
            <w:tcBorders>
              <w:top w:val="single" w:sz="8" w:space="0" w:color="auto"/>
              <w:left w:val="single" w:sz="8" w:space="0" w:color="auto"/>
              <w:bottom w:val="single" w:sz="8" w:space="0" w:color="auto"/>
              <w:right w:val="single" w:sz="8" w:space="0" w:color="auto"/>
            </w:tcBorders>
            <w:shd w:val="clear" w:color="000000" w:fill="C5D9F1"/>
            <w:vAlign w:val="center"/>
            <w:hideMark/>
          </w:tcPr>
          <w:p w:rsidR="00A10A49" w14:paraId="5D73050B" w14:textId="77777777">
            <w:pPr>
              <w:jc w:val="center"/>
              <w:rPr>
                <w:b/>
                <w:bCs/>
                <w:color w:val="000000"/>
                <w:sz w:val="20"/>
                <w:szCs w:val="20"/>
              </w:rPr>
            </w:pPr>
            <w:r>
              <w:rPr>
                <w:b/>
                <w:bCs/>
                <w:color w:val="000000"/>
                <w:sz w:val="20"/>
                <w:szCs w:val="20"/>
              </w:rPr>
              <w:t xml:space="preserve">Load </w:t>
            </w:r>
          </w:p>
        </w:tc>
        <w:tc>
          <w:tcPr>
            <w:tcW w:w="960" w:type="dxa"/>
            <w:tcBorders>
              <w:top w:val="single" w:sz="8" w:space="0" w:color="auto"/>
              <w:left w:val="nil"/>
              <w:bottom w:val="single" w:sz="8" w:space="0" w:color="auto"/>
              <w:right w:val="single" w:sz="8" w:space="0" w:color="auto"/>
            </w:tcBorders>
            <w:shd w:val="clear" w:color="000000" w:fill="C5D9F1"/>
            <w:vAlign w:val="center"/>
            <w:hideMark/>
          </w:tcPr>
          <w:p w:rsidR="00A10A49" w14:paraId="2095613F" w14:textId="77777777">
            <w:pPr>
              <w:jc w:val="center"/>
              <w:rPr>
                <w:b/>
                <w:bCs/>
                <w:color w:val="000000"/>
                <w:sz w:val="20"/>
                <w:szCs w:val="20"/>
              </w:rPr>
            </w:pPr>
            <w:r>
              <w:rPr>
                <w:b/>
                <w:bCs/>
                <w:color w:val="000000"/>
                <w:sz w:val="20"/>
                <w:szCs w:val="20"/>
              </w:rPr>
              <w:t>% of time</w:t>
            </w:r>
          </w:p>
        </w:tc>
        <w:tc>
          <w:tcPr>
            <w:tcW w:w="1300" w:type="dxa"/>
            <w:tcBorders>
              <w:top w:val="single" w:sz="8" w:space="0" w:color="auto"/>
              <w:left w:val="nil"/>
              <w:bottom w:val="single" w:sz="8" w:space="0" w:color="auto"/>
              <w:right w:val="single" w:sz="8" w:space="0" w:color="auto"/>
            </w:tcBorders>
            <w:shd w:val="clear" w:color="000000" w:fill="C5D9F1"/>
            <w:vAlign w:val="center"/>
            <w:hideMark/>
          </w:tcPr>
          <w:p w:rsidR="00A10A49" w14:paraId="1DC07718" w14:textId="77777777">
            <w:pPr>
              <w:jc w:val="center"/>
              <w:rPr>
                <w:b/>
                <w:bCs/>
                <w:color w:val="000000"/>
                <w:sz w:val="20"/>
                <w:szCs w:val="20"/>
              </w:rPr>
            </w:pPr>
            <w:r>
              <w:rPr>
                <w:b/>
                <w:bCs/>
                <w:color w:val="000000"/>
                <w:sz w:val="20"/>
                <w:szCs w:val="20"/>
              </w:rPr>
              <w:t>Cost</w:t>
            </w:r>
          </w:p>
        </w:tc>
      </w:tr>
      <w:tr w14:paraId="74260C30" w14:textId="77777777" w:rsidTr="003B6A7C">
        <w:tblPrEx>
          <w:tblW w:w="7960" w:type="dxa"/>
          <w:jc w:val="center"/>
          <w:tblLook w:val="04A0"/>
        </w:tblPrEx>
        <w:trPr>
          <w:trHeight w:val="915"/>
          <w:jc w:val="center"/>
        </w:trPr>
        <w:tc>
          <w:tcPr>
            <w:tcW w:w="2140" w:type="dxa"/>
            <w:tcBorders>
              <w:top w:val="nil"/>
              <w:left w:val="single" w:sz="8" w:space="0" w:color="auto"/>
              <w:bottom w:val="single" w:sz="8" w:space="0" w:color="auto"/>
              <w:right w:val="nil"/>
            </w:tcBorders>
            <w:vAlign w:val="bottom"/>
            <w:hideMark/>
          </w:tcPr>
          <w:p w:rsidR="00A10A49" w14:paraId="1AE99C30" w14:textId="1669090D">
            <w:pPr>
              <w:rPr>
                <w:i/>
                <w:iCs/>
                <w:color w:val="000000"/>
                <w:sz w:val="22"/>
                <w:szCs w:val="22"/>
              </w:rPr>
            </w:pPr>
            <w:r>
              <w:rPr>
                <w:i/>
                <w:iCs/>
                <w:color w:val="000000"/>
                <w:sz w:val="22"/>
                <w:szCs w:val="22"/>
              </w:rPr>
              <w:t>Registration Program Specialist -- GS-963-</w:t>
            </w:r>
            <w:r w:rsidR="00DA75BB">
              <w:rPr>
                <w:i/>
                <w:iCs/>
                <w:color w:val="000000"/>
                <w:sz w:val="22"/>
                <w:szCs w:val="22"/>
              </w:rPr>
              <w:t>11</w:t>
            </w:r>
            <w:r>
              <w:rPr>
                <w:i/>
                <w:iCs/>
                <w:color w:val="000000"/>
                <w:sz w:val="22"/>
                <w:szCs w:val="22"/>
              </w:rPr>
              <w:t xml:space="preserve"> (Field)</w:t>
            </w:r>
          </w:p>
        </w:tc>
        <w:tc>
          <w:tcPr>
            <w:tcW w:w="960" w:type="dxa"/>
            <w:tcBorders>
              <w:top w:val="nil"/>
              <w:left w:val="single" w:sz="8" w:space="0" w:color="auto"/>
              <w:bottom w:val="single" w:sz="8" w:space="0" w:color="auto"/>
              <w:right w:val="single" w:sz="8" w:space="0" w:color="auto"/>
            </w:tcBorders>
            <w:noWrap/>
            <w:vAlign w:val="bottom"/>
            <w:hideMark/>
          </w:tcPr>
          <w:p w:rsidR="00A10A49" w:rsidP="00A10A49" w14:paraId="0F19A54C" w14:textId="0D3DE8A7">
            <w:pPr>
              <w:jc w:val="right"/>
              <w:rPr>
                <w:color w:val="000000"/>
                <w:sz w:val="22"/>
                <w:szCs w:val="22"/>
              </w:rPr>
            </w:pPr>
            <w:r>
              <w:rPr>
                <w:color w:val="000000"/>
                <w:sz w:val="22"/>
                <w:szCs w:val="22"/>
              </w:rPr>
              <w:t>81</w:t>
            </w:r>
            <w:r>
              <w:rPr>
                <w:b/>
                <w:bCs/>
                <w:color w:val="000000"/>
                <w:sz w:val="22"/>
                <w:szCs w:val="22"/>
                <w:vertAlign w:val="superscript"/>
              </w:rPr>
              <w:footnoteReference w:id="5"/>
            </w:r>
            <w:r w:rsidRPr="00A10A49">
              <w:rPr>
                <w:color w:val="000000"/>
                <w:sz w:val="22"/>
                <w:szCs w:val="22"/>
              </w:rPr>
              <w:t xml:space="preserve"> </w:t>
            </w:r>
          </w:p>
        </w:tc>
        <w:tc>
          <w:tcPr>
            <w:tcW w:w="1300" w:type="dxa"/>
            <w:tcBorders>
              <w:top w:val="nil"/>
              <w:left w:val="nil"/>
              <w:bottom w:val="single" w:sz="8" w:space="0" w:color="auto"/>
              <w:right w:val="nil"/>
            </w:tcBorders>
            <w:noWrap/>
            <w:vAlign w:val="bottom"/>
            <w:hideMark/>
          </w:tcPr>
          <w:p w:rsidR="00A10A49" w14:paraId="65E70F80" w14:textId="1ED4FC4D">
            <w:pPr>
              <w:rPr>
                <w:color w:val="000000"/>
                <w:sz w:val="22"/>
                <w:szCs w:val="22"/>
              </w:rPr>
            </w:pPr>
            <w:r>
              <w:rPr>
                <w:color w:val="000000"/>
                <w:sz w:val="22"/>
                <w:szCs w:val="22"/>
              </w:rPr>
              <w:t xml:space="preserve"> $    </w:t>
            </w:r>
            <w:bookmarkStart w:id="5" w:name="OLE_LINK11"/>
            <w:r w:rsidR="00DA75BB">
              <w:rPr>
                <w:color w:val="000000"/>
                <w:sz w:val="22"/>
                <w:szCs w:val="22"/>
              </w:rPr>
              <w:t>95,878</w:t>
            </w:r>
            <w:r>
              <w:rPr>
                <w:b/>
                <w:color w:val="000000"/>
                <w:sz w:val="22"/>
                <w:szCs w:val="22"/>
                <w:vertAlign w:val="superscript"/>
              </w:rPr>
              <w:footnoteReference w:id="6"/>
            </w:r>
            <w:bookmarkEnd w:id="5"/>
            <w:r w:rsidRPr="00A10A49">
              <w:rPr>
                <w:color w:val="000000"/>
                <w:sz w:val="22"/>
                <w:szCs w:val="22"/>
              </w:rPr>
              <w:t xml:space="preserve"> </w:t>
            </w:r>
            <w:r>
              <w:rPr>
                <w:color w:val="000000"/>
                <w:sz w:val="22"/>
                <w:szCs w:val="22"/>
              </w:rPr>
              <w:t xml:space="preserve"> </w:t>
            </w:r>
          </w:p>
        </w:tc>
        <w:tc>
          <w:tcPr>
            <w:tcW w:w="1300" w:type="dxa"/>
            <w:tcBorders>
              <w:top w:val="nil"/>
              <w:left w:val="single" w:sz="8" w:space="0" w:color="auto"/>
              <w:bottom w:val="single" w:sz="8" w:space="0" w:color="auto"/>
              <w:right w:val="single" w:sz="8" w:space="0" w:color="auto"/>
            </w:tcBorders>
            <w:noWrap/>
            <w:vAlign w:val="bottom"/>
            <w:hideMark/>
          </w:tcPr>
          <w:p w:rsidR="00A10A49" w14:paraId="6C4A98DC" w14:textId="40FEF72E">
            <w:pPr>
              <w:rPr>
                <w:color w:val="000000"/>
                <w:sz w:val="22"/>
                <w:szCs w:val="22"/>
              </w:rPr>
            </w:pPr>
            <w:r>
              <w:rPr>
                <w:color w:val="000000"/>
                <w:sz w:val="22"/>
                <w:szCs w:val="22"/>
              </w:rPr>
              <w:t xml:space="preserve">         1.623</w:t>
            </w:r>
            <w:r>
              <w:rPr>
                <w:b/>
                <w:color w:val="000000"/>
                <w:sz w:val="22"/>
                <w:szCs w:val="22"/>
                <w:vertAlign w:val="superscript"/>
              </w:rPr>
              <w:footnoteReference w:id="7"/>
            </w:r>
            <w:r w:rsidRPr="00A10A49">
              <w:rPr>
                <w:color w:val="000000"/>
                <w:sz w:val="22"/>
                <w:szCs w:val="22"/>
              </w:rPr>
              <w:t xml:space="preserve"> </w:t>
            </w:r>
            <w:r>
              <w:rPr>
                <w:color w:val="000000"/>
                <w:sz w:val="22"/>
                <w:szCs w:val="22"/>
              </w:rPr>
              <w:t xml:space="preserve"> </w:t>
            </w:r>
          </w:p>
        </w:tc>
        <w:tc>
          <w:tcPr>
            <w:tcW w:w="960" w:type="dxa"/>
            <w:tcBorders>
              <w:top w:val="nil"/>
              <w:left w:val="nil"/>
              <w:bottom w:val="single" w:sz="8" w:space="0" w:color="auto"/>
              <w:right w:val="single" w:sz="8" w:space="0" w:color="auto"/>
            </w:tcBorders>
            <w:noWrap/>
            <w:vAlign w:val="bottom"/>
            <w:hideMark/>
          </w:tcPr>
          <w:p w:rsidR="00A10A49" w:rsidP="00A10A49" w14:paraId="04D71754" w14:textId="2D4354B2">
            <w:pPr>
              <w:jc w:val="right"/>
              <w:rPr>
                <w:color w:val="000000"/>
                <w:sz w:val="22"/>
                <w:szCs w:val="22"/>
              </w:rPr>
            </w:pPr>
            <w:r>
              <w:rPr>
                <w:color w:val="000000"/>
                <w:sz w:val="22"/>
                <w:szCs w:val="22"/>
              </w:rPr>
              <w:t>0.10%</w:t>
            </w:r>
            <w:r>
              <w:rPr>
                <w:b/>
                <w:color w:val="000000"/>
                <w:sz w:val="22"/>
                <w:szCs w:val="22"/>
                <w:vertAlign w:val="superscript"/>
              </w:rPr>
              <w:footnoteReference w:id="8"/>
            </w:r>
            <w:r w:rsidRPr="00A10A49">
              <w:rPr>
                <w:color w:val="000000"/>
                <w:sz w:val="22"/>
                <w:szCs w:val="22"/>
              </w:rPr>
              <w:t xml:space="preserve"> </w:t>
            </w:r>
          </w:p>
        </w:tc>
        <w:tc>
          <w:tcPr>
            <w:tcW w:w="1300" w:type="dxa"/>
            <w:tcBorders>
              <w:top w:val="nil"/>
              <w:left w:val="nil"/>
              <w:bottom w:val="single" w:sz="8" w:space="0" w:color="auto"/>
              <w:right w:val="single" w:sz="8" w:space="0" w:color="auto"/>
            </w:tcBorders>
            <w:noWrap/>
            <w:vAlign w:val="bottom"/>
            <w:hideMark/>
          </w:tcPr>
          <w:p w:rsidR="00A10A49" w14:paraId="4AA6981A" w14:textId="62CF6E6E">
            <w:pPr>
              <w:rPr>
                <w:color w:val="000000"/>
                <w:sz w:val="22"/>
                <w:szCs w:val="22"/>
              </w:rPr>
            </w:pPr>
            <w:r>
              <w:rPr>
                <w:color w:val="000000"/>
                <w:sz w:val="22"/>
                <w:szCs w:val="22"/>
              </w:rPr>
              <w:t xml:space="preserve"> $     </w:t>
            </w:r>
            <w:r w:rsidR="00DA75BB">
              <w:rPr>
                <w:color w:val="000000"/>
                <w:sz w:val="22"/>
                <w:szCs w:val="22"/>
              </w:rPr>
              <w:t>11,974</w:t>
            </w:r>
            <w:r>
              <w:rPr>
                <w:color w:val="000000"/>
                <w:sz w:val="22"/>
                <w:szCs w:val="22"/>
              </w:rPr>
              <w:t xml:space="preserve"> </w:t>
            </w:r>
          </w:p>
        </w:tc>
      </w:tr>
      <w:tr w14:paraId="0AF98D38" w14:textId="77777777" w:rsidTr="003B6A7C">
        <w:tblPrEx>
          <w:tblW w:w="7960" w:type="dxa"/>
          <w:jc w:val="center"/>
          <w:tblLook w:val="04A0"/>
        </w:tblPrEx>
        <w:trPr>
          <w:trHeight w:val="525"/>
          <w:jc w:val="center"/>
        </w:trPr>
        <w:tc>
          <w:tcPr>
            <w:tcW w:w="2140" w:type="dxa"/>
            <w:tcBorders>
              <w:top w:val="nil"/>
              <w:left w:val="single" w:sz="8" w:space="0" w:color="auto"/>
              <w:bottom w:val="single" w:sz="8" w:space="0" w:color="auto"/>
              <w:right w:val="single" w:sz="8" w:space="0" w:color="auto"/>
            </w:tcBorders>
            <w:shd w:val="clear" w:color="000000" w:fill="C5D9F1"/>
            <w:vAlign w:val="center"/>
            <w:hideMark/>
          </w:tcPr>
          <w:p w:rsidR="00A10A49" w14:paraId="72AE791B" w14:textId="77777777">
            <w:pPr>
              <w:rPr>
                <w:b/>
                <w:bCs/>
                <w:color w:val="000000"/>
                <w:sz w:val="20"/>
                <w:szCs w:val="20"/>
              </w:rPr>
            </w:pPr>
            <w:r>
              <w:rPr>
                <w:b/>
                <w:bCs/>
                <w:color w:val="000000"/>
                <w:sz w:val="20"/>
                <w:szCs w:val="20"/>
              </w:rPr>
              <w:t>Total</w:t>
            </w:r>
          </w:p>
        </w:tc>
        <w:tc>
          <w:tcPr>
            <w:tcW w:w="960" w:type="dxa"/>
            <w:tcBorders>
              <w:top w:val="nil"/>
              <w:left w:val="nil"/>
              <w:bottom w:val="single" w:sz="8" w:space="0" w:color="auto"/>
              <w:right w:val="single" w:sz="8" w:space="0" w:color="auto"/>
            </w:tcBorders>
            <w:shd w:val="clear" w:color="000000" w:fill="C5D9F1"/>
            <w:vAlign w:val="center"/>
            <w:hideMark/>
          </w:tcPr>
          <w:p w:rsidR="00A10A49" w14:paraId="2A6901C3" w14:textId="77777777">
            <w:pPr>
              <w:jc w:val="center"/>
              <w:rPr>
                <w:b/>
                <w:bCs/>
                <w:color w:val="000000"/>
                <w:sz w:val="20"/>
                <w:szCs w:val="20"/>
              </w:rPr>
            </w:pPr>
            <w:r>
              <w:rPr>
                <w:b/>
                <w:bCs/>
                <w:color w:val="000000"/>
                <w:sz w:val="20"/>
                <w:szCs w:val="20"/>
              </w:rPr>
              <w:t> </w:t>
            </w:r>
          </w:p>
        </w:tc>
        <w:tc>
          <w:tcPr>
            <w:tcW w:w="1300" w:type="dxa"/>
            <w:tcBorders>
              <w:top w:val="nil"/>
              <w:left w:val="nil"/>
              <w:bottom w:val="single" w:sz="8" w:space="0" w:color="auto"/>
              <w:right w:val="nil"/>
            </w:tcBorders>
            <w:shd w:val="clear" w:color="000000" w:fill="C5D9F1"/>
            <w:vAlign w:val="center"/>
            <w:hideMark/>
          </w:tcPr>
          <w:p w:rsidR="00A10A49" w14:paraId="1975608C" w14:textId="77777777">
            <w:pPr>
              <w:jc w:val="center"/>
              <w:rPr>
                <w:b/>
                <w:bCs/>
                <w:color w:val="000000"/>
                <w:sz w:val="20"/>
                <w:szCs w:val="20"/>
              </w:rPr>
            </w:pPr>
            <w:r>
              <w:rPr>
                <w:b/>
                <w:bCs/>
                <w:color w:val="000000"/>
                <w:sz w:val="20"/>
                <w:szCs w:val="20"/>
              </w:rPr>
              <w:t> </w:t>
            </w:r>
          </w:p>
        </w:tc>
        <w:tc>
          <w:tcPr>
            <w:tcW w:w="1300" w:type="dxa"/>
            <w:tcBorders>
              <w:top w:val="nil"/>
              <w:left w:val="single" w:sz="8" w:space="0" w:color="auto"/>
              <w:bottom w:val="single" w:sz="8" w:space="0" w:color="auto"/>
              <w:right w:val="single" w:sz="8" w:space="0" w:color="auto"/>
            </w:tcBorders>
            <w:shd w:val="clear" w:color="000000" w:fill="C5D9F1"/>
            <w:vAlign w:val="center"/>
            <w:hideMark/>
          </w:tcPr>
          <w:p w:rsidR="00A10A49" w14:paraId="47059202" w14:textId="77777777">
            <w:pPr>
              <w:jc w:val="center"/>
              <w:rPr>
                <w:b/>
                <w:bCs/>
                <w:color w:val="000000"/>
                <w:sz w:val="20"/>
                <w:szCs w:val="20"/>
              </w:rPr>
            </w:pPr>
            <w:r>
              <w:rPr>
                <w:b/>
                <w:bCs/>
                <w:color w:val="000000"/>
                <w:sz w:val="20"/>
                <w:szCs w:val="20"/>
              </w:rPr>
              <w:t> </w:t>
            </w:r>
          </w:p>
        </w:tc>
        <w:tc>
          <w:tcPr>
            <w:tcW w:w="960" w:type="dxa"/>
            <w:tcBorders>
              <w:top w:val="nil"/>
              <w:left w:val="nil"/>
              <w:bottom w:val="single" w:sz="8" w:space="0" w:color="auto"/>
              <w:right w:val="single" w:sz="8" w:space="0" w:color="auto"/>
            </w:tcBorders>
            <w:shd w:val="clear" w:color="000000" w:fill="C5D9F1"/>
            <w:vAlign w:val="center"/>
            <w:hideMark/>
          </w:tcPr>
          <w:p w:rsidR="00A10A49" w14:paraId="3BBF2494" w14:textId="77777777">
            <w:pPr>
              <w:jc w:val="center"/>
              <w:rPr>
                <w:b/>
                <w:bCs/>
                <w:color w:val="000000"/>
                <w:sz w:val="20"/>
                <w:szCs w:val="20"/>
              </w:rPr>
            </w:pPr>
            <w:r>
              <w:rPr>
                <w:b/>
                <w:bCs/>
                <w:color w:val="000000"/>
                <w:sz w:val="20"/>
                <w:szCs w:val="20"/>
              </w:rPr>
              <w:t> </w:t>
            </w:r>
          </w:p>
        </w:tc>
        <w:tc>
          <w:tcPr>
            <w:tcW w:w="1300" w:type="dxa"/>
            <w:tcBorders>
              <w:top w:val="nil"/>
              <w:left w:val="nil"/>
              <w:bottom w:val="single" w:sz="8" w:space="0" w:color="auto"/>
              <w:right w:val="single" w:sz="8" w:space="0" w:color="auto"/>
            </w:tcBorders>
            <w:shd w:val="clear" w:color="000000" w:fill="C5D9F1"/>
            <w:vAlign w:val="center"/>
            <w:hideMark/>
          </w:tcPr>
          <w:p w:rsidR="00A10A49" w14:paraId="2EEB110B" w14:textId="1C8F51FE">
            <w:pPr>
              <w:jc w:val="center"/>
              <w:rPr>
                <w:b/>
                <w:bCs/>
                <w:color w:val="000000"/>
                <w:sz w:val="20"/>
                <w:szCs w:val="20"/>
              </w:rPr>
            </w:pPr>
            <w:r>
              <w:rPr>
                <w:b/>
                <w:bCs/>
                <w:color w:val="000000"/>
                <w:sz w:val="20"/>
                <w:szCs w:val="20"/>
              </w:rPr>
              <w:t xml:space="preserve"> $       </w:t>
            </w:r>
            <w:r w:rsidR="00DA75BB">
              <w:rPr>
                <w:b/>
                <w:bCs/>
                <w:color w:val="000000"/>
                <w:sz w:val="20"/>
                <w:szCs w:val="20"/>
              </w:rPr>
              <w:t>11,974</w:t>
            </w:r>
          </w:p>
        </w:tc>
      </w:tr>
    </w:tbl>
    <w:p w:rsidR="00A10A49" w:rsidRPr="00C80ABE" w:rsidP="00DE33A5" w14:paraId="4CA44F42" w14:textId="77777777"/>
    <w:p w:rsidR="00DE33A5" w:rsidRPr="008929A7" w:rsidP="00DE33A5" w14:paraId="2E4DFD04" w14:textId="77777777">
      <w:pPr>
        <w:rPr>
          <w:color w:val="000000"/>
        </w:rPr>
      </w:pPr>
    </w:p>
    <w:p w:rsidR="00DE33A5" w:rsidP="00DE33A5" w14:paraId="00F04F2F" w14:textId="77777777">
      <w:r>
        <w:rPr>
          <w:color w:val="000000"/>
        </w:rPr>
        <w:t>A</w:t>
      </w:r>
      <w:r w:rsidRPr="00F117FD">
        <w:rPr>
          <w:color w:val="000000"/>
        </w:rPr>
        <w:t>ll costs are recovered from registrants through registration fees, as required by the</w:t>
      </w:r>
      <w:r>
        <w:rPr>
          <w:color w:val="000000"/>
        </w:rPr>
        <w:t xml:space="preserve"> CSA</w:t>
      </w:r>
      <w:r w:rsidRPr="00F117FD">
        <w:rPr>
          <w:color w:val="000000"/>
        </w:rPr>
        <w:t>.</w:t>
      </w:r>
      <w:r>
        <w:rPr>
          <w:color w:val="000000"/>
        </w:rPr>
        <w:t xml:space="preserve">  21 U.S.C. 886a.</w:t>
      </w:r>
    </w:p>
    <w:p w:rsidR="00B47BD1" w:rsidP="00A74C21" w14:paraId="19E4E531" w14:textId="77777777"/>
    <w:p w:rsidR="00B7669E" w:rsidP="00B7669E" w14:paraId="0E01A208" w14:textId="6830FAC5">
      <w:r w:rsidRPr="00F836AC">
        <w:rPr>
          <w:b/>
          <w:bCs/>
        </w:rPr>
        <w:t>15.</w:t>
      </w:r>
      <w:r w:rsidRPr="00F2593B">
        <w:t xml:space="preserve"> </w:t>
      </w:r>
      <w:r w:rsidR="003B6A7C">
        <w:t>The decrease in annual respondents is due to the fluctuating nature of the registrant population. The change in annual burden hours is due to</w:t>
      </w:r>
      <w:r w:rsidR="00022587">
        <w:t xml:space="preserve"> an increase in new registrants </w:t>
      </w:r>
      <w:r w:rsidR="00023EE6">
        <w:t xml:space="preserve">(DEA 363) </w:t>
      </w:r>
      <w:r w:rsidRPr="00023EE6" w:rsidR="00023EE6">
        <w:t xml:space="preserve">relative to the number of </w:t>
      </w:r>
      <w:r w:rsidR="00023EE6">
        <w:t xml:space="preserve">renewing </w:t>
      </w:r>
      <w:r w:rsidR="00022587">
        <w:t>registrants</w:t>
      </w:r>
      <w:r w:rsidR="00023EE6">
        <w:t xml:space="preserve"> (DEA 363a)</w:t>
      </w:r>
      <w:r w:rsidR="00022587">
        <w:t>. The time per response for new registrants is higher than that of registrants who are renewing their registration</w:t>
      </w:r>
      <w:r w:rsidR="003B6A7C">
        <w:t xml:space="preserve">.  The change in annual cost is due to a change in method. </w:t>
      </w:r>
      <w:r>
        <w:t xml:space="preserve"> Previously, the approved 2022 figure represented the “Monetized Value of Respondent Time” calculated in section 12. The </w:t>
      </w:r>
      <w:r>
        <w:t>new</w:t>
      </w:r>
      <w:r>
        <w:t xml:space="preserve"> requested annual cost represents the figure from section 13</w:t>
      </w:r>
      <w:r w:rsidR="009A64A0">
        <w:t>.</w:t>
      </w:r>
      <w:r>
        <w:t xml:space="preserve"> </w:t>
      </w:r>
    </w:p>
    <w:p w:rsidR="0077566E" w:rsidP="00364CDC" w14:paraId="5331631F" w14:textId="6FB1BC42">
      <w:r>
        <w:t>There have been no statutory or regulatory changes affecting this information collection.  The table below summarizes the changes since the last renewal of this information collection.</w:t>
      </w:r>
    </w:p>
    <w:p w:rsidR="00730E02" w:rsidP="00364CDC" w14:paraId="6A162DB8" w14:textId="77777777"/>
    <w:tbl>
      <w:tblPr>
        <w:tblW w:w="5900" w:type="dxa"/>
        <w:jc w:val="center"/>
        <w:tblLook w:val="04A0"/>
      </w:tblPr>
      <w:tblGrid>
        <w:gridCol w:w="1995"/>
        <w:gridCol w:w="1235"/>
        <w:gridCol w:w="1230"/>
        <w:gridCol w:w="1440"/>
      </w:tblGrid>
      <w:tr w14:paraId="7ECAFE61" w14:textId="77777777" w:rsidTr="00730E02">
        <w:tblPrEx>
          <w:tblW w:w="5900" w:type="dxa"/>
          <w:jc w:val="center"/>
          <w:tblLook w:val="04A0"/>
        </w:tblPrEx>
        <w:trPr>
          <w:trHeight w:val="835"/>
          <w:jc w:val="center"/>
        </w:trPr>
        <w:tc>
          <w:tcPr>
            <w:tcW w:w="1995" w:type="dxa"/>
            <w:tcBorders>
              <w:top w:val="single" w:sz="8" w:space="0" w:color="auto"/>
              <w:left w:val="single" w:sz="8" w:space="0" w:color="auto"/>
              <w:bottom w:val="single" w:sz="8" w:space="0" w:color="auto"/>
              <w:right w:val="single" w:sz="8" w:space="0" w:color="auto"/>
            </w:tcBorders>
            <w:shd w:val="clear" w:color="000000" w:fill="C5D9F1"/>
            <w:vAlign w:val="center"/>
            <w:hideMark/>
          </w:tcPr>
          <w:p w:rsidR="003B6A7C" w14:paraId="57777FFF" w14:textId="77777777">
            <w:pPr>
              <w:jc w:val="center"/>
              <w:rPr>
                <w:b/>
                <w:bCs/>
                <w:color w:val="000000"/>
                <w:sz w:val="20"/>
                <w:szCs w:val="20"/>
              </w:rPr>
            </w:pPr>
            <w:r>
              <w:rPr>
                <w:b/>
                <w:bCs/>
                <w:color w:val="000000"/>
                <w:sz w:val="20"/>
                <w:szCs w:val="20"/>
              </w:rPr>
              <w:t> </w:t>
            </w:r>
          </w:p>
        </w:tc>
        <w:tc>
          <w:tcPr>
            <w:tcW w:w="1235" w:type="dxa"/>
            <w:tcBorders>
              <w:top w:val="single" w:sz="8" w:space="0" w:color="auto"/>
              <w:left w:val="nil"/>
              <w:bottom w:val="single" w:sz="8" w:space="0" w:color="auto"/>
              <w:right w:val="single" w:sz="8" w:space="0" w:color="auto"/>
            </w:tcBorders>
            <w:shd w:val="clear" w:color="000000" w:fill="C5D9F1"/>
            <w:vAlign w:val="center"/>
            <w:hideMark/>
          </w:tcPr>
          <w:p w:rsidR="003B6A7C" w14:paraId="1E762E15" w14:textId="77777777">
            <w:pPr>
              <w:jc w:val="center"/>
              <w:rPr>
                <w:b/>
                <w:bCs/>
                <w:color w:val="000000"/>
                <w:sz w:val="20"/>
                <w:szCs w:val="20"/>
              </w:rPr>
            </w:pPr>
            <w:r>
              <w:rPr>
                <w:b/>
                <w:bCs/>
                <w:color w:val="000000"/>
                <w:sz w:val="20"/>
                <w:szCs w:val="20"/>
              </w:rPr>
              <w:t>2022 Approved Burden</w:t>
            </w:r>
          </w:p>
        </w:tc>
        <w:tc>
          <w:tcPr>
            <w:tcW w:w="1230" w:type="dxa"/>
            <w:tcBorders>
              <w:top w:val="single" w:sz="8" w:space="0" w:color="auto"/>
              <w:left w:val="nil"/>
              <w:bottom w:val="single" w:sz="8" w:space="0" w:color="auto"/>
              <w:right w:val="single" w:sz="8" w:space="0" w:color="auto"/>
            </w:tcBorders>
            <w:shd w:val="clear" w:color="000000" w:fill="C5D9F1"/>
            <w:vAlign w:val="center"/>
            <w:hideMark/>
          </w:tcPr>
          <w:p w:rsidR="003B6A7C" w14:paraId="36D2AA4E" w14:textId="77777777">
            <w:pPr>
              <w:jc w:val="center"/>
              <w:rPr>
                <w:b/>
                <w:bCs/>
                <w:color w:val="000000"/>
                <w:sz w:val="20"/>
                <w:szCs w:val="20"/>
              </w:rPr>
            </w:pPr>
            <w:r>
              <w:rPr>
                <w:b/>
                <w:bCs/>
                <w:color w:val="000000"/>
                <w:sz w:val="20"/>
                <w:szCs w:val="20"/>
              </w:rPr>
              <w:t>2025 New Requested Burden</w:t>
            </w:r>
          </w:p>
        </w:tc>
        <w:tc>
          <w:tcPr>
            <w:tcW w:w="1440" w:type="dxa"/>
            <w:tcBorders>
              <w:top w:val="single" w:sz="8" w:space="0" w:color="auto"/>
              <w:left w:val="nil"/>
              <w:bottom w:val="single" w:sz="8" w:space="0" w:color="auto"/>
              <w:right w:val="single" w:sz="8" w:space="0" w:color="auto"/>
            </w:tcBorders>
            <w:shd w:val="clear" w:color="000000" w:fill="C5D9F1"/>
            <w:vAlign w:val="center"/>
            <w:hideMark/>
          </w:tcPr>
          <w:p w:rsidR="003B6A7C" w14:paraId="4ADC4189" w14:textId="77777777">
            <w:pPr>
              <w:jc w:val="center"/>
              <w:rPr>
                <w:b/>
                <w:bCs/>
                <w:color w:val="000000"/>
                <w:sz w:val="20"/>
                <w:szCs w:val="20"/>
              </w:rPr>
            </w:pPr>
            <w:r>
              <w:rPr>
                <w:b/>
                <w:bCs/>
                <w:color w:val="000000"/>
                <w:sz w:val="20"/>
                <w:szCs w:val="20"/>
              </w:rPr>
              <w:t>Difference</w:t>
            </w:r>
          </w:p>
        </w:tc>
      </w:tr>
      <w:tr w14:paraId="266B82A7" w14:textId="77777777" w:rsidTr="00730E02">
        <w:tblPrEx>
          <w:tblW w:w="5900" w:type="dxa"/>
          <w:jc w:val="center"/>
          <w:tblLook w:val="04A0"/>
        </w:tblPrEx>
        <w:trPr>
          <w:trHeight w:val="322"/>
          <w:jc w:val="center"/>
        </w:trPr>
        <w:tc>
          <w:tcPr>
            <w:tcW w:w="1995" w:type="dxa"/>
            <w:tcBorders>
              <w:top w:val="nil"/>
              <w:left w:val="single" w:sz="8" w:space="0" w:color="auto"/>
              <w:bottom w:val="single" w:sz="8" w:space="0" w:color="auto"/>
              <w:right w:val="single" w:sz="8" w:space="0" w:color="auto"/>
            </w:tcBorders>
            <w:vAlign w:val="center"/>
            <w:hideMark/>
          </w:tcPr>
          <w:p w:rsidR="003B6A7C" w14:paraId="4C8DD8BB" w14:textId="77777777">
            <w:pPr>
              <w:rPr>
                <w:color w:val="000000"/>
                <w:sz w:val="20"/>
                <w:szCs w:val="20"/>
              </w:rPr>
            </w:pPr>
            <w:r>
              <w:rPr>
                <w:color w:val="000000"/>
                <w:sz w:val="20"/>
                <w:szCs w:val="20"/>
              </w:rPr>
              <w:t>Annual respondents</w:t>
            </w:r>
          </w:p>
        </w:tc>
        <w:tc>
          <w:tcPr>
            <w:tcW w:w="1235" w:type="dxa"/>
            <w:tcBorders>
              <w:top w:val="nil"/>
              <w:left w:val="nil"/>
              <w:bottom w:val="single" w:sz="8" w:space="0" w:color="auto"/>
              <w:right w:val="nil"/>
            </w:tcBorders>
            <w:noWrap/>
            <w:vAlign w:val="bottom"/>
            <w:hideMark/>
          </w:tcPr>
          <w:p w:rsidR="003B6A7C" w:rsidP="003B6A7C" w14:paraId="78C063C2" w14:textId="5528690E">
            <w:pPr>
              <w:jc w:val="right"/>
              <w:rPr>
                <w:color w:val="000000"/>
                <w:sz w:val="22"/>
                <w:szCs w:val="22"/>
              </w:rPr>
            </w:pPr>
            <w:r>
              <w:rPr>
                <w:color w:val="000000"/>
                <w:sz w:val="22"/>
                <w:szCs w:val="22"/>
              </w:rPr>
              <w:t xml:space="preserve">         1,900 </w:t>
            </w:r>
          </w:p>
        </w:tc>
        <w:tc>
          <w:tcPr>
            <w:tcW w:w="1230" w:type="dxa"/>
            <w:tcBorders>
              <w:top w:val="nil"/>
              <w:left w:val="single" w:sz="8" w:space="0" w:color="auto"/>
              <w:bottom w:val="single" w:sz="8" w:space="0" w:color="auto"/>
              <w:right w:val="single" w:sz="8" w:space="0" w:color="auto"/>
            </w:tcBorders>
            <w:noWrap/>
            <w:vAlign w:val="bottom"/>
            <w:hideMark/>
          </w:tcPr>
          <w:p w:rsidR="003B6A7C" w:rsidP="003B6A7C" w14:paraId="07C003EA" w14:textId="77777777">
            <w:pPr>
              <w:jc w:val="right"/>
              <w:rPr>
                <w:color w:val="000000"/>
                <w:sz w:val="22"/>
                <w:szCs w:val="22"/>
              </w:rPr>
            </w:pPr>
            <w:r>
              <w:rPr>
                <w:color w:val="000000"/>
                <w:sz w:val="22"/>
                <w:szCs w:val="22"/>
              </w:rPr>
              <w:t xml:space="preserve">      1,853 </w:t>
            </w:r>
          </w:p>
        </w:tc>
        <w:tc>
          <w:tcPr>
            <w:tcW w:w="1440" w:type="dxa"/>
            <w:tcBorders>
              <w:top w:val="nil"/>
              <w:left w:val="nil"/>
              <w:bottom w:val="single" w:sz="8" w:space="0" w:color="auto"/>
              <w:right w:val="single" w:sz="8" w:space="0" w:color="auto"/>
            </w:tcBorders>
            <w:noWrap/>
            <w:vAlign w:val="bottom"/>
            <w:hideMark/>
          </w:tcPr>
          <w:p w:rsidR="003B6A7C" w:rsidP="003B6A7C" w14:paraId="6C62D3FD" w14:textId="314B0AF3">
            <w:pPr>
              <w:jc w:val="right"/>
              <w:rPr>
                <w:color w:val="000000"/>
                <w:sz w:val="22"/>
                <w:szCs w:val="22"/>
              </w:rPr>
            </w:pPr>
            <w:r>
              <w:rPr>
                <w:color w:val="000000"/>
                <w:sz w:val="22"/>
                <w:szCs w:val="22"/>
              </w:rPr>
              <w:t xml:space="preserve">              (47)</w:t>
            </w:r>
          </w:p>
        </w:tc>
      </w:tr>
      <w:tr w14:paraId="6461D6A5" w14:textId="77777777" w:rsidTr="00730E02">
        <w:tblPrEx>
          <w:tblW w:w="5900" w:type="dxa"/>
          <w:jc w:val="center"/>
          <w:tblLook w:val="04A0"/>
        </w:tblPrEx>
        <w:trPr>
          <w:trHeight w:val="250"/>
          <w:jc w:val="center"/>
        </w:trPr>
        <w:tc>
          <w:tcPr>
            <w:tcW w:w="1995" w:type="dxa"/>
            <w:tcBorders>
              <w:top w:val="nil"/>
              <w:left w:val="single" w:sz="8" w:space="0" w:color="auto"/>
              <w:bottom w:val="single" w:sz="8" w:space="0" w:color="auto"/>
              <w:right w:val="single" w:sz="8" w:space="0" w:color="auto"/>
            </w:tcBorders>
            <w:vAlign w:val="center"/>
            <w:hideMark/>
          </w:tcPr>
          <w:p w:rsidR="003B6A7C" w14:paraId="05801052" w14:textId="77777777">
            <w:pPr>
              <w:rPr>
                <w:color w:val="000000"/>
                <w:sz w:val="20"/>
                <w:szCs w:val="20"/>
              </w:rPr>
            </w:pPr>
            <w:r>
              <w:rPr>
                <w:color w:val="000000"/>
                <w:sz w:val="20"/>
                <w:szCs w:val="20"/>
              </w:rPr>
              <w:t>Annual burden hours</w:t>
            </w:r>
          </w:p>
        </w:tc>
        <w:tc>
          <w:tcPr>
            <w:tcW w:w="1235" w:type="dxa"/>
            <w:tcBorders>
              <w:top w:val="nil"/>
              <w:left w:val="nil"/>
              <w:bottom w:val="single" w:sz="8" w:space="0" w:color="auto"/>
              <w:right w:val="nil"/>
            </w:tcBorders>
            <w:noWrap/>
            <w:vAlign w:val="bottom"/>
            <w:hideMark/>
          </w:tcPr>
          <w:p w:rsidR="003B6A7C" w:rsidP="003B6A7C" w14:paraId="1CFED07D" w14:textId="562023F3">
            <w:pPr>
              <w:jc w:val="right"/>
              <w:rPr>
                <w:color w:val="000000"/>
                <w:sz w:val="22"/>
                <w:szCs w:val="22"/>
              </w:rPr>
            </w:pPr>
            <w:r>
              <w:rPr>
                <w:color w:val="000000"/>
                <w:sz w:val="22"/>
                <w:szCs w:val="22"/>
              </w:rPr>
              <w:t xml:space="preserve">            357 </w:t>
            </w:r>
          </w:p>
        </w:tc>
        <w:tc>
          <w:tcPr>
            <w:tcW w:w="1230" w:type="dxa"/>
            <w:tcBorders>
              <w:top w:val="nil"/>
              <w:left w:val="single" w:sz="8" w:space="0" w:color="auto"/>
              <w:bottom w:val="single" w:sz="8" w:space="0" w:color="auto"/>
              <w:right w:val="single" w:sz="8" w:space="0" w:color="auto"/>
            </w:tcBorders>
            <w:noWrap/>
            <w:vAlign w:val="bottom"/>
            <w:hideMark/>
          </w:tcPr>
          <w:p w:rsidR="003B6A7C" w:rsidP="003B6A7C" w14:paraId="769115D0" w14:textId="77777777">
            <w:pPr>
              <w:jc w:val="right"/>
              <w:rPr>
                <w:color w:val="000000"/>
                <w:sz w:val="22"/>
                <w:szCs w:val="22"/>
              </w:rPr>
            </w:pPr>
            <w:r>
              <w:rPr>
                <w:color w:val="000000"/>
                <w:sz w:val="22"/>
                <w:szCs w:val="22"/>
              </w:rPr>
              <w:t xml:space="preserve">        398 </w:t>
            </w:r>
          </w:p>
        </w:tc>
        <w:tc>
          <w:tcPr>
            <w:tcW w:w="1440" w:type="dxa"/>
            <w:tcBorders>
              <w:top w:val="nil"/>
              <w:left w:val="nil"/>
              <w:bottom w:val="single" w:sz="8" w:space="0" w:color="auto"/>
              <w:right w:val="single" w:sz="8" w:space="0" w:color="auto"/>
            </w:tcBorders>
            <w:noWrap/>
            <w:vAlign w:val="bottom"/>
            <w:hideMark/>
          </w:tcPr>
          <w:p w:rsidR="003B6A7C" w:rsidP="003B6A7C" w14:paraId="36FEB490" w14:textId="77777777">
            <w:pPr>
              <w:jc w:val="right"/>
              <w:rPr>
                <w:color w:val="000000"/>
                <w:sz w:val="22"/>
                <w:szCs w:val="22"/>
              </w:rPr>
            </w:pPr>
            <w:r>
              <w:rPr>
                <w:color w:val="000000"/>
                <w:sz w:val="22"/>
                <w:szCs w:val="22"/>
              </w:rPr>
              <w:t xml:space="preserve">                  41 </w:t>
            </w:r>
          </w:p>
        </w:tc>
      </w:tr>
      <w:tr w14:paraId="57B9D57F" w14:textId="77777777" w:rsidTr="00730E02">
        <w:tblPrEx>
          <w:tblW w:w="5900" w:type="dxa"/>
          <w:jc w:val="center"/>
          <w:tblLook w:val="04A0"/>
        </w:tblPrEx>
        <w:trPr>
          <w:trHeight w:val="268"/>
          <w:jc w:val="center"/>
        </w:trPr>
        <w:tc>
          <w:tcPr>
            <w:tcW w:w="1995" w:type="dxa"/>
            <w:tcBorders>
              <w:top w:val="nil"/>
              <w:left w:val="single" w:sz="8" w:space="0" w:color="auto"/>
              <w:bottom w:val="single" w:sz="8" w:space="0" w:color="auto"/>
              <w:right w:val="single" w:sz="8" w:space="0" w:color="auto"/>
            </w:tcBorders>
            <w:vAlign w:val="center"/>
            <w:hideMark/>
          </w:tcPr>
          <w:p w:rsidR="003B6A7C" w14:paraId="18746C15" w14:textId="77777777">
            <w:pPr>
              <w:rPr>
                <w:color w:val="000000"/>
                <w:sz w:val="20"/>
                <w:szCs w:val="20"/>
              </w:rPr>
            </w:pPr>
            <w:r>
              <w:rPr>
                <w:color w:val="000000"/>
                <w:sz w:val="20"/>
                <w:szCs w:val="20"/>
              </w:rPr>
              <w:t>Annual cost ($)</w:t>
            </w:r>
          </w:p>
        </w:tc>
        <w:tc>
          <w:tcPr>
            <w:tcW w:w="1235" w:type="dxa"/>
            <w:tcBorders>
              <w:top w:val="nil"/>
              <w:left w:val="nil"/>
              <w:bottom w:val="single" w:sz="8" w:space="0" w:color="auto"/>
              <w:right w:val="nil"/>
            </w:tcBorders>
            <w:noWrap/>
            <w:vAlign w:val="bottom"/>
            <w:hideMark/>
          </w:tcPr>
          <w:p w:rsidR="003B6A7C" w:rsidP="003B6A7C" w14:paraId="456329EF" w14:textId="58B30761">
            <w:pPr>
              <w:jc w:val="right"/>
              <w:rPr>
                <w:color w:val="000000"/>
                <w:sz w:val="22"/>
                <w:szCs w:val="22"/>
              </w:rPr>
            </w:pPr>
            <w:r>
              <w:rPr>
                <w:color w:val="000000"/>
                <w:sz w:val="22"/>
                <w:szCs w:val="22"/>
              </w:rPr>
              <w:t xml:space="preserve">       24,715 </w:t>
            </w:r>
          </w:p>
        </w:tc>
        <w:tc>
          <w:tcPr>
            <w:tcW w:w="1230" w:type="dxa"/>
            <w:tcBorders>
              <w:top w:val="nil"/>
              <w:left w:val="single" w:sz="8" w:space="0" w:color="auto"/>
              <w:bottom w:val="single" w:sz="8" w:space="0" w:color="auto"/>
              <w:right w:val="single" w:sz="8" w:space="0" w:color="auto"/>
            </w:tcBorders>
            <w:noWrap/>
            <w:vAlign w:val="bottom"/>
            <w:hideMark/>
          </w:tcPr>
          <w:p w:rsidR="003B6A7C" w:rsidP="003B6A7C" w14:paraId="084C9A88" w14:textId="77777777">
            <w:pPr>
              <w:jc w:val="right"/>
              <w:rPr>
                <w:color w:val="000000"/>
                <w:sz w:val="22"/>
                <w:szCs w:val="22"/>
              </w:rPr>
            </w:pPr>
            <w:r>
              <w:rPr>
                <w:color w:val="000000"/>
                <w:sz w:val="22"/>
                <w:szCs w:val="22"/>
              </w:rPr>
              <w:t>0</w:t>
            </w:r>
          </w:p>
        </w:tc>
        <w:tc>
          <w:tcPr>
            <w:tcW w:w="1440" w:type="dxa"/>
            <w:tcBorders>
              <w:top w:val="nil"/>
              <w:left w:val="nil"/>
              <w:bottom w:val="single" w:sz="8" w:space="0" w:color="auto"/>
              <w:right w:val="single" w:sz="8" w:space="0" w:color="auto"/>
            </w:tcBorders>
            <w:noWrap/>
            <w:vAlign w:val="bottom"/>
            <w:hideMark/>
          </w:tcPr>
          <w:p w:rsidR="003B6A7C" w:rsidP="003B6A7C" w14:paraId="7DD10BAD" w14:textId="12167CE9">
            <w:pPr>
              <w:jc w:val="right"/>
              <w:rPr>
                <w:color w:val="000000"/>
                <w:sz w:val="22"/>
                <w:szCs w:val="22"/>
              </w:rPr>
            </w:pPr>
            <w:r>
              <w:rPr>
                <w:color w:val="000000"/>
                <w:sz w:val="22"/>
                <w:szCs w:val="22"/>
              </w:rPr>
              <w:t xml:space="preserve">        (24,715)</w:t>
            </w:r>
          </w:p>
        </w:tc>
      </w:tr>
    </w:tbl>
    <w:p w:rsidR="0077566E" w:rsidP="00364CDC" w14:paraId="2BDF36F5" w14:textId="77777777"/>
    <w:p w:rsidR="00B47BD1" w:rsidP="00364CDC" w14:paraId="07301A7D" w14:textId="77777777"/>
    <w:p w:rsidR="00A34480" w:rsidP="00364CDC" w14:paraId="2129ECCF" w14:textId="38B7B60F">
      <w:r w:rsidRPr="00C80ABE">
        <w:rPr>
          <w:b/>
          <w:bCs/>
        </w:rPr>
        <w:t>16.</w:t>
      </w:r>
      <w:r>
        <w:t xml:space="preserve"> </w:t>
      </w:r>
      <w:r w:rsidR="00097965">
        <w:t>DEA will not publish the results of the information collected.</w:t>
      </w:r>
    </w:p>
    <w:p w:rsidR="00801C74" w:rsidP="00364CDC" w14:paraId="606E7F50" w14:textId="77777777"/>
    <w:p w:rsidR="00B47BD1" w:rsidP="00364CDC" w14:paraId="1E6827C6" w14:textId="1851DFC0">
      <w:r w:rsidRPr="00C80ABE">
        <w:rPr>
          <w:b/>
          <w:bCs/>
        </w:rPr>
        <w:t>17.</w:t>
      </w:r>
      <w:r>
        <w:t xml:space="preserve"> </w:t>
      </w:r>
      <w:r w:rsidR="005326B5">
        <w:t>DEA</w:t>
      </w:r>
      <w:r w:rsidR="00447490">
        <w:t xml:space="preserve"> has no </w:t>
      </w:r>
      <w:r w:rsidR="00F65A68">
        <w:t>objection to</w:t>
      </w:r>
      <w:r w:rsidR="00447490">
        <w:t xml:space="preserve"> OMB displaying the expiration date.</w:t>
      </w:r>
      <w:r w:rsidR="009B3055">
        <w:t xml:space="preserve"> </w:t>
      </w:r>
    </w:p>
    <w:p w:rsidR="009B3055" w:rsidP="00364CDC" w14:paraId="1CCAA156" w14:textId="77777777"/>
    <w:p w:rsidR="00A34480" w:rsidP="00364CDC" w14:paraId="07330DAF" w14:textId="69EABE88">
      <w:r w:rsidRPr="00C80ABE">
        <w:rPr>
          <w:b/>
          <w:bCs/>
        </w:rPr>
        <w:t>18.</w:t>
      </w:r>
      <w:r>
        <w:t xml:space="preserve"> </w:t>
      </w:r>
      <w:r w:rsidR="00097965">
        <w:t>DEA is not seeking an exception to the certification statement “Certification for Paperwork Reduction Act Submissions” for this collection of information</w:t>
      </w:r>
      <w:r>
        <w:t>.</w:t>
      </w:r>
    </w:p>
    <w:p w:rsidR="00A34480" w:rsidP="00364CDC" w14:paraId="4CA09484" w14:textId="77777777"/>
    <w:p w:rsidR="00A34480" w:rsidRPr="0001631D" w:rsidP="00364CDC" w14:paraId="476E70A8" w14:textId="77777777">
      <w:pPr>
        <w:rPr>
          <w:b/>
        </w:rPr>
      </w:pPr>
      <w:r w:rsidRPr="0001631D">
        <w:rPr>
          <w:b/>
        </w:rPr>
        <w:t>Part B.  Statistical Methods</w:t>
      </w:r>
    </w:p>
    <w:p w:rsidR="00097965" w:rsidP="00364CDC" w14:paraId="72E4BBAA" w14:textId="77777777"/>
    <w:p w:rsidR="00E2099F" w:rsidP="00364CDC" w14:paraId="4C005268" w14:textId="187DDB1E">
      <w:r>
        <w:t xml:space="preserve">DEA </w:t>
      </w:r>
      <w:r w:rsidR="00097965">
        <w:t xml:space="preserve">does </w:t>
      </w:r>
      <w:r>
        <w:t>not employ statistical methods in this information collection.</w:t>
      </w:r>
    </w:p>
    <w:sectPr w:rsidSect="00533C76">
      <w:headerReference w:type="default" r:id="rId12"/>
      <w:footerReference w:type="default" r:id="rId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42747365"/>
      <w:docPartObj>
        <w:docPartGallery w:val="Page Numbers (Bottom of Page)"/>
        <w:docPartUnique/>
      </w:docPartObj>
    </w:sdtPr>
    <w:sdtEndPr>
      <w:rPr>
        <w:noProof/>
      </w:rPr>
    </w:sdtEndPr>
    <w:sdtContent>
      <w:p w:rsidR="0076343F" w14:paraId="54971E9A" w14:textId="0237BF01">
        <w:pPr>
          <w:pStyle w:val="Footer"/>
          <w:jc w:val="center"/>
        </w:pPr>
        <w:r>
          <w:fldChar w:fldCharType="begin"/>
        </w:r>
        <w:r>
          <w:instrText xml:space="preserve"> PAGE   \* MERGEFORMAT </w:instrText>
        </w:r>
        <w:r>
          <w:fldChar w:fldCharType="separate"/>
        </w:r>
        <w:r w:rsidR="00646332">
          <w:rPr>
            <w:noProof/>
          </w:rPr>
          <w:t>3</w:t>
        </w:r>
        <w:r>
          <w:rPr>
            <w:noProof/>
          </w:rPr>
          <w:fldChar w:fldCharType="end"/>
        </w:r>
      </w:p>
    </w:sdtContent>
  </w:sdt>
  <w:p w:rsidR="0076343F" w14:paraId="447DEFA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625B5" w:rsidP="00492812" w14:paraId="6AE84DCA" w14:textId="77777777">
      <w:r>
        <w:separator/>
      </w:r>
    </w:p>
  </w:footnote>
  <w:footnote w:type="continuationSeparator" w:id="1">
    <w:p w:rsidR="008625B5" w:rsidP="00492812" w14:paraId="46885E01" w14:textId="77777777">
      <w:r>
        <w:continuationSeparator/>
      </w:r>
    </w:p>
  </w:footnote>
  <w:footnote w:id="2">
    <w:p w:rsidR="00CB69DF" w:rsidRPr="00920892" w14:paraId="3FA6F1F5" w14:textId="77777777">
      <w:pPr>
        <w:pStyle w:val="FootnoteText"/>
      </w:pPr>
      <w:r w:rsidRPr="00C90556">
        <w:rPr>
          <w:rStyle w:val="FootnoteReference"/>
          <w:vertAlign w:val="superscript"/>
        </w:rPr>
        <w:footnoteRef/>
      </w:r>
      <w:r w:rsidRPr="00C90556">
        <w:rPr>
          <w:vertAlign w:val="superscript"/>
        </w:rPr>
        <w:t xml:space="preserve"> </w:t>
      </w:r>
      <w:r w:rsidRPr="00920892" w:rsidR="00920892">
        <w:t xml:space="preserve">Pursuant to 21 U.S.C. 823(g)(2) this registration requirement is waived for certain practitioners under specified circumstances.  </w:t>
      </w:r>
    </w:p>
  </w:footnote>
  <w:footnote w:id="3">
    <w:p w:rsidR="004F38CE" w:rsidP="004F38CE" w14:paraId="0ADAE05C" w14:textId="56F45977">
      <w:pPr>
        <w:pStyle w:val="FootnoteText"/>
        <w:rPr>
          <w:rFonts w:ascii="Times New Roman" w:hAnsi="Times New Roman"/>
        </w:rPr>
      </w:pPr>
      <w:r>
        <w:rPr>
          <w:rStyle w:val="FootnoteReference"/>
          <w:vertAlign w:val="superscript"/>
        </w:rPr>
        <w:footnoteRef/>
      </w:r>
      <w:r>
        <w:rPr>
          <w:rFonts w:ascii="Times New Roman" w:hAnsi="Times New Roman"/>
        </w:rPr>
        <w:t xml:space="preserve"> Median hourly wages for 11-1021 General and Operations Manager is used to represent the occupation of persons completing the DEA Form 363 and 363a.  May 2024 National Occupational Employment and Wage Estimates United States. </w:t>
      </w:r>
      <w:r w:rsidRPr="005A2676">
        <w:rPr>
          <w:rFonts w:ascii="Times New Roman" w:hAnsi="Times New Roman"/>
        </w:rPr>
        <w:t>http://www.bls.gov/oes/current/oes_nat.htm</w:t>
      </w:r>
      <w:r>
        <w:rPr>
          <w:rFonts w:ascii="Times New Roman" w:hAnsi="Times New Roman"/>
        </w:rPr>
        <w:t xml:space="preserve">.  </w:t>
      </w:r>
    </w:p>
  </w:footnote>
  <w:footnote w:id="4">
    <w:p w:rsidR="004F38CE" w:rsidP="004F38CE" w14:paraId="6B428C36" w14:textId="06252AD3">
      <w:pPr>
        <w:pStyle w:val="FootnoteText"/>
        <w:rPr>
          <w:rFonts w:ascii="Times New Roman" w:hAnsi="Times New Roman"/>
        </w:rPr>
      </w:pPr>
      <w:r>
        <w:rPr>
          <w:rStyle w:val="FootnoteReference"/>
          <w:vertAlign w:val="superscript"/>
        </w:rPr>
        <w:footnoteRef/>
      </w:r>
      <w:r>
        <w:rPr>
          <w:rFonts w:ascii="Times New Roman" w:hAnsi="Times New Roman"/>
        </w:rPr>
        <w:t xml:space="preserve"> Bureau of Labor Statistics, “Employer Costs for Employee Compensation – March 2025” (ECEC) reports that average benefits for private industry is 29.</w:t>
      </w:r>
      <w:r w:rsidR="00A10A49">
        <w:rPr>
          <w:rFonts w:ascii="Times New Roman" w:hAnsi="Times New Roman"/>
        </w:rPr>
        <w:t>7</w:t>
      </w:r>
      <w:r>
        <w:rPr>
          <w:rFonts w:ascii="Times New Roman" w:hAnsi="Times New Roman"/>
        </w:rPr>
        <w:t>% of total compensation.  The 29.</w:t>
      </w:r>
      <w:r w:rsidR="00A10A49">
        <w:rPr>
          <w:rFonts w:ascii="Times New Roman" w:hAnsi="Times New Roman"/>
        </w:rPr>
        <w:t>7</w:t>
      </w:r>
      <w:r>
        <w:rPr>
          <w:rFonts w:ascii="Times New Roman" w:hAnsi="Times New Roman"/>
        </w:rPr>
        <w:t>% of total compensation equates to 42</w:t>
      </w:r>
      <w:r w:rsidR="00C833BA">
        <w:rPr>
          <w:rFonts w:ascii="Times New Roman" w:hAnsi="Times New Roman"/>
        </w:rPr>
        <w:t>.2</w:t>
      </w:r>
      <w:r>
        <w:rPr>
          <w:rFonts w:ascii="Times New Roman" w:hAnsi="Times New Roman"/>
        </w:rPr>
        <w:t>% (29</w:t>
      </w:r>
      <w:r w:rsidR="00A10A49">
        <w:rPr>
          <w:rFonts w:ascii="Times New Roman" w:hAnsi="Times New Roman"/>
        </w:rPr>
        <w:t>.7</w:t>
      </w:r>
      <w:r>
        <w:rPr>
          <w:rFonts w:ascii="Times New Roman" w:hAnsi="Times New Roman"/>
        </w:rPr>
        <w:t>% / 70.</w:t>
      </w:r>
      <w:r w:rsidR="00A10A49">
        <w:rPr>
          <w:rFonts w:ascii="Times New Roman" w:hAnsi="Times New Roman"/>
        </w:rPr>
        <w:t>3</w:t>
      </w:r>
      <w:r>
        <w:rPr>
          <w:rFonts w:ascii="Times New Roman" w:hAnsi="Times New Roman"/>
        </w:rPr>
        <w:t>%) load on wages and salaries.</w:t>
      </w:r>
    </w:p>
  </w:footnote>
  <w:footnote w:id="5">
    <w:p w:rsidR="00A10A49" w:rsidP="00A10A49" w14:paraId="4C38535A" w14:textId="29A6EA55">
      <w:pPr>
        <w:pStyle w:val="FootnoteText"/>
        <w:rPr>
          <w:rFonts w:ascii="Times New Roman" w:hAnsi="Times New Roman"/>
        </w:rPr>
      </w:pPr>
      <w:r>
        <w:rPr>
          <w:rStyle w:val="FootnoteReference"/>
          <w:vertAlign w:val="superscript"/>
        </w:rPr>
        <w:footnoteRef/>
      </w:r>
      <w:r>
        <w:rPr>
          <w:rFonts w:ascii="Times New Roman" w:hAnsi="Times New Roman"/>
        </w:rPr>
        <w:t xml:space="preserve"> Based on number of </w:t>
      </w:r>
      <w:r w:rsidR="00C833BA">
        <w:rPr>
          <w:rFonts w:ascii="Times New Roman" w:hAnsi="Times New Roman"/>
        </w:rPr>
        <w:t xml:space="preserve">onboard </w:t>
      </w:r>
      <w:r>
        <w:rPr>
          <w:rFonts w:ascii="Times New Roman" w:hAnsi="Times New Roman"/>
        </w:rPr>
        <w:t>positions, June 24, 2025.</w:t>
      </w:r>
    </w:p>
  </w:footnote>
  <w:footnote w:id="6">
    <w:p w:rsidR="00A10A49" w:rsidP="00A10A49" w14:paraId="02ECEC73" w14:textId="6E584479">
      <w:pPr>
        <w:pStyle w:val="FootnoteText"/>
        <w:rPr>
          <w:rFonts w:ascii="Times New Roman" w:hAnsi="Times New Roman"/>
        </w:rPr>
      </w:pPr>
      <w:r>
        <w:rPr>
          <w:rStyle w:val="FootnoteReference"/>
          <w:rFonts w:eastAsia="Times New Roman"/>
          <w:color w:val="000000"/>
          <w:vertAlign w:val="superscript"/>
        </w:rPr>
        <w:footnoteRef/>
      </w:r>
      <w:r>
        <w:rPr>
          <w:rStyle w:val="FootnoteReference"/>
          <w:rFonts w:eastAsia="Times New Roman"/>
          <w:color w:val="000000"/>
          <w:vertAlign w:val="superscript"/>
        </w:rPr>
        <w:t xml:space="preserve"> </w:t>
      </w:r>
      <w:bookmarkStart w:id="6" w:name="OLE_LINK14"/>
      <w:r w:rsidRPr="00A10A49">
        <w:rPr>
          <w:rFonts w:ascii="Times New Roman" w:hAnsi="Times New Roman"/>
        </w:rPr>
        <w:t>Costs are based on the Office of Personnel Management’s 2025 general schedule locality pay tables for the Washington-Baltimore-Arlington area (</w:t>
      </w:r>
      <w:r w:rsidRPr="00AC75E3">
        <w:rPr>
          <w:rFonts w:ascii="Times New Roman" w:hAnsi="Times New Roman"/>
        </w:rPr>
        <w:t>https://www.opm.gov/policy-data-oversight/pay-leave/salaries-wages/salary-tables/pdf/2025/DCB.pdf</w:t>
      </w:r>
      <w:r w:rsidRPr="00A10A49">
        <w:rPr>
          <w:rFonts w:ascii="Times New Roman" w:hAnsi="Times New Roman"/>
        </w:rPr>
        <w:t>) for the grade listed, step 5.</w:t>
      </w:r>
      <w:bookmarkEnd w:id="6"/>
    </w:p>
  </w:footnote>
  <w:footnote w:id="7">
    <w:p w:rsidR="00A10A49" w:rsidP="00A10A49" w14:paraId="4EAC8AEA" w14:textId="1E845747">
      <w:pPr>
        <w:pStyle w:val="FootnoteText"/>
        <w:rPr>
          <w:rFonts w:ascii="Times New Roman" w:hAnsi="Times New Roman"/>
        </w:rPr>
      </w:pPr>
      <w:r>
        <w:rPr>
          <w:rStyle w:val="FootnoteReference"/>
          <w:rFonts w:eastAsia="Times New Roman"/>
          <w:color w:val="000000"/>
          <w:vertAlign w:val="superscript"/>
        </w:rPr>
        <w:footnoteRef/>
      </w:r>
      <w:r>
        <w:rPr>
          <w:rStyle w:val="FootnoteReference"/>
          <w:rFonts w:eastAsia="Times New Roman"/>
          <w:color w:val="000000"/>
          <w:vertAlign w:val="superscript"/>
        </w:rPr>
        <w:t xml:space="preserve"> </w:t>
      </w:r>
      <w:r w:rsidRPr="00A10A49">
        <w:rPr>
          <w:rFonts w:ascii="Times New Roman" w:hAnsi="Times New Roman"/>
        </w:rPr>
        <w:t>Government salary figures include 62.3% (38.4% / 61.6%) load for benefits based on the ECEC data for State and local government.  The ECEC data does not include figures for the Federal government.</w:t>
      </w:r>
    </w:p>
  </w:footnote>
  <w:footnote w:id="8">
    <w:p w:rsidR="00A10A49" w:rsidP="00A10A49" w14:paraId="6781A108" w14:textId="6C157CB4">
      <w:pPr>
        <w:pStyle w:val="FootnoteText"/>
        <w:rPr>
          <w:rFonts w:ascii="Times New Roman" w:hAnsi="Times New Roman"/>
        </w:rPr>
      </w:pPr>
      <w:r>
        <w:rPr>
          <w:rStyle w:val="FootnoteReference"/>
          <w:rFonts w:eastAsia="Times New Roman"/>
          <w:color w:val="000000"/>
          <w:vertAlign w:val="superscript"/>
        </w:rPr>
        <w:footnoteRef/>
      </w:r>
      <w:r>
        <w:rPr>
          <w:rStyle w:val="FootnoteReference"/>
          <w:rFonts w:eastAsia="Times New Roman"/>
          <w:color w:val="000000"/>
          <w:vertAlign w:val="superscript"/>
        </w:rPr>
        <w:t xml:space="preserve"> </w:t>
      </w:r>
      <w:r>
        <w:rPr>
          <w:rFonts w:ascii="Times New Roman" w:hAnsi="Times New Roman"/>
        </w:rPr>
        <w:t>Based on percent 363 and 363a forms of all registration application forms.</w:t>
      </w:r>
      <w:r w:rsidR="00FB344D">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6CA4" w:rsidRPr="00CA6CA4" w14:paraId="6125E9F5" w14:textId="28DAA024">
    <w:pPr>
      <w:pStyle w:val="Header"/>
      <w:rPr>
        <w:sz w:val="22"/>
        <w:szCs w:val="22"/>
      </w:rPr>
    </w:pPr>
    <w:r w:rsidRPr="00CA6CA4">
      <w:rPr>
        <w:sz w:val="22"/>
        <w:szCs w:val="22"/>
      </w:rPr>
      <w:t>Application for Registration – DEA Form 363, Application for Registration Renewal – DEA Form 363a</w:t>
    </w:r>
  </w:p>
  <w:p w:rsidR="00CA6CA4" w:rsidRPr="00CA6CA4" w14:paraId="58DEC9FA" w14:textId="5F966CD9">
    <w:pPr>
      <w:pStyle w:val="Header"/>
      <w:rPr>
        <w:sz w:val="22"/>
        <w:szCs w:val="22"/>
      </w:rPr>
    </w:pPr>
    <w:r w:rsidRPr="00CA6CA4">
      <w:rPr>
        <w:sz w:val="22"/>
        <w:szCs w:val="22"/>
      </w:rPr>
      <w:t>OMB Control Number:  1117-0015</w:t>
    </w:r>
    <w:r w:rsidRPr="00CA6CA4">
      <w:rPr>
        <w:sz w:val="22"/>
        <w:szCs w:val="22"/>
      </w:rPr>
      <w:br/>
      <w:t>OMB Expiration Date:  9/30/2025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E0D4D"/>
    <w:multiLevelType w:val="hybridMultilevel"/>
    <w:tmpl w:val="D56AD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1733DFC"/>
    <w:multiLevelType w:val="hybridMultilevel"/>
    <w:tmpl w:val="5BA66C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2B05627"/>
    <w:multiLevelType w:val="hybridMultilevel"/>
    <w:tmpl w:val="98E28A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4FB3495"/>
    <w:multiLevelType w:val="hybridMultilevel"/>
    <w:tmpl w:val="E51626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59A031F"/>
    <w:multiLevelType w:val="hybridMultilevel"/>
    <w:tmpl w:val="134A4CF8"/>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6BF06B2"/>
    <w:multiLevelType w:val="hybridMultilevel"/>
    <w:tmpl w:val="0A1080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5B3165"/>
    <w:multiLevelType w:val="hybridMultilevel"/>
    <w:tmpl w:val="44200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52E1EA2"/>
    <w:multiLevelType w:val="hybridMultilevel"/>
    <w:tmpl w:val="E21854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80B77B5"/>
    <w:multiLevelType w:val="hybridMultilevel"/>
    <w:tmpl w:val="3D1226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82A0018"/>
    <w:multiLevelType w:val="hybridMultilevel"/>
    <w:tmpl w:val="9FFE6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DC04D85"/>
    <w:multiLevelType w:val="hybridMultilevel"/>
    <w:tmpl w:val="235251A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34D5AF8"/>
    <w:multiLevelType w:val="hybridMultilevel"/>
    <w:tmpl w:val="6810B0A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54E38E1"/>
    <w:multiLevelType w:val="hybridMultilevel"/>
    <w:tmpl w:val="E70C35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779581F"/>
    <w:multiLevelType w:val="hybridMultilevel"/>
    <w:tmpl w:val="D9F29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E904CED"/>
    <w:multiLevelType w:val="hybridMultilevel"/>
    <w:tmpl w:val="CB68F3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2D0768E"/>
    <w:multiLevelType w:val="hybridMultilevel"/>
    <w:tmpl w:val="A4ACD778"/>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7B7056A"/>
    <w:multiLevelType w:val="hybridMultilevel"/>
    <w:tmpl w:val="CE481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B0B1D3E"/>
    <w:multiLevelType w:val="hybridMultilevel"/>
    <w:tmpl w:val="2196CE0E"/>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B9728AF"/>
    <w:multiLevelType w:val="hybridMultilevel"/>
    <w:tmpl w:val="1CF07A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3FD48F8"/>
    <w:multiLevelType w:val="hybridMultilevel"/>
    <w:tmpl w:val="25802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695558F"/>
    <w:multiLevelType w:val="hybridMultilevel"/>
    <w:tmpl w:val="1FB8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B7F5929"/>
    <w:multiLevelType w:val="hybridMultilevel"/>
    <w:tmpl w:val="F304A842"/>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CEC050E"/>
    <w:multiLevelType w:val="hybridMultilevel"/>
    <w:tmpl w:val="1E52A9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D2057AA"/>
    <w:multiLevelType w:val="hybridMultilevel"/>
    <w:tmpl w:val="CC7AFC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D733F6A"/>
    <w:multiLevelType w:val="hybridMultilevel"/>
    <w:tmpl w:val="00F658C8"/>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5">
    <w:nsid w:val="70C16579"/>
    <w:multiLevelType w:val="hybridMultilevel"/>
    <w:tmpl w:val="55D41B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13E2783"/>
    <w:multiLevelType w:val="hybridMultilevel"/>
    <w:tmpl w:val="315843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4192BA6"/>
    <w:multiLevelType w:val="hybridMultilevel"/>
    <w:tmpl w:val="80D84C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55F029F"/>
    <w:multiLevelType w:val="multilevel"/>
    <w:tmpl w:val="235251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879105D"/>
    <w:multiLevelType w:val="hybridMultilevel"/>
    <w:tmpl w:val="EC9A5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8C72B4B"/>
    <w:multiLevelType w:val="hybridMultilevel"/>
    <w:tmpl w:val="289A03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A56151C"/>
    <w:multiLevelType w:val="hybridMultilevel"/>
    <w:tmpl w:val="1E52A9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BCE4F0A"/>
    <w:multiLevelType w:val="hybridMultilevel"/>
    <w:tmpl w:val="51766EA8"/>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086756295">
    <w:abstractNumId w:val="32"/>
  </w:num>
  <w:num w:numId="2" w16cid:durableId="796996023">
    <w:abstractNumId w:val="17"/>
  </w:num>
  <w:num w:numId="3" w16cid:durableId="147484083">
    <w:abstractNumId w:val="4"/>
  </w:num>
  <w:num w:numId="4" w16cid:durableId="1722168493">
    <w:abstractNumId w:val="15"/>
  </w:num>
  <w:num w:numId="5" w16cid:durableId="623077892">
    <w:abstractNumId w:val="21"/>
  </w:num>
  <w:num w:numId="6" w16cid:durableId="889075839">
    <w:abstractNumId w:val="11"/>
  </w:num>
  <w:num w:numId="7" w16cid:durableId="582183697">
    <w:abstractNumId w:val="10"/>
  </w:num>
  <w:num w:numId="8" w16cid:durableId="1615401987">
    <w:abstractNumId w:val="28"/>
  </w:num>
  <w:num w:numId="9" w16cid:durableId="1226257200">
    <w:abstractNumId w:val="19"/>
  </w:num>
  <w:num w:numId="10" w16cid:durableId="1557888589">
    <w:abstractNumId w:val="8"/>
  </w:num>
  <w:num w:numId="11" w16cid:durableId="773015900">
    <w:abstractNumId w:val="2"/>
  </w:num>
  <w:num w:numId="12" w16cid:durableId="2079672608">
    <w:abstractNumId w:val="24"/>
  </w:num>
  <w:num w:numId="13" w16cid:durableId="1704479651">
    <w:abstractNumId w:val="8"/>
  </w:num>
  <w:num w:numId="14" w16cid:durableId="1467969914">
    <w:abstractNumId w:val="25"/>
  </w:num>
  <w:num w:numId="15" w16cid:durableId="1704361583">
    <w:abstractNumId w:val="26"/>
  </w:num>
  <w:num w:numId="16" w16cid:durableId="2012104619">
    <w:abstractNumId w:val="29"/>
  </w:num>
  <w:num w:numId="17" w16cid:durableId="564219194">
    <w:abstractNumId w:val="6"/>
  </w:num>
  <w:num w:numId="18" w16cid:durableId="1334644988">
    <w:abstractNumId w:val="27"/>
  </w:num>
  <w:num w:numId="19" w16cid:durableId="1929607737">
    <w:abstractNumId w:val="16"/>
  </w:num>
  <w:num w:numId="20" w16cid:durableId="1126780616">
    <w:abstractNumId w:val="13"/>
  </w:num>
  <w:num w:numId="21" w16cid:durableId="1745224326">
    <w:abstractNumId w:val="0"/>
  </w:num>
  <w:num w:numId="22" w16cid:durableId="545290684">
    <w:abstractNumId w:val="12"/>
  </w:num>
  <w:num w:numId="23" w16cid:durableId="1517114645">
    <w:abstractNumId w:val="9"/>
  </w:num>
  <w:num w:numId="24" w16cid:durableId="438642391">
    <w:abstractNumId w:val="3"/>
  </w:num>
  <w:num w:numId="25" w16cid:durableId="8095203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4964806">
    <w:abstractNumId w:val="18"/>
  </w:num>
  <w:num w:numId="27" w16cid:durableId="2066372180">
    <w:abstractNumId w:val="23"/>
  </w:num>
  <w:num w:numId="28" w16cid:durableId="558713582">
    <w:abstractNumId w:val="20"/>
  </w:num>
  <w:num w:numId="29" w16cid:durableId="1750611106">
    <w:abstractNumId w:val="5"/>
  </w:num>
  <w:num w:numId="30" w16cid:durableId="847254550">
    <w:abstractNumId w:val="1"/>
  </w:num>
  <w:num w:numId="31" w16cid:durableId="1094324163">
    <w:abstractNumId w:val="14"/>
  </w:num>
  <w:num w:numId="32" w16cid:durableId="384570029">
    <w:abstractNumId w:val="30"/>
  </w:num>
  <w:num w:numId="33" w16cid:durableId="571431824">
    <w:abstractNumId w:val="7"/>
  </w:num>
  <w:num w:numId="34" w16cid:durableId="133545160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readOnly" w:enforcement="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D6"/>
    <w:rsid w:val="00000DDB"/>
    <w:rsid w:val="0001368B"/>
    <w:rsid w:val="00013DD3"/>
    <w:rsid w:val="00015C6C"/>
    <w:rsid w:val="0001631D"/>
    <w:rsid w:val="00020D12"/>
    <w:rsid w:val="00022587"/>
    <w:rsid w:val="00022843"/>
    <w:rsid w:val="000230CD"/>
    <w:rsid w:val="00023900"/>
    <w:rsid w:val="00023EE6"/>
    <w:rsid w:val="0003397F"/>
    <w:rsid w:val="000362B5"/>
    <w:rsid w:val="00041ECF"/>
    <w:rsid w:val="00050A86"/>
    <w:rsid w:val="00057CD8"/>
    <w:rsid w:val="00060561"/>
    <w:rsid w:val="00061959"/>
    <w:rsid w:val="00065AA1"/>
    <w:rsid w:val="0007249C"/>
    <w:rsid w:val="0007540C"/>
    <w:rsid w:val="00075D28"/>
    <w:rsid w:val="000772F8"/>
    <w:rsid w:val="00093CFC"/>
    <w:rsid w:val="00097965"/>
    <w:rsid w:val="000A0554"/>
    <w:rsid w:val="000B10DF"/>
    <w:rsid w:val="000B11BD"/>
    <w:rsid w:val="000F1BED"/>
    <w:rsid w:val="001059D3"/>
    <w:rsid w:val="001068D9"/>
    <w:rsid w:val="00125B57"/>
    <w:rsid w:val="0013097C"/>
    <w:rsid w:val="001358D7"/>
    <w:rsid w:val="001368B4"/>
    <w:rsid w:val="0014048C"/>
    <w:rsid w:val="00140735"/>
    <w:rsid w:val="00141C6A"/>
    <w:rsid w:val="0014439C"/>
    <w:rsid w:val="00146E1E"/>
    <w:rsid w:val="00151EBF"/>
    <w:rsid w:val="00153D60"/>
    <w:rsid w:val="00156A7C"/>
    <w:rsid w:val="00174001"/>
    <w:rsid w:val="00177FFD"/>
    <w:rsid w:val="001818CA"/>
    <w:rsid w:val="00193A2A"/>
    <w:rsid w:val="001A4CBA"/>
    <w:rsid w:val="001C0719"/>
    <w:rsid w:val="001C3853"/>
    <w:rsid w:val="001C609F"/>
    <w:rsid w:val="001D29D1"/>
    <w:rsid w:val="001D57E4"/>
    <w:rsid w:val="001F172A"/>
    <w:rsid w:val="00206FBD"/>
    <w:rsid w:val="00212C00"/>
    <w:rsid w:val="002161C3"/>
    <w:rsid w:val="00231024"/>
    <w:rsid w:val="00231A4D"/>
    <w:rsid w:val="0023241B"/>
    <w:rsid w:val="00234944"/>
    <w:rsid w:val="00234960"/>
    <w:rsid w:val="00245D20"/>
    <w:rsid w:val="00255DB2"/>
    <w:rsid w:val="0025652E"/>
    <w:rsid w:val="002656E3"/>
    <w:rsid w:val="00271B1E"/>
    <w:rsid w:val="0027476E"/>
    <w:rsid w:val="00282075"/>
    <w:rsid w:val="002926A8"/>
    <w:rsid w:val="002C388B"/>
    <w:rsid w:val="002D7D78"/>
    <w:rsid w:val="002D7EED"/>
    <w:rsid w:val="002F3BD4"/>
    <w:rsid w:val="003062B2"/>
    <w:rsid w:val="003147EC"/>
    <w:rsid w:val="00324E90"/>
    <w:rsid w:val="00326544"/>
    <w:rsid w:val="00343A6B"/>
    <w:rsid w:val="00356600"/>
    <w:rsid w:val="00364CDC"/>
    <w:rsid w:val="003724FE"/>
    <w:rsid w:val="00373B4D"/>
    <w:rsid w:val="00376B8D"/>
    <w:rsid w:val="003824C9"/>
    <w:rsid w:val="00385EEA"/>
    <w:rsid w:val="0039055E"/>
    <w:rsid w:val="003A0402"/>
    <w:rsid w:val="003A242C"/>
    <w:rsid w:val="003B6A7C"/>
    <w:rsid w:val="003D1D85"/>
    <w:rsid w:val="003D515F"/>
    <w:rsid w:val="003D5D18"/>
    <w:rsid w:val="003D7C1D"/>
    <w:rsid w:val="003D7D37"/>
    <w:rsid w:val="003E28C9"/>
    <w:rsid w:val="003F0971"/>
    <w:rsid w:val="003F65C8"/>
    <w:rsid w:val="003F674D"/>
    <w:rsid w:val="004028E5"/>
    <w:rsid w:val="00404BD1"/>
    <w:rsid w:val="00406453"/>
    <w:rsid w:val="00410863"/>
    <w:rsid w:val="0041455E"/>
    <w:rsid w:val="004150F8"/>
    <w:rsid w:val="0042365C"/>
    <w:rsid w:val="0043308E"/>
    <w:rsid w:val="0044091E"/>
    <w:rsid w:val="00447490"/>
    <w:rsid w:val="00455755"/>
    <w:rsid w:val="00467CC2"/>
    <w:rsid w:val="004706BF"/>
    <w:rsid w:val="004721CF"/>
    <w:rsid w:val="00486C06"/>
    <w:rsid w:val="0048717F"/>
    <w:rsid w:val="00492812"/>
    <w:rsid w:val="00493508"/>
    <w:rsid w:val="00493CC5"/>
    <w:rsid w:val="004971BF"/>
    <w:rsid w:val="004A0343"/>
    <w:rsid w:val="004A21EB"/>
    <w:rsid w:val="004A4023"/>
    <w:rsid w:val="004A6220"/>
    <w:rsid w:val="004A70EB"/>
    <w:rsid w:val="004C1E13"/>
    <w:rsid w:val="004C2BE1"/>
    <w:rsid w:val="004D6B87"/>
    <w:rsid w:val="004E1FF0"/>
    <w:rsid w:val="004E3010"/>
    <w:rsid w:val="004F38CE"/>
    <w:rsid w:val="005038D3"/>
    <w:rsid w:val="00503C99"/>
    <w:rsid w:val="005065FC"/>
    <w:rsid w:val="00506F9D"/>
    <w:rsid w:val="00510377"/>
    <w:rsid w:val="00510C11"/>
    <w:rsid w:val="00511EAE"/>
    <w:rsid w:val="005128EE"/>
    <w:rsid w:val="005139C4"/>
    <w:rsid w:val="0051745D"/>
    <w:rsid w:val="005318BC"/>
    <w:rsid w:val="005326B5"/>
    <w:rsid w:val="00533C25"/>
    <w:rsid w:val="00533C76"/>
    <w:rsid w:val="005404ED"/>
    <w:rsid w:val="00544745"/>
    <w:rsid w:val="00555FD8"/>
    <w:rsid w:val="0056537B"/>
    <w:rsid w:val="005708BB"/>
    <w:rsid w:val="00571471"/>
    <w:rsid w:val="00574E47"/>
    <w:rsid w:val="0059362E"/>
    <w:rsid w:val="0059649A"/>
    <w:rsid w:val="005A2676"/>
    <w:rsid w:val="005B4AA0"/>
    <w:rsid w:val="005C7D9E"/>
    <w:rsid w:val="005D6B8B"/>
    <w:rsid w:val="005D71DE"/>
    <w:rsid w:val="00616CB0"/>
    <w:rsid w:val="00617C23"/>
    <w:rsid w:val="00622630"/>
    <w:rsid w:val="0062322F"/>
    <w:rsid w:val="0063449E"/>
    <w:rsid w:val="00634B6E"/>
    <w:rsid w:val="0063554F"/>
    <w:rsid w:val="006361F9"/>
    <w:rsid w:val="0063766B"/>
    <w:rsid w:val="00646332"/>
    <w:rsid w:val="006602F8"/>
    <w:rsid w:val="00661881"/>
    <w:rsid w:val="00666907"/>
    <w:rsid w:val="00667844"/>
    <w:rsid w:val="00670012"/>
    <w:rsid w:val="00672D3C"/>
    <w:rsid w:val="0067330B"/>
    <w:rsid w:val="006811DC"/>
    <w:rsid w:val="00694E60"/>
    <w:rsid w:val="006A0A58"/>
    <w:rsid w:val="006A4663"/>
    <w:rsid w:val="006B2A40"/>
    <w:rsid w:val="006C1EF9"/>
    <w:rsid w:val="006C73D8"/>
    <w:rsid w:val="006D1056"/>
    <w:rsid w:val="006D421E"/>
    <w:rsid w:val="006D55C0"/>
    <w:rsid w:val="006D75ED"/>
    <w:rsid w:val="006D7EF8"/>
    <w:rsid w:val="006E2916"/>
    <w:rsid w:val="006F03DA"/>
    <w:rsid w:val="006F2524"/>
    <w:rsid w:val="00700DA6"/>
    <w:rsid w:val="0070192B"/>
    <w:rsid w:val="00701BBA"/>
    <w:rsid w:val="00717297"/>
    <w:rsid w:val="0072168B"/>
    <w:rsid w:val="00721F92"/>
    <w:rsid w:val="007233D3"/>
    <w:rsid w:val="00730E02"/>
    <w:rsid w:val="00752982"/>
    <w:rsid w:val="00760DEE"/>
    <w:rsid w:val="00762B33"/>
    <w:rsid w:val="0076343F"/>
    <w:rsid w:val="0077566E"/>
    <w:rsid w:val="0078176B"/>
    <w:rsid w:val="00781FBB"/>
    <w:rsid w:val="00784DA2"/>
    <w:rsid w:val="00787D68"/>
    <w:rsid w:val="00793D07"/>
    <w:rsid w:val="00796DF9"/>
    <w:rsid w:val="007A1539"/>
    <w:rsid w:val="007A3839"/>
    <w:rsid w:val="007A49A1"/>
    <w:rsid w:val="007A665F"/>
    <w:rsid w:val="007B20B9"/>
    <w:rsid w:val="007B3649"/>
    <w:rsid w:val="007B40CF"/>
    <w:rsid w:val="007B488F"/>
    <w:rsid w:val="007B521A"/>
    <w:rsid w:val="007B6879"/>
    <w:rsid w:val="007C2C89"/>
    <w:rsid w:val="007C695C"/>
    <w:rsid w:val="007C6A7F"/>
    <w:rsid w:val="007D13C8"/>
    <w:rsid w:val="007D165E"/>
    <w:rsid w:val="007D4505"/>
    <w:rsid w:val="007E4DE4"/>
    <w:rsid w:val="00801C74"/>
    <w:rsid w:val="00801CB8"/>
    <w:rsid w:val="008047FE"/>
    <w:rsid w:val="00806BE8"/>
    <w:rsid w:val="00806E58"/>
    <w:rsid w:val="008079B5"/>
    <w:rsid w:val="00814C27"/>
    <w:rsid w:val="00815923"/>
    <w:rsid w:val="0081685C"/>
    <w:rsid w:val="008239C7"/>
    <w:rsid w:val="00824323"/>
    <w:rsid w:val="0084346A"/>
    <w:rsid w:val="00853E47"/>
    <w:rsid w:val="00856EAF"/>
    <w:rsid w:val="008625B5"/>
    <w:rsid w:val="00867042"/>
    <w:rsid w:val="0086712B"/>
    <w:rsid w:val="0087344C"/>
    <w:rsid w:val="00881086"/>
    <w:rsid w:val="00885142"/>
    <w:rsid w:val="00886498"/>
    <w:rsid w:val="008929A7"/>
    <w:rsid w:val="008970AA"/>
    <w:rsid w:val="008A44CC"/>
    <w:rsid w:val="008B7F5E"/>
    <w:rsid w:val="008C6B66"/>
    <w:rsid w:val="008D242E"/>
    <w:rsid w:val="008D376D"/>
    <w:rsid w:val="008D7207"/>
    <w:rsid w:val="008E09C5"/>
    <w:rsid w:val="00902095"/>
    <w:rsid w:val="00920892"/>
    <w:rsid w:val="0092200A"/>
    <w:rsid w:val="00922FED"/>
    <w:rsid w:val="00923609"/>
    <w:rsid w:val="009256A5"/>
    <w:rsid w:val="009304DC"/>
    <w:rsid w:val="00933066"/>
    <w:rsid w:val="009444A4"/>
    <w:rsid w:val="00946843"/>
    <w:rsid w:val="00950316"/>
    <w:rsid w:val="00953CC5"/>
    <w:rsid w:val="00971A7A"/>
    <w:rsid w:val="009720C2"/>
    <w:rsid w:val="00974A5A"/>
    <w:rsid w:val="00977C25"/>
    <w:rsid w:val="009836E5"/>
    <w:rsid w:val="009A64A0"/>
    <w:rsid w:val="009B04C3"/>
    <w:rsid w:val="009B3055"/>
    <w:rsid w:val="009B7731"/>
    <w:rsid w:val="009C48D6"/>
    <w:rsid w:val="009C4D5E"/>
    <w:rsid w:val="009C5FB3"/>
    <w:rsid w:val="009C6D73"/>
    <w:rsid w:val="009C74C6"/>
    <w:rsid w:val="009D488E"/>
    <w:rsid w:val="009D7B72"/>
    <w:rsid w:val="009E4F4B"/>
    <w:rsid w:val="009E5D82"/>
    <w:rsid w:val="009E7E3D"/>
    <w:rsid w:val="009F384F"/>
    <w:rsid w:val="009F6388"/>
    <w:rsid w:val="009F685B"/>
    <w:rsid w:val="00A10A49"/>
    <w:rsid w:val="00A158EC"/>
    <w:rsid w:val="00A15F0B"/>
    <w:rsid w:val="00A2523C"/>
    <w:rsid w:val="00A34480"/>
    <w:rsid w:val="00A40C47"/>
    <w:rsid w:val="00A549BD"/>
    <w:rsid w:val="00A54F2F"/>
    <w:rsid w:val="00A60203"/>
    <w:rsid w:val="00A663A4"/>
    <w:rsid w:val="00A72B23"/>
    <w:rsid w:val="00A74C21"/>
    <w:rsid w:val="00A7508F"/>
    <w:rsid w:val="00A75C56"/>
    <w:rsid w:val="00A8788E"/>
    <w:rsid w:val="00A92679"/>
    <w:rsid w:val="00A93624"/>
    <w:rsid w:val="00A939FE"/>
    <w:rsid w:val="00AA065E"/>
    <w:rsid w:val="00AA24F3"/>
    <w:rsid w:val="00AA3148"/>
    <w:rsid w:val="00AC085C"/>
    <w:rsid w:val="00AC2757"/>
    <w:rsid w:val="00AC319B"/>
    <w:rsid w:val="00AC4C1F"/>
    <w:rsid w:val="00AC75E3"/>
    <w:rsid w:val="00AE3D66"/>
    <w:rsid w:val="00AF19D8"/>
    <w:rsid w:val="00AF422A"/>
    <w:rsid w:val="00B15194"/>
    <w:rsid w:val="00B15827"/>
    <w:rsid w:val="00B3098E"/>
    <w:rsid w:val="00B33491"/>
    <w:rsid w:val="00B354B3"/>
    <w:rsid w:val="00B47BD1"/>
    <w:rsid w:val="00B5274C"/>
    <w:rsid w:val="00B53272"/>
    <w:rsid w:val="00B62576"/>
    <w:rsid w:val="00B6471B"/>
    <w:rsid w:val="00B70895"/>
    <w:rsid w:val="00B73D8D"/>
    <w:rsid w:val="00B7669E"/>
    <w:rsid w:val="00B831BB"/>
    <w:rsid w:val="00B91956"/>
    <w:rsid w:val="00BA391E"/>
    <w:rsid w:val="00BC5D95"/>
    <w:rsid w:val="00BC71F0"/>
    <w:rsid w:val="00BE1BA5"/>
    <w:rsid w:val="00BF21C2"/>
    <w:rsid w:val="00BF67DF"/>
    <w:rsid w:val="00BF773A"/>
    <w:rsid w:val="00C0731D"/>
    <w:rsid w:val="00C07666"/>
    <w:rsid w:val="00C20675"/>
    <w:rsid w:val="00C22C57"/>
    <w:rsid w:val="00C33BBD"/>
    <w:rsid w:val="00C413E2"/>
    <w:rsid w:val="00C42A4D"/>
    <w:rsid w:val="00C4555D"/>
    <w:rsid w:val="00C46064"/>
    <w:rsid w:val="00C5033B"/>
    <w:rsid w:val="00C5120C"/>
    <w:rsid w:val="00C70976"/>
    <w:rsid w:val="00C72F57"/>
    <w:rsid w:val="00C73719"/>
    <w:rsid w:val="00C80ABE"/>
    <w:rsid w:val="00C81124"/>
    <w:rsid w:val="00C833BA"/>
    <w:rsid w:val="00C85C5C"/>
    <w:rsid w:val="00C90556"/>
    <w:rsid w:val="00C94447"/>
    <w:rsid w:val="00C94BB8"/>
    <w:rsid w:val="00C96BA3"/>
    <w:rsid w:val="00C96DB1"/>
    <w:rsid w:val="00CA6CA4"/>
    <w:rsid w:val="00CA7FFB"/>
    <w:rsid w:val="00CB0081"/>
    <w:rsid w:val="00CB231D"/>
    <w:rsid w:val="00CB69DF"/>
    <w:rsid w:val="00CC5AFA"/>
    <w:rsid w:val="00CD2E08"/>
    <w:rsid w:val="00CD6BED"/>
    <w:rsid w:val="00CD6ED6"/>
    <w:rsid w:val="00CE387D"/>
    <w:rsid w:val="00CF2E30"/>
    <w:rsid w:val="00D0063C"/>
    <w:rsid w:val="00D03ED7"/>
    <w:rsid w:val="00D17970"/>
    <w:rsid w:val="00D36873"/>
    <w:rsid w:val="00D451BD"/>
    <w:rsid w:val="00D53744"/>
    <w:rsid w:val="00D547CD"/>
    <w:rsid w:val="00D654CD"/>
    <w:rsid w:val="00D668D4"/>
    <w:rsid w:val="00D72CBC"/>
    <w:rsid w:val="00D86E87"/>
    <w:rsid w:val="00DA1209"/>
    <w:rsid w:val="00DA56D3"/>
    <w:rsid w:val="00DA66EF"/>
    <w:rsid w:val="00DA7239"/>
    <w:rsid w:val="00DA75BB"/>
    <w:rsid w:val="00DA7ECD"/>
    <w:rsid w:val="00DB0338"/>
    <w:rsid w:val="00DB6390"/>
    <w:rsid w:val="00DC0E45"/>
    <w:rsid w:val="00DD307F"/>
    <w:rsid w:val="00DE33A5"/>
    <w:rsid w:val="00DE701E"/>
    <w:rsid w:val="00DF02EF"/>
    <w:rsid w:val="00DF396B"/>
    <w:rsid w:val="00DF6B47"/>
    <w:rsid w:val="00E06A5B"/>
    <w:rsid w:val="00E2099F"/>
    <w:rsid w:val="00E20E24"/>
    <w:rsid w:val="00E30619"/>
    <w:rsid w:val="00E35AB3"/>
    <w:rsid w:val="00E473E3"/>
    <w:rsid w:val="00E54BB2"/>
    <w:rsid w:val="00E579EF"/>
    <w:rsid w:val="00E67DF1"/>
    <w:rsid w:val="00E74EED"/>
    <w:rsid w:val="00E767BA"/>
    <w:rsid w:val="00E76F31"/>
    <w:rsid w:val="00E81FE5"/>
    <w:rsid w:val="00E91224"/>
    <w:rsid w:val="00E9240F"/>
    <w:rsid w:val="00E95675"/>
    <w:rsid w:val="00E97AF0"/>
    <w:rsid w:val="00EA0412"/>
    <w:rsid w:val="00EA2F93"/>
    <w:rsid w:val="00EB31F4"/>
    <w:rsid w:val="00EB6B19"/>
    <w:rsid w:val="00EC39B4"/>
    <w:rsid w:val="00ED4B20"/>
    <w:rsid w:val="00ED6E29"/>
    <w:rsid w:val="00EE1468"/>
    <w:rsid w:val="00EE7817"/>
    <w:rsid w:val="00EF128B"/>
    <w:rsid w:val="00EF6214"/>
    <w:rsid w:val="00F034A0"/>
    <w:rsid w:val="00F04C18"/>
    <w:rsid w:val="00F060DC"/>
    <w:rsid w:val="00F06D48"/>
    <w:rsid w:val="00F1145F"/>
    <w:rsid w:val="00F117FD"/>
    <w:rsid w:val="00F11AA5"/>
    <w:rsid w:val="00F20686"/>
    <w:rsid w:val="00F22608"/>
    <w:rsid w:val="00F2344C"/>
    <w:rsid w:val="00F249E0"/>
    <w:rsid w:val="00F2593B"/>
    <w:rsid w:val="00F3791B"/>
    <w:rsid w:val="00F44AA2"/>
    <w:rsid w:val="00F45E4B"/>
    <w:rsid w:val="00F554F3"/>
    <w:rsid w:val="00F555A8"/>
    <w:rsid w:val="00F55B44"/>
    <w:rsid w:val="00F577A6"/>
    <w:rsid w:val="00F6172F"/>
    <w:rsid w:val="00F63376"/>
    <w:rsid w:val="00F65A68"/>
    <w:rsid w:val="00F73DE8"/>
    <w:rsid w:val="00F77E8E"/>
    <w:rsid w:val="00F836AC"/>
    <w:rsid w:val="00F90349"/>
    <w:rsid w:val="00F975DD"/>
    <w:rsid w:val="00FA369E"/>
    <w:rsid w:val="00FB344D"/>
    <w:rsid w:val="00FB5E76"/>
    <w:rsid w:val="00FC0143"/>
    <w:rsid w:val="00FC3598"/>
    <w:rsid w:val="00FD3D4C"/>
    <w:rsid w:val="00FD66A5"/>
    <w:rsid w:val="00FF22CC"/>
    <w:rsid w:val="00FF75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C7608E"/>
  <w15:docId w15:val="{89299311-B403-4AA5-91C5-494AE73A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3C76"/>
    <w:rPr>
      <w:sz w:val="24"/>
      <w:szCs w:val="24"/>
    </w:rPr>
  </w:style>
  <w:style w:type="paragraph" w:styleId="Heading6">
    <w:name w:val="heading 6"/>
    <w:basedOn w:val="Normal"/>
    <w:next w:val="Normal"/>
    <w:qFormat/>
    <w:rsid w:val="00A74C21"/>
    <w:pPr>
      <w:spacing w:before="240" w:after="60" w:line="480" w:lineRule="auto"/>
      <w:outlineLvl w:val="5"/>
    </w:pPr>
    <w:rPr>
      <w:i/>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D57E4"/>
    <w:rPr>
      <w:rFonts w:ascii="Tahoma" w:hAnsi="Tahoma" w:cs="Tahoma"/>
      <w:sz w:val="16"/>
      <w:szCs w:val="16"/>
    </w:rPr>
  </w:style>
  <w:style w:type="paragraph" w:styleId="NormalWeb">
    <w:name w:val="Normal (Web)"/>
    <w:basedOn w:val="Normal"/>
    <w:rsid w:val="00193A2A"/>
    <w:pPr>
      <w:spacing w:before="100" w:beforeAutospacing="1" w:after="100" w:afterAutospacing="1"/>
    </w:pPr>
    <w:rPr>
      <w:rFonts w:eastAsia="SimSun"/>
      <w:color w:val="000000"/>
      <w:lang w:eastAsia="zh-CN"/>
    </w:rPr>
  </w:style>
  <w:style w:type="table" w:styleId="TableGrid">
    <w:name w:val="Table Grid"/>
    <w:basedOn w:val="TableNormal"/>
    <w:rsid w:val="0066690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5274C"/>
    <w:pPr>
      <w:widowControl w:val="0"/>
      <w:ind w:left="720" w:hanging="720"/>
    </w:pPr>
    <w:rPr>
      <w:snapToGrid w:val="0"/>
      <w:szCs w:val="20"/>
    </w:rPr>
  </w:style>
  <w:style w:type="character" w:styleId="Hyperlink">
    <w:name w:val="Hyperlink"/>
    <w:basedOn w:val="DefaultParagraphFont"/>
    <w:uiPriority w:val="99"/>
    <w:rsid w:val="004A70EB"/>
    <w:rPr>
      <w:color w:val="0000FF" w:themeColor="hyperlink"/>
      <w:u w:val="single"/>
    </w:rPr>
  </w:style>
  <w:style w:type="paragraph" w:styleId="FootnoteText">
    <w:name w:val="footnote text"/>
    <w:basedOn w:val="Normal"/>
    <w:link w:val="FootnoteTextChar"/>
    <w:uiPriority w:val="99"/>
    <w:unhideWhenUsed/>
    <w:rsid w:val="00492812"/>
    <w:rPr>
      <w:rFonts w:ascii="Cambria" w:hAnsi="Cambria" w:eastAsiaTheme="minorHAnsi"/>
      <w:sz w:val="20"/>
      <w:szCs w:val="20"/>
    </w:rPr>
  </w:style>
  <w:style w:type="character" w:customStyle="1" w:styleId="FootnoteTextChar">
    <w:name w:val="Footnote Text Char"/>
    <w:basedOn w:val="DefaultParagraphFont"/>
    <w:link w:val="FootnoteText"/>
    <w:uiPriority w:val="99"/>
    <w:rsid w:val="00492812"/>
    <w:rPr>
      <w:rFonts w:ascii="Cambria" w:hAnsi="Cambria" w:eastAsiaTheme="minorHAnsi"/>
    </w:rPr>
  </w:style>
  <w:style w:type="paragraph" w:styleId="ListParagraph">
    <w:name w:val="List Paragraph"/>
    <w:basedOn w:val="Normal"/>
    <w:uiPriority w:val="99"/>
    <w:qFormat/>
    <w:rsid w:val="00492812"/>
    <w:pPr>
      <w:ind w:left="720"/>
    </w:pPr>
  </w:style>
  <w:style w:type="character" w:styleId="FootnoteReference">
    <w:name w:val="footnote reference"/>
    <w:basedOn w:val="DefaultParagraphFont"/>
    <w:unhideWhenUsed/>
    <w:rsid w:val="00492812"/>
  </w:style>
  <w:style w:type="paragraph" w:styleId="Header">
    <w:name w:val="header"/>
    <w:basedOn w:val="Normal"/>
    <w:link w:val="HeaderChar"/>
    <w:rsid w:val="00701BBA"/>
    <w:pPr>
      <w:tabs>
        <w:tab w:val="center" w:pos="4680"/>
        <w:tab w:val="right" w:pos="9360"/>
      </w:tabs>
    </w:pPr>
  </w:style>
  <w:style w:type="character" w:customStyle="1" w:styleId="HeaderChar">
    <w:name w:val="Header Char"/>
    <w:basedOn w:val="DefaultParagraphFont"/>
    <w:link w:val="Header"/>
    <w:rsid w:val="00701BBA"/>
    <w:rPr>
      <w:sz w:val="24"/>
      <w:szCs w:val="24"/>
    </w:rPr>
  </w:style>
  <w:style w:type="paragraph" w:styleId="Footer">
    <w:name w:val="footer"/>
    <w:basedOn w:val="Normal"/>
    <w:link w:val="FooterChar"/>
    <w:uiPriority w:val="99"/>
    <w:rsid w:val="00701BBA"/>
    <w:pPr>
      <w:tabs>
        <w:tab w:val="center" w:pos="4680"/>
        <w:tab w:val="right" w:pos="9360"/>
      </w:tabs>
    </w:pPr>
  </w:style>
  <w:style w:type="character" w:customStyle="1" w:styleId="FooterChar">
    <w:name w:val="Footer Char"/>
    <w:basedOn w:val="DefaultParagraphFont"/>
    <w:link w:val="Footer"/>
    <w:uiPriority w:val="99"/>
    <w:rsid w:val="00701BBA"/>
    <w:rPr>
      <w:sz w:val="24"/>
      <w:szCs w:val="24"/>
    </w:rPr>
  </w:style>
  <w:style w:type="table" w:customStyle="1" w:styleId="Table">
    <w:name w:val="Table"/>
    <w:basedOn w:val="TableNormal"/>
    <w:uiPriority w:val="99"/>
    <w:rsid w:val="00760DEE"/>
    <w:pPr>
      <w:spacing w:before="80" w:after="80"/>
      <w:jc w:val="center"/>
    </w:pPr>
    <w:rPr>
      <w:rFonts w:ascii="Cambria" w:hAnsi="Cambria" w:eastAsiaTheme="minorHAnsi"/>
      <w:color w:val="000000" w:themeColor="text1"/>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vAlign w:val="center"/>
    </w:tcPr>
    <w:tblStylePr w:type="firstRow">
      <w:pPr>
        <w:jc w:val="center"/>
      </w:pPr>
      <w:rPr>
        <w:rFonts w:asciiTheme="majorHAnsi" w:hAnsiTheme="majorHAnsi" w:cs="Calibri" w:hint="default"/>
        <w:b/>
        <w:bCs/>
        <w:i w:val="0"/>
        <w:iCs w:val="0"/>
        <w:color w:val="FFFFFF" w:themeColor="background1"/>
        <w:sz w:val="22"/>
        <w:szCs w:val="22"/>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asciiTheme="minorHAnsi" w:hAnsiTheme="minorHAnsi" w:hint="default"/>
        <w:b/>
        <w:bCs/>
        <w:i w:val="0"/>
        <w:iCs w:val="0"/>
        <w:color w:val="000000" w:themeColor="text1"/>
        <w:sz w:val="22"/>
        <w:szCs w:val="22"/>
      </w:rPr>
    </w:tblStylePr>
    <w:tblStylePr w:type="firstCol">
      <w:rPr>
        <w:rFonts w:asciiTheme="minorHAnsi" w:hAnsiTheme="minorHAnsi" w:hint="default"/>
        <w:b w:val="0"/>
        <w:bCs/>
        <w:i w:val="0"/>
        <w:iCs w:val="0"/>
        <w:color w:val="000000" w:themeColor="text1"/>
        <w:sz w:val="22"/>
        <w:szCs w:val="22"/>
      </w:rPr>
    </w:tblStylePr>
    <w:tblStylePr w:type="lastCol">
      <w:rPr>
        <w:rFonts w:asciiTheme="minorHAnsi" w:hAnsiTheme="minorHAnsi" w:hint="default"/>
        <w:b w:val="0"/>
        <w:bCs/>
        <w:i w:val="0"/>
        <w:iCs w:val="0"/>
        <w:color w:val="000000" w:themeColor="text1"/>
        <w:sz w:val="22"/>
        <w:szCs w:val="22"/>
      </w:rPr>
    </w:tblStylePr>
    <w:tblStylePr w:type="band1Horz">
      <w:rPr>
        <w:rFonts w:asciiTheme="minorHAnsi" w:hAnsiTheme="minorHAnsi" w:hint="default"/>
        <w:color w:val="000000" w:themeColor="text1"/>
        <w:sz w:val="22"/>
        <w:szCs w:val="22"/>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tblStylePr w:type="band2Horz">
      <w:rPr>
        <w:rFonts w:asciiTheme="minorHAnsi" w:hAnsiTheme="minorHAnsi" w:hint="default"/>
        <w:color w:val="000000" w:themeColor="text1"/>
        <w:sz w:val="22"/>
        <w:szCs w:val="22"/>
      </w:rPr>
    </w:tblStylePr>
  </w:style>
  <w:style w:type="paragraph" w:customStyle="1" w:styleId="regulartext">
    <w:name w:val="regulartext"/>
    <w:basedOn w:val="Normal"/>
    <w:rsid w:val="00760DEE"/>
    <w:pPr>
      <w:spacing w:before="100" w:beforeAutospacing="1" w:after="100" w:afterAutospacing="1"/>
    </w:pPr>
    <w:rPr>
      <w:rFonts w:ascii="Arial" w:hAnsi="Arial" w:cs="Arial"/>
      <w:sz w:val="18"/>
      <w:szCs w:val="18"/>
    </w:rPr>
  </w:style>
  <w:style w:type="character" w:styleId="CommentReference">
    <w:name w:val="annotation reference"/>
    <w:basedOn w:val="DefaultParagraphFont"/>
    <w:rsid w:val="00806BE8"/>
    <w:rPr>
      <w:sz w:val="16"/>
      <w:szCs w:val="16"/>
    </w:rPr>
  </w:style>
  <w:style w:type="paragraph" w:styleId="CommentText">
    <w:name w:val="annotation text"/>
    <w:basedOn w:val="Normal"/>
    <w:link w:val="CommentTextChar"/>
    <w:rsid w:val="00806BE8"/>
    <w:rPr>
      <w:sz w:val="20"/>
      <w:szCs w:val="20"/>
    </w:rPr>
  </w:style>
  <w:style w:type="character" w:customStyle="1" w:styleId="CommentTextChar">
    <w:name w:val="Comment Text Char"/>
    <w:basedOn w:val="DefaultParagraphFont"/>
    <w:link w:val="CommentText"/>
    <w:rsid w:val="00806BE8"/>
  </w:style>
  <w:style w:type="paragraph" w:styleId="CommentSubject">
    <w:name w:val="annotation subject"/>
    <w:basedOn w:val="CommentText"/>
    <w:next w:val="CommentText"/>
    <w:link w:val="CommentSubjectChar"/>
    <w:rsid w:val="00806BE8"/>
    <w:rPr>
      <w:b/>
      <w:bCs/>
    </w:rPr>
  </w:style>
  <w:style w:type="character" w:customStyle="1" w:styleId="CommentSubjectChar">
    <w:name w:val="Comment Subject Char"/>
    <w:basedOn w:val="CommentTextChar"/>
    <w:link w:val="CommentSubject"/>
    <w:rsid w:val="00806BE8"/>
    <w:rPr>
      <w:b/>
      <w:bCs/>
    </w:rPr>
  </w:style>
  <w:style w:type="paragraph" w:styleId="Revision">
    <w:name w:val="Revision"/>
    <w:hidden/>
    <w:uiPriority w:val="99"/>
    <w:semiHidden/>
    <w:rsid w:val="00B91956"/>
    <w:rPr>
      <w:sz w:val="24"/>
      <w:szCs w:val="24"/>
    </w:rPr>
  </w:style>
  <w:style w:type="character" w:styleId="UnresolvedMention">
    <w:name w:val="Unresolved Mention"/>
    <w:basedOn w:val="DefaultParagraphFont"/>
    <w:uiPriority w:val="99"/>
    <w:semiHidden/>
    <w:unhideWhenUsed/>
    <w:rsid w:val="00A10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customXml" Target="ink/ink2.xm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ink/ink1.xml" /></Relationships>
</file>

<file path=word/ink/ink1.xml><?xml version="1.0" encoding="utf-8"?>
<inkml:ink xmlns:inkml="http://www.w3.org/2003/InkML">
  <inkml:definitions>
    <inkml:context xml:id="ctx0">
      <inkml:inkSource xml:id="inkSrc0">
        <inkml:traceFormat>
          <inkml:channel name="X" type="integer" max="1440" units="cm"/>
          <inkml:channel name="Y" type="integer" max="900" units="cm"/>
        </inkml:traceFormat>
        <inkml:channelProperties>
          <inkml:channelProperty channel="X" name="resolution" value="28.34646" units="1/cm"/>
          <inkml:channelProperty channel="Y" name="resolution" value="28.30189" units="1/cm"/>
        </inkml:channelProperties>
      </inkml:inkSource>
      <inkml:timestamp xml:id="ts0" timeString="2015-04-16T16:39:26.606"/>
    </inkml:context>
    <inkml:brush xml:id="br0">
      <inkml:brushProperty name="width" value="0.06667" units="cm"/>
      <inkml:brushProperty name="height" value="0.06667" units="cm"/>
      <inkml:brushProperty name="fitToCurve" value="1"/>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ax="1440" units="cm"/>
          <inkml:channel name="Y" type="integer" max="900" units="cm"/>
        </inkml:traceFormat>
        <inkml:channelProperties>
          <inkml:channelProperty channel="X" name="resolution" value="28.34646" units="1/cm"/>
          <inkml:channelProperty channel="Y" name="resolution" value="28.30189" units="1/cm"/>
        </inkml:channelProperties>
      </inkml:inkSource>
      <inkml:timestamp xml:id="ts0" timeString="2015-04-16T16:39:26.262"/>
    </inkml:context>
    <inkml:brush xml:id="br0">
      <inkml:brushProperty name="width" value="0.06667" units="cm"/>
      <inkml:brushProperty name="height" value="0.06667" units="cm"/>
      <inkml:brushProperty name="fitToCurve" value="1"/>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6D08035B467DA41A1DD2A04B3EC14BB" ma:contentTypeVersion="2" ma:contentTypeDescription="Create a new document." ma:contentTypeScope="" ma:versionID="d0bef64abee424df7e9dfbfb3a29a1fd">
  <xsd:schema xmlns:xsd="http://www.w3.org/2001/XMLSchema" xmlns:xs="http://www.w3.org/2001/XMLSchema" xmlns:p="http://schemas.microsoft.com/office/2006/metadata/properties" xmlns:ns2="c2287735-bcfa-44b1-b621-4f7c9c60dacc" targetNamespace="http://schemas.microsoft.com/office/2006/metadata/properties" ma:root="true" ma:fieldsID="38faf990d6e55ff9d8500dfaac598176" ns2:_="">
    <xsd:import namespace="c2287735-bcfa-44b1-b621-4f7c9c60dac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87735-bcfa-44b1-b621-4f7c9c60da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A0454-8F5C-4C64-8C9C-0647B10C2FC5}">
  <ds:schemaRefs>
    <ds:schemaRef ds:uri="http://schemas.microsoft.com/sharepoint/v3/contenttype/forms"/>
  </ds:schemaRefs>
</ds:datastoreItem>
</file>

<file path=customXml/itemProps2.xml><?xml version="1.0" encoding="utf-8"?>
<ds:datastoreItem xmlns:ds="http://schemas.openxmlformats.org/officeDocument/2006/customXml" ds:itemID="{96BF547F-349A-461E-92CB-F827B6BC6AE6}">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http://purl.org/dc/elements/1.1/"/>
    <ds:schemaRef ds:uri="http://purl.org/dc/terms/"/>
    <ds:schemaRef ds:uri="http://schemas.microsoft.com/office/2006/metadata/properties"/>
    <ds:schemaRef ds:uri="c2287735-bcfa-44b1-b621-4f7c9c60dacc"/>
  </ds:schemaRefs>
</ds:datastoreItem>
</file>

<file path=customXml/itemProps3.xml><?xml version="1.0" encoding="utf-8"?>
<ds:datastoreItem xmlns:ds="http://schemas.openxmlformats.org/officeDocument/2006/customXml" ds:itemID="{9DB3F70C-A4A3-4AF4-8417-AB5CB3B60F8F}">
  <ds:schemaRefs>
    <ds:schemaRef ds:uri="http://schemas.openxmlformats.org/officeDocument/2006/bibliography"/>
  </ds:schemaRefs>
</ds:datastoreItem>
</file>

<file path=customXml/itemProps4.xml><?xml version="1.0" encoding="utf-8"?>
<ds:datastoreItem xmlns:ds="http://schemas.openxmlformats.org/officeDocument/2006/customXml" ds:itemID="{1A008A34-0BFF-4413-B442-FE6E2E1DF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87735-bcfa-44b1-b621-4f7c9c60d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1190</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DEA</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DEA</dc:creator>
  <cp:lastModifiedBy>Moore, Alana J</cp:lastModifiedBy>
  <cp:revision>5</cp:revision>
  <cp:lastPrinted>2015-04-21T15:33:00Z</cp:lastPrinted>
  <dcterms:created xsi:type="dcterms:W3CDTF">2025-09-15T15:20:00Z</dcterms:created>
  <dcterms:modified xsi:type="dcterms:W3CDTF">2025-09-15T16:40:00Z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0x01010086D08035B467DA41A1DD2A04B3EC14BB</vt:lpwstr>
  </property>
</Properties>
</file>