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027" w:rsidRPr="006B0B25" w:rsidP="00546027" w14:paraId="6B0F8339" w14:textId="32313531">
      <w:pPr>
        <w:rPr>
          <w:rFonts w:ascii="Times New Roman" w:hAnsi="Times New Roman" w:cs="Times New Roman"/>
          <w:b/>
          <w:bCs/>
          <w:sz w:val="36"/>
          <w:szCs w:val="36"/>
        </w:rPr>
      </w:pPr>
      <w:r w:rsidRPr="006B0B25">
        <w:rPr>
          <w:rFonts w:ascii="Times New Roman" w:hAnsi="Times New Roman" w:cs="Times New Roman"/>
          <w:b/>
          <w:bCs/>
          <w:sz w:val="36"/>
          <w:szCs w:val="36"/>
        </w:rPr>
        <w:t>Non-Substantiative</w:t>
      </w:r>
      <w:r w:rsidRPr="006B0B25" w:rsidR="006B0B25">
        <w:rPr>
          <w:rFonts w:ascii="Times New Roman" w:hAnsi="Times New Roman" w:cs="Times New Roman"/>
          <w:b/>
          <w:bCs/>
          <w:sz w:val="36"/>
          <w:szCs w:val="36"/>
        </w:rPr>
        <w:t xml:space="preserve"> Change Request</w:t>
      </w:r>
    </w:p>
    <w:p w:rsidR="00AA0F40" w:rsidRPr="00AA0F40" w:rsidP="00AA0F40" w14:paraId="2C918FC3" w14:textId="77777777">
      <w:pPr>
        <w:rPr>
          <w:rFonts w:ascii="Times New Roman" w:hAnsi="Times New Roman" w:cs="Times New Roman"/>
          <w:b/>
          <w:sz w:val="24"/>
          <w:szCs w:val="24"/>
        </w:rPr>
      </w:pPr>
      <w:r w:rsidRPr="00AA0F40">
        <w:rPr>
          <w:rFonts w:ascii="Times New Roman" w:hAnsi="Times New Roman" w:cs="Times New Roman"/>
          <w:b/>
          <w:bCs/>
          <w:sz w:val="24"/>
          <w:szCs w:val="24"/>
        </w:rPr>
        <w:t>OMB</w:t>
      </w:r>
      <w:r w:rsidRPr="00AA0F40" w:rsidR="006B0B25">
        <w:rPr>
          <w:rFonts w:ascii="Times New Roman" w:hAnsi="Times New Roman" w:cs="Times New Roman"/>
          <w:b/>
          <w:bCs/>
          <w:sz w:val="24"/>
          <w:szCs w:val="24"/>
        </w:rPr>
        <w:t xml:space="preserve"> Control Number</w:t>
      </w:r>
      <w:r w:rsidRPr="00AA0F40">
        <w:rPr>
          <w:rFonts w:ascii="Times New Roman" w:hAnsi="Times New Roman" w:cs="Times New Roman"/>
          <w:b/>
          <w:bCs/>
          <w:sz w:val="24"/>
          <w:szCs w:val="24"/>
        </w:rPr>
        <w:t xml:space="preserve"> 1205-</w:t>
      </w:r>
      <w:r w:rsidRPr="00AA0F40">
        <w:rPr>
          <w:rFonts w:ascii="Times New Roman" w:hAnsi="Times New Roman" w:cs="Times New Roman"/>
          <w:b/>
          <w:bCs/>
          <w:sz w:val="24"/>
          <w:szCs w:val="24"/>
        </w:rPr>
        <w:t>0522</w:t>
      </w:r>
      <w:r w:rsidRPr="00AA0F40">
        <w:rPr>
          <w:rFonts w:ascii="Times New Roman" w:hAnsi="Times New Roman" w:cs="Times New Roman"/>
          <w:b/>
          <w:bCs/>
          <w:sz w:val="24"/>
          <w:szCs w:val="24"/>
        </w:rPr>
        <w:t xml:space="preserve"> – </w:t>
      </w:r>
      <w:bookmarkStart w:id="0" w:name="_Hlk205384426"/>
      <w:r w:rsidRPr="00AA0F40">
        <w:rPr>
          <w:rFonts w:ascii="Times New Roman" w:hAnsi="Times New Roman" w:cs="Times New Roman"/>
          <w:b/>
          <w:sz w:val="24"/>
          <w:szCs w:val="24"/>
        </w:rPr>
        <w:t>Required Elements for Submission of the Unified or Combined State Plan and Plan Modifications under the Workforce Innovation and Opportunity Act</w:t>
      </w:r>
      <w:bookmarkEnd w:id="0"/>
    </w:p>
    <w:p w:rsidR="006B0B25" w:rsidRPr="003E2C19" w:rsidP="00AA0F40" w14:paraId="50D3AABC" w14:textId="5A90F9FE">
      <w:pPr>
        <w:spacing w:after="0" w:line="240" w:lineRule="auto"/>
        <w:contextualSpacing/>
        <w:rPr>
          <w:rFonts w:ascii="Times New Roman" w:hAnsi="Times New Roman" w:cs="Times New Roman"/>
          <w:sz w:val="24"/>
          <w:szCs w:val="24"/>
        </w:rPr>
      </w:pPr>
      <w:r w:rsidRPr="003E2C19">
        <w:rPr>
          <w:rFonts w:ascii="Times New Roman" w:hAnsi="Times New Roman" w:cs="Times New Roman"/>
          <w:sz w:val="24"/>
          <w:szCs w:val="24"/>
        </w:rPr>
        <w:t>Expiration Date: 0</w:t>
      </w:r>
      <w:r w:rsidRPr="003E2C19" w:rsidR="00AA0F40">
        <w:rPr>
          <w:rFonts w:ascii="Times New Roman" w:hAnsi="Times New Roman" w:cs="Times New Roman"/>
          <w:sz w:val="24"/>
          <w:szCs w:val="24"/>
        </w:rPr>
        <w:t>3</w:t>
      </w:r>
      <w:r w:rsidRPr="003E2C19" w:rsidR="006853BD">
        <w:rPr>
          <w:rFonts w:ascii="Times New Roman" w:hAnsi="Times New Roman" w:cs="Times New Roman"/>
          <w:sz w:val="24"/>
          <w:szCs w:val="24"/>
        </w:rPr>
        <w:t>/31</w:t>
      </w:r>
      <w:r w:rsidRPr="003E2C19">
        <w:rPr>
          <w:rFonts w:ascii="Times New Roman" w:hAnsi="Times New Roman" w:cs="Times New Roman"/>
          <w:sz w:val="24"/>
          <w:szCs w:val="24"/>
        </w:rPr>
        <w:t>/2027</w:t>
      </w:r>
    </w:p>
    <w:p w:rsidR="00AA0F40" w14:paraId="1F23BCDC" w14:textId="77777777">
      <w:pPr>
        <w:rPr>
          <w:rFonts w:ascii="Times New Roman" w:eastAsia="Times New Roman" w:hAnsi="Times New Roman" w:cs="Times New Roman"/>
          <w:b/>
          <w:bCs/>
          <w:kern w:val="0"/>
          <w:sz w:val="28"/>
          <w:szCs w:val="28"/>
          <w14:ligatures w14:val="none"/>
        </w:rPr>
      </w:pPr>
    </w:p>
    <w:p w:rsidR="00CF58FB" w14:paraId="095D5C51" w14:textId="438D4F30">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Proposed Changes</w:t>
      </w:r>
    </w:p>
    <w:p w:rsidR="004F7374" w:rsidP="003E2C19" w14:paraId="3F5A272A" w14:textId="062D94A7">
      <w:pPr>
        <w:spacing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below updates are proposed </w:t>
      </w:r>
      <w:r>
        <w:rPr>
          <w:rFonts w:ascii="Times New Roman" w:eastAsia="Times New Roman" w:hAnsi="Times New Roman" w:cs="Times New Roman"/>
          <w:kern w:val="0"/>
          <w:sz w:val="24"/>
          <w:szCs w:val="24"/>
          <w14:ligatures w14:val="none"/>
        </w:rPr>
        <w:t>in order t</w:t>
      </w:r>
      <w:r w:rsidRPr="00AA0F40" w:rsidR="003E2C19">
        <w:rPr>
          <w:rFonts w:ascii="Times New Roman" w:eastAsia="Times New Roman" w:hAnsi="Times New Roman" w:cs="Times New Roman"/>
          <w:kern w:val="0"/>
          <w:sz w:val="24"/>
          <w:szCs w:val="24"/>
          <w14:ligatures w14:val="none"/>
        </w:rPr>
        <w:t>o</w:t>
      </w:r>
      <w:r w:rsidRPr="00AA0F40" w:rsidR="003E2C19">
        <w:rPr>
          <w:rFonts w:ascii="Times New Roman" w:eastAsia="Times New Roman" w:hAnsi="Times New Roman" w:cs="Times New Roman"/>
          <w:kern w:val="0"/>
          <w:sz w:val="24"/>
          <w:szCs w:val="24"/>
          <w14:ligatures w14:val="none"/>
        </w:rPr>
        <w:t xml:space="preserve"> </w:t>
      </w:r>
      <w:r w:rsidR="00B14F09">
        <w:rPr>
          <w:rFonts w:ascii="Times New Roman" w:eastAsia="Times New Roman" w:hAnsi="Times New Roman" w:cs="Times New Roman"/>
          <w:kern w:val="0"/>
          <w:sz w:val="24"/>
          <w:szCs w:val="24"/>
          <w14:ligatures w14:val="none"/>
        </w:rPr>
        <w:t>implement the requirements of</w:t>
      </w:r>
      <w:r w:rsidRPr="00AA0F40" w:rsidR="003E2C19">
        <w:rPr>
          <w:rFonts w:ascii="Times New Roman" w:eastAsia="Times New Roman" w:hAnsi="Times New Roman" w:cs="Times New Roman"/>
          <w:kern w:val="0"/>
          <w:sz w:val="24"/>
          <w:szCs w:val="24"/>
          <w14:ligatures w14:val="none"/>
        </w:rPr>
        <w:t xml:space="preserve"> Executive Order </w:t>
      </w:r>
      <w:r w:rsidR="00B14F09">
        <w:rPr>
          <w:rFonts w:ascii="Times New Roman" w:eastAsia="Times New Roman" w:hAnsi="Times New Roman" w:cs="Times New Roman"/>
          <w:kern w:val="0"/>
          <w:sz w:val="24"/>
          <w:szCs w:val="24"/>
          <w14:ligatures w14:val="none"/>
        </w:rPr>
        <w:t>(EO)</w:t>
      </w:r>
      <w:r w:rsidRPr="00AA0F40" w:rsidR="003E2C19">
        <w:rPr>
          <w:rFonts w:ascii="Times New Roman" w:eastAsia="Times New Roman" w:hAnsi="Times New Roman" w:cs="Times New Roman"/>
          <w:kern w:val="0"/>
          <w:sz w:val="24"/>
          <w:szCs w:val="24"/>
          <w14:ligatures w14:val="none"/>
        </w:rPr>
        <w:t>14</w:t>
      </w:r>
      <w:r w:rsidRPr="00AA0F40" w:rsidR="00D87939">
        <w:rPr>
          <w:rFonts w:ascii="Times New Roman" w:eastAsia="Times New Roman" w:hAnsi="Times New Roman" w:cs="Times New Roman"/>
          <w:kern w:val="0"/>
          <w:sz w:val="24"/>
          <w:szCs w:val="24"/>
          <w14:ligatures w14:val="none"/>
        </w:rPr>
        <w:t>151</w:t>
      </w:r>
      <w:r>
        <w:rPr>
          <w:rFonts w:ascii="Times New Roman" w:eastAsia="Times New Roman" w:hAnsi="Times New Roman" w:cs="Times New Roman"/>
          <w:kern w:val="0"/>
          <w:sz w:val="24"/>
          <w:szCs w:val="24"/>
          <w14:ligatures w14:val="none"/>
        </w:rPr>
        <w:t>,</w:t>
      </w:r>
      <w:r w:rsidRPr="00AA0F40" w:rsidR="003E2C19">
        <w:rPr>
          <w:rFonts w:ascii="Times New Roman" w:eastAsia="Times New Roman" w:hAnsi="Times New Roman" w:cs="Times New Roman"/>
          <w:kern w:val="0"/>
          <w:sz w:val="24"/>
          <w:szCs w:val="24"/>
          <w14:ligatures w14:val="none"/>
        </w:rPr>
        <w:t xml:space="preserve"> </w:t>
      </w:r>
      <w:r w:rsidRPr="00D50565" w:rsidR="00D87939">
        <w:rPr>
          <w:rFonts w:ascii="Times New Roman" w:eastAsia="Times New Roman" w:hAnsi="Times New Roman" w:cs="Times New Roman"/>
          <w:i/>
          <w:iCs/>
          <w:kern w:val="0"/>
          <w:sz w:val="24"/>
          <w:szCs w:val="24"/>
          <w14:ligatures w14:val="none"/>
        </w:rPr>
        <w:t>Ending Radical and Wasteful Government DEI Programs</w:t>
      </w:r>
      <w:r w:rsidRPr="00AA0F40" w:rsidR="00D8793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to the </w:t>
      </w:r>
      <w:r w:rsidR="00B14F09">
        <w:rPr>
          <w:rFonts w:ascii="Times New Roman" w:eastAsia="Times New Roman" w:hAnsi="Times New Roman" w:cs="Times New Roman"/>
          <w:kern w:val="0"/>
          <w:sz w:val="24"/>
          <w:szCs w:val="24"/>
          <w14:ligatures w14:val="none"/>
        </w:rPr>
        <w:t>subject Information Collection Request (ICR)</w:t>
      </w:r>
      <w:r>
        <w:rPr>
          <w:rFonts w:ascii="Times New Roman" w:eastAsia="Times New Roman" w:hAnsi="Times New Roman" w:cs="Times New Roman"/>
          <w:kern w:val="0"/>
          <w:sz w:val="24"/>
          <w:szCs w:val="24"/>
          <w14:ligatures w14:val="none"/>
        </w:rPr>
        <w:t>.</w:t>
      </w:r>
      <w:r w:rsidRPr="004F7374">
        <w:rPr>
          <w:rFonts w:ascii="Times New Roman" w:eastAsia="Times New Roman" w:hAnsi="Times New Roman" w:cs="Times New Roman"/>
          <w:kern w:val="0"/>
          <w:sz w:val="24"/>
          <w:szCs w:val="24"/>
          <w14:ligatures w14:val="none"/>
        </w:rPr>
        <w:t xml:space="preserve"> </w:t>
      </w:r>
    </w:p>
    <w:p w:rsidR="00A930DF" w:rsidRPr="00AA0F40" w:rsidP="003E2C19" w14:paraId="5EFA7F57" w14:textId="52D66ED7">
      <w:pPr>
        <w:spacing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B14F09">
        <w:rPr>
          <w:rFonts w:ascii="Times New Roman" w:eastAsia="Times New Roman" w:hAnsi="Times New Roman" w:cs="Times New Roman"/>
          <w:kern w:val="0"/>
          <w:sz w:val="24"/>
          <w:szCs w:val="24"/>
          <w14:ligatures w14:val="none"/>
        </w:rPr>
        <w:t xml:space="preserve">he Department of Labor (DOL) is currently updating this </w:t>
      </w:r>
      <w:r w:rsidR="00AA0F40">
        <w:rPr>
          <w:rFonts w:ascii="Times New Roman" w:eastAsia="Times New Roman" w:hAnsi="Times New Roman" w:cs="Times New Roman"/>
          <w:kern w:val="0"/>
          <w:sz w:val="24"/>
          <w:szCs w:val="24"/>
          <w14:ligatures w14:val="none"/>
        </w:rPr>
        <w:t xml:space="preserve">ICR </w:t>
      </w:r>
      <w:r w:rsidR="004F7374">
        <w:rPr>
          <w:rFonts w:ascii="Times New Roman" w:eastAsia="Times New Roman" w:hAnsi="Times New Roman" w:cs="Times New Roman"/>
          <w:kern w:val="0"/>
          <w:sz w:val="24"/>
          <w:szCs w:val="24"/>
          <w14:ligatures w14:val="none"/>
        </w:rPr>
        <w:t>as a</w:t>
      </w:r>
      <w:r w:rsidR="00AA0F40">
        <w:rPr>
          <w:rFonts w:ascii="Times New Roman" w:eastAsia="Times New Roman" w:hAnsi="Times New Roman" w:cs="Times New Roman"/>
          <w:kern w:val="0"/>
          <w:sz w:val="24"/>
          <w:szCs w:val="24"/>
          <w14:ligatures w14:val="none"/>
        </w:rPr>
        <w:t xml:space="preserve"> part of a Notice of Proposed Rulemaking</w:t>
      </w:r>
      <w:r w:rsidR="004F7374">
        <w:rPr>
          <w:rFonts w:ascii="Times New Roman" w:eastAsia="Times New Roman" w:hAnsi="Times New Roman" w:cs="Times New Roman"/>
          <w:kern w:val="0"/>
          <w:sz w:val="24"/>
          <w:szCs w:val="24"/>
          <w14:ligatures w14:val="none"/>
        </w:rPr>
        <w:t xml:space="preserve"> </w:t>
      </w:r>
      <w:r w:rsidR="00B14F09">
        <w:rPr>
          <w:rFonts w:ascii="Times New Roman" w:eastAsia="Times New Roman" w:hAnsi="Times New Roman" w:cs="Times New Roman"/>
          <w:kern w:val="0"/>
          <w:sz w:val="24"/>
          <w:szCs w:val="24"/>
          <w14:ligatures w14:val="none"/>
        </w:rPr>
        <w:t xml:space="preserve">(NPRM) </w:t>
      </w:r>
      <w:r w:rsidR="004F7374">
        <w:rPr>
          <w:rFonts w:ascii="Times New Roman" w:eastAsia="Times New Roman" w:hAnsi="Times New Roman" w:cs="Times New Roman"/>
          <w:kern w:val="0"/>
          <w:sz w:val="24"/>
          <w:szCs w:val="24"/>
          <w14:ligatures w14:val="none"/>
        </w:rPr>
        <w:t xml:space="preserve">titled </w:t>
      </w:r>
      <w:r w:rsidRPr="00D50565" w:rsidR="004F7374">
        <w:rPr>
          <w:rFonts w:ascii="Times New Roman" w:eastAsia="Times New Roman" w:hAnsi="Times New Roman" w:cs="Times New Roman"/>
          <w:i/>
          <w:iCs/>
          <w:kern w:val="0"/>
          <w:sz w:val="24"/>
          <w:szCs w:val="24"/>
          <w14:ligatures w14:val="none"/>
        </w:rPr>
        <w:t>Wagner-Peyser Act Employment Service Staffing</w:t>
      </w:r>
      <w:r w:rsidR="004F7374">
        <w:rPr>
          <w:rFonts w:ascii="Times New Roman" w:eastAsia="Times New Roman" w:hAnsi="Times New Roman" w:cs="Times New Roman"/>
          <w:kern w:val="0"/>
          <w:sz w:val="24"/>
          <w:szCs w:val="24"/>
          <w14:ligatures w14:val="none"/>
        </w:rPr>
        <w:t xml:space="preserve"> (</w:t>
      </w:r>
      <w:r w:rsidRPr="004F7374" w:rsidR="004F7374">
        <w:rPr>
          <w:rFonts w:ascii="Times New Roman" w:eastAsia="Times New Roman" w:hAnsi="Times New Roman" w:cs="Times New Roman"/>
          <w:kern w:val="0"/>
          <w:sz w:val="24"/>
          <w:szCs w:val="24"/>
          <w14:ligatures w14:val="none"/>
        </w:rPr>
        <w:t>RIN 1205-AC22</w:t>
      </w:r>
      <w:r w:rsidR="004F7374">
        <w:rPr>
          <w:rFonts w:ascii="Times New Roman" w:eastAsia="Times New Roman" w:hAnsi="Times New Roman" w:cs="Times New Roman"/>
          <w:kern w:val="0"/>
          <w:sz w:val="24"/>
          <w:szCs w:val="24"/>
          <w14:ligatures w14:val="none"/>
        </w:rPr>
        <w:t xml:space="preserve">). </w:t>
      </w:r>
      <w:r w:rsidR="00AA0F40">
        <w:rPr>
          <w:rFonts w:ascii="Times New Roman" w:eastAsia="Times New Roman" w:hAnsi="Times New Roman" w:cs="Times New Roman"/>
          <w:kern w:val="0"/>
          <w:sz w:val="24"/>
          <w:szCs w:val="24"/>
          <w14:ligatures w14:val="none"/>
        </w:rPr>
        <w:t xml:space="preserve"> </w:t>
      </w:r>
      <w:r w:rsidR="004F7374">
        <w:rPr>
          <w:rFonts w:ascii="Times New Roman" w:eastAsia="Times New Roman" w:hAnsi="Times New Roman" w:cs="Times New Roman"/>
          <w:kern w:val="0"/>
          <w:sz w:val="24"/>
          <w:szCs w:val="24"/>
          <w14:ligatures w14:val="none"/>
        </w:rPr>
        <w:t>This rulemaking</w:t>
      </w:r>
      <w:r w:rsidR="007A222A">
        <w:rPr>
          <w:rFonts w:ascii="Times New Roman" w:eastAsia="Times New Roman" w:hAnsi="Times New Roman" w:cs="Times New Roman"/>
          <w:kern w:val="0"/>
          <w:sz w:val="24"/>
          <w:szCs w:val="24"/>
          <w14:ligatures w14:val="none"/>
        </w:rPr>
        <w:t xml:space="preserve"> contains both substantive changes and the non-substantive changes </w:t>
      </w:r>
      <w:r w:rsidR="00B14F09">
        <w:rPr>
          <w:rFonts w:ascii="Times New Roman" w:eastAsia="Times New Roman" w:hAnsi="Times New Roman" w:cs="Times New Roman"/>
          <w:kern w:val="0"/>
          <w:sz w:val="24"/>
          <w:szCs w:val="24"/>
          <w14:ligatures w14:val="none"/>
        </w:rPr>
        <w:t>referenced</w:t>
      </w:r>
      <w:r w:rsidR="007A222A">
        <w:rPr>
          <w:rFonts w:ascii="Times New Roman" w:eastAsia="Times New Roman" w:hAnsi="Times New Roman" w:cs="Times New Roman"/>
          <w:kern w:val="0"/>
          <w:sz w:val="24"/>
          <w:szCs w:val="24"/>
          <w14:ligatures w14:val="none"/>
        </w:rPr>
        <w:t xml:space="preserve"> in this request. </w:t>
      </w:r>
      <w:r w:rsidR="00B14F09">
        <w:rPr>
          <w:rFonts w:ascii="Times New Roman" w:eastAsia="Times New Roman" w:hAnsi="Times New Roman" w:cs="Times New Roman"/>
          <w:kern w:val="0"/>
          <w:sz w:val="24"/>
          <w:szCs w:val="24"/>
          <w14:ligatures w14:val="none"/>
        </w:rPr>
        <w:t xml:space="preserve">To comply with EO 14151, </w:t>
      </w:r>
      <w:r w:rsidR="007A222A">
        <w:rPr>
          <w:rFonts w:ascii="Times New Roman" w:eastAsia="Times New Roman" w:hAnsi="Times New Roman" w:cs="Times New Roman"/>
          <w:kern w:val="0"/>
          <w:sz w:val="24"/>
          <w:szCs w:val="24"/>
          <w14:ligatures w14:val="none"/>
        </w:rPr>
        <w:t>DOL requests permission from OMB to implement the</w:t>
      </w:r>
      <w:r w:rsidR="00B14F09">
        <w:rPr>
          <w:rFonts w:ascii="Times New Roman" w:eastAsia="Times New Roman" w:hAnsi="Times New Roman" w:cs="Times New Roman"/>
          <w:kern w:val="0"/>
          <w:sz w:val="24"/>
          <w:szCs w:val="24"/>
          <w14:ligatures w14:val="none"/>
        </w:rPr>
        <w:t xml:space="preserve"> NPRM’s </w:t>
      </w:r>
      <w:r w:rsidR="007A222A">
        <w:rPr>
          <w:rFonts w:ascii="Times New Roman" w:eastAsia="Times New Roman" w:hAnsi="Times New Roman" w:cs="Times New Roman"/>
          <w:kern w:val="0"/>
          <w:sz w:val="24"/>
          <w:szCs w:val="24"/>
          <w14:ligatures w14:val="none"/>
        </w:rPr>
        <w:t>non-substantive changes as soon as possible.</w:t>
      </w:r>
      <w:r w:rsidR="00B14F09">
        <w:rPr>
          <w:rFonts w:ascii="Times New Roman" w:eastAsia="Times New Roman" w:hAnsi="Times New Roman" w:cs="Times New Roman"/>
          <w:kern w:val="0"/>
          <w:sz w:val="24"/>
          <w:szCs w:val="24"/>
          <w14:ligatures w14:val="none"/>
        </w:rPr>
        <w:t xml:space="preserve"> The submission of this ICR associated with the Final Rule will reflect this approval. </w:t>
      </w:r>
      <w:r w:rsidR="007A222A">
        <w:rPr>
          <w:rFonts w:ascii="Times New Roman" w:eastAsia="Times New Roman" w:hAnsi="Times New Roman" w:cs="Times New Roman"/>
          <w:kern w:val="0"/>
          <w:sz w:val="24"/>
          <w:szCs w:val="24"/>
          <w14:ligatures w14:val="none"/>
        </w:rPr>
        <w:t xml:space="preserve"> </w:t>
      </w:r>
    </w:p>
    <w:p w:rsidR="00DD422A" w:rsidRPr="0083107A" w:rsidP="003E2C19" w14:paraId="169B3427" w14:textId="07671835">
      <w:pPr>
        <w:spacing w:after="12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As outlined below, t</w:t>
      </w:r>
      <w:r w:rsidR="003E2C19">
        <w:rPr>
          <w:rFonts w:ascii="Times New Roman" w:eastAsia="Times New Roman" w:hAnsi="Times New Roman" w:cs="Times New Roman"/>
          <w:kern w:val="0"/>
          <w:sz w:val="24"/>
          <w:szCs w:val="24"/>
          <w14:ligatures w14:val="none"/>
        </w:rPr>
        <w:t>he proposed changes in</w:t>
      </w:r>
      <w:r w:rsidR="00686443">
        <w:rPr>
          <w:rFonts w:ascii="Times New Roman" w:eastAsia="Times New Roman" w:hAnsi="Times New Roman" w:cs="Times New Roman"/>
          <w:kern w:val="0"/>
          <w:sz w:val="24"/>
          <w:szCs w:val="24"/>
          <w14:ligatures w14:val="none"/>
        </w:rPr>
        <w:t xml:space="preserve">volve deleting </w:t>
      </w:r>
      <w:r w:rsidR="0083107A">
        <w:rPr>
          <w:rFonts w:ascii="Times New Roman" w:eastAsia="Times New Roman" w:hAnsi="Times New Roman" w:cs="Times New Roman"/>
          <w:kern w:val="0"/>
          <w:sz w:val="24"/>
          <w:szCs w:val="24"/>
          <w14:ligatures w14:val="none"/>
        </w:rPr>
        <w:t>statements</w:t>
      </w:r>
      <w:r w:rsidR="00AA0F40">
        <w:rPr>
          <w:rFonts w:ascii="Times New Roman" w:eastAsia="Times New Roman" w:hAnsi="Times New Roman" w:cs="Times New Roman"/>
          <w:kern w:val="0"/>
          <w:sz w:val="24"/>
          <w:szCs w:val="24"/>
          <w14:ligatures w14:val="none"/>
        </w:rPr>
        <w:t xml:space="preserve"> or revising wording</w:t>
      </w:r>
      <w:r w:rsidR="0083107A">
        <w:rPr>
          <w:rFonts w:ascii="Times New Roman" w:eastAsia="Times New Roman" w:hAnsi="Times New Roman" w:cs="Times New Roman"/>
          <w:kern w:val="0"/>
          <w:sz w:val="24"/>
          <w:szCs w:val="24"/>
          <w14:ligatures w14:val="none"/>
        </w:rPr>
        <w:t xml:space="preserve"> </w:t>
      </w:r>
      <w:r w:rsidR="00175712">
        <w:rPr>
          <w:rFonts w:ascii="Times New Roman" w:eastAsia="Times New Roman" w:hAnsi="Times New Roman" w:cs="Times New Roman"/>
          <w:kern w:val="0"/>
          <w:sz w:val="24"/>
          <w:szCs w:val="24"/>
          <w14:ligatures w14:val="none"/>
        </w:rPr>
        <w:t>to remove DEI implications</w:t>
      </w:r>
      <w:r w:rsidRPr="0083107A" w:rsidR="00686443">
        <w:rPr>
          <w:rFonts w:ascii="Times New Roman" w:eastAsia="Times New Roman" w:hAnsi="Times New Roman" w:cs="Times New Roman"/>
          <w:kern w:val="0"/>
          <w:sz w:val="24"/>
          <w:szCs w:val="24"/>
          <w14:ligatures w14:val="none"/>
        </w:rPr>
        <w:t>.</w:t>
      </w:r>
      <w:r w:rsidR="00175712">
        <w:rPr>
          <w:rFonts w:ascii="Times New Roman" w:eastAsia="Times New Roman" w:hAnsi="Times New Roman" w:cs="Times New Roman"/>
          <w:kern w:val="0"/>
          <w:sz w:val="24"/>
          <w:szCs w:val="24"/>
          <w14:ligatures w14:val="none"/>
        </w:rPr>
        <w:t xml:space="preserve"> S</w:t>
      </w:r>
      <w:r w:rsidR="003E2C19">
        <w:rPr>
          <w:rFonts w:ascii="Times New Roman" w:eastAsia="Times New Roman" w:hAnsi="Times New Roman" w:cs="Times New Roman"/>
          <w:kern w:val="0"/>
          <w:sz w:val="24"/>
          <w:szCs w:val="24"/>
          <w14:ligatures w14:val="none"/>
        </w:rPr>
        <w:t>everal</w:t>
      </w:r>
      <w:r w:rsidR="00175712">
        <w:rPr>
          <w:rFonts w:ascii="Times New Roman" w:eastAsia="Times New Roman" w:hAnsi="Times New Roman" w:cs="Times New Roman"/>
          <w:kern w:val="0"/>
          <w:sz w:val="24"/>
          <w:szCs w:val="24"/>
          <w14:ligatures w14:val="none"/>
        </w:rPr>
        <w:t xml:space="preserve"> other non-substantive changes are proposed for clarity of wording</w:t>
      </w:r>
      <w:r w:rsidR="003E2C19">
        <w:rPr>
          <w:rFonts w:ascii="Times New Roman" w:eastAsia="Times New Roman" w:hAnsi="Times New Roman" w:cs="Times New Roman"/>
          <w:kern w:val="0"/>
          <w:sz w:val="24"/>
          <w:szCs w:val="24"/>
          <w14:ligatures w14:val="none"/>
        </w:rPr>
        <w:t xml:space="preserve"> and to add statutory citations</w:t>
      </w:r>
      <w:r w:rsidR="00175712">
        <w:rPr>
          <w:rFonts w:ascii="Times New Roman" w:eastAsia="Times New Roman" w:hAnsi="Times New Roman" w:cs="Times New Roman"/>
          <w:kern w:val="0"/>
          <w:sz w:val="24"/>
          <w:szCs w:val="24"/>
          <w14:ligatures w14:val="none"/>
        </w:rPr>
        <w:t xml:space="preserve">. Two proposed changes are deletions necessary to comply with ongoing litigation. </w:t>
      </w:r>
      <w:r w:rsidR="003E2C19">
        <w:rPr>
          <w:rFonts w:ascii="Times New Roman" w:eastAsia="Times New Roman" w:hAnsi="Times New Roman" w:cs="Times New Roman"/>
          <w:kern w:val="0"/>
          <w:sz w:val="24"/>
          <w:szCs w:val="24"/>
          <w14:ligatures w14:val="none"/>
        </w:rPr>
        <w:t>Proposed non-substantive c</w:t>
      </w:r>
      <w:r w:rsidR="0083107A">
        <w:rPr>
          <w:rFonts w:ascii="Times New Roman" w:eastAsia="Times New Roman" w:hAnsi="Times New Roman" w:cs="Times New Roman"/>
          <w:kern w:val="0"/>
          <w:sz w:val="24"/>
          <w:szCs w:val="24"/>
          <w14:ligatures w14:val="none"/>
        </w:rPr>
        <w:t xml:space="preserve">hanges </w:t>
      </w:r>
      <w:r w:rsidRPr="0083107A" w:rsidR="00686443">
        <w:rPr>
          <w:rFonts w:ascii="Times New Roman" w:eastAsia="Times New Roman" w:hAnsi="Times New Roman" w:cs="Times New Roman"/>
          <w:kern w:val="0"/>
          <w:sz w:val="24"/>
          <w:szCs w:val="24"/>
          <w14:ligatures w14:val="none"/>
        </w:rPr>
        <w:t>in</w:t>
      </w:r>
      <w:r w:rsidRPr="0083107A" w:rsidR="003E2C19">
        <w:rPr>
          <w:rFonts w:ascii="Times New Roman" w:eastAsia="Times New Roman" w:hAnsi="Times New Roman" w:cs="Times New Roman"/>
          <w:kern w:val="0"/>
          <w:sz w:val="24"/>
          <w:szCs w:val="24"/>
          <w14:ligatures w14:val="none"/>
        </w:rPr>
        <w:t>clude:</w:t>
      </w:r>
    </w:p>
    <w:p w:rsidR="007D3CAA" w:rsidP="003E2C19" w14:paraId="7050F921" w14:textId="77777777">
      <w:pPr>
        <w:pStyle w:val="ListParagraph"/>
        <w:tabs>
          <w:tab w:val="right" w:pos="360"/>
        </w:tabs>
        <w:autoSpaceDE w:val="0"/>
        <w:autoSpaceDN w:val="0"/>
        <w:adjustRightInd w:val="0"/>
      </w:pPr>
    </w:p>
    <w:tbl>
      <w:tblPr>
        <w:tblStyle w:val="TableGrid"/>
        <w:tblW w:w="9355" w:type="dxa"/>
        <w:tblLayout w:type="fixed"/>
        <w:tblLook w:val="04A0"/>
      </w:tblPr>
      <w:tblGrid>
        <w:gridCol w:w="2245"/>
        <w:gridCol w:w="2700"/>
        <w:gridCol w:w="4410"/>
      </w:tblGrid>
      <w:tr w14:paraId="30E4A8CE" w14:textId="77777777" w:rsidTr="003E2C19">
        <w:tblPrEx>
          <w:tblW w:w="9355" w:type="dxa"/>
          <w:tblLayout w:type="fixed"/>
          <w:tblLook w:val="04A0"/>
        </w:tblPrEx>
        <w:tc>
          <w:tcPr>
            <w:tcW w:w="2245" w:type="dxa"/>
          </w:tcPr>
          <w:p w:rsidR="007D3CAA" w:rsidRPr="003E2C19" w:rsidP="00FC335E" w14:paraId="6D725A9A" w14:textId="77777777">
            <w:pPr>
              <w:rPr>
                <w:rFonts w:ascii="Times New Roman" w:hAnsi="Times New Roman"/>
                <w:b/>
                <w:bCs/>
                <w:sz w:val="22"/>
                <w:szCs w:val="22"/>
              </w:rPr>
            </w:pPr>
            <w:r w:rsidRPr="003E2C19">
              <w:rPr>
                <w:rFonts w:ascii="Times New Roman" w:hAnsi="Times New Roman"/>
                <w:b/>
                <w:bCs/>
                <w:sz w:val="22"/>
                <w:szCs w:val="22"/>
              </w:rPr>
              <w:t>Information Collection Element</w:t>
            </w:r>
          </w:p>
        </w:tc>
        <w:tc>
          <w:tcPr>
            <w:tcW w:w="2700" w:type="dxa"/>
          </w:tcPr>
          <w:p w:rsidR="007D3CAA" w:rsidRPr="003E2C19" w:rsidP="00FC335E" w14:paraId="570AAA46" w14:textId="77777777">
            <w:pPr>
              <w:rPr>
                <w:rFonts w:ascii="Times New Roman" w:hAnsi="Times New Roman"/>
                <w:b/>
                <w:bCs/>
                <w:sz w:val="22"/>
                <w:szCs w:val="22"/>
              </w:rPr>
            </w:pPr>
            <w:r w:rsidRPr="003E2C19">
              <w:rPr>
                <w:rFonts w:ascii="Times New Roman" w:hAnsi="Times New Roman"/>
                <w:b/>
                <w:bCs/>
                <w:sz w:val="22"/>
                <w:szCs w:val="22"/>
              </w:rPr>
              <w:t>Proposed Revision</w:t>
            </w:r>
          </w:p>
        </w:tc>
        <w:tc>
          <w:tcPr>
            <w:tcW w:w="4410" w:type="dxa"/>
          </w:tcPr>
          <w:p w:rsidR="007D3CAA" w:rsidRPr="003E2C19" w:rsidP="00FC335E" w14:paraId="779F2F40" w14:textId="77777777">
            <w:pPr>
              <w:rPr>
                <w:rFonts w:ascii="Times New Roman" w:hAnsi="Times New Roman"/>
                <w:b/>
                <w:bCs/>
                <w:sz w:val="22"/>
                <w:szCs w:val="22"/>
              </w:rPr>
            </w:pPr>
            <w:r w:rsidRPr="003E2C19">
              <w:rPr>
                <w:rFonts w:ascii="Times New Roman" w:hAnsi="Times New Roman"/>
                <w:b/>
                <w:bCs/>
                <w:sz w:val="22"/>
                <w:szCs w:val="22"/>
              </w:rPr>
              <w:t>Justification for revision</w:t>
            </w:r>
          </w:p>
        </w:tc>
      </w:tr>
      <w:tr w14:paraId="183230A1" w14:textId="77777777" w:rsidTr="003E2C19">
        <w:tblPrEx>
          <w:tblW w:w="9355" w:type="dxa"/>
          <w:tblLayout w:type="fixed"/>
          <w:tblLook w:val="04A0"/>
        </w:tblPrEx>
        <w:tc>
          <w:tcPr>
            <w:tcW w:w="2245" w:type="dxa"/>
          </w:tcPr>
          <w:p w:rsidR="007D3CAA" w:rsidRPr="003E2C19" w:rsidP="007D3CAA" w14:paraId="30EDD1E2" w14:textId="57326667">
            <w:pPr>
              <w:rPr>
                <w:rFonts w:ascii="Times New Roman" w:hAnsi="Times New Roman"/>
                <w:sz w:val="22"/>
                <w:szCs w:val="22"/>
              </w:rPr>
            </w:pPr>
            <w:r w:rsidRPr="003E2C19">
              <w:rPr>
                <w:rFonts w:ascii="Times New Roman" w:hAnsi="Times New Roman"/>
                <w:sz w:val="22"/>
                <w:szCs w:val="22"/>
              </w:rPr>
              <w:t>Overview: How State Plan Requirements Are Organized, paragraph 1</w:t>
            </w:r>
          </w:p>
        </w:tc>
        <w:tc>
          <w:tcPr>
            <w:tcW w:w="2700" w:type="dxa"/>
          </w:tcPr>
          <w:p w:rsidR="007D3CAA" w:rsidRPr="003E2C19" w:rsidP="007D3CAA" w14:paraId="2E99A3E5" w14:textId="71636FE5">
            <w:pPr>
              <w:rPr>
                <w:rFonts w:ascii="Times New Roman" w:hAnsi="Times New Roman"/>
                <w:sz w:val="22"/>
                <w:szCs w:val="22"/>
              </w:rPr>
            </w:pPr>
            <w:r w:rsidRPr="003E2C19">
              <w:rPr>
                <w:rFonts w:ascii="Times New Roman" w:eastAsia="Times New Roman" w:hAnsi="Times New Roman"/>
                <w:sz w:val="22"/>
                <w:szCs w:val="22"/>
              </w:rPr>
              <w:t>Delete outdated wording in Overview, page 3, which is informational only</w:t>
            </w:r>
          </w:p>
        </w:tc>
        <w:tc>
          <w:tcPr>
            <w:tcW w:w="4410" w:type="dxa"/>
          </w:tcPr>
          <w:p w:rsidR="007D3CAA" w:rsidRPr="003E2C19" w:rsidP="007D3CAA" w14:paraId="57314508" w14:textId="2FAD9657">
            <w:pPr>
              <w:rPr>
                <w:rFonts w:ascii="Times New Roman" w:hAnsi="Times New Roman"/>
                <w:sz w:val="22"/>
                <w:szCs w:val="22"/>
              </w:rPr>
            </w:pPr>
            <w:r w:rsidRPr="003E2C19">
              <w:rPr>
                <w:rFonts w:ascii="Times New Roman" w:hAnsi="Times New Roman"/>
                <w:sz w:val="22"/>
                <w:szCs w:val="22"/>
              </w:rPr>
              <w:t>Updated to reflect passage of time</w:t>
            </w:r>
          </w:p>
        </w:tc>
      </w:tr>
      <w:tr w14:paraId="2AEA20D3" w14:textId="77777777" w:rsidTr="003E2C19">
        <w:tblPrEx>
          <w:tblW w:w="9355" w:type="dxa"/>
          <w:tblLayout w:type="fixed"/>
          <w:tblLook w:val="04A0"/>
        </w:tblPrEx>
        <w:tc>
          <w:tcPr>
            <w:tcW w:w="2245" w:type="dxa"/>
          </w:tcPr>
          <w:p w:rsidR="007D3CAA" w:rsidRPr="003E2C19" w:rsidP="007D3CAA" w14:paraId="4F2CB8BB" w14:textId="1F109CFA">
            <w:pPr>
              <w:rPr>
                <w:rFonts w:ascii="Times New Roman" w:hAnsi="Times New Roman"/>
                <w:sz w:val="22"/>
                <w:szCs w:val="22"/>
              </w:rPr>
            </w:pPr>
            <w:r w:rsidRPr="003E2C19">
              <w:rPr>
                <w:rFonts w:ascii="Times New Roman" w:hAnsi="Times New Roman"/>
                <w:sz w:val="22"/>
                <w:szCs w:val="22"/>
              </w:rPr>
              <w:t>Overview: How State Plan Requirements Are Organized</w:t>
            </w:r>
            <w:r w:rsidRPr="003E2C19" w:rsidR="005D31E7">
              <w:rPr>
                <w:rFonts w:ascii="Times New Roman" w:hAnsi="Times New Roman"/>
                <w:sz w:val="22"/>
                <w:szCs w:val="22"/>
              </w:rPr>
              <w:t>, last paragraph</w:t>
            </w:r>
          </w:p>
        </w:tc>
        <w:tc>
          <w:tcPr>
            <w:tcW w:w="2700" w:type="dxa"/>
          </w:tcPr>
          <w:p w:rsidR="007D3CAA" w:rsidRPr="003E2C19" w:rsidP="007D3CAA" w14:paraId="01B7CC3B" w14:textId="093EA276">
            <w:pPr>
              <w:rPr>
                <w:rFonts w:ascii="Times New Roman" w:hAnsi="Times New Roman"/>
                <w:sz w:val="22"/>
                <w:szCs w:val="22"/>
              </w:rPr>
            </w:pPr>
            <w:r w:rsidRPr="003E2C19">
              <w:rPr>
                <w:rFonts w:ascii="Times New Roman" w:hAnsi="Times New Roman"/>
                <w:sz w:val="22"/>
                <w:szCs w:val="22"/>
              </w:rPr>
              <w:t xml:space="preserve">Changed language from “target populations” to “individuals with barriers to employment,” and updated related footnote. Deleted redundant </w:t>
            </w:r>
            <w:r w:rsidRPr="003E2C19">
              <w:rPr>
                <w:rFonts w:ascii="Times New Roman" w:hAnsi="Times New Roman"/>
                <w:sz w:val="22"/>
                <w:szCs w:val="22"/>
              </w:rPr>
              <w:t>sentence</w:t>
            </w:r>
            <w:r w:rsidRPr="003E2C19">
              <w:rPr>
                <w:rFonts w:ascii="Times New Roman" w:hAnsi="Times New Roman"/>
                <w:sz w:val="22"/>
                <w:szCs w:val="22"/>
              </w:rPr>
              <w:t xml:space="preserve">. </w:t>
            </w:r>
          </w:p>
        </w:tc>
        <w:tc>
          <w:tcPr>
            <w:tcW w:w="4410" w:type="dxa"/>
          </w:tcPr>
          <w:p w:rsidR="007D3CAA" w:rsidRPr="007D3CAA" w:rsidP="007D3CAA" w14:paraId="775001BB" w14:textId="39B869EE">
            <w:pPr>
              <w:rPr>
                <w:rFonts w:ascii="Times New Roman" w:hAnsi="Times New Roman"/>
                <w:sz w:val="22"/>
                <w:szCs w:val="22"/>
              </w:rPr>
            </w:pPr>
            <w:r w:rsidRPr="007D3CAA">
              <w:rPr>
                <w:rFonts w:ascii="Times New Roman" w:hAnsi="Times New Roman"/>
                <w:sz w:val="22"/>
                <w:szCs w:val="22"/>
              </w:rPr>
              <w:t>Updated language to align to statutory language with the same meaning</w:t>
            </w:r>
            <w:r w:rsidRPr="003E2C19" w:rsidR="005D31E7">
              <w:rPr>
                <w:rFonts w:ascii="Times New Roman" w:hAnsi="Times New Roman"/>
                <w:sz w:val="22"/>
                <w:szCs w:val="22"/>
              </w:rPr>
              <w:t xml:space="preserve"> and to streamline</w:t>
            </w:r>
          </w:p>
          <w:p w:rsidR="007D3CAA" w:rsidRPr="003E2C19" w:rsidP="007D3CAA" w14:paraId="6591F17C" w14:textId="125C3AFF">
            <w:pPr>
              <w:rPr>
                <w:rFonts w:ascii="Times New Roman" w:hAnsi="Times New Roman"/>
                <w:sz w:val="22"/>
                <w:szCs w:val="22"/>
              </w:rPr>
            </w:pPr>
          </w:p>
        </w:tc>
      </w:tr>
      <w:tr w14:paraId="4B6C0657" w14:textId="77777777" w:rsidTr="003E2C19">
        <w:tblPrEx>
          <w:tblW w:w="9355" w:type="dxa"/>
          <w:tblLayout w:type="fixed"/>
          <w:tblLook w:val="04A0"/>
        </w:tblPrEx>
        <w:tc>
          <w:tcPr>
            <w:tcW w:w="2245" w:type="dxa"/>
          </w:tcPr>
          <w:p w:rsidR="007D3CAA" w:rsidRPr="003E2C19" w:rsidP="007D3CAA" w14:paraId="72F9F75F" w14:textId="77777777">
            <w:pPr>
              <w:rPr>
                <w:rFonts w:ascii="Times New Roman" w:hAnsi="Times New Roman"/>
                <w:sz w:val="22"/>
                <w:szCs w:val="22"/>
              </w:rPr>
            </w:pPr>
            <w:r w:rsidRPr="003E2C19">
              <w:rPr>
                <w:rFonts w:ascii="Times New Roman" w:hAnsi="Times New Roman"/>
                <w:sz w:val="22"/>
                <w:szCs w:val="22"/>
              </w:rPr>
              <w:t>Sec. I(a) WIOA State Plan Type and Executive Summary – Combined Plans</w:t>
            </w:r>
          </w:p>
        </w:tc>
        <w:tc>
          <w:tcPr>
            <w:tcW w:w="2700" w:type="dxa"/>
          </w:tcPr>
          <w:p w:rsidR="007D3CAA" w:rsidRPr="003E2C19" w:rsidP="007D3CAA" w14:paraId="7A93E49B" w14:textId="77777777">
            <w:pPr>
              <w:rPr>
                <w:rFonts w:ascii="Times New Roman" w:hAnsi="Times New Roman"/>
                <w:sz w:val="22"/>
                <w:szCs w:val="22"/>
              </w:rPr>
            </w:pPr>
            <w:r w:rsidRPr="003E2C19">
              <w:rPr>
                <w:rFonts w:ascii="Times New Roman" w:hAnsi="Times New Roman"/>
                <w:sz w:val="22"/>
                <w:szCs w:val="22"/>
              </w:rPr>
              <w:t xml:space="preserve">Removed </w:t>
            </w:r>
            <w:r w:rsidRPr="003E2C19">
              <w:rPr>
                <w:rFonts w:ascii="Times New Roman" w:hAnsi="Times New Roman"/>
                <w:sz w:val="22"/>
                <w:szCs w:val="22"/>
              </w:rPr>
              <w:t>ReXO</w:t>
            </w:r>
            <w:r w:rsidRPr="003E2C19">
              <w:rPr>
                <w:rFonts w:ascii="Times New Roman" w:hAnsi="Times New Roman"/>
                <w:sz w:val="22"/>
                <w:szCs w:val="22"/>
              </w:rPr>
              <w:t xml:space="preserve"> as an optional combined plan partner. </w:t>
            </w:r>
          </w:p>
        </w:tc>
        <w:tc>
          <w:tcPr>
            <w:tcW w:w="4410" w:type="dxa"/>
          </w:tcPr>
          <w:p w:rsidR="005D31E7" w:rsidRPr="005D31E7" w:rsidP="005D31E7" w14:paraId="4CFB7739" w14:textId="77777777">
            <w:pPr>
              <w:rPr>
                <w:rFonts w:ascii="Times New Roman" w:hAnsi="Times New Roman"/>
                <w:sz w:val="22"/>
                <w:szCs w:val="22"/>
              </w:rPr>
            </w:pPr>
            <w:r w:rsidRPr="005D31E7">
              <w:rPr>
                <w:rFonts w:ascii="Times New Roman" w:hAnsi="Times New Roman"/>
                <w:sz w:val="22"/>
                <w:szCs w:val="22"/>
              </w:rPr>
              <w:t xml:space="preserve">While REO remains authorized under WIOA 169, the Second Chance Act was superseded by the First Step Act. Because neither </w:t>
            </w:r>
            <w:r w:rsidRPr="005D31E7">
              <w:rPr>
                <w:rFonts w:ascii="Times New Roman" w:hAnsi="Times New Roman"/>
                <w:sz w:val="22"/>
                <w:szCs w:val="22"/>
              </w:rPr>
              <w:t>First</w:t>
            </w:r>
            <w:r w:rsidRPr="005D31E7">
              <w:rPr>
                <w:rFonts w:ascii="Times New Roman" w:hAnsi="Times New Roman"/>
                <w:sz w:val="22"/>
                <w:szCs w:val="22"/>
              </w:rPr>
              <w:t xml:space="preserve"> Step Act </w:t>
            </w:r>
            <w:r w:rsidRPr="005D31E7">
              <w:rPr>
                <w:rFonts w:ascii="Times New Roman" w:hAnsi="Times New Roman"/>
                <w:sz w:val="22"/>
                <w:szCs w:val="22"/>
              </w:rPr>
              <w:t>nor</w:t>
            </w:r>
            <w:r w:rsidRPr="005D31E7">
              <w:rPr>
                <w:rFonts w:ascii="Times New Roman" w:hAnsi="Times New Roman"/>
                <w:sz w:val="22"/>
                <w:szCs w:val="22"/>
              </w:rPr>
              <w:t xml:space="preserve"> WIOA 169 are included in statutory State Plan requirements, we are deleting them here.</w:t>
            </w:r>
          </w:p>
          <w:p w:rsidR="007D3CAA" w:rsidRPr="003E2C19" w:rsidP="007D3CAA" w14:paraId="5E49AC83" w14:textId="297D74ED">
            <w:pPr>
              <w:rPr>
                <w:rFonts w:ascii="Times New Roman" w:hAnsi="Times New Roman"/>
                <w:sz w:val="22"/>
                <w:szCs w:val="22"/>
              </w:rPr>
            </w:pPr>
          </w:p>
        </w:tc>
      </w:tr>
      <w:tr w14:paraId="5C46D039" w14:textId="77777777" w:rsidTr="003E2C19">
        <w:tblPrEx>
          <w:tblW w:w="9355" w:type="dxa"/>
          <w:tblLayout w:type="fixed"/>
          <w:tblLook w:val="04A0"/>
        </w:tblPrEx>
        <w:tc>
          <w:tcPr>
            <w:tcW w:w="2245" w:type="dxa"/>
          </w:tcPr>
          <w:p w:rsidR="007D3CAA" w:rsidRPr="003E2C19" w:rsidP="007D3CAA" w14:paraId="0A3C0EE7" w14:textId="77777777">
            <w:pPr>
              <w:rPr>
                <w:rFonts w:ascii="Times New Roman" w:hAnsi="Times New Roman"/>
                <w:sz w:val="22"/>
                <w:szCs w:val="22"/>
              </w:rPr>
            </w:pPr>
            <w:r w:rsidRPr="003E2C19">
              <w:rPr>
                <w:rFonts w:ascii="Times New Roman" w:hAnsi="Times New Roman"/>
                <w:sz w:val="22"/>
                <w:szCs w:val="22"/>
              </w:rPr>
              <w:t>Sec II (Introductory Paragraph)</w:t>
            </w:r>
          </w:p>
        </w:tc>
        <w:tc>
          <w:tcPr>
            <w:tcW w:w="2700" w:type="dxa"/>
          </w:tcPr>
          <w:p w:rsidR="007D3CAA" w:rsidRPr="003E2C19" w:rsidP="007D3CAA" w14:paraId="3D14587C" w14:textId="77777777">
            <w:pPr>
              <w:rPr>
                <w:rFonts w:ascii="Times New Roman" w:hAnsi="Times New Roman"/>
                <w:sz w:val="22"/>
                <w:szCs w:val="22"/>
              </w:rPr>
            </w:pPr>
            <w:r w:rsidRPr="003E2C19">
              <w:rPr>
                <w:rFonts w:ascii="Times New Roman" w:hAnsi="Times New Roman"/>
                <w:sz w:val="22"/>
                <w:szCs w:val="22"/>
              </w:rPr>
              <w:t>Removed reference to TEGL No. 35-14</w:t>
            </w:r>
          </w:p>
        </w:tc>
        <w:tc>
          <w:tcPr>
            <w:tcW w:w="4410" w:type="dxa"/>
          </w:tcPr>
          <w:p w:rsidR="007D3CAA" w:rsidRPr="003E2C19" w:rsidP="007D3CAA" w14:paraId="3FCDFBEF" w14:textId="59AAB61A">
            <w:pPr>
              <w:rPr>
                <w:rFonts w:ascii="Times New Roman" w:hAnsi="Times New Roman"/>
                <w:sz w:val="22"/>
                <w:szCs w:val="22"/>
              </w:rPr>
            </w:pPr>
            <w:r w:rsidRPr="003E2C19">
              <w:rPr>
                <w:rFonts w:ascii="Times New Roman" w:hAnsi="Times New Roman"/>
                <w:sz w:val="22"/>
                <w:szCs w:val="22"/>
              </w:rPr>
              <w:t xml:space="preserve">Deleted </w:t>
            </w:r>
            <w:r w:rsidRPr="003E2C19" w:rsidR="005D31E7">
              <w:rPr>
                <w:rFonts w:ascii="Times New Roman" w:hAnsi="Times New Roman"/>
                <w:sz w:val="22"/>
                <w:szCs w:val="22"/>
              </w:rPr>
              <w:t>reference to inactive guidance</w:t>
            </w:r>
          </w:p>
        </w:tc>
      </w:tr>
      <w:tr w14:paraId="4C03612D" w14:textId="77777777" w:rsidTr="003E2C19">
        <w:tblPrEx>
          <w:tblW w:w="9355" w:type="dxa"/>
          <w:tblLayout w:type="fixed"/>
          <w:tblLook w:val="04A0"/>
        </w:tblPrEx>
        <w:tc>
          <w:tcPr>
            <w:tcW w:w="2245" w:type="dxa"/>
          </w:tcPr>
          <w:p w:rsidR="007D3CAA" w:rsidRPr="003E2C19" w:rsidP="007D3CAA" w14:paraId="23AEF0BA" w14:textId="77777777">
            <w:pPr>
              <w:rPr>
                <w:rFonts w:ascii="Times New Roman" w:hAnsi="Times New Roman"/>
                <w:sz w:val="22"/>
                <w:szCs w:val="22"/>
              </w:rPr>
            </w:pPr>
            <w:r w:rsidRPr="003E2C19">
              <w:rPr>
                <w:rFonts w:ascii="Times New Roman" w:hAnsi="Times New Roman"/>
                <w:sz w:val="22"/>
                <w:szCs w:val="22"/>
              </w:rPr>
              <w:t>Sec. II(a)(1)(B): Workforce Analysis</w:t>
            </w:r>
          </w:p>
        </w:tc>
        <w:tc>
          <w:tcPr>
            <w:tcW w:w="2700" w:type="dxa"/>
          </w:tcPr>
          <w:p w:rsidR="007D3CAA" w:rsidRPr="003E2C19" w:rsidP="007D3CAA" w14:paraId="0955D721" w14:textId="77777777">
            <w:pPr>
              <w:rPr>
                <w:rFonts w:ascii="Times New Roman" w:hAnsi="Times New Roman"/>
                <w:sz w:val="22"/>
                <w:szCs w:val="22"/>
              </w:rPr>
            </w:pPr>
            <w:r w:rsidRPr="003E2C19">
              <w:rPr>
                <w:rFonts w:ascii="Times New Roman" w:hAnsi="Times New Roman"/>
                <w:sz w:val="22"/>
                <w:szCs w:val="22"/>
              </w:rPr>
              <w:t>Removed the requirements to aggregate analysis and identify disparities in labor market participation and education outcomes by subpopulations.</w:t>
            </w:r>
          </w:p>
        </w:tc>
        <w:tc>
          <w:tcPr>
            <w:tcW w:w="4410" w:type="dxa"/>
          </w:tcPr>
          <w:p w:rsidR="005D31E7" w:rsidRPr="005D31E7" w:rsidP="005D31E7" w14:paraId="53FA2D31" w14:textId="77777777">
            <w:pPr>
              <w:rPr>
                <w:rFonts w:ascii="Times New Roman" w:hAnsi="Times New Roman"/>
                <w:sz w:val="22"/>
                <w:szCs w:val="22"/>
              </w:rPr>
            </w:pPr>
            <w:r w:rsidRPr="005D31E7">
              <w:rPr>
                <w:rFonts w:ascii="Times New Roman" w:hAnsi="Times New Roman"/>
                <w:sz w:val="22"/>
                <w:szCs w:val="22"/>
              </w:rPr>
              <w:t>Adjustments to ensure alignment to EO 14151 and more closely reflect statutory language</w:t>
            </w:r>
          </w:p>
          <w:p w:rsidR="007D3CAA" w:rsidRPr="003E2C19" w:rsidP="007D3CAA" w14:paraId="2ED567FF" w14:textId="4BD20AEE">
            <w:pPr>
              <w:rPr>
                <w:rFonts w:ascii="Times New Roman" w:hAnsi="Times New Roman"/>
                <w:sz w:val="22"/>
                <w:szCs w:val="22"/>
              </w:rPr>
            </w:pPr>
          </w:p>
        </w:tc>
      </w:tr>
      <w:tr w14:paraId="6DF920CA" w14:textId="77777777" w:rsidTr="003E2C19">
        <w:tblPrEx>
          <w:tblW w:w="9355" w:type="dxa"/>
          <w:tblLayout w:type="fixed"/>
          <w:tblLook w:val="04A0"/>
        </w:tblPrEx>
        <w:tc>
          <w:tcPr>
            <w:tcW w:w="2245" w:type="dxa"/>
          </w:tcPr>
          <w:p w:rsidR="007D3CAA" w:rsidRPr="003E2C19" w:rsidP="007D3CAA" w14:paraId="38B3D663" w14:textId="77777777">
            <w:pPr>
              <w:rPr>
                <w:rFonts w:ascii="Times New Roman" w:hAnsi="Times New Roman"/>
                <w:sz w:val="22"/>
                <w:szCs w:val="22"/>
              </w:rPr>
            </w:pPr>
            <w:r w:rsidRPr="003E2C19">
              <w:rPr>
                <w:rFonts w:ascii="Times New Roman" w:hAnsi="Times New Roman"/>
                <w:sz w:val="22"/>
                <w:szCs w:val="22"/>
              </w:rPr>
              <w:t>Sec. III(b)(5)(B): Distribution of Funds for Core Programs</w:t>
            </w:r>
          </w:p>
        </w:tc>
        <w:tc>
          <w:tcPr>
            <w:tcW w:w="2700" w:type="dxa"/>
          </w:tcPr>
          <w:p w:rsidR="007D3CAA" w:rsidRPr="003E2C19" w:rsidP="007D3CAA" w14:paraId="6634620A" w14:textId="77777777">
            <w:pPr>
              <w:rPr>
                <w:rFonts w:ascii="Times New Roman" w:hAnsi="Times New Roman"/>
                <w:sz w:val="22"/>
                <w:szCs w:val="22"/>
              </w:rPr>
            </w:pPr>
            <w:r w:rsidRPr="003E2C19">
              <w:rPr>
                <w:rFonts w:ascii="Times New Roman" w:hAnsi="Times New Roman"/>
                <w:sz w:val="22"/>
                <w:szCs w:val="22"/>
              </w:rPr>
              <w:t>Added quotations and statutory reference.</w:t>
            </w:r>
          </w:p>
        </w:tc>
        <w:tc>
          <w:tcPr>
            <w:tcW w:w="4410" w:type="dxa"/>
          </w:tcPr>
          <w:p w:rsidR="007D3CAA" w:rsidRPr="003E2C19" w:rsidP="007D3CAA" w14:paraId="1B92E8C9" w14:textId="19BDB5FD">
            <w:pPr>
              <w:rPr>
                <w:rFonts w:ascii="Times New Roman" w:hAnsi="Times New Roman"/>
                <w:sz w:val="22"/>
                <w:szCs w:val="22"/>
              </w:rPr>
            </w:pPr>
            <w:r w:rsidRPr="003E2C19">
              <w:rPr>
                <w:rFonts w:ascii="Times New Roman" w:hAnsi="Times New Roman"/>
                <w:sz w:val="22"/>
                <w:szCs w:val="22"/>
              </w:rPr>
              <w:t>Added statutory reference to conform to inclusion of citations in A and C.</w:t>
            </w:r>
          </w:p>
        </w:tc>
      </w:tr>
      <w:tr w14:paraId="157D4B35" w14:textId="77777777" w:rsidTr="003E2C19">
        <w:tblPrEx>
          <w:tblW w:w="9355" w:type="dxa"/>
          <w:tblLayout w:type="fixed"/>
          <w:tblLook w:val="04A0"/>
        </w:tblPrEx>
        <w:tc>
          <w:tcPr>
            <w:tcW w:w="2245" w:type="dxa"/>
          </w:tcPr>
          <w:p w:rsidR="007D3CAA" w:rsidRPr="003E2C19" w:rsidP="007D3CAA" w14:paraId="096BD7F4" w14:textId="77777777">
            <w:pPr>
              <w:rPr>
                <w:rFonts w:ascii="Times New Roman" w:hAnsi="Times New Roman"/>
                <w:sz w:val="22"/>
                <w:szCs w:val="22"/>
              </w:rPr>
            </w:pPr>
            <w:r w:rsidRPr="003E2C19">
              <w:rPr>
                <w:rFonts w:ascii="Times New Roman" w:hAnsi="Times New Roman"/>
                <w:sz w:val="22"/>
                <w:szCs w:val="22"/>
              </w:rPr>
              <w:t>V. Common Assurances (11)</w:t>
            </w:r>
          </w:p>
        </w:tc>
        <w:tc>
          <w:tcPr>
            <w:tcW w:w="2700" w:type="dxa"/>
          </w:tcPr>
          <w:p w:rsidR="007D3CAA" w:rsidRPr="003E2C19" w:rsidP="007D3CAA" w14:paraId="094854C8" w14:textId="77777777">
            <w:pPr>
              <w:rPr>
                <w:rFonts w:ascii="Times New Roman" w:hAnsi="Times New Roman"/>
                <w:sz w:val="22"/>
                <w:szCs w:val="22"/>
              </w:rPr>
            </w:pPr>
            <w:r w:rsidRPr="003E2C19">
              <w:rPr>
                <w:rFonts w:ascii="Times New Roman" w:hAnsi="Times New Roman"/>
                <w:sz w:val="22"/>
                <w:szCs w:val="22"/>
              </w:rPr>
              <w:t>Revised for more precise language.</w:t>
            </w:r>
          </w:p>
        </w:tc>
        <w:tc>
          <w:tcPr>
            <w:tcW w:w="4410" w:type="dxa"/>
          </w:tcPr>
          <w:p w:rsidR="007D3CAA" w:rsidRPr="003E2C19" w:rsidP="007D3CAA" w14:paraId="294D4C85" w14:textId="096DF088">
            <w:pPr>
              <w:rPr>
                <w:rFonts w:ascii="Times New Roman" w:hAnsi="Times New Roman"/>
                <w:sz w:val="22"/>
                <w:szCs w:val="22"/>
              </w:rPr>
            </w:pPr>
            <w:r w:rsidRPr="003E2C19">
              <w:rPr>
                <w:rFonts w:ascii="Times New Roman" w:hAnsi="Times New Roman"/>
                <w:sz w:val="22"/>
                <w:szCs w:val="22"/>
              </w:rPr>
              <w:t>Edited for clarity, not meaning</w:t>
            </w:r>
          </w:p>
        </w:tc>
      </w:tr>
      <w:tr w14:paraId="699C7E7C" w14:textId="77777777" w:rsidTr="003E2C19">
        <w:tblPrEx>
          <w:tblW w:w="9355" w:type="dxa"/>
          <w:tblLayout w:type="fixed"/>
          <w:tblLook w:val="04A0"/>
        </w:tblPrEx>
        <w:tc>
          <w:tcPr>
            <w:tcW w:w="2245" w:type="dxa"/>
          </w:tcPr>
          <w:p w:rsidR="007D3CAA" w:rsidRPr="003E2C19" w:rsidP="007D3CAA" w14:paraId="02BAEF46" w14:textId="77777777">
            <w:pPr>
              <w:rPr>
                <w:rFonts w:ascii="Times New Roman" w:hAnsi="Times New Roman"/>
                <w:sz w:val="22"/>
                <w:szCs w:val="22"/>
              </w:rPr>
            </w:pPr>
            <w:r w:rsidRPr="003E2C19">
              <w:rPr>
                <w:rFonts w:ascii="Times New Roman" w:hAnsi="Times New Roman"/>
                <w:sz w:val="22"/>
                <w:szCs w:val="22"/>
              </w:rPr>
              <w:t>Sec. VI(c)(2): Youth Program Requirements</w:t>
            </w:r>
          </w:p>
        </w:tc>
        <w:tc>
          <w:tcPr>
            <w:tcW w:w="2700" w:type="dxa"/>
          </w:tcPr>
          <w:p w:rsidR="007D3CAA" w:rsidRPr="003E2C19" w:rsidP="007D3CAA" w14:paraId="5879FAB0" w14:textId="70EEA138">
            <w:pPr>
              <w:rPr>
                <w:rFonts w:ascii="Times New Roman" w:hAnsi="Times New Roman"/>
                <w:sz w:val="22"/>
                <w:szCs w:val="22"/>
              </w:rPr>
            </w:pPr>
            <w:r w:rsidRPr="003E2C19">
              <w:rPr>
                <w:rFonts w:ascii="Times New Roman" w:hAnsi="Times New Roman"/>
                <w:sz w:val="22"/>
                <w:szCs w:val="22"/>
              </w:rPr>
              <w:t>Deleted “equitable”</w:t>
            </w:r>
          </w:p>
        </w:tc>
        <w:tc>
          <w:tcPr>
            <w:tcW w:w="4410" w:type="dxa"/>
          </w:tcPr>
          <w:p w:rsidR="007D3CAA" w:rsidRPr="003E2C19" w:rsidP="007D3CAA" w14:paraId="58C71C7B" w14:textId="305CD7CC">
            <w:pPr>
              <w:rPr>
                <w:rFonts w:ascii="Times New Roman" w:hAnsi="Times New Roman"/>
                <w:sz w:val="22"/>
                <w:szCs w:val="22"/>
              </w:rPr>
            </w:pPr>
            <w:r w:rsidRPr="003E2C19">
              <w:rPr>
                <w:rFonts w:ascii="Times New Roman" w:hAnsi="Times New Roman"/>
                <w:sz w:val="22"/>
                <w:szCs w:val="22"/>
              </w:rPr>
              <w:t xml:space="preserve">Deleted language that </w:t>
            </w:r>
            <w:r w:rsidRPr="003E2C19" w:rsidR="0050062F">
              <w:rPr>
                <w:rFonts w:ascii="Times New Roman" w:hAnsi="Times New Roman"/>
                <w:sz w:val="22"/>
                <w:szCs w:val="22"/>
              </w:rPr>
              <w:t>did not align with statutory language</w:t>
            </w:r>
            <w:r w:rsidRPr="003E2C19">
              <w:rPr>
                <w:rFonts w:ascii="Times New Roman" w:hAnsi="Times New Roman"/>
                <w:sz w:val="22"/>
                <w:szCs w:val="22"/>
              </w:rPr>
              <w:t xml:space="preserve"> </w:t>
            </w:r>
            <w:r w:rsidRPr="003E2C19" w:rsidR="005D31E7">
              <w:rPr>
                <w:rFonts w:ascii="Times New Roman" w:hAnsi="Times New Roman"/>
                <w:sz w:val="22"/>
                <w:szCs w:val="22"/>
              </w:rPr>
              <w:t>and to align with EO 14151</w:t>
            </w:r>
          </w:p>
        </w:tc>
      </w:tr>
      <w:tr w14:paraId="5EFAFF9D" w14:textId="77777777" w:rsidTr="003E2C19">
        <w:tblPrEx>
          <w:tblW w:w="9355" w:type="dxa"/>
          <w:tblLayout w:type="fixed"/>
          <w:tblLook w:val="04A0"/>
        </w:tblPrEx>
        <w:tc>
          <w:tcPr>
            <w:tcW w:w="2245" w:type="dxa"/>
          </w:tcPr>
          <w:p w:rsidR="007D3CAA" w:rsidRPr="003E2C19" w:rsidP="007D3CAA" w14:paraId="33AD5927" w14:textId="77777777">
            <w:pPr>
              <w:rPr>
                <w:rFonts w:ascii="Times New Roman" w:hAnsi="Times New Roman"/>
                <w:sz w:val="22"/>
                <w:szCs w:val="22"/>
              </w:rPr>
            </w:pPr>
            <w:r w:rsidRPr="003E2C19">
              <w:rPr>
                <w:rFonts w:ascii="Times New Roman" w:hAnsi="Times New Roman"/>
                <w:sz w:val="22"/>
                <w:szCs w:val="22"/>
              </w:rPr>
              <w:t>Sec VI (Adult, Dislocated Worker, and Youth Activities under Title I-</w:t>
            </w:r>
            <w:r w:rsidRPr="003E2C19">
              <w:rPr>
                <w:rFonts w:ascii="Times New Roman" w:hAnsi="Times New Roman"/>
                <w:sz w:val="22"/>
                <w:szCs w:val="22"/>
              </w:rPr>
              <w:t>B)(</w:t>
            </w:r>
            <w:r w:rsidRPr="003E2C19">
              <w:rPr>
                <w:rFonts w:ascii="Times New Roman" w:hAnsi="Times New Roman"/>
                <w:sz w:val="22"/>
                <w:szCs w:val="22"/>
              </w:rPr>
              <w:t>e)(5) – Waiver Requests</w:t>
            </w:r>
          </w:p>
        </w:tc>
        <w:tc>
          <w:tcPr>
            <w:tcW w:w="2700" w:type="dxa"/>
          </w:tcPr>
          <w:p w:rsidR="007D3CAA" w:rsidRPr="003E2C19" w:rsidP="007D3CAA" w14:paraId="1C41FB8C" w14:textId="29CFF3D6">
            <w:pPr>
              <w:rPr>
                <w:rFonts w:ascii="Times New Roman" w:hAnsi="Times New Roman"/>
                <w:sz w:val="22"/>
                <w:szCs w:val="22"/>
              </w:rPr>
            </w:pPr>
            <w:r w:rsidRPr="003E2C19">
              <w:rPr>
                <w:rFonts w:ascii="Times New Roman" w:hAnsi="Times New Roman"/>
                <w:sz w:val="22"/>
                <w:szCs w:val="22"/>
              </w:rPr>
              <w:t>Deleted “including how the waiver will impact services for disadvantaged populations or individuals with multiple barriers to employment”</w:t>
            </w:r>
          </w:p>
        </w:tc>
        <w:tc>
          <w:tcPr>
            <w:tcW w:w="4410" w:type="dxa"/>
          </w:tcPr>
          <w:p w:rsidR="007D3CAA" w:rsidRPr="003E2C19" w:rsidP="007D3CAA" w14:paraId="21413E2D" w14:textId="0397C438">
            <w:pPr>
              <w:rPr>
                <w:rFonts w:ascii="Times New Roman" w:hAnsi="Times New Roman"/>
                <w:sz w:val="22"/>
                <w:szCs w:val="22"/>
              </w:rPr>
            </w:pPr>
            <w:r w:rsidRPr="003E2C19">
              <w:rPr>
                <w:rFonts w:ascii="Times New Roman" w:hAnsi="Times New Roman"/>
                <w:sz w:val="22"/>
                <w:szCs w:val="22"/>
              </w:rPr>
              <w:t>Deleted to align with EO 14151 and to more closely reflect statutory language</w:t>
            </w:r>
          </w:p>
        </w:tc>
      </w:tr>
      <w:tr w14:paraId="07A7859E" w14:textId="77777777" w:rsidTr="003E2C19">
        <w:tblPrEx>
          <w:tblW w:w="9355" w:type="dxa"/>
          <w:tblLayout w:type="fixed"/>
          <w:tblLook w:val="04A0"/>
        </w:tblPrEx>
        <w:tc>
          <w:tcPr>
            <w:tcW w:w="2245" w:type="dxa"/>
          </w:tcPr>
          <w:p w:rsidR="007D3CAA" w:rsidRPr="003E2C19" w:rsidP="007D3CAA" w14:paraId="5E2D1DDF" w14:textId="77777777">
            <w:pPr>
              <w:rPr>
                <w:rFonts w:ascii="Times New Roman" w:hAnsi="Times New Roman"/>
                <w:sz w:val="22"/>
                <w:szCs w:val="22"/>
              </w:rPr>
            </w:pPr>
            <w:r w:rsidRPr="003E2C19">
              <w:rPr>
                <w:rFonts w:ascii="Times New Roman" w:hAnsi="Times New Roman"/>
                <w:sz w:val="22"/>
                <w:szCs w:val="22"/>
              </w:rPr>
              <w:t>Sec. VI-Title I-B Assurances (2)</w:t>
            </w:r>
          </w:p>
        </w:tc>
        <w:tc>
          <w:tcPr>
            <w:tcW w:w="2700" w:type="dxa"/>
          </w:tcPr>
          <w:p w:rsidR="007D3CAA" w:rsidRPr="003E2C19" w:rsidP="007D3CAA" w14:paraId="03DFED2D" w14:textId="77777777">
            <w:pPr>
              <w:rPr>
                <w:rFonts w:ascii="Times New Roman" w:hAnsi="Times New Roman"/>
                <w:sz w:val="22"/>
                <w:szCs w:val="22"/>
              </w:rPr>
            </w:pPr>
            <w:r w:rsidRPr="003E2C19">
              <w:rPr>
                <w:rFonts w:ascii="Times New Roman" w:hAnsi="Times New Roman"/>
                <w:sz w:val="22"/>
                <w:szCs w:val="22"/>
              </w:rPr>
              <w:t xml:space="preserve">Included more precise language to refer to eligible veterans with employment barriers. </w:t>
            </w:r>
          </w:p>
        </w:tc>
        <w:tc>
          <w:tcPr>
            <w:tcW w:w="4410" w:type="dxa"/>
          </w:tcPr>
          <w:p w:rsidR="007D3CAA" w:rsidRPr="003E2C19" w:rsidP="007D3CAA" w14:paraId="02260557" w14:textId="3E502018">
            <w:pPr>
              <w:rPr>
                <w:rFonts w:ascii="Times New Roman" w:hAnsi="Times New Roman"/>
                <w:sz w:val="22"/>
                <w:szCs w:val="22"/>
              </w:rPr>
            </w:pPr>
            <w:r w:rsidRPr="003E2C19">
              <w:rPr>
                <w:rFonts w:ascii="Times New Roman" w:hAnsi="Times New Roman"/>
                <w:sz w:val="22"/>
                <w:szCs w:val="22"/>
              </w:rPr>
              <w:t>Edited for clarity, not meaning</w:t>
            </w:r>
          </w:p>
        </w:tc>
      </w:tr>
      <w:tr w14:paraId="6CB49E88" w14:textId="77777777" w:rsidTr="003E2C19">
        <w:tblPrEx>
          <w:tblW w:w="9355" w:type="dxa"/>
          <w:tblLayout w:type="fixed"/>
          <w:tblLook w:val="04A0"/>
        </w:tblPrEx>
        <w:tc>
          <w:tcPr>
            <w:tcW w:w="2245" w:type="dxa"/>
          </w:tcPr>
          <w:p w:rsidR="007D3CAA" w:rsidRPr="003E2C19" w:rsidP="007D3CAA" w14:paraId="40BDBBEB" w14:textId="77777777">
            <w:pPr>
              <w:rPr>
                <w:rFonts w:ascii="Times New Roman" w:hAnsi="Times New Roman"/>
                <w:sz w:val="22"/>
                <w:szCs w:val="22"/>
              </w:rPr>
            </w:pPr>
            <w:r w:rsidRPr="003E2C19">
              <w:rPr>
                <w:rFonts w:ascii="Times New Roman" w:hAnsi="Times New Roman"/>
                <w:sz w:val="22"/>
                <w:szCs w:val="22"/>
              </w:rPr>
              <w:t>Sec. VI-Title I-B Assurances (8)</w:t>
            </w:r>
          </w:p>
        </w:tc>
        <w:tc>
          <w:tcPr>
            <w:tcW w:w="2700" w:type="dxa"/>
          </w:tcPr>
          <w:p w:rsidR="007D3CAA" w:rsidRPr="003E2C19" w:rsidP="007D3CAA" w14:paraId="49DEF5B6" w14:textId="75B65664">
            <w:pPr>
              <w:rPr>
                <w:rFonts w:ascii="Times New Roman" w:hAnsi="Times New Roman"/>
                <w:sz w:val="22"/>
                <w:szCs w:val="22"/>
              </w:rPr>
            </w:pPr>
            <w:r w:rsidRPr="003E2C19">
              <w:rPr>
                <w:rFonts w:ascii="Times New Roman" w:hAnsi="Times New Roman"/>
                <w:sz w:val="22"/>
                <w:szCs w:val="22"/>
              </w:rPr>
              <w:t>Deleted reference to “equitably throughout state…” and replaced with statutory language</w:t>
            </w:r>
          </w:p>
        </w:tc>
        <w:tc>
          <w:tcPr>
            <w:tcW w:w="4410" w:type="dxa"/>
          </w:tcPr>
          <w:p w:rsidR="005D31E7" w:rsidRPr="005D31E7" w:rsidP="005D31E7" w14:paraId="6FCE2A1B" w14:textId="77777777">
            <w:pPr>
              <w:rPr>
                <w:rFonts w:ascii="Times New Roman" w:hAnsi="Times New Roman"/>
                <w:sz w:val="22"/>
                <w:szCs w:val="22"/>
              </w:rPr>
            </w:pPr>
            <w:r w:rsidRPr="005D31E7">
              <w:rPr>
                <w:rFonts w:ascii="Times New Roman" w:hAnsi="Times New Roman"/>
                <w:sz w:val="22"/>
                <w:szCs w:val="22"/>
              </w:rPr>
              <w:t>Reworded to reflect statutory language and eliminate confusion regarding meaning of “equitably”</w:t>
            </w:r>
          </w:p>
          <w:p w:rsidR="007D3CAA" w:rsidRPr="003E2C19" w:rsidP="007D3CAA" w14:paraId="5311CB64" w14:textId="7627CC1B">
            <w:pPr>
              <w:rPr>
                <w:rFonts w:ascii="Times New Roman" w:hAnsi="Times New Roman"/>
                <w:sz w:val="22"/>
                <w:szCs w:val="22"/>
              </w:rPr>
            </w:pPr>
          </w:p>
        </w:tc>
      </w:tr>
      <w:tr w14:paraId="6AB1B4F4" w14:textId="77777777" w:rsidTr="003E2C19">
        <w:tblPrEx>
          <w:tblW w:w="9355" w:type="dxa"/>
          <w:tblLayout w:type="fixed"/>
          <w:tblLook w:val="04A0"/>
        </w:tblPrEx>
        <w:tc>
          <w:tcPr>
            <w:tcW w:w="2245" w:type="dxa"/>
          </w:tcPr>
          <w:p w:rsidR="0050062F" w:rsidRPr="003E2C19" w:rsidP="0050062F" w14:paraId="424F080D" w14:textId="1C461F20">
            <w:pPr>
              <w:rPr>
                <w:rFonts w:ascii="Times New Roman" w:hAnsi="Times New Roman"/>
                <w:sz w:val="22"/>
                <w:szCs w:val="22"/>
              </w:rPr>
            </w:pPr>
            <w:r w:rsidRPr="003E2C19">
              <w:rPr>
                <w:rFonts w:ascii="Times New Roman" w:hAnsi="Times New Roman"/>
                <w:sz w:val="22"/>
                <w:szCs w:val="22"/>
              </w:rPr>
              <w:t>Sec VI- Wagner-Peyser (e)(4)(A) and (B)</w:t>
            </w:r>
          </w:p>
        </w:tc>
        <w:tc>
          <w:tcPr>
            <w:tcW w:w="2700" w:type="dxa"/>
          </w:tcPr>
          <w:p w:rsidR="0050062F" w:rsidRPr="003E2C19" w:rsidP="0050062F" w14:paraId="6CF4C15F" w14:textId="090AD097">
            <w:pPr>
              <w:rPr>
                <w:rFonts w:ascii="Times New Roman" w:hAnsi="Times New Roman"/>
                <w:sz w:val="22"/>
                <w:szCs w:val="22"/>
              </w:rPr>
            </w:pPr>
            <w:r w:rsidRPr="003E2C19">
              <w:rPr>
                <w:rFonts w:ascii="Times New Roman" w:hAnsi="Times New Roman"/>
                <w:sz w:val="22"/>
                <w:szCs w:val="22"/>
              </w:rPr>
              <w:t>Deleting overly long explanatory text otherwise available in regulation and guidance. Collection requirement itself is unchanged</w:t>
            </w:r>
          </w:p>
        </w:tc>
        <w:tc>
          <w:tcPr>
            <w:tcW w:w="4410" w:type="dxa"/>
          </w:tcPr>
          <w:p w:rsidR="0050062F" w:rsidRPr="003E2C19" w:rsidP="0050062F" w14:paraId="3BBD5D51" w14:textId="7D0C702D">
            <w:pPr>
              <w:rPr>
                <w:rFonts w:ascii="Times New Roman" w:hAnsi="Times New Roman"/>
                <w:sz w:val="22"/>
                <w:szCs w:val="22"/>
              </w:rPr>
            </w:pPr>
            <w:r w:rsidRPr="003E2C19">
              <w:rPr>
                <w:rFonts w:ascii="Times New Roman" w:hAnsi="Times New Roman"/>
                <w:sz w:val="22"/>
                <w:szCs w:val="22"/>
              </w:rPr>
              <w:t xml:space="preserve">Streamlined language to only reflect the collection requirement </w:t>
            </w:r>
          </w:p>
        </w:tc>
      </w:tr>
      <w:tr w14:paraId="637C1291" w14:textId="77777777" w:rsidTr="003E2C19">
        <w:tblPrEx>
          <w:tblW w:w="9355" w:type="dxa"/>
          <w:tblLayout w:type="fixed"/>
          <w:tblLook w:val="04A0"/>
        </w:tblPrEx>
        <w:tc>
          <w:tcPr>
            <w:tcW w:w="2245" w:type="dxa"/>
          </w:tcPr>
          <w:p w:rsidR="0050062F" w:rsidRPr="003E2C19" w:rsidP="0050062F" w14:paraId="3E77EE40" w14:textId="77777777">
            <w:pPr>
              <w:rPr>
                <w:rFonts w:ascii="Times New Roman" w:hAnsi="Times New Roman"/>
                <w:sz w:val="22"/>
                <w:szCs w:val="22"/>
              </w:rPr>
            </w:pPr>
            <w:r w:rsidRPr="003E2C19">
              <w:rPr>
                <w:rFonts w:ascii="Times New Roman" w:hAnsi="Times New Roman"/>
                <w:sz w:val="22"/>
                <w:szCs w:val="22"/>
              </w:rPr>
              <w:t>Sec VI – Wagner-Peyser (e)(5)(B)</w:t>
            </w:r>
          </w:p>
        </w:tc>
        <w:tc>
          <w:tcPr>
            <w:tcW w:w="2700" w:type="dxa"/>
          </w:tcPr>
          <w:p w:rsidR="0050062F" w:rsidRPr="003E2C19" w:rsidP="0050062F" w14:paraId="19FBDF86" w14:textId="77777777">
            <w:pPr>
              <w:rPr>
                <w:rFonts w:ascii="Times New Roman" w:hAnsi="Times New Roman"/>
                <w:sz w:val="22"/>
                <w:szCs w:val="22"/>
              </w:rPr>
            </w:pPr>
            <w:r w:rsidRPr="003E2C19">
              <w:rPr>
                <w:rFonts w:ascii="Times New Roman" w:hAnsi="Times New Roman"/>
                <w:sz w:val="22"/>
                <w:szCs w:val="22"/>
              </w:rPr>
              <w:t>Replaced “advocacy groups” with stakeholders.</w:t>
            </w:r>
          </w:p>
        </w:tc>
        <w:tc>
          <w:tcPr>
            <w:tcW w:w="4410" w:type="dxa"/>
          </w:tcPr>
          <w:p w:rsidR="0050062F" w:rsidRPr="003E2C19" w:rsidP="0050062F" w14:paraId="119A31FB" w14:textId="77777777">
            <w:pPr>
              <w:rPr>
                <w:rFonts w:ascii="Times New Roman" w:hAnsi="Times New Roman"/>
                <w:sz w:val="22"/>
                <w:szCs w:val="22"/>
              </w:rPr>
            </w:pPr>
            <w:r w:rsidRPr="003E2C19">
              <w:rPr>
                <w:rFonts w:ascii="Times New Roman" w:hAnsi="Times New Roman"/>
                <w:sz w:val="22"/>
                <w:szCs w:val="22"/>
              </w:rPr>
              <w:t>Minor clarifying language adjustment.</w:t>
            </w:r>
          </w:p>
        </w:tc>
      </w:tr>
      <w:tr w14:paraId="3C5B6B3F" w14:textId="77777777" w:rsidTr="003E2C19">
        <w:tblPrEx>
          <w:tblW w:w="9355" w:type="dxa"/>
          <w:tblLayout w:type="fixed"/>
          <w:tblLook w:val="04A0"/>
        </w:tblPrEx>
        <w:tc>
          <w:tcPr>
            <w:tcW w:w="2245" w:type="dxa"/>
          </w:tcPr>
          <w:p w:rsidR="0050062F" w:rsidRPr="003E2C19" w:rsidP="0050062F" w14:paraId="27D926E4" w14:textId="77777777">
            <w:pPr>
              <w:rPr>
                <w:rFonts w:ascii="Times New Roman" w:hAnsi="Times New Roman"/>
                <w:sz w:val="22"/>
                <w:szCs w:val="22"/>
              </w:rPr>
            </w:pPr>
            <w:r w:rsidRPr="003E2C19">
              <w:rPr>
                <w:rFonts w:ascii="Times New Roman" w:hAnsi="Times New Roman"/>
                <w:sz w:val="22"/>
                <w:szCs w:val="22"/>
              </w:rPr>
              <w:t>Sec VI- Wagner-Peyser Assurances (4)</w:t>
            </w:r>
          </w:p>
        </w:tc>
        <w:tc>
          <w:tcPr>
            <w:tcW w:w="2700" w:type="dxa"/>
          </w:tcPr>
          <w:p w:rsidR="0050062F" w:rsidRPr="003E2C19" w:rsidP="0050062F" w14:paraId="50B5CAA6" w14:textId="23A8462B">
            <w:pPr>
              <w:rPr>
                <w:rFonts w:ascii="Times New Roman" w:hAnsi="Times New Roman"/>
                <w:sz w:val="22"/>
                <w:szCs w:val="22"/>
              </w:rPr>
            </w:pPr>
            <w:r w:rsidRPr="003E2C19">
              <w:rPr>
                <w:rFonts w:ascii="Times New Roman" w:hAnsi="Times New Roman"/>
                <w:sz w:val="22"/>
                <w:szCs w:val="22"/>
              </w:rPr>
              <w:t xml:space="preserve">Deletion </w:t>
            </w:r>
          </w:p>
        </w:tc>
        <w:tc>
          <w:tcPr>
            <w:tcW w:w="4410" w:type="dxa"/>
          </w:tcPr>
          <w:p w:rsidR="00B61B3E" w:rsidRPr="00B61B3E" w:rsidP="00B61B3E" w14:paraId="13920867" w14:textId="660ACB49">
            <w:pPr>
              <w:rPr>
                <w:rFonts w:ascii="Times New Roman" w:hAnsi="Times New Roman"/>
                <w:sz w:val="22"/>
                <w:szCs w:val="22"/>
              </w:rPr>
            </w:pPr>
            <w:r w:rsidRPr="00B61B3E">
              <w:rPr>
                <w:rFonts w:ascii="Times New Roman" w:hAnsi="Times New Roman"/>
                <w:sz w:val="22"/>
                <w:szCs w:val="22"/>
              </w:rPr>
              <w:t>Delet</w:t>
            </w:r>
            <w:r w:rsidRPr="003E2C19">
              <w:rPr>
                <w:rFonts w:ascii="Times New Roman" w:hAnsi="Times New Roman"/>
                <w:sz w:val="22"/>
                <w:szCs w:val="22"/>
              </w:rPr>
              <w:t>ed language</w:t>
            </w:r>
            <w:r w:rsidRPr="00B61B3E">
              <w:rPr>
                <w:rFonts w:ascii="Times New Roman" w:hAnsi="Times New Roman"/>
                <w:sz w:val="22"/>
                <w:szCs w:val="22"/>
              </w:rPr>
              <w:t xml:space="preserve"> to remove the appearance of conflict with litigation currently underway and court-ordered injunctions</w:t>
            </w:r>
          </w:p>
          <w:p w:rsidR="0050062F" w:rsidRPr="003E2C19" w:rsidP="0050062F" w14:paraId="5E45F1D5" w14:textId="66B6F2EB">
            <w:pPr>
              <w:rPr>
                <w:rFonts w:ascii="Times New Roman" w:hAnsi="Times New Roman"/>
                <w:sz w:val="22"/>
                <w:szCs w:val="22"/>
              </w:rPr>
            </w:pPr>
          </w:p>
        </w:tc>
      </w:tr>
      <w:tr w14:paraId="5DC93D57" w14:textId="77777777" w:rsidTr="003E2C19">
        <w:tblPrEx>
          <w:tblW w:w="9355" w:type="dxa"/>
          <w:tblLayout w:type="fixed"/>
          <w:tblLook w:val="04A0"/>
        </w:tblPrEx>
        <w:tc>
          <w:tcPr>
            <w:tcW w:w="2245" w:type="dxa"/>
          </w:tcPr>
          <w:p w:rsidR="0050062F" w:rsidRPr="003E2C19" w:rsidP="0050062F" w14:paraId="1A2E14D3" w14:textId="77777777">
            <w:pPr>
              <w:rPr>
                <w:rFonts w:ascii="Times New Roman" w:hAnsi="Times New Roman"/>
                <w:sz w:val="22"/>
                <w:szCs w:val="22"/>
              </w:rPr>
            </w:pPr>
            <w:r w:rsidRPr="003E2C19">
              <w:rPr>
                <w:rFonts w:ascii="Times New Roman" w:hAnsi="Times New Roman"/>
                <w:sz w:val="22"/>
                <w:szCs w:val="22"/>
              </w:rPr>
              <w:t>Sec VI- Adult Education and Family Literacy Act Program (a)</w:t>
            </w:r>
          </w:p>
        </w:tc>
        <w:tc>
          <w:tcPr>
            <w:tcW w:w="2700" w:type="dxa"/>
          </w:tcPr>
          <w:p w:rsidR="0050062F" w:rsidRPr="003E2C19" w:rsidP="0050062F" w14:paraId="74E19A52" w14:textId="77777777">
            <w:pPr>
              <w:rPr>
                <w:rFonts w:ascii="Times New Roman" w:hAnsi="Times New Roman"/>
                <w:sz w:val="22"/>
                <w:szCs w:val="22"/>
              </w:rPr>
            </w:pPr>
            <w:r w:rsidRPr="003E2C19">
              <w:rPr>
                <w:rFonts w:ascii="Times New Roman" w:hAnsi="Times New Roman"/>
                <w:sz w:val="22"/>
                <w:szCs w:val="22"/>
              </w:rPr>
              <w:t>Added statutory reference.</w:t>
            </w:r>
          </w:p>
        </w:tc>
        <w:tc>
          <w:tcPr>
            <w:tcW w:w="4410" w:type="dxa"/>
          </w:tcPr>
          <w:p w:rsidR="0050062F" w:rsidRPr="003E2C19" w:rsidP="0050062F" w14:paraId="6DCFF3CF" w14:textId="77777777">
            <w:pPr>
              <w:rPr>
                <w:rFonts w:ascii="Times New Roman" w:hAnsi="Times New Roman"/>
                <w:sz w:val="22"/>
                <w:szCs w:val="22"/>
              </w:rPr>
            </w:pPr>
            <w:r w:rsidRPr="003E2C19">
              <w:rPr>
                <w:rFonts w:ascii="Times New Roman" w:hAnsi="Times New Roman"/>
                <w:sz w:val="22"/>
                <w:szCs w:val="22"/>
              </w:rPr>
              <w:t>Minor clarifying language adjustment.</w:t>
            </w:r>
          </w:p>
        </w:tc>
      </w:tr>
      <w:tr w14:paraId="4ECC7AE7" w14:textId="77777777" w:rsidTr="003E2C19">
        <w:tblPrEx>
          <w:tblW w:w="9355" w:type="dxa"/>
          <w:tblLayout w:type="fixed"/>
          <w:tblLook w:val="04A0"/>
        </w:tblPrEx>
        <w:tc>
          <w:tcPr>
            <w:tcW w:w="2245" w:type="dxa"/>
          </w:tcPr>
          <w:p w:rsidR="0050062F" w:rsidRPr="003E2C19" w:rsidP="0050062F" w14:paraId="0C43173D" w14:textId="77777777">
            <w:pPr>
              <w:rPr>
                <w:rFonts w:ascii="Times New Roman" w:hAnsi="Times New Roman"/>
                <w:sz w:val="22"/>
                <w:szCs w:val="22"/>
              </w:rPr>
            </w:pPr>
            <w:r w:rsidRPr="003E2C19">
              <w:rPr>
                <w:rFonts w:ascii="Times New Roman" w:hAnsi="Times New Roman"/>
                <w:sz w:val="22"/>
                <w:szCs w:val="22"/>
              </w:rPr>
              <w:t>Sec VI- Adult Education and Family Literacy Act Program (c)</w:t>
            </w:r>
          </w:p>
        </w:tc>
        <w:tc>
          <w:tcPr>
            <w:tcW w:w="2700" w:type="dxa"/>
          </w:tcPr>
          <w:p w:rsidR="0050062F" w:rsidRPr="003E2C19" w:rsidP="0050062F" w14:paraId="04DF3078" w14:textId="77777777">
            <w:pPr>
              <w:rPr>
                <w:rFonts w:ascii="Times New Roman" w:hAnsi="Times New Roman"/>
                <w:sz w:val="22"/>
                <w:szCs w:val="22"/>
              </w:rPr>
            </w:pPr>
            <w:r w:rsidRPr="003E2C19">
              <w:rPr>
                <w:rFonts w:ascii="Times New Roman" w:hAnsi="Times New Roman"/>
                <w:sz w:val="22"/>
                <w:szCs w:val="22"/>
              </w:rPr>
              <w:t>Added statutory reference.</w:t>
            </w:r>
          </w:p>
        </w:tc>
        <w:tc>
          <w:tcPr>
            <w:tcW w:w="4410" w:type="dxa"/>
          </w:tcPr>
          <w:p w:rsidR="0050062F" w:rsidRPr="003E2C19" w:rsidP="0050062F" w14:paraId="6A18A706" w14:textId="77777777">
            <w:pPr>
              <w:rPr>
                <w:rFonts w:ascii="Times New Roman" w:hAnsi="Times New Roman"/>
                <w:sz w:val="22"/>
                <w:szCs w:val="22"/>
              </w:rPr>
            </w:pPr>
            <w:r w:rsidRPr="003E2C19">
              <w:rPr>
                <w:rFonts w:ascii="Times New Roman" w:hAnsi="Times New Roman"/>
                <w:sz w:val="22"/>
                <w:szCs w:val="22"/>
              </w:rPr>
              <w:t>Minor clarifying language adjustment.</w:t>
            </w:r>
          </w:p>
        </w:tc>
      </w:tr>
      <w:tr w14:paraId="5C68D441" w14:textId="77777777" w:rsidTr="003E2C19">
        <w:tblPrEx>
          <w:tblW w:w="9355" w:type="dxa"/>
          <w:tblLayout w:type="fixed"/>
          <w:tblLook w:val="04A0"/>
        </w:tblPrEx>
        <w:tc>
          <w:tcPr>
            <w:tcW w:w="2245" w:type="dxa"/>
          </w:tcPr>
          <w:p w:rsidR="0050062F" w:rsidRPr="003E2C19" w:rsidP="0050062F" w14:paraId="1593E08A" w14:textId="77777777">
            <w:pPr>
              <w:rPr>
                <w:rFonts w:ascii="Times New Roman" w:hAnsi="Times New Roman"/>
                <w:sz w:val="22"/>
                <w:szCs w:val="22"/>
              </w:rPr>
            </w:pPr>
            <w:r w:rsidRPr="003E2C19">
              <w:rPr>
                <w:rFonts w:ascii="Times New Roman" w:hAnsi="Times New Roman"/>
                <w:sz w:val="22"/>
                <w:szCs w:val="22"/>
              </w:rPr>
              <w:t xml:space="preserve">Sec VI- Adult Education and Family </w:t>
            </w:r>
            <w:r w:rsidRPr="003E2C19">
              <w:rPr>
                <w:rFonts w:ascii="Times New Roman" w:hAnsi="Times New Roman"/>
                <w:sz w:val="22"/>
                <w:szCs w:val="22"/>
              </w:rPr>
              <w:t>Literacy Act Program (d)</w:t>
            </w:r>
          </w:p>
        </w:tc>
        <w:tc>
          <w:tcPr>
            <w:tcW w:w="2700" w:type="dxa"/>
          </w:tcPr>
          <w:p w:rsidR="0050062F" w:rsidRPr="003E2C19" w:rsidP="0050062F" w14:paraId="6519C1D5" w14:textId="77777777">
            <w:pPr>
              <w:rPr>
                <w:rFonts w:ascii="Times New Roman" w:hAnsi="Times New Roman"/>
                <w:sz w:val="22"/>
                <w:szCs w:val="22"/>
              </w:rPr>
            </w:pPr>
            <w:r w:rsidRPr="003E2C19">
              <w:rPr>
                <w:rFonts w:ascii="Times New Roman" w:hAnsi="Times New Roman"/>
                <w:sz w:val="22"/>
                <w:szCs w:val="22"/>
              </w:rPr>
              <w:t>Added statutory reference.</w:t>
            </w:r>
          </w:p>
        </w:tc>
        <w:tc>
          <w:tcPr>
            <w:tcW w:w="4410" w:type="dxa"/>
          </w:tcPr>
          <w:p w:rsidR="0050062F" w:rsidRPr="003E2C19" w:rsidP="0050062F" w14:paraId="0534FA09" w14:textId="77777777">
            <w:pPr>
              <w:rPr>
                <w:rFonts w:ascii="Times New Roman" w:hAnsi="Times New Roman"/>
                <w:sz w:val="22"/>
                <w:szCs w:val="22"/>
              </w:rPr>
            </w:pPr>
            <w:r w:rsidRPr="003E2C19">
              <w:rPr>
                <w:rFonts w:ascii="Times New Roman" w:hAnsi="Times New Roman"/>
                <w:sz w:val="22"/>
                <w:szCs w:val="22"/>
              </w:rPr>
              <w:t>Minor clarifying language adjustment.</w:t>
            </w:r>
          </w:p>
        </w:tc>
      </w:tr>
      <w:tr w14:paraId="3AEBD8EE" w14:textId="77777777" w:rsidTr="003E2C19">
        <w:tblPrEx>
          <w:tblW w:w="9355" w:type="dxa"/>
          <w:tblLayout w:type="fixed"/>
          <w:tblLook w:val="04A0"/>
        </w:tblPrEx>
        <w:tc>
          <w:tcPr>
            <w:tcW w:w="2245" w:type="dxa"/>
          </w:tcPr>
          <w:p w:rsidR="0050062F" w:rsidRPr="003E2C19" w:rsidP="0050062F" w14:paraId="3CA3A92A" w14:textId="77777777">
            <w:pPr>
              <w:rPr>
                <w:rFonts w:ascii="Times New Roman" w:hAnsi="Times New Roman"/>
                <w:sz w:val="22"/>
                <w:szCs w:val="22"/>
              </w:rPr>
            </w:pPr>
            <w:r w:rsidRPr="003E2C19">
              <w:rPr>
                <w:rFonts w:ascii="Times New Roman" w:hAnsi="Times New Roman"/>
                <w:sz w:val="22"/>
                <w:szCs w:val="22"/>
              </w:rPr>
              <w:t>Sec VI- Adult Education and Family Literacy Act Program (e)</w:t>
            </w:r>
          </w:p>
        </w:tc>
        <w:tc>
          <w:tcPr>
            <w:tcW w:w="2700" w:type="dxa"/>
          </w:tcPr>
          <w:p w:rsidR="0050062F" w:rsidRPr="003E2C19" w:rsidP="0050062F" w14:paraId="6D9D8B25" w14:textId="77777777">
            <w:pPr>
              <w:rPr>
                <w:rFonts w:ascii="Times New Roman" w:hAnsi="Times New Roman"/>
                <w:sz w:val="22"/>
                <w:szCs w:val="22"/>
              </w:rPr>
            </w:pPr>
            <w:r w:rsidRPr="003E2C19">
              <w:rPr>
                <w:rFonts w:ascii="Times New Roman" w:hAnsi="Times New Roman"/>
                <w:sz w:val="22"/>
                <w:szCs w:val="22"/>
              </w:rPr>
              <w:t>Added statutory reference.</w:t>
            </w:r>
          </w:p>
        </w:tc>
        <w:tc>
          <w:tcPr>
            <w:tcW w:w="4410" w:type="dxa"/>
          </w:tcPr>
          <w:p w:rsidR="0050062F" w:rsidRPr="003E2C19" w:rsidP="0050062F" w14:paraId="42FB39F9" w14:textId="77777777">
            <w:pPr>
              <w:rPr>
                <w:rFonts w:ascii="Times New Roman" w:hAnsi="Times New Roman"/>
                <w:sz w:val="22"/>
                <w:szCs w:val="22"/>
              </w:rPr>
            </w:pPr>
            <w:r w:rsidRPr="003E2C19">
              <w:rPr>
                <w:rFonts w:ascii="Times New Roman" w:hAnsi="Times New Roman"/>
                <w:sz w:val="22"/>
                <w:szCs w:val="22"/>
              </w:rPr>
              <w:t>Minor clarifying language adjustment.</w:t>
            </w:r>
          </w:p>
        </w:tc>
      </w:tr>
      <w:tr w14:paraId="29694751" w14:textId="77777777" w:rsidTr="003E2C19">
        <w:tblPrEx>
          <w:tblW w:w="9355" w:type="dxa"/>
          <w:tblLayout w:type="fixed"/>
          <w:tblLook w:val="04A0"/>
        </w:tblPrEx>
        <w:tc>
          <w:tcPr>
            <w:tcW w:w="2245" w:type="dxa"/>
          </w:tcPr>
          <w:p w:rsidR="0050062F" w:rsidRPr="003E2C19" w:rsidP="0050062F" w14:paraId="04EDE347" w14:textId="77777777">
            <w:pPr>
              <w:rPr>
                <w:rFonts w:ascii="Times New Roman" w:hAnsi="Times New Roman"/>
                <w:sz w:val="22"/>
                <w:szCs w:val="22"/>
              </w:rPr>
            </w:pPr>
            <w:r w:rsidRPr="003E2C19">
              <w:rPr>
                <w:rFonts w:ascii="Times New Roman" w:hAnsi="Times New Roman"/>
                <w:sz w:val="22"/>
                <w:szCs w:val="22"/>
              </w:rPr>
              <w:t>Sec VI- Adult Education and Family Literacy Act Program (f)</w:t>
            </w:r>
          </w:p>
        </w:tc>
        <w:tc>
          <w:tcPr>
            <w:tcW w:w="2700" w:type="dxa"/>
          </w:tcPr>
          <w:p w:rsidR="0050062F" w:rsidRPr="003E2C19" w:rsidP="0050062F" w14:paraId="3534D2D7" w14:textId="77777777">
            <w:pPr>
              <w:rPr>
                <w:rFonts w:ascii="Times New Roman" w:hAnsi="Times New Roman"/>
                <w:sz w:val="22"/>
                <w:szCs w:val="22"/>
              </w:rPr>
            </w:pPr>
            <w:r w:rsidRPr="003E2C19">
              <w:rPr>
                <w:rFonts w:ascii="Times New Roman" w:hAnsi="Times New Roman"/>
                <w:sz w:val="22"/>
                <w:szCs w:val="22"/>
              </w:rPr>
              <w:t>Added statutory reference.</w:t>
            </w:r>
          </w:p>
        </w:tc>
        <w:tc>
          <w:tcPr>
            <w:tcW w:w="4410" w:type="dxa"/>
          </w:tcPr>
          <w:p w:rsidR="0050062F" w:rsidRPr="003E2C19" w:rsidP="0050062F" w14:paraId="1DD5AD62" w14:textId="77777777">
            <w:pPr>
              <w:rPr>
                <w:rFonts w:ascii="Times New Roman" w:hAnsi="Times New Roman"/>
                <w:sz w:val="22"/>
                <w:szCs w:val="22"/>
              </w:rPr>
            </w:pPr>
            <w:r w:rsidRPr="003E2C19">
              <w:rPr>
                <w:rFonts w:ascii="Times New Roman" w:hAnsi="Times New Roman"/>
                <w:sz w:val="22"/>
                <w:szCs w:val="22"/>
              </w:rPr>
              <w:t>Minor clarifying language adjustment.</w:t>
            </w:r>
          </w:p>
        </w:tc>
      </w:tr>
      <w:tr w14:paraId="516A777C" w14:textId="77777777" w:rsidTr="003E2C19">
        <w:tblPrEx>
          <w:tblW w:w="9355" w:type="dxa"/>
          <w:tblLayout w:type="fixed"/>
          <w:tblLook w:val="04A0"/>
        </w:tblPrEx>
        <w:tc>
          <w:tcPr>
            <w:tcW w:w="2245" w:type="dxa"/>
          </w:tcPr>
          <w:p w:rsidR="0050062F" w:rsidRPr="003E2C19" w:rsidP="0050062F" w14:paraId="46E1C98A" w14:textId="77777777">
            <w:pPr>
              <w:rPr>
                <w:rFonts w:ascii="Times New Roman" w:hAnsi="Times New Roman"/>
                <w:sz w:val="22"/>
                <w:szCs w:val="22"/>
              </w:rPr>
            </w:pPr>
            <w:r w:rsidRPr="003E2C19">
              <w:rPr>
                <w:rFonts w:ascii="Times New Roman" w:hAnsi="Times New Roman"/>
                <w:sz w:val="22"/>
                <w:szCs w:val="22"/>
              </w:rPr>
              <w:t>Section 472 of the General Education Provisions Act (GEPA)</w:t>
            </w:r>
          </w:p>
        </w:tc>
        <w:tc>
          <w:tcPr>
            <w:tcW w:w="2700" w:type="dxa"/>
          </w:tcPr>
          <w:p w:rsidR="00B61B3E" w:rsidRPr="00B61B3E" w:rsidP="00B61B3E" w14:paraId="54B44D25" w14:textId="79FA6740">
            <w:pPr>
              <w:rPr>
                <w:rFonts w:ascii="Times New Roman" w:hAnsi="Times New Roman"/>
                <w:sz w:val="22"/>
                <w:szCs w:val="22"/>
              </w:rPr>
            </w:pPr>
            <w:r w:rsidRPr="003E2C19">
              <w:rPr>
                <w:rFonts w:ascii="Times New Roman" w:hAnsi="Times New Roman"/>
                <w:sz w:val="22"/>
                <w:szCs w:val="22"/>
              </w:rPr>
              <w:t xml:space="preserve">Numerous deletions and edits </w:t>
            </w:r>
            <w:r w:rsidRPr="003E2C19">
              <w:rPr>
                <w:rFonts w:ascii="Times New Roman" w:hAnsi="Times New Roman"/>
                <w:sz w:val="22"/>
                <w:szCs w:val="22"/>
              </w:rPr>
              <w:t xml:space="preserve">which </w:t>
            </w:r>
            <w:r w:rsidRPr="00B61B3E">
              <w:rPr>
                <w:rFonts w:ascii="Times New Roman" w:hAnsi="Times New Roman"/>
                <w:sz w:val="22"/>
                <w:szCs w:val="22"/>
              </w:rPr>
              <w:t xml:space="preserve"> incorporate</w:t>
            </w:r>
            <w:r w:rsidRPr="00B61B3E">
              <w:rPr>
                <w:rFonts w:ascii="Times New Roman" w:hAnsi="Times New Roman"/>
                <w:sz w:val="22"/>
                <w:szCs w:val="22"/>
              </w:rPr>
              <w:t xml:space="preserve"> recent updates to form approved under OMB Control Number 1894-0005 </w:t>
            </w:r>
          </w:p>
          <w:p w:rsidR="0050062F" w:rsidRPr="003E2C19" w:rsidP="0050062F" w14:paraId="5EFD882D" w14:textId="6420ADB1">
            <w:pPr>
              <w:rPr>
                <w:rFonts w:ascii="Times New Roman" w:hAnsi="Times New Roman"/>
                <w:sz w:val="22"/>
                <w:szCs w:val="22"/>
              </w:rPr>
            </w:pPr>
          </w:p>
        </w:tc>
        <w:tc>
          <w:tcPr>
            <w:tcW w:w="4410" w:type="dxa"/>
          </w:tcPr>
          <w:p w:rsidR="0050062F" w:rsidRPr="003E2C19" w:rsidP="0050062F" w14:paraId="15289861" w14:textId="207897FE">
            <w:pPr>
              <w:rPr>
                <w:rFonts w:ascii="Times New Roman" w:hAnsi="Times New Roman"/>
                <w:sz w:val="22"/>
                <w:szCs w:val="22"/>
              </w:rPr>
            </w:pPr>
            <w:r w:rsidRPr="003E2C19">
              <w:rPr>
                <w:rFonts w:ascii="Times New Roman" w:hAnsi="Times New Roman"/>
                <w:sz w:val="22"/>
                <w:szCs w:val="22"/>
              </w:rPr>
              <w:t>Changes to align to another OMB approved collection</w:t>
            </w:r>
          </w:p>
        </w:tc>
      </w:tr>
    </w:tbl>
    <w:p w:rsidR="00FF0455" w:rsidRPr="007D3CAA" w:rsidP="00B61B3E" w14:paraId="46A188EC" w14:textId="1C7D4AC2">
      <w:pPr>
        <w:pStyle w:val="ListParagraph"/>
        <w:spacing w:after="0" w:line="240" w:lineRule="auto"/>
        <w:rPr>
          <w:rFonts w:ascii="Times New Roman" w:eastAsia="Times New Roman" w:hAnsi="Times New Roman" w:cs="Times New Roman"/>
          <w:b/>
          <w:bCs/>
          <w:kern w:val="0"/>
          <w:sz w:val="28"/>
          <w:szCs w:val="28"/>
          <w14:ligatures w14:val="none"/>
        </w:rPr>
      </w:pPr>
    </w:p>
    <w:p w:rsidR="00CF58FB" w:rsidRPr="00FD09E0" w:rsidP="00FF0455" w14:paraId="7581CED0" w14:textId="0F8A45B9">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Purpose of Collection</w:t>
      </w:r>
      <w:r w:rsidRPr="00FD09E0">
        <w:rPr>
          <w:rFonts w:ascii="Times New Roman" w:eastAsia="Times New Roman" w:hAnsi="Times New Roman" w:cs="Times New Roman"/>
          <w:kern w:val="0"/>
          <w:sz w:val="28"/>
          <w:szCs w:val="28"/>
          <w14:ligatures w14:val="none"/>
        </w:rPr>
        <w:t xml:space="preserve"> </w:t>
      </w:r>
    </w:p>
    <w:p w:rsidR="00FF0455" w:rsidRPr="003E2C19" w:rsidP="0041324A" w14:paraId="523D79E0" w14:textId="61757C37">
      <w:pPr>
        <w:spacing w:after="0" w:line="240" w:lineRule="auto"/>
        <w:jc w:val="both"/>
        <w:rPr>
          <w:rFonts w:ascii="Times New Roman" w:eastAsia="Times New Roman" w:hAnsi="Times New Roman" w:cs="Times New Roman"/>
          <w:kern w:val="0"/>
          <w:sz w:val="24"/>
          <w:szCs w:val="24"/>
          <w14:ligatures w14:val="none"/>
        </w:rPr>
      </w:pPr>
    </w:p>
    <w:p w:rsidR="003E2C19" w:rsidP="003E2C19" w14:paraId="1728050D" w14:textId="77777777">
      <w:pPr>
        <w:spacing w:after="120" w:line="240" w:lineRule="auto"/>
        <w:rPr>
          <w:rFonts w:ascii="Times New Roman" w:hAnsi="Times New Roman" w:cs="Times New Roman"/>
          <w:color w:val="000000"/>
          <w:sz w:val="24"/>
          <w:szCs w:val="24"/>
        </w:rPr>
      </w:pPr>
      <w:r w:rsidRPr="003E2C19">
        <w:rPr>
          <w:rFonts w:ascii="Times New Roman" w:hAnsi="Times New Roman" w:cs="Times New Roman"/>
          <w:color w:val="000000" w:themeColor="text1"/>
          <w:sz w:val="24"/>
          <w:szCs w:val="24"/>
        </w:rPr>
        <w:t xml:space="preserve">The information collection implements Sections 102 and 103 of the Workforce Innovation and Opportunity Act (WIOA) (P.L. 113-128).  WIOA requires that each State, at a minimum, submit a Unified State Plan as a condition of receiving funds for core programs subject to the Unified State Plan requirements.  In the alternative, States may submit a Combined State Plan as a condition of receiving funds under certain named programs subject to the Combined State Plan provisions.  See 29 U.S.C. §§ 3112 and 3113.  The Unified or Combined State Plan requirements are designed to improve service integration and ensure that the publicly funded workforce system provides a range of employment, education, training, and related services and </w:t>
      </w:r>
      <w:r w:rsidRPr="003E2C19">
        <w:rPr>
          <w:rFonts w:ascii="Times New Roman" w:hAnsi="Times New Roman" w:cs="Times New Roman"/>
          <w:color w:val="000000" w:themeColor="text1"/>
          <w:sz w:val="24"/>
          <w:szCs w:val="24"/>
        </w:rPr>
        <w:t>supports</w:t>
      </w:r>
      <w:r w:rsidRPr="003E2C19">
        <w:rPr>
          <w:rFonts w:ascii="Times New Roman" w:hAnsi="Times New Roman" w:cs="Times New Roman"/>
          <w:color w:val="000000" w:themeColor="text1"/>
          <w:sz w:val="24"/>
          <w:szCs w:val="24"/>
        </w:rPr>
        <w:t xml:space="preserve"> to help all jobseekers secure good-paying, competitive jobs while providing businesses with the skilled workers they need to compete in the global economy.  To that end, the Unified or Combined State Plan would describe how the State will develop and implement a unified, integrated service delivery system rather than discuss the State’s approach to operating each program individually. </w:t>
      </w:r>
    </w:p>
    <w:p w:rsidR="00B61B3E" w:rsidRPr="003E2C19" w:rsidP="003E2C19" w14:paraId="7DE628E8" w14:textId="56B920B1">
      <w:pPr>
        <w:spacing w:after="120" w:line="240" w:lineRule="auto"/>
        <w:rPr>
          <w:rFonts w:ascii="Times New Roman" w:hAnsi="Times New Roman" w:cs="Times New Roman"/>
          <w:color w:val="000000"/>
          <w:sz w:val="24"/>
          <w:szCs w:val="24"/>
        </w:rPr>
      </w:pPr>
      <w:r w:rsidRPr="003E2C19">
        <w:rPr>
          <w:rFonts w:ascii="Times New Roman" w:hAnsi="Times New Roman" w:cs="Times New Roman"/>
          <w:color w:val="000000" w:themeColor="text1"/>
          <w:sz w:val="24"/>
          <w:szCs w:val="24"/>
        </w:rPr>
        <w:t xml:space="preserve">Section 102(a) of WIOA requires each State, at a minimum, to submit a Unified State Plan that fosters strategic alignment of the core programs, which include the Adult, Dislocated Worker, and Youth programs (title I); the Adult Education and Family Literacy Act program (title II); the Wagner-Peyser program (title III); and the Vocational Rehabilitation program (title IV).  In the alternative, Section 103 of WIOA permits a State to submit a Combined State Plan including the </w:t>
      </w:r>
      <w:r w:rsidRPr="003E2C19">
        <w:rPr>
          <w:rFonts w:ascii="Times New Roman" w:hAnsi="Times New Roman" w:cs="Times New Roman"/>
          <w:color w:val="000000" w:themeColor="text1"/>
          <w:sz w:val="24"/>
          <w:szCs w:val="24"/>
        </w:rPr>
        <w:t>aforementioned core</w:t>
      </w:r>
      <w:r w:rsidRPr="003E2C19">
        <w:rPr>
          <w:rFonts w:ascii="Times New Roman" w:hAnsi="Times New Roman" w:cs="Times New Roman"/>
          <w:color w:val="000000" w:themeColor="text1"/>
          <w:sz w:val="24"/>
          <w:szCs w:val="24"/>
        </w:rPr>
        <w:t xml:space="preserve"> programs plus one or more of the optional Federal programs listed in Section 103(b).  States choosing to submit a Combined State Plan, are required to incorporate all of the common planning elements required in the Unified State Plan, additional elements describing how the State will coordinate the optional programs with the core programs (WIOA Section103(b)(3)), and elements required by the optional program(s) that are included in the Combined State Plan. </w:t>
      </w:r>
    </w:p>
    <w:p w:rsidR="00B61B3E" w:rsidRPr="003E2C19" w:rsidP="003E2C19" w14:paraId="01BC3F73" w14:textId="77777777">
      <w:pPr>
        <w:spacing w:after="120" w:line="240" w:lineRule="auto"/>
        <w:rPr>
          <w:rFonts w:ascii="Times New Roman" w:hAnsi="Times New Roman" w:cs="Times New Roman"/>
          <w:color w:val="000000"/>
          <w:sz w:val="24"/>
          <w:szCs w:val="24"/>
        </w:rPr>
      </w:pPr>
      <w:r w:rsidRPr="003E2C19">
        <w:rPr>
          <w:rFonts w:ascii="Times New Roman" w:hAnsi="Times New Roman" w:cs="Times New Roman"/>
          <w:color w:val="000000" w:themeColor="text1"/>
          <w:sz w:val="24"/>
          <w:szCs w:val="24"/>
        </w:rPr>
        <w:t xml:space="preserve">Once approved, a State’s Combined State Plan meets the information collection requirements for the program-specific State plans for all optional programs that a State includes.  If a Combined State Plan is approved, the State is not required to submit any other State plan to receive federal </w:t>
      </w:r>
      <w:r w:rsidRPr="003E2C19">
        <w:rPr>
          <w:rFonts w:ascii="Times New Roman" w:hAnsi="Times New Roman" w:cs="Times New Roman"/>
          <w:color w:val="000000" w:themeColor="text1"/>
          <w:sz w:val="24"/>
          <w:szCs w:val="24"/>
        </w:rPr>
        <w:t>funding for any optional program covered under that Combined State Plan (WIOA Section 103(b)(2)).  If a State plans for</w:t>
      </w:r>
      <w:r w:rsidRPr="003E2C19">
        <w:rPr>
          <w:rFonts w:ascii="Times New Roman" w:hAnsi="Times New Roman" w:cs="Times New Roman"/>
          <w:color w:val="000000"/>
          <w:sz w:val="24"/>
          <w:szCs w:val="24"/>
        </w:rPr>
        <w:t xml:space="preserve"> an</w:t>
      </w:r>
      <w:r w:rsidRPr="003E2C19">
        <w:rPr>
          <w:rFonts w:ascii="Times New Roman" w:hAnsi="Times New Roman" w:cs="Times New Roman"/>
          <w:color w:val="000000" w:themeColor="text1"/>
          <w:sz w:val="24"/>
          <w:szCs w:val="24"/>
        </w:rPr>
        <w:t xml:space="preserve"> </w:t>
      </w:r>
      <w:r w:rsidRPr="003E2C19">
        <w:rPr>
          <w:rFonts w:ascii="Times New Roman" w:hAnsi="Times New Roman" w:cs="Times New Roman"/>
          <w:color w:val="000000" w:themeColor="text1"/>
          <w:sz w:val="24"/>
          <w:szCs w:val="24"/>
        </w:rPr>
        <w:t>optional program changes</w:t>
      </w:r>
      <w:r w:rsidRPr="003E2C19">
        <w:rPr>
          <w:rFonts w:ascii="Times New Roman" w:hAnsi="Times New Roman" w:cs="Times New Roman"/>
          <w:color w:val="000000" w:themeColor="text1"/>
          <w:sz w:val="24"/>
          <w:szCs w:val="24"/>
        </w:rPr>
        <w:t xml:space="preserve"> from the one approved under the Combined State Plan, the State may have to submit additional plans to the appropriate Department—such additional plans will be counted under the optional programs’ existing information collection requirements. </w:t>
      </w:r>
    </w:p>
    <w:p w:rsidR="00B61B3E" w:rsidRPr="003E2C19" w:rsidP="003E2C19" w14:paraId="2DDAD94C" w14:textId="77777777">
      <w:pPr>
        <w:spacing w:after="120" w:line="240" w:lineRule="auto"/>
        <w:rPr>
          <w:rFonts w:ascii="Times New Roman" w:hAnsi="Times New Roman" w:cs="Times New Roman"/>
          <w:color w:val="000000"/>
          <w:sz w:val="24"/>
          <w:szCs w:val="24"/>
        </w:rPr>
      </w:pPr>
      <w:r w:rsidRPr="003E2C19">
        <w:rPr>
          <w:rFonts w:ascii="Times New Roman" w:hAnsi="Times New Roman" w:cs="Times New Roman"/>
          <w:color w:val="000000"/>
          <w:sz w:val="24"/>
          <w:szCs w:val="24"/>
        </w:rPr>
        <w:t xml:space="preserve">Note that some of the optional programs that a State may include in the Combined State Plan currently fulfill their program-specific State planning requirements through a broader information collection administered by </w:t>
      </w:r>
      <w:r w:rsidRPr="003E2C19">
        <w:rPr>
          <w:rFonts w:ascii="Times New Roman" w:hAnsi="Times New Roman" w:cs="Times New Roman"/>
          <w:color w:val="000000"/>
          <w:sz w:val="24"/>
          <w:szCs w:val="24"/>
        </w:rPr>
        <w:t>the program’s</w:t>
      </w:r>
      <w:r w:rsidRPr="003E2C19">
        <w:rPr>
          <w:rFonts w:ascii="Times New Roman" w:hAnsi="Times New Roman" w:cs="Times New Roman"/>
          <w:color w:val="000000"/>
          <w:sz w:val="24"/>
          <w:szCs w:val="24"/>
        </w:rPr>
        <w:t xml:space="preserve"> </w:t>
      </w:r>
      <w:r w:rsidRPr="003E2C19">
        <w:rPr>
          <w:rFonts w:ascii="Times New Roman" w:hAnsi="Times New Roman" w:cs="Times New Roman"/>
          <w:color w:val="000000"/>
          <w:sz w:val="24"/>
          <w:szCs w:val="24"/>
        </w:rPr>
        <w:t>appropriate Department</w:t>
      </w:r>
      <w:r w:rsidRPr="003E2C19">
        <w:rPr>
          <w:rFonts w:ascii="Times New Roman" w:hAnsi="Times New Roman" w:cs="Times New Roman"/>
          <w:color w:val="000000"/>
          <w:sz w:val="24"/>
          <w:szCs w:val="24"/>
        </w:rPr>
        <w:t xml:space="preserve">.  For example, Section 103(b)(2) of WIOA specifically allows the employment and training activities carried out under the Community Services Block Grant (CSBG) Act administered by the Department of Health and Human Services (HHS) and employment and training activities under the Department of Housing and Urban Development (HUD) to be included in a WIOA Combined State Plan.  However, for example, the existing CSBG information collection includes planning elements for the employment and training activities along with planning elements for other activities under CSBG.  Therefore, if States choose to include programs such as these in the Combined State Plan, only the portion of the existing planning requirements that address the employment and training activities are included in the Combined State Plan (WIOA Section 103), and, States are still required to separately submit all other required elements of a complete CSBG State Plan directly to the Federal agency that administers the program.  </w:t>
      </w:r>
    </w:p>
    <w:p w:rsidR="003E2C19" w:rsidP="003E2C19" w14:paraId="26E7169B" w14:textId="77777777">
      <w:pPr>
        <w:spacing w:after="120" w:line="240" w:lineRule="auto"/>
        <w:rPr>
          <w:rFonts w:ascii="Times New Roman" w:hAnsi="Times New Roman" w:cs="Times New Roman"/>
          <w:color w:val="000000" w:themeColor="text1"/>
          <w:sz w:val="24"/>
          <w:szCs w:val="24"/>
        </w:rPr>
      </w:pPr>
      <w:r w:rsidRPr="003E2C19">
        <w:rPr>
          <w:rFonts w:ascii="Times New Roman" w:hAnsi="Times New Roman" w:cs="Times New Roman"/>
          <w:color w:val="000000" w:themeColor="text1"/>
          <w:sz w:val="24"/>
          <w:szCs w:val="24"/>
        </w:rPr>
        <w:t xml:space="preserve">The regulations that correspond to these information collection requirements are: 20 CFR Part 676 (WIOA Adult, Dislocated Worker, and Youth programs and Wagner-Peyser Act programs); 34 CFR Part 361, Subpart D (State Vocational Rehabilitation Services Program); and 34 CFR Part 463, Subpart H (Adult Education and Family Literacy Act programs).  </w:t>
      </w:r>
    </w:p>
    <w:p w:rsidR="00B61B3E" w:rsidRPr="003E2C19" w:rsidP="003E2C19" w14:paraId="053797A3" w14:textId="1238C4EB">
      <w:pPr>
        <w:spacing w:after="120" w:line="240" w:lineRule="auto"/>
        <w:rPr>
          <w:rFonts w:ascii="Times New Roman" w:hAnsi="Times New Roman" w:cs="Times New Roman"/>
          <w:color w:val="000000" w:themeColor="text1"/>
          <w:sz w:val="24"/>
          <w:szCs w:val="24"/>
        </w:rPr>
      </w:pPr>
      <w:r w:rsidRPr="003E2C19">
        <w:rPr>
          <w:rFonts w:ascii="Times New Roman" w:hAnsi="Times New Roman" w:cs="Times New Roman"/>
          <w:color w:val="000000" w:themeColor="text1"/>
          <w:sz w:val="24"/>
          <w:szCs w:val="24"/>
        </w:rPr>
        <w:t xml:space="preserve">Section 102(c)(1)(A) of WIOA states that States needed to submit their first Unified Plan to the Secretary of Labor not later than 120 days prior to the commencement of the second full program year after the date of enactment of WIOA, which was July 22, 2014.   New plans are required every four years, with a modification update every two years.  The next cycle of State Plan modifications will be required for submission in March 2026.  </w:t>
      </w:r>
    </w:p>
    <w:p w:rsidR="006B0B25" w:rsidRPr="00FD09E0" w:rsidP="003E2C19" w14:paraId="744FF506" w14:textId="008D0CA9">
      <w:pPr>
        <w:spacing w:after="120" w:line="240" w:lineRule="auto"/>
        <w:jc w:val="both"/>
        <w:rPr>
          <w:rFonts w:ascii="Times New Roman" w:hAnsi="Times New Roman" w:cs="Times New Roman"/>
        </w:rPr>
      </w:pPr>
      <w:r>
        <w:rPr>
          <w:rFonts w:ascii="Times New Roman" w:eastAsia="Times New Roman" w:hAnsi="Times New Roman" w:cs="Times New Roman"/>
          <w:kern w:val="0"/>
          <w:sz w:val="24"/>
          <w:szCs w:val="24"/>
          <w14:ligatures w14:val="none"/>
        </w:rPr>
        <w:t xml:space="preserve"> </w:t>
      </w:r>
    </w:p>
    <w:sectPr w:rsidSect="006B0B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AF1361"/>
    <w:multiLevelType w:val="hybridMultilevel"/>
    <w:tmpl w:val="43A69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170115"/>
    <w:multiLevelType w:val="hybridMultilevel"/>
    <w:tmpl w:val="160AC9A6"/>
    <w:lvl w:ilvl="0">
      <w:start w:val="1"/>
      <w:numFmt w:val="upperLetter"/>
      <w:lvlText w:val="%1."/>
      <w:lvlJc w:val="left"/>
      <w:pPr>
        <w:ind w:left="360" w:hanging="360"/>
      </w:pPr>
      <w:rPr>
        <w:rFonts w:asciiTheme="majorHAnsi" w:hAnsiTheme="majorHAns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703614"/>
    <w:multiLevelType w:val="hybridMultilevel"/>
    <w:tmpl w:val="F88CD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6956640">
    <w:abstractNumId w:val="2"/>
  </w:num>
  <w:num w:numId="2" w16cid:durableId="77600312">
    <w:abstractNumId w:val="0"/>
  </w:num>
  <w:num w:numId="3" w16cid:durableId="8139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025165"/>
    <w:rsid w:val="00026AE1"/>
    <w:rsid w:val="00043DC8"/>
    <w:rsid w:val="00050FD8"/>
    <w:rsid w:val="0009767F"/>
    <w:rsid w:val="00175712"/>
    <w:rsid w:val="001D2D70"/>
    <w:rsid w:val="002419EB"/>
    <w:rsid w:val="00267512"/>
    <w:rsid w:val="002C24E9"/>
    <w:rsid w:val="002E5A41"/>
    <w:rsid w:val="00311404"/>
    <w:rsid w:val="00322874"/>
    <w:rsid w:val="00392131"/>
    <w:rsid w:val="003A404A"/>
    <w:rsid w:val="003B4AC9"/>
    <w:rsid w:val="003E2C19"/>
    <w:rsid w:val="0041324A"/>
    <w:rsid w:val="004513CA"/>
    <w:rsid w:val="00452902"/>
    <w:rsid w:val="004551F3"/>
    <w:rsid w:val="0049202A"/>
    <w:rsid w:val="004F7374"/>
    <w:rsid w:val="0050062F"/>
    <w:rsid w:val="0052643F"/>
    <w:rsid w:val="005339F2"/>
    <w:rsid w:val="00546027"/>
    <w:rsid w:val="0057151A"/>
    <w:rsid w:val="005B2225"/>
    <w:rsid w:val="005C5744"/>
    <w:rsid w:val="005D31E7"/>
    <w:rsid w:val="005D6B38"/>
    <w:rsid w:val="0067434B"/>
    <w:rsid w:val="006853BD"/>
    <w:rsid w:val="00686443"/>
    <w:rsid w:val="006B06FE"/>
    <w:rsid w:val="006B0B25"/>
    <w:rsid w:val="006D696A"/>
    <w:rsid w:val="006F549C"/>
    <w:rsid w:val="00703E3F"/>
    <w:rsid w:val="00733C01"/>
    <w:rsid w:val="007A222A"/>
    <w:rsid w:val="007B36D9"/>
    <w:rsid w:val="007D3CAA"/>
    <w:rsid w:val="007D623B"/>
    <w:rsid w:val="0083107A"/>
    <w:rsid w:val="008474F5"/>
    <w:rsid w:val="008B7E7A"/>
    <w:rsid w:val="008C0F36"/>
    <w:rsid w:val="00924A7C"/>
    <w:rsid w:val="009B66CC"/>
    <w:rsid w:val="009C7ACA"/>
    <w:rsid w:val="009F2A66"/>
    <w:rsid w:val="009F4D1F"/>
    <w:rsid w:val="00A135BC"/>
    <w:rsid w:val="00A65E71"/>
    <w:rsid w:val="00A74416"/>
    <w:rsid w:val="00A8506F"/>
    <w:rsid w:val="00A930DF"/>
    <w:rsid w:val="00AA0F40"/>
    <w:rsid w:val="00AB1DA7"/>
    <w:rsid w:val="00B14F09"/>
    <w:rsid w:val="00B273CF"/>
    <w:rsid w:val="00B31340"/>
    <w:rsid w:val="00B61B3E"/>
    <w:rsid w:val="00B72CDA"/>
    <w:rsid w:val="00B74B68"/>
    <w:rsid w:val="00B9034E"/>
    <w:rsid w:val="00C0693B"/>
    <w:rsid w:val="00C877F4"/>
    <w:rsid w:val="00CF58FB"/>
    <w:rsid w:val="00D123F2"/>
    <w:rsid w:val="00D16606"/>
    <w:rsid w:val="00D50565"/>
    <w:rsid w:val="00D6477D"/>
    <w:rsid w:val="00D83A4F"/>
    <w:rsid w:val="00D87939"/>
    <w:rsid w:val="00DB1862"/>
    <w:rsid w:val="00DD422A"/>
    <w:rsid w:val="00EC5A59"/>
    <w:rsid w:val="00EE6E4B"/>
    <w:rsid w:val="00EF1618"/>
    <w:rsid w:val="00FC335E"/>
    <w:rsid w:val="00FD09E0"/>
    <w:rsid w:val="00FF0455"/>
    <w:rsid w:val="00FF78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403133E-51DE-40D9-8F8B-B9482889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99"/>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 w:type="character" w:styleId="Hyperlink">
    <w:name w:val="Hyperlink"/>
    <w:basedOn w:val="DefaultParagraphFont"/>
    <w:uiPriority w:val="99"/>
    <w:unhideWhenUsed/>
    <w:rsid w:val="00B9034E"/>
    <w:rPr>
      <w:color w:val="0563C1" w:themeColor="hyperlink"/>
      <w:u w:val="single"/>
    </w:rPr>
  </w:style>
  <w:style w:type="character" w:styleId="UnresolvedMention">
    <w:name w:val="Unresolved Mention"/>
    <w:basedOn w:val="DefaultParagraphFont"/>
    <w:uiPriority w:val="99"/>
    <w:semiHidden/>
    <w:unhideWhenUsed/>
    <w:rsid w:val="00B9034E"/>
    <w:rPr>
      <w:color w:val="605E5C"/>
      <w:shd w:val="clear" w:color="auto" w:fill="E1DFDD"/>
    </w:rPr>
  </w:style>
  <w:style w:type="paragraph" w:customStyle="1" w:styleId="footnotedescription">
    <w:name w:val="footnote description"/>
    <w:next w:val="Normal"/>
    <w:link w:val="footnotedescriptionChar"/>
    <w:hidden/>
    <w:rsid w:val="00392131"/>
    <w:pPr>
      <w:spacing w:after="0"/>
      <w:ind w:left="1"/>
    </w:pPr>
    <w:rPr>
      <w:rFonts w:ascii="Cambria" w:eastAsia="Cambria" w:hAnsi="Cambria" w:cs="Cambria"/>
      <w:color w:val="000000"/>
      <w:kern w:val="0"/>
      <w:sz w:val="16"/>
      <w14:ligatures w14:val="none"/>
    </w:rPr>
  </w:style>
  <w:style w:type="character" w:customStyle="1" w:styleId="footnotedescriptionChar">
    <w:name w:val="footnote description Char"/>
    <w:link w:val="footnotedescription"/>
    <w:rsid w:val="00392131"/>
    <w:rPr>
      <w:rFonts w:ascii="Cambria" w:eastAsia="Cambria" w:hAnsi="Cambria" w:cs="Cambria"/>
      <w:color w:val="000000"/>
      <w:kern w:val="0"/>
      <w:sz w:val="16"/>
      <w14:ligatures w14:val="none"/>
    </w:rPr>
  </w:style>
  <w:style w:type="character" w:customStyle="1" w:styleId="footnotemark">
    <w:name w:val="footnote mark"/>
    <w:hidden/>
    <w:rsid w:val="00392131"/>
    <w:rPr>
      <w:rFonts w:ascii="Cambria" w:eastAsia="Cambria" w:hAnsi="Cambria" w:cs="Cambria"/>
      <w:color w:val="000000"/>
      <w:sz w:val="16"/>
      <w:vertAlign w:val="superscript"/>
    </w:rPr>
  </w:style>
  <w:style w:type="table" w:styleId="TableGrid">
    <w:name w:val="Table Grid"/>
    <w:basedOn w:val="TableNormal"/>
    <w:uiPriority w:val="59"/>
    <w:rsid w:val="007D3CA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D3CAA"/>
    <w:rPr>
      <w:rFonts w:ascii="Segoe UI" w:hAnsi="Segoe UI" w:cs="Segoe UI" w:hint="default"/>
      <w:sz w:val="18"/>
      <w:szCs w:val="18"/>
    </w:rPr>
  </w:style>
  <w:style w:type="paragraph" w:styleId="Revision">
    <w:name w:val="Revision"/>
    <w:hidden/>
    <w:uiPriority w:val="99"/>
    <w:semiHidden/>
    <w:rsid w:val="004F7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DF3EE-D2BD-4137-9659-988B4F2CC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A7F63-D3A8-40E4-8560-B14102A3451D}">
  <ds:schemaRefs>
    <ds:schemaRef ds:uri="http://schemas.microsoft.com/sharepoint/v3/contenttype/forms"/>
  </ds:schemaRefs>
</ds:datastoreItem>
</file>

<file path=customXml/itemProps3.xml><?xml version="1.0" encoding="utf-8"?>
<ds:datastoreItem xmlns:ds="http://schemas.openxmlformats.org/officeDocument/2006/customXml" ds:itemID="{3BCA33B2-75A1-4287-B683-A988F0882F72}">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Fleck, Heather - ETA</cp:lastModifiedBy>
  <cp:revision>2</cp:revision>
  <dcterms:created xsi:type="dcterms:W3CDTF">2025-08-06T19:23:00Z</dcterms:created>
  <dcterms:modified xsi:type="dcterms:W3CDTF">2025-08-06T19:23:00Z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0x010100B3DED96637094D46A826941634BB370F</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