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2267E" w:rsidRPr="00A2267E" w:rsidP="00A2267E" w14:paraId="481E093F" w14:textId="77777777">
      <w:pPr>
        <w:widowControl/>
        <w:jc w:val="center"/>
        <w:rPr>
          <w:rFonts w:ascii="Times New Roman" w:hAnsi="Times New Roman"/>
          <w:b/>
          <w:bCs/>
        </w:rPr>
      </w:pPr>
      <w:r w:rsidRPr="00A2267E">
        <w:rPr>
          <w:rFonts w:ascii="Times New Roman" w:hAnsi="Times New Roman"/>
          <w:b/>
          <w:bCs/>
        </w:rPr>
        <w:t>REQUIRED ELEMENTS OF AN UNEMPLOYMENT INSURANCE (UI)</w:t>
      </w:r>
    </w:p>
    <w:p w:rsidR="00A2267E" w:rsidRPr="00A2267E" w:rsidP="00A2267E" w14:paraId="435583DA" w14:textId="77777777">
      <w:pPr>
        <w:widowControl/>
        <w:jc w:val="center"/>
        <w:rPr>
          <w:rFonts w:ascii="Times New Roman" w:hAnsi="Times New Roman"/>
          <w:b/>
          <w:bCs/>
        </w:rPr>
      </w:pPr>
      <w:r w:rsidRPr="00A2267E">
        <w:rPr>
          <w:rFonts w:ascii="Times New Roman" w:hAnsi="Times New Roman"/>
          <w:b/>
          <w:bCs/>
        </w:rPr>
        <w:t>REEMPLOYMENT SERVICES AND ELIGIBILITY ASSESSMENT (RESEA) GRANT</w:t>
      </w:r>
    </w:p>
    <w:p w:rsidR="00A10441" w:rsidP="00A2267E" w14:paraId="35B2BDB0" w14:textId="42B008C7">
      <w:pPr>
        <w:widowControl/>
        <w:jc w:val="center"/>
        <w:rPr>
          <w:rFonts w:ascii="Times New Roman" w:hAnsi="Times New Roman"/>
          <w:b/>
          <w:bCs/>
        </w:rPr>
      </w:pPr>
      <w:r w:rsidRPr="00A2267E">
        <w:rPr>
          <w:rFonts w:ascii="Times New Roman" w:hAnsi="Times New Roman"/>
          <w:b/>
          <w:bCs/>
        </w:rPr>
        <w:t xml:space="preserve"> STATE PLAN</w:t>
      </w: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403210D1">
      <w:pPr>
        <w:widowControl/>
        <w:jc w:val="center"/>
        <w:rPr>
          <w:rFonts w:ascii="Times New Roman" w:hAnsi="Times New Roman"/>
          <w:b/>
          <w:bCs/>
        </w:rPr>
      </w:pPr>
      <w:r w:rsidRPr="00871CA6">
        <w:rPr>
          <w:rFonts w:ascii="Times New Roman" w:hAnsi="Times New Roman"/>
          <w:b/>
          <w:bCs/>
        </w:rPr>
        <w:t>OMB</w:t>
      </w:r>
      <w:r w:rsidRPr="00871CA6">
        <w:rPr>
          <w:rFonts w:ascii="Times New Roman" w:hAnsi="Times New Roman"/>
          <w:b/>
          <w:bCs/>
        </w:rPr>
        <w:t xml:space="preserve">CONTROL NO. </w:t>
      </w:r>
      <w:r w:rsidR="00A2267E">
        <w:rPr>
          <w:rFonts w:ascii="Times New Roman" w:hAnsi="Times New Roman"/>
          <w:b/>
          <w:bCs/>
        </w:rPr>
        <w:t>1205-0538</w:t>
      </w:r>
    </w:p>
    <w:p w:rsidR="00927124" w:rsidP="00D53DEB" w14:paraId="573969DA" w14:textId="77777777">
      <w:pPr>
        <w:widowControl/>
        <w:rPr>
          <w:rFonts w:ascii="Times New Roman" w:hAnsi="Times New Roman"/>
          <w:bCs/>
        </w:rPr>
      </w:pPr>
    </w:p>
    <w:p w:rsidR="005D235E" w:rsidP="00D53DEB" w14:paraId="7803DE71" w14:textId="6887E843">
      <w:pPr>
        <w:widowControl/>
        <w:rPr>
          <w:rFonts w:ascii="Times New Roman" w:hAnsi="Times New Roman"/>
          <w:bCs/>
        </w:rPr>
      </w:pPr>
      <w:r w:rsidRPr="00927124">
        <w:rPr>
          <w:rFonts w:ascii="Times New Roman" w:hAnsi="Times New Roman"/>
          <w:bCs/>
        </w:rPr>
        <w:t>The Department of Labor (Department), Employment and Training Administration (ETA) is submitting a revision Information Collection Request (ICR) to implement and collect an annual RESEA state plan as described in Section 306(e) of the Social Security Act (SSA). The revised data collection includes several revisions intended to reflect recent changes to the RESEA program, to remove elements that are no longer routinely used to support grant management, and to provide states with the opportunity to include additional narrative descriptions that more fully reflect the state’s planned RESEA activities and the economic or other factors that the state considered during the planning process. Beginning in FY 2023, section 303(c)(2), SSA, requir</w:t>
      </w:r>
      <w:r w:rsidR="00027811">
        <w:rPr>
          <w:rFonts w:ascii="Times New Roman" w:hAnsi="Times New Roman"/>
          <w:bCs/>
        </w:rPr>
        <w:t>ed</w:t>
      </w:r>
      <w:r w:rsidRPr="00927124">
        <w:rPr>
          <w:rFonts w:ascii="Times New Roman" w:hAnsi="Times New Roman"/>
          <w:bCs/>
        </w:rPr>
        <w:t xml:space="preserve"> states to devote a specific percentage of their RESEA funding to evidence-based components and a new table was included in the revised form to capture this statutorily required information.</w:t>
      </w:r>
    </w:p>
    <w:p w:rsidR="005D235E" w:rsidRPr="005D235E" w:rsidP="005D235E" w14:paraId="60E78C77" w14:textId="77777777">
      <w:pPr>
        <w:widowControl/>
        <w:rPr>
          <w:rFonts w:ascii="Times New Roman" w:hAnsi="Times New Roman"/>
          <w:bCs/>
        </w:rPr>
      </w:pPr>
    </w:p>
    <w:p w:rsidR="005D235E" w:rsidRPr="00D53DEB" w:rsidP="005D235E" w14:paraId="1C154ABF" w14:textId="551AA422">
      <w:pPr>
        <w:widowControl/>
        <w:rPr>
          <w:rFonts w:ascii="Times New Roman" w:hAnsi="Times New Roman"/>
          <w:bCs/>
        </w:rPr>
      </w:pPr>
      <w:r w:rsidRPr="005D235E">
        <w:rPr>
          <w:rFonts w:ascii="Times New Roman" w:hAnsi="Times New Roman"/>
          <w:bCs/>
        </w:rPr>
        <w:t>The burden estimate for this data collection is 40 hours</w:t>
      </w:r>
      <w:r w:rsidR="00AC55EE">
        <w:rPr>
          <w:rFonts w:ascii="Times New Roman" w:hAnsi="Times New Roman"/>
          <w:bCs/>
        </w:rPr>
        <w:t>,</w:t>
      </w:r>
      <w:r w:rsidRPr="005D235E">
        <w:rPr>
          <w:rFonts w:ascii="Times New Roman" w:hAnsi="Times New Roman"/>
          <w:bCs/>
        </w:rPr>
        <w:t xml:space="preserve"> which is unchanged from the 2022 ICR. The burden is unchanged due to the removal of redundant elements, improvements to the state plan template, and other activities intended to support more efficient state planning activities.</w:t>
      </w:r>
      <w:r w:rsidR="004174E6">
        <w:rPr>
          <w:rFonts w:ascii="Times New Roman" w:hAnsi="Times New Roman"/>
          <w:bCs/>
        </w:rPr>
        <w:t xml:space="preserve"> </w:t>
      </w:r>
      <w:r w:rsidRPr="005D235E">
        <w:rPr>
          <w:rFonts w:ascii="Times New Roman" w:hAnsi="Times New Roman"/>
          <w:bCs/>
        </w:rPr>
        <w:t>Additional information about the state plan revisions and burden estimate is provided below.</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674F3ED0">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77777777">
      <w:pPr>
        <w:widowControl/>
        <w:rPr>
          <w:rFonts w:ascii="Times New Roman" w:hAnsi="Times New Roman"/>
        </w:rPr>
      </w:pPr>
    </w:p>
    <w:p w:rsidR="00736E64" w:rsidRPr="00736E64" w:rsidP="00736E64" w14:paraId="19DBD418" w14:textId="417183C4">
      <w:pPr>
        <w:widowControl/>
        <w:rPr>
          <w:rFonts w:ascii="Times New Roman" w:hAnsi="Times New Roman"/>
        </w:rPr>
      </w:pPr>
      <w:r w:rsidRPr="00736E64">
        <w:rPr>
          <w:rFonts w:ascii="Times New Roman" w:hAnsi="Times New Roman"/>
        </w:rPr>
        <w:t>The federal-state UI program is a required partner in the comprehensive, integrated workforce system. Individuals who have lost employment due to lack of suitable work and have earned sufficient wage credits may receive UI benefits if they meet initial and continuing eligibility requirements. Since 2005, the Department and participating state UI agencies have been addressing individual reemployment needs of UI claimants and working to prevent and detect UI improper payments through the voluntary UI Reemployment and Eligibility Assessment (REA) program and, beginning in FY 2015, through the voluntary RESEA program. Because there is strong evidence that these programs and service delivery strategies work, they have been a high priority for the ETA.</w:t>
      </w:r>
    </w:p>
    <w:p w:rsidR="00736E64" w:rsidRPr="00736E64" w:rsidP="00736E64" w14:paraId="21646720" w14:textId="77777777">
      <w:pPr>
        <w:widowControl/>
        <w:rPr>
          <w:rFonts w:ascii="Times New Roman" w:hAnsi="Times New Roman"/>
        </w:rPr>
      </w:pPr>
    </w:p>
    <w:p w:rsidR="00736E64" w:rsidRPr="00736E64" w:rsidP="00736E64" w14:paraId="23D4F844" w14:textId="6CDA7007">
      <w:pPr>
        <w:widowControl/>
        <w:rPr>
          <w:rFonts w:ascii="Times New Roman" w:hAnsi="Times New Roman"/>
        </w:rPr>
      </w:pPr>
      <w:r w:rsidRPr="00736E64">
        <w:rPr>
          <w:rFonts w:ascii="Times New Roman" w:hAnsi="Times New Roman"/>
        </w:rPr>
        <w:t xml:space="preserve">On February 9, 2018, the Bipartisan Budget Act of 2018 was signed in law, Public Law 115-123 (BBA), which included amendments to the Social Security Act (SSA) that create a permanent authorization for the RESEA program. The RESEA provisions are contained in Section 30206 of </w:t>
      </w:r>
      <w:r w:rsidRPr="00736E64">
        <w:rPr>
          <w:rFonts w:ascii="Times New Roman" w:hAnsi="Times New Roman"/>
        </w:rPr>
        <w:t xml:space="preserve">the BBA, enacting new Section 306 of the SSA. The recently enacted Section 306 of the Social Security Act introduced several new program requirements including the requirement that states must submit an annual state plan to be considered eligible for funding. The specific requirements of the state plan are identified in Section 306(e) of the SSA (attached). </w:t>
      </w:r>
    </w:p>
    <w:p w:rsidR="00736E64" w:rsidRPr="00736E64" w:rsidP="00736E64" w14:paraId="3C4500AD" w14:textId="77777777">
      <w:pPr>
        <w:widowControl/>
        <w:rPr>
          <w:rFonts w:ascii="Times New Roman" w:hAnsi="Times New Roman"/>
        </w:rPr>
      </w:pPr>
    </w:p>
    <w:p w:rsidR="00736E64" w:rsidRPr="00736E64" w:rsidP="00736E64" w14:paraId="3E37BAA0" w14:textId="28EC5451">
      <w:pPr>
        <w:widowControl/>
        <w:rPr>
          <w:rFonts w:ascii="Times New Roman" w:hAnsi="Times New Roman"/>
        </w:rPr>
      </w:pPr>
      <w:r w:rsidRPr="00736E64">
        <w:rPr>
          <w:rFonts w:ascii="Times New Roman" w:hAnsi="Times New Roman"/>
        </w:rPr>
        <w:t>In addition to the statutorily required elements identified in Section 306(e) of the SSA, the ICR also includes routine administrative and logistical elements that have been identified by ETA as necessary for the grant review and approval process.</w:t>
      </w:r>
      <w:r w:rsidR="0025046E">
        <w:rPr>
          <w:rFonts w:ascii="Times New Roman" w:hAnsi="Times New Roman"/>
        </w:rPr>
        <w:t xml:space="preserve"> </w:t>
      </w:r>
      <w:r w:rsidRPr="00736E64">
        <w:rPr>
          <w:rFonts w:ascii="Times New Roman" w:hAnsi="Times New Roman"/>
        </w:rPr>
        <w:t xml:space="preserve">All administratively required elements are listed in the first half of the state plan template and include Elements 1-17 and 20. Administrative elements include: general grantee contact information, the requested funding level, including proposed allocation among program and administrative expenses;  information pertaining to required integration of the states’ UI program and efforts to ensure participants’ compliance with state UI requirements, identification of how participants are selected, integration the state’s UI program into the RESEA program design, and the geographic locations where services are provided. Elements 18-19 and 21-22, including their subparts, are statutorily required by the Social Security Act and the state plan template includes appropriate citations for each element. Statutorily required elements include: a description of how the state provides proper notification that a claimant was selected for participation; an assurance and description of how the state provides reasonable scheduling accommodations to selected participants; assurances and descriptions of how the state will support RESEA’s four statutorily defined purposes which include (1) improving participants’ employment outcomes (2) strengthening UI program integrity, (3) providing alignment with the broader vision of the Workforce Innovations and Opportunity Act and (4) establishing RESEA as a gateway to other workforce system partner programs; and the state’s activities that support RESEA’s evidence-based standards and evaluation requirements. </w:t>
      </w:r>
    </w:p>
    <w:p w:rsidR="00690F56" w:rsidRPr="00D53DEB" w:rsidP="00690F56" w14:paraId="74744673" w14:textId="77777777">
      <w:pPr>
        <w:widowControl/>
        <w:rPr>
          <w:rFonts w:ascii="Times New Roman" w:hAnsi="Times New Roman"/>
        </w:rPr>
      </w:pPr>
    </w:p>
    <w:p w:rsidR="00690F56" w:rsidRPr="00D53DEB" w:rsidP="00690F56" w14:paraId="2BBF8E2F" w14:textId="7A1783B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RPr="009E36F5" w:rsidP="00690F56" w14:paraId="6EBE63D5" w14:textId="77777777">
      <w:pPr>
        <w:widowControl/>
        <w:rPr>
          <w:rFonts w:ascii="Times New Roman" w:hAnsi="Times New Roman"/>
        </w:rPr>
      </w:pPr>
    </w:p>
    <w:p w:rsidR="009E36F5" w:rsidRPr="009E36F5" w:rsidP="009E36F5" w14:paraId="7D4767F5" w14:textId="7324FBBD">
      <w:pPr>
        <w:widowControl/>
        <w:rPr>
          <w:rFonts w:ascii="Times New Roman" w:hAnsi="Times New Roman"/>
        </w:rPr>
      </w:pPr>
      <w:r w:rsidRPr="009E36F5">
        <w:rPr>
          <w:rFonts w:ascii="Times New Roman" w:hAnsi="Times New Roman"/>
        </w:rPr>
        <w:t>To be considered eligible for RESEA funding for a Fiscal Year, a state must submit a state plan that outlines how the state intends to conduct a program of reemployment services and eligibility assessments by responding to all the required elements identified in this proposed ICR. Complete plans th</w:t>
      </w:r>
      <w:r w:rsidR="000162B1">
        <w:rPr>
          <w:rFonts w:ascii="Times New Roman" w:hAnsi="Times New Roman"/>
        </w:rPr>
        <w:t>at</w:t>
      </w:r>
      <w:r w:rsidRPr="009E36F5">
        <w:rPr>
          <w:rFonts w:ascii="Times New Roman" w:hAnsi="Times New Roman"/>
        </w:rPr>
        <w:t xml:space="preserve"> fully address the required elements and are submitted in timely manner will be approved by Secretary. Plans that fail to meet the required elements will be disapproved and the state will be notified of this disapproval within 30 days of the Department’s receipt of the plan. This written notification will describe any portion(s) of the plan that was not approved and the reason for the disapproval(s) and provide the state with an opportunity to submit a revised plan.</w:t>
      </w:r>
    </w:p>
    <w:p w:rsidR="009E36F5" w:rsidRPr="009E36F5" w:rsidP="009E36F5" w14:paraId="376C256E" w14:textId="77777777">
      <w:pPr>
        <w:widowControl/>
        <w:rPr>
          <w:rFonts w:ascii="Times New Roman" w:hAnsi="Times New Roman"/>
        </w:rPr>
      </w:pPr>
    </w:p>
    <w:p w:rsidR="002907EC" w:rsidRPr="009E36F5" w:rsidP="009E36F5" w14:paraId="49CD01DD" w14:textId="4EB6E3DA">
      <w:pPr>
        <w:widowControl/>
        <w:rPr>
          <w:rFonts w:ascii="Times New Roman" w:hAnsi="Times New Roman"/>
        </w:rPr>
      </w:pPr>
      <w:r w:rsidRPr="009E36F5">
        <w:rPr>
          <w:rFonts w:ascii="Times New Roman" w:hAnsi="Times New Roman"/>
        </w:rPr>
        <w:t xml:space="preserve">Approved plans will be incorporated into each state’s grant agreement and be used by the Department to support routine grant monitoring and the targeting of technical assistance. The Department will also analyze and summarize the information contained in the state plans to inform future budget requests and respond to requests from Congress, Office of the Inspector </w:t>
      </w:r>
      <w:r w:rsidRPr="009E36F5">
        <w:rPr>
          <w:rFonts w:ascii="Times New Roman" w:hAnsi="Times New Roman"/>
        </w:rPr>
        <w:t>General, and other RESEA stakeholders. Portions of the state plans may also be made available to the public through publication on the Department’s websites.</w:t>
      </w:r>
    </w:p>
    <w:p w:rsidR="002907EC" w:rsidRPr="00A47DA7" w:rsidP="00690F56" w14:paraId="57338AB6" w14:textId="77777777">
      <w:pPr>
        <w:widowControl/>
        <w:rPr>
          <w:rFonts w:ascii="Times New Roman" w:hAnsi="Times New Roman"/>
          <w:u w:val="single"/>
        </w:rPr>
      </w:pPr>
    </w:p>
    <w:p w:rsidR="00690F56" w:rsidRPr="00D53DEB" w:rsidP="00690F56" w14:paraId="1908DC84" w14:textId="1308ABD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EFFB376" w14:textId="0433DFB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F25F4">
        <w:rPr>
          <w:rFonts w:ascii="Times New Roman" w:hAnsi="Times New Roman"/>
        </w:rPr>
        <w:t>This data reporting requirement uses automated procedures for data collection, transmission, and analysis that utilize state and Federal information processing technology. USDOL provides computers to each state and jurisdiction along with reporting software and a proprietary network to use to transmit data to the computers at the USDOL National Office.</w:t>
      </w:r>
    </w:p>
    <w:p w:rsidR="006F25F4" w:rsidRPr="006A4637" w:rsidP="00690F56" w14:paraId="505068E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4EB41A5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C27A844" w14:textId="27005C3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is no duplication.</w:t>
      </w:r>
    </w:p>
    <w:p w:rsidR="006F25F4" w:rsidRPr="00A973AA" w:rsidP="00690F56" w14:paraId="439FB3D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1F2223" w:rsidRPr="00A47DA7" w:rsidP="00690F56" w14:paraId="3DB1EB3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D56A05A" w14:textId="27F9A1B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This collection does not impact small businesses.</w:t>
      </w:r>
    </w:p>
    <w:p w:rsidR="00B71A1C" w:rsidRPr="00A973AA" w:rsidP="00690F56" w14:paraId="5A35EFD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DA28D1" w:rsidP="00DA28D1" w14:paraId="34DD79A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A28D1" w:rsidRPr="001F2223" w:rsidP="00DA28D1" w14:paraId="2B4AE4A4" w14:textId="7D264DE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F2223">
        <w:rPr>
          <w:rFonts w:ascii="Times New Roman" w:hAnsi="Times New Roman"/>
        </w:rPr>
        <w:t>Several requirements in Section 306 of the SSA require frequent oversight to ensure states are in compliance with the statute.</w:t>
      </w:r>
      <w:r w:rsidR="00CC6C4F">
        <w:rPr>
          <w:rFonts w:ascii="Times New Roman" w:hAnsi="Times New Roman"/>
        </w:rPr>
        <w:t xml:space="preserve"> </w:t>
      </w:r>
      <w:r w:rsidRPr="001F2223">
        <w:rPr>
          <w:rFonts w:ascii="Times New Roman" w:hAnsi="Times New Roman"/>
        </w:rPr>
        <w:t xml:space="preserve">Specifically, Section 306(c)(1) provides that “a State shall use such funds [RESEA grant funds] only for interventions demonstrated to reduce the number of weeks for which program participants receive unemployment compensation” and Section 306(d)(1) requires “any intervention without a high or moderate causal evidence rating…be under evaluation at the time of use.” There are also separate funding restrictions associated with each of these requirements. </w:t>
      </w:r>
    </w:p>
    <w:p w:rsidR="00DA28D1" w:rsidRPr="001F2223" w:rsidP="00DA28D1" w14:paraId="73322D4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A28D1" w:rsidRPr="001F2223" w:rsidP="00DA28D1" w14:paraId="66FF3A54" w14:textId="6E64266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F2223">
        <w:rPr>
          <w:rFonts w:ascii="Times New Roman" w:hAnsi="Times New Roman"/>
        </w:rPr>
        <w:t>Due to resource limitations, the Department will need to rely on the state plans to ensure compliance with Federal requirements.</w:t>
      </w:r>
      <w:r w:rsidR="00CC6C4F">
        <w:rPr>
          <w:rFonts w:ascii="Times New Roman" w:hAnsi="Times New Roman"/>
        </w:rPr>
        <w:t xml:space="preserve"> </w:t>
      </w:r>
      <w:r w:rsidRPr="001F2223">
        <w:rPr>
          <w:rFonts w:ascii="Times New Roman" w:hAnsi="Times New Roman"/>
        </w:rPr>
        <w:t xml:space="preserve">Collecting state plans less frequently than annually would not allow for adequate and timely monitoring or targeting of technical assistance. </w:t>
      </w:r>
    </w:p>
    <w:p w:rsidR="00DA28D1" w:rsidRPr="001F2223" w:rsidP="00DA28D1" w14:paraId="686DA45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A28D1" w:rsidRPr="001F2223" w:rsidP="00DA28D1" w14:paraId="5147B404" w14:textId="1322BF6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F2223">
        <w:rPr>
          <w:rFonts w:ascii="Times New Roman" w:hAnsi="Times New Roman"/>
        </w:rPr>
        <w:t xml:space="preserve">Additionally, to support states in meeting the above requirements, the Department will maintain an inventory of evidence-based strategies and interventions that states may incorporate into their RESEA service-delivery design. The state plans will provide valuable information, including </w:t>
      </w:r>
      <w:r w:rsidRPr="001F2223">
        <w:rPr>
          <w:rFonts w:ascii="Times New Roman" w:hAnsi="Times New Roman"/>
        </w:rPr>
        <w:t xml:space="preserve">information about ongoing evaluations and participant data collected during the previous Fiscal year that will assist the Department in maintaining an inventory that reflects the most current information available.  </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E85F04" w:rsidP="00690F56" w14:paraId="11C38180" w14:textId="1E3242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53DEB">
        <w:rPr>
          <w:rFonts w:ascii="Times New Roman" w:hAnsi="Times New Roman"/>
          <w:b/>
          <w:bCs/>
        </w:rPr>
        <w:t>7.  Explain any special circumstances that would cause an information collection to be conducted in a manner</w:t>
      </w:r>
      <w:r w:rsidR="00E85F04">
        <w:rPr>
          <w:rFonts w:ascii="Times New Roman" w:hAnsi="Times New Roman"/>
          <w:b/>
          <w:bCs/>
        </w:rPr>
        <w:t xml:space="preserve"> inconsistent with the requirements of 5 CFR </w:t>
      </w:r>
      <w:r w:rsidRPr="00E85F04" w:rsidR="00E85F04">
        <w:rPr>
          <w:rFonts w:ascii="Times New Roman" w:hAnsi="Times New Roman"/>
          <w:b/>
          <w:bCs/>
        </w:rPr>
        <w:t>§ 1320.5(c)(2)(i) through (viii)</w:t>
      </w:r>
      <w:r w:rsidR="000E6851">
        <w:rPr>
          <w:rFonts w:ascii="Times New Roman" w:hAnsi="Times New Roman"/>
          <w:b/>
          <w:bCs/>
        </w:rPr>
        <w:t>:</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w:t>
      </w:r>
      <w:r w:rsidR="00D05EAB">
        <w:rPr>
          <w:b/>
          <w:bCs/>
        </w:rPr>
        <w:t>it</w:t>
      </w:r>
      <w:r w:rsidRPr="00D53DEB">
        <w:rPr>
          <w:b/>
          <w:bCs/>
        </w:rPr>
        <w:t>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14:paraId="186CBA80" w14:textId="54DDE45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This ICR </w:t>
      </w:r>
      <w:r w:rsidR="000E6851">
        <w:rPr>
          <w:rFonts w:ascii="Times New Roman" w:hAnsi="Times New Roman"/>
        </w:rPr>
        <w:t>implies</w:t>
      </w:r>
      <w:r>
        <w:rPr>
          <w:rFonts w:ascii="Times New Roman" w:hAnsi="Times New Roman"/>
        </w:rPr>
        <w:t xml:space="preserve"> no special circumstances.</w:t>
      </w:r>
    </w:p>
    <w:p w:rsidR="00FD2C8C" w:rsidRPr="00871CA6" w:rsidP="00690F56" w14:paraId="5725C6E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395C533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17870C8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3277D7" w:rsidP="00690F56" w14:paraId="1340451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E70F1" w:rsidP="003277D7" w14:paraId="45CE688E" w14:textId="4C3D9C3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73AD">
        <w:rPr>
          <w:rFonts w:ascii="Times New Roman" w:hAnsi="Times New Roman"/>
        </w:rPr>
        <w:t xml:space="preserve">In accordance with the Paperwork Reduction Act of 1995, the public was given an opportunity to review and comment through a notice in the </w:t>
      </w:r>
      <w:r w:rsidRPr="006673AD">
        <w:rPr>
          <w:rFonts w:ascii="Times New Roman" w:hAnsi="Times New Roman"/>
          <w:i/>
        </w:rPr>
        <w:t>Federal Register</w:t>
      </w:r>
      <w:r w:rsidRPr="006673AD">
        <w:rPr>
          <w:rFonts w:ascii="Times New Roman" w:hAnsi="Times New Roman"/>
        </w:rPr>
        <w:t xml:space="preserve"> on </w:t>
      </w:r>
      <w:r w:rsidR="00405957">
        <w:rPr>
          <w:rFonts w:ascii="Times New Roman" w:hAnsi="Times New Roman"/>
        </w:rPr>
        <w:t>May</w:t>
      </w:r>
      <w:r w:rsidRPr="006673AD">
        <w:rPr>
          <w:rFonts w:ascii="Times New Roman" w:hAnsi="Times New Roman"/>
        </w:rPr>
        <w:t xml:space="preserve"> </w:t>
      </w:r>
      <w:r w:rsidR="00405957">
        <w:rPr>
          <w:rFonts w:ascii="Times New Roman" w:hAnsi="Times New Roman"/>
        </w:rPr>
        <w:t>13</w:t>
      </w:r>
      <w:r w:rsidRPr="006673AD">
        <w:rPr>
          <w:rFonts w:ascii="Times New Roman" w:hAnsi="Times New Roman"/>
        </w:rPr>
        <w:t>, 2025 (</w:t>
      </w:r>
      <w:r w:rsidR="00405957">
        <w:rPr>
          <w:rFonts w:ascii="Times New Roman" w:hAnsi="Times New Roman"/>
        </w:rPr>
        <w:t>90</w:t>
      </w:r>
      <w:r w:rsidRPr="006673AD">
        <w:rPr>
          <w:rFonts w:ascii="Times New Roman" w:hAnsi="Times New Roman"/>
        </w:rPr>
        <w:t xml:space="preserve"> FR </w:t>
      </w:r>
      <w:r w:rsidR="00405957">
        <w:rPr>
          <w:rFonts w:ascii="Times New Roman" w:hAnsi="Times New Roman"/>
        </w:rPr>
        <w:t>20316</w:t>
      </w:r>
      <w:r w:rsidRPr="006673AD">
        <w:rPr>
          <w:rFonts w:ascii="Times New Roman" w:hAnsi="Times New Roman"/>
        </w:rPr>
        <w:t xml:space="preserve">). </w:t>
      </w:r>
      <w:r>
        <w:rPr>
          <w:rFonts w:ascii="Times New Roman" w:hAnsi="Times New Roman"/>
        </w:rPr>
        <w:t>All substantial</w:t>
      </w:r>
      <w:r w:rsidR="00405957">
        <w:rPr>
          <w:rFonts w:ascii="Times New Roman" w:hAnsi="Times New Roman"/>
        </w:rPr>
        <w:t xml:space="preserve"> comment</w:t>
      </w:r>
      <w:r>
        <w:rPr>
          <w:rFonts w:ascii="Times New Roman" w:hAnsi="Times New Roman"/>
        </w:rPr>
        <w:t>s</w:t>
      </w:r>
      <w:r w:rsidR="00405957">
        <w:rPr>
          <w:rFonts w:ascii="Times New Roman" w:hAnsi="Times New Roman"/>
        </w:rPr>
        <w:t xml:space="preserve"> </w:t>
      </w:r>
      <w:r>
        <w:rPr>
          <w:rFonts w:ascii="Times New Roman" w:hAnsi="Times New Roman"/>
        </w:rPr>
        <w:t>were</w:t>
      </w:r>
      <w:r w:rsidR="00405957">
        <w:rPr>
          <w:rFonts w:ascii="Times New Roman" w:hAnsi="Times New Roman"/>
        </w:rPr>
        <w:t xml:space="preserve"> received</w:t>
      </w:r>
      <w:r>
        <w:rPr>
          <w:rFonts w:ascii="Times New Roman" w:hAnsi="Times New Roman"/>
        </w:rPr>
        <w:t xml:space="preserve"> in a single response from an individual that works in evidentiary evaluation services</w:t>
      </w:r>
      <w:r w:rsidR="00405957">
        <w:rPr>
          <w:rFonts w:ascii="Times New Roman" w:hAnsi="Times New Roman"/>
        </w:rPr>
        <w:t xml:space="preserve">. </w:t>
      </w:r>
    </w:p>
    <w:p w:rsidR="00E85F04" w:rsidP="003277D7" w14:paraId="3B134F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85F04" w:rsidRPr="00836284" w:rsidP="00E85F04" w14:paraId="2A0931AB" w14:textId="2BB7186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i/>
          <w:iCs/>
        </w:rPr>
      </w:pPr>
      <w:r w:rsidRPr="00836284">
        <w:rPr>
          <w:rFonts w:ascii="Times New Roman" w:hAnsi="Times New Roman"/>
          <w:i/>
          <w:iCs/>
        </w:rPr>
        <w:t>“I would like to respectfully suggest some revisions to the current data collection structure for RESEA state plans.</w:t>
      </w:r>
    </w:p>
    <w:p w:rsidR="00E85F04" w:rsidRPr="00E85F04" w:rsidP="00E85F04" w14:paraId="3DC32B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iCs/>
        </w:rPr>
      </w:pPr>
    </w:p>
    <w:p w:rsidR="00E85F04" w:rsidRPr="00E85F04" w:rsidP="00E85F04" w14:paraId="03644CA3" w14:textId="1ED55C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i/>
          <w:iCs/>
        </w:rPr>
      </w:pPr>
      <w:r w:rsidRPr="00E85F04">
        <w:rPr>
          <w:rFonts w:ascii="Times New Roman" w:hAnsi="Times New Roman"/>
          <w:i/>
          <w:iCs/>
        </w:rPr>
        <w:t xml:space="preserve">The first is to consolidate the intervention-specific reporting requirements currently found in Elements 9, 10, and 22 of the RESEA State Plan template. These elements each require states to provide detailed descriptions of RESEA activities in a table format, but can result in repetitive and sometimes conflicting information. In particular, 22c requests information by RESEA intervention while elements 9a, 10a, and 22i request information at the activity level (with several activities per intervention, potentially). By combining these elements into a single table that captures all necessary activity-specific data, the Department could reduce the time and effort required for states to complete the plan, minimize the risk of inconsistencies across elements, and improve the clarity of submitted plans. </w:t>
      </w:r>
    </w:p>
    <w:p w:rsidR="00E85F04" w:rsidRPr="00E85F04" w:rsidP="00E85F04" w14:paraId="39DCAA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iCs/>
        </w:rPr>
      </w:pPr>
    </w:p>
    <w:p w:rsidR="00E85F04" w:rsidRPr="00E85F04" w:rsidP="00E85F04" w14:paraId="617C83C9" w14:textId="2D1A39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i/>
          <w:iCs/>
        </w:rPr>
      </w:pPr>
      <w:r w:rsidRPr="00E85F04">
        <w:rPr>
          <w:rFonts w:ascii="Times New Roman" w:hAnsi="Times New Roman"/>
          <w:i/>
          <w:iCs/>
        </w:rPr>
        <w:t>The second is to modify the response options in element 22e of the state plan to remove the part that says “If ‘Not Applicable’ please advance to 22g”. This way, states that are conducting whole-program RESEA evaluations or participating in RESEA evidence building efforts will still be directed to describe their efforts in 22f (instead of advancing to 22g). This will help the Department gain a clearer understanding of the full scope of state’s plans to use grant funds to support evidence building.</w:t>
      </w:r>
      <w:r w:rsidRPr="00836284">
        <w:rPr>
          <w:rFonts w:ascii="Times New Roman" w:hAnsi="Times New Roman"/>
          <w:i/>
          <w:iCs/>
        </w:rPr>
        <w:t>”</w:t>
      </w:r>
    </w:p>
    <w:p w:rsidR="00E85F04" w:rsidP="003277D7" w14:paraId="6EF0DE97" w14:textId="00D89F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85F04" w:rsidP="003277D7" w14:paraId="0FB6B2E9" w14:textId="2A303F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comment suggested that the State Plan revise a series of elements in order to consolidate and reduce duplication of the data collection within the state plan. Additionally, the comment suggested modifying </w:t>
      </w:r>
      <w:r w:rsidR="00AD239A">
        <w:rPr>
          <w:rFonts w:ascii="Times New Roman" w:hAnsi="Times New Roman"/>
        </w:rPr>
        <w:t xml:space="preserve">response options to certain elements to reduce confusion by the applicant. </w:t>
      </w:r>
      <w:r>
        <w:rPr>
          <w:rFonts w:ascii="Times New Roman" w:hAnsi="Times New Roman"/>
        </w:rPr>
        <w:t xml:space="preserve">The state plan template was revised by removing the </w:t>
      </w:r>
      <w:r w:rsidR="00AD239A">
        <w:rPr>
          <w:rFonts w:ascii="Times New Roman" w:hAnsi="Times New Roman"/>
        </w:rPr>
        <w:t xml:space="preserve">redundant charts </w:t>
      </w:r>
      <w:r>
        <w:rPr>
          <w:rFonts w:ascii="Times New Roman" w:hAnsi="Times New Roman"/>
        </w:rPr>
        <w:t xml:space="preserve">as well as combining </w:t>
      </w:r>
      <w:r w:rsidR="00AD239A">
        <w:rPr>
          <w:rFonts w:ascii="Times New Roman" w:hAnsi="Times New Roman"/>
        </w:rPr>
        <w:t>two charts</w:t>
      </w:r>
      <w:r>
        <w:rPr>
          <w:rFonts w:ascii="Times New Roman" w:hAnsi="Times New Roman"/>
        </w:rPr>
        <w:t xml:space="preserve"> into one </w:t>
      </w:r>
      <w:r w:rsidR="00AD239A">
        <w:rPr>
          <w:rFonts w:ascii="Times New Roman" w:hAnsi="Times New Roman"/>
        </w:rPr>
        <w:t>table</w:t>
      </w:r>
      <w:r>
        <w:rPr>
          <w:rFonts w:ascii="Times New Roman" w:hAnsi="Times New Roman"/>
        </w:rPr>
        <w:t xml:space="preserve">. The new </w:t>
      </w:r>
      <w:r w:rsidR="00AD239A">
        <w:rPr>
          <w:rFonts w:ascii="Times New Roman" w:hAnsi="Times New Roman"/>
        </w:rPr>
        <w:t>table</w:t>
      </w:r>
      <w:r>
        <w:rPr>
          <w:rFonts w:ascii="Times New Roman" w:hAnsi="Times New Roman"/>
        </w:rPr>
        <w:t xml:space="preserve"> captures all the necessary activity-specific data needed to demonstrate the state plan is compliant with the regulations.</w:t>
      </w:r>
      <w:r w:rsidR="00AD239A">
        <w:rPr>
          <w:rFonts w:ascii="Times New Roman" w:hAnsi="Times New Roman"/>
        </w:rPr>
        <w:t xml:space="preserve"> And the new language added is to clarify the required information to reduce confusion for the state applicants.</w:t>
      </w:r>
    </w:p>
    <w:p w:rsidR="006E70F1" w:rsidP="003277D7" w14:paraId="369DAFD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Style w:val="TableGrid"/>
        <w:tblW w:w="0" w:type="auto"/>
        <w:tblLook w:val="04A0"/>
      </w:tblPr>
      <w:tblGrid>
        <w:gridCol w:w="2694"/>
        <w:gridCol w:w="3419"/>
        <w:gridCol w:w="3237"/>
      </w:tblGrid>
      <w:tr w14:paraId="061E58DA" w14:textId="77777777" w:rsidTr="006C72F9">
        <w:tblPrEx>
          <w:tblW w:w="0" w:type="auto"/>
          <w:tblLook w:val="04A0"/>
        </w:tblPrEx>
        <w:tc>
          <w:tcPr>
            <w:tcW w:w="2694" w:type="dxa"/>
            <w:shd w:val="clear" w:color="auto" w:fill="C5E0B3" w:themeFill="accent6" w:themeFillTint="66"/>
          </w:tcPr>
          <w:p w:rsidR="006E70F1" w:rsidRPr="006E70F1" w:rsidP="00574FD6" w14:paraId="167BD34A" w14:textId="77777777">
            <w:pPr>
              <w:pStyle w:val="NormalWeb"/>
              <w:spacing w:before="0" w:beforeAutospacing="0" w:after="0" w:afterAutospacing="0" w:line="276" w:lineRule="auto"/>
              <w:jc w:val="center"/>
              <w:rPr>
                <w:rFonts w:eastAsia="Times New Roman" w:cs="Times New Roman"/>
              </w:rPr>
            </w:pPr>
            <w:r w:rsidRPr="006E70F1">
              <w:rPr>
                <w:rFonts w:eastAsia="Times New Roman" w:cs="Times New Roman"/>
              </w:rPr>
              <w:t xml:space="preserve">Proposed Data Collection Requirement </w:t>
            </w:r>
          </w:p>
        </w:tc>
        <w:tc>
          <w:tcPr>
            <w:tcW w:w="3419" w:type="dxa"/>
            <w:shd w:val="clear" w:color="auto" w:fill="C5E0B3" w:themeFill="accent6" w:themeFillTint="66"/>
          </w:tcPr>
          <w:p w:rsidR="006E70F1" w:rsidRPr="006E70F1" w:rsidP="00574FD6" w14:paraId="27658E52" w14:textId="77777777">
            <w:pPr>
              <w:pStyle w:val="NormalWeb"/>
              <w:spacing w:before="0" w:beforeAutospacing="0" w:after="0" w:afterAutospacing="0" w:line="276" w:lineRule="auto"/>
              <w:jc w:val="center"/>
              <w:rPr>
                <w:rFonts w:eastAsia="Times New Roman" w:cs="Times New Roman"/>
              </w:rPr>
            </w:pPr>
            <w:r w:rsidRPr="006E70F1">
              <w:rPr>
                <w:rFonts w:eastAsia="Times New Roman" w:cs="Times New Roman"/>
              </w:rPr>
              <w:t>Comment</w:t>
            </w:r>
          </w:p>
        </w:tc>
        <w:tc>
          <w:tcPr>
            <w:tcW w:w="3237" w:type="dxa"/>
            <w:shd w:val="clear" w:color="auto" w:fill="C5E0B3" w:themeFill="accent6" w:themeFillTint="66"/>
          </w:tcPr>
          <w:p w:rsidR="006E70F1" w:rsidRPr="006E70F1" w:rsidP="00574FD6" w14:paraId="7E11A61B" w14:textId="77777777">
            <w:pPr>
              <w:pStyle w:val="NormalWeb"/>
              <w:spacing w:before="0" w:beforeAutospacing="0" w:after="0" w:afterAutospacing="0" w:line="276" w:lineRule="auto"/>
              <w:jc w:val="center"/>
              <w:rPr>
                <w:rFonts w:eastAsia="Times New Roman" w:cs="Times New Roman"/>
              </w:rPr>
            </w:pPr>
            <w:r w:rsidRPr="006E70F1">
              <w:rPr>
                <w:rFonts w:eastAsia="Times New Roman" w:cs="Times New Roman"/>
              </w:rPr>
              <w:t>Response</w:t>
            </w:r>
          </w:p>
        </w:tc>
      </w:tr>
      <w:tr w14:paraId="7CC815A1" w14:textId="77777777" w:rsidTr="00DA2A58">
        <w:tblPrEx>
          <w:tblW w:w="0" w:type="auto"/>
          <w:tblLook w:val="04A0"/>
        </w:tblPrEx>
        <w:tc>
          <w:tcPr>
            <w:tcW w:w="2694" w:type="dxa"/>
          </w:tcPr>
          <w:p w:rsidR="00FC1129" w:rsidRPr="006E70F1" w:rsidP="006C72F9" w14:paraId="161876DD" w14:textId="3EFF880B">
            <w:pPr>
              <w:rPr>
                <w:rFonts w:eastAsia="Times New Roman" w:cs="Times New Roman"/>
              </w:rPr>
            </w:pPr>
            <w:r w:rsidRPr="006C72F9">
              <w:rPr>
                <w:rFonts w:ascii="Times New Roman" w:eastAsia="Times New Roman" w:hAnsi="Times New Roman" w:cs="Times New Roman"/>
              </w:rPr>
              <w:t>Assurances and a description of how the state’s program will satisfy the requirement to use evidence-based standards including: a description of the evidence-based interventions the State plans to use to speed reemployment; an explanation of how such interventions are appropriate to the population served; and, if applicable, a description of the evaluation structure the state plans to use for interventions that do not meet evidence-based standards; and</w:t>
            </w:r>
          </w:p>
        </w:tc>
        <w:tc>
          <w:tcPr>
            <w:tcW w:w="3419" w:type="dxa"/>
          </w:tcPr>
          <w:p w:rsidR="00FC1129" w:rsidRPr="006E70F1" w:rsidP="006C72F9" w14:paraId="2838B9B4" w14:textId="14A18B34">
            <w:pPr>
              <w:pStyle w:val="NormalWeb"/>
              <w:spacing w:before="0" w:beforeAutospacing="0" w:after="0" w:afterAutospacing="0" w:line="276" w:lineRule="auto"/>
              <w:ind w:firstLine="0"/>
              <w:rPr>
                <w:rFonts w:eastAsia="Times New Roman" w:cs="Times New Roman"/>
              </w:rPr>
            </w:pPr>
            <w:r w:rsidRPr="00CB6CE7">
              <w:t>The Information Collection Request (ICR) is necessary and would provide useful information as to how verbiage and method of delivery impact program outcomes. This ICR does not impose an undue burden on the grantees.</w:t>
            </w:r>
          </w:p>
          <w:p w:rsidR="00FC1129" w:rsidRPr="006E70F1" w:rsidP="00574FD6" w14:paraId="233903F6" w14:textId="77777777">
            <w:pPr>
              <w:pStyle w:val="NormalWeb"/>
              <w:spacing w:before="0" w:beforeAutospacing="0" w:after="0" w:afterAutospacing="0" w:line="276" w:lineRule="auto"/>
              <w:rPr>
                <w:rFonts w:eastAsia="Times New Roman" w:cs="Times New Roman"/>
              </w:rPr>
            </w:pPr>
          </w:p>
          <w:p w:rsidR="00FC1129" w:rsidRPr="006E70F1" w:rsidP="00574FD6" w14:paraId="5D59B87A" w14:textId="77777777">
            <w:pPr>
              <w:rPr>
                <w:rFonts w:ascii="Times New Roman" w:eastAsia="Times New Roman" w:hAnsi="Times New Roman" w:cs="Times New Roman"/>
              </w:rPr>
            </w:pPr>
          </w:p>
          <w:p w:rsidR="00FC1129" w:rsidRPr="006E70F1" w:rsidP="00574FD6" w14:paraId="26CBE46C" w14:textId="5C78617E">
            <w:pPr>
              <w:pStyle w:val="NormalWeb"/>
              <w:spacing w:before="0" w:after="0" w:line="276" w:lineRule="auto"/>
              <w:rPr>
                <w:rFonts w:eastAsia="Times New Roman" w:cs="Times New Roman"/>
              </w:rPr>
            </w:pPr>
          </w:p>
        </w:tc>
        <w:tc>
          <w:tcPr>
            <w:tcW w:w="3237" w:type="dxa"/>
          </w:tcPr>
          <w:p w:rsidR="00FC1129" w:rsidRPr="006E70F1" w:rsidP="00FC1129" w14:paraId="5EBC66FE" w14:textId="5F59C176">
            <w:pPr>
              <w:pStyle w:val="NormalWeb"/>
              <w:spacing w:before="0" w:beforeAutospacing="0" w:after="0" w:afterAutospacing="0" w:line="276" w:lineRule="auto"/>
              <w:ind w:firstLine="0"/>
              <w:rPr>
                <w:rFonts w:eastAsia="Times New Roman" w:cs="Times New Roman"/>
              </w:rPr>
            </w:pPr>
            <w:r>
              <w:rPr>
                <w:rFonts w:eastAsia="Times New Roman" w:cs="Times New Roman"/>
              </w:rPr>
              <w:t>T</w:t>
            </w:r>
            <w:r w:rsidRPr="006E70F1">
              <w:rPr>
                <w:rFonts w:eastAsia="Times New Roman" w:cs="Times New Roman"/>
              </w:rPr>
              <w:t xml:space="preserve">he President Bipartisan Budget Act of 2018, Public Law 115-123 (BBA), which included amendments to the Social Security Act (SSA) that create a permanent authorization for the RESEA program. The RESEA provisions are contained in Section 30206 of the BBA, enacting new Section 306 of the SSA. </w:t>
            </w:r>
            <w:r>
              <w:rPr>
                <w:rFonts w:eastAsia="Times New Roman" w:cs="Times New Roman"/>
              </w:rPr>
              <w:t xml:space="preserve">The evaluation </w:t>
            </w:r>
            <w:r w:rsidRPr="006E70F1">
              <w:rPr>
                <w:rFonts w:eastAsia="Times New Roman" w:cs="Times New Roman"/>
              </w:rPr>
              <w:t>reporting element is statutorily required and taken verbatim from Section 306(e)(1)(c), SSA.</w:t>
            </w:r>
            <w:r w:rsidR="00FC3698">
              <w:rPr>
                <w:rFonts w:eastAsia="Times New Roman" w:cs="Times New Roman"/>
              </w:rPr>
              <w:t xml:space="preserve"> </w:t>
            </w:r>
            <w:r>
              <w:rPr>
                <w:rFonts w:eastAsia="Times New Roman" w:cs="Times New Roman"/>
              </w:rPr>
              <w:t xml:space="preserve">Such that data provided to fulfill this requirement is to be sourced from routine RESEA reports (ETA 9128 and ETA 9129), WIOA data, or any evaluations that were conducted during the previous </w:t>
            </w:r>
            <w:r w:rsidRPr="006E70F1">
              <w:rPr>
                <w:rFonts w:eastAsia="Times New Roman" w:cs="Times New Roman"/>
              </w:rPr>
              <w:t>Fiscal Year and does not require a separate, independent, and potential duplicative data collection.</w:t>
            </w:r>
          </w:p>
        </w:tc>
      </w:tr>
    </w:tbl>
    <w:p w:rsidR="006E70F1" w:rsidRPr="006673AD" w:rsidP="003277D7" w14:paraId="6C198B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E4F81" w:rsidP="00690F56" w14:paraId="6D6DBDB7" w14:textId="049346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E4F81" w:rsidP="00BE4F81" w14:paraId="1ED01525" w14:textId="00AF072B">
      <w:pPr>
        <w:widowControl/>
        <w:tabs>
          <w:tab w:val="left" w:pos="-1440"/>
        </w:tabs>
        <w:rPr>
          <w:rFonts w:ascii="Times New Roman" w:hAnsi="Times New Roman"/>
          <w:color w:val="000000"/>
        </w:rPr>
      </w:pPr>
      <w:r>
        <w:rPr>
          <w:rFonts w:ascii="Times New Roman" w:hAnsi="Times New Roman"/>
          <w:color w:val="000000"/>
        </w:rPr>
        <w:t>US DOL National Office</w:t>
      </w:r>
      <w:r w:rsidRPr="008A17E2">
        <w:rPr>
          <w:rFonts w:ascii="Times New Roman" w:hAnsi="Times New Roman"/>
          <w:color w:val="000000"/>
        </w:rPr>
        <w:t xml:space="preserve"> consulted with three internal and external representatives to the agency involved in requesting </w:t>
      </w:r>
      <w:r>
        <w:rPr>
          <w:rFonts w:ascii="Times New Roman" w:hAnsi="Times New Roman"/>
          <w:color w:val="000000"/>
        </w:rPr>
        <w:t>review of the OMB RESEA State Plan Form</w:t>
      </w:r>
      <w:r w:rsidRPr="008A17E2">
        <w:rPr>
          <w:rFonts w:ascii="Times New Roman" w:hAnsi="Times New Roman"/>
          <w:color w:val="000000"/>
        </w:rPr>
        <w:t xml:space="preserve">. The consultation asked </w:t>
      </w:r>
      <w:r>
        <w:rPr>
          <w:rFonts w:ascii="Times New Roman" w:hAnsi="Times New Roman"/>
          <w:color w:val="000000"/>
        </w:rPr>
        <w:t xml:space="preserve">US DOL </w:t>
      </w:r>
      <w:r w:rsidRPr="008A17E2">
        <w:rPr>
          <w:rFonts w:ascii="Times New Roman" w:hAnsi="Times New Roman"/>
          <w:color w:val="000000"/>
        </w:rPr>
        <w:t xml:space="preserve">contacts for their feedback </w:t>
      </w:r>
      <w:r w:rsidR="00A44F5A">
        <w:rPr>
          <w:rFonts w:ascii="Times New Roman" w:hAnsi="Times New Roman"/>
          <w:color w:val="000000"/>
        </w:rPr>
        <w:t>to reduce</w:t>
      </w:r>
      <w:r w:rsidRPr="008A17E2">
        <w:rPr>
          <w:rFonts w:ascii="Times New Roman" w:hAnsi="Times New Roman"/>
          <w:color w:val="000000"/>
        </w:rPr>
        <w:t xml:space="preserve"> burden estimates for information collection activities associated with requesting a</w:t>
      </w:r>
      <w:r>
        <w:rPr>
          <w:rFonts w:ascii="Times New Roman" w:hAnsi="Times New Roman"/>
          <w:color w:val="000000"/>
        </w:rPr>
        <w:t>n element of OMB RESEA State Plan Form</w:t>
      </w:r>
      <w:r w:rsidRPr="008A17E2">
        <w:rPr>
          <w:rFonts w:ascii="Times New Roman" w:hAnsi="Times New Roman"/>
          <w:color w:val="000000"/>
        </w:rPr>
        <w:t xml:space="preserve">. None of the three representatives had any changes or comments on the estimated burden, so </w:t>
      </w:r>
      <w:r>
        <w:rPr>
          <w:rFonts w:ascii="Times New Roman" w:hAnsi="Times New Roman"/>
          <w:color w:val="000000"/>
        </w:rPr>
        <w:t>US DOL</w:t>
      </w:r>
      <w:r w:rsidRPr="008A17E2">
        <w:rPr>
          <w:rFonts w:ascii="Times New Roman" w:hAnsi="Times New Roman"/>
          <w:color w:val="000000"/>
        </w:rPr>
        <w:t xml:space="preserve"> is proceeding with the initial estimates published in the 60-day notice. The individuals/organizations consulted about the information collection are listed in the table below.</w:t>
      </w:r>
    </w:p>
    <w:p w:rsidR="00BE4F81" w:rsidP="00BE4F81" w14:paraId="7266FEE7" w14:textId="746DE68B">
      <w:pPr>
        <w:widowControl/>
        <w:tabs>
          <w:tab w:val="left" w:pos="-1440"/>
        </w:tabs>
        <w:rPr>
          <w:rFonts w:ascii="Times New Roman" w:hAnsi="Times New Roman"/>
          <w:color w:val="000000"/>
        </w:rPr>
      </w:pPr>
    </w:p>
    <w:tbl>
      <w:tblPr>
        <w:tblW w:w="7351" w:type="dxa"/>
        <w:jc w:val="center"/>
        <w:tblCellMar>
          <w:left w:w="0" w:type="dxa"/>
          <w:right w:w="0" w:type="dxa"/>
        </w:tblCellMar>
        <w:tblLook w:val="04A0"/>
      </w:tblPr>
      <w:tblGrid>
        <w:gridCol w:w="1861"/>
        <w:gridCol w:w="2544"/>
        <w:gridCol w:w="2946"/>
      </w:tblGrid>
      <w:tr w14:paraId="488060B0" w14:textId="77777777" w:rsidTr="00364C38">
        <w:tblPrEx>
          <w:tblW w:w="7351"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364C38" w14:paraId="3EAA5F6A" w14:textId="77777777">
            <w:pPr>
              <w:ind w:left="-20"/>
              <w:jc w:val="center"/>
              <w:rPr>
                <w:rFonts w:ascii="Times New Roman" w:hAnsi="Times New Roman"/>
                <w:b/>
                <w:bCs/>
                <w:color w:val="000000"/>
                <w:sz w:val="20"/>
                <w:szCs w:val="20"/>
              </w:rPr>
            </w:pPr>
            <w:r>
              <w:rPr>
                <w:rFonts w:ascii="Times New Roman" w:hAnsi="Times New Roman"/>
                <w:b/>
                <w:bCs/>
                <w:color w:val="000000"/>
                <w:sz w:val="20"/>
                <w:szCs w:val="20"/>
              </w:rPr>
              <w:t>Contact</w:t>
            </w:r>
          </w:p>
        </w:tc>
        <w:tc>
          <w:tcPr>
            <w:tcW w:w="254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364C38" w14:paraId="291B2DBE" w14:textId="77777777">
            <w:pPr>
              <w:jc w:val="center"/>
              <w:rPr>
                <w:rFonts w:ascii="Times New Roman" w:hAnsi="Times New Roman"/>
                <w:b/>
                <w:bCs/>
                <w:color w:val="000000"/>
                <w:sz w:val="20"/>
                <w:szCs w:val="20"/>
              </w:rPr>
            </w:pPr>
            <w:r>
              <w:rPr>
                <w:rFonts w:ascii="Times New Roman" w:hAnsi="Times New Roman"/>
                <w:b/>
                <w:bCs/>
                <w:color w:val="000000"/>
                <w:sz w:val="20"/>
                <w:szCs w:val="20"/>
              </w:rPr>
              <w:t>Organization</w:t>
            </w:r>
          </w:p>
        </w:tc>
        <w:tc>
          <w:tcPr>
            <w:tcW w:w="294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364C38" w14:paraId="12B68966" w14:textId="77777777">
            <w:pPr>
              <w:jc w:val="center"/>
              <w:rPr>
                <w:rFonts w:ascii="Times New Roman" w:hAnsi="Times New Roman"/>
                <w:b/>
                <w:bCs/>
                <w:color w:val="000000"/>
                <w:sz w:val="20"/>
                <w:szCs w:val="20"/>
              </w:rPr>
            </w:pPr>
            <w:r>
              <w:rPr>
                <w:rFonts w:ascii="Times New Roman" w:hAnsi="Times New Roman"/>
                <w:b/>
                <w:bCs/>
                <w:color w:val="000000"/>
                <w:sz w:val="20"/>
                <w:szCs w:val="20"/>
              </w:rPr>
              <w:t>Email</w:t>
            </w:r>
          </w:p>
        </w:tc>
      </w:tr>
      <w:tr w14:paraId="3DF6C0BD" w14:textId="77777777" w:rsidTr="00364C38">
        <w:tblPrEx>
          <w:tblW w:w="7351"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64C38" w14:paraId="000A21B9" w14:textId="28D5BB15">
            <w:pPr>
              <w:rPr>
                <w:rFonts w:ascii="Times New Roman" w:hAnsi="Times New Roman"/>
                <w:sz w:val="20"/>
                <w:szCs w:val="20"/>
              </w:rPr>
            </w:pPr>
            <w:r>
              <w:rPr>
                <w:rFonts w:ascii="Times New Roman" w:hAnsi="Times New Roman"/>
                <w:sz w:val="20"/>
                <w:szCs w:val="20"/>
              </w:rPr>
              <w:t>Marisol Lopez</w:t>
            </w:r>
          </w:p>
        </w:tc>
        <w:tc>
          <w:tcPr>
            <w:tcW w:w="2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64C38" w14:paraId="1FBC6B42" w14:textId="17CC821B">
            <w:pPr>
              <w:rPr>
                <w:rFonts w:ascii="Times New Roman" w:hAnsi="Times New Roman"/>
                <w:sz w:val="20"/>
                <w:szCs w:val="20"/>
              </w:rPr>
            </w:pPr>
            <w:r>
              <w:rPr>
                <w:rFonts w:ascii="Times New Roman" w:hAnsi="Times New Roman"/>
                <w:sz w:val="20"/>
                <w:szCs w:val="20"/>
              </w:rPr>
              <w:t>US DOL Region 1</w:t>
            </w:r>
          </w:p>
        </w:tc>
        <w:tc>
          <w:tcPr>
            <w:tcW w:w="2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64C38" w14:paraId="1A6B8D89" w14:textId="05FFDBE6">
            <w:pPr>
              <w:rPr>
                <w:rFonts w:ascii="Times New Roman" w:hAnsi="Times New Roman"/>
                <w:sz w:val="20"/>
                <w:szCs w:val="20"/>
              </w:rPr>
            </w:pPr>
            <w:r w:rsidRPr="00836284">
              <w:rPr>
                <w:rFonts w:ascii="Times New Roman" w:hAnsi="Times New Roman"/>
                <w:sz w:val="20"/>
                <w:szCs w:val="20"/>
              </w:rPr>
              <w:t>Lopez.Marisol@dol.gov</w:t>
            </w:r>
          </w:p>
        </w:tc>
      </w:tr>
      <w:tr w14:paraId="4025CEB6" w14:textId="77777777" w:rsidTr="00364C38">
        <w:tblPrEx>
          <w:tblW w:w="7351"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64C38" w:rsidP="00A44F5A" w14:paraId="0D5C8B60" w14:textId="190C02A0">
            <w:pPr>
              <w:rPr>
                <w:rFonts w:ascii="Times New Roman" w:hAnsi="Times New Roman"/>
                <w:sz w:val="20"/>
                <w:szCs w:val="20"/>
              </w:rPr>
            </w:pPr>
            <w:r>
              <w:rPr>
                <w:rFonts w:ascii="Times New Roman" w:hAnsi="Times New Roman"/>
                <w:sz w:val="20"/>
                <w:szCs w:val="20"/>
              </w:rPr>
              <w:t>Megan Lizik</w:t>
            </w:r>
          </w:p>
        </w:tc>
        <w:tc>
          <w:tcPr>
            <w:tcW w:w="2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64C38" w:rsidP="00A44F5A" w14:paraId="325BA443" w14:textId="7CCD7130">
            <w:pPr>
              <w:rPr>
                <w:rFonts w:ascii="Times New Roman" w:hAnsi="Times New Roman"/>
                <w:sz w:val="20"/>
                <w:szCs w:val="20"/>
              </w:rPr>
            </w:pPr>
            <w:r>
              <w:rPr>
                <w:rFonts w:ascii="Times New Roman" w:hAnsi="Times New Roman"/>
                <w:sz w:val="20"/>
                <w:szCs w:val="20"/>
              </w:rPr>
              <w:t>US DOL ASP</w:t>
            </w:r>
          </w:p>
        </w:tc>
        <w:tc>
          <w:tcPr>
            <w:tcW w:w="2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64C38" w:rsidRPr="00836284" w:rsidP="00A44F5A" w14:paraId="00B975A3" w14:textId="707C4010">
            <w:pPr>
              <w:rPr>
                <w:rFonts w:ascii="Times New Roman" w:hAnsi="Times New Roman"/>
                <w:sz w:val="20"/>
                <w:szCs w:val="20"/>
              </w:rPr>
            </w:pPr>
            <w:r w:rsidRPr="00A44F5A">
              <w:rPr>
                <w:rFonts w:ascii="Times New Roman" w:hAnsi="Times New Roman"/>
                <w:sz w:val="20"/>
                <w:szCs w:val="20"/>
              </w:rPr>
              <w:t>lizik.megan@dol.gov</w:t>
            </w:r>
          </w:p>
        </w:tc>
      </w:tr>
      <w:tr w14:paraId="0A1E45C3" w14:textId="77777777" w:rsidTr="00364C38">
        <w:tblPrEx>
          <w:tblW w:w="7351"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64C38" w:rsidP="00A44F5A" w14:paraId="66FA1545" w14:textId="11E413F4">
            <w:pPr>
              <w:rPr>
                <w:rFonts w:ascii="Times New Roman" w:hAnsi="Times New Roman"/>
                <w:sz w:val="20"/>
                <w:szCs w:val="20"/>
              </w:rPr>
            </w:pPr>
            <w:r w:rsidRPr="00A44F5A">
              <w:rPr>
                <w:rFonts w:ascii="Times New Roman" w:hAnsi="Times New Roman"/>
                <w:sz w:val="20"/>
                <w:szCs w:val="20"/>
              </w:rPr>
              <w:t>Neil Ridley</w:t>
            </w:r>
          </w:p>
        </w:tc>
        <w:tc>
          <w:tcPr>
            <w:tcW w:w="2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64C38" w:rsidP="00A44F5A" w14:paraId="230ED80D" w14:textId="75DE41F7">
            <w:pPr>
              <w:rPr>
                <w:rFonts w:ascii="Times New Roman" w:hAnsi="Times New Roman"/>
                <w:sz w:val="20"/>
                <w:szCs w:val="20"/>
              </w:rPr>
            </w:pPr>
            <w:r w:rsidRPr="00A44F5A">
              <w:rPr>
                <w:rFonts w:ascii="Times New Roman" w:hAnsi="Times New Roman"/>
                <w:sz w:val="20"/>
                <w:szCs w:val="20"/>
              </w:rPr>
              <w:t>US DOL ASP</w:t>
            </w:r>
          </w:p>
        </w:tc>
        <w:tc>
          <w:tcPr>
            <w:tcW w:w="2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64C38" w:rsidRPr="00A44F5A" w:rsidP="00A44F5A" w14:paraId="0B83385A" w14:textId="6A95A820">
            <w:pPr>
              <w:rPr>
                <w:rFonts w:ascii="Times New Roman" w:hAnsi="Times New Roman"/>
                <w:sz w:val="20"/>
                <w:szCs w:val="20"/>
              </w:rPr>
            </w:pPr>
            <w:r w:rsidRPr="00A44F5A">
              <w:rPr>
                <w:rFonts w:ascii="Times New Roman" w:hAnsi="Times New Roman"/>
                <w:sz w:val="20"/>
                <w:szCs w:val="20"/>
              </w:rPr>
              <w:t>Ridley.Neil.P@dol.gov</w:t>
            </w:r>
          </w:p>
        </w:tc>
      </w:tr>
      <w:tr w14:paraId="4BEB5959" w14:textId="77777777" w:rsidTr="00364C38">
        <w:tblPrEx>
          <w:tblW w:w="7351"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64C38" w:rsidRPr="00A44F5A" w:rsidP="00A44F5A" w14:paraId="3E4CF26B" w14:textId="45E12CD0">
            <w:pPr>
              <w:rPr>
                <w:rFonts w:ascii="Times New Roman" w:hAnsi="Times New Roman"/>
                <w:sz w:val="20"/>
                <w:szCs w:val="20"/>
              </w:rPr>
            </w:pPr>
            <w:r w:rsidRPr="00A44F5A">
              <w:rPr>
                <w:rFonts w:ascii="Times New Roman" w:hAnsi="Times New Roman"/>
                <w:sz w:val="20"/>
                <w:szCs w:val="20"/>
              </w:rPr>
              <w:t>Leela Hebbar</w:t>
            </w:r>
          </w:p>
        </w:tc>
        <w:tc>
          <w:tcPr>
            <w:tcW w:w="2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64C38" w:rsidP="00A44F5A" w14:paraId="28FCD1F5" w14:textId="66805C3E">
            <w:pPr>
              <w:rPr>
                <w:rFonts w:ascii="Times New Roman" w:hAnsi="Times New Roman"/>
                <w:sz w:val="20"/>
                <w:szCs w:val="20"/>
              </w:rPr>
            </w:pPr>
            <w:r>
              <w:rPr>
                <w:rFonts w:ascii="Times New Roman" w:hAnsi="Times New Roman"/>
                <w:sz w:val="20"/>
                <w:szCs w:val="20"/>
              </w:rPr>
              <w:t xml:space="preserve">Abt Global </w:t>
            </w:r>
          </w:p>
        </w:tc>
        <w:tc>
          <w:tcPr>
            <w:tcW w:w="2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64C38" w:rsidP="00A44F5A" w14:paraId="060F6ABD" w14:textId="754B332F">
            <w:pPr>
              <w:rPr>
                <w:rFonts w:ascii="Times New Roman" w:hAnsi="Times New Roman"/>
                <w:sz w:val="20"/>
                <w:szCs w:val="20"/>
              </w:rPr>
            </w:pPr>
            <w:r w:rsidRPr="00364C38">
              <w:rPr>
                <w:rFonts w:ascii="Times New Roman" w:hAnsi="Times New Roman"/>
                <w:sz w:val="20"/>
                <w:szCs w:val="20"/>
              </w:rPr>
              <w:t>Leela.Hebbar@abtglobal.com</w:t>
            </w:r>
          </w:p>
        </w:tc>
      </w:tr>
      <w:tr w14:paraId="606DE8BB" w14:textId="77777777" w:rsidTr="00364C38">
        <w:tblPrEx>
          <w:tblW w:w="7351"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64C38" w:rsidRPr="00A44F5A" w:rsidP="00A44F5A" w14:paraId="1ECF8D1E" w14:textId="6CA79A03">
            <w:pPr>
              <w:rPr>
                <w:rFonts w:ascii="Times New Roman" w:hAnsi="Times New Roman"/>
                <w:sz w:val="20"/>
                <w:szCs w:val="20"/>
              </w:rPr>
            </w:pPr>
            <w:r>
              <w:rPr>
                <w:rFonts w:ascii="Times New Roman" w:hAnsi="Times New Roman"/>
                <w:sz w:val="20"/>
                <w:szCs w:val="20"/>
              </w:rPr>
              <w:t>Adam Travis</w:t>
            </w:r>
          </w:p>
        </w:tc>
        <w:tc>
          <w:tcPr>
            <w:tcW w:w="2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64C38" w:rsidRPr="00A44F5A" w:rsidP="00A44F5A" w14:paraId="1B656CF3" w14:textId="64F5C26D">
            <w:pPr>
              <w:rPr>
                <w:rFonts w:ascii="Times New Roman" w:hAnsi="Times New Roman"/>
                <w:sz w:val="20"/>
                <w:szCs w:val="20"/>
              </w:rPr>
            </w:pPr>
            <w:r>
              <w:rPr>
                <w:rFonts w:ascii="Times New Roman" w:hAnsi="Times New Roman"/>
                <w:sz w:val="20"/>
                <w:szCs w:val="20"/>
              </w:rPr>
              <w:t xml:space="preserve">Abt Global </w:t>
            </w:r>
          </w:p>
        </w:tc>
        <w:tc>
          <w:tcPr>
            <w:tcW w:w="2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64C38" w:rsidRPr="00A44F5A" w:rsidP="00A44F5A" w14:paraId="1D1170D5" w14:textId="318D5773">
            <w:pPr>
              <w:rPr>
                <w:rFonts w:ascii="Times New Roman" w:hAnsi="Times New Roman"/>
                <w:sz w:val="20"/>
                <w:szCs w:val="20"/>
              </w:rPr>
            </w:pPr>
            <w:r w:rsidRPr="00364C38">
              <w:rPr>
                <w:rFonts w:ascii="Times New Roman" w:hAnsi="Times New Roman"/>
                <w:sz w:val="20"/>
                <w:szCs w:val="20"/>
              </w:rPr>
              <w:t>Adam.Travis@abtglobal.com</w:t>
            </w:r>
          </w:p>
        </w:tc>
      </w:tr>
    </w:tbl>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92B6C" w:rsidRPr="00B92B6C" w:rsidP="00B92B6C" w14:paraId="412ED2E3" w14:textId="115FA26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92B6C">
        <w:rPr>
          <w:rFonts w:ascii="Times New Roman" w:hAnsi="Times New Roman"/>
        </w:rPr>
        <w:t xml:space="preserve"> No payments and/or gifts are made to respondents. </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276AAA" w:rsidRPr="00276AAA" w:rsidP="00276AAA" w14:paraId="298146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76AAA" w:rsidRPr="00276AAA" w:rsidP="00276AAA" w14:paraId="5F6EE76B" w14:textId="1CE6681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6AAA">
        <w:rPr>
          <w:rFonts w:ascii="Times New Roman" w:hAnsi="Times New Roman"/>
        </w:rPr>
        <w:t xml:space="preserve">There are no issues of confidentiality as no personal data on individual claimants is provided to ETA as part of this collection. ETA does not receive any data on individual claimants from states as a requirement of this data collection. Only aggregate data describing activity for all claimants are reported to ETA. </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6592173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00FC3698">
        <w:rPr>
          <w:rFonts w:ascii="Times New Roman" w:hAnsi="Times New Roman"/>
          <w:b/>
          <w:bCs/>
        </w:rPr>
        <w:t xml:space="preserve">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D408C" w:rsidRPr="001D408C" w:rsidP="001D408C" w14:paraId="62BB36A0" w14:textId="0947F70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D408C">
        <w:rPr>
          <w:rFonts w:ascii="Times New Roman" w:hAnsi="Times New Roman"/>
        </w:rPr>
        <w:t xml:space="preserve"> No questions of a sensitive nature are included.</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3091663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65F83426">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D53DEB">
        <w:rPr>
          <w:rFonts w:ascii="Times New Roman" w:hAnsi="Times New Roman"/>
          <w:b/>
          <w:bCs/>
        </w:rPr>
        <w:t>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50CDC4CE">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2"/>
        <w:gridCol w:w="1415"/>
        <w:gridCol w:w="1329"/>
        <w:gridCol w:w="1182"/>
        <w:gridCol w:w="998"/>
        <w:gridCol w:w="950"/>
        <w:gridCol w:w="1109"/>
        <w:gridCol w:w="1780"/>
      </w:tblGrid>
      <w:tr w14:paraId="2DF04903" w14:textId="77777777" w:rsidTr="002F1A0F">
        <w:tblPrEx>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40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064ECC06">
            <w:pPr>
              <w:spacing w:line="276" w:lineRule="auto"/>
              <w:jc w:val="center"/>
              <w:rPr>
                <w:rFonts w:ascii="Times New Roman" w:hAnsi="Times New Roman"/>
                <w:b/>
                <w:sz w:val="22"/>
                <w:szCs w:val="22"/>
              </w:rPr>
            </w:pPr>
            <w:r>
              <w:rPr>
                <w:rFonts w:ascii="Times New Roman" w:hAnsi="Times New Roman"/>
                <w:b/>
                <w:sz w:val="22"/>
                <w:szCs w:val="22"/>
              </w:rPr>
              <w:t>*</w:t>
            </w:r>
            <w:r w:rsidRPr="00F935EE" w:rsid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9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110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4D09A6BF">
            <w:pPr>
              <w:spacing w:line="276" w:lineRule="auto"/>
              <w:jc w:val="center"/>
              <w:rPr>
                <w:rFonts w:ascii="Times New Roman" w:hAnsi="Times New Roman"/>
                <w:b/>
                <w:sz w:val="22"/>
                <w:szCs w:val="22"/>
              </w:rPr>
            </w:pPr>
            <w:r>
              <w:rPr>
                <w:rFonts w:ascii="Times New Roman" w:hAnsi="Times New Roman"/>
                <w:b/>
                <w:sz w:val="22"/>
                <w:szCs w:val="22"/>
              </w:rPr>
              <w:t>**</w:t>
            </w: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7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2F1A0F">
        <w:tblPrEx>
          <w:tblW w:w="10165" w:type="dxa"/>
          <w:tblLook w:val="04A0"/>
        </w:tblPrEx>
        <w:tc>
          <w:tcPr>
            <w:tcW w:w="1402" w:type="dxa"/>
            <w:tcBorders>
              <w:top w:val="single" w:sz="4" w:space="0" w:color="auto"/>
              <w:left w:val="single" w:sz="4" w:space="0" w:color="auto"/>
              <w:bottom w:val="single" w:sz="4" w:space="0" w:color="auto"/>
              <w:right w:val="single" w:sz="4" w:space="0" w:color="auto"/>
            </w:tcBorders>
            <w:vAlign w:val="bottom"/>
            <w:hideMark/>
          </w:tcPr>
          <w:p w:rsidR="006626FF" w:rsidRPr="00E60FB0" w14:paraId="762DB321" w14:textId="198A71EC">
            <w:pPr>
              <w:spacing w:line="276" w:lineRule="auto"/>
              <w:rPr>
                <w:rFonts w:ascii="Times New Roman" w:hAnsi="Times New Roman"/>
                <w:sz w:val="22"/>
                <w:szCs w:val="22"/>
              </w:rPr>
            </w:pPr>
            <w:r>
              <w:rPr>
                <w:rFonts w:ascii="Times New Roman" w:hAnsi="Times New Roman"/>
                <w:sz w:val="22"/>
                <w:szCs w:val="22"/>
              </w:rPr>
              <w:t>State Plan Development</w:t>
            </w:r>
          </w:p>
        </w:tc>
        <w:tc>
          <w:tcPr>
            <w:tcW w:w="1415" w:type="dxa"/>
            <w:tcBorders>
              <w:top w:val="single" w:sz="4" w:space="0" w:color="auto"/>
              <w:left w:val="single" w:sz="4" w:space="0" w:color="auto"/>
              <w:bottom w:val="single" w:sz="4" w:space="0" w:color="auto"/>
              <w:right w:val="single" w:sz="4" w:space="0" w:color="auto"/>
            </w:tcBorders>
            <w:vAlign w:val="center"/>
          </w:tcPr>
          <w:p w:rsidR="006626FF" w:rsidRPr="002F1A0F" w:rsidP="002F1A0F" w14:paraId="523DFE49" w14:textId="26CC8D73">
            <w:pPr>
              <w:spacing w:line="276" w:lineRule="auto"/>
              <w:jc w:val="center"/>
              <w:rPr>
                <w:rFonts w:ascii="Times New Roman" w:hAnsi="Times New Roman"/>
                <w:sz w:val="20"/>
                <w:szCs w:val="20"/>
              </w:rPr>
            </w:pPr>
            <w:r w:rsidRPr="002F1A0F">
              <w:rPr>
                <w:rFonts w:ascii="Times New Roman" w:hAnsi="Times New Roman"/>
                <w:sz w:val="20"/>
                <w:szCs w:val="20"/>
              </w:rPr>
              <w:t>53</w:t>
            </w:r>
          </w:p>
          <w:p w:rsidR="006626FF" w:rsidRPr="002F1A0F" w:rsidP="0036751F" w14:paraId="2F5115C1" w14:textId="77777777">
            <w:pPr>
              <w:spacing w:line="276" w:lineRule="auto"/>
              <w:jc w:val="center"/>
              <w:rPr>
                <w:rFonts w:ascii="Times New Roman" w:hAnsi="Times New Roman"/>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rsidR="006626FF" w:rsidRPr="002F1A0F" w:rsidP="0036751F" w14:paraId="54BC61C8" w14:textId="105B3598">
            <w:pPr>
              <w:spacing w:line="276" w:lineRule="auto"/>
              <w:jc w:val="center"/>
              <w:rPr>
                <w:rFonts w:ascii="Times New Roman" w:hAnsi="Times New Roman"/>
                <w:sz w:val="20"/>
                <w:szCs w:val="20"/>
              </w:rPr>
            </w:pPr>
            <w:r w:rsidRPr="002F1A0F">
              <w:rPr>
                <w:rFonts w:ascii="Times New Roman" w:hAnsi="Times New Roman"/>
                <w:sz w:val="20"/>
                <w:szCs w:val="20"/>
              </w:rPr>
              <w:t>1</w:t>
            </w:r>
          </w:p>
          <w:p w:rsidR="006626FF" w:rsidRPr="002F1A0F" w:rsidP="0036751F" w14:paraId="5A00193C" w14:textId="77777777">
            <w:pPr>
              <w:spacing w:line="276" w:lineRule="auto"/>
              <w:jc w:val="center"/>
              <w:rPr>
                <w:rFonts w:ascii="Times New Roman" w:hAnsi="Times New Roman"/>
                <w:sz w:val="20"/>
                <w:szCs w:val="20"/>
              </w:rPr>
            </w:pPr>
          </w:p>
        </w:tc>
        <w:tc>
          <w:tcPr>
            <w:tcW w:w="1182" w:type="dxa"/>
            <w:tcBorders>
              <w:top w:val="single" w:sz="4" w:space="0" w:color="auto"/>
              <w:left w:val="single" w:sz="4" w:space="0" w:color="auto"/>
              <w:bottom w:val="single" w:sz="4" w:space="0" w:color="auto"/>
              <w:right w:val="single" w:sz="4" w:space="0" w:color="auto"/>
            </w:tcBorders>
            <w:vAlign w:val="center"/>
          </w:tcPr>
          <w:p w:rsidR="006626FF" w:rsidRPr="002F1A0F" w:rsidP="0036751F" w14:paraId="50D4FBFF" w14:textId="7493C572">
            <w:pPr>
              <w:spacing w:line="276" w:lineRule="auto"/>
              <w:jc w:val="center"/>
              <w:rPr>
                <w:rFonts w:ascii="Times New Roman" w:hAnsi="Times New Roman"/>
                <w:sz w:val="20"/>
                <w:szCs w:val="20"/>
              </w:rPr>
            </w:pPr>
            <w:r w:rsidRPr="002F1A0F">
              <w:rPr>
                <w:rFonts w:ascii="Times New Roman" w:hAnsi="Times New Roman"/>
                <w:sz w:val="20"/>
                <w:szCs w:val="20"/>
              </w:rPr>
              <w:t>53</w:t>
            </w:r>
          </w:p>
          <w:p w:rsidR="006626FF" w:rsidRPr="002F1A0F" w:rsidP="0036751F" w14:paraId="15D44061" w14:textId="77777777">
            <w:pPr>
              <w:spacing w:line="276" w:lineRule="auto"/>
              <w:jc w:val="center"/>
              <w:rPr>
                <w:rFonts w:ascii="Times New Roman" w:hAnsi="Times New Roman"/>
                <w:sz w:val="20"/>
                <w:szCs w:val="20"/>
              </w:rPr>
            </w:pPr>
          </w:p>
        </w:tc>
        <w:tc>
          <w:tcPr>
            <w:tcW w:w="998" w:type="dxa"/>
            <w:tcBorders>
              <w:top w:val="single" w:sz="4" w:space="0" w:color="auto"/>
              <w:left w:val="single" w:sz="4" w:space="0" w:color="auto"/>
              <w:bottom w:val="single" w:sz="4" w:space="0" w:color="auto"/>
              <w:right w:val="single" w:sz="4" w:space="0" w:color="auto"/>
            </w:tcBorders>
            <w:vAlign w:val="center"/>
          </w:tcPr>
          <w:p w:rsidR="006626FF" w:rsidRPr="002F1A0F" w:rsidP="0036751F" w14:paraId="15AA6C5B" w14:textId="7C2E35DD">
            <w:pPr>
              <w:spacing w:line="276" w:lineRule="auto"/>
              <w:jc w:val="center"/>
              <w:rPr>
                <w:rFonts w:ascii="Times New Roman" w:hAnsi="Times New Roman"/>
                <w:sz w:val="20"/>
                <w:szCs w:val="20"/>
              </w:rPr>
            </w:pPr>
            <w:r w:rsidRPr="002F1A0F">
              <w:rPr>
                <w:rFonts w:ascii="Times New Roman" w:hAnsi="Times New Roman"/>
                <w:sz w:val="20"/>
                <w:szCs w:val="20"/>
              </w:rPr>
              <w:t>40</w:t>
            </w:r>
          </w:p>
          <w:p w:rsidR="006626FF" w:rsidRPr="002F1A0F" w:rsidP="0036751F" w14:paraId="460B8B6B" w14:textId="77777777">
            <w:pPr>
              <w:spacing w:line="276" w:lineRule="auto"/>
              <w:jc w:val="center"/>
              <w:rPr>
                <w:rFonts w:ascii="Times New Roman" w:hAnsi="Times New Roman"/>
                <w:sz w:val="20"/>
                <w:szCs w:val="20"/>
              </w:rPr>
            </w:pPr>
          </w:p>
        </w:tc>
        <w:tc>
          <w:tcPr>
            <w:tcW w:w="950" w:type="dxa"/>
            <w:tcBorders>
              <w:top w:val="single" w:sz="4" w:space="0" w:color="auto"/>
              <w:left w:val="single" w:sz="4" w:space="0" w:color="auto"/>
              <w:bottom w:val="single" w:sz="4" w:space="0" w:color="auto"/>
              <w:right w:val="single" w:sz="4" w:space="0" w:color="auto"/>
            </w:tcBorders>
            <w:vAlign w:val="center"/>
          </w:tcPr>
          <w:p w:rsidR="006626FF" w:rsidRPr="002F1A0F" w:rsidP="0036751F" w14:paraId="43F04FBA" w14:textId="2EB1E40D">
            <w:pPr>
              <w:spacing w:line="276" w:lineRule="auto"/>
              <w:jc w:val="center"/>
              <w:rPr>
                <w:rFonts w:ascii="Times New Roman" w:hAnsi="Times New Roman"/>
                <w:sz w:val="20"/>
                <w:szCs w:val="20"/>
              </w:rPr>
            </w:pPr>
            <w:r w:rsidRPr="002F1A0F">
              <w:rPr>
                <w:rFonts w:ascii="Times New Roman" w:hAnsi="Times New Roman"/>
                <w:sz w:val="20"/>
                <w:szCs w:val="20"/>
              </w:rPr>
              <w:t>2120</w:t>
            </w:r>
          </w:p>
          <w:p w:rsidR="006626FF" w:rsidRPr="002F1A0F" w:rsidP="0036751F" w14:paraId="752F73D3" w14:textId="77777777">
            <w:pPr>
              <w:spacing w:line="276" w:lineRule="auto"/>
              <w:jc w:val="center"/>
              <w:rPr>
                <w:rFonts w:ascii="Times New Roman" w:hAnsi="Times New Roman"/>
                <w:sz w:val="20"/>
                <w:szCs w:val="20"/>
              </w:rPr>
            </w:pPr>
          </w:p>
        </w:tc>
        <w:tc>
          <w:tcPr>
            <w:tcW w:w="1109" w:type="dxa"/>
            <w:tcBorders>
              <w:top w:val="single" w:sz="4" w:space="0" w:color="auto"/>
              <w:left w:val="single" w:sz="4" w:space="0" w:color="auto"/>
              <w:bottom w:val="single" w:sz="4" w:space="0" w:color="auto"/>
              <w:right w:val="single" w:sz="4" w:space="0" w:color="auto"/>
            </w:tcBorders>
            <w:vAlign w:val="center"/>
          </w:tcPr>
          <w:p w:rsidR="006626FF" w:rsidRPr="002F1A0F" w:rsidP="0036751F" w14:paraId="387B5D04" w14:textId="2944AAD7">
            <w:pPr>
              <w:spacing w:line="276" w:lineRule="auto"/>
              <w:jc w:val="center"/>
              <w:rPr>
                <w:rFonts w:ascii="Times New Roman" w:hAnsi="Times New Roman"/>
                <w:sz w:val="20"/>
                <w:szCs w:val="20"/>
              </w:rPr>
            </w:pPr>
            <w:r w:rsidRPr="002F1A0F">
              <w:rPr>
                <w:rFonts w:ascii="Times New Roman" w:hAnsi="Times New Roman"/>
                <w:sz w:val="20"/>
                <w:szCs w:val="20"/>
              </w:rPr>
              <w:t>$</w:t>
            </w:r>
            <w:r w:rsidRPr="002F1A0F" w:rsidR="00A7556C">
              <w:rPr>
                <w:rFonts w:ascii="Times New Roman" w:hAnsi="Times New Roman"/>
                <w:sz w:val="20"/>
                <w:szCs w:val="20"/>
              </w:rPr>
              <w:t>53</w:t>
            </w:r>
            <w:r w:rsidRPr="002F1A0F" w:rsidR="00FF5DEB">
              <w:rPr>
                <w:rFonts w:ascii="Times New Roman" w:hAnsi="Times New Roman"/>
                <w:sz w:val="20"/>
                <w:szCs w:val="20"/>
              </w:rPr>
              <w:t>.</w:t>
            </w:r>
            <w:r w:rsidRPr="002F1A0F">
              <w:rPr>
                <w:rFonts w:ascii="Times New Roman" w:hAnsi="Times New Roman"/>
                <w:sz w:val="20"/>
                <w:szCs w:val="20"/>
              </w:rPr>
              <w:t>00</w:t>
            </w:r>
          </w:p>
          <w:p w:rsidR="006626FF" w:rsidRPr="002F1A0F" w:rsidP="0036751F" w14:paraId="6FAC2390" w14:textId="77777777">
            <w:pPr>
              <w:spacing w:line="276" w:lineRule="auto"/>
              <w:jc w:val="center"/>
              <w:rPr>
                <w:rFonts w:ascii="Times New Roman" w:hAnsi="Times New Roman"/>
                <w:sz w:val="20"/>
                <w:szCs w:val="20"/>
              </w:rPr>
            </w:pPr>
          </w:p>
        </w:tc>
        <w:tc>
          <w:tcPr>
            <w:tcW w:w="1780" w:type="dxa"/>
            <w:tcBorders>
              <w:top w:val="single" w:sz="4" w:space="0" w:color="auto"/>
              <w:left w:val="single" w:sz="4" w:space="0" w:color="auto"/>
              <w:bottom w:val="single" w:sz="4" w:space="0" w:color="auto"/>
              <w:right w:val="single" w:sz="4" w:space="0" w:color="auto"/>
            </w:tcBorders>
            <w:vAlign w:val="center"/>
          </w:tcPr>
          <w:p w:rsidR="006626FF" w:rsidRPr="002F1A0F" w:rsidP="0036751F" w14:paraId="39DD4599" w14:textId="77777777">
            <w:pPr>
              <w:spacing w:line="276" w:lineRule="auto"/>
              <w:jc w:val="center"/>
              <w:rPr>
                <w:rFonts w:ascii="Times New Roman" w:hAnsi="Times New Roman"/>
                <w:sz w:val="20"/>
                <w:szCs w:val="20"/>
              </w:rPr>
            </w:pPr>
          </w:p>
          <w:p w:rsidR="006626FF" w:rsidRPr="002F1A0F" w:rsidP="002F1A0F" w14:paraId="78C3C2D7" w14:textId="09CF403F">
            <w:pPr>
              <w:spacing w:line="720" w:lineRule="auto"/>
              <w:ind w:left="144"/>
              <w:jc w:val="center"/>
              <w:rPr>
                <w:rFonts w:ascii="Times New Roman" w:hAnsi="Times New Roman"/>
                <w:sz w:val="20"/>
                <w:szCs w:val="20"/>
              </w:rPr>
            </w:pPr>
            <w:r w:rsidRPr="002F1A0F">
              <w:rPr>
                <w:rFonts w:ascii="Times New Roman" w:hAnsi="Times New Roman"/>
                <w:sz w:val="20"/>
                <w:szCs w:val="20"/>
              </w:rPr>
              <w:t>$</w:t>
            </w:r>
            <w:r w:rsidRPr="002F1A0F" w:rsidR="00033F0E">
              <w:rPr>
                <w:rFonts w:ascii="Times New Roman" w:hAnsi="Times New Roman"/>
                <w:sz w:val="20"/>
                <w:szCs w:val="20"/>
              </w:rPr>
              <w:t>112,360.00</w:t>
            </w:r>
          </w:p>
        </w:tc>
      </w:tr>
    </w:tbl>
    <w:p w:rsidR="005622C2" w:rsidP="00EF273F" w14:paraId="413E7CB6" w14:textId="76B1E309">
      <w:pPr>
        <w:widowControl/>
        <w:autoSpaceDE/>
        <w:autoSpaceDN/>
        <w:adjustRightInd/>
        <w:rPr>
          <w:rFonts w:ascii="Times New Roman" w:hAnsi="Times New Roman"/>
          <w:bCs/>
        </w:rPr>
      </w:pPr>
      <w:r>
        <w:rPr>
          <w:rFonts w:ascii="Times New Roman" w:hAnsi="Times New Roman"/>
          <w:bCs/>
        </w:rPr>
        <w:t>* Respondents defined as 50 states and the District of Columbia, Puerto Rico and the Virgin Islands.</w:t>
      </w:r>
    </w:p>
    <w:p w:rsidR="00EF273F" w:rsidRPr="00EF273F" w:rsidP="00EF273F" w14:paraId="782F1592" w14:textId="4AA5446A">
      <w:pPr>
        <w:widowControl/>
        <w:autoSpaceDE/>
        <w:autoSpaceDN/>
        <w:adjustRightInd/>
        <w:rPr>
          <w:rFonts w:ascii="Times New Roman" w:hAnsi="Times New Roman"/>
          <w:bCs/>
        </w:rPr>
      </w:pPr>
      <w:r w:rsidRPr="000E34BC">
        <w:rPr>
          <w:rFonts w:ascii="Times New Roman" w:hAnsi="Times New Roman"/>
          <w:bCs/>
        </w:rPr>
        <w:t>*</w:t>
      </w:r>
      <w:r w:rsidR="005622C2">
        <w:rPr>
          <w:rFonts w:ascii="Times New Roman" w:hAnsi="Times New Roman"/>
          <w:bCs/>
        </w:rPr>
        <w:t>*</w:t>
      </w:r>
      <w:r w:rsidRPr="000E34BC">
        <w:rPr>
          <w:rFonts w:ascii="Times New Roman" w:hAnsi="Times New Roman"/>
          <w:bCs/>
        </w:rPr>
        <w:t xml:space="preserve">Source: </w:t>
      </w:r>
      <w:r w:rsidRPr="00EF273F">
        <w:rPr>
          <w:rFonts w:ascii="Times New Roman" w:hAnsi="Times New Roman"/>
          <w:bCs/>
        </w:rPr>
        <w:t xml:space="preserve">The hourly rate is computed by dividing the FY 2025 national average PS/PB annual salary for state staff as provided for through the distribution of state UI administrative grants </w:t>
      </w:r>
    </w:p>
    <w:p w:rsidR="00EF273F" w:rsidRPr="00EF273F" w:rsidP="00EF273F" w14:paraId="415B68EA" w14:textId="54BA503F">
      <w:pPr>
        <w:widowControl/>
        <w:autoSpaceDE/>
        <w:autoSpaceDN/>
        <w:adjustRightInd/>
        <w:rPr>
          <w:rFonts w:ascii="Times New Roman" w:hAnsi="Times New Roman"/>
          <w:bCs/>
        </w:rPr>
      </w:pPr>
      <w:r w:rsidRPr="00EF273F">
        <w:rPr>
          <w:rFonts w:ascii="Times New Roman" w:hAnsi="Times New Roman"/>
          <w:bCs/>
        </w:rPr>
        <w:t>(</w:t>
      </w:r>
      <w:hyperlink r:id="rId5" w:history="1">
        <w:r w:rsidRPr="00EF273F">
          <w:rPr>
            <w:rStyle w:val="Hyperlink"/>
            <w:rFonts w:ascii="Times New Roman" w:hAnsi="Times New Roman"/>
            <w:bCs/>
          </w:rPr>
          <w:t>https://www.dol.gov/agencies/eta/advisories/uipl-19-24</w:t>
        </w:r>
      </w:hyperlink>
      <w:hyperlink r:id="rId6" w:history="1">
        <w:r w:rsidRPr="00EF273F">
          <w:rPr>
            <w:rStyle w:val="Hyperlink"/>
            <w:rFonts w:ascii="Times New Roman" w:hAnsi="Times New Roman"/>
            <w:bCs/>
          </w:rPr>
          <w:t>)</w:t>
        </w:r>
      </w:hyperlink>
      <w:r w:rsidRPr="00EF273F">
        <w:rPr>
          <w:rFonts w:ascii="Times New Roman" w:hAnsi="Times New Roman"/>
          <w:bCs/>
        </w:rPr>
        <w:t>by the average number of hours worked in a year (1,711). For FY 2025, this calculation is: $90,282 / 1,711= $53.</w:t>
      </w:r>
    </w:p>
    <w:p w:rsidR="000E34BC" w:rsidRPr="000E34BC" w:rsidP="00EF273F" w14:paraId="5F181A23" w14:textId="6AD4C1FB">
      <w:pPr>
        <w:widowControl/>
        <w:autoSpaceDE/>
        <w:autoSpaceDN/>
        <w:adjustRightInd/>
        <w:rPr>
          <w:rFonts w:ascii="Times New Roman" w:hAnsi="Times New Roman"/>
        </w:rPr>
      </w:pPr>
    </w:p>
    <w:p w:rsidR="000E34BC" w:rsidRPr="000E34BC" w:rsidP="000E34BC" w14:paraId="3AAF9678" w14:textId="6D6A5584">
      <w:pPr>
        <w:widowControl/>
        <w:autoSpaceDE/>
        <w:autoSpaceDN/>
        <w:adjustRightInd/>
        <w:rPr>
          <w:rFonts w:ascii="Times New Roman" w:hAnsi="Times New Roman"/>
        </w:rPr>
      </w:pPr>
      <w:r w:rsidRPr="000E34BC">
        <w:rPr>
          <w:rFonts w:ascii="Times New Roman" w:hAnsi="Times New Roman"/>
        </w:rPr>
        <w:t>During FY 202</w:t>
      </w:r>
      <w:r w:rsidRPr="00001719" w:rsidR="00A25819">
        <w:rPr>
          <w:rFonts w:ascii="Times New Roman" w:hAnsi="Times New Roman"/>
        </w:rPr>
        <w:t>5</w:t>
      </w:r>
      <w:r w:rsidRPr="000E34BC">
        <w:rPr>
          <w:rFonts w:ascii="Times New Roman" w:hAnsi="Times New Roman"/>
        </w:rPr>
        <w:t xml:space="preserve">, </w:t>
      </w:r>
      <w:r w:rsidR="00364C38">
        <w:rPr>
          <w:rFonts w:ascii="Times New Roman" w:hAnsi="Times New Roman"/>
        </w:rPr>
        <w:t>49</w:t>
      </w:r>
      <w:r w:rsidRPr="000E34BC">
        <w:rPr>
          <w:rFonts w:ascii="Times New Roman" w:hAnsi="Times New Roman"/>
        </w:rPr>
        <w:t xml:space="preserve"> states,</w:t>
      </w:r>
      <w:r w:rsidR="00364C38">
        <w:rPr>
          <w:rFonts w:ascii="Times New Roman" w:hAnsi="Times New Roman"/>
        </w:rPr>
        <w:t xml:space="preserve"> and</w:t>
      </w:r>
      <w:r w:rsidRPr="000E34BC">
        <w:rPr>
          <w:rFonts w:ascii="Times New Roman" w:hAnsi="Times New Roman"/>
        </w:rPr>
        <w:t xml:space="preserve"> the District of Columbia, Puerto Rico, and the Virgin Islands operated </w:t>
      </w:r>
      <w:r w:rsidRPr="000E34BC" w:rsidR="00E16289">
        <w:rPr>
          <w:rFonts w:ascii="Times New Roman" w:hAnsi="Times New Roman"/>
        </w:rPr>
        <w:t>a</w:t>
      </w:r>
      <w:r w:rsidRPr="000E34BC">
        <w:rPr>
          <w:rFonts w:ascii="Times New Roman" w:hAnsi="Times New Roman"/>
        </w:rPr>
        <w:t xml:space="preserve"> RESEA program and it is envisioned that eventually all 53 potentially eligible SWAs will participate. The Department estimates that it will receive 53 state plans annually and each response will take 40 hours to develop, finalize, and transmit. The Department estimates the annual time burden to be 2,120 hours and the monetized value of respondent time to be $</w:t>
      </w:r>
      <w:r w:rsidRPr="00001719" w:rsidR="004330C9">
        <w:rPr>
          <w:rFonts w:ascii="Times New Roman" w:hAnsi="Times New Roman"/>
        </w:rPr>
        <w:t>112,360.00</w:t>
      </w:r>
      <w:r w:rsidRPr="000E34BC">
        <w:rPr>
          <w:rFonts w:ascii="Times New Roman" w:hAnsi="Times New Roman"/>
        </w:rPr>
        <w:t xml:space="preserve"> based on an hourly rate of $5</w:t>
      </w:r>
      <w:r w:rsidRPr="00001719" w:rsidR="0041104C">
        <w:rPr>
          <w:rFonts w:ascii="Times New Roman" w:hAnsi="Times New Roman"/>
        </w:rPr>
        <w:t>3.00</w:t>
      </w:r>
      <w:r w:rsidRPr="000E34BC">
        <w:rPr>
          <w:rFonts w:ascii="Times New Roman" w:hAnsi="Times New Roman"/>
        </w:rPr>
        <w:t xml:space="preserve">. </w:t>
      </w:r>
      <w:r w:rsidR="00F106FB">
        <w:rPr>
          <w:rFonts w:ascii="Times New Roman" w:hAnsi="Times New Roman"/>
        </w:rPr>
        <w:t xml:space="preserve">The Department is making a series of changes to the state </w:t>
      </w:r>
      <w:r w:rsidR="00686D7C">
        <w:rPr>
          <w:rFonts w:ascii="Times New Roman" w:hAnsi="Times New Roman"/>
        </w:rPr>
        <w:t>plan;</w:t>
      </w:r>
      <w:r w:rsidR="00F106FB">
        <w:rPr>
          <w:rFonts w:ascii="Times New Roman" w:hAnsi="Times New Roman"/>
        </w:rPr>
        <w:t xml:space="preserve"> </w:t>
      </w:r>
      <w:r w:rsidR="00931CBA">
        <w:rPr>
          <w:rFonts w:ascii="Times New Roman" w:hAnsi="Times New Roman"/>
        </w:rPr>
        <w:t>however,</w:t>
      </w:r>
      <w:r w:rsidR="00F106FB">
        <w:rPr>
          <w:rFonts w:ascii="Times New Roman" w:hAnsi="Times New Roman"/>
        </w:rPr>
        <w:t xml:space="preserve"> we do not antic</w:t>
      </w:r>
      <w:r w:rsidR="000F3E1E">
        <w:rPr>
          <w:rFonts w:ascii="Times New Roman" w:hAnsi="Times New Roman"/>
        </w:rPr>
        <w:t xml:space="preserve">ipate these changes increasing the </w:t>
      </w:r>
      <w:r w:rsidR="001818A3">
        <w:rPr>
          <w:rFonts w:ascii="Times New Roman" w:hAnsi="Times New Roman"/>
        </w:rPr>
        <w:t xml:space="preserve">time </w:t>
      </w:r>
      <w:r w:rsidR="000F3E1E">
        <w:rPr>
          <w:rFonts w:ascii="Times New Roman" w:hAnsi="Times New Roman"/>
        </w:rPr>
        <w:t>burde</w:t>
      </w:r>
      <w:r w:rsidR="00686D7C">
        <w:rPr>
          <w:rFonts w:ascii="Times New Roman" w:hAnsi="Times New Roman"/>
        </w:rPr>
        <w:t>n</w:t>
      </w:r>
      <w:r w:rsidR="000F3E1E">
        <w:rPr>
          <w:rFonts w:ascii="Times New Roman" w:hAnsi="Times New Roman"/>
        </w:rPr>
        <w:t xml:space="preserve">. </w:t>
      </w:r>
    </w:p>
    <w:p w:rsidR="000E34BC" w:rsidRPr="000E34BC" w:rsidP="000E34BC" w14:paraId="7D2C46B1" w14:textId="77777777">
      <w:pPr>
        <w:widowControl/>
        <w:autoSpaceDE/>
        <w:autoSpaceDN/>
        <w:adjustRightInd/>
        <w:rPr>
          <w:rFonts w:ascii="Times New Roman" w:hAnsi="Times New Roman"/>
        </w:rPr>
      </w:pPr>
    </w:p>
    <w:p w:rsidR="000E34BC" w:rsidRPr="000E34BC" w:rsidP="000E34BC" w14:paraId="26A0F0FC" w14:textId="235F9A8C">
      <w:pPr>
        <w:widowControl/>
        <w:autoSpaceDE/>
        <w:autoSpaceDN/>
        <w:adjustRightInd/>
        <w:rPr>
          <w:rFonts w:ascii="Times New Roman" w:hAnsi="Times New Roman"/>
        </w:rPr>
      </w:pPr>
      <w:r w:rsidRPr="000E34BC">
        <w:rPr>
          <w:rFonts w:ascii="Times New Roman" w:hAnsi="Times New Roman"/>
        </w:rPr>
        <w:t>The burden estimate for this data collection is 40 hours which is unchanged from the</w:t>
      </w:r>
      <w:r w:rsidR="005B7A76">
        <w:rPr>
          <w:rFonts w:ascii="Times New Roman" w:hAnsi="Times New Roman"/>
        </w:rPr>
        <w:t xml:space="preserve"> 2022 </w:t>
      </w:r>
      <w:r w:rsidRPr="000E34BC">
        <w:rPr>
          <w:rFonts w:ascii="Times New Roman" w:hAnsi="Times New Roman"/>
        </w:rPr>
        <w:t xml:space="preserve">ICR. ETA’s burden estimate is based on several factors. Between 2019 and 2021 the RESEA program </w:t>
      </w:r>
      <w:r w:rsidR="00B34443">
        <w:rPr>
          <w:rFonts w:ascii="Times New Roman" w:hAnsi="Times New Roman"/>
        </w:rPr>
        <w:t>underwent</w:t>
      </w:r>
      <w:r w:rsidRPr="000E34BC">
        <w:rPr>
          <w:rFonts w:ascii="Times New Roman" w:hAnsi="Times New Roman"/>
        </w:rPr>
        <w:t xml:space="preserve"> a phased implementation during which significant new program requirements were being introduced each year that required states apply new guidance and make significant updates to their annual state plans and the increased burden associated with program implementation was </w:t>
      </w:r>
      <w:r w:rsidRPr="000E34BC">
        <w:rPr>
          <w:rFonts w:ascii="Times New Roman" w:hAnsi="Times New Roman"/>
        </w:rPr>
        <w:t>reflected in our earlier burden estimates. The phased implementation of the new RESEA requirements conclude</w:t>
      </w:r>
      <w:r w:rsidR="0086746F">
        <w:rPr>
          <w:rFonts w:ascii="Times New Roman" w:hAnsi="Times New Roman"/>
        </w:rPr>
        <w:t>d</w:t>
      </w:r>
      <w:r w:rsidRPr="000E34BC">
        <w:rPr>
          <w:rFonts w:ascii="Times New Roman" w:hAnsi="Times New Roman"/>
        </w:rPr>
        <w:t xml:space="preserve"> in FY 2023 and we anticipate the </w:t>
      </w:r>
      <w:r w:rsidR="0086746F">
        <w:rPr>
          <w:rFonts w:ascii="Times New Roman" w:hAnsi="Times New Roman"/>
        </w:rPr>
        <w:t xml:space="preserve">continued </w:t>
      </w:r>
      <w:r w:rsidRPr="000E34BC">
        <w:rPr>
          <w:rFonts w:ascii="Times New Roman" w:hAnsi="Times New Roman"/>
        </w:rPr>
        <w:t xml:space="preserve">normalization of RESEA operations will lead to greater efficiencies in program planning activities, including annual development of the RESEA state plan. Other revisions such as the new format, increased use of plain language, and including specific breakouts for commonly omitted information will also increase efficiency. Given the removal of redundant elements, improvements to the state plan template, normalization of RESEA operations, and expanded availability of state plan technical assistance resources that were developed since 2019, ETA projects that the burden associated with the revised state plan will be unchanged. </w:t>
      </w:r>
    </w:p>
    <w:p w:rsidR="000E34BC" w:rsidP="00E60FB0" w14:paraId="1385A3B4" w14:textId="77777777">
      <w:pPr>
        <w:widowControl/>
        <w:autoSpaceDE/>
        <w:autoSpaceDN/>
        <w:adjustRightInd/>
        <w:rPr>
          <w:rFonts w:ascii="Times New Roman" w:hAnsi="Times New Roman"/>
          <w:highlight w:val="yellow"/>
        </w:rPr>
      </w:pPr>
    </w:p>
    <w:p w:rsidR="000E34BC" w:rsidRPr="00F72D66" w:rsidP="00E60FB0" w14:paraId="78F5CFB4" w14:textId="77777777">
      <w:pPr>
        <w:widowControl/>
        <w:autoSpaceDE/>
        <w:autoSpaceDN/>
        <w:adjustRightInd/>
        <w:rPr>
          <w:rFonts w:ascii="Times New Roman" w:hAnsi="Times New Roman"/>
          <w:highlight w:val="yellow"/>
        </w:rPr>
      </w:pPr>
    </w:p>
    <w:p w:rsidR="00CD215D" w:rsidRPr="00D53DEB" w:rsidP="00CD215D" w14:paraId="4F65FC61" w14:textId="3F4E3A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5C08F43">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D8E85E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BE4F81">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3732DE28">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35817EE5">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43EDF34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3FD21CE0">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9530A" w:rsidRPr="0039530A" w:rsidP="0039530A" w14:paraId="76593AA9" w14:textId="41E4567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9530A">
        <w:rPr>
          <w:rFonts w:ascii="Times New Roman" w:hAnsi="Times New Roman"/>
        </w:rPr>
        <w:t>There are no annualized costs to respondents.</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D698B4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64C38" w:rsidRPr="00364C38" w:rsidP="00364C38" w14:paraId="2083988D" w14:textId="57C802A1">
      <w:pPr>
        <w:shd w:val="clear" w:color="auto" w:fill="FFFFFF" w:themeFill="background1"/>
        <w:rPr>
          <w:rFonts w:ascii="Times New Roman" w:hAnsi="Times New Roman"/>
        </w:rPr>
      </w:pPr>
      <w:r w:rsidRPr="00F56113">
        <w:rPr>
          <w:rFonts w:ascii="Times New Roman" w:hAnsi="Times New Roman"/>
        </w:rPr>
        <w:t>Based on program experience and on an assessment of average times spent reviewing similar plans, ETA estimates that, on average, 3 GS-1</w:t>
      </w:r>
      <w:r w:rsidRPr="00F56113" w:rsidR="00F56113">
        <w:rPr>
          <w:rFonts w:ascii="Times New Roman" w:hAnsi="Times New Roman"/>
        </w:rPr>
        <w:t>2</w:t>
      </w:r>
      <w:r w:rsidRPr="00F56113">
        <w:rPr>
          <w:rFonts w:ascii="Times New Roman" w:hAnsi="Times New Roman"/>
        </w:rPr>
        <w:t>s based in the Washington, DC area will spend a total of 6 hours each, or 18 hours total, reviewing each plan. Pay for such an employee at the Step 4 level is $5</w:t>
      </w:r>
      <w:r w:rsidRPr="00F56113" w:rsidR="00F56113">
        <w:rPr>
          <w:rFonts w:ascii="Times New Roman" w:hAnsi="Times New Roman"/>
        </w:rPr>
        <w:t>3</w:t>
      </w:r>
      <w:r w:rsidRPr="00F56113">
        <w:rPr>
          <w:rFonts w:ascii="Times New Roman" w:hAnsi="Times New Roman"/>
        </w:rPr>
        <w:t>.</w:t>
      </w:r>
      <w:r w:rsidRPr="00F56113" w:rsidR="00F56113">
        <w:rPr>
          <w:rFonts w:ascii="Times New Roman" w:hAnsi="Times New Roman"/>
        </w:rPr>
        <w:t>45</w:t>
      </w:r>
      <w:r w:rsidRPr="00F56113">
        <w:rPr>
          <w:rFonts w:ascii="Times New Roman" w:hAnsi="Times New Roman"/>
        </w:rPr>
        <w:t xml:space="preserve"> Providing a 38 percent allowance to cover fringe benefits and other costs, total per hour cost for each employee is $7</w:t>
      </w:r>
      <w:r w:rsidRPr="00F56113" w:rsidR="00F56113">
        <w:rPr>
          <w:rFonts w:ascii="Times New Roman" w:hAnsi="Times New Roman"/>
        </w:rPr>
        <w:t>3</w:t>
      </w:r>
      <w:r w:rsidRPr="00F56113">
        <w:rPr>
          <w:rFonts w:ascii="Times New Roman" w:hAnsi="Times New Roman"/>
        </w:rPr>
        <w:t>.7</w:t>
      </w:r>
      <w:r w:rsidRPr="00F56113" w:rsidR="00F56113">
        <w:rPr>
          <w:rFonts w:ascii="Times New Roman" w:hAnsi="Times New Roman"/>
        </w:rPr>
        <w:t>6</w:t>
      </w:r>
      <w:r w:rsidRPr="00F56113">
        <w:rPr>
          <w:rFonts w:ascii="Times New Roman" w:hAnsi="Times New Roman"/>
        </w:rPr>
        <w:t xml:space="preserve"> ($5</w:t>
      </w:r>
      <w:r w:rsidRPr="00F56113" w:rsidR="00F56113">
        <w:rPr>
          <w:rFonts w:ascii="Times New Roman" w:hAnsi="Times New Roman"/>
        </w:rPr>
        <w:t>3</w:t>
      </w:r>
      <w:r w:rsidRPr="00F56113">
        <w:rPr>
          <w:rFonts w:ascii="Times New Roman" w:hAnsi="Times New Roman"/>
        </w:rPr>
        <w:t>.</w:t>
      </w:r>
      <w:r w:rsidRPr="00F56113" w:rsidR="00F56113">
        <w:rPr>
          <w:rFonts w:ascii="Times New Roman" w:hAnsi="Times New Roman"/>
        </w:rPr>
        <w:t>45</w:t>
      </w:r>
      <w:r w:rsidRPr="00F56113">
        <w:rPr>
          <w:rFonts w:ascii="Times New Roman" w:hAnsi="Times New Roman"/>
        </w:rPr>
        <w:t xml:space="preserve"> x 1.38 = $7</w:t>
      </w:r>
      <w:r w:rsidRPr="00F56113" w:rsidR="00F56113">
        <w:rPr>
          <w:rFonts w:ascii="Times New Roman" w:hAnsi="Times New Roman"/>
        </w:rPr>
        <w:t>3</w:t>
      </w:r>
      <w:r w:rsidRPr="00F56113">
        <w:rPr>
          <w:rFonts w:ascii="Times New Roman" w:hAnsi="Times New Roman"/>
        </w:rPr>
        <w:t>.7</w:t>
      </w:r>
      <w:r w:rsidRPr="00F56113" w:rsidR="00F56113">
        <w:rPr>
          <w:rFonts w:ascii="Times New Roman" w:hAnsi="Times New Roman"/>
        </w:rPr>
        <w:t>6</w:t>
      </w:r>
      <w:r w:rsidRPr="00F56113">
        <w:rPr>
          <w:rFonts w:ascii="Times New Roman" w:hAnsi="Times New Roman"/>
        </w:rPr>
        <w:t>); thus, the Federal cost of reviewing and processing each Plan is estimated to be $1,</w:t>
      </w:r>
      <w:r w:rsidRPr="00F56113" w:rsidR="00F56113">
        <w:rPr>
          <w:rFonts w:ascii="Times New Roman" w:hAnsi="Times New Roman"/>
        </w:rPr>
        <w:t>327.69</w:t>
      </w:r>
      <w:r w:rsidRPr="00F56113">
        <w:rPr>
          <w:rFonts w:ascii="Times New Roman" w:hAnsi="Times New Roman"/>
        </w:rPr>
        <w:t xml:space="preserve">. As noted previously, the Department estimates that it will receive 53 plans annually, resulting in a total annual cost of </w:t>
      </w:r>
      <w:r w:rsidRPr="00F56113" w:rsidR="00F56113">
        <w:rPr>
          <w:rFonts w:ascii="Times New Roman" w:hAnsi="Times New Roman"/>
        </w:rPr>
        <w:t>70</w:t>
      </w:r>
      <w:r w:rsidRPr="00F56113">
        <w:rPr>
          <w:rFonts w:ascii="Times New Roman" w:hAnsi="Times New Roman"/>
        </w:rPr>
        <w:t>,</w:t>
      </w:r>
      <w:r w:rsidRPr="00F56113" w:rsidR="00F56113">
        <w:rPr>
          <w:rFonts w:ascii="Times New Roman" w:hAnsi="Times New Roman"/>
        </w:rPr>
        <w:t>367</w:t>
      </w:r>
      <w:r w:rsidRPr="00F56113">
        <w:rPr>
          <w:rFonts w:ascii="Times New Roman" w:hAnsi="Times New Roman"/>
        </w:rPr>
        <w:t>.</w:t>
      </w:r>
      <w:r w:rsidRPr="00F56113" w:rsidR="00F56113">
        <w:rPr>
          <w:rFonts w:ascii="Times New Roman" w:hAnsi="Times New Roman"/>
        </w:rPr>
        <w:t>04</w:t>
      </w:r>
      <w:r w:rsidRPr="00F56113">
        <w:rPr>
          <w:rFonts w:ascii="Times New Roman" w:hAnsi="Times New Roman"/>
        </w:rPr>
        <w:t xml:space="preserve"> for all 53 plans (53 plans x 18 hours x $7</w:t>
      </w:r>
      <w:r w:rsidRPr="00F56113" w:rsidR="00F56113">
        <w:rPr>
          <w:rFonts w:ascii="Times New Roman" w:hAnsi="Times New Roman"/>
        </w:rPr>
        <w:t>3</w:t>
      </w:r>
      <w:r w:rsidRPr="00F56113">
        <w:rPr>
          <w:rFonts w:ascii="Times New Roman" w:hAnsi="Times New Roman"/>
        </w:rPr>
        <w:t>.7</w:t>
      </w:r>
      <w:r w:rsidRPr="00F56113" w:rsidR="00F56113">
        <w:rPr>
          <w:rFonts w:ascii="Times New Roman" w:hAnsi="Times New Roman"/>
        </w:rPr>
        <w:t>6</w:t>
      </w:r>
      <w:r w:rsidRPr="00F56113">
        <w:rPr>
          <w:rFonts w:ascii="Times New Roman" w:hAnsi="Times New Roman"/>
        </w:rPr>
        <w:t xml:space="preserve"> = $</w:t>
      </w:r>
      <w:r w:rsidRPr="00F56113" w:rsidR="00F56113">
        <w:rPr>
          <w:rFonts w:ascii="Times New Roman" w:hAnsi="Times New Roman"/>
        </w:rPr>
        <w:t>70</w:t>
      </w:r>
      <w:r w:rsidRPr="00F56113">
        <w:rPr>
          <w:rFonts w:ascii="Times New Roman" w:hAnsi="Times New Roman"/>
        </w:rPr>
        <w:t>,</w:t>
      </w:r>
      <w:r w:rsidRPr="00F56113" w:rsidR="00F56113">
        <w:rPr>
          <w:rFonts w:ascii="Times New Roman" w:hAnsi="Times New Roman"/>
        </w:rPr>
        <w:t>367</w:t>
      </w:r>
      <w:r w:rsidRPr="00F56113">
        <w:rPr>
          <w:rFonts w:ascii="Times New Roman" w:hAnsi="Times New Roman"/>
        </w:rPr>
        <w:t>.</w:t>
      </w:r>
      <w:r w:rsidRPr="00F56113" w:rsidR="00F56113">
        <w:rPr>
          <w:rFonts w:ascii="Times New Roman" w:hAnsi="Times New Roman"/>
        </w:rPr>
        <w:t>04</w:t>
      </w:r>
      <w:r w:rsidRPr="00F56113">
        <w:rPr>
          <w:rFonts w:ascii="Times New Roman" w:hAnsi="Times New Roman"/>
        </w:rPr>
        <w:t>). Since plans are reviewed electronically, operational costs, including printing and support staff costs, do not apply.</w:t>
      </w:r>
    </w:p>
    <w:p w:rsidR="0074295D" w:rsidRPr="00871CA6" w:rsidP="00690F56" w14:paraId="615438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674197">
        <w:rPr>
          <w:rFonts w:ascii="Times New Roman" w:hAnsi="Times New Roman"/>
          <w:b/>
          <w:bCs/>
        </w:rPr>
        <w:t>15.</w:t>
      </w:r>
      <w:r w:rsidRPr="00674197">
        <w:rPr>
          <w:rFonts w:ascii="Times New Roman" w:hAnsi="Times New Roman"/>
          <w:b/>
          <w:bCs/>
        </w:rPr>
        <w:tab/>
        <w:t>Explain the reasons for any</w:t>
      </w:r>
      <w:r w:rsidRPr="00674197" w:rsidR="00882AB5">
        <w:rPr>
          <w:rFonts w:ascii="Times New Roman" w:hAnsi="Times New Roman"/>
          <w:b/>
          <w:bCs/>
        </w:rPr>
        <w:t xml:space="preserve"> program changes or adjustments.</w:t>
      </w:r>
    </w:p>
    <w:p w:rsidR="00690F56"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7667" w:rsidP="00C27667" w14:paraId="0A1EA17D" w14:textId="660F8CD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F6BE8">
        <w:rPr>
          <w:rFonts w:ascii="Times New Roman" w:hAnsi="Times New Roman"/>
        </w:rPr>
        <w:t>In 2019, ETA developed this state plan data collection to closely align with the statutory annual report requirements detailed in section 306(3), SSA, and the essential administrative information necessary to complete the review, execution, and oversight of RESEA grants.</w:t>
      </w:r>
      <w:r>
        <w:rPr>
          <w:rFonts w:ascii="Times New Roman" w:hAnsi="Times New Roman"/>
        </w:rPr>
        <w:t xml:space="preserve"> ETA has identified data collection items to be revised </w:t>
      </w:r>
      <w:r w:rsidRPr="00364C38">
        <w:rPr>
          <w:rFonts w:ascii="Times New Roman" w:hAnsi="Times New Roman"/>
        </w:rPr>
        <w:t>and proposes to renew this data collection with several revisions intended</w:t>
      </w:r>
      <w:r w:rsidR="00364C38">
        <w:rPr>
          <w:rFonts w:ascii="Times New Roman" w:hAnsi="Times New Roman"/>
        </w:rPr>
        <w:t xml:space="preserve"> to</w:t>
      </w:r>
      <w:r w:rsidRPr="00364C38">
        <w:rPr>
          <w:rFonts w:ascii="Times New Roman" w:hAnsi="Times New Roman"/>
        </w:rPr>
        <w:t xml:space="preserve"> provide States a more cohesive grant application.</w:t>
      </w:r>
      <w:r>
        <w:rPr>
          <w:rFonts w:ascii="Times New Roman" w:hAnsi="Times New Roman"/>
        </w:rPr>
        <w:t xml:space="preserve"> </w:t>
      </w:r>
      <w:r w:rsidRPr="001F6BE8">
        <w:rPr>
          <w:rFonts w:ascii="Times New Roman" w:hAnsi="Times New Roman"/>
        </w:rPr>
        <w:t xml:space="preserve">The revised data collection includes several revisions intended </w:t>
      </w:r>
      <w:r>
        <w:rPr>
          <w:rFonts w:ascii="Times New Roman" w:hAnsi="Times New Roman"/>
        </w:rPr>
        <w:t xml:space="preserve">to </w:t>
      </w:r>
      <w:r w:rsidRPr="00504611">
        <w:rPr>
          <w:rFonts w:ascii="Times New Roman" w:hAnsi="Times New Roman"/>
        </w:rPr>
        <w:t>provide a reduction of burde</w:t>
      </w:r>
      <w:r>
        <w:rPr>
          <w:rFonts w:ascii="Times New Roman" w:hAnsi="Times New Roman"/>
        </w:rPr>
        <w:t>n</w:t>
      </w:r>
      <w:r w:rsidRPr="004675E6">
        <w:rPr>
          <w:rFonts w:ascii="Times New Roman" w:hAnsi="Times New Roman"/>
        </w:rPr>
        <w:t xml:space="preserve"> </w:t>
      </w:r>
      <w:r w:rsidRPr="001F6BE8">
        <w:rPr>
          <w:rFonts w:ascii="Times New Roman" w:hAnsi="Times New Roman"/>
        </w:rPr>
        <w:t>and</w:t>
      </w:r>
      <w:r>
        <w:rPr>
          <w:rFonts w:ascii="Times New Roman" w:hAnsi="Times New Roman"/>
        </w:rPr>
        <w:t xml:space="preserve"> </w:t>
      </w:r>
      <w:r w:rsidRPr="00504611">
        <w:rPr>
          <w:rFonts w:ascii="Times New Roman" w:hAnsi="Times New Roman"/>
        </w:rPr>
        <w:t>prevent technical clarifications</w:t>
      </w:r>
      <w:r>
        <w:rPr>
          <w:rFonts w:ascii="Times New Roman" w:hAnsi="Times New Roman"/>
        </w:rPr>
        <w:t>, to make the</w:t>
      </w:r>
      <w:r w:rsidRPr="00504611">
        <w:rPr>
          <w:rFonts w:ascii="Times New Roman" w:hAnsi="Times New Roman"/>
        </w:rPr>
        <w:t xml:space="preserve"> plan elements clearer</w:t>
      </w:r>
      <w:r>
        <w:rPr>
          <w:rFonts w:ascii="Times New Roman" w:hAnsi="Times New Roman"/>
        </w:rPr>
        <w:t xml:space="preserve"> and reduce redundancy, </w:t>
      </w:r>
      <w:r w:rsidRPr="001F6BE8">
        <w:rPr>
          <w:rFonts w:ascii="Times New Roman" w:hAnsi="Times New Roman"/>
        </w:rPr>
        <w:t>to remove elements that are no longer routinely used to support grant management</w:t>
      </w:r>
      <w:r>
        <w:rPr>
          <w:rFonts w:ascii="Times New Roman" w:hAnsi="Times New Roman"/>
        </w:rPr>
        <w:t>.</w:t>
      </w:r>
    </w:p>
    <w:p w:rsidR="00AC0007" w:rsidP="001F6BE8" w14:paraId="53D791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F6BE8" w:rsidRPr="001F6BE8" w:rsidP="001F6BE8" w14:paraId="7E750BCF" w14:textId="7EA86A6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F6BE8">
        <w:rPr>
          <w:rFonts w:ascii="Times New Roman" w:hAnsi="Times New Roman"/>
        </w:rPr>
        <w:t xml:space="preserve">These proposed revisions include: </w:t>
      </w:r>
    </w:p>
    <w:p w:rsidR="001F6BE8" w:rsidRPr="001F6BE8" w:rsidP="001F6BE8" w14:paraId="6B5302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40E4B" w:rsidRPr="00340E4B" w:rsidP="00340E4B" w14:paraId="20F5B8B1" w14:textId="77777777">
      <w:pPr>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40E4B">
        <w:rPr>
          <w:rFonts w:ascii="Times New Roman" w:hAnsi="Times New Roman"/>
        </w:rPr>
        <w:t>Edits were made throughout the document to provide added technical clarity and to eliminate ambiguous responses and common data entry errors;</w:t>
      </w:r>
    </w:p>
    <w:p w:rsidR="00340E4B" w:rsidRPr="00340E4B" w:rsidP="00340E4B" w14:paraId="0DBB11A1" w14:textId="77777777">
      <w:pPr>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40E4B">
        <w:rPr>
          <w:rFonts w:ascii="Times New Roman" w:hAnsi="Times New Roman"/>
        </w:rPr>
        <w:t>Bullet point “checklist” items will be incorporated into plan elements to ensure narrative is complete;</w:t>
      </w:r>
    </w:p>
    <w:p w:rsidR="00340E4B" w:rsidRPr="00340E4B" w:rsidP="00340E4B" w14:paraId="5CA01139" w14:textId="77777777">
      <w:pPr>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40E4B">
        <w:rPr>
          <w:rFonts w:ascii="Times New Roman" w:hAnsi="Times New Roman"/>
        </w:rPr>
        <w:t>State assurance will be collected to confirm states have attached a copy of the notification letter template;</w:t>
      </w:r>
    </w:p>
    <w:p w:rsidR="00340E4B" w:rsidRPr="00340E4B" w:rsidP="00340E4B" w14:paraId="03C19958" w14:textId="77777777">
      <w:pPr>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40E4B">
        <w:rPr>
          <w:rFonts w:ascii="Times New Roman" w:hAnsi="Times New Roman"/>
        </w:rPr>
        <w:t>Clarifying language will be added to plan items.</w:t>
      </w:r>
    </w:p>
    <w:p w:rsidR="001F6BE8" w:rsidRPr="001F6BE8" w:rsidP="001F6BE8" w14:paraId="4733BC9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F6BE8" w:rsidRPr="001F6BE8" w:rsidP="001F6BE8" w14:paraId="26D6F9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F6BE8">
        <w:rPr>
          <w:rFonts w:ascii="Times New Roman" w:hAnsi="Times New Roman"/>
        </w:rPr>
        <w:t xml:space="preserve">Due to the removal of redundant elements, improvements to the state plan template, normalization of RESEA operations, and expanded availability of state plan technical assistance resources that were developed since 2019, ETA projects that the burden associated with the revised state plan will be unchanged from the previous approved ICR due to increased efficiencies in RESEA planning activities. </w:t>
      </w:r>
    </w:p>
    <w:p w:rsidR="001F6BE8" w:rsidRPr="001F6BE8" w:rsidP="001F6BE8" w14:paraId="203F93E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F6BE8" w:rsidRPr="001F6BE8" w:rsidP="001F6BE8" w14:paraId="4218E5D8" w14:textId="277F769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F6BE8">
        <w:rPr>
          <w:rFonts w:ascii="Times New Roman" w:hAnsi="Times New Roman"/>
        </w:rPr>
        <w:t xml:space="preserve">A version of the form showing the tracked changes is included under “Documents for IC” in the submitted ICR.  </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A4BC2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553E3" w:rsidRPr="003553E3" w:rsidP="003553E3" w14:paraId="7D954AC4" w14:textId="1724894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553E3">
        <w:rPr>
          <w:rFonts w:ascii="Times New Roman" w:hAnsi="Times New Roman"/>
        </w:rPr>
        <w:t xml:space="preserve"> Decisions on publication of data have not been finalized.</w:t>
      </w:r>
    </w:p>
    <w:p w:rsidR="003553E3" w:rsidRPr="00871CA6" w:rsidP="00690F56" w14:paraId="2835CB9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DE40C0" w:rsidP="00DE40C0" w14:paraId="72200D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E40C0" w:rsidRPr="00DE40C0" w:rsidP="00DE40C0" w14:paraId="65376358" w14:textId="3B81803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E40C0">
        <w:rPr>
          <w:rFonts w:ascii="Times New Roman" w:hAnsi="Times New Roman"/>
        </w:rPr>
        <w:t>The expiration date for OMB approval will be displayed.</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5941DC" w:rsidP="005941DC" w14:paraId="2FAA94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5941DC" w:rsidP="00690F56" w14:paraId="7282302F" w14:textId="44ECB0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rPr>
      </w:pPr>
      <w:r w:rsidRPr="005941DC">
        <w:rPr>
          <w:rFonts w:ascii="Times New Roman" w:hAnsi="Times New Roman"/>
        </w:rPr>
        <w:t>There are no exceptions to the certification statement.</w:t>
      </w:r>
    </w:p>
    <w:p w:rsidR="005941DC" w:rsidRPr="00871CA6" w:rsidP="00690F56" w14:paraId="3FCC23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3245A" w:rsidRPr="0023245A" w:rsidP="0023245A" w14:paraId="2B46203C" w14:textId="77777777">
      <w:pPr>
        <w:widowControl/>
        <w:tabs>
          <w:tab w:val="left" w:pos="1650"/>
        </w:tabs>
        <w:autoSpaceDE/>
        <w:autoSpaceDN/>
        <w:adjustRightInd/>
        <w:ind w:left="540" w:hanging="540"/>
        <w:rPr>
          <w:rFonts w:ascii="Times New Roman" w:hAnsi="Times New Roman"/>
          <w:i/>
        </w:rPr>
      </w:pPr>
      <w:r w:rsidRPr="0023245A">
        <w:rPr>
          <w:rFonts w:ascii="Times New Roman" w:hAnsi="Times New Roman"/>
          <w:i/>
        </w:rPr>
        <w:tab/>
      </w:r>
      <w:r w:rsidRPr="0023245A">
        <w:rPr>
          <w:rFonts w:ascii="Times New Roman" w:hAnsi="Times New Roman"/>
          <w:i/>
        </w:rPr>
        <w:tab/>
      </w:r>
    </w:p>
    <w:p w:rsidR="0023245A" w:rsidRPr="0023245A" w:rsidP="0023245A" w14:paraId="3C4F5924" w14:textId="4FB4E615">
      <w:pPr>
        <w:widowControl/>
        <w:tabs>
          <w:tab w:val="left" w:pos="540"/>
        </w:tabs>
        <w:rPr>
          <w:rFonts w:ascii="Times New Roman" w:hAnsi="Times New Roman"/>
        </w:rPr>
      </w:pPr>
      <w:r w:rsidRPr="0023245A">
        <w:rPr>
          <w:rFonts w:ascii="Times New Roman" w:hAnsi="Times New Roman"/>
          <w:b/>
        </w:rPr>
        <w:t>B. Collections of Information Employing Statistical Methods</w:t>
      </w:r>
    </w:p>
    <w:p w:rsidR="0023245A" w:rsidRPr="0023245A" w:rsidP="0023245A" w14:paraId="4B1B8E86" w14:textId="77777777">
      <w:pPr>
        <w:widowControl/>
        <w:autoSpaceDE/>
        <w:autoSpaceDN/>
        <w:adjustRightInd/>
        <w:rPr>
          <w:rFonts w:ascii="Times New Roman" w:hAnsi="Times New Roman"/>
        </w:rPr>
      </w:pPr>
    </w:p>
    <w:p w:rsidR="0023245A" w:rsidRPr="0023245A" w:rsidP="0023245A" w14:paraId="7B37795A" w14:textId="77777777">
      <w:pPr>
        <w:widowControl/>
        <w:autoSpaceDE/>
        <w:autoSpaceDN/>
        <w:adjustRightInd/>
        <w:rPr>
          <w:rFonts w:ascii="Times New Roman" w:hAnsi="Times New Roman"/>
        </w:rPr>
      </w:pPr>
      <w:r w:rsidRPr="0023245A">
        <w:rPr>
          <w:rFonts w:ascii="Times New Roman" w:hAnsi="Times New Roman"/>
        </w:rPr>
        <w:t>This information collection does not employ statistical methods.</w:t>
      </w:r>
    </w:p>
    <w:p w:rsidR="00332F98" w:rsidRPr="00D53DEB" w14:paraId="3E8CBCDA" w14:textId="77777777">
      <w:pPr>
        <w:rPr>
          <w:rFonts w:ascii="Times New Roman" w:hAnsi="Times New Roman"/>
        </w:rPr>
      </w:pPr>
    </w:p>
    <w:sectPr w:rsidSect="00C07F7F">
      <w:headerReference w:type="default" r:id="rId7"/>
      <w:footerReference w:type="even" r:id="rId8"/>
      <w:footerReference w:type="default" r:id="rId9"/>
      <w:headerReference w:type="first" r:id="rId10"/>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F4077E6">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05EAB">
      <w:rPr>
        <w:rStyle w:val="PageNumber"/>
        <w:rFonts w:ascii="Times New Roman" w:hAnsi="Times New Roman"/>
        <w:noProof/>
      </w:rPr>
      <w:t>3</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69EB9FAC">
    <w:pPr>
      <w:pStyle w:val="Header"/>
      <w:rPr>
        <w:rFonts w:ascii="Times New Roman" w:hAnsi="Times New Roman"/>
        <w:bCs/>
        <w:sz w:val="20"/>
        <w:szCs w:val="20"/>
      </w:rPr>
    </w:pPr>
    <w:r>
      <w:rPr>
        <w:rFonts w:ascii="Times New Roman" w:hAnsi="Times New Roman"/>
        <w:bCs/>
        <w:sz w:val="20"/>
        <w:szCs w:val="20"/>
      </w:rPr>
      <w:t xml:space="preserve">RESEA State Plan </w:t>
    </w:r>
  </w:p>
  <w:p w:rsidR="00DF239C" w:rsidRPr="00DF239C" w:rsidP="00DF239C" w14:paraId="0B030334" w14:textId="03AF264E">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Pr="00DF239C">
      <w:rPr>
        <w:rFonts w:ascii="Times New Roman" w:hAnsi="Times New Roman"/>
        <w:sz w:val="20"/>
        <w:szCs w:val="20"/>
      </w:rPr>
      <w:t>1205-0538</w:t>
    </w:r>
  </w:p>
  <w:p w:rsidR="00E60FB0" w:rsidRPr="00F8164B" w14:paraId="1D1AD862" w14:textId="6636CA64">
    <w:pPr>
      <w:pStyle w:val="Header"/>
      <w:rPr>
        <w:rFonts w:ascii="Times New Roman" w:hAnsi="Times New Roman"/>
        <w:sz w:val="20"/>
        <w:szCs w:val="20"/>
      </w:rPr>
    </w:pPr>
    <w:r>
      <w:rPr>
        <w:rFonts w:ascii="Times New Roman" w:hAnsi="Times New Roman"/>
        <w:sz w:val="20"/>
        <w:szCs w:val="20"/>
      </w:rPr>
      <w:t xml:space="preserve">OMB Expiration Date: </w:t>
    </w:r>
    <w:r w:rsidR="00646104">
      <w:rPr>
        <w:rFonts w:ascii="Times New Roman" w:hAnsi="Times New Roman"/>
        <w:sz w:val="20"/>
        <w:szCs w:val="20"/>
      </w:rPr>
      <w:t>November 30, 2025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50D5098"/>
    <w:multiLevelType w:val="hybridMultilevel"/>
    <w:tmpl w:val="28269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59626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5891595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312569029">
    <w:abstractNumId w:val="3"/>
  </w:num>
  <w:num w:numId="4" w16cid:durableId="296645468">
    <w:abstractNumId w:val="8"/>
  </w:num>
  <w:num w:numId="5" w16cid:durableId="1864593723">
    <w:abstractNumId w:val="2"/>
  </w:num>
  <w:num w:numId="6" w16cid:durableId="1582568530">
    <w:abstractNumId w:val="4"/>
  </w:num>
  <w:num w:numId="7" w16cid:durableId="137345922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4370800">
    <w:abstractNumId w:val="10"/>
  </w:num>
  <w:num w:numId="9" w16cid:durableId="106892989">
    <w:abstractNumId w:val="1"/>
  </w:num>
  <w:num w:numId="10" w16cid:durableId="2050523084">
    <w:abstractNumId w:val="9"/>
  </w:num>
  <w:num w:numId="11" w16cid:durableId="1981029510">
    <w:abstractNumId w:val="6"/>
  </w:num>
  <w:num w:numId="12" w16cid:durableId="651762342">
    <w:abstractNumId w:val="7"/>
  </w:num>
  <w:num w:numId="13" w16cid:durableId="136726508">
    <w:abstractNumId w:val="5"/>
  </w:num>
  <w:num w:numId="14" w16cid:durableId="20178823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1719"/>
    <w:rsid w:val="000133FD"/>
    <w:rsid w:val="00014158"/>
    <w:rsid w:val="000162B1"/>
    <w:rsid w:val="00020F69"/>
    <w:rsid w:val="00022303"/>
    <w:rsid w:val="00027811"/>
    <w:rsid w:val="00033F0E"/>
    <w:rsid w:val="0004107F"/>
    <w:rsid w:val="00042CBD"/>
    <w:rsid w:val="00052174"/>
    <w:rsid w:val="00061F6C"/>
    <w:rsid w:val="00064E28"/>
    <w:rsid w:val="0007383F"/>
    <w:rsid w:val="00095C30"/>
    <w:rsid w:val="000A03C4"/>
    <w:rsid w:val="000A7853"/>
    <w:rsid w:val="000B0391"/>
    <w:rsid w:val="000B1542"/>
    <w:rsid w:val="000B4875"/>
    <w:rsid w:val="000B6FB6"/>
    <w:rsid w:val="000C257C"/>
    <w:rsid w:val="000C3A92"/>
    <w:rsid w:val="000C74FB"/>
    <w:rsid w:val="000D7F95"/>
    <w:rsid w:val="000E1C64"/>
    <w:rsid w:val="000E34BC"/>
    <w:rsid w:val="000E6851"/>
    <w:rsid w:val="000E6A58"/>
    <w:rsid w:val="000F3E1E"/>
    <w:rsid w:val="000F6836"/>
    <w:rsid w:val="001040D4"/>
    <w:rsid w:val="00107618"/>
    <w:rsid w:val="001078BB"/>
    <w:rsid w:val="00116CD5"/>
    <w:rsid w:val="00133C47"/>
    <w:rsid w:val="0014556E"/>
    <w:rsid w:val="0015322B"/>
    <w:rsid w:val="0015365E"/>
    <w:rsid w:val="00157A90"/>
    <w:rsid w:val="00180D01"/>
    <w:rsid w:val="00180E5A"/>
    <w:rsid w:val="001818A3"/>
    <w:rsid w:val="00194564"/>
    <w:rsid w:val="001A47D9"/>
    <w:rsid w:val="001D10ED"/>
    <w:rsid w:val="001D2D09"/>
    <w:rsid w:val="001D408C"/>
    <w:rsid w:val="001D67BB"/>
    <w:rsid w:val="001E0E7F"/>
    <w:rsid w:val="001E2932"/>
    <w:rsid w:val="001E3596"/>
    <w:rsid w:val="001E5213"/>
    <w:rsid w:val="001F2223"/>
    <w:rsid w:val="001F2E8E"/>
    <w:rsid w:val="001F6BE8"/>
    <w:rsid w:val="002036A1"/>
    <w:rsid w:val="00207FB7"/>
    <w:rsid w:val="002134B4"/>
    <w:rsid w:val="002203C9"/>
    <w:rsid w:val="0023245A"/>
    <w:rsid w:val="00237691"/>
    <w:rsid w:val="00242CA0"/>
    <w:rsid w:val="00243432"/>
    <w:rsid w:val="00247146"/>
    <w:rsid w:val="0025046E"/>
    <w:rsid w:val="00273D58"/>
    <w:rsid w:val="00276AAA"/>
    <w:rsid w:val="00277C1F"/>
    <w:rsid w:val="002866AD"/>
    <w:rsid w:val="00286BE3"/>
    <w:rsid w:val="002907EC"/>
    <w:rsid w:val="0029135D"/>
    <w:rsid w:val="00292951"/>
    <w:rsid w:val="00293CD1"/>
    <w:rsid w:val="002A2CC0"/>
    <w:rsid w:val="002A3962"/>
    <w:rsid w:val="002A5972"/>
    <w:rsid w:val="002E238B"/>
    <w:rsid w:val="002E4200"/>
    <w:rsid w:val="002F1A0F"/>
    <w:rsid w:val="00304132"/>
    <w:rsid w:val="00312124"/>
    <w:rsid w:val="00313820"/>
    <w:rsid w:val="0032649A"/>
    <w:rsid w:val="003277D7"/>
    <w:rsid w:val="00332F98"/>
    <w:rsid w:val="00340E4B"/>
    <w:rsid w:val="003423DF"/>
    <w:rsid w:val="003430A6"/>
    <w:rsid w:val="003448FC"/>
    <w:rsid w:val="003548D8"/>
    <w:rsid w:val="003553E3"/>
    <w:rsid w:val="00363CC2"/>
    <w:rsid w:val="00364C38"/>
    <w:rsid w:val="0036751F"/>
    <w:rsid w:val="00371EEC"/>
    <w:rsid w:val="003876F3"/>
    <w:rsid w:val="00390426"/>
    <w:rsid w:val="00394AEB"/>
    <w:rsid w:val="0039530A"/>
    <w:rsid w:val="003A6353"/>
    <w:rsid w:val="003B3274"/>
    <w:rsid w:val="003C125E"/>
    <w:rsid w:val="003C13C6"/>
    <w:rsid w:val="003D5958"/>
    <w:rsid w:val="003D6AC7"/>
    <w:rsid w:val="003E49A6"/>
    <w:rsid w:val="003E5E34"/>
    <w:rsid w:val="003F53FB"/>
    <w:rsid w:val="00400B4D"/>
    <w:rsid w:val="00401F18"/>
    <w:rsid w:val="00402D79"/>
    <w:rsid w:val="004056B7"/>
    <w:rsid w:val="00405957"/>
    <w:rsid w:val="00410AC8"/>
    <w:rsid w:val="0041104C"/>
    <w:rsid w:val="00414664"/>
    <w:rsid w:val="004174E6"/>
    <w:rsid w:val="004330C9"/>
    <w:rsid w:val="00443460"/>
    <w:rsid w:val="0044773C"/>
    <w:rsid w:val="00451254"/>
    <w:rsid w:val="00457333"/>
    <w:rsid w:val="004672B5"/>
    <w:rsid w:val="004675E6"/>
    <w:rsid w:val="00470FDE"/>
    <w:rsid w:val="0047188D"/>
    <w:rsid w:val="0047751F"/>
    <w:rsid w:val="004844D1"/>
    <w:rsid w:val="0048559D"/>
    <w:rsid w:val="00494A93"/>
    <w:rsid w:val="00494D75"/>
    <w:rsid w:val="004A1763"/>
    <w:rsid w:val="004B1E83"/>
    <w:rsid w:val="004D1C78"/>
    <w:rsid w:val="004D441E"/>
    <w:rsid w:val="004D46D1"/>
    <w:rsid w:val="004E0978"/>
    <w:rsid w:val="004E1D9E"/>
    <w:rsid w:val="00504611"/>
    <w:rsid w:val="005164DC"/>
    <w:rsid w:val="00520408"/>
    <w:rsid w:val="00530EBD"/>
    <w:rsid w:val="00551AF3"/>
    <w:rsid w:val="005622C2"/>
    <w:rsid w:val="00567912"/>
    <w:rsid w:val="00570098"/>
    <w:rsid w:val="00574FD6"/>
    <w:rsid w:val="00575585"/>
    <w:rsid w:val="005805E7"/>
    <w:rsid w:val="00583F5D"/>
    <w:rsid w:val="0058424C"/>
    <w:rsid w:val="00584F8D"/>
    <w:rsid w:val="005941DC"/>
    <w:rsid w:val="005A0350"/>
    <w:rsid w:val="005B4B7E"/>
    <w:rsid w:val="005B5990"/>
    <w:rsid w:val="005B7A76"/>
    <w:rsid w:val="005C2618"/>
    <w:rsid w:val="005C6147"/>
    <w:rsid w:val="005D235E"/>
    <w:rsid w:val="005D5F8C"/>
    <w:rsid w:val="005E5148"/>
    <w:rsid w:val="0060114B"/>
    <w:rsid w:val="00611DE2"/>
    <w:rsid w:val="006227B3"/>
    <w:rsid w:val="00642220"/>
    <w:rsid w:val="00646104"/>
    <w:rsid w:val="00652ED1"/>
    <w:rsid w:val="006626FF"/>
    <w:rsid w:val="006650A8"/>
    <w:rsid w:val="006673AD"/>
    <w:rsid w:val="00674197"/>
    <w:rsid w:val="0067772C"/>
    <w:rsid w:val="00683410"/>
    <w:rsid w:val="00685435"/>
    <w:rsid w:val="00686D7C"/>
    <w:rsid w:val="00690F56"/>
    <w:rsid w:val="006A4637"/>
    <w:rsid w:val="006C39F8"/>
    <w:rsid w:val="006C72F9"/>
    <w:rsid w:val="006E1A08"/>
    <w:rsid w:val="006E70F1"/>
    <w:rsid w:val="006F25F4"/>
    <w:rsid w:val="006F66F9"/>
    <w:rsid w:val="006F6E13"/>
    <w:rsid w:val="007010C5"/>
    <w:rsid w:val="007011F1"/>
    <w:rsid w:val="007127A1"/>
    <w:rsid w:val="00713ACE"/>
    <w:rsid w:val="00715F82"/>
    <w:rsid w:val="0071749C"/>
    <w:rsid w:val="00735A02"/>
    <w:rsid w:val="00736E64"/>
    <w:rsid w:val="007412B6"/>
    <w:rsid w:val="0074295D"/>
    <w:rsid w:val="007636EC"/>
    <w:rsid w:val="00767D37"/>
    <w:rsid w:val="00774503"/>
    <w:rsid w:val="00777CD2"/>
    <w:rsid w:val="0078038F"/>
    <w:rsid w:val="00785FE9"/>
    <w:rsid w:val="00786E04"/>
    <w:rsid w:val="007A7F79"/>
    <w:rsid w:val="007B2F26"/>
    <w:rsid w:val="007D46C2"/>
    <w:rsid w:val="007E026B"/>
    <w:rsid w:val="008043E5"/>
    <w:rsid w:val="00804A1A"/>
    <w:rsid w:val="0081073D"/>
    <w:rsid w:val="00810C87"/>
    <w:rsid w:val="00811CE6"/>
    <w:rsid w:val="008323ED"/>
    <w:rsid w:val="00835955"/>
    <w:rsid w:val="00836284"/>
    <w:rsid w:val="00846701"/>
    <w:rsid w:val="008624D5"/>
    <w:rsid w:val="008626C6"/>
    <w:rsid w:val="0086746F"/>
    <w:rsid w:val="00871CA6"/>
    <w:rsid w:val="00882AB5"/>
    <w:rsid w:val="00882B1D"/>
    <w:rsid w:val="0088672C"/>
    <w:rsid w:val="008A17E2"/>
    <w:rsid w:val="008A1F0C"/>
    <w:rsid w:val="008A40D1"/>
    <w:rsid w:val="008B541B"/>
    <w:rsid w:val="008C2241"/>
    <w:rsid w:val="00901003"/>
    <w:rsid w:val="0090158E"/>
    <w:rsid w:val="00901EF6"/>
    <w:rsid w:val="0090413E"/>
    <w:rsid w:val="0092291E"/>
    <w:rsid w:val="00927124"/>
    <w:rsid w:val="009271B1"/>
    <w:rsid w:val="0092720A"/>
    <w:rsid w:val="00931CBA"/>
    <w:rsid w:val="009441E2"/>
    <w:rsid w:val="00963680"/>
    <w:rsid w:val="009649E4"/>
    <w:rsid w:val="00964D3F"/>
    <w:rsid w:val="009700D9"/>
    <w:rsid w:val="009768B1"/>
    <w:rsid w:val="00985C15"/>
    <w:rsid w:val="00985CFE"/>
    <w:rsid w:val="009A6DCA"/>
    <w:rsid w:val="009B00FD"/>
    <w:rsid w:val="009B38D1"/>
    <w:rsid w:val="009B4116"/>
    <w:rsid w:val="009B6DEF"/>
    <w:rsid w:val="009C0E19"/>
    <w:rsid w:val="009C2A10"/>
    <w:rsid w:val="009D1EA2"/>
    <w:rsid w:val="009D2F27"/>
    <w:rsid w:val="009E0141"/>
    <w:rsid w:val="009E234B"/>
    <w:rsid w:val="009E36F5"/>
    <w:rsid w:val="009F52F3"/>
    <w:rsid w:val="009F6095"/>
    <w:rsid w:val="00A10441"/>
    <w:rsid w:val="00A15094"/>
    <w:rsid w:val="00A21F98"/>
    <w:rsid w:val="00A2267E"/>
    <w:rsid w:val="00A25819"/>
    <w:rsid w:val="00A263B4"/>
    <w:rsid w:val="00A3381C"/>
    <w:rsid w:val="00A4155D"/>
    <w:rsid w:val="00A41C21"/>
    <w:rsid w:val="00A44F5A"/>
    <w:rsid w:val="00A47DA7"/>
    <w:rsid w:val="00A52DE7"/>
    <w:rsid w:val="00A55023"/>
    <w:rsid w:val="00A56B86"/>
    <w:rsid w:val="00A571D9"/>
    <w:rsid w:val="00A57DE3"/>
    <w:rsid w:val="00A632EF"/>
    <w:rsid w:val="00A677E9"/>
    <w:rsid w:val="00A740AB"/>
    <w:rsid w:val="00A7556C"/>
    <w:rsid w:val="00A834BF"/>
    <w:rsid w:val="00A90769"/>
    <w:rsid w:val="00A973AA"/>
    <w:rsid w:val="00AA177A"/>
    <w:rsid w:val="00AB4DC3"/>
    <w:rsid w:val="00AB6F0B"/>
    <w:rsid w:val="00AC0007"/>
    <w:rsid w:val="00AC55EE"/>
    <w:rsid w:val="00AC775D"/>
    <w:rsid w:val="00AD022F"/>
    <w:rsid w:val="00AD239A"/>
    <w:rsid w:val="00AD75AC"/>
    <w:rsid w:val="00AF2C11"/>
    <w:rsid w:val="00AF3788"/>
    <w:rsid w:val="00AF5262"/>
    <w:rsid w:val="00AF7928"/>
    <w:rsid w:val="00B26E3E"/>
    <w:rsid w:val="00B34443"/>
    <w:rsid w:val="00B35DAD"/>
    <w:rsid w:val="00B47443"/>
    <w:rsid w:val="00B52390"/>
    <w:rsid w:val="00B5377A"/>
    <w:rsid w:val="00B5400F"/>
    <w:rsid w:val="00B6181C"/>
    <w:rsid w:val="00B66231"/>
    <w:rsid w:val="00B71A1C"/>
    <w:rsid w:val="00B92B6C"/>
    <w:rsid w:val="00BA0DDC"/>
    <w:rsid w:val="00BA6C9C"/>
    <w:rsid w:val="00BB3BEF"/>
    <w:rsid w:val="00BD34F2"/>
    <w:rsid w:val="00BE4F81"/>
    <w:rsid w:val="00BF149C"/>
    <w:rsid w:val="00C02E4A"/>
    <w:rsid w:val="00C05B88"/>
    <w:rsid w:val="00C07F7F"/>
    <w:rsid w:val="00C12530"/>
    <w:rsid w:val="00C14429"/>
    <w:rsid w:val="00C247D8"/>
    <w:rsid w:val="00C2620E"/>
    <w:rsid w:val="00C27667"/>
    <w:rsid w:val="00C31FF2"/>
    <w:rsid w:val="00C34009"/>
    <w:rsid w:val="00C4763A"/>
    <w:rsid w:val="00C63D1E"/>
    <w:rsid w:val="00C667F3"/>
    <w:rsid w:val="00C712D2"/>
    <w:rsid w:val="00C77B5C"/>
    <w:rsid w:val="00C824C6"/>
    <w:rsid w:val="00C8275F"/>
    <w:rsid w:val="00C87068"/>
    <w:rsid w:val="00C9162F"/>
    <w:rsid w:val="00CA2F0A"/>
    <w:rsid w:val="00CB1F3B"/>
    <w:rsid w:val="00CB3579"/>
    <w:rsid w:val="00CB6CE7"/>
    <w:rsid w:val="00CC0731"/>
    <w:rsid w:val="00CC6C4F"/>
    <w:rsid w:val="00CC770C"/>
    <w:rsid w:val="00CD215D"/>
    <w:rsid w:val="00CD5EF2"/>
    <w:rsid w:val="00CD6628"/>
    <w:rsid w:val="00D001D1"/>
    <w:rsid w:val="00D05EAB"/>
    <w:rsid w:val="00D2331B"/>
    <w:rsid w:val="00D24020"/>
    <w:rsid w:val="00D36BB6"/>
    <w:rsid w:val="00D53DEB"/>
    <w:rsid w:val="00D57DE8"/>
    <w:rsid w:val="00D70C28"/>
    <w:rsid w:val="00D73AAD"/>
    <w:rsid w:val="00D75842"/>
    <w:rsid w:val="00D86FF7"/>
    <w:rsid w:val="00DA0C03"/>
    <w:rsid w:val="00DA28D1"/>
    <w:rsid w:val="00DB7B7C"/>
    <w:rsid w:val="00DC22E5"/>
    <w:rsid w:val="00DD107B"/>
    <w:rsid w:val="00DD6DF0"/>
    <w:rsid w:val="00DE40C0"/>
    <w:rsid w:val="00DF239C"/>
    <w:rsid w:val="00E0031C"/>
    <w:rsid w:val="00E0138A"/>
    <w:rsid w:val="00E06430"/>
    <w:rsid w:val="00E16289"/>
    <w:rsid w:val="00E22463"/>
    <w:rsid w:val="00E23871"/>
    <w:rsid w:val="00E322E9"/>
    <w:rsid w:val="00E400EA"/>
    <w:rsid w:val="00E46EE5"/>
    <w:rsid w:val="00E57F5E"/>
    <w:rsid w:val="00E60095"/>
    <w:rsid w:val="00E60FB0"/>
    <w:rsid w:val="00E614A1"/>
    <w:rsid w:val="00E700AD"/>
    <w:rsid w:val="00E74ABD"/>
    <w:rsid w:val="00E81053"/>
    <w:rsid w:val="00E83023"/>
    <w:rsid w:val="00E833E4"/>
    <w:rsid w:val="00E85F04"/>
    <w:rsid w:val="00E92EED"/>
    <w:rsid w:val="00E93A0F"/>
    <w:rsid w:val="00EA3E66"/>
    <w:rsid w:val="00EC0B43"/>
    <w:rsid w:val="00EC6AB5"/>
    <w:rsid w:val="00EF273F"/>
    <w:rsid w:val="00F106FB"/>
    <w:rsid w:val="00F11AA8"/>
    <w:rsid w:val="00F24787"/>
    <w:rsid w:val="00F27223"/>
    <w:rsid w:val="00F3623C"/>
    <w:rsid w:val="00F41116"/>
    <w:rsid w:val="00F44D20"/>
    <w:rsid w:val="00F4518C"/>
    <w:rsid w:val="00F4529D"/>
    <w:rsid w:val="00F53F09"/>
    <w:rsid w:val="00F56113"/>
    <w:rsid w:val="00F56B20"/>
    <w:rsid w:val="00F57CEA"/>
    <w:rsid w:val="00F6219B"/>
    <w:rsid w:val="00F64E0B"/>
    <w:rsid w:val="00F72D66"/>
    <w:rsid w:val="00F74D65"/>
    <w:rsid w:val="00F8164B"/>
    <w:rsid w:val="00F935EE"/>
    <w:rsid w:val="00FA3D8C"/>
    <w:rsid w:val="00FB587F"/>
    <w:rsid w:val="00FC1129"/>
    <w:rsid w:val="00FC3698"/>
    <w:rsid w:val="00FD2C8C"/>
    <w:rsid w:val="00FF42E2"/>
    <w:rsid w:val="00FF4C58"/>
    <w:rsid w:val="00FF5DEB"/>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E4F81"/>
    <w:rPr>
      <w:color w:val="0563C1" w:themeColor="hyperlink"/>
      <w:u w:val="single"/>
    </w:rPr>
  </w:style>
  <w:style w:type="character" w:styleId="UnresolvedMention">
    <w:name w:val="Unresolved Mention"/>
    <w:basedOn w:val="DefaultParagraphFont"/>
    <w:uiPriority w:val="99"/>
    <w:semiHidden/>
    <w:unhideWhenUsed/>
    <w:rsid w:val="00BE4F81"/>
    <w:rPr>
      <w:color w:val="605E5C"/>
      <w:shd w:val="clear" w:color="auto" w:fill="E1DFDD"/>
    </w:rPr>
  </w:style>
  <w:style w:type="table" w:styleId="TableGrid">
    <w:name w:val="Table Grid"/>
    <w:basedOn w:val="TableNormal"/>
    <w:uiPriority w:val="39"/>
    <w:rsid w:val="006E70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ol.gov/agencies/eta/advisories/uipl-19-24" TargetMode="External" /><Relationship Id="rId6" Type="http://schemas.openxmlformats.org/officeDocument/2006/relationships/hyperlink" Target="https://www.dol.gov/sites/dolgov/files/ETA/advisories/UIPL/2023/UIPL%2013-23/UIPL%2013-23.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E4C94-0A39-4E72-9B05-CA9C9F39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4120</Words>
  <Characters>23607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Trujillo, Sandra - ETA</cp:lastModifiedBy>
  <cp:revision>4</cp:revision>
  <cp:lastPrinted>2020-02-19T15:46:00Z</cp:lastPrinted>
  <dcterms:created xsi:type="dcterms:W3CDTF">2025-09-05T16:26:00Z</dcterms:created>
  <dcterms:modified xsi:type="dcterms:W3CDTF">2025-09-05T16:35:00Z</dcterms:modified>
</cp:coreProperties>
</file>