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6082F440">
      <w:pPr>
        <w:widowControl/>
        <w:tabs>
          <w:tab w:val="left" w:pos="720"/>
        </w:tabs>
        <w:ind w:left="720" w:hanging="1440"/>
        <w:jc w:val="center"/>
        <w:rPr>
          <w:rFonts w:ascii="Times New Roman" w:hAnsi="Times New Roman"/>
          <w:b/>
          <w:bCs/>
        </w:rPr>
      </w:pPr>
      <w:r>
        <w:rPr>
          <w:rFonts w:ascii="Times New Roman" w:hAnsi="Times New Roman"/>
          <w:b/>
          <w:bCs/>
        </w:rPr>
        <w:t xml:space="preserve">        </w:t>
      </w:r>
      <w:r w:rsidRPr="00A47DA7">
        <w:rPr>
          <w:rFonts w:ascii="Times New Roman" w:hAnsi="Times New Roman"/>
          <w:b/>
          <w:bCs/>
        </w:rPr>
        <w:t>SUPPORTING STATEMENT FOR</w:t>
      </w:r>
    </w:p>
    <w:p w:rsidR="0074503F" w:rsidP="0074503F" w14:paraId="5B44D6B9" w14:textId="72BBD5B3">
      <w:pPr>
        <w:widowControl/>
        <w:jc w:val="center"/>
        <w:rPr>
          <w:rFonts w:ascii="Times New Roman" w:hAnsi="Times New Roman"/>
          <w:b/>
          <w:bCs/>
        </w:rPr>
      </w:pPr>
      <w:r w:rsidRPr="007E45DB">
        <w:rPr>
          <w:rFonts w:ascii="Times New Roman" w:hAnsi="Times New Roman"/>
          <w:b/>
          <w:bCs/>
        </w:rPr>
        <w:t>Interstate Arrangement for Combining Employment and Wages</w:t>
      </w:r>
    </w:p>
    <w:p w:rsidR="00690F56" w:rsidRPr="00871CA6" w:rsidP="00C35B78" w14:paraId="6C3E63C8" w14:textId="4B557941">
      <w:pPr>
        <w:widowControl/>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871CA6" w:rsidR="00116CD5">
        <w:rPr>
          <w:rFonts w:ascii="Times New Roman" w:hAnsi="Times New Roman"/>
          <w:b/>
          <w:bCs/>
        </w:rPr>
        <w:t>OMB</w:t>
      </w:r>
      <w:r>
        <w:rPr>
          <w:rFonts w:ascii="Times New Roman" w:hAnsi="Times New Roman"/>
          <w:b/>
          <w:bCs/>
        </w:rPr>
        <w:t xml:space="preserve"> </w:t>
      </w:r>
      <w:r w:rsidRPr="00871CA6">
        <w:rPr>
          <w:rFonts w:ascii="Times New Roman" w:hAnsi="Times New Roman"/>
          <w:b/>
          <w:bCs/>
        </w:rPr>
        <w:t xml:space="preserve">CONTROL NO. </w:t>
      </w:r>
      <w:r w:rsidR="0074503F">
        <w:rPr>
          <w:rFonts w:ascii="Times New Roman" w:hAnsi="Times New Roman"/>
          <w:b/>
          <w:bCs/>
        </w:rPr>
        <w:t>1205</w:t>
      </w:r>
      <w:r w:rsidRPr="00871CA6">
        <w:rPr>
          <w:rFonts w:ascii="Times New Roman" w:hAnsi="Times New Roman"/>
          <w:b/>
          <w:bCs/>
        </w:rPr>
        <w:t>-</w:t>
      </w:r>
      <w:r w:rsidR="0074503F">
        <w:rPr>
          <w:rFonts w:ascii="Times New Roman" w:hAnsi="Times New Roman"/>
          <w:b/>
          <w:bCs/>
        </w:rPr>
        <w:t>0029</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744EDD65">
      <w:pPr>
        <w:widowControl/>
        <w:rPr>
          <w:rFonts w:ascii="Times New Roman" w:hAnsi="Times New Roman"/>
          <w:bCs/>
        </w:rPr>
      </w:pPr>
      <w:r w:rsidRPr="00DE6066">
        <w:rPr>
          <w:rFonts w:ascii="Times New Roman" w:hAnsi="Times New Roman"/>
          <w:bCs/>
        </w:rPr>
        <w:t>This Information Collection Request (ICR) requests an extension without change to OMB Control Number</w:t>
      </w:r>
      <w:r w:rsidR="00627087">
        <w:rPr>
          <w:rFonts w:ascii="Times New Roman" w:hAnsi="Times New Roman"/>
          <w:bCs/>
        </w:rPr>
        <w:t xml:space="preserve"> 1205-0029,</w:t>
      </w:r>
      <w:r w:rsidRPr="00DE6066">
        <w:rPr>
          <w:rFonts w:ascii="Times New Roman" w:hAnsi="Times New Roman"/>
          <w:bCs/>
        </w:rPr>
        <w:t xml:space="preserve"> </w:t>
      </w:r>
      <w:r w:rsidRPr="0074503F" w:rsidR="0074503F">
        <w:rPr>
          <w:rFonts w:ascii="Times New Roman" w:hAnsi="Times New Roman"/>
          <w:bCs/>
        </w:rPr>
        <w:t>Interstate Arrangement for Combining Employment and Wages (ETA 586).</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RPr="00A47DA7" w:rsidP="00690F56" w14:paraId="38CEE6AD" w14:textId="77777777">
      <w:pPr>
        <w:widowControl/>
        <w:rPr>
          <w:rFonts w:ascii="Times New Roman" w:hAnsi="Times New Roman"/>
        </w:rPr>
      </w:pPr>
    </w:p>
    <w:p w:rsidR="00690F56" w:rsidP="00690F56" w14:paraId="74744673" w14:textId="768BE7A4">
      <w:pPr>
        <w:widowControl/>
        <w:rPr>
          <w:rFonts w:ascii="Times New Roman" w:hAnsi="Times New Roman"/>
        </w:rPr>
      </w:pPr>
      <w:bookmarkStart w:id="0" w:name="_Hlk125388187"/>
      <w:r w:rsidRPr="0074503F">
        <w:rPr>
          <w:rFonts w:ascii="Times New Roman" w:hAnsi="Times New Roman"/>
        </w:rPr>
        <w:t>Section 3304(a)(9)(B), of the Internal Revenue Code (IRC)</w:t>
      </w:r>
      <w:bookmarkEnd w:id="0"/>
      <w:r w:rsidRPr="0074503F">
        <w:rPr>
          <w:rFonts w:ascii="Times New Roman" w:hAnsi="Times New Roman"/>
        </w:rPr>
        <w:t xml:space="preserve"> of 1986, requires States to participate in an arrangement for combining employment and wages covered under the different State laws for the purpose of determining unemployed workers' entitlement to unemployment compensation. The Interstate Arrangement for Combining Employment and Wages (CWC), promulgated at 20 CFR 616, requires the prompt transfer of all available employment and wages between States upon request. The Benefit Payment Promptness Standard, 20 CFR 640, requires the prompt payment of unemployment compensation including benefits paid under the CWC arrangement. Section 303(a)(6) of the Social Security Act grants authority to the Secretary to require States to report program information as deemed necessary.</w:t>
      </w:r>
    </w:p>
    <w:p w:rsidR="0074503F" w:rsidRPr="00D53DEB" w:rsidP="00690F56" w14:paraId="4A9FFF7A"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14:paraId="6EBE63D5" w14:textId="6B2E225F">
      <w:pPr>
        <w:widowControl/>
        <w:rPr>
          <w:rFonts w:ascii="Times New Roman" w:hAnsi="Times New Roman"/>
          <w:u w:val="single"/>
        </w:rPr>
      </w:pPr>
    </w:p>
    <w:p w:rsidR="0074503F" w:rsidP="0074503F" w14:paraId="1635F4CE" w14:textId="3F409046">
      <w:pPr>
        <w:rPr>
          <w:rFonts w:ascii="Times New Roman" w:hAnsi="Times New Roman"/>
        </w:rPr>
      </w:pPr>
      <w:r w:rsidRPr="00A6129B">
        <w:rPr>
          <w:rFonts w:ascii="Times New Roman" w:hAnsi="Times New Roman"/>
        </w:rPr>
        <w:t xml:space="preserve">The administration of this program is complex and difficult due to the involvement of more than one State in each determination. All States involved in each claim must take </w:t>
      </w:r>
      <w:r w:rsidRPr="00A6129B">
        <w:rPr>
          <w:rFonts w:ascii="Times New Roman" w:hAnsi="Times New Roman"/>
        </w:rPr>
        <w:t>a number of</w:t>
      </w:r>
      <w:r w:rsidRPr="00A6129B">
        <w:rPr>
          <w:rFonts w:ascii="Times New Roman" w:hAnsi="Times New Roman"/>
        </w:rPr>
        <w:t xml:space="preserve"> actions and make decisions before a monetary determination can be issued. CWC claims are processed under the Interstate and Intrastate programs and </w:t>
      </w:r>
      <w:r>
        <w:rPr>
          <w:rFonts w:ascii="Times New Roman" w:hAnsi="Times New Roman"/>
        </w:rPr>
        <w:t xml:space="preserve">can </w:t>
      </w:r>
      <w:r w:rsidRPr="00A6129B">
        <w:rPr>
          <w:rFonts w:ascii="Times New Roman" w:hAnsi="Times New Roman"/>
        </w:rPr>
        <w:t>include State covered employment and wages</w:t>
      </w:r>
      <w:r>
        <w:rPr>
          <w:rFonts w:ascii="Times New Roman" w:hAnsi="Times New Roman"/>
        </w:rPr>
        <w:t xml:space="preserve">, as well as </w:t>
      </w:r>
      <w:r w:rsidRPr="00A6129B">
        <w:rPr>
          <w:rFonts w:ascii="Times New Roman" w:hAnsi="Times New Roman"/>
        </w:rPr>
        <w:t>Federal military and civilian employment and wages, which require special handling</w:t>
      </w:r>
      <w:r>
        <w:rPr>
          <w:rFonts w:ascii="Times New Roman" w:hAnsi="Times New Roman"/>
        </w:rPr>
        <w:t xml:space="preserve">.  </w:t>
      </w:r>
    </w:p>
    <w:p w:rsidR="0074503F" w:rsidRPr="00A6129B" w:rsidP="0074503F" w14:paraId="2EFD45C0" w14:textId="77777777">
      <w:pPr>
        <w:rPr>
          <w:rFonts w:ascii="Times New Roman" w:hAnsi="Times New Roman"/>
        </w:rPr>
      </w:pPr>
    </w:p>
    <w:p w:rsidR="0074503F" w:rsidRPr="00A6129B" w:rsidP="0074503F" w14:paraId="45699218" w14:textId="4F86B67D">
      <w:pPr>
        <w:rPr>
          <w:rFonts w:ascii="Times New Roman" w:hAnsi="Times New Roman"/>
        </w:rPr>
      </w:pPr>
      <w:r w:rsidRPr="00A6129B">
        <w:rPr>
          <w:rFonts w:ascii="Times New Roman" w:hAnsi="Times New Roman"/>
        </w:rPr>
        <w:t>This information is necessary in order for ETA to analyze program performance, know when program performance action plans are needed and to target technical assistance resources.  Without this report, it would be impossible for the ETA to identify activity under the CWC program and carry out the Secretary's responsibility for oversight.</w:t>
      </w:r>
    </w:p>
    <w:p w:rsidR="0074503F" w:rsidRPr="00A6129B" w:rsidP="0074503F" w14:paraId="7E167729" w14:textId="77777777">
      <w:pPr>
        <w:rPr>
          <w:rFonts w:ascii="Times New Roman" w:hAnsi="Times New Roman"/>
        </w:rPr>
      </w:pPr>
    </w:p>
    <w:p w:rsidR="0074503F" w:rsidP="0074503F" w14:paraId="3EE654EF" w14:textId="77777777">
      <w:pPr>
        <w:rPr>
          <w:rFonts w:ascii="Times New Roman" w:hAnsi="Times New Roman"/>
        </w:rPr>
      </w:pPr>
      <w:r w:rsidRPr="00A6129B">
        <w:rPr>
          <w:rFonts w:ascii="Times New Roman" w:hAnsi="Times New Roman"/>
        </w:rPr>
        <w:t xml:space="preserve">The ETA 586 report provides the ETA/Office of </w:t>
      </w:r>
      <w:r>
        <w:rPr>
          <w:rFonts w:ascii="Times New Roman" w:hAnsi="Times New Roman"/>
        </w:rPr>
        <w:t xml:space="preserve">Unemployment Insurance </w:t>
      </w:r>
      <w:r w:rsidRPr="00A6129B">
        <w:rPr>
          <w:rFonts w:ascii="Times New Roman" w:hAnsi="Times New Roman"/>
        </w:rPr>
        <w:t>(O</w:t>
      </w:r>
      <w:r>
        <w:rPr>
          <w:rFonts w:ascii="Times New Roman" w:hAnsi="Times New Roman"/>
        </w:rPr>
        <w:t>UI</w:t>
      </w:r>
      <w:r w:rsidRPr="00A6129B">
        <w:rPr>
          <w:rFonts w:ascii="Times New Roman" w:hAnsi="Times New Roman"/>
        </w:rPr>
        <w:t xml:space="preserve">) Division of Unemployment Insurance Operations (DUIO) with information necessary to measure the scope and effect of the program and monitor the performance of each State in responding to wage </w:t>
      </w:r>
      <w:r w:rsidRPr="00A6129B">
        <w:rPr>
          <w:rFonts w:ascii="Times New Roman" w:hAnsi="Times New Roman"/>
        </w:rPr>
        <w:t>transfer request</w:t>
      </w:r>
      <w:r>
        <w:rPr>
          <w:rFonts w:ascii="Times New Roman" w:hAnsi="Times New Roman"/>
        </w:rPr>
        <w:t>s</w:t>
      </w:r>
      <w:r w:rsidRPr="00A6129B">
        <w:rPr>
          <w:rFonts w:ascii="Times New Roman" w:hAnsi="Times New Roman"/>
        </w:rPr>
        <w:t xml:space="preserve"> and the payment of benefits.</w:t>
      </w:r>
    </w:p>
    <w:p w:rsidR="0074503F" w:rsidRPr="00A6129B" w:rsidP="0074503F" w14:paraId="2555242D" w14:textId="77777777">
      <w:pPr>
        <w:rPr>
          <w:rFonts w:ascii="Times New Roman" w:hAnsi="Times New Roman"/>
        </w:rPr>
      </w:pPr>
    </w:p>
    <w:p w:rsidR="0074503F" w:rsidRPr="00A6129B" w:rsidP="0074503F" w14:paraId="4E599389" w14:textId="77777777">
      <w:pPr>
        <w:tabs>
          <w:tab w:val="left" w:pos="0"/>
        </w:tabs>
        <w:rPr>
          <w:rFonts w:ascii="Times New Roman" w:hAnsi="Times New Roman"/>
        </w:rPr>
      </w:pPr>
      <w:r w:rsidRPr="00A6129B">
        <w:rPr>
          <w:rFonts w:ascii="Times New Roman" w:hAnsi="Times New Roman"/>
        </w:rPr>
        <w:t>The UI Benefit Timeliness and Quality system uses the data to determine which States must submit plans for corrective action in</w:t>
      </w:r>
      <w:r>
        <w:rPr>
          <w:rFonts w:ascii="Times New Roman" w:hAnsi="Times New Roman"/>
        </w:rPr>
        <w:t xml:space="preserve"> the State Quality Service Plan</w:t>
      </w:r>
      <w:r w:rsidRPr="00A6129B">
        <w:rPr>
          <w:rFonts w:ascii="Times New Roman" w:hAnsi="Times New Roman"/>
        </w:rPr>
        <w:t xml:space="preserve"> (SQSP) process (OMB 1205-0132).</w:t>
      </w:r>
    </w:p>
    <w:p w:rsidR="0074503F" w:rsidRPr="00A6129B" w:rsidP="0074503F" w14:paraId="5D7DC9A8" w14:textId="77777777">
      <w:pPr>
        <w:tabs>
          <w:tab w:val="left" w:pos="0"/>
        </w:tabs>
        <w:rPr>
          <w:rFonts w:ascii="Times New Roman" w:hAnsi="Times New Roman"/>
        </w:rPr>
      </w:pPr>
    </w:p>
    <w:p w:rsidR="0074503F" w:rsidRPr="00A6129B" w:rsidP="0074503F" w14:paraId="3DAE1889" w14:textId="77777777">
      <w:pPr>
        <w:tabs>
          <w:tab w:val="left" w:pos="0"/>
        </w:tabs>
        <w:rPr>
          <w:rFonts w:ascii="Times New Roman" w:hAnsi="Times New Roman"/>
        </w:rPr>
      </w:pPr>
      <w:r w:rsidRPr="00A6129B">
        <w:rPr>
          <w:rFonts w:ascii="Times New Roman" w:hAnsi="Times New Roman"/>
        </w:rPr>
        <w:t xml:space="preserve">The </w:t>
      </w:r>
      <w:r>
        <w:rPr>
          <w:rFonts w:ascii="Times New Roman" w:hAnsi="Times New Roman"/>
        </w:rPr>
        <w:t>OUI</w:t>
      </w:r>
      <w:r w:rsidRPr="00A6129B">
        <w:rPr>
          <w:rFonts w:ascii="Times New Roman" w:hAnsi="Times New Roman"/>
        </w:rPr>
        <w:t>/DUIO staff and Regional Office Staff use this information to monitor States' on-going performance, to determine technical assistance needs, to respond to inquiries, to determine program emphasis needs, and to measure the impact of performance under this program on the States' ability to comply with the performance criteria of the Benefit Payment Promptness Standard, 20 CFR 640.</w:t>
      </w:r>
    </w:p>
    <w:p w:rsidR="0074503F" w:rsidRPr="00A6129B" w:rsidP="0074503F" w14:paraId="5AF005D3" w14:textId="77777777">
      <w:pPr>
        <w:tabs>
          <w:tab w:val="left" w:pos="0"/>
        </w:tabs>
        <w:rPr>
          <w:rFonts w:ascii="Times New Roman" w:hAnsi="Times New Roman"/>
        </w:rPr>
      </w:pPr>
    </w:p>
    <w:p w:rsidR="0074503F" w:rsidP="0074503F" w14:paraId="63E99583" w14:textId="2AEB94FD">
      <w:pPr>
        <w:widowControl/>
        <w:rPr>
          <w:rFonts w:ascii="Times New Roman" w:hAnsi="Times New Roman"/>
          <w:u w:val="single"/>
        </w:rPr>
      </w:pPr>
      <w:r w:rsidRPr="00A6129B">
        <w:rPr>
          <w:rFonts w:ascii="Times New Roman" w:hAnsi="Times New Roman"/>
        </w:rPr>
        <w:t xml:space="preserve">The data accumulated at State level is used by the State agency as the basis for staffing patterns in claim centers, to determine training needs and to monitor performance. For example, claim centers with a high volume of combined claims would need more and better trained staff due to the volume and complexity of the </w:t>
      </w:r>
      <w:r w:rsidRPr="00A6129B">
        <w:rPr>
          <w:rFonts w:ascii="Times New Roman" w:hAnsi="Times New Roman"/>
        </w:rPr>
        <w:t>claims</w:t>
      </w:r>
      <w:r w:rsidRPr="00A6129B">
        <w:rPr>
          <w:rFonts w:ascii="Times New Roman" w:hAnsi="Times New Roman"/>
        </w:rPr>
        <w:t xml:space="preserve"> workload and the greater amount of time necessary to process these types of claims.</w:t>
      </w:r>
    </w:p>
    <w:p w:rsidR="0074503F" w:rsidRPr="00A47DA7" w:rsidP="00690F56" w14:paraId="46448857"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bookmarkStart w:id="1" w:name="_Hlk208561889"/>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12E26C1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10D5B" w:rsidP="00E10D5B" w14:paraId="5A9EAE5C" w14:textId="3C97F67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94EE5">
        <w:rPr>
          <w:rFonts w:ascii="Times New Roman" w:hAnsi="Times New Roman"/>
        </w:rPr>
        <w:t>States are free to take advantage of any available technology to create/generate the report data.  State Unemployment Insurance programs benefit from computer hardware and software developed by ETA that provides for data storage, data collection and data processing. ETA provides computers and a software system to all states, and that system is</w:t>
      </w:r>
      <w:r w:rsidRPr="00394EE5">
        <w:rPr>
          <w:rFonts w:ascii="Times New Roman" w:hAnsi="Times New Roman"/>
        </w:rPr>
        <w:t>, generally speaking, the</w:t>
      </w:r>
      <w:r w:rsidRPr="00394EE5">
        <w:rPr>
          <w:rFonts w:ascii="Times New Roman" w:hAnsi="Times New Roman"/>
        </w:rPr>
        <w:t xml:space="preserve"> only method by which states may report data. When a state logs into the system, they see facsimiles of the reports and do entry either directly into those facsimiles or by loading pre-formatted, delimited ASCII files exported from their computer systems into the software to populate the reporting interface. The only State that does not report electronically is the Virgin Islands.</w:t>
      </w:r>
    </w:p>
    <w:bookmarkEnd w:id="1"/>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493DECF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10D5B">
        <w:rPr>
          <w:rFonts w:ascii="Times New Roman" w:hAnsi="Times New Roman"/>
        </w:rPr>
        <w:t>This information is not duplicated in any other report.</w:t>
      </w:r>
      <w:r w:rsidR="00C256FF">
        <w:rPr>
          <w:rFonts w:ascii="Times New Roman" w:hAnsi="Times New Roman"/>
        </w:rPr>
        <w:t xml:space="preserve"> </w:t>
      </w:r>
      <w:r w:rsidRPr="00A6129B" w:rsidR="00C256FF">
        <w:rPr>
          <w:rFonts w:ascii="Times New Roman" w:hAnsi="Times New Roman"/>
        </w:rPr>
        <w:t>Specific information concerning the CWC program is not available from any other source.</w:t>
      </w:r>
    </w:p>
    <w:p w:rsidR="00E10D5B" w:rsidRPr="00A973AA" w:rsidP="00690F56" w14:paraId="34766C8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86EF219" w14:textId="57D9EC9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A03DDC" w:rsidRPr="00A03DDC" w:rsidP="00690F56" w14:paraId="5E5670B0" w14:textId="250C5BB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This ICR </w:t>
      </w:r>
      <w:r w:rsidR="00BE550B">
        <w:rPr>
          <w:rFonts w:ascii="Times New Roman" w:hAnsi="Times New Roman"/>
        </w:rPr>
        <w:t xml:space="preserve">only impacts states.  </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6A57F3F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E00D48" w:rsidP="00690F56" w14:paraId="4B37E5BC" w14:textId="20BD48B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C0CB1" w:rsidRPr="00A6129B" w:rsidP="008C0CB1" w14:paraId="3E21063B" w14:textId="4A7F7ADC">
      <w:pPr>
        <w:tabs>
          <w:tab w:val="decimal" w:pos="360"/>
          <w:tab w:val="left" w:pos="720"/>
        </w:tabs>
        <w:rPr>
          <w:rFonts w:ascii="Times New Roman" w:hAnsi="Times New Roman"/>
        </w:rPr>
      </w:pPr>
      <w:r>
        <w:rPr>
          <w:rFonts w:ascii="Times New Roman" w:hAnsi="Times New Roman"/>
        </w:rPr>
        <w:t>Strong program integrity is nee</w:t>
      </w:r>
      <w:r w:rsidR="00B9027F">
        <w:rPr>
          <w:rFonts w:ascii="Times New Roman" w:hAnsi="Times New Roman"/>
        </w:rPr>
        <w:t>ded and r</w:t>
      </w:r>
      <w:r w:rsidRPr="00A6129B" w:rsidR="00E00D48">
        <w:rPr>
          <w:rFonts w:ascii="Times New Roman" w:hAnsi="Times New Roman"/>
        </w:rPr>
        <w:t>eporting less frequently than quarterly would hamper identification of problems</w:t>
      </w:r>
      <w:r w:rsidR="00B9027F">
        <w:rPr>
          <w:rFonts w:ascii="Times New Roman" w:hAnsi="Times New Roman"/>
        </w:rPr>
        <w:t>,</w:t>
      </w:r>
      <w:r w:rsidRPr="00A6129B" w:rsidR="00E00D48">
        <w:rPr>
          <w:rFonts w:ascii="Times New Roman" w:hAnsi="Times New Roman"/>
        </w:rPr>
        <w:t xml:space="preserve"> lengthen the time between the problem arising and solution</w:t>
      </w:r>
      <w:r w:rsidR="00B375C1">
        <w:rPr>
          <w:rFonts w:ascii="Times New Roman" w:hAnsi="Times New Roman"/>
        </w:rPr>
        <w:t>,</w:t>
      </w:r>
      <w:r w:rsidR="00C040F3">
        <w:rPr>
          <w:rFonts w:ascii="Times New Roman" w:hAnsi="Times New Roman"/>
        </w:rPr>
        <w:t xml:space="preserve"> and ultimately </w:t>
      </w:r>
      <w:r w:rsidR="001415DB">
        <w:rPr>
          <w:rFonts w:ascii="Times New Roman" w:hAnsi="Times New Roman"/>
        </w:rPr>
        <w:t xml:space="preserve">hinder the </w:t>
      </w:r>
      <w:r w:rsidR="00A30AF5">
        <w:rPr>
          <w:rFonts w:ascii="Times New Roman" w:hAnsi="Times New Roman"/>
        </w:rPr>
        <w:t>D</w:t>
      </w:r>
      <w:r w:rsidR="00B20715">
        <w:rPr>
          <w:rFonts w:ascii="Times New Roman" w:hAnsi="Times New Roman"/>
        </w:rPr>
        <w:t>epartments ability to effec</w:t>
      </w:r>
      <w:r w:rsidR="00A30AF5">
        <w:rPr>
          <w:rFonts w:ascii="Times New Roman" w:hAnsi="Times New Roman"/>
        </w:rPr>
        <w:t>t</w:t>
      </w:r>
      <w:r w:rsidR="0016351F">
        <w:rPr>
          <w:rFonts w:ascii="Times New Roman" w:hAnsi="Times New Roman"/>
        </w:rPr>
        <w:t>ively</w:t>
      </w:r>
      <w:r w:rsidR="007E45E4">
        <w:rPr>
          <w:rFonts w:ascii="Times New Roman" w:hAnsi="Times New Roman"/>
        </w:rPr>
        <w:t xml:space="preserve"> monitor this program.</w:t>
      </w:r>
      <w:r w:rsidR="00A30AF5">
        <w:rPr>
          <w:rFonts w:ascii="Times New Roman" w:hAnsi="Times New Roman"/>
        </w:rPr>
        <w:t xml:space="preserve"> </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1C38180" w14:textId="61E713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D53DEB">
        <w:rPr>
          <w:rFonts w:ascii="Times New Roman" w:hAnsi="Times New Roman"/>
          <w:b/>
          <w:bCs/>
        </w:rPr>
        <w:t>7</w:t>
      </w:r>
      <w:r w:rsidRPr="00D53DEB">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4516DB" w:rsidP="00690F56" w14:paraId="142BA7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4516DB" w:rsidRPr="00D53DEB" w:rsidP="004516DB" w14:paraId="5567526D"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report information to the agency more often than </w:t>
      </w:r>
      <w:r w:rsidRPr="00D53DEB">
        <w:rPr>
          <w:b/>
          <w:bCs/>
        </w:rPr>
        <w:t>quarterly;</w:t>
      </w:r>
    </w:p>
    <w:p w:rsidR="004516DB" w:rsidRPr="00D53DEB" w:rsidP="004516DB" w14:paraId="77D1F19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4516DB" w:rsidRPr="00D53DEB" w:rsidP="004516DB" w14:paraId="4C2D3CF0"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prepare a written response to a collection of information in fewer than 30 days after receipt of </w:t>
      </w:r>
      <w:r w:rsidRPr="00D53DEB">
        <w:rPr>
          <w:b/>
          <w:bCs/>
        </w:rPr>
        <w:t>it;</w:t>
      </w:r>
    </w:p>
    <w:p w:rsidR="004516DB" w:rsidRPr="00D53DEB" w:rsidP="004516DB" w14:paraId="7E87A75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4516DB" w:rsidRPr="00D53DEB" w:rsidP="004516DB" w14:paraId="352C955E"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submit more than an original and two copies of any </w:t>
      </w:r>
      <w:r w:rsidRPr="00D53DEB">
        <w:rPr>
          <w:b/>
          <w:bCs/>
        </w:rPr>
        <w:t>document;</w:t>
      </w:r>
    </w:p>
    <w:p w:rsidR="004516DB" w:rsidRPr="00D53DEB" w:rsidP="004516DB" w14:paraId="0A6B174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4516DB" w:rsidRPr="00D53DEB" w:rsidP="004516DB" w14:paraId="496900B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retain records, other than health, medical, government contract, grant-in-aid, or tax records for more than three </w:t>
      </w:r>
      <w:r w:rsidRPr="00D53DEB">
        <w:rPr>
          <w:b/>
          <w:bCs/>
        </w:rPr>
        <w:t>years;</w:t>
      </w:r>
    </w:p>
    <w:p w:rsidR="004516DB" w:rsidRPr="00D53DEB" w:rsidP="004516DB" w14:paraId="5C4D6B5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4516DB" w:rsidRPr="00D53DEB" w:rsidP="004516DB" w14:paraId="211B8993"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in connection with a statistical survey, that is not designed to produce valid and reliable results that can be generalized to the universe of </w:t>
      </w:r>
      <w:r w:rsidRPr="00D53DEB">
        <w:rPr>
          <w:b/>
          <w:bCs/>
        </w:rPr>
        <w:t>study;</w:t>
      </w:r>
    </w:p>
    <w:p w:rsidR="004516DB" w:rsidRPr="00D53DEB" w:rsidP="004516DB" w14:paraId="3879A33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4516DB" w:rsidRPr="00D53DEB" w:rsidP="004516DB" w14:paraId="2D786F5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the use of statistical data classification that has not been reviewed and approved by </w:t>
      </w:r>
      <w:r w:rsidRPr="00D53DEB">
        <w:rPr>
          <w:b/>
          <w:bCs/>
        </w:rPr>
        <w:t>OMB;</w:t>
      </w:r>
    </w:p>
    <w:p w:rsidR="004516DB" w:rsidRPr="00D53DEB" w:rsidP="004516DB" w14:paraId="00554DE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4516DB" w:rsidRPr="00D53DEB" w:rsidP="004516DB" w14:paraId="639B62B3"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w:t>
      </w:r>
      <w:r>
        <w:rPr>
          <w:b/>
          <w:bCs/>
        </w:rPr>
        <w:t>it</w:t>
      </w:r>
      <w:r w:rsidRPr="00D53DEB">
        <w:rPr>
          <w:b/>
          <w:bCs/>
        </w:rPr>
        <w: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516DB" w:rsidRPr="00D53DEB" w:rsidP="004516DB" w14:paraId="5B26528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4516DB" w:rsidRPr="00D53DEB" w:rsidP="004516DB" w14:paraId="6839FE8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 xml:space="preserve">requiring respondents to submit proprietary trade </w:t>
      </w:r>
      <w:r w:rsidRPr="00D53DEB">
        <w:rPr>
          <w:b/>
          <w:bCs/>
        </w:rPr>
        <w:t>secret</w:t>
      </w:r>
      <w:r w:rsidRPr="00D53DEB">
        <w:rPr>
          <w:b/>
          <w:bCs/>
        </w:rPr>
        <w:t>, or other confidential information unless the agency can demonstrate that it has instituted procedures to protect the information's confidential</w:t>
      </w:r>
      <w:r>
        <w:rPr>
          <w:b/>
          <w:bCs/>
        </w:rPr>
        <w:t>it</w:t>
      </w:r>
      <w:r w:rsidRPr="00D53DEB">
        <w:rPr>
          <w:b/>
          <w:bCs/>
        </w:rPr>
        <w:t>y to the extent permitted by law.</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00D48" w:rsidP="00E00D48" w14:paraId="6D9CA576" w14:textId="57239F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3C8A">
        <w:rPr>
          <w:rFonts w:ascii="Times New Roman" w:hAnsi="Times New Roman"/>
        </w:rPr>
        <w:t>This report complies with 5 C.F.R. 1320.5.</w:t>
      </w:r>
      <w:r w:rsidR="004516DB">
        <w:rPr>
          <w:rFonts w:ascii="Times New Roman" w:hAnsi="Times New Roman"/>
        </w:rPr>
        <w:t xml:space="preserve"> There are no special circumstances. </w:t>
      </w:r>
    </w:p>
    <w:p w:rsidR="00E00D48" w:rsidRPr="00871CA6" w:rsidP="00690F56" w14:paraId="41B258A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w:t>
      </w:r>
      <w:r w:rsidRPr="00D53DEB">
        <w:rPr>
          <w:rFonts w:ascii="Times New Roman" w:hAnsi="Times New Roman"/>
          <w:b/>
          <w:bCs/>
        </w:rPr>
        <w:t xml:space="preserve">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A47DA7"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00D48" w:rsidP="00E00D48" w14:paraId="5B545488" w14:textId="4E5DF7A7">
      <w:pPr>
        <w:widowControl/>
        <w:autoSpaceDE/>
        <w:autoSpaceDN/>
        <w:adjustRightInd/>
        <w:rPr>
          <w:rFonts w:ascii="Times New Roman" w:eastAsia="Calibri" w:hAnsi="Times New Roman"/>
        </w:rPr>
      </w:pPr>
      <w:r w:rsidRPr="002D402B">
        <w:rPr>
          <w:rFonts w:ascii="Times New Roman" w:eastAsia="Calibri" w:hAnsi="Times New Roman"/>
        </w:rPr>
        <w:t xml:space="preserve">In accordance with the Paperwork Reduction Act of 1995, the public was allowed 60 days to comment through the Federal Register Notice posted on </w:t>
      </w:r>
      <w:r w:rsidR="004516DB">
        <w:rPr>
          <w:rFonts w:ascii="Times New Roman" w:eastAsia="Calibri" w:hAnsi="Times New Roman"/>
        </w:rPr>
        <w:t>June 2, 2025</w:t>
      </w:r>
      <w:r w:rsidR="00A525D1">
        <w:rPr>
          <w:rFonts w:ascii="Times New Roman" w:eastAsia="Calibri" w:hAnsi="Times New Roman"/>
        </w:rPr>
        <w:t>,</w:t>
      </w:r>
      <w:r w:rsidRPr="002D402B">
        <w:rPr>
          <w:rFonts w:ascii="Times New Roman" w:eastAsia="Calibri" w:hAnsi="Times New Roman"/>
        </w:rPr>
        <w:t xml:space="preserve"> (</w:t>
      </w:r>
      <w:r w:rsidR="006B7CFF">
        <w:rPr>
          <w:rFonts w:ascii="Times New Roman" w:eastAsia="Calibri" w:hAnsi="Times New Roman"/>
        </w:rPr>
        <w:t>90</w:t>
      </w:r>
      <w:r w:rsidRPr="002D402B">
        <w:rPr>
          <w:rFonts w:ascii="Times New Roman" w:eastAsia="Calibri" w:hAnsi="Times New Roman"/>
        </w:rPr>
        <w:t xml:space="preserve"> FR </w:t>
      </w:r>
      <w:r w:rsidR="006B7CFF">
        <w:rPr>
          <w:rFonts w:ascii="Times New Roman" w:eastAsia="Calibri" w:hAnsi="Times New Roman"/>
        </w:rPr>
        <w:t>2381</w:t>
      </w:r>
      <w:r w:rsidRPr="002D402B">
        <w:rPr>
          <w:rFonts w:ascii="Times New Roman" w:eastAsia="Calibri" w:hAnsi="Times New Roman"/>
        </w:rPr>
        <w:t>). No public comments were received.</w:t>
      </w:r>
      <w:r w:rsidR="00A17040">
        <w:rPr>
          <w:rFonts w:ascii="Times New Roman" w:eastAsia="Calibri" w:hAnsi="Times New Roman"/>
        </w:rPr>
        <w:t xml:space="preserve"> </w:t>
      </w:r>
      <w:r w:rsidR="00783623">
        <w:rPr>
          <w:rFonts w:ascii="Times New Roman" w:eastAsia="Calibri" w:hAnsi="Times New Roman"/>
        </w:rPr>
        <w:t xml:space="preserve">This is a renewal of this collection </w:t>
      </w:r>
      <w:r w:rsidR="006B7CFF">
        <w:rPr>
          <w:rFonts w:ascii="Times New Roman" w:eastAsia="Calibri" w:hAnsi="Times New Roman"/>
        </w:rPr>
        <w:t>request,</w:t>
      </w:r>
      <w:r w:rsidR="00783623">
        <w:rPr>
          <w:rFonts w:ascii="Times New Roman" w:eastAsia="Calibri" w:hAnsi="Times New Roman"/>
        </w:rPr>
        <w:t xml:space="preserve"> and states are well familiar with the scope and intent of this report. </w:t>
      </w:r>
    </w:p>
    <w:p w:rsidR="00E00D48" w:rsidRPr="00A47DA7" w:rsidP="0060114B" w14:paraId="24A3BEC0"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00D48" w:rsidP="00E00D48" w14:paraId="1B9977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E4DDE">
        <w:rPr>
          <w:rFonts w:ascii="Times New Roman" w:hAnsi="Times New Roman"/>
        </w:rPr>
        <w:t>There are no payments to respondents.</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00D48" w:rsidP="00E00D48" w14:paraId="68609F0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57738">
        <w:rPr>
          <w:rFonts w:ascii="Times New Roman" w:hAnsi="Times New Roman"/>
        </w:rPr>
        <w:t>There are no assurances of confidentiality.</w:t>
      </w:r>
    </w:p>
    <w:p w:rsidR="00E00D48" w:rsidRPr="00871CA6" w:rsidP="00690F56" w14:paraId="66608B9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00D48" w:rsidP="00E00D48" w14:paraId="7BDEE5D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723D7">
        <w:rPr>
          <w:rFonts w:ascii="Times New Roman" w:hAnsi="Times New Roman"/>
        </w:rPr>
        <w:t>Data collection does not involve questions of a sensitive nature.</w:t>
      </w:r>
    </w:p>
    <w:p w:rsidR="00E00D48" w:rsidRPr="00871CA6" w:rsidP="00690F56" w14:paraId="1A56E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783623" w:rsidRPr="00783623" w:rsidP="00783623" w14:paraId="22F635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83623" w:rsidRPr="00783623" w:rsidP="00783623" w14:paraId="5A641C0D"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83623">
        <w:rPr>
          <w:rFonts w:ascii="Times New Roman" w:hAnsi="Times New Roman"/>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w:t>
      </w:r>
      <w:r w:rsidRPr="00783623">
        <w:rPr>
          <w:rFonts w:ascii="Times New Roman" w:hAnsi="Times New Roman"/>
          <w:b/>
          <w:bCs/>
        </w:rPr>
        <w:t>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83623" w:rsidRPr="00783623" w:rsidP="00783623" w14:paraId="4D950A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83623" w:rsidRPr="00783623" w:rsidP="00783623" w14:paraId="69CDDE6D"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83623">
        <w:rPr>
          <w:rFonts w:ascii="Times New Roman" w:hAnsi="Times New Roman"/>
          <w:b/>
          <w:bCs/>
        </w:rPr>
        <w:t>If this request for approval covers more than one form, provide separate hour burden estimates for each form.</w:t>
      </w:r>
    </w:p>
    <w:p w:rsidR="00783623" w:rsidRPr="00783623" w:rsidP="00783623" w14:paraId="19DAF34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83623" w:rsidRPr="00783623" w:rsidP="00783623" w14:paraId="7FB307E2"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83623">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440"/>
        <w:gridCol w:w="1350"/>
        <w:gridCol w:w="990"/>
        <w:gridCol w:w="1050"/>
        <w:gridCol w:w="1020"/>
        <w:gridCol w:w="1218"/>
        <w:gridCol w:w="1482"/>
      </w:tblGrid>
      <w:tr w14:paraId="2DF04903" w14:textId="77777777" w:rsidTr="00C14EE3">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1"/>
        </w:trPr>
        <w:tc>
          <w:tcPr>
            <w:tcW w:w="98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0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12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4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C14EE3">
        <w:tblPrEx>
          <w:tblW w:w="9535" w:type="dxa"/>
          <w:tblLayout w:type="fixed"/>
          <w:tblLook w:val="04A0"/>
        </w:tblPrEx>
        <w:trPr>
          <w:trHeight w:val="899"/>
        </w:trPr>
        <w:tc>
          <w:tcPr>
            <w:tcW w:w="985" w:type="dxa"/>
            <w:tcBorders>
              <w:top w:val="single" w:sz="4" w:space="0" w:color="auto"/>
              <w:left w:val="single" w:sz="4" w:space="0" w:color="auto"/>
              <w:bottom w:val="single" w:sz="4" w:space="0" w:color="auto"/>
              <w:right w:val="single" w:sz="4" w:space="0" w:color="auto"/>
            </w:tcBorders>
            <w:vAlign w:val="bottom"/>
            <w:hideMark/>
          </w:tcPr>
          <w:p w:rsidR="00E00D48" w:rsidP="00E00D48" w14:paraId="0DDD5F9C" w14:textId="77777777">
            <w:pPr>
              <w:spacing w:line="276" w:lineRule="auto"/>
              <w:jc w:val="center"/>
              <w:rPr>
                <w:rFonts w:ascii="Times New Roman" w:hAnsi="Times New Roman"/>
                <w:sz w:val="22"/>
                <w:szCs w:val="22"/>
              </w:rPr>
            </w:pPr>
            <w:r w:rsidRPr="000148E6">
              <w:rPr>
                <w:rFonts w:ascii="Times New Roman" w:hAnsi="Times New Roman"/>
                <w:sz w:val="22"/>
                <w:szCs w:val="22"/>
              </w:rPr>
              <w:t>ETA 586</w:t>
            </w:r>
          </w:p>
          <w:p w:rsidR="00E00D48" w:rsidRPr="00E60FB0" w:rsidP="00E00D48" w14:paraId="762DB321" w14:textId="77777777">
            <w:pPr>
              <w:spacing w:line="276" w:lineRule="auto"/>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E00D48" w:rsidRPr="00E60FB0" w:rsidP="00E00D48" w14:paraId="2F5115C1" w14:textId="6F724045">
            <w:pPr>
              <w:spacing w:line="276" w:lineRule="auto"/>
              <w:jc w:val="center"/>
              <w:rPr>
                <w:rFonts w:ascii="Times New Roman" w:hAnsi="Times New Roman"/>
                <w:sz w:val="22"/>
                <w:szCs w:val="22"/>
              </w:rPr>
            </w:pPr>
            <w:r>
              <w:rPr>
                <w:rFonts w:ascii="Times New Roman" w:hAnsi="Times New Roman"/>
                <w:sz w:val="22"/>
                <w:szCs w:val="22"/>
              </w:rPr>
              <w:t>53</w:t>
            </w:r>
          </w:p>
        </w:tc>
        <w:tc>
          <w:tcPr>
            <w:tcW w:w="1350" w:type="dxa"/>
            <w:tcBorders>
              <w:top w:val="single" w:sz="4" w:space="0" w:color="auto"/>
              <w:left w:val="single" w:sz="4" w:space="0" w:color="auto"/>
              <w:bottom w:val="single" w:sz="4" w:space="0" w:color="auto"/>
              <w:right w:val="single" w:sz="4" w:space="0" w:color="auto"/>
            </w:tcBorders>
            <w:vAlign w:val="center"/>
          </w:tcPr>
          <w:p w:rsidR="00E00D48" w:rsidRPr="00E60FB0" w:rsidP="00E00D48" w14:paraId="5A00193C" w14:textId="0D1884EA">
            <w:pPr>
              <w:spacing w:line="276" w:lineRule="auto"/>
              <w:jc w:val="center"/>
              <w:rPr>
                <w:rFonts w:ascii="Times New Roman" w:hAnsi="Times New Roman"/>
                <w:sz w:val="22"/>
                <w:szCs w:val="22"/>
              </w:rPr>
            </w:pPr>
            <w:r>
              <w:rPr>
                <w:rFonts w:ascii="Times New Roman" w:hAnsi="Times New Roman"/>
                <w:sz w:val="22"/>
                <w:szCs w:val="22"/>
              </w:rPr>
              <w:t>4</w:t>
            </w:r>
          </w:p>
        </w:tc>
        <w:tc>
          <w:tcPr>
            <w:tcW w:w="990" w:type="dxa"/>
            <w:tcBorders>
              <w:top w:val="single" w:sz="4" w:space="0" w:color="auto"/>
              <w:left w:val="single" w:sz="4" w:space="0" w:color="auto"/>
              <w:bottom w:val="single" w:sz="4" w:space="0" w:color="auto"/>
              <w:right w:val="single" w:sz="4" w:space="0" w:color="auto"/>
            </w:tcBorders>
            <w:vAlign w:val="center"/>
          </w:tcPr>
          <w:p w:rsidR="00E00D48" w:rsidP="00E00D48" w14:paraId="41FBFD69" w14:textId="77777777">
            <w:pPr>
              <w:spacing w:line="276" w:lineRule="auto"/>
              <w:jc w:val="center"/>
              <w:rPr>
                <w:rFonts w:ascii="Times New Roman" w:hAnsi="Times New Roman"/>
                <w:sz w:val="22"/>
                <w:szCs w:val="22"/>
              </w:rPr>
            </w:pPr>
          </w:p>
          <w:p w:rsidR="00E00D48" w:rsidRPr="00E60FB0" w:rsidP="00E00D48" w14:paraId="7B356CB3" w14:textId="77777777">
            <w:pPr>
              <w:spacing w:line="276" w:lineRule="auto"/>
              <w:jc w:val="center"/>
              <w:rPr>
                <w:rFonts w:ascii="Times New Roman" w:hAnsi="Times New Roman"/>
                <w:sz w:val="22"/>
                <w:szCs w:val="22"/>
              </w:rPr>
            </w:pPr>
            <w:r>
              <w:rPr>
                <w:rFonts w:ascii="Times New Roman" w:hAnsi="Times New Roman"/>
                <w:sz w:val="22"/>
                <w:szCs w:val="22"/>
              </w:rPr>
              <w:t>212</w:t>
            </w:r>
          </w:p>
          <w:p w:rsidR="00E00D48" w:rsidRPr="00E60FB0" w:rsidP="00E00D48" w14:paraId="15D44061" w14:textId="77777777">
            <w:pPr>
              <w:spacing w:line="276" w:lineRule="auto"/>
              <w:jc w:val="center"/>
              <w:rPr>
                <w:rFonts w:ascii="Times New Roman" w:hAnsi="Times New Roman"/>
                <w:sz w:val="22"/>
                <w:szCs w:val="22"/>
              </w:rPr>
            </w:pPr>
          </w:p>
        </w:tc>
        <w:tc>
          <w:tcPr>
            <w:tcW w:w="1050" w:type="dxa"/>
            <w:tcBorders>
              <w:top w:val="single" w:sz="4" w:space="0" w:color="auto"/>
              <w:left w:val="single" w:sz="4" w:space="0" w:color="auto"/>
              <w:bottom w:val="single" w:sz="4" w:space="0" w:color="auto"/>
              <w:right w:val="single" w:sz="4" w:space="0" w:color="auto"/>
            </w:tcBorders>
            <w:vAlign w:val="center"/>
          </w:tcPr>
          <w:p w:rsidR="00E00D48" w:rsidRPr="00E60FB0" w:rsidP="00E00D48" w14:paraId="5E6AE4C9" w14:textId="77777777">
            <w:pPr>
              <w:spacing w:line="276" w:lineRule="auto"/>
              <w:jc w:val="center"/>
              <w:rPr>
                <w:rFonts w:ascii="Times New Roman" w:hAnsi="Times New Roman"/>
                <w:sz w:val="22"/>
                <w:szCs w:val="22"/>
              </w:rPr>
            </w:pPr>
          </w:p>
          <w:p w:rsidR="00E00D48" w:rsidRPr="00E60FB0" w:rsidP="00E00D48" w14:paraId="45D7EC2E" w14:textId="77777777">
            <w:pPr>
              <w:spacing w:line="276" w:lineRule="auto"/>
              <w:jc w:val="center"/>
              <w:rPr>
                <w:rFonts w:ascii="Times New Roman" w:hAnsi="Times New Roman"/>
                <w:sz w:val="22"/>
                <w:szCs w:val="22"/>
              </w:rPr>
            </w:pPr>
            <w:r>
              <w:rPr>
                <w:rFonts w:ascii="Times New Roman" w:hAnsi="Times New Roman"/>
                <w:sz w:val="22"/>
                <w:szCs w:val="22"/>
              </w:rPr>
              <w:t>4</w:t>
            </w:r>
          </w:p>
          <w:p w:rsidR="00E00D48" w:rsidRPr="00E60FB0" w:rsidP="00E00D48" w14:paraId="460B8B6B" w14:textId="77777777">
            <w:pPr>
              <w:spacing w:line="276" w:lineRule="auto"/>
              <w:jc w:val="center"/>
              <w:rPr>
                <w:rFonts w:ascii="Times New Roman" w:hAnsi="Times New Roman"/>
                <w:sz w:val="22"/>
                <w:szCs w:val="22"/>
              </w:rPr>
            </w:pPr>
          </w:p>
        </w:tc>
        <w:tc>
          <w:tcPr>
            <w:tcW w:w="1020" w:type="dxa"/>
            <w:tcBorders>
              <w:top w:val="single" w:sz="4" w:space="0" w:color="auto"/>
              <w:left w:val="single" w:sz="4" w:space="0" w:color="auto"/>
              <w:bottom w:val="single" w:sz="4" w:space="0" w:color="auto"/>
              <w:right w:val="single" w:sz="4" w:space="0" w:color="auto"/>
            </w:tcBorders>
            <w:vAlign w:val="center"/>
          </w:tcPr>
          <w:p w:rsidR="00E00D48" w:rsidP="00E00D48" w14:paraId="319FB7E8" w14:textId="77777777">
            <w:pPr>
              <w:spacing w:line="276" w:lineRule="auto"/>
              <w:jc w:val="center"/>
              <w:rPr>
                <w:rFonts w:ascii="Times New Roman" w:hAnsi="Times New Roman"/>
                <w:sz w:val="22"/>
                <w:szCs w:val="22"/>
              </w:rPr>
            </w:pPr>
          </w:p>
          <w:p w:rsidR="00E00D48" w:rsidRPr="00E60FB0" w:rsidP="00E00D48" w14:paraId="575F10A7" w14:textId="77777777">
            <w:pPr>
              <w:spacing w:line="276" w:lineRule="auto"/>
              <w:jc w:val="center"/>
              <w:rPr>
                <w:rFonts w:ascii="Times New Roman" w:hAnsi="Times New Roman"/>
                <w:sz w:val="22"/>
                <w:szCs w:val="22"/>
              </w:rPr>
            </w:pPr>
            <w:r>
              <w:rPr>
                <w:rFonts w:ascii="Times New Roman" w:hAnsi="Times New Roman"/>
                <w:sz w:val="22"/>
                <w:szCs w:val="22"/>
              </w:rPr>
              <w:t>848</w:t>
            </w:r>
          </w:p>
          <w:p w:rsidR="00E00D48" w:rsidRPr="00E60FB0" w:rsidP="00E00D48" w14:paraId="752F73D3" w14:textId="77777777">
            <w:pPr>
              <w:spacing w:line="276" w:lineRule="auto"/>
              <w:jc w:val="center"/>
              <w:rPr>
                <w:rFonts w:ascii="Times New Roman" w:hAnsi="Times New Roman"/>
                <w:sz w:val="22"/>
                <w:szCs w:val="22"/>
              </w:rPr>
            </w:pPr>
          </w:p>
        </w:tc>
        <w:tc>
          <w:tcPr>
            <w:tcW w:w="1218" w:type="dxa"/>
            <w:tcBorders>
              <w:top w:val="single" w:sz="4" w:space="0" w:color="auto"/>
              <w:left w:val="single" w:sz="4" w:space="0" w:color="auto"/>
              <w:bottom w:val="single" w:sz="4" w:space="0" w:color="auto"/>
              <w:right w:val="single" w:sz="4" w:space="0" w:color="auto"/>
            </w:tcBorders>
            <w:vAlign w:val="center"/>
          </w:tcPr>
          <w:p w:rsidR="00E00D48" w:rsidRPr="00E60FB0" w:rsidP="00E00D48" w14:paraId="6FAC2390" w14:textId="49108735">
            <w:pPr>
              <w:spacing w:line="276" w:lineRule="auto"/>
              <w:jc w:val="center"/>
              <w:rPr>
                <w:rFonts w:ascii="Times New Roman" w:hAnsi="Times New Roman"/>
                <w:sz w:val="22"/>
                <w:szCs w:val="22"/>
              </w:rPr>
            </w:pPr>
            <w:r>
              <w:rPr>
                <w:rFonts w:ascii="Times New Roman" w:hAnsi="Times New Roman"/>
                <w:sz w:val="22"/>
                <w:szCs w:val="22"/>
              </w:rPr>
              <w:t>$</w:t>
            </w:r>
            <w:r w:rsidR="00B57851">
              <w:rPr>
                <w:rFonts w:ascii="Times New Roman" w:hAnsi="Times New Roman"/>
                <w:sz w:val="22"/>
                <w:szCs w:val="22"/>
              </w:rPr>
              <w:t>6</w:t>
            </w:r>
            <w:r w:rsidR="00BF3150">
              <w:rPr>
                <w:rFonts w:ascii="Times New Roman" w:hAnsi="Times New Roman"/>
                <w:sz w:val="22"/>
                <w:szCs w:val="22"/>
              </w:rPr>
              <w:t>2</w:t>
            </w:r>
          </w:p>
        </w:tc>
        <w:tc>
          <w:tcPr>
            <w:tcW w:w="1482" w:type="dxa"/>
            <w:tcBorders>
              <w:top w:val="single" w:sz="4" w:space="0" w:color="auto"/>
              <w:left w:val="single" w:sz="4" w:space="0" w:color="auto"/>
              <w:bottom w:val="single" w:sz="4" w:space="0" w:color="auto"/>
              <w:right w:val="single" w:sz="4" w:space="0" w:color="auto"/>
            </w:tcBorders>
            <w:vAlign w:val="center"/>
          </w:tcPr>
          <w:p w:rsidR="00E00D48" w:rsidP="00E00D48" w14:paraId="6674394F" w14:textId="77777777">
            <w:pPr>
              <w:spacing w:line="276" w:lineRule="auto"/>
              <w:jc w:val="center"/>
              <w:rPr>
                <w:rFonts w:ascii="Times New Roman" w:hAnsi="Times New Roman"/>
                <w:sz w:val="22"/>
                <w:szCs w:val="22"/>
              </w:rPr>
            </w:pPr>
          </w:p>
          <w:p w:rsidR="00E00D48" w:rsidRPr="00E60FB0" w:rsidP="00E00D48" w14:paraId="13C77247" w14:textId="1DBD2CDF">
            <w:pPr>
              <w:spacing w:line="276" w:lineRule="auto"/>
              <w:jc w:val="center"/>
              <w:rPr>
                <w:rFonts w:ascii="Times New Roman" w:hAnsi="Times New Roman"/>
                <w:sz w:val="22"/>
                <w:szCs w:val="22"/>
              </w:rPr>
            </w:pPr>
            <w:r>
              <w:rPr>
                <w:rFonts w:ascii="Times New Roman" w:hAnsi="Times New Roman"/>
                <w:sz w:val="22"/>
                <w:szCs w:val="22"/>
              </w:rPr>
              <w:t>$</w:t>
            </w:r>
            <w:r w:rsidR="00BF3150">
              <w:rPr>
                <w:rFonts w:ascii="Times New Roman" w:hAnsi="Times New Roman"/>
                <w:sz w:val="22"/>
                <w:szCs w:val="22"/>
              </w:rPr>
              <w:t>52,576</w:t>
            </w:r>
          </w:p>
          <w:p w:rsidR="00E00D48" w:rsidRPr="00E60FB0" w:rsidP="00E00D48" w14:paraId="78C3C2D7" w14:textId="77777777">
            <w:pPr>
              <w:spacing w:line="276" w:lineRule="auto"/>
              <w:jc w:val="center"/>
              <w:rPr>
                <w:rFonts w:ascii="Times New Roman" w:hAnsi="Times New Roman"/>
                <w:sz w:val="22"/>
                <w:szCs w:val="22"/>
              </w:rPr>
            </w:pPr>
          </w:p>
        </w:tc>
      </w:tr>
    </w:tbl>
    <w:p w:rsidR="00476AFC" w:rsidP="00B57851" w14:paraId="137D6AC5" w14:textId="7D6F3562">
      <w:pPr>
        <w:widowControl/>
        <w:autoSpaceDE/>
        <w:autoSpaceDN/>
        <w:adjustRightInd/>
        <w:rPr>
          <w:rFonts w:ascii="Times New Roman" w:eastAsia="Calibri" w:hAnsi="Times New Roman"/>
          <w:i/>
          <w:iCs/>
          <w:sz w:val="22"/>
          <w:szCs w:val="22"/>
        </w:rPr>
      </w:pPr>
    </w:p>
    <w:p w:rsidR="00B57851" w:rsidRPr="00B57851" w:rsidP="00B57851" w14:paraId="442F623E" w14:textId="2E5FF0A8">
      <w:pPr>
        <w:widowControl/>
        <w:autoSpaceDE/>
        <w:autoSpaceDN/>
        <w:adjustRightInd/>
        <w:rPr>
          <w:rFonts w:ascii="Times New Roman" w:eastAsia="Calibri" w:hAnsi="Times New Roman"/>
          <w:i/>
          <w:iCs/>
          <w:sz w:val="22"/>
          <w:szCs w:val="22"/>
        </w:rPr>
      </w:pPr>
      <w:bookmarkStart w:id="2" w:name="_Hlk208576692"/>
      <w:r w:rsidRPr="00B57851">
        <w:rPr>
          <w:rFonts w:ascii="Times New Roman" w:eastAsia="Calibri" w:hAnsi="Times New Roman"/>
          <w:i/>
          <w:iCs/>
          <w:sz w:val="22"/>
          <w:szCs w:val="22"/>
        </w:rPr>
        <w:t>*Source: The hourly rate is computed by dividing the FY 202</w:t>
      </w:r>
      <w:r w:rsidR="00BF3150">
        <w:rPr>
          <w:rFonts w:ascii="Times New Roman" w:eastAsia="Calibri" w:hAnsi="Times New Roman"/>
          <w:i/>
          <w:iCs/>
          <w:sz w:val="22"/>
          <w:szCs w:val="22"/>
        </w:rPr>
        <w:t>6</w:t>
      </w:r>
      <w:r w:rsidRPr="00B57851">
        <w:rPr>
          <w:rFonts w:ascii="Times New Roman" w:eastAsia="Calibri" w:hAnsi="Times New Roman"/>
          <w:i/>
          <w:iCs/>
          <w:sz w:val="22"/>
          <w:szCs w:val="22"/>
        </w:rPr>
        <w:t xml:space="preserve"> national average PS/PB annual salary for state staff as provided for through the distribution of state UI administrative grants </w:t>
      </w:r>
    </w:p>
    <w:p w:rsidR="00B57851" w:rsidRPr="00B57851" w:rsidP="00B57851" w14:paraId="68D8BD29" w14:textId="30DD7D46">
      <w:pPr>
        <w:widowControl/>
        <w:autoSpaceDE/>
        <w:autoSpaceDN/>
        <w:adjustRightInd/>
        <w:rPr>
          <w:rFonts w:ascii="Times New Roman" w:eastAsia="Calibri" w:hAnsi="Times New Roman"/>
          <w:i/>
          <w:iCs/>
          <w:sz w:val="22"/>
          <w:szCs w:val="22"/>
        </w:rPr>
      </w:pPr>
      <w:r w:rsidRPr="00B57851">
        <w:rPr>
          <w:rFonts w:ascii="Times New Roman" w:eastAsia="Calibri" w:hAnsi="Times New Roman"/>
          <w:i/>
          <w:iCs/>
          <w:sz w:val="22"/>
          <w:szCs w:val="22"/>
        </w:rPr>
        <w:t>(</w:t>
      </w:r>
      <w:hyperlink r:id="rId5" w:history="1">
        <w:r w:rsidRPr="00EE56CC" w:rsidR="00EE56CC">
          <w:rPr>
            <w:rStyle w:val="Hyperlink"/>
            <w:rFonts w:ascii="Times New Roman" w:eastAsia="Calibri" w:hAnsi="Times New Roman"/>
            <w:i/>
            <w:iCs/>
            <w:sz w:val="22"/>
            <w:szCs w:val="22"/>
          </w:rPr>
          <w:t>https://www.dol.gov/agencies/eta/advisories/uipl-15-25</w:t>
        </w:r>
      </w:hyperlink>
      <w:hyperlink r:id="rId6" w:history="1">
        <w:r w:rsidRPr="00C14EE3">
          <w:rPr>
            <w:rStyle w:val="Hyperlink"/>
            <w:rFonts w:ascii="Times New Roman" w:eastAsia="Calibri" w:hAnsi="Times New Roman"/>
            <w:i/>
            <w:iCs/>
            <w:color w:val="auto"/>
            <w:sz w:val="22"/>
            <w:szCs w:val="22"/>
          </w:rPr>
          <w:t>)</w:t>
        </w:r>
      </w:hyperlink>
      <w:r w:rsidRPr="00B57851">
        <w:rPr>
          <w:rFonts w:ascii="Times New Roman" w:eastAsia="Calibri" w:hAnsi="Times New Roman"/>
          <w:i/>
          <w:iCs/>
          <w:sz w:val="22"/>
          <w:szCs w:val="22"/>
        </w:rPr>
        <w:t>by the average number of hours worked in a year (1,711).  For FY 202</w:t>
      </w:r>
      <w:r w:rsidR="00BF3150">
        <w:rPr>
          <w:rFonts w:ascii="Times New Roman" w:eastAsia="Calibri" w:hAnsi="Times New Roman"/>
          <w:i/>
          <w:iCs/>
          <w:sz w:val="22"/>
          <w:szCs w:val="22"/>
        </w:rPr>
        <w:t>6</w:t>
      </w:r>
      <w:r w:rsidRPr="00B57851">
        <w:rPr>
          <w:rFonts w:ascii="Times New Roman" w:eastAsia="Calibri" w:hAnsi="Times New Roman"/>
          <w:i/>
          <w:iCs/>
          <w:sz w:val="22"/>
          <w:szCs w:val="22"/>
        </w:rPr>
        <w:t>, this calculation is: $</w:t>
      </w:r>
      <w:r w:rsidR="00BF3150">
        <w:rPr>
          <w:rFonts w:ascii="Times New Roman" w:eastAsia="Calibri" w:hAnsi="Times New Roman"/>
          <w:i/>
          <w:iCs/>
          <w:sz w:val="22"/>
          <w:szCs w:val="22"/>
        </w:rPr>
        <w:t>104,553</w:t>
      </w:r>
      <w:r w:rsidRPr="00B57851">
        <w:rPr>
          <w:rFonts w:ascii="Times New Roman" w:eastAsia="Calibri" w:hAnsi="Times New Roman"/>
          <w:i/>
          <w:iCs/>
          <w:sz w:val="22"/>
          <w:szCs w:val="22"/>
        </w:rPr>
        <w:t>/ 1,711= $</w:t>
      </w:r>
      <w:r>
        <w:rPr>
          <w:rFonts w:ascii="Times New Roman" w:eastAsia="Calibri" w:hAnsi="Times New Roman"/>
          <w:i/>
          <w:iCs/>
          <w:sz w:val="22"/>
          <w:szCs w:val="22"/>
        </w:rPr>
        <w:t>6</w:t>
      </w:r>
      <w:r w:rsidR="00BF3150">
        <w:rPr>
          <w:rFonts w:ascii="Times New Roman" w:eastAsia="Calibri" w:hAnsi="Times New Roman"/>
          <w:i/>
          <w:iCs/>
          <w:sz w:val="22"/>
          <w:szCs w:val="22"/>
        </w:rPr>
        <w:t>2</w:t>
      </w:r>
      <w:r w:rsidRPr="00B57851">
        <w:rPr>
          <w:rFonts w:ascii="Times New Roman" w:eastAsia="Calibri" w:hAnsi="Times New Roman"/>
          <w:i/>
          <w:iCs/>
          <w:sz w:val="22"/>
          <w:szCs w:val="22"/>
        </w:rPr>
        <w:t>.</w:t>
      </w:r>
    </w:p>
    <w:bookmarkEnd w:id="2"/>
    <w:p w:rsidR="006626FF" w:rsidRPr="00A47DA7" w:rsidP="00C14EE3" w14:paraId="43BE154F" w14:textId="77777777">
      <w:pPr>
        <w:widowControl/>
        <w:autoSpaceDE/>
        <w:autoSpaceDN/>
        <w:adjustRightInd/>
        <w:rPr>
          <w:rFonts w:ascii="Times New Roman" w:hAnsi="Times New Roman"/>
          <w:b/>
          <w:bCs/>
        </w:rPr>
      </w:pPr>
    </w:p>
    <w:p w:rsidR="00E00D48" w:rsidP="00E00D48" w14:paraId="4ADAE7E6" w14:textId="425E9DDB">
      <w:pPr>
        <w:widowControl/>
        <w:autoSpaceDE/>
        <w:autoSpaceDN/>
        <w:adjustRightInd/>
        <w:rPr>
          <w:rFonts w:ascii="Times New Roman" w:hAnsi="Times New Roman"/>
        </w:rPr>
      </w:pPr>
      <w:r w:rsidRPr="00472F7F">
        <w:rPr>
          <w:rFonts w:ascii="Times New Roman" w:hAnsi="Times New Roman"/>
        </w:rPr>
        <w:t xml:space="preserve">All burden estimates originated with state provided feedback on the actual burden involved with reporting. </w:t>
      </w:r>
      <w:r w:rsidR="0099609C">
        <w:rPr>
          <w:rFonts w:ascii="Times New Roman" w:hAnsi="Times New Roman"/>
        </w:rPr>
        <w:t>Dividing</w:t>
      </w:r>
      <w:r w:rsidRPr="00472F7F" w:rsidR="0099609C">
        <w:rPr>
          <w:rFonts w:ascii="Times New Roman" w:hAnsi="Times New Roman"/>
        </w:rPr>
        <w:t xml:space="preserve"> </w:t>
      </w:r>
      <w:r w:rsidRPr="00472F7F">
        <w:rPr>
          <w:rFonts w:ascii="Times New Roman" w:hAnsi="Times New Roman"/>
        </w:rPr>
        <w:t xml:space="preserve">the </w:t>
      </w:r>
      <w:r w:rsidR="0099609C">
        <w:rPr>
          <w:rFonts w:ascii="Times New Roman" w:hAnsi="Times New Roman"/>
        </w:rPr>
        <w:t>total</w:t>
      </w:r>
      <w:r w:rsidRPr="00472F7F" w:rsidR="0099609C">
        <w:rPr>
          <w:rFonts w:ascii="Times New Roman" w:hAnsi="Times New Roman"/>
        </w:rPr>
        <w:t xml:space="preserve"> </w:t>
      </w:r>
      <w:r w:rsidRPr="00472F7F">
        <w:rPr>
          <w:rFonts w:ascii="Times New Roman" w:hAnsi="Times New Roman"/>
        </w:rPr>
        <w:t xml:space="preserve">burden into constituent parts such as computer automation, human file sorting, human review and meetings is difficult in that it varies from state to state. We do know that most states use the ASCII load </w:t>
      </w:r>
      <w:r w:rsidRPr="00472F7F" w:rsidR="008E5FFD">
        <w:rPr>
          <w:rFonts w:ascii="Times New Roman" w:hAnsi="Times New Roman"/>
        </w:rPr>
        <w:t>function,</w:t>
      </w:r>
      <w:r w:rsidRPr="00472F7F">
        <w:rPr>
          <w:rFonts w:ascii="Times New Roman" w:hAnsi="Times New Roman"/>
        </w:rPr>
        <w:t xml:space="preserve"> so it is safe to assume that the automated generation of the numbers themselves, the formatting of those numbers and the loading into the interface is all done in a matter of seconds by computer automation. This implies that the bulk of the time is spent reviewing the </w:t>
      </w:r>
      <w:r w:rsidRPr="00472F7F" w:rsidR="008E5FFD">
        <w:rPr>
          <w:rFonts w:ascii="Times New Roman" w:hAnsi="Times New Roman"/>
        </w:rPr>
        <w:t>reports</w:t>
      </w:r>
      <w:r w:rsidR="00E800CB">
        <w:rPr>
          <w:rFonts w:ascii="Times New Roman" w:hAnsi="Times New Roman"/>
        </w:rPr>
        <w:t xml:space="preserve"> </w:t>
      </w:r>
      <w:r w:rsidRPr="00472F7F" w:rsidR="008E5FFD">
        <w:rPr>
          <w:rFonts w:ascii="Times New Roman" w:hAnsi="Times New Roman"/>
        </w:rPr>
        <w:t>and</w:t>
      </w:r>
      <w:r w:rsidRPr="00472F7F">
        <w:rPr>
          <w:rFonts w:ascii="Times New Roman" w:hAnsi="Times New Roman"/>
        </w:rPr>
        <w:t xml:space="preserve"> identifying and correcting errors.  </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E00D48" w:rsidP="00E00D48" w14:paraId="5D854C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41491">
        <w:rPr>
          <w:rFonts w:ascii="Times New Roman" w:hAnsi="Times New Roman"/>
        </w:rPr>
        <w:t>There are no record keeping or other costs as States maintain this data to operate their programs.</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C5C6A" w:rsidRPr="00CC5C6A" w:rsidP="00CC5C6A" w14:paraId="16DC8786" w14:textId="49892D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C5C6A">
        <w:rPr>
          <w:rFonts w:ascii="Times New Roman" w:hAnsi="Times New Roman"/>
        </w:rPr>
        <w:t>Although no staff is required to process this report, ETA has budgeted $920,436.80 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$30 ,681.23 ($920,436.80 system cost/30 information collections).</w:t>
      </w:r>
    </w:p>
    <w:p w:rsidR="00E32762" w:rsidRPr="00871CA6" w:rsidP="00690F56" w14:paraId="682C55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RPr="00F4518C"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00D48" w:rsidP="00E00D48" w14:paraId="1FD6D3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022BF">
        <w:rPr>
          <w:rFonts w:ascii="Times New Roman" w:hAnsi="Times New Roman"/>
        </w:rPr>
        <w:t>The burden remains unchanged.</w:t>
      </w:r>
    </w:p>
    <w:p w:rsidR="00E00D48" w:rsidRPr="00F4518C" w:rsidP="00690F56" w14:paraId="28B702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RPr="00A47DA7" w:rsidP="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02D9F" w:rsidP="00A02D9F" w14:paraId="612A39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State level data can be found on the DOL website here: </w:t>
      </w:r>
      <w:hyperlink r:id="rId7" w:history="1">
        <w:r w:rsidRPr="00C73483">
          <w:rPr>
            <w:rStyle w:val="Hyperlink"/>
            <w:rFonts w:ascii="Times New Roman" w:hAnsi="Times New Roman"/>
          </w:rPr>
          <w:t>https://oui.doleta.gov/unemploy/DataDownloads.asp</w:t>
        </w:r>
      </w:hyperlink>
      <w:r>
        <w:rPr>
          <w:rFonts w:ascii="Times New Roman" w:hAnsi="Times New Roman"/>
        </w:rPr>
        <w:t xml:space="preserve"> </w:t>
      </w:r>
    </w:p>
    <w:p w:rsidR="00E00D48" w:rsidRPr="00871CA6" w:rsidP="00690F56" w14:paraId="6C5B7C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14:paraId="1B1630F4" w14:textId="5019659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00D48" w:rsidP="00E00D48" w14:paraId="460761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6033D">
        <w:rPr>
          <w:rFonts w:ascii="Times New Roman" w:hAnsi="Times New Roman"/>
        </w:rPr>
        <w:t xml:space="preserve">The expiration date for OMB approval is displayed.  </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524747D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00D48" w:rsidP="00E00D48" w14:paraId="3A5E7E4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62533">
        <w:rPr>
          <w:rFonts w:ascii="Times New Roman" w:hAnsi="Times New Roman"/>
        </w:rPr>
        <w:t>There are no exceptions.</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51021C40">
      <w:pPr>
        <w:rPr>
          <w:rFonts w:ascii="Times New Roman" w:hAnsi="Times New Roman"/>
        </w:rPr>
      </w:pPr>
      <w:r w:rsidRPr="00E00D48">
        <w:rPr>
          <w:rFonts w:ascii="Times New Roman" w:hAnsi="Times New Roman"/>
        </w:rPr>
        <w:t>This information collection does not employ statistical methods.</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287B8B1E">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97F94">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03F" w:rsidRPr="0074503F" w:rsidP="0074503F" w14:paraId="5AFF9699" w14:textId="77777777">
    <w:pPr>
      <w:pStyle w:val="Header"/>
      <w:rPr>
        <w:rFonts w:ascii="Times New Roman" w:hAnsi="Times New Roman"/>
        <w:bCs/>
        <w:sz w:val="20"/>
        <w:szCs w:val="20"/>
      </w:rPr>
    </w:pPr>
    <w:r w:rsidRPr="0074503F">
      <w:rPr>
        <w:rFonts w:ascii="Times New Roman" w:hAnsi="Times New Roman"/>
        <w:bCs/>
        <w:sz w:val="20"/>
        <w:szCs w:val="20"/>
      </w:rPr>
      <w:t xml:space="preserve">Interstate Arrangement for Combining Employment and Wages </w:t>
    </w:r>
  </w:p>
  <w:p w:rsidR="0074503F" w:rsidRPr="006626FF" w:rsidP="0074503F" w14:paraId="41669ACD" w14:textId="5C39D899">
    <w:pPr>
      <w:pStyle w:val="Header"/>
      <w:rPr>
        <w:rFonts w:ascii="Times New Roman" w:hAnsi="Times New Roman"/>
        <w:bCs/>
        <w:sz w:val="20"/>
        <w:szCs w:val="20"/>
      </w:rPr>
    </w:pPr>
    <w:r w:rsidRPr="0074503F">
      <w:rPr>
        <w:rFonts w:ascii="Times New Roman" w:hAnsi="Times New Roman"/>
        <w:bCs/>
        <w:sz w:val="20"/>
        <w:szCs w:val="20"/>
      </w:rPr>
      <w:t>OMB Control No. 1205-0029</w:t>
    </w:r>
  </w:p>
  <w:p w:rsidR="00E60FB0" w:rsidRPr="00F8164B" w14:paraId="1D1AD862" w14:textId="08DCCB75">
    <w:pPr>
      <w:pStyle w:val="Header"/>
      <w:rPr>
        <w:rFonts w:ascii="Times New Roman" w:hAnsi="Times New Roman"/>
        <w:sz w:val="20"/>
        <w:szCs w:val="20"/>
      </w:rPr>
    </w:pPr>
    <w:r>
      <w:rPr>
        <w:rFonts w:ascii="Times New Roman" w:hAnsi="Times New Roman"/>
        <w:sz w:val="20"/>
        <w:szCs w:val="20"/>
      </w:rPr>
      <w:t xml:space="preserve">OMB Expiration Date: </w:t>
    </w:r>
    <w:r w:rsidR="00627087">
      <w:rPr>
        <w:rFonts w:ascii="Times New Roman" w:hAnsi="Times New Roman"/>
        <w:sz w:val="20"/>
        <w:szCs w:val="20"/>
      </w:rPr>
      <w:t>May 31,</w:t>
    </w:r>
    <w:r w:rsidR="00E92363">
      <w:rPr>
        <w:rFonts w:ascii="Times New Roman" w:hAnsi="Times New Roman"/>
        <w:sz w:val="20"/>
        <w:szCs w:val="20"/>
      </w:rPr>
      <w:t xml:space="preserve"> </w:t>
    </w:r>
    <w:r w:rsidR="00627087">
      <w:rPr>
        <w:rFonts w:ascii="Times New Roman" w:hAnsi="Times New Roman"/>
        <w:sz w:val="20"/>
        <w:szCs w:val="20"/>
      </w:rPr>
      <w:t>202</w:t>
    </w:r>
    <w:r w:rsidR="00E92363">
      <w:rPr>
        <w:rFonts w:ascii="Times New Roman" w:hAnsi="Times New Roman"/>
        <w:sz w:val="20"/>
        <w:szCs w:val="20"/>
      </w:rPr>
      <w:t>6</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727240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592904498">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497304541">
    <w:abstractNumId w:val="3"/>
  </w:num>
  <w:num w:numId="4" w16cid:durableId="819155824">
    <w:abstractNumId w:val="8"/>
  </w:num>
  <w:num w:numId="5" w16cid:durableId="807479874">
    <w:abstractNumId w:val="2"/>
  </w:num>
  <w:num w:numId="6" w16cid:durableId="200750127">
    <w:abstractNumId w:val="4"/>
  </w:num>
  <w:num w:numId="7" w16cid:durableId="1229612478">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425270955">
    <w:abstractNumId w:val="10"/>
  </w:num>
  <w:num w:numId="9" w16cid:durableId="111099142">
    <w:abstractNumId w:val="1"/>
  </w:num>
  <w:num w:numId="10" w16cid:durableId="1271813233">
    <w:abstractNumId w:val="9"/>
  </w:num>
  <w:num w:numId="11" w16cid:durableId="1096484147">
    <w:abstractNumId w:val="6"/>
  </w:num>
  <w:num w:numId="12" w16cid:durableId="2114544868">
    <w:abstractNumId w:val="7"/>
  </w:num>
  <w:num w:numId="13" w16cid:durableId="1491173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22BF"/>
    <w:rsid w:val="000133FD"/>
    <w:rsid w:val="00014158"/>
    <w:rsid w:val="000148E6"/>
    <w:rsid w:val="00020F69"/>
    <w:rsid w:val="00022303"/>
    <w:rsid w:val="0004107F"/>
    <w:rsid w:val="00042CBD"/>
    <w:rsid w:val="00052174"/>
    <w:rsid w:val="000572D7"/>
    <w:rsid w:val="00057738"/>
    <w:rsid w:val="00061F6C"/>
    <w:rsid w:val="00064E28"/>
    <w:rsid w:val="00071B56"/>
    <w:rsid w:val="0007383F"/>
    <w:rsid w:val="00095C30"/>
    <w:rsid w:val="00097EA6"/>
    <w:rsid w:val="000A7853"/>
    <w:rsid w:val="000B0391"/>
    <w:rsid w:val="000B4875"/>
    <w:rsid w:val="000B6FB6"/>
    <w:rsid w:val="000C257C"/>
    <w:rsid w:val="000C2FD8"/>
    <w:rsid w:val="000C3A92"/>
    <w:rsid w:val="000C74FB"/>
    <w:rsid w:val="000D7F95"/>
    <w:rsid w:val="000E1C64"/>
    <w:rsid w:val="000E770E"/>
    <w:rsid w:val="000F6836"/>
    <w:rsid w:val="001040D4"/>
    <w:rsid w:val="00106A0D"/>
    <w:rsid w:val="001078BB"/>
    <w:rsid w:val="00116CD5"/>
    <w:rsid w:val="00126B91"/>
    <w:rsid w:val="00133C47"/>
    <w:rsid w:val="001415DB"/>
    <w:rsid w:val="0014556E"/>
    <w:rsid w:val="0015322B"/>
    <w:rsid w:val="0015365E"/>
    <w:rsid w:val="00157A90"/>
    <w:rsid w:val="0016351F"/>
    <w:rsid w:val="00180E5A"/>
    <w:rsid w:val="001A47D9"/>
    <w:rsid w:val="001D10ED"/>
    <w:rsid w:val="001D2D09"/>
    <w:rsid w:val="001D67BB"/>
    <w:rsid w:val="001E0E7F"/>
    <w:rsid w:val="001E2932"/>
    <w:rsid w:val="001E3596"/>
    <w:rsid w:val="001E4DDE"/>
    <w:rsid w:val="001E5213"/>
    <w:rsid w:val="001F2E8E"/>
    <w:rsid w:val="002000D9"/>
    <w:rsid w:val="002036A1"/>
    <w:rsid w:val="002134B4"/>
    <w:rsid w:val="002203C9"/>
    <w:rsid w:val="00237691"/>
    <w:rsid w:val="00242CA0"/>
    <w:rsid w:val="00243432"/>
    <w:rsid w:val="00247146"/>
    <w:rsid w:val="0026033D"/>
    <w:rsid w:val="00273D58"/>
    <w:rsid w:val="00277C1F"/>
    <w:rsid w:val="002866AD"/>
    <w:rsid w:val="00286BE3"/>
    <w:rsid w:val="0029135D"/>
    <w:rsid w:val="00292951"/>
    <w:rsid w:val="00293CD1"/>
    <w:rsid w:val="002973D6"/>
    <w:rsid w:val="002A3962"/>
    <w:rsid w:val="002A5972"/>
    <w:rsid w:val="002D402B"/>
    <w:rsid w:val="002E238B"/>
    <w:rsid w:val="002E4200"/>
    <w:rsid w:val="00304132"/>
    <w:rsid w:val="00312124"/>
    <w:rsid w:val="0031362A"/>
    <w:rsid w:val="00313820"/>
    <w:rsid w:val="00323C8A"/>
    <w:rsid w:val="0032649A"/>
    <w:rsid w:val="00332F98"/>
    <w:rsid w:val="003339B7"/>
    <w:rsid w:val="003430A6"/>
    <w:rsid w:val="003448FC"/>
    <w:rsid w:val="003548D8"/>
    <w:rsid w:val="00363CC2"/>
    <w:rsid w:val="00371EEC"/>
    <w:rsid w:val="003876F3"/>
    <w:rsid w:val="00387817"/>
    <w:rsid w:val="00390426"/>
    <w:rsid w:val="00394AEB"/>
    <w:rsid w:val="00394EE5"/>
    <w:rsid w:val="003A6353"/>
    <w:rsid w:val="003C13C6"/>
    <w:rsid w:val="003C2B7B"/>
    <w:rsid w:val="003D5958"/>
    <w:rsid w:val="003D6AC7"/>
    <w:rsid w:val="003E49A6"/>
    <w:rsid w:val="003E5E34"/>
    <w:rsid w:val="003F53FB"/>
    <w:rsid w:val="00400B4D"/>
    <w:rsid w:val="00401F18"/>
    <w:rsid w:val="004056B7"/>
    <w:rsid w:val="00410AC8"/>
    <w:rsid w:val="00414664"/>
    <w:rsid w:val="00443460"/>
    <w:rsid w:val="0044773C"/>
    <w:rsid w:val="004516DB"/>
    <w:rsid w:val="004672B5"/>
    <w:rsid w:val="00472F7F"/>
    <w:rsid w:val="00476AFC"/>
    <w:rsid w:val="004844D1"/>
    <w:rsid w:val="0048559D"/>
    <w:rsid w:val="00494A93"/>
    <w:rsid w:val="00494D75"/>
    <w:rsid w:val="004A1763"/>
    <w:rsid w:val="004B1E83"/>
    <w:rsid w:val="004D1C78"/>
    <w:rsid w:val="004D441E"/>
    <w:rsid w:val="004D46D1"/>
    <w:rsid w:val="004E1D9E"/>
    <w:rsid w:val="005164DC"/>
    <w:rsid w:val="00530EBD"/>
    <w:rsid w:val="005338CE"/>
    <w:rsid w:val="00567912"/>
    <w:rsid w:val="00570098"/>
    <w:rsid w:val="005803E6"/>
    <w:rsid w:val="005805E7"/>
    <w:rsid w:val="00583F5D"/>
    <w:rsid w:val="0058424C"/>
    <w:rsid w:val="00584F8D"/>
    <w:rsid w:val="00597E3D"/>
    <w:rsid w:val="005A0350"/>
    <w:rsid w:val="005A5415"/>
    <w:rsid w:val="005B5990"/>
    <w:rsid w:val="005C485A"/>
    <w:rsid w:val="005C6147"/>
    <w:rsid w:val="005D5F8C"/>
    <w:rsid w:val="005E5148"/>
    <w:rsid w:val="0060114B"/>
    <w:rsid w:val="00601857"/>
    <w:rsid w:val="00611DE2"/>
    <w:rsid w:val="006227B3"/>
    <w:rsid w:val="00627087"/>
    <w:rsid w:val="00642220"/>
    <w:rsid w:val="00652ED1"/>
    <w:rsid w:val="006626FF"/>
    <w:rsid w:val="006627C1"/>
    <w:rsid w:val="006650A8"/>
    <w:rsid w:val="0067772C"/>
    <w:rsid w:val="00685435"/>
    <w:rsid w:val="00690F56"/>
    <w:rsid w:val="006A4637"/>
    <w:rsid w:val="006B1937"/>
    <w:rsid w:val="006B7CFF"/>
    <w:rsid w:val="006C39F8"/>
    <w:rsid w:val="006E1A08"/>
    <w:rsid w:val="006E5D99"/>
    <w:rsid w:val="006E7D49"/>
    <w:rsid w:val="006F66F9"/>
    <w:rsid w:val="006F6E13"/>
    <w:rsid w:val="007010C5"/>
    <w:rsid w:val="007011F1"/>
    <w:rsid w:val="00704B62"/>
    <w:rsid w:val="007127A1"/>
    <w:rsid w:val="00713ACE"/>
    <w:rsid w:val="00715F82"/>
    <w:rsid w:val="0071749C"/>
    <w:rsid w:val="007412B6"/>
    <w:rsid w:val="0074503F"/>
    <w:rsid w:val="007636EC"/>
    <w:rsid w:val="00767D37"/>
    <w:rsid w:val="00774503"/>
    <w:rsid w:val="00777CD2"/>
    <w:rsid w:val="0078038F"/>
    <w:rsid w:val="00783623"/>
    <w:rsid w:val="00785FE9"/>
    <w:rsid w:val="00786E04"/>
    <w:rsid w:val="007A7F79"/>
    <w:rsid w:val="007D46C2"/>
    <w:rsid w:val="007E45DB"/>
    <w:rsid w:val="007E45E4"/>
    <w:rsid w:val="008043E5"/>
    <w:rsid w:val="00804A1A"/>
    <w:rsid w:val="0081073D"/>
    <w:rsid w:val="008323ED"/>
    <w:rsid w:val="00835955"/>
    <w:rsid w:val="00846701"/>
    <w:rsid w:val="008624D5"/>
    <w:rsid w:val="00871CA6"/>
    <w:rsid w:val="00882AB5"/>
    <w:rsid w:val="00882B1D"/>
    <w:rsid w:val="0088672C"/>
    <w:rsid w:val="008A1F0C"/>
    <w:rsid w:val="008A40D1"/>
    <w:rsid w:val="008B541B"/>
    <w:rsid w:val="008C0CB1"/>
    <w:rsid w:val="008E5FFD"/>
    <w:rsid w:val="00901003"/>
    <w:rsid w:val="0090158E"/>
    <w:rsid w:val="00901EF6"/>
    <w:rsid w:val="0090413E"/>
    <w:rsid w:val="009271B1"/>
    <w:rsid w:val="009441E2"/>
    <w:rsid w:val="009443D8"/>
    <w:rsid w:val="00962533"/>
    <w:rsid w:val="00963680"/>
    <w:rsid w:val="00964D3F"/>
    <w:rsid w:val="009700D9"/>
    <w:rsid w:val="00985C15"/>
    <w:rsid w:val="0099609C"/>
    <w:rsid w:val="009A6DCA"/>
    <w:rsid w:val="009B00FD"/>
    <w:rsid w:val="009B38D1"/>
    <w:rsid w:val="009B4116"/>
    <w:rsid w:val="009B5AAD"/>
    <w:rsid w:val="009C2A10"/>
    <w:rsid w:val="009D1EA2"/>
    <w:rsid w:val="009E0141"/>
    <w:rsid w:val="009E234B"/>
    <w:rsid w:val="009E2E98"/>
    <w:rsid w:val="009F52F3"/>
    <w:rsid w:val="00A02D9F"/>
    <w:rsid w:val="00A03DDC"/>
    <w:rsid w:val="00A10441"/>
    <w:rsid w:val="00A15094"/>
    <w:rsid w:val="00A17040"/>
    <w:rsid w:val="00A21F98"/>
    <w:rsid w:val="00A30AF5"/>
    <w:rsid w:val="00A41C21"/>
    <w:rsid w:val="00A47DA7"/>
    <w:rsid w:val="00A525D1"/>
    <w:rsid w:val="00A52DE7"/>
    <w:rsid w:val="00A55023"/>
    <w:rsid w:val="00A56B86"/>
    <w:rsid w:val="00A6129B"/>
    <w:rsid w:val="00A632EF"/>
    <w:rsid w:val="00A65622"/>
    <w:rsid w:val="00A677E9"/>
    <w:rsid w:val="00A723D7"/>
    <w:rsid w:val="00A740AB"/>
    <w:rsid w:val="00A834BF"/>
    <w:rsid w:val="00A90769"/>
    <w:rsid w:val="00A973AA"/>
    <w:rsid w:val="00AA177A"/>
    <w:rsid w:val="00AB4DC3"/>
    <w:rsid w:val="00AC775D"/>
    <w:rsid w:val="00AD022F"/>
    <w:rsid w:val="00AD75AC"/>
    <w:rsid w:val="00AF2C11"/>
    <w:rsid w:val="00AF3788"/>
    <w:rsid w:val="00AF5262"/>
    <w:rsid w:val="00AF7928"/>
    <w:rsid w:val="00B20715"/>
    <w:rsid w:val="00B26E3E"/>
    <w:rsid w:val="00B35DAD"/>
    <w:rsid w:val="00B375C1"/>
    <w:rsid w:val="00B47443"/>
    <w:rsid w:val="00B5377A"/>
    <w:rsid w:val="00B57851"/>
    <w:rsid w:val="00B6181C"/>
    <w:rsid w:val="00B66231"/>
    <w:rsid w:val="00B70751"/>
    <w:rsid w:val="00B822A3"/>
    <w:rsid w:val="00B9027F"/>
    <w:rsid w:val="00BA6C9C"/>
    <w:rsid w:val="00BB3BEF"/>
    <w:rsid w:val="00BD34F2"/>
    <w:rsid w:val="00BE550B"/>
    <w:rsid w:val="00BF0E2B"/>
    <w:rsid w:val="00BF3150"/>
    <w:rsid w:val="00C02744"/>
    <w:rsid w:val="00C02E4A"/>
    <w:rsid w:val="00C040F3"/>
    <w:rsid w:val="00C05B88"/>
    <w:rsid w:val="00C07F7F"/>
    <w:rsid w:val="00C12530"/>
    <w:rsid w:val="00C14429"/>
    <w:rsid w:val="00C14EE3"/>
    <w:rsid w:val="00C20334"/>
    <w:rsid w:val="00C247D8"/>
    <w:rsid w:val="00C256FF"/>
    <w:rsid w:val="00C34009"/>
    <w:rsid w:val="00C35B78"/>
    <w:rsid w:val="00C43832"/>
    <w:rsid w:val="00C4763A"/>
    <w:rsid w:val="00C63D1E"/>
    <w:rsid w:val="00C667F3"/>
    <w:rsid w:val="00C712D2"/>
    <w:rsid w:val="00C73391"/>
    <w:rsid w:val="00C73483"/>
    <w:rsid w:val="00C77B5C"/>
    <w:rsid w:val="00C824C6"/>
    <w:rsid w:val="00C8275F"/>
    <w:rsid w:val="00C83594"/>
    <w:rsid w:val="00C87068"/>
    <w:rsid w:val="00C9162F"/>
    <w:rsid w:val="00C93665"/>
    <w:rsid w:val="00CA2F0A"/>
    <w:rsid w:val="00CB3579"/>
    <w:rsid w:val="00CC0731"/>
    <w:rsid w:val="00CC5C6A"/>
    <w:rsid w:val="00CC770C"/>
    <w:rsid w:val="00CD215D"/>
    <w:rsid w:val="00CD6628"/>
    <w:rsid w:val="00D05EAB"/>
    <w:rsid w:val="00D200A1"/>
    <w:rsid w:val="00D2331B"/>
    <w:rsid w:val="00D36BB6"/>
    <w:rsid w:val="00D42946"/>
    <w:rsid w:val="00D53DEB"/>
    <w:rsid w:val="00D57DE8"/>
    <w:rsid w:val="00D72A6C"/>
    <w:rsid w:val="00D73AAD"/>
    <w:rsid w:val="00D75842"/>
    <w:rsid w:val="00D86FF7"/>
    <w:rsid w:val="00DA34DB"/>
    <w:rsid w:val="00DB7B7C"/>
    <w:rsid w:val="00DD6DF0"/>
    <w:rsid w:val="00DE6066"/>
    <w:rsid w:val="00E0031C"/>
    <w:rsid w:val="00E00D48"/>
    <w:rsid w:val="00E0138A"/>
    <w:rsid w:val="00E03D9E"/>
    <w:rsid w:val="00E06430"/>
    <w:rsid w:val="00E10D5B"/>
    <w:rsid w:val="00E22463"/>
    <w:rsid w:val="00E23871"/>
    <w:rsid w:val="00E322E9"/>
    <w:rsid w:val="00E32762"/>
    <w:rsid w:val="00E400EA"/>
    <w:rsid w:val="00E46EE5"/>
    <w:rsid w:val="00E57F5E"/>
    <w:rsid w:val="00E60FB0"/>
    <w:rsid w:val="00E614A1"/>
    <w:rsid w:val="00E66855"/>
    <w:rsid w:val="00E700AD"/>
    <w:rsid w:val="00E74ABD"/>
    <w:rsid w:val="00E800CB"/>
    <w:rsid w:val="00E83023"/>
    <w:rsid w:val="00E833E4"/>
    <w:rsid w:val="00E92363"/>
    <w:rsid w:val="00E92EED"/>
    <w:rsid w:val="00E93A0F"/>
    <w:rsid w:val="00E97F94"/>
    <w:rsid w:val="00EA3E66"/>
    <w:rsid w:val="00EC0B43"/>
    <w:rsid w:val="00EE56CC"/>
    <w:rsid w:val="00F11AA8"/>
    <w:rsid w:val="00F24787"/>
    <w:rsid w:val="00F27223"/>
    <w:rsid w:val="00F3623C"/>
    <w:rsid w:val="00F41116"/>
    <w:rsid w:val="00F41491"/>
    <w:rsid w:val="00F44D20"/>
    <w:rsid w:val="00F4518C"/>
    <w:rsid w:val="00F4529D"/>
    <w:rsid w:val="00F53F09"/>
    <w:rsid w:val="00F56B20"/>
    <w:rsid w:val="00F6219B"/>
    <w:rsid w:val="00F64E0B"/>
    <w:rsid w:val="00F72D66"/>
    <w:rsid w:val="00F8164B"/>
    <w:rsid w:val="00F935EE"/>
    <w:rsid w:val="00FA3D8C"/>
    <w:rsid w:val="00FB587F"/>
    <w:rsid w:val="00FD5FD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57851"/>
    <w:rPr>
      <w:color w:val="0563C1" w:themeColor="hyperlink"/>
      <w:u w:val="single"/>
    </w:rPr>
  </w:style>
  <w:style w:type="character" w:styleId="UnresolvedMention">
    <w:name w:val="Unresolved Mention"/>
    <w:basedOn w:val="DefaultParagraphFont"/>
    <w:uiPriority w:val="99"/>
    <w:semiHidden/>
    <w:unhideWhenUsed/>
    <w:rsid w:val="00B57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l.gov/agencies/eta/advisories/uipl-15-25" TargetMode="External" /><Relationship Id="rId6" Type="http://schemas.openxmlformats.org/officeDocument/2006/relationships/hyperlink" Target="https://www.dol.gov/sites/dolgov/files/ETA/advisories/UIPL/2023/UIPL%2013-23/UIPL%2013-23.pdf" TargetMode="External" /><Relationship Id="rId7" Type="http://schemas.openxmlformats.org/officeDocument/2006/relationships/hyperlink" Target="https://oui.doleta.gov/unemploy/DataDownloads.asp"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3837-63D1-4DBC-8270-C8EEEA61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2168</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Trujillo, Sandra - ETA</cp:lastModifiedBy>
  <cp:revision>3</cp:revision>
  <cp:lastPrinted>2020-02-19T15:46:00Z</cp:lastPrinted>
  <dcterms:created xsi:type="dcterms:W3CDTF">2025-09-16T16:00:00Z</dcterms:created>
  <dcterms:modified xsi:type="dcterms:W3CDTF">2025-09-16T16:00:00Z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8b2ef-7ec2-484b-9195-1d837d645e4c_ActionId">
    <vt:lpwstr>4467d970-a028-44cb-8c1b-ccdc63149062</vt:lpwstr>
  </property>
  <property fmtid="{D5CDD505-2E9C-101B-9397-08002B2CF9AE}" pid="3" name="MSIP_Label_5d78b2ef-7ec2-484b-9195-1d837d645e4c_ContentBits">
    <vt:lpwstr>0</vt:lpwstr>
  </property>
  <property fmtid="{D5CDD505-2E9C-101B-9397-08002B2CF9AE}" pid="4" name="MSIP_Label_5d78b2ef-7ec2-484b-9195-1d837d645e4c_Enabled">
    <vt:lpwstr>true</vt:lpwstr>
  </property>
  <property fmtid="{D5CDD505-2E9C-101B-9397-08002B2CF9AE}" pid="5" name="MSIP_Label_5d78b2ef-7ec2-484b-9195-1d837d645e4c_Method">
    <vt:lpwstr>Standard</vt:lpwstr>
  </property>
  <property fmtid="{D5CDD505-2E9C-101B-9397-08002B2CF9AE}" pid="6" name="MSIP_Label_5d78b2ef-7ec2-484b-9195-1d837d645e4c_Name">
    <vt:lpwstr>General</vt:lpwstr>
  </property>
  <property fmtid="{D5CDD505-2E9C-101B-9397-08002B2CF9AE}" pid="7" name="MSIP_Label_5d78b2ef-7ec2-484b-9195-1d837d645e4c_SetDate">
    <vt:lpwstr>2023-01-23T22:10:07Z</vt:lpwstr>
  </property>
  <property fmtid="{D5CDD505-2E9C-101B-9397-08002B2CF9AE}" pid="8" name="MSIP_Label_5d78b2ef-7ec2-484b-9195-1d837d645e4c_SiteId">
    <vt:lpwstr>75a63054-7204-4e0c-9126-adab971d4aca</vt:lpwstr>
  </property>
</Properties>
</file>