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83996" w:rsidRPr="00DA2D96" w:rsidP="004A4B38" w14:paraId="7EDABBC7" w14:textId="73C09150">
      <w:pPr>
        <w:jc w:val="center"/>
        <w:rPr>
          <w:b/>
        </w:rPr>
      </w:pPr>
      <w:r w:rsidRPr="00DA2D96">
        <w:rPr>
          <w:b/>
        </w:rPr>
        <w:t xml:space="preserve">SUPPORTING STATEMENT </w:t>
      </w:r>
      <w:r w:rsidRPr="00DA2D96" w:rsidR="00E32160">
        <w:rPr>
          <w:b/>
          <w:bCs/>
        </w:rPr>
        <w:t>FOR</w:t>
      </w:r>
    </w:p>
    <w:p w:rsidR="00E32160" w:rsidRPr="00DA2D96" w:rsidP="00CB523F" w14:paraId="01D7D32F" w14:textId="59E05DD2">
      <w:pPr>
        <w:jc w:val="center"/>
        <w:rPr>
          <w:b/>
          <w:bCs/>
        </w:rPr>
      </w:pPr>
      <w:r w:rsidRPr="00DA2D96">
        <w:rPr>
          <w:b/>
          <w:bCs/>
        </w:rPr>
        <w:t>NATIONAL WORKER SURVEY</w:t>
      </w:r>
    </w:p>
    <w:p w:rsidR="00553244" w:rsidRPr="00DA2D96" w:rsidP="00CB523F" w14:paraId="2D6195DA" w14:textId="77777777">
      <w:pPr>
        <w:jc w:val="center"/>
        <w:rPr>
          <w:b/>
          <w:bCs/>
        </w:rPr>
      </w:pPr>
    </w:p>
    <w:p w:rsidR="00553244" w:rsidRPr="00DA2D96" w:rsidP="00CB523F" w14:paraId="2AD64040" w14:textId="77777777">
      <w:pPr>
        <w:jc w:val="center"/>
        <w:rPr>
          <w:b/>
          <w:bCs/>
        </w:rPr>
      </w:pPr>
    </w:p>
    <w:p w:rsidR="00721F47" w:rsidRPr="00DA2D96" w:rsidP="00CB523F" w14:paraId="51DAEE2A" w14:textId="00C448EF">
      <w:pPr>
        <w:jc w:val="center"/>
        <w:rPr>
          <w:b/>
          <w:bCs/>
        </w:rPr>
      </w:pPr>
      <w:r w:rsidRPr="00DA2D96">
        <w:rPr>
          <w:b/>
          <w:bCs/>
        </w:rPr>
        <w:t>OMB</w:t>
      </w:r>
      <w:r w:rsidR="003E0A83">
        <w:rPr>
          <w:b/>
          <w:bCs/>
        </w:rPr>
        <w:t xml:space="preserve"> </w:t>
      </w:r>
      <w:r w:rsidRPr="00DA2D96">
        <w:rPr>
          <w:b/>
          <w:bCs/>
        </w:rPr>
        <w:t xml:space="preserve">CONTROL NO. </w:t>
      </w:r>
      <w:r w:rsidR="00F85408">
        <w:rPr>
          <w:b/>
          <w:bCs/>
        </w:rPr>
        <w:t>1290-0NEW</w:t>
      </w:r>
    </w:p>
    <w:p w:rsidR="00C91C06" w:rsidRPr="005B4C0C" w:rsidP="00711D94" w14:paraId="0B8274B5" w14:textId="77777777"/>
    <w:p w:rsidR="00550C39" w:rsidP="00711D94" w14:paraId="2A0B7982" w14:textId="50FCAC29">
      <w:pPr>
        <w:rPr>
          <w:bCs/>
          <w:sz w:val="22"/>
          <w:szCs w:val="22"/>
        </w:rPr>
      </w:pPr>
      <w:r w:rsidRPr="00792361">
        <w:rPr>
          <w:bCs/>
          <w:sz w:val="22"/>
          <w:szCs w:val="22"/>
        </w:rPr>
        <w:t>This is a new information collection request.</w:t>
      </w:r>
    </w:p>
    <w:p w:rsidR="00E05864" w:rsidRPr="005B4C0C" w:rsidP="00711D94" w14:paraId="1E2908A9" w14:textId="77777777"/>
    <w:p w:rsidR="00901221" w:rsidRPr="007D131F" w:rsidP="007D131F" w14:paraId="03658CC9" w14:textId="4DE9B839">
      <w:pPr>
        <w:rPr>
          <w:b/>
          <w:bCs/>
        </w:rPr>
      </w:pPr>
      <w:r w:rsidRPr="007D131F">
        <w:rPr>
          <w:b/>
          <w:bCs/>
        </w:rPr>
        <w:t>A. JUSTIFICATION</w:t>
      </w:r>
    </w:p>
    <w:p w:rsidR="007D131F" w:rsidP="006334F8" w14:paraId="42B84F04" w14:textId="77777777">
      <w:pPr>
        <w:rPr>
          <w:b/>
          <w:bCs/>
        </w:rPr>
      </w:pPr>
    </w:p>
    <w:p w:rsidR="006334F8" w:rsidP="006334F8" w14:paraId="6DE1F29C" w14:textId="1E58761F">
      <w:pPr>
        <w:rPr>
          <w:b/>
          <w:bCs/>
        </w:rPr>
      </w:pPr>
      <w:r w:rsidRPr="006334F8">
        <w:rPr>
          <w:b/>
          <w:bCs/>
        </w:rPr>
        <w:t>1</w:t>
      </w:r>
      <w:r w:rsidRPr="006334F8">
        <w:rPr>
          <w:b/>
          <w:bCs/>
        </w:rPr>
        <w:t>.  Explain</w:t>
      </w:r>
      <w:r w:rsidRPr="006334F8">
        <w:rPr>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131F" w:rsidRPr="00D53DEB" w:rsidP="00CB523F" w14:paraId="72D080A3" w14:textId="77777777"/>
    <w:p w:rsidR="001946B0" w:rsidP="001946B0" w14:paraId="63ED350B" w14:textId="144CE428">
      <w:pPr>
        <w:rPr>
          <w:sz w:val="22"/>
          <w:szCs w:val="22"/>
        </w:rPr>
      </w:pPr>
      <w:r w:rsidRPr="0025624C">
        <w:rPr>
          <w:sz w:val="22"/>
          <w:szCs w:val="22"/>
        </w:rPr>
        <w:t xml:space="preserve">As required under the Paperwork Reduction Act (PRA), the Chief Evaluation Office (CEO) at the U.S. Department of Labor (DOL) is seeking approval from the Office of Management and Budget (OMB) for a </w:t>
      </w:r>
      <w:r w:rsidRPr="0025624C" w:rsidR="00BA6FF7">
        <w:rPr>
          <w:sz w:val="22"/>
          <w:szCs w:val="22"/>
        </w:rPr>
        <w:t xml:space="preserve">nationally representative survey of workers to estimate </w:t>
      </w:r>
      <w:r w:rsidRPr="0025624C" w:rsidR="007A35F4">
        <w:rPr>
          <w:sz w:val="22"/>
          <w:szCs w:val="22"/>
        </w:rPr>
        <w:t xml:space="preserve">the prevalence of non-compliance with </w:t>
      </w:r>
      <w:r w:rsidRPr="0025624C">
        <w:rPr>
          <w:sz w:val="22"/>
          <w:szCs w:val="22"/>
        </w:rPr>
        <w:t>the Fair Labor Standards Act</w:t>
      </w:r>
      <w:r w:rsidRPr="0025624C" w:rsidR="007A35F4">
        <w:rPr>
          <w:sz w:val="22"/>
          <w:szCs w:val="22"/>
        </w:rPr>
        <w:t xml:space="preserve"> (FLSA)</w:t>
      </w:r>
      <w:r w:rsidR="003F2680">
        <w:rPr>
          <w:sz w:val="22"/>
          <w:szCs w:val="22"/>
        </w:rPr>
        <w:t xml:space="preserve"> </w:t>
      </w:r>
      <w:r w:rsidRPr="00AE5FAB" w:rsidR="003F2680">
        <w:rPr>
          <w:sz w:val="22"/>
          <w:szCs w:val="22"/>
        </w:rPr>
        <w:t>(29 USC 206)</w:t>
      </w:r>
      <w:r w:rsidR="003F2680">
        <w:rPr>
          <w:sz w:val="22"/>
          <w:szCs w:val="22"/>
        </w:rPr>
        <w:t>.</w:t>
      </w:r>
    </w:p>
    <w:p w:rsidR="001946B0" w:rsidP="001946B0" w14:paraId="38FAC8C6" w14:textId="77777777">
      <w:pPr>
        <w:rPr>
          <w:sz w:val="22"/>
          <w:szCs w:val="22"/>
        </w:rPr>
      </w:pPr>
    </w:p>
    <w:p w:rsidR="001946B0" w:rsidRPr="00AE5FAB" w:rsidP="001946B0" w14:paraId="4F2F20A8" w14:textId="5AEEE735">
      <w:pPr>
        <w:rPr>
          <w:sz w:val="22"/>
          <w:szCs w:val="22"/>
        </w:rPr>
      </w:pPr>
      <w:r w:rsidRPr="00AE5FAB">
        <w:rPr>
          <w:sz w:val="22"/>
          <w:szCs w:val="22"/>
        </w:rPr>
        <w:t xml:space="preserve">This </w:t>
      </w:r>
      <w:r>
        <w:rPr>
          <w:sz w:val="22"/>
          <w:szCs w:val="22"/>
        </w:rPr>
        <w:t xml:space="preserve">survey </w:t>
      </w:r>
      <w:r w:rsidRPr="00AE5FAB">
        <w:rPr>
          <w:sz w:val="22"/>
          <w:szCs w:val="22"/>
        </w:rPr>
        <w:t xml:space="preserve">collects data to inform </w:t>
      </w:r>
      <w:r>
        <w:rPr>
          <w:sz w:val="22"/>
          <w:szCs w:val="22"/>
        </w:rPr>
        <w:t xml:space="preserve">the </w:t>
      </w:r>
      <w:r w:rsidR="00EE37E2">
        <w:rPr>
          <w:sz w:val="22"/>
          <w:szCs w:val="22"/>
        </w:rPr>
        <w:t xml:space="preserve">work of the </w:t>
      </w:r>
      <w:r>
        <w:rPr>
          <w:sz w:val="22"/>
          <w:szCs w:val="22"/>
        </w:rPr>
        <w:t>Wage and Hour Division</w:t>
      </w:r>
      <w:r w:rsidR="00EE37E2">
        <w:rPr>
          <w:sz w:val="22"/>
          <w:szCs w:val="22"/>
        </w:rPr>
        <w:t xml:space="preserve"> (</w:t>
      </w:r>
      <w:r w:rsidRPr="00AE5FAB">
        <w:rPr>
          <w:sz w:val="22"/>
          <w:szCs w:val="22"/>
        </w:rPr>
        <w:t>WHD</w:t>
      </w:r>
      <w:r w:rsidR="00EE37E2">
        <w:rPr>
          <w:sz w:val="22"/>
          <w:szCs w:val="22"/>
        </w:rPr>
        <w:t>)</w:t>
      </w:r>
      <w:r w:rsidRPr="00AE5FAB">
        <w:rPr>
          <w:sz w:val="22"/>
          <w:szCs w:val="22"/>
        </w:rPr>
        <w:t xml:space="preserve"> </w:t>
      </w:r>
      <w:r w:rsidR="00EE37E2">
        <w:rPr>
          <w:sz w:val="22"/>
          <w:szCs w:val="22"/>
        </w:rPr>
        <w:t xml:space="preserve">of DOL, </w:t>
      </w:r>
      <w:r w:rsidRPr="00AE5FAB">
        <w:rPr>
          <w:sz w:val="22"/>
          <w:szCs w:val="22"/>
        </w:rPr>
        <w:t xml:space="preserve">to ensure that </w:t>
      </w:r>
      <w:r w:rsidR="00EE37E2">
        <w:rPr>
          <w:sz w:val="22"/>
          <w:szCs w:val="22"/>
        </w:rPr>
        <w:t xml:space="preserve">it </w:t>
      </w:r>
      <w:r w:rsidR="003F2680">
        <w:rPr>
          <w:sz w:val="22"/>
          <w:szCs w:val="22"/>
        </w:rPr>
        <w:t xml:space="preserve">provides </w:t>
      </w:r>
      <w:r w:rsidRPr="00AE5FAB">
        <w:rPr>
          <w:sz w:val="22"/>
          <w:szCs w:val="22"/>
        </w:rPr>
        <w:t xml:space="preserve">compliance assistance services to the employers who most need them and is thus operational in nature. The </w:t>
      </w:r>
      <w:r w:rsidR="003F2680">
        <w:rPr>
          <w:sz w:val="22"/>
          <w:szCs w:val="22"/>
        </w:rPr>
        <w:t xml:space="preserve">FLSA </w:t>
      </w:r>
      <w:r w:rsidRPr="00AE5FAB">
        <w:rPr>
          <w:sz w:val="22"/>
          <w:szCs w:val="22"/>
        </w:rPr>
        <w:t xml:space="preserve">mandates WHD enforce minimum wage and overtime laws. Furthermore, WHD has limited resources to conduct investigations and limited information to conduct investigations effectively and efficiently. The information collected </w:t>
      </w:r>
      <w:r w:rsidR="00DB70C9">
        <w:rPr>
          <w:sz w:val="22"/>
          <w:szCs w:val="22"/>
        </w:rPr>
        <w:t xml:space="preserve">in this survey </w:t>
      </w:r>
      <w:r w:rsidRPr="00AE5FAB">
        <w:rPr>
          <w:sz w:val="22"/>
          <w:szCs w:val="22"/>
        </w:rPr>
        <w:t>allows DOL</w:t>
      </w:r>
      <w:r w:rsidR="00DB70C9">
        <w:rPr>
          <w:sz w:val="22"/>
          <w:szCs w:val="22"/>
        </w:rPr>
        <w:t>/</w:t>
      </w:r>
      <w:r w:rsidRPr="00AE5FAB">
        <w:rPr>
          <w:sz w:val="22"/>
          <w:szCs w:val="22"/>
        </w:rPr>
        <w:t>WHD to enforce FLSA and to make most efficient use of limited government resources to conduct investigations.</w:t>
      </w:r>
    </w:p>
    <w:p w:rsidR="003A53F7" w:rsidRPr="0025624C" w:rsidP="00CB523F" w14:paraId="3D78A09C" w14:textId="77777777">
      <w:pPr>
        <w:rPr>
          <w:sz w:val="22"/>
          <w:szCs w:val="22"/>
        </w:rPr>
      </w:pPr>
    </w:p>
    <w:p w:rsidR="00756ECE" w:rsidRPr="0025624C" w:rsidP="00CB523F" w14:paraId="56C70A42" w14:textId="14A349EF">
      <w:pPr>
        <w:rPr>
          <w:sz w:val="22"/>
          <w:szCs w:val="22"/>
        </w:rPr>
      </w:pPr>
      <w:r w:rsidRPr="0025624C">
        <w:rPr>
          <w:sz w:val="22"/>
          <w:szCs w:val="22"/>
        </w:rPr>
        <w:t xml:space="preserve">The FLSA establishes national standards on minimum wages, the payment rate of overtime work, employer recordkeeping, and </w:t>
      </w:r>
      <w:r w:rsidRPr="0025624C" w:rsidR="007A35F4">
        <w:rPr>
          <w:sz w:val="22"/>
          <w:szCs w:val="22"/>
        </w:rPr>
        <w:t xml:space="preserve">sets </w:t>
      </w:r>
      <w:r w:rsidRPr="0025624C">
        <w:rPr>
          <w:sz w:val="22"/>
          <w:szCs w:val="22"/>
        </w:rPr>
        <w:t>limitations on youth employment.</w:t>
      </w:r>
      <w:r w:rsidRPr="0025624C" w:rsidR="00FE3420">
        <w:rPr>
          <w:sz w:val="22"/>
          <w:szCs w:val="22"/>
        </w:rPr>
        <w:t xml:space="preserve"> Generally, covered employees must be paid an hourly wage of $7.25</w:t>
      </w:r>
      <w:r w:rsidRPr="0025624C" w:rsidR="00652331">
        <w:rPr>
          <w:sz w:val="22"/>
          <w:szCs w:val="22"/>
        </w:rPr>
        <w:t xml:space="preserve"> and </w:t>
      </w:r>
      <w:r w:rsidRPr="0025624C" w:rsidR="00FE3420">
        <w:rPr>
          <w:sz w:val="22"/>
          <w:szCs w:val="22"/>
        </w:rPr>
        <w:t>1.5 times their regular wage rate for hours worked above 40 in a workweek</w:t>
      </w:r>
      <w:r w:rsidRPr="0025624C" w:rsidR="003705F2">
        <w:rPr>
          <w:sz w:val="22"/>
          <w:szCs w:val="22"/>
        </w:rPr>
        <w:t>.</w:t>
      </w:r>
      <w:r>
        <w:rPr>
          <w:rStyle w:val="FootnoteReference"/>
          <w:sz w:val="22"/>
          <w:szCs w:val="22"/>
        </w:rPr>
        <w:footnoteReference w:id="3"/>
      </w:r>
      <w:r w:rsidRPr="0025624C" w:rsidR="00FE3420">
        <w:rPr>
          <w:sz w:val="22"/>
          <w:szCs w:val="22"/>
        </w:rPr>
        <w:t xml:space="preserve"> </w:t>
      </w:r>
      <w:r w:rsidRPr="0025624C" w:rsidR="00210B2D">
        <w:rPr>
          <w:sz w:val="22"/>
          <w:szCs w:val="22"/>
        </w:rPr>
        <w:t>Bona fide i</w:t>
      </w:r>
      <w:r w:rsidRPr="0025624C" w:rsidR="00FE3420">
        <w:rPr>
          <w:sz w:val="22"/>
          <w:szCs w:val="22"/>
        </w:rPr>
        <w:t>ndependent contractors who</w:t>
      </w:r>
      <w:r w:rsidRPr="0025624C" w:rsidR="00210B2D">
        <w:rPr>
          <w:sz w:val="22"/>
          <w:szCs w:val="22"/>
        </w:rPr>
        <w:t>, as a matter of economic reality,</w:t>
      </w:r>
      <w:r w:rsidRPr="0025624C" w:rsidR="00FE3420">
        <w:rPr>
          <w:sz w:val="22"/>
          <w:szCs w:val="22"/>
        </w:rPr>
        <w:t xml:space="preserve"> are not economically dependent on </w:t>
      </w:r>
      <w:r w:rsidRPr="0025624C" w:rsidR="00A20096">
        <w:rPr>
          <w:sz w:val="22"/>
          <w:szCs w:val="22"/>
        </w:rPr>
        <w:t xml:space="preserve">an employer for work </w:t>
      </w:r>
      <w:r w:rsidRPr="0025624C" w:rsidR="00FE3420">
        <w:rPr>
          <w:sz w:val="22"/>
          <w:szCs w:val="22"/>
        </w:rPr>
        <w:t>are not covered</w:t>
      </w:r>
      <w:r w:rsidRPr="0025624C" w:rsidR="00A20096">
        <w:rPr>
          <w:sz w:val="22"/>
          <w:szCs w:val="22"/>
        </w:rPr>
        <w:t xml:space="preserve"> by the FLSA</w:t>
      </w:r>
      <w:r w:rsidRPr="0025624C" w:rsidR="00FE3420">
        <w:rPr>
          <w:sz w:val="22"/>
          <w:szCs w:val="22"/>
        </w:rPr>
        <w:t>. In addition, the FLSA exempts certain executive, administrative, and professional employees</w:t>
      </w:r>
      <w:r w:rsidRPr="0025624C" w:rsidR="004011C5">
        <w:rPr>
          <w:sz w:val="22"/>
          <w:szCs w:val="22"/>
        </w:rPr>
        <w:t>.</w:t>
      </w:r>
      <w:r w:rsidRPr="0025624C" w:rsidR="00FE3420">
        <w:rPr>
          <w:sz w:val="22"/>
          <w:szCs w:val="22"/>
        </w:rPr>
        <w:t xml:space="preserve"> </w:t>
      </w:r>
      <w:r w:rsidRPr="0025624C" w:rsidR="004011C5">
        <w:rPr>
          <w:sz w:val="22"/>
          <w:szCs w:val="22"/>
        </w:rPr>
        <w:t xml:space="preserve">Currently, these employees must be paid a salary of at least $684 per week and </w:t>
      </w:r>
      <w:r w:rsidRPr="0025624C" w:rsidR="009616DF">
        <w:rPr>
          <w:sz w:val="22"/>
          <w:szCs w:val="22"/>
        </w:rPr>
        <w:t xml:space="preserve">must </w:t>
      </w:r>
      <w:r w:rsidRPr="0025624C" w:rsidR="004011C5">
        <w:rPr>
          <w:sz w:val="22"/>
          <w:szCs w:val="22"/>
        </w:rPr>
        <w:t>meet specified tests as to the nature of their duties to be eligible for these exemptions.</w:t>
      </w:r>
      <w:r>
        <w:rPr>
          <w:rStyle w:val="FootnoteReference"/>
          <w:sz w:val="22"/>
          <w:szCs w:val="22"/>
        </w:rPr>
        <w:footnoteReference w:id="4"/>
      </w:r>
      <w:r w:rsidRPr="0025624C" w:rsidR="004011C5">
        <w:rPr>
          <w:sz w:val="22"/>
          <w:szCs w:val="22"/>
          <w:vertAlign w:val="superscript"/>
        </w:rPr>
        <w:t xml:space="preserve"> </w:t>
      </w:r>
      <w:r w:rsidRPr="0025624C" w:rsidR="00224EFE">
        <w:rPr>
          <w:sz w:val="22"/>
          <w:szCs w:val="22"/>
        </w:rPr>
        <w:t xml:space="preserve">The FLSA also exempts </w:t>
      </w:r>
      <w:r w:rsidRPr="0025624C" w:rsidR="00FE3420">
        <w:rPr>
          <w:sz w:val="22"/>
          <w:szCs w:val="22"/>
        </w:rPr>
        <w:t>some computer-related employees who are paid on a salaried</w:t>
      </w:r>
      <w:r w:rsidRPr="0025624C" w:rsidR="00224EFE">
        <w:rPr>
          <w:sz w:val="22"/>
          <w:szCs w:val="22"/>
        </w:rPr>
        <w:t xml:space="preserve"> or </w:t>
      </w:r>
      <w:r w:rsidRPr="0025624C" w:rsidR="009616DF">
        <w:rPr>
          <w:sz w:val="22"/>
          <w:szCs w:val="22"/>
        </w:rPr>
        <w:t xml:space="preserve">fee </w:t>
      </w:r>
      <w:r w:rsidRPr="0025624C" w:rsidR="00FE3420">
        <w:rPr>
          <w:sz w:val="22"/>
          <w:szCs w:val="22"/>
        </w:rPr>
        <w:t xml:space="preserve">basis </w:t>
      </w:r>
      <w:r w:rsidRPr="0025624C" w:rsidR="006C7EC9">
        <w:rPr>
          <w:sz w:val="22"/>
          <w:szCs w:val="22"/>
        </w:rPr>
        <w:t>or</w:t>
      </w:r>
      <w:r w:rsidRPr="0025624C" w:rsidR="0080680E">
        <w:rPr>
          <w:sz w:val="22"/>
          <w:szCs w:val="22"/>
        </w:rPr>
        <w:t xml:space="preserve">, </w:t>
      </w:r>
      <w:r w:rsidRPr="0025624C" w:rsidR="006C7EC9">
        <w:rPr>
          <w:sz w:val="22"/>
          <w:szCs w:val="22"/>
        </w:rPr>
        <w:t xml:space="preserve">if compensated on an hourly basis, at a rate not less than $27.63 an hour. </w:t>
      </w:r>
      <w:r w:rsidRPr="0025624C" w:rsidR="0080680E">
        <w:rPr>
          <w:sz w:val="22"/>
          <w:szCs w:val="22"/>
        </w:rPr>
        <w:t xml:space="preserve">Finally, the statute exempts </w:t>
      </w:r>
      <w:r w:rsidRPr="0025624C" w:rsidR="00F810A5">
        <w:rPr>
          <w:sz w:val="22"/>
          <w:szCs w:val="22"/>
        </w:rPr>
        <w:t>outside salespersons, who make sales or obtain orders and are customarily and regularly engaged away from the employer's place of business.</w:t>
      </w:r>
      <w:r>
        <w:rPr>
          <w:rStyle w:val="FootnoteReference"/>
          <w:sz w:val="22"/>
          <w:szCs w:val="22"/>
        </w:rPr>
        <w:footnoteReference w:id="5"/>
      </w:r>
    </w:p>
    <w:p w:rsidR="009E6B8E" w:rsidRPr="0025624C" w:rsidP="00CB523F" w14:paraId="4A93AD9B" w14:textId="77777777">
      <w:pPr>
        <w:rPr>
          <w:sz w:val="22"/>
          <w:szCs w:val="22"/>
        </w:rPr>
      </w:pPr>
    </w:p>
    <w:p w:rsidR="004F76D8" w:rsidRPr="0025624C" w:rsidP="00CB523F" w14:paraId="7502A713" w14:textId="4D778583">
      <w:pPr>
        <w:rPr>
          <w:sz w:val="22"/>
          <w:szCs w:val="22"/>
        </w:rPr>
      </w:pPr>
      <w:r w:rsidRPr="0025624C">
        <w:rPr>
          <w:sz w:val="22"/>
          <w:szCs w:val="22"/>
        </w:rPr>
        <w:t xml:space="preserve">The </w:t>
      </w:r>
      <w:r w:rsidR="001946B0">
        <w:rPr>
          <w:sz w:val="22"/>
          <w:szCs w:val="22"/>
        </w:rPr>
        <w:t xml:space="preserve">WHD </w:t>
      </w:r>
      <w:r w:rsidRPr="0025624C">
        <w:rPr>
          <w:sz w:val="22"/>
          <w:szCs w:val="22"/>
        </w:rPr>
        <w:t xml:space="preserve">in DOL promotes compliance with the FLSA through a balance of strategies, including </w:t>
      </w:r>
      <w:r w:rsidRPr="0025624C" w:rsidR="003C293E">
        <w:rPr>
          <w:sz w:val="22"/>
          <w:szCs w:val="22"/>
        </w:rPr>
        <w:t xml:space="preserve">investigations of non-compliance, dissemination of compliance information and tools, </w:t>
      </w:r>
      <w:r w:rsidRPr="0025624C" w:rsidR="00C5505C">
        <w:rPr>
          <w:sz w:val="22"/>
          <w:szCs w:val="22"/>
        </w:rPr>
        <w:t xml:space="preserve">and </w:t>
      </w:r>
      <w:r w:rsidRPr="0025624C" w:rsidR="003C293E">
        <w:rPr>
          <w:sz w:val="22"/>
          <w:szCs w:val="22"/>
        </w:rPr>
        <w:t xml:space="preserve">strategic outreach to employers and employees. WHD investigates </w:t>
      </w:r>
      <w:r w:rsidRPr="0025624C">
        <w:rPr>
          <w:sz w:val="22"/>
          <w:szCs w:val="22"/>
        </w:rPr>
        <w:t xml:space="preserve">allegations of </w:t>
      </w:r>
      <w:r w:rsidRPr="0025624C" w:rsidR="0031021A">
        <w:rPr>
          <w:sz w:val="22"/>
          <w:szCs w:val="22"/>
        </w:rPr>
        <w:t xml:space="preserve">FLSA </w:t>
      </w:r>
      <w:r w:rsidRPr="0025624C">
        <w:rPr>
          <w:sz w:val="22"/>
          <w:szCs w:val="22"/>
        </w:rPr>
        <w:t xml:space="preserve">violations </w:t>
      </w:r>
      <w:r w:rsidRPr="0025624C" w:rsidR="00903FA7">
        <w:rPr>
          <w:sz w:val="22"/>
          <w:szCs w:val="22"/>
        </w:rPr>
        <w:t xml:space="preserve">and also initiates </w:t>
      </w:r>
      <w:r w:rsidRPr="0025624C">
        <w:rPr>
          <w:sz w:val="22"/>
          <w:szCs w:val="22"/>
        </w:rPr>
        <w:t xml:space="preserve">investigations </w:t>
      </w:r>
      <w:r w:rsidRPr="0025624C" w:rsidR="008413D3">
        <w:rPr>
          <w:sz w:val="22"/>
          <w:szCs w:val="22"/>
        </w:rPr>
        <w:t xml:space="preserve">in </w:t>
      </w:r>
      <w:r w:rsidRPr="0025624C" w:rsidR="00903FA7">
        <w:rPr>
          <w:sz w:val="22"/>
          <w:szCs w:val="22"/>
        </w:rPr>
        <w:t xml:space="preserve">certain </w:t>
      </w:r>
      <w:r w:rsidRPr="0025624C" w:rsidR="008413D3">
        <w:rPr>
          <w:sz w:val="22"/>
          <w:szCs w:val="22"/>
        </w:rPr>
        <w:t xml:space="preserve">industries </w:t>
      </w:r>
      <w:r w:rsidRPr="0025624C">
        <w:rPr>
          <w:sz w:val="22"/>
          <w:szCs w:val="22"/>
        </w:rPr>
        <w:t xml:space="preserve">that </w:t>
      </w:r>
      <w:r w:rsidRPr="0025624C" w:rsidR="0060258A">
        <w:rPr>
          <w:sz w:val="22"/>
          <w:szCs w:val="22"/>
        </w:rPr>
        <w:t>have demonstrated histories of non-compliance and that employ large numbers of low-wage workers who are more likely to be subject to a minimum wage or overtime violation</w:t>
      </w:r>
      <w:r w:rsidRPr="0025624C">
        <w:rPr>
          <w:sz w:val="22"/>
          <w:szCs w:val="22"/>
        </w:rPr>
        <w:t>.</w:t>
      </w:r>
      <w:r>
        <w:rPr>
          <w:rStyle w:val="FootnoteReference"/>
          <w:sz w:val="22"/>
          <w:szCs w:val="22"/>
        </w:rPr>
        <w:footnoteReference w:id="6"/>
      </w:r>
      <w:r w:rsidRPr="0025624C">
        <w:rPr>
          <w:sz w:val="22"/>
          <w:szCs w:val="22"/>
        </w:rPr>
        <w:t xml:space="preserve"> </w:t>
      </w:r>
      <w:r w:rsidRPr="0025624C" w:rsidR="00032650">
        <w:rPr>
          <w:sz w:val="22"/>
          <w:szCs w:val="22"/>
        </w:rPr>
        <w:t>These agency-initiated s</w:t>
      </w:r>
      <w:r w:rsidRPr="0025624C">
        <w:rPr>
          <w:sz w:val="22"/>
          <w:szCs w:val="22"/>
        </w:rPr>
        <w:t xml:space="preserve">ector-based investigations in high-priority industries have typically been based on the analyses of </w:t>
      </w:r>
      <w:r w:rsidRPr="0025624C" w:rsidR="0015161E">
        <w:rPr>
          <w:sz w:val="22"/>
          <w:szCs w:val="22"/>
        </w:rPr>
        <w:t xml:space="preserve">non-compliance in </w:t>
      </w:r>
      <w:r w:rsidRPr="0025624C">
        <w:rPr>
          <w:sz w:val="22"/>
          <w:szCs w:val="22"/>
        </w:rPr>
        <w:t xml:space="preserve">industries that employ workers who are less likely to file complaints. </w:t>
      </w:r>
      <w:r w:rsidRPr="0025624C" w:rsidR="002046D1">
        <w:rPr>
          <w:sz w:val="22"/>
          <w:szCs w:val="22"/>
        </w:rPr>
        <w:t>In fiscal year (FY) 2019, nearly two-thirds (64%) of WHD FLSA investigations occurred in response to complaints, while the remaining 36 percent were investigations initiated by WHD as part of its strategic enforcement goals.</w:t>
      </w:r>
      <w:r>
        <w:rPr>
          <w:rStyle w:val="FootnoteReference"/>
          <w:sz w:val="22"/>
          <w:szCs w:val="22"/>
        </w:rPr>
        <w:footnoteReference w:id="7"/>
      </w:r>
      <w:r w:rsidRPr="0025624C" w:rsidR="002046D1">
        <w:rPr>
          <w:sz w:val="22"/>
          <w:szCs w:val="22"/>
        </w:rPr>
        <w:t xml:space="preserve"> </w:t>
      </w:r>
      <w:r w:rsidRPr="0025624C">
        <w:rPr>
          <w:sz w:val="22"/>
          <w:szCs w:val="22"/>
        </w:rPr>
        <w:t>Ideally, agency-</w:t>
      </w:r>
      <w:r w:rsidRPr="0025624C" w:rsidR="008D09FF">
        <w:rPr>
          <w:sz w:val="22"/>
          <w:szCs w:val="22"/>
        </w:rPr>
        <w:t xml:space="preserve">initiated </w:t>
      </w:r>
      <w:r w:rsidRPr="0025624C">
        <w:rPr>
          <w:sz w:val="22"/>
          <w:szCs w:val="22"/>
        </w:rPr>
        <w:t xml:space="preserve">investigations would complement complaint-driven investigations by uncovering the most severe of the unreported FLSA violations. However, the data and resources available to identify industry sectors that have a high likelihood of </w:t>
      </w:r>
      <w:r w:rsidRPr="0025624C" w:rsidR="00CB6C16">
        <w:rPr>
          <w:sz w:val="22"/>
          <w:szCs w:val="22"/>
        </w:rPr>
        <w:t xml:space="preserve">possible </w:t>
      </w:r>
      <w:r w:rsidRPr="0025624C">
        <w:rPr>
          <w:sz w:val="22"/>
          <w:szCs w:val="22"/>
        </w:rPr>
        <w:t xml:space="preserve">wage and hour violations are limited. To be effective, this approach must be informed by reliable and valid data so that WHD has a </w:t>
      </w:r>
      <w:r w:rsidRPr="0025624C">
        <w:rPr>
          <w:sz w:val="22"/>
          <w:szCs w:val="22"/>
        </w:rPr>
        <w:t>firm evidence</w:t>
      </w:r>
      <w:r w:rsidRPr="0025624C">
        <w:rPr>
          <w:sz w:val="22"/>
          <w:szCs w:val="22"/>
        </w:rPr>
        <w:t xml:space="preserve"> basis for making decisions about where to dedicate investigatory resources. </w:t>
      </w:r>
    </w:p>
    <w:p w:rsidR="00074D25" w:rsidRPr="0025624C" w:rsidP="00CB523F" w14:paraId="62FF8CD7" w14:textId="77777777">
      <w:pPr>
        <w:rPr>
          <w:sz w:val="22"/>
          <w:szCs w:val="22"/>
        </w:rPr>
      </w:pPr>
    </w:p>
    <w:p w:rsidR="00E02835" w:rsidRPr="0025624C" w:rsidP="00E02835" w14:paraId="34B10A65" w14:textId="462F74DA">
      <w:pPr>
        <w:rPr>
          <w:sz w:val="22"/>
          <w:szCs w:val="22"/>
        </w:rPr>
      </w:pPr>
      <w:r w:rsidRPr="0025624C">
        <w:rPr>
          <w:sz w:val="22"/>
          <w:szCs w:val="22"/>
        </w:rPr>
        <w:t>Given WHD’s limited resources to investigate all potential cases of wage violations, it is important to have national</w:t>
      </w:r>
      <w:r w:rsidRPr="0025624C" w:rsidR="00643173">
        <w:rPr>
          <w:sz w:val="22"/>
          <w:szCs w:val="22"/>
        </w:rPr>
        <w:t xml:space="preserve"> </w:t>
      </w:r>
      <w:r w:rsidRPr="0025624C">
        <w:rPr>
          <w:sz w:val="22"/>
          <w:szCs w:val="22"/>
        </w:rPr>
        <w:t>data on prevalence across industries and worker subpopulations to allow WHD to prioritize resources and achieve the greatest impact on compliance. Th</w:t>
      </w:r>
      <w:r w:rsidRPr="0025624C" w:rsidR="00061891">
        <w:rPr>
          <w:sz w:val="22"/>
          <w:szCs w:val="22"/>
        </w:rPr>
        <w:t xml:space="preserve">is data collection will </w:t>
      </w:r>
      <w:r w:rsidRPr="0025624C" w:rsidR="00CD3FFE">
        <w:rPr>
          <w:sz w:val="22"/>
          <w:szCs w:val="22"/>
        </w:rPr>
        <w:t>consist of</w:t>
      </w:r>
      <w:r w:rsidRPr="0025624C" w:rsidR="00061891">
        <w:rPr>
          <w:sz w:val="22"/>
          <w:szCs w:val="22"/>
        </w:rPr>
        <w:t xml:space="preserve"> </w:t>
      </w:r>
      <w:r w:rsidRPr="0025624C">
        <w:rPr>
          <w:sz w:val="22"/>
          <w:szCs w:val="22"/>
        </w:rPr>
        <w:t xml:space="preserve">a nationally representative survey of </w:t>
      </w:r>
      <w:r w:rsidRPr="0025624C" w:rsidR="00301436">
        <w:rPr>
          <w:sz w:val="22"/>
          <w:szCs w:val="22"/>
        </w:rPr>
        <w:t xml:space="preserve">FLSA </w:t>
      </w:r>
      <w:r w:rsidRPr="0025624C" w:rsidR="00625E32">
        <w:rPr>
          <w:sz w:val="22"/>
          <w:szCs w:val="22"/>
        </w:rPr>
        <w:t xml:space="preserve">nonexempt </w:t>
      </w:r>
      <w:r w:rsidRPr="0025624C">
        <w:rPr>
          <w:sz w:val="22"/>
          <w:szCs w:val="22"/>
        </w:rPr>
        <w:t>workers</w:t>
      </w:r>
      <w:r>
        <w:rPr>
          <w:sz w:val="22"/>
          <w:szCs w:val="22"/>
        </w:rPr>
        <w:t xml:space="preserve"> using addressed-based sampling (ABS)</w:t>
      </w:r>
      <w:r w:rsidRPr="0025624C">
        <w:rPr>
          <w:sz w:val="22"/>
          <w:szCs w:val="22"/>
        </w:rPr>
        <w:t xml:space="preserve"> with oversamples of workers in </w:t>
      </w:r>
      <w:r w:rsidRPr="0025624C" w:rsidR="007D4178">
        <w:rPr>
          <w:sz w:val="22"/>
          <w:szCs w:val="22"/>
        </w:rPr>
        <w:t xml:space="preserve">10 </w:t>
      </w:r>
      <w:r w:rsidRPr="0025624C">
        <w:rPr>
          <w:sz w:val="22"/>
          <w:szCs w:val="22"/>
        </w:rPr>
        <w:t>industries</w:t>
      </w:r>
      <w:r w:rsidRPr="0025624C" w:rsidR="00983E4A">
        <w:rPr>
          <w:sz w:val="22"/>
          <w:szCs w:val="22"/>
        </w:rPr>
        <w:t xml:space="preserve"> that employ the largest numbers</w:t>
      </w:r>
      <w:r w:rsidRPr="0025624C">
        <w:rPr>
          <w:sz w:val="22"/>
          <w:szCs w:val="22"/>
        </w:rPr>
        <w:t xml:space="preserve"> </w:t>
      </w:r>
      <w:r w:rsidRPr="0025624C" w:rsidR="00983E4A">
        <w:rPr>
          <w:sz w:val="22"/>
          <w:szCs w:val="22"/>
        </w:rPr>
        <w:t>of workers whose wages are lower than the national average</w:t>
      </w:r>
      <w:r>
        <w:rPr>
          <w:sz w:val="22"/>
          <w:szCs w:val="22"/>
        </w:rPr>
        <w:t xml:space="preserve"> using respondent-driven sampling (RDS).</w:t>
      </w:r>
    </w:p>
    <w:p w:rsidR="00AE5FAB" w:rsidP="00CB523F" w14:paraId="427A5050" w14:textId="77777777">
      <w:pPr>
        <w:rPr>
          <w:sz w:val="22"/>
          <w:szCs w:val="22"/>
        </w:rPr>
      </w:pPr>
    </w:p>
    <w:p w:rsidR="00F95D1F" w:rsidRPr="0025624C" w:rsidP="00CB523F" w14:paraId="47F49143" w14:textId="31955BB8">
      <w:pPr>
        <w:rPr>
          <w:sz w:val="22"/>
          <w:szCs w:val="22"/>
        </w:rPr>
      </w:pPr>
      <w:r w:rsidRPr="0025624C">
        <w:rPr>
          <w:sz w:val="22"/>
          <w:szCs w:val="22"/>
        </w:rPr>
        <w:t xml:space="preserve">CEO undertakes a learning agenda process each year to identify Departmental priorities for program evaluations.  This evaluation was prioritized as part of that process in FY 2016.  Division H, Title I, section 107 of Public Law 114-113, the “Consolidated Appropriations Act, 2016” authorizes the Secretary of Labor to reserve not more than 0.75 percent from special budget accounts for transfer to and use by the </w:t>
      </w:r>
      <w:r w:rsidRPr="0025624C" w:rsidR="00130BC6">
        <w:rPr>
          <w:sz w:val="22"/>
          <w:szCs w:val="22"/>
        </w:rPr>
        <w:t xml:space="preserve">DOL’s </w:t>
      </w:r>
      <w:r w:rsidRPr="0025624C">
        <w:rPr>
          <w:sz w:val="22"/>
          <w:szCs w:val="22"/>
        </w:rPr>
        <w:t>CEO for departmental program evaluation. Further, 29 USC 3224a (1), authorizes the Secretary of Labor to conduct ongoing evaluation of programs and activities to improve the management and effectiveness of these programs.</w:t>
      </w:r>
    </w:p>
    <w:p w:rsidR="007A1D42" w:rsidRPr="0025624C" w:rsidP="00711D94" w14:paraId="16C67D5C" w14:textId="77777777">
      <w:pPr>
        <w:rPr>
          <w:sz w:val="22"/>
          <w:szCs w:val="22"/>
        </w:rPr>
      </w:pPr>
    </w:p>
    <w:p w:rsidR="00126685" w:rsidRPr="0025624C" w:rsidP="00126685" w14:paraId="7D2F7561" w14:textId="77777777">
      <w:pPr>
        <w:rPr>
          <w:sz w:val="22"/>
          <w:szCs w:val="22"/>
        </w:rPr>
      </w:pPr>
      <w:r w:rsidRPr="0025624C">
        <w:rPr>
          <w:b/>
          <w:sz w:val="22"/>
          <w:szCs w:val="22"/>
        </w:rPr>
        <w:t>2</w:t>
      </w:r>
      <w:r w:rsidRPr="0025624C">
        <w:rPr>
          <w:b/>
          <w:bCs/>
          <w:sz w:val="22"/>
          <w:szCs w:val="22"/>
        </w:rPr>
        <w:t>.  Indicate</w:t>
      </w:r>
      <w:r w:rsidRPr="0025624C">
        <w:rPr>
          <w:b/>
          <w:bCs/>
          <w:sz w:val="22"/>
          <w:szCs w:val="22"/>
        </w:rPr>
        <w:t xml:space="preserve"> how, by whom,</w:t>
      </w:r>
      <w:r w:rsidRPr="0025624C" w:rsidR="00806464">
        <w:rPr>
          <w:b/>
          <w:sz w:val="22"/>
          <w:szCs w:val="22"/>
        </w:rPr>
        <w:t xml:space="preserve"> and </w:t>
      </w:r>
      <w:r w:rsidRPr="0025624C">
        <w:rPr>
          <w:b/>
          <w:bCs/>
          <w:sz w:val="22"/>
          <w:szCs w:val="22"/>
        </w:rPr>
        <w:t>for what purpose the information is to be used.  Except for a new collection, indicate the actual use the agency has made</w:t>
      </w:r>
      <w:r w:rsidRPr="0025624C" w:rsidR="00806464">
        <w:rPr>
          <w:b/>
          <w:sz w:val="22"/>
          <w:szCs w:val="22"/>
        </w:rPr>
        <w:t xml:space="preserve"> of the </w:t>
      </w:r>
      <w:r w:rsidRPr="0025624C">
        <w:rPr>
          <w:b/>
          <w:bCs/>
          <w:sz w:val="22"/>
          <w:szCs w:val="22"/>
        </w:rPr>
        <w:t>information received from the current collection.</w:t>
      </w:r>
    </w:p>
    <w:p w:rsidR="00CB523F" w:rsidRPr="0025624C" w:rsidP="00AB48E3" w14:paraId="778E4C92" w14:textId="77777777">
      <w:pPr>
        <w:rPr>
          <w:sz w:val="22"/>
          <w:szCs w:val="22"/>
          <w:u w:val="single"/>
        </w:rPr>
      </w:pPr>
    </w:p>
    <w:p w:rsidR="002046D1" w:rsidRPr="0025624C" w:rsidP="00AB48E3" w14:paraId="5C09BCF2" w14:textId="3B1F46AC">
      <w:pPr>
        <w:rPr>
          <w:sz w:val="22"/>
          <w:szCs w:val="22"/>
        </w:rPr>
      </w:pPr>
      <w:r w:rsidRPr="0025624C">
        <w:rPr>
          <w:sz w:val="22"/>
          <w:szCs w:val="22"/>
        </w:rPr>
        <w:t xml:space="preserve">DOL plans to compile an analytical research report on the findings and results of </w:t>
      </w:r>
      <w:r w:rsidRPr="0025624C" w:rsidR="00D765F5">
        <w:rPr>
          <w:sz w:val="22"/>
          <w:szCs w:val="22"/>
        </w:rPr>
        <w:t>the survey</w:t>
      </w:r>
      <w:r w:rsidRPr="0025624C">
        <w:rPr>
          <w:sz w:val="22"/>
          <w:szCs w:val="22"/>
        </w:rPr>
        <w:t xml:space="preserve">. </w:t>
      </w:r>
      <w:r w:rsidRPr="0025624C" w:rsidR="000549EA">
        <w:rPr>
          <w:sz w:val="22"/>
          <w:szCs w:val="22"/>
        </w:rPr>
        <w:t xml:space="preserve">The report </w:t>
      </w:r>
      <w:r w:rsidRPr="0025624C" w:rsidR="00D765F5">
        <w:rPr>
          <w:sz w:val="22"/>
          <w:szCs w:val="22"/>
        </w:rPr>
        <w:t>will analyze the data from the survey to</w:t>
      </w:r>
      <w:r w:rsidRPr="0025624C" w:rsidR="00A07926">
        <w:rPr>
          <w:sz w:val="22"/>
          <w:szCs w:val="22"/>
        </w:rPr>
        <w:t>:</w:t>
      </w:r>
      <w:r w:rsidRPr="0025624C" w:rsidR="00D765F5">
        <w:rPr>
          <w:sz w:val="22"/>
          <w:szCs w:val="22"/>
        </w:rPr>
        <w:t xml:space="preserve"> (1) produce prevalence estimates for </w:t>
      </w:r>
      <w:r w:rsidRPr="0025624C" w:rsidR="007B4200">
        <w:rPr>
          <w:sz w:val="22"/>
          <w:szCs w:val="22"/>
        </w:rPr>
        <w:t xml:space="preserve">non-compliance with FLSA’s </w:t>
      </w:r>
      <w:r w:rsidRPr="0025624C" w:rsidR="00D765F5">
        <w:rPr>
          <w:sz w:val="22"/>
          <w:szCs w:val="22"/>
        </w:rPr>
        <w:t>wage</w:t>
      </w:r>
      <w:r w:rsidRPr="0025624C" w:rsidR="002839D3">
        <w:rPr>
          <w:sz w:val="22"/>
          <w:szCs w:val="22"/>
        </w:rPr>
        <w:t xml:space="preserve"> </w:t>
      </w:r>
      <w:r w:rsidRPr="0025624C" w:rsidR="00D765F5">
        <w:rPr>
          <w:sz w:val="22"/>
          <w:szCs w:val="22"/>
        </w:rPr>
        <w:t xml:space="preserve">and overtime protections; (2) understand differences </w:t>
      </w:r>
      <w:r w:rsidRPr="0025624C" w:rsidR="00D765F5">
        <w:rPr>
          <w:sz w:val="22"/>
          <w:szCs w:val="22"/>
        </w:rPr>
        <w:t xml:space="preserve">in </w:t>
      </w:r>
      <w:r w:rsidRPr="0025624C" w:rsidR="002839D3">
        <w:rPr>
          <w:sz w:val="22"/>
          <w:szCs w:val="22"/>
        </w:rPr>
        <w:t xml:space="preserve">the nature of </w:t>
      </w:r>
      <w:r w:rsidRPr="0025624C" w:rsidR="00D765F5">
        <w:rPr>
          <w:sz w:val="22"/>
          <w:szCs w:val="22"/>
        </w:rPr>
        <w:t>violation</w:t>
      </w:r>
      <w:r w:rsidRPr="0025624C" w:rsidR="00CD4974">
        <w:rPr>
          <w:sz w:val="22"/>
          <w:szCs w:val="22"/>
        </w:rPr>
        <w:t>s</w:t>
      </w:r>
      <w:r w:rsidRPr="0025624C" w:rsidR="00CD4974">
        <w:rPr>
          <w:sz w:val="22"/>
          <w:szCs w:val="22"/>
        </w:rPr>
        <w:t xml:space="preserve"> </w:t>
      </w:r>
      <w:r w:rsidRPr="0025624C" w:rsidR="00D765F5">
        <w:rPr>
          <w:sz w:val="22"/>
          <w:szCs w:val="22"/>
        </w:rPr>
        <w:t xml:space="preserve">by employer and worker characteristics; and (3) examine the relative weight of job, employer, and worker characteristics. </w:t>
      </w:r>
      <w:r w:rsidRPr="0025624C">
        <w:rPr>
          <w:sz w:val="22"/>
          <w:szCs w:val="22"/>
        </w:rPr>
        <w:t xml:space="preserve">The information collected from the survey will help the </w:t>
      </w:r>
      <w:r w:rsidRPr="0025624C" w:rsidR="000549EA">
        <w:rPr>
          <w:sz w:val="22"/>
          <w:szCs w:val="22"/>
        </w:rPr>
        <w:t xml:space="preserve">DOL’s </w:t>
      </w:r>
      <w:r w:rsidRPr="0025624C" w:rsidR="00D765F5">
        <w:rPr>
          <w:sz w:val="22"/>
          <w:szCs w:val="22"/>
        </w:rPr>
        <w:t xml:space="preserve">efforts to </w:t>
      </w:r>
      <w:r w:rsidRPr="0025624C" w:rsidR="00762EE0">
        <w:rPr>
          <w:sz w:val="22"/>
          <w:szCs w:val="22"/>
        </w:rPr>
        <w:t xml:space="preserve">develop the most effective strategies for </w:t>
      </w:r>
      <w:r w:rsidRPr="0025624C" w:rsidR="00D765F5">
        <w:rPr>
          <w:sz w:val="22"/>
          <w:szCs w:val="22"/>
        </w:rPr>
        <w:t>promot</w:t>
      </w:r>
      <w:r w:rsidRPr="0025624C" w:rsidR="00762EE0">
        <w:rPr>
          <w:sz w:val="22"/>
          <w:szCs w:val="22"/>
        </w:rPr>
        <w:t>ing</w:t>
      </w:r>
      <w:r w:rsidRPr="0025624C" w:rsidR="00D765F5">
        <w:rPr>
          <w:sz w:val="22"/>
          <w:szCs w:val="22"/>
        </w:rPr>
        <w:t xml:space="preserve"> employer compliance with the FLSA and </w:t>
      </w:r>
      <w:r w:rsidRPr="0025624C" w:rsidR="00762EE0">
        <w:rPr>
          <w:sz w:val="22"/>
          <w:szCs w:val="22"/>
        </w:rPr>
        <w:t xml:space="preserve">for </w:t>
      </w:r>
      <w:r w:rsidRPr="0025624C" w:rsidR="00D765F5">
        <w:rPr>
          <w:sz w:val="22"/>
          <w:szCs w:val="22"/>
        </w:rPr>
        <w:t>tailor</w:t>
      </w:r>
      <w:r w:rsidRPr="0025624C" w:rsidR="00762EE0">
        <w:rPr>
          <w:sz w:val="22"/>
          <w:szCs w:val="22"/>
        </w:rPr>
        <w:t>ing</w:t>
      </w:r>
      <w:r w:rsidRPr="0025624C" w:rsidR="00D765F5">
        <w:rPr>
          <w:sz w:val="22"/>
          <w:szCs w:val="22"/>
        </w:rPr>
        <w:t xml:space="preserve"> outreach and education efforts to </w:t>
      </w:r>
      <w:r w:rsidRPr="0025624C" w:rsidR="006E3265">
        <w:rPr>
          <w:sz w:val="22"/>
          <w:szCs w:val="22"/>
        </w:rPr>
        <w:t xml:space="preserve">both industry sectors and </w:t>
      </w:r>
      <w:r w:rsidRPr="0025624C" w:rsidR="00D765F5">
        <w:rPr>
          <w:sz w:val="22"/>
          <w:szCs w:val="22"/>
        </w:rPr>
        <w:t>workers.</w:t>
      </w:r>
    </w:p>
    <w:p w:rsidR="00D53709" w:rsidRPr="0025624C" w:rsidP="00AB48E3" w14:paraId="0839CB1D" w14:textId="77777777">
      <w:pPr>
        <w:rPr>
          <w:sz w:val="22"/>
          <w:szCs w:val="22"/>
        </w:rPr>
      </w:pPr>
    </w:p>
    <w:p w:rsidR="00E91C9D" w:rsidRPr="0025624C" w:rsidP="00E91C9D" w14:paraId="221DC232"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3</w:t>
      </w:r>
      <w:r w:rsidRPr="0025624C">
        <w:rPr>
          <w:b/>
          <w:bCs/>
          <w:sz w:val="22"/>
          <w:szCs w:val="22"/>
        </w:rPr>
        <w:t>.  Describe</w:t>
      </w:r>
      <w:r w:rsidRPr="0025624C">
        <w:rPr>
          <w:b/>
          <w:bCs/>
          <w:sz w:val="22"/>
          <w:szCs w:val="22"/>
        </w:rPr>
        <w:t xml:space="preserve"> whether, and to what extent, the collection</w:t>
      </w:r>
      <w:r w:rsidRPr="0025624C" w:rsidR="00597D0F">
        <w:rPr>
          <w:b/>
          <w:sz w:val="22"/>
          <w:szCs w:val="22"/>
        </w:rPr>
        <w:t xml:space="preserve"> of </w:t>
      </w:r>
      <w:r w:rsidRPr="0025624C">
        <w:rPr>
          <w:b/>
          <w:bCs/>
          <w:sz w:val="22"/>
          <w:szCs w:val="22"/>
        </w:rPr>
        <w:t xml:space="preserve">information involves the use of automated, electronic, mechanical, or other technological collection techniques or other forms of </w:t>
      </w:r>
      <w:r w:rsidRPr="0025624C">
        <w:rPr>
          <w:b/>
          <w:bCs/>
          <w:sz w:val="22"/>
          <w:szCs w:val="22"/>
        </w:rPr>
        <w:t xml:space="preserve">information technology, e.g., permitting electronic submission of responses, and the basis for the decision </w:t>
      </w:r>
      <w:r w:rsidRPr="0025624C">
        <w:rPr>
          <w:b/>
          <w:bCs/>
          <w:sz w:val="22"/>
          <w:szCs w:val="22"/>
        </w:rPr>
        <w:t>for adopting</w:t>
      </w:r>
      <w:r w:rsidRPr="0025624C">
        <w:rPr>
          <w:b/>
          <w:bCs/>
          <w:sz w:val="22"/>
          <w:szCs w:val="22"/>
        </w:rPr>
        <w:t xml:space="preserve"> this means of collection.  Also, describe any consideration of using information technology to reduce burden.</w:t>
      </w:r>
    </w:p>
    <w:p w:rsidR="00AA477F" w:rsidRPr="0025624C" w:rsidP="00711D94" w14:paraId="352EF8E6" w14:textId="77777777">
      <w:pPr>
        <w:rPr>
          <w:sz w:val="22"/>
          <w:szCs w:val="22"/>
        </w:rPr>
      </w:pPr>
    </w:p>
    <w:p w:rsidR="004A4B37" w:rsidRPr="0025624C" w:rsidP="00711D94" w14:paraId="1179B73F" w14:textId="7F65BDDE">
      <w:pPr>
        <w:rPr>
          <w:sz w:val="22"/>
          <w:szCs w:val="22"/>
        </w:rPr>
      </w:pPr>
      <w:r>
        <w:rPr>
          <w:sz w:val="22"/>
          <w:szCs w:val="22"/>
        </w:rPr>
        <w:t xml:space="preserve">In the ABS sample, households will be mailed a letter inviting </w:t>
      </w:r>
      <w:r w:rsidR="008C4B89">
        <w:rPr>
          <w:sz w:val="22"/>
          <w:szCs w:val="22"/>
        </w:rPr>
        <w:t xml:space="preserve">an </w:t>
      </w:r>
      <w:r>
        <w:rPr>
          <w:sz w:val="22"/>
          <w:szCs w:val="22"/>
        </w:rPr>
        <w:t>e</w:t>
      </w:r>
      <w:r w:rsidRPr="0025624C" w:rsidR="00630133">
        <w:rPr>
          <w:sz w:val="22"/>
          <w:szCs w:val="22"/>
        </w:rPr>
        <w:t xml:space="preserve">ligible individual </w:t>
      </w:r>
      <w:r w:rsidRPr="0025624C" w:rsidR="001D40FE">
        <w:rPr>
          <w:sz w:val="22"/>
          <w:szCs w:val="22"/>
        </w:rPr>
        <w:t>to complete a web survey.</w:t>
      </w:r>
      <w:r w:rsidRPr="0025624C" w:rsidR="00630133">
        <w:rPr>
          <w:sz w:val="22"/>
          <w:szCs w:val="22"/>
        </w:rPr>
        <w:t xml:space="preserve"> </w:t>
      </w:r>
      <w:r w:rsidRPr="0025624C" w:rsidR="00E55F28">
        <w:rPr>
          <w:sz w:val="22"/>
          <w:szCs w:val="22"/>
        </w:rPr>
        <w:t>Each p</w:t>
      </w:r>
      <w:r w:rsidRPr="0025624C" w:rsidR="001D40FE">
        <w:rPr>
          <w:sz w:val="22"/>
          <w:szCs w:val="22"/>
        </w:rPr>
        <w:t xml:space="preserve">articipant will be </w:t>
      </w:r>
      <w:r w:rsidRPr="0025624C" w:rsidR="001D40FE">
        <w:rPr>
          <w:sz w:val="22"/>
          <w:szCs w:val="22"/>
        </w:rPr>
        <w:t>provided</w:t>
      </w:r>
      <w:r w:rsidRPr="0025624C" w:rsidR="001D40FE">
        <w:rPr>
          <w:sz w:val="22"/>
          <w:szCs w:val="22"/>
        </w:rPr>
        <w:t xml:space="preserve"> the URL and a unique PIN to access the survey</w:t>
      </w:r>
      <w:r w:rsidR="008C4B89">
        <w:rPr>
          <w:sz w:val="22"/>
          <w:szCs w:val="22"/>
        </w:rPr>
        <w:t xml:space="preserve"> in the letter</w:t>
      </w:r>
      <w:r w:rsidRPr="0025624C" w:rsidR="001D40FE">
        <w:rPr>
          <w:sz w:val="22"/>
          <w:szCs w:val="22"/>
        </w:rPr>
        <w:t xml:space="preserve">. </w:t>
      </w:r>
      <w:r w:rsidRPr="0025624C" w:rsidR="00765A5D">
        <w:rPr>
          <w:sz w:val="22"/>
          <w:szCs w:val="22"/>
        </w:rPr>
        <w:t xml:space="preserve"> </w:t>
      </w:r>
      <w:r w:rsidR="008C4B89">
        <w:rPr>
          <w:sz w:val="22"/>
          <w:szCs w:val="22"/>
        </w:rPr>
        <w:t>ABS r</w:t>
      </w:r>
      <w:r w:rsidRPr="0025624C" w:rsidR="001414F1">
        <w:rPr>
          <w:sz w:val="22"/>
          <w:szCs w:val="22"/>
        </w:rPr>
        <w:t xml:space="preserve">espondents will be given a choice to receive electronic </w:t>
      </w:r>
      <w:r w:rsidR="008C4B89">
        <w:rPr>
          <w:sz w:val="22"/>
          <w:szCs w:val="22"/>
        </w:rPr>
        <w:t>invitations</w:t>
      </w:r>
      <w:r w:rsidRPr="0025624C" w:rsidR="001414F1">
        <w:rPr>
          <w:sz w:val="22"/>
          <w:szCs w:val="22"/>
        </w:rPr>
        <w:t xml:space="preserve"> </w:t>
      </w:r>
      <w:r w:rsidRPr="0025624C" w:rsidR="00D76E23">
        <w:rPr>
          <w:sz w:val="22"/>
          <w:szCs w:val="22"/>
        </w:rPr>
        <w:t>via</w:t>
      </w:r>
      <w:r w:rsidRPr="0025624C" w:rsidR="001414F1">
        <w:rPr>
          <w:sz w:val="22"/>
          <w:szCs w:val="22"/>
        </w:rPr>
        <w:t xml:space="preserve"> email or text to </w:t>
      </w:r>
      <w:r w:rsidRPr="0025624C" w:rsidR="008F6F13">
        <w:rPr>
          <w:sz w:val="22"/>
          <w:szCs w:val="22"/>
        </w:rPr>
        <w:t xml:space="preserve">forward to </w:t>
      </w:r>
      <w:r w:rsidRPr="0025624C" w:rsidR="001414F1">
        <w:rPr>
          <w:sz w:val="22"/>
          <w:szCs w:val="22"/>
        </w:rPr>
        <w:t>other</w:t>
      </w:r>
      <w:r w:rsidRPr="0025624C" w:rsidR="008F6F13">
        <w:rPr>
          <w:sz w:val="22"/>
          <w:szCs w:val="22"/>
        </w:rPr>
        <w:t xml:space="preserve"> eligible individuals who they would like to recruit</w:t>
      </w:r>
      <w:r w:rsidRPr="0025624C" w:rsidR="001414F1">
        <w:rPr>
          <w:sz w:val="22"/>
          <w:szCs w:val="22"/>
        </w:rPr>
        <w:t>.</w:t>
      </w:r>
    </w:p>
    <w:p w:rsidR="007A1D42" w:rsidRPr="0025624C" w:rsidP="00711D94" w14:paraId="0DF8167E" w14:textId="77777777">
      <w:pPr>
        <w:rPr>
          <w:sz w:val="22"/>
          <w:szCs w:val="22"/>
        </w:rPr>
      </w:pPr>
    </w:p>
    <w:p w:rsidR="005C62E5" w:rsidRPr="0025624C" w:rsidP="005C62E5" w14:paraId="771B6AA6" w14:textId="6DC44C50">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bCs/>
          <w:sz w:val="22"/>
          <w:szCs w:val="22"/>
        </w:rPr>
        <w:t>4</w:t>
      </w:r>
      <w:r w:rsidRPr="0025624C">
        <w:rPr>
          <w:b/>
          <w:bCs/>
          <w:sz w:val="22"/>
          <w:szCs w:val="22"/>
        </w:rPr>
        <w:t>.  Describe</w:t>
      </w:r>
      <w:r w:rsidRPr="0025624C">
        <w:rPr>
          <w:b/>
          <w:bCs/>
          <w:sz w:val="22"/>
          <w:szCs w:val="22"/>
        </w:rPr>
        <w:t xml:space="preserve"> efforts to identify duplication.  Show specifically why any similar information already available cannot be used or modified for use for the purposes described in Item </w:t>
      </w:r>
      <w:r w:rsidRPr="0025624C" w:rsidR="0047275B">
        <w:rPr>
          <w:b/>
          <w:sz w:val="22"/>
          <w:szCs w:val="22"/>
        </w:rPr>
        <w:t>A</w:t>
      </w:r>
      <w:r w:rsidRPr="0025624C" w:rsidR="00812DC8">
        <w:rPr>
          <w:b/>
          <w:sz w:val="22"/>
          <w:szCs w:val="22"/>
        </w:rPr>
        <w:t>.</w:t>
      </w:r>
      <w:r w:rsidRPr="0025624C">
        <w:rPr>
          <w:b/>
          <w:bCs/>
          <w:sz w:val="22"/>
          <w:szCs w:val="22"/>
        </w:rPr>
        <w:t>2 above.</w:t>
      </w:r>
    </w:p>
    <w:p w:rsidR="00597D0F" w:rsidRPr="0025624C" w:rsidP="005C62E5" w14:paraId="73C13633"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37100F" w:rsidRPr="0025624C" w:rsidP="005C62E5" w14:paraId="5994C8BA" w14:textId="579CF3DC">
      <w:pPr>
        <w:rPr>
          <w:sz w:val="22"/>
          <w:szCs w:val="22"/>
        </w:rPr>
      </w:pPr>
      <w:r w:rsidRPr="0025624C">
        <w:rPr>
          <w:sz w:val="22"/>
          <w:szCs w:val="22"/>
        </w:rPr>
        <w:t>The</w:t>
      </w:r>
      <w:r w:rsidRPr="0025624C" w:rsidR="00571655">
        <w:rPr>
          <w:sz w:val="22"/>
          <w:szCs w:val="22"/>
        </w:rPr>
        <w:t xml:space="preserve">re is no duplication with other data collection efforts. </w:t>
      </w:r>
      <w:r w:rsidRPr="003E0A83" w:rsidR="003E0A83">
        <w:rPr>
          <w:sz w:val="22"/>
          <w:szCs w:val="22"/>
        </w:rPr>
        <w:t>No current national data set exists on the range of potential violations of the FLSA.</w:t>
      </w:r>
      <w:r w:rsidR="003E0A83">
        <w:rPr>
          <w:sz w:val="22"/>
          <w:szCs w:val="22"/>
        </w:rPr>
        <w:t xml:space="preserve">  </w:t>
      </w:r>
      <w:r w:rsidRPr="0025624C" w:rsidR="003A53F7">
        <w:rPr>
          <w:sz w:val="22"/>
          <w:szCs w:val="22"/>
        </w:rPr>
        <w:t>There are no other surveys of a large, random sample of individuals or households that ask questions required to</w:t>
      </w:r>
      <w:r w:rsidRPr="0025624C" w:rsidR="00D931DC">
        <w:rPr>
          <w:sz w:val="22"/>
          <w:szCs w:val="22"/>
        </w:rPr>
        <w:t xml:space="preserve"> measure the </w:t>
      </w:r>
      <w:r w:rsidRPr="0025624C" w:rsidR="001C62A9">
        <w:rPr>
          <w:sz w:val="22"/>
          <w:szCs w:val="22"/>
        </w:rPr>
        <w:t xml:space="preserve">prevalence </w:t>
      </w:r>
      <w:r w:rsidRPr="0025624C" w:rsidR="00D931DC">
        <w:rPr>
          <w:sz w:val="22"/>
          <w:szCs w:val="22"/>
        </w:rPr>
        <w:t>of</w:t>
      </w:r>
      <w:r w:rsidRPr="0025624C" w:rsidR="003A53F7">
        <w:rPr>
          <w:sz w:val="22"/>
          <w:szCs w:val="22"/>
        </w:rPr>
        <w:t xml:space="preserve"> </w:t>
      </w:r>
      <w:r w:rsidRPr="0025624C" w:rsidR="0073114E">
        <w:rPr>
          <w:sz w:val="22"/>
          <w:szCs w:val="22"/>
        </w:rPr>
        <w:t>FLSA violations.</w:t>
      </w:r>
      <w:r w:rsidRPr="0025624C" w:rsidR="005827A3">
        <w:rPr>
          <w:sz w:val="22"/>
          <w:szCs w:val="22"/>
        </w:rPr>
        <w:t xml:space="preserve"> </w:t>
      </w:r>
    </w:p>
    <w:p w:rsidR="0037100F" w:rsidRPr="0025624C" w:rsidP="005C62E5" w14:paraId="4CD267A8" w14:textId="77777777">
      <w:pPr>
        <w:rPr>
          <w:sz w:val="22"/>
          <w:szCs w:val="22"/>
        </w:rPr>
      </w:pPr>
    </w:p>
    <w:p w:rsidR="007B4301" w:rsidRPr="0025624C" w:rsidP="005C62E5" w14:paraId="56632750" w14:textId="670449AF">
      <w:pPr>
        <w:rPr>
          <w:sz w:val="22"/>
          <w:szCs w:val="22"/>
        </w:rPr>
      </w:pPr>
      <w:r w:rsidRPr="0025624C">
        <w:rPr>
          <w:sz w:val="22"/>
          <w:szCs w:val="22"/>
        </w:rPr>
        <w:t xml:space="preserve">Sector-based investigations have typically been based on the analyses of industries with a history of FLSA violations that employ workers who are less likely to file complaints. </w:t>
      </w:r>
      <w:r w:rsidRPr="0025624C">
        <w:rPr>
          <w:rStyle w:val="A10"/>
          <w:rFonts w:ascii="Times New Roman" w:hAnsi="Times New Roman" w:cs="Times New Roman"/>
          <w:b w:val="0"/>
          <w:sz w:val="22"/>
          <w:szCs w:val="22"/>
        </w:rPr>
        <w:t>However, a limitation of using compliance action information is that investigations are often triggered by complaints alleging violations; therefore, investigated employers would not necessarily be representative of all employers.</w:t>
      </w:r>
      <w:r w:rsidRPr="0025624C" w:rsidR="00F97A6F">
        <w:rPr>
          <w:rStyle w:val="A10"/>
          <w:rFonts w:ascii="Times New Roman" w:hAnsi="Times New Roman" w:cs="Times New Roman"/>
          <w:b w:val="0"/>
          <w:sz w:val="22"/>
          <w:szCs w:val="22"/>
        </w:rPr>
        <w:t xml:space="preserve"> </w:t>
      </w:r>
      <w:r w:rsidRPr="0025624C" w:rsidR="00F97A6F">
        <w:rPr>
          <w:sz w:val="22"/>
          <w:szCs w:val="22"/>
        </w:rPr>
        <w:t>The extent of FLSA violations is unknown and must be estimated through surveys.</w:t>
      </w:r>
    </w:p>
    <w:p w:rsidR="006E7D7F" w:rsidRPr="0025624C" w:rsidP="005C62E5" w14:paraId="5897DC74" w14:textId="77777777">
      <w:pPr>
        <w:rPr>
          <w:sz w:val="22"/>
          <w:szCs w:val="22"/>
        </w:rPr>
      </w:pPr>
    </w:p>
    <w:p w:rsidR="004B330E" w:rsidRPr="0025624C" w:rsidP="005C62E5" w14:paraId="62255EEA" w14:textId="7FF9B819">
      <w:pPr>
        <w:rPr>
          <w:rStyle w:val="normaltextrun"/>
          <w:sz w:val="22"/>
          <w:szCs w:val="22"/>
        </w:rPr>
      </w:pPr>
      <w:r w:rsidRPr="0025624C">
        <w:rPr>
          <w:sz w:val="22"/>
          <w:szCs w:val="22"/>
        </w:rPr>
        <w:t xml:space="preserve">A review of relevant research and national surveys </w:t>
      </w:r>
      <w:r w:rsidRPr="0025624C" w:rsidR="00864A9D">
        <w:rPr>
          <w:sz w:val="22"/>
          <w:szCs w:val="22"/>
        </w:rPr>
        <w:t xml:space="preserve">indicates </w:t>
      </w:r>
      <w:r w:rsidRPr="0025624C">
        <w:rPr>
          <w:sz w:val="22"/>
          <w:szCs w:val="22"/>
        </w:rPr>
        <w:t xml:space="preserve">that there are no other surveys of a large, random sample of households that ask questions specifically </w:t>
      </w:r>
      <w:r w:rsidRPr="0025624C" w:rsidR="00A03265">
        <w:rPr>
          <w:sz w:val="22"/>
          <w:szCs w:val="22"/>
        </w:rPr>
        <w:t xml:space="preserve">needed to measure </w:t>
      </w:r>
      <w:r w:rsidRPr="0025624C">
        <w:rPr>
          <w:sz w:val="22"/>
          <w:szCs w:val="22"/>
        </w:rPr>
        <w:t xml:space="preserve">FLSA violations. </w:t>
      </w:r>
      <w:r w:rsidRPr="0025624C" w:rsidR="001F3F45">
        <w:rPr>
          <w:sz w:val="22"/>
          <w:szCs w:val="22"/>
        </w:rPr>
        <w:t>N</w:t>
      </w:r>
      <w:r w:rsidRPr="0025624C">
        <w:rPr>
          <w:sz w:val="22"/>
          <w:szCs w:val="22"/>
        </w:rPr>
        <w:t>ational labor market surveys do not contain the information needed to estimate violations.</w:t>
      </w:r>
      <w:r w:rsidRPr="0025624C" w:rsidR="007C5F75">
        <w:rPr>
          <w:sz w:val="22"/>
          <w:szCs w:val="22"/>
        </w:rPr>
        <w:t xml:space="preserve"> </w:t>
      </w:r>
      <w:r w:rsidRPr="0025624C" w:rsidR="003E7474">
        <w:rPr>
          <w:sz w:val="22"/>
          <w:szCs w:val="22"/>
        </w:rPr>
        <w:t xml:space="preserve">The Current Population Survey (CPS) has been used most often to study </w:t>
      </w:r>
      <w:r w:rsidRPr="0025624C" w:rsidR="00DB77C6">
        <w:rPr>
          <w:sz w:val="22"/>
          <w:szCs w:val="22"/>
        </w:rPr>
        <w:t>minimum wage violations</w:t>
      </w:r>
      <w:r w:rsidRPr="0025624C" w:rsidR="003E7474">
        <w:rPr>
          <w:sz w:val="22"/>
          <w:szCs w:val="22"/>
        </w:rPr>
        <w:t>.</w:t>
      </w:r>
      <w:r>
        <w:rPr>
          <w:rStyle w:val="FootnoteReference"/>
          <w:sz w:val="22"/>
          <w:szCs w:val="22"/>
        </w:rPr>
        <w:footnoteReference w:id="8"/>
      </w:r>
      <w:r w:rsidRPr="0025624C" w:rsidR="003E7474">
        <w:rPr>
          <w:sz w:val="22"/>
          <w:szCs w:val="22"/>
        </w:rPr>
        <w:t xml:space="preserve"> </w:t>
      </w:r>
      <w:r w:rsidRPr="0025624C" w:rsidR="00E82800">
        <w:rPr>
          <w:sz w:val="22"/>
          <w:szCs w:val="22"/>
        </w:rPr>
        <w:t xml:space="preserve">However, </w:t>
      </w:r>
      <w:r w:rsidRPr="0025624C" w:rsidR="00E82800">
        <w:rPr>
          <w:rStyle w:val="normaltextrun"/>
          <w:sz w:val="22"/>
          <w:szCs w:val="22"/>
          <w:shd w:val="clear" w:color="auto" w:fill="FFFFFF"/>
        </w:rPr>
        <w:t>t</w:t>
      </w:r>
      <w:r w:rsidRPr="0025624C" w:rsidR="001F3F45">
        <w:rPr>
          <w:rStyle w:val="normaltextrun"/>
          <w:sz w:val="22"/>
          <w:szCs w:val="22"/>
          <w:shd w:val="clear" w:color="auto" w:fill="FFFFFF"/>
        </w:rPr>
        <w:t xml:space="preserve">here are limitations to using the CPS to measure </w:t>
      </w:r>
      <w:r w:rsidRPr="0025624C" w:rsidR="00DB77C6">
        <w:rPr>
          <w:rStyle w:val="normaltextrun"/>
          <w:sz w:val="22"/>
          <w:szCs w:val="22"/>
          <w:shd w:val="clear" w:color="auto" w:fill="FFFFFF"/>
        </w:rPr>
        <w:t xml:space="preserve">minimum wage </w:t>
      </w:r>
      <w:r w:rsidRPr="0025624C" w:rsidR="001F3F45">
        <w:rPr>
          <w:rStyle w:val="normaltextrun"/>
          <w:sz w:val="22"/>
          <w:szCs w:val="22"/>
          <w:shd w:val="clear" w:color="auto" w:fill="FFFFFF"/>
        </w:rPr>
        <w:t>violations</w:t>
      </w:r>
      <w:r w:rsidRPr="0025624C" w:rsidR="0070075A">
        <w:rPr>
          <w:rStyle w:val="normaltextrun"/>
          <w:sz w:val="22"/>
          <w:szCs w:val="22"/>
          <w:shd w:val="clear" w:color="auto" w:fill="FFFFFF"/>
        </w:rPr>
        <w:t>. Most notably, the CPS earnings include “overtime, tips, and commissions,” making it difficult to know the base wage, which should include tips and commissions but not overtime. This is likely to lead to</w:t>
      </w:r>
      <w:r w:rsidRPr="0025624C" w:rsidR="0070075A">
        <w:rPr>
          <w:sz w:val="22"/>
          <w:szCs w:val="22"/>
        </w:rPr>
        <w:t xml:space="preserve"> underestimates of minimum wage violations or the need to make assumptions about the proportion of earnings that </w:t>
      </w:r>
      <w:r w:rsidRPr="0025624C" w:rsidR="0070075A">
        <w:rPr>
          <w:sz w:val="22"/>
          <w:szCs w:val="22"/>
        </w:rPr>
        <w:t>is</w:t>
      </w:r>
      <w:r w:rsidRPr="0025624C" w:rsidR="0070075A">
        <w:rPr>
          <w:sz w:val="22"/>
          <w:szCs w:val="22"/>
        </w:rPr>
        <w:t xml:space="preserve"> overtime, tips, and commissions.</w:t>
      </w:r>
      <w:r w:rsidRPr="0025624C" w:rsidR="00D866CB">
        <w:rPr>
          <w:sz w:val="22"/>
          <w:szCs w:val="22"/>
        </w:rPr>
        <w:t xml:space="preserve"> </w:t>
      </w:r>
      <w:r w:rsidRPr="0025624C" w:rsidR="002D0AA8">
        <w:rPr>
          <w:sz w:val="22"/>
          <w:szCs w:val="22"/>
        </w:rPr>
        <w:t xml:space="preserve">More importantly, it is impossible to estimate overtime violations because the amount of overtime cannot be isolated from tips and commissions, and </w:t>
      </w:r>
      <w:r w:rsidRPr="0025624C" w:rsidR="002D0AA8">
        <w:rPr>
          <w:rStyle w:val="normaltextrun"/>
          <w:color w:val="000000"/>
          <w:sz w:val="22"/>
          <w:szCs w:val="22"/>
          <w:shd w:val="clear" w:color="auto" w:fill="FFFFFF"/>
        </w:rPr>
        <w:t xml:space="preserve">there are no questions in the CPS about off-the-clock work, unpaid rest breaks, illegal deductions, employer retaliation for reporting FLSA violations or cooperating with WHD investigations, and other topics </w:t>
      </w:r>
      <w:r w:rsidRPr="0025624C" w:rsidR="002D0AA8">
        <w:rPr>
          <w:rStyle w:val="normaltextrun"/>
          <w:i/>
          <w:color w:val="000000"/>
          <w:sz w:val="22"/>
          <w:szCs w:val="22"/>
          <w:shd w:val="clear" w:color="auto" w:fill="FFFFFF"/>
        </w:rPr>
        <w:t>required</w:t>
      </w:r>
      <w:r w:rsidRPr="0025624C" w:rsidR="002D0AA8">
        <w:rPr>
          <w:rStyle w:val="normaltextrun"/>
          <w:color w:val="000000"/>
          <w:sz w:val="22"/>
          <w:szCs w:val="22"/>
          <w:shd w:val="clear" w:color="auto" w:fill="FFFFFF"/>
        </w:rPr>
        <w:t xml:space="preserve"> to understand violations and the reasons for violations. These “indirect violations” are important for understand</w:t>
      </w:r>
      <w:r w:rsidRPr="0025624C" w:rsidR="00870E1B">
        <w:rPr>
          <w:rStyle w:val="normaltextrun"/>
          <w:color w:val="000000"/>
          <w:sz w:val="22"/>
          <w:szCs w:val="22"/>
          <w:shd w:val="clear" w:color="auto" w:fill="FFFFFF"/>
        </w:rPr>
        <w:t>ing</w:t>
      </w:r>
      <w:r w:rsidRPr="0025624C" w:rsidR="002D0AA8">
        <w:rPr>
          <w:rStyle w:val="normaltextrun"/>
          <w:color w:val="000000"/>
          <w:sz w:val="22"/>
          <w:szCs w:val="22"/>
          <w:shd w:val="clear" w:color="auto" w:fill="FFFFFF"/>
        </w:rPr>
        <w:t xml:space="preserve"> the reasons that minimum wage and overtime violations occur in specific industries and for educating workers about the FLSA.</w:t>
      </w:r>
      <w:r w:rsidRPr="0025624C">
        <w:rPr>
          <w:rStyle w:val="normaltextrun"/>
          <w:color w:val="000000"/>
          <w:sz w:val="22"/>
          <w:szCs w:val="22"/>
          <w:shd w:val="clear" w:color="auto" w:fill="FFFFFF"/>
        </w:rPr>
        <w:t xml:space="preserve"> </w:t>
      </w:r>
      <w:r w:rsidRPr="0025624C">
        <w:rPr>
          <w:sz w:val="22"/>
          <w:szCs w:val="22"/>
        </w:rPr>
        <w:t>The CPS also does not collect detailed information on job duties needed to determine whether an employee is exempt from the FLSA.</w:t>
      </w:r>
    </w:p>
    <w:p w:rsidR="00A61625" w:rsidRPr="0025624C" w:rsidP="005C62E5" w14:paraId="1A7C3487" w14:textId="77777777">
      <w:pPr>
        <w:rPr>
          <w:rStyle w:val="normaltextrun"/>
          <w:sz w:val="22"/>
          <w:szCs w:val="22"/>
          <w:shd w:val="clear" w:color="auto" w:fill="FFFFFF"/>
        </w:rPr>
      </w:pPr>
    </w:p>
    <w:p w:rsidR="00A33A28" w:rsidRPr="0025624C" w:rsidP="005C62E5" w14:paraId="4F07CD16" w14:textId="24B9845E">
      <w:pPr>
        <w:rPr>
          <w:sz w:val="22"/>
          <w:szCs w:val="22"/>
        </w:rPr>
      </w:pPr>
      <w:r w:rsidRPr="0025624C">
        <w:rPr>
          <w:i/>
          <w:sz w:val="22"/>
          <w:szCs w:val="22"/>
        </w:rPr>
        <w:t>Broken Laws, Unprotected Workers</w:t>
      </w:r>
      <w:r w:rsidRPr="0025624C" w:rsidR="000A1870">
        <w:rPr>
          <w:sz w:val="22"/>
          <w:szCs w:val="22"/>
        </w:rPr>
        <w:t xml:space="preserve">, </w:t>
      </w:r>
      <w:r w:rsidRPr="0025624C">
        <w:rPr>
          <w:sz w:val="22"/>
          <w:szCs w:val="22"/>
        </w:rPr>
        <w:t xml:space="preserve">a study </w:t>
      </w:r>
      <w:r w:rsidRPr="0025624C" w:rsidR="000A1870">
        <w:rPr>
          <w:sz w:val="22"/>
          <w:szCs w:val="22"/>
        </w:rPr>
        <w:t>funded by the Ford Foundation, the John Randolph Haynes and Dora Haynes Foundation, the Joyce Foundation</w:t>
      </w:r>
      <w:r w:rsidRPr="0025624C" w:rsidR="00020298">
        <w:rPr>
          <w:sz w:val="22"/>
          <w:szCs w:val="22"/>
        </w:rPr>
        <w:t>,</w:t>
      </w:r>
      <w:r w:rsidRPr="0025624C" w:rsidR="000A1870">
        <w:rPr>
          <w:sz w:val="22"/>
          <w:szCs w:val="22"/>
        </w:rPr>
        <w:t xml:space="preserve"> and the Russell Sage Foundation</w:t>
      </w:r>
      <w:r w:rsidRPr="0025624C" w:rsidR="004B330E">
        <w:rPr>
          <w:sz w:val="22"/>
          <w:szCs w:val="22"/>
        </w:rPr>
        <w:t xml:space="preserve">, surveyed </w:t>
      </w:r>
      <w:r w:rsidRPr="0025624C">
        <w:rPr>
          <w:sz w:val="22"/>
          <w:szCs w:val="22"/>
        </w:rPr>
        <w:t>frontline workers in low-wage industries in three cities: Chicago, Los Angeles, and New Yor</w:t>
      </w:r>
      <w:r w:rsidRPr="0025624C" w:rsidR="0060283D">
        <w:rPr>
          <w:sz w:val="22"/>
          <w:szCs w:val="22"/>
        </w:rPr>
        <w:t>k</w:t>
      </w:r>
      <w:r w:rsidRPr="0025624C" w:rsidR="000A1870">
        <w:rPr>
          <w:sz w:val="22"/>
          <w:szCs w:val="22"/>
        </w:rPr>
        <w:t>.</w:t>
      </w:r>
      <w:r>
        <w:rPr>
          <w:rStyle w:val="FootnoteReference"/>
          <w:sz w:val="22"/>
          <w:szCs w:val="22"/>
        </w:rPr>
        <w:footnoteReference w:id="9"/>
      </w:r>
      <w:r w:rsidRPr="0025624C" w:rsidR="000A1870">
        <w:rPr>
          <w:sz w:val="22"/>
          <w:szCs w:val="22"/>
        </w:rPr>
        <w:t xml:space="preserve"> The study used </w:t>
      </w:r>
      <w:r w:rsidRPr="0025624C" w:rsidR="0060283D">
        <w:rPr>
          <w:sz w:val="22"/>
          <w:szCs w:val="22"/>
        </w:rPr>
        <w:t>RDS to</w:t>
      </w:r>
      <w:r w:rsidRPr="0025624C">
        <w:rPr>
          <w:sz w:val="22"/>
          <w:szCs w:val="22"/>
        </w:rPr>
        <w:t xml:space="preserve"> include a broader range of low-wage workers than is found in national, probability-based studies, including unauthorized immigrants and off-the-books workers. Also, the </w:t>
      </w:r>
      <w:r w:rsidRPr="0025624C">
        <w:rPr>
          <w:sz w:val="22"/>
          <w:szCs w:val="22"/>
        </w:rPr>
        <w:t>survey instrument</w:t>
      </w:r>
      <w:r w:rsidRPr="0025624C">
        <w:rPr>
          <w:sz w:val="22"/>
          <w:szCs w:val="22"/>
        </w:rPr>
        <w:t xml:space="preserve"> contain</w:t>
      </w:r>
      <w:r w:rsidRPr="0025624C" w:rsidR="000A1870">
        <w:rPr>
          <w:sz w:val="22"/>
          <w:szCs w:val="22"/>
        </w:rPr>
        <w:t>ed</w:t>
      </w:r>
      <w:r w:rsidRPr="0025624C">
        <w:rPr>
          <w:sz w:val="22"/>
          <w:szCs w:val="22"/>
        </w:rPr>
        <w:t xml:space="preserve"> detailed questions about earnings, pay type, and hours worked that allow for a more </w:t>
      </w:r>
      <w:r w:rsidRPr="0025624C" w:rsidR="00D90BE6">
        <w:rPr>
          <w:sz w:val="22"/>
          <w:szCs w:val="22"/>
        </w:rPr>
        <w:t xml:space="preserve">detailed </w:t>
      </w:r>
      <w:r w:rsidRPr="0025624C">
        <w:rPr>
          <w:sz w:val="22"/>
          <w:szCs w:val="22"/>
        </w:rPr>
        <w:t>assessment of violations. For example, the survey asked respondents to report the hours worked each day for the past week so that the researchers could determine whether they were owed weekly or daily overtime.</w:t>
      </w:r>
      <w:r w:rsidRPr="0025624C" w:rsidR="009F72E0">
        <w:rPr>
          <w:sz w:val="22"/>
          <w:szCs w:val="22"/>
        </w:rPr>
        <w:t xml:space="preserve"> </w:t>
      </w:r>
      <w:r w:rsidRPr="0025624C" w:rsidR="003827A0">
        <w:rPr>
          <w:sz w:val="22"/>
          <w:szCs w:val="22"/>
        </w:rPr>
        <w:t xml:space="preserve">However, the fact that the study was conducted in </w:t>
      </w:r>
      <w:r w:rsidRPr="0025624C" w:rsidR="00687797">
        <w:rPr>
          <w:sz w:val="22"/>
          <w:szCs w:val="22"/>
        </w:rPr>
        <w:t>specific industries in three cities</w:t>
      </w:r>
      <w:r w:rsidRPr="0025624C" w:rsidR="003827A0">
        <w:rPr>
          <w:sz w:val="22"/>
          <w:szCs w:val="22"/>
        </w:rPr>
        <w:t xml:space="preserve"> limits the generalizability of the findings.</w:t>
      </w:r>
    </w:p>
    <w:p w:rsidR="00025B9E" w:rsidRPr="0025624C" w:rsidP="005C62E5" w14:paraId="118E3541" w14:textId="77777777">
      <w:pPr>
        <w:rPr>
          <w:sz w:val="22"/>
          <w:szCs w:val="22"/>
          <w:lang w:val="en"/>
        </w:rPr>
      </w:pPr>
    </w:p>
    <w:p w:rsidR="00EB0087" w:rsidRPr="0025624C" w:rsidP="00711D94" w14:paraId="05EE4B0B" w14:textId="33F4236A">
      <w:pPr>
        <w:rPr>
          <w:sz w:val="22"/>
          <w:szCs w:val="22"/>
        </w:rPr>
      </w:pPr>
      <w:r w:rsidRPr="0025624C">
        <w:rPr>
          <w:sz w:val="22"/>
          <w:szCs w:val="22"/>
        </w:rPr>
        <w:t xml:space="preserve">Given WHD’s limited resources to investigate all potential cases of </w:t>
      </w:r>
      <w:r w:rsidRPr="0025624C" w:rsidR="001350BD">
        <w:rPr>
          <w:sz w:val="22"/>
          <w:szCs w:val="22"/>
        </w:rPr>
        <w:t xml:space="preserve">FLSA </w:t>
      </w:r>
      <w:r w:rsidRPr="0025624C">
        <w:rPr>
          <w:sz w:val="22"/>
          <w:szCs w:val="22"/>
        </w:rPr>
        <w:t xml:space="preserve">violations, it is important to have nationally representative data on prevalence across industries and worker subpopulations to allow WHD to prioritize resources and achieve the greatest impact on compliance. </w:t>
      </w:r>
    </w:p>
    <w:p w:rsidR="007A1D42" w:rsidRPr="0025624C" w:rsidP="00CE2ED6" w14:paraId="10C54670" w14:textId="77777777">
      <w:pPr>
        <w:rPr>
          <w:sz w:val="22"/>
          <w:szCs w:val="22"/>
        </w:rPr>
      </w:pPr>
    </w:p>
    <w:p w:rsidR="00AF7B32" w:rsidRPr="0025624C" w:rsidP="00AF7B32" w14:paraId="01A695BE"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5</w:t>
      </w:r>
      <w:r w:rsidRPr="0025624C">
        <w:rPr>
          <w:b/>
          <w:bCs/>
          <w:sz w:val="22"/>
          <w:szCs w:val="22"/>
        </w:rPr>
        <w:t>.</w:t>
      </w:r>
      <w:r w:rsidRPr="0025624C">
        <w:rPr>
          <w:sz w:val="22"/>
          <w:szCs w:val="22"/>
        </w:rPr>
        <w:t xml:space="preserve">  </w:t>
      </w:r>
      <w:r w:rsidRPr="0025624C">
        <w:rPr>
          <w:b/>
          <w:bCs/>
          <w:sz w:val="22"/>
          <w:szCs w:val="22"/>
        </w:rPr>
        <w:t>If</w:t>
      </w:r>
      <w:r w:rsidRPr="0025624C">
        <w:rPr>
          <w:b/>
          <w:bCs/>
          <w:sz w:val="22"/>
          <w:szCs w:val="22"/>
        </w:rPr>
        <w:t xml:space="preserve"> the collection of information impacts small businesses or other small entities, describe any methods used to minimize burden.</w:t>
      </w:r>
    </w:p>
    <w:p w:rsidR="00F57709" w:rsidRPr="0025624C" w:rsidP="00CE2ED6" w14:paraId="5C9AC465" w14:textId="77777777">
      <w:pPr>
        <w:rPr>
          <w:sz w:val="22"/>
          <w:szCs w:val="22"/>
        </w:rPr>
      </w:pPr>
    </w:p>
    <w:p w:rsidR="00B00E65" w:rsidRPr="0025624C" w:rsidP="00CE2ED6" w14:paraId="062A4898" w14:textId="47B381B5">
      <w:pPr>
        <w:rPr>
          <w:sz w:val="22"/>
          <w:szCs w:val="22"/>
        </w:rPr>
      </w:pPr>
      <w:bookmarkStart w:id="0" w:name="_Toc323559322"/>
      <w:r w:rsidRPr="002611AA">
        <w:rPr>
          <w:sz w:val="22"/>
          <w:szCs w:val="22"/>
        </w:rPr>
        <w:t>This collection of information does not impact small businesses or other small entities.</w:t>
      </w:r>
      <w:r w:rsidRPr="0025624C" w:rsidR="00630133">
        <w:rPr>
          <w:sz w:val="22"/>
          <w:szCs w:val="22"/>
        </w:rPr>
        <w:t xml:space="preserve"> </w:t>
      </w:r>
      <w:bookmarkEnd w:id="0"/>
    </w:p>
    <w:p w:rsidR="007A1D42" w:rsidRPr="0025624C" w:rsidP="00CE2ED6" w14:paraId="513D6AB7" w14:textId="77777777">
      <w:pPr>
        <w:rPr>
          <w:sz w:val="22"/>
          <w:szCs w:val="22"/>
        </w:rPr>
      </w:pPr>
    </w:p>
    <w:p w:rsidR="0078333C" w:rsidRPr="0025624C" w:rsidP="0078333C" w14:paraId="0AF4B91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6</w:t>
      </w:r>
      <w:r w:rsidRPr="0025624C">
        <w:rPr>
          <w:b/>
          <w:bCs/>
          <w:sz w:val="22"/>
          <w:szCs w:val="22"/>
        </w:rPr>
        <w:t>.  Describe</w:t>
      </w:r>
      <w:r w:rsidRPr="0025624C">
        <w:rPr>
          <w:b/>
          <w:bCs/>
          <w:sz w:val="22"/>
          <w:szCs w:val="22"/>
        </w:rPr>
        <w:t xml:space="preserve"> the consequence</w:t>
      </w:r>
      <w:r w:rsidRPr="0025624C" w:rsidR="00512126">
        <w:rPr>
          <w:b/>
          <w:sz w:val="22"/>
          <w:szCs w:val="22"/>
        </w:rPr>
        <w:t xml:space="preserve"> </w:t>
      </w:r>
      <w:r w:rsidRPr="0025624C" w:rsidR="00512126">
        <w:rPr>
          <w:b/>
          <w:sz w:val="22"/>
          <w:szCs w:val="22"/>
        </w:rPr>
        <w:t>to</w:t>
      </w:r>
      <w:r w:rsidRPr="0025624C" w:rsidR="00512126">
        <w:rPr>
          <w:b/>
          <w:sz w:val="22"/>
          <w:szCs w:val="22"/>
        </w:rPr>
        <w:t xml:space="preserve"> </w:t>
      </w:r>
      <w:r w:rsidRPr="0025624C">
        <w:rPr>
          <w:b/>
          <w:bCs/>
          <w:sz w:val="22"/>
          <w:szCs w:val="22"/>
        </w:rPr>
        <w:t>federal program</w:t>
      </w:r>
      <w:r w:rsidRPr="0025624C" w:rsidR="00512126">
        <w:rPr>
          <w:b/>
          <w:sz w:val="22"/>
          <w:szCs w:val="22"/>
        </w:rPr>
        <w:t xml:space="preserve"> or </w:t>
      </w:r>
      <w:r w:rsidRPr="0025624C">
        <w:rPr>
          <w:b/>
          <w:bCs/>
          <w:sz w:val="22"/>
          <w:szCs w:val="22"/>
        </w:rPr>
        <w:t xml:space="preserve">policy activities </w:t>
      </w:r>
      <w:r w:rsidRPr="0025624C" w:rsidR="00DD4E43">
        <w:rPr>
          <w:b/>
          <w:sz w:val="22"/>
          <w:szCs w:val="22"/>
        </w:rPr>
        <w:t>i</w:t>
      </w:r>
      <w:r w:rsidRPr="0025624C" w:rsidR="00512126">
        <w:rPr>
          <w:b/>
          <w:sz w:val="22"/>
          <w:szCs w:val="22"/>
        </w:rPr>
        <w:t xml:space="preserve">f </w:t>
      </w:r>
      <w:r w:rsidRPr="0025624C">
        <w:rPr>
          <w:b/>
          <w:bCs/>
          <w:sz w:val="22"/>
          <w:szCs w:val="22"/>
        </w:rPr>
        <w:t>the collection is not conducted or is conducted less frequently, as well as any technical or legal obstacles to reducing burden.</w:t>
      </w:r>
    </w:p>
    <w:p w:rsidR="00597D0F" w:rsidRPr="0025624C" w:rsidP="00CE2ED6" w14:paraId="53B85248" w14:textId="77777777">
      <w:pPr>
        <w:rPr>
          <w:sz w:val="22"/>
          <w:szCs w:val="22"/>
        </w:rPr>
      </w:pPr>
    </w:p>
    <w:p w:rsidR="006C6E41" w:rsidRPr="0025624C" w:rsidP="00CE2ED6" w14:paraId="40149309" w14:textId="5C0F5838">
      <w:pPr>
        <w:rPr>
          <w:sz w:val="22"/>
          <w:szCs w:val="22"/>
        </w:rPr>
      </w:pPr>
      <w:r w:rsidRPr="0025624C">
        <w:rPr>
          <w:sz w:val="22"/>
          <w:szCs w:val="22"/>
        </w:rPr>
        <w:t xml:space="preserve">If the proposed data collection is not accomplished, </w:t>
      </w:r>
      <w:r w:rsidRPr="0025624C" w:rsidR="00E106B3">
        <w:rPr>
          <w:sz w:val="22"/>
          <w:szCs w:val="22"/>
        </w:rPr>
        <w:t xml:space="preserve">DOL </w:t>
      </w:r>
      <w:r w:rsidRPr="0025624C">
        <w:rPr>
          <w:sz w:val="22"/>
          <w:szCs w:val="22"/>
        </w:rPr>
        <w:t xml:space="preserve">will </w:t>
      </w:r>
      <w:r w:rsidRPr="0025624C" w:rsidR="00E106B3">
        <w:rPr>
          <w:sz w:val="22"/>
          <w:szCs w:val="22"/>
        </w:rPr>
        <w:t xml:space="preserve">not have </w:t>
      </w:r>
      <w:r w:rsidRPr="0025624C" w:rsidR="003943A1">
        <w:rPr>
          <w:sz w:val="22"/>
          <w:szCs w:val="22"/>
        </w:rPr>
        <w:t xml:space="preserve">a </w:t>
      </w:r>
      <w:r w:rsidRPr="0025624C" w:rsidR="00E106B3">
        <w:rPr>
          <w:sz w:val="22"/>
          <w:szCs w:val="22"/>
        </w:rPr>
        <w:t>nationally representative data</w:t>
      </w:r>
      <w:r w:rsidRPr="0025624C">
        <w:rPr>
          <w:sz w:val="22"/>
          <w:szCs w:val="22"/>
        </w:rPr>
        <w:t xml:space="preserve"> </w:t>
      </w:r>
      <w:r w:rsidRPr="0025624C" w:rsidR="003943A1">
        <w:rPr>
          <w:sz w:val="22"/>
          <w:szCs w:val="22"/>
        </w:rPr>
        <w:t xml:space="preserve">set by which it can best </w:t>
      </w:r>
      <w:r w:rsidRPr="0025624C">
        <w:rPr>
          <w:sz w:val="22"/>
          <w:szCs w:val="22"/>
        </w:rPr>
        <w:t xml:space="preserve">direct its compliance and outreach efforts. </w:t>
      </w:r>
      <w:r w:rsidRPr="0025624C" w:rsidR="00473475">
        <w:rPr>
          <w:sz w:val="22"/>
          <w:szCs w:val="22"/>
        </w:rPr>
        <w:t xml:space="preserve">This </w:t>
      </w:r>
      <w:r w:rsidRPr="0025624C" w:rsidR="00F416B2">
        <w:rPr>
          <w:sz w:val="22"/>
          <w:szCs w:val="22"/>
        </w:rPr>
        <w:t xml:space="preserve">may result in less efficient allocation of resources for </w:t>
      </w:r>
      <w:r w:rsidRPr="0025624C" w:rsidR="00377D83">
        <w:rPr>
          <w:sz w:val="22"/>
          <w:szCs w:val="22"/>
        </w:rPr>
        <w:t xml:space="preserve">compliance and outreach </w:t>
      </w:r>
      <w:r w:rsidRPr="0025624C" w:rsidR="00980D95">
        <w:rPr>
          <w:sz w:val="22"/>
          <w:szCs w:val="22"/>
        </w:rPr>
        <w:t>activities and may give rise to undetected instances of non-compliance with the law</w:t>
      </w:r>
      <w:r w:rsidRPr="0025624C" w:rsidR="00377D83">
        <w:rPr>
          <w:sz w:val="22"/>
          <w:szCs w:val="22"/>
        </w:rPr>
        <w:t>.</w:t>
      </w:r>
      <w:r w:rsidRPr="0025624C" w:rsidR="00473475">
        <w:rPr>
          <w:sz w:val="22"/>
          <w:szCs w:val="22"/>
        </w:rPr>
        <w:t xml:space="preserve"> </w:t>
      </w:r>
      <w:r w:rsidRPr="0025624C" w:rsidR="00F7240E">
        <w:rPr>
          <w:sz w:val="22"/>
          <w:szCs w:val="22"/>
        </w:rPr>
        <w:t xml:space="preserve">The </w:t>
      </w:r>
      <w:r w:rsidRPr="0025624C" w:rsidR="00D83EE9">
        <w:rPr>
          <w:sz w:val="22"/>
          <w:szCs w:val="22"/>
        </w:rPr>
        <w:t>strategic</w:t>
      </w:r>
      <w:r w:rsidRPr="0025624C" w:rsidR="00F7240E">
        <w:rPr>
          <w:sz w:val="22"/>
          <w:szCs w:val="22"/>
        </w:rPr>
        <w:t xml:space="preserve"> use of </w:t>
      </w:r>
      <w:r w:rsidRPr="0025624C" w:rsidR="00D83EE9">
        <w:rPr>
          <w:sz w:val="22"/>
          <w:szCs w:val="22"/>
        </w:rPr>
        <w:t>resources</w:t>
      </w:r>
      <w:r w:rsidRPr="0025624C" w:rsidR="00F7240E">
        <w:rPr>
          <w:sz w:val="22"/>
          <w:szCs w:val="22"/>
        </w:rPr>
        <w:t xml:space="preserve"> is paramount in ensuring that the agency meets its </w:t>
      </w:r>
      <w:r w:rsidRPr="0025624C" w:rsidR="00F7240E">
        <w:rPr>
          <w:sz w:val="22"/>
          <w:szCs w:val="22"/>
        </w:rPr>
        <w:t>Congressionally</w:t>
      </w:r>
      <w:r w:rsidRPr="0025624C" w:rsidR="00D83EE9">
        <w:rPr>
          <w:sz w:val="22"/>
          <w:szCs w:val="22"/>
        </w:rPr>
        <w:t>-</w:t>
      </w:r>
      <w:r w:rsidRPr="0025624C" w:rsidR="00F7240E">
        <w:rPr>
          <w:sz w:val="22"/>
          <w:szCs w:val="22"/>
        </w:rPr>
        <w:t>mandated</w:t>
      </w:r>
      <w:r w:rsidRPr="0025624C" w:rsidR="00F7240E">
        <w:rPr>
          <w:sz w:val="22"/>
          <w:szCs w:val="22"/>
        </w:rPr>
        <w:t xml:space="preserve"> mission in a manner that is both cost-effective and responsible.</w:t>
      </w:r>
      <w:r w:rsidRPr="0025624C" w:rsidR="00473475">
        <w:rPr>
          <w:sz w:val="22"/>
          <w:szCs w:val="22"/>
        </w:rPr>
        <w:t xml:space="preserve"> </w:t>
      </w:r>
      <w:r w:rsidRPr="0025624C" w:rsidR="00F47F55">
        <w:rPr>
          <w:sz w:val="22"/>
          <w:szCs w:val="22"/>
        </w:rPr>
        <w:t xml:space="preserve">Ongoing and uncorrected </w:t>
      </w:r>
      <w:r w:rsidRPr="0025624C" w:rsidR="00377D83">
        <w:rPr>
          <w:sz w:val="22"/>
          <w:szCs w:val="22"/>
        </w:rPr>
        <w:t>FLSA violations can cause workers to fall below the poverty line</w:t>
      </w:r>
      <w:r w:rsidRPr="0025624C" w:rsidR="00F47F55">
        <w:rPr>
          <w:sz w:val="22"/>
          <w:szCs w:val="22"/>
        </w:rPr>
        <w:t xml:space="preserve">, which in turn will </w:t>
      </w:r>
      <w:r w:rsidRPr="0025624C" w:rsidR="00377D83">
        <w:rPr>
          <w:sz w:val="22"/>
          <w:szCs w:val="22"/>
        </w:rPr>
        <w:t>cost taxpayers money by increasing reliance on public assistance.</w:t>
      </w:r>
      <w:r>
        <w:rPr>
          <w:rStyle w:val="FootnoteReference"/>
          <w:sz w:val="22"/>
          <w:szCs w:val="22"/>
        </w:rPr>
        <w:footnoteReference w:id="10"/>
      </w:r>
      <w:r w:rsidRPr="0025624C" w:rsidR="00377D83">
        <w:rPr>
          <w:sz w:val="22"/>
          <w:szCs w:val="22"/>
        </w:rPr>
        <w:t xml:space="preserve"> </w:t>
      </w:r>
      <w:r w:rsidRPr="0025624C" w:rsidR="00F47F55">
        <w:rPr>
          <w:sz w:val="22"/>
          <w:szCs w:val="22"/>
        </w:rPr>
        <w:t xml:space="preserve">Continued </w:t>
      </w:r>
      <w:r w:rsidRPr="0025624C" w:rsidR="00D83EE9">
        <w:rPr>
          <w:sz w:val="22"/>
          <w:szCs w:val="22"/>
        </w:rPr>
        <w:t>violations</w:t>
      </w:r>
      <w:r w:rsidRPr="0025624C" w:rsidR="00F47F55">
        <w:rPr>
          <w:sz w:val="22"/>
          <w:szCs w:val="22"/>
        </w:rPr>
        <w:t xml:space="preserve"> </w:t>
      </w:r>
      <w:r w:rsidRPr="0025624C" w:rsidR="00755E8E">
        <w:rPr>
          <w:sz w:val="22"/>
          <w:szCs w:val="22"/>
        </w:rPr>
        <w:t xml:space="preserve">by non-compliant employers </w:t>
      </w:r>
      <w:r w:rsidRPr="0025624C" w:rsidR="00755E8E">
        <w:rPr>
          <w:sz w:val="22"/>
          <w:szCs w:val="22"/>
        </w:rPr>
        <w:t>creates</w:t>
      </w:r>
      <w:r w:rsidRPr="0025624C" w:rsidR="00755E8E">
        <w:rPr>
          <w:sz w:val="22"/>
          <w:szCs w:val="22"/>
        </w:rPr>
        <w:t xml:space="preserve"> competitive </w:t>
      </w:r>
      <w:r w:rsidRPr="0025624C" w:rsidR="00D83EE9">
        <w:rPr>
          <w:sz w:val="22"/>
          <w:szCs w:val="22"/>
        </w:rPr>
        <w:t>disadvantages</w:t>
      </w:r>
      <w:r w:rsidRPr="0025624C" w:rsidR="00755E8E">
        <w:rPr>
          <w:sz w:val="22"/>
          <w:szCs w:val="22"/>
        </w:rPr>
        <w:t xml:space="preserve"> for </w:t>
      </w:r>
      <w:r w:rsidRPr="0025624C" w:rsidR="00D83EE9">
        <w:rPr>
          <w:sz w:val="22"/>
          <w:szCs w:val="22"/>
        </w:rPr>
        <w:t>t</w:t>
      </w:r>
      <w:r w:rsidRPr="0025624C" w:rsidR="00755E8E">
        <w:rPr>
          <w:sz w:val="22"/>
          <w:szCs w:val="22"/>
        </w:rPr>
        <w:t>hose employers that follow the FLSA’s requirements.</w:t>
      </w:r>
      <w:r w:rsidRPr="0025624C" w:rsidR="00377D83">
        <w:rPr>
          <w:sz w:val="22"/>
          <w:szCs w:val="22"/>
        </w:rPr>
        <w:t xml:space="preserve"> FLSA </w:t>
      </w:r>
      <w:r w:rsidRPr="0025624C" w:rsidR="00755E8E">
        <w:rPr>
          <w:sz w:val="22"/>
          <w:szCs w:val="22"/>
        </w:rPr>
        <w:t xml:space="preserve">non-compliance </w:t>
      </w:r>
      <w:r w:rsidRPr="0025624C" w:rsidR="00377D83">
        <w:rPr>
          <w:sz w:val="22"/>
          <w:szCs w:val="22"/>
        </w:rPr>
        <w:t xml:space="preserve">can </w:t>
      </w:r>
      <w:r w:rsidRPr="0025624C" w:rsidR="004C0F53">
        <w:rPr>
          <w:sz w:val="22"/>
          <w:szCs w:val="22"/>
        </w:rPr>
        <w:t>also</w:t>
      </w:r>
      <w:r w:rsidRPr="0025624C" w:rsidR="00377D83">
        <w:rPr>
          <w:sz w:val="22"/>
          <w:szCs w:val="22"/>
        </w:rPr>
        <w:t xml:space="preserve"> be costly to state and local economies and </w:t>
      </w:r>
      <w:r w:rsidRPr="0025624C" w:rsidR="004C0F53">
        <w:rPr>
          <w:sz w:val="22"/>
          <w:szCs w:val="22"/>
        </w:rPr>
        <w:t xml:space="preserve">drive </w:t>
      </w:r>
      <w:r w:rsidRPr="0025624C" w:rsidR="00377D83">
        <w:rPr>
          <w:sz w:val="22"/>
          <w:szCs w:val="22"/>
        </w:rPr>
        <w:t xml:space="preserve">lower wages in affected industries. </w:t>
      </w:r>
      <w:r w:rsidRPr="0025624C" w:rsidR="004C0F53">
        <w:rPr>
          <w:sz w:val="22"/>
          <w:szCs w:val="22"/>
        </w:rPr>
        <w:t>Current</w:t>
      </w:r>
      <w:r w:rsidRPr="0025624C">
        <w:rPr>
          <w:sz w:val="22"/>
          <w:szCs w:val="22"/>
        </w:rPr>
        <w:t xml:space="preserve"> data about the </w:t>
      </w:r>
      <w:r w:rsidRPr="0025624C" w:rsidR="00012266">
        <w:rPr>
          <w:sz w:val="22"/>
          <w:szCs w:val="22"/>
        </w:rPr>
        <w:t xml:space="preserve">prevalence and severity of </w:t>
      </w:r>
      <w:r w:rsidRPr="0025624C">
        <w:rPr>
          <w:sz w:val="22"/>
          <w:szCs w:val="22"/>
        </w:rPr>
        <w:t xml:space="preserve">FLSA </w:t>
      </w:r>
      <w:r w:rsidRPr="0025624C" w:rsidR="00307427">
        <w:rPr>
          <w:sz w:val="22"/>
          <w:szCs w:val="22"/>
        </w:rPr>
        <w:t>violations</w:t>
      </w:r>
      <w:r w:rsidRPr="0025624C" w:rsidR="00F4425A">
        <w:rPr>
          <w:sz w:val="22"/>
          <w:szCs w:val="22"/>
        </w:rPr>
        <w:t xml:space="preserve"> is necessary for </w:t>
      </w:r>
      <w:r w:rsidRPr="0025624C">
        <w:rPr>
          <w:sz w:val="22"/>
          <w:szCs w:val="22"/>
        </w:rPr>
        <w:t xml:space="preserve">Federal policymakers </w:t>
      </w:r>
      <w:r w:rsidRPr="0025624C" w:rsidR="00F4425A">
        <w:rPr>
          <w:sz w:val="22"/>
          <w:szCs w:val="22"/>
        </w:rPr>
        <w:t xml:space="preserve">to </w:t>
      </w:r>
      <w:r w:rsidRPr="0025624C">
        <w:rPr>
          <w:sz w:val="22"/>
          <w:szCs w:val="22"/>
        </w:rPr>
        <w:t>identify</w:t>
      </w:r>
      <w:r w:rsidRPr="0025624C" w:rsidR="00781F42">
        <w:rPr>
          <w:sz w:val="22"/>
          <w:szCs w:val="22"/>
        </w:rPr>
        <w:t>, correct, and prevent systemic patterns of FLSA non-compliance.</w:t>
      </w:r>
    </w:p>
    <w:p w:rsidR="0028262D" w:rsidRPr="0025624C" w:rsidP="00CE2ED6" w14:paraId="0813A30F" w14:textId="77777777">
      <w:pPr>
        <w:rPr>
          <w:sz w:val="22"/>
          <w:szCs w:val="22"/>
        </w:rPr>
      </w:pPr>
    </w:p>
    <w:p w:rsidR="007831F0" w:rsidRPr="0025624C" w:rsidP="007831F0" w14:paraId="5602D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7</w:t>
      </w:r>
      <w:r w:rsidRPr="0025624C">
        <w:rPr>
          <w:b/>
          <w:bCs/>
          <w:sz w:val="22"/>
          <w:szCs w:val="22"/>
        </w:rPr>
        <w:t>.  Explain</w:t>
      </w:r>
      <w:r w:rsidRPr="0025624C">
        <w:rPr>
          <w:b/>
          <w:bCs/>
          <w:sz w:val="22"/>
          <w:szCs w:val="22"/>
        </w:rPr>
        <w:t xml:space="preserve"> any special circumstances that would cause an information collection to be conducted in a manner:</w:t>
      </w:r>
    </w:p>
    <w:p w:rsidR="006B4EA6" w:rsidRPr="0025624C" w:rsidP="006B4EA6" w14:paraId="4331F5F3"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requiring respondents to report information to the agency more often than </w:t>
      </w:r>
      <w:r w:rsidRPr="0025624C">
        <w:rPr>
          <w:b/>
          <w:bCs/>
          <w:sz w:val="22"/>
          <w:szCs w:val="22"/>
        </w:rPr>
        <w:t>quarterly;</w:t>
      </w:r>
    </w:p>
    <w:p w:rsidR="006B4EA6" w:rsidRPr="0025624C" w:rsidP="006B4EA6" w14:paraId="6EB5538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6B4EA6" w:rsidRPr="0025624C" w:rsidP="006B4EA6" w14:paraId="3D5148BD"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requiring respondents to prepare a written response to a collection of information in fewer than 30 days after receipt of </w:t>
      </w:r>
      <w:r w:rsidRPr="0025624C">
        <w:rPr>
          <w:b/>
          <w:bCs/>
          <w:sz w:val="22"/>
          <w:szCs w:val="22"/>
        </w:rPr>
        <w:t>it;</w:t>
      </w:r>
    </w:p>
    <w:p w:rsidR="006B4EA6" w:rsidRPr="0025624C" w:rsidP="006B4EA6" w14:paraId="7260629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6B4EA6" w:rsidRPr="0025624C" w:rsidP="006B4EA6" w14:paraId="76B2EBDB"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requiring respondents to submit more than an original and two copies of any </w:t>
      </w:r>
      <w:r w:rsidRPr="0025624C">
        <w:rPr>
          <w:b/>
          <w:bCs/>
          <w:sz w:val="22"/>
          <w:szCs w:val="22"/>
        </w:rPr>
        <w:t>document;</w:t>
      </w:r>
    </w:p>
    <w:p w:rsidR="006B4EA6" w:rsidRPr="0025624C" w:rsidP="006B4EA6" w14:paraId="490F28F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6B4EA6" w:rsidRPr="0025624C" w:rsidP="006B4EA6" w14:paraId="65A38809"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requiring respondents to retain records, other than health, medical, government contract, grant-in-aid, or tax records for more than three </w:t>
      </w:r>
      <w:r w:rsidRPr="0025624C">
        <w:rPr>
          <w:b/>
          <w:bCs/>
          <w:sz w:val="22"/>
          <w:szCs w:val="22"/>
        </w:rPr>
        <w:t>years;</w:t>
      </w:r>
    </w:p>
    <w:p w:rsidR="006B4EA6" w:rsidRPr="0025624C" w:rsidP="006B4EA6" w14:paraId="4DA6A83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6B4EA6" w:rsidRPr="0025624C" w:rsidP="006B4EA6" w14:paraId="0D905C37"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in connection with a statistical survey, that is not designed to produce valid and reliable results that can be generalized to the universe of </w:t>
      </w:r>
      <w:r w:rsidRPr="0025624C">
        <w:rPr>
          <w:b/>
          <w:bCs/>
          <w:sz w:val="22"/>
          <w:szCs w:val="22"/>
        </w:rPr>
        <w:t>study;</w:t>
      </w:r>
    </w:p>
    <w:p w:rsidR="006B4EA6" w:rsidRPr="0025624C" w:rsidP="006B4EA6" w14:paraId="762E64B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6B4EA6" w:rsidP="006B4EA6" w14:paraId="6CDAF6A1"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requiring the use of statistical data classification that has not been reviewed and approved by </w:t>
      </w:r>
      <w:r w:rsidRPr="0025624C">
        <w:rPr>
          <w:b/>
          <w:bCs/>
          <w:sz w:val="22"/>
          <w:szCs w:val="22"/>
        </w:rPr>
        <w:t>OMB;</w:t>
      </w:r>
    </w:p>
    <w:p w:rsidR="00DE721D" w:rsidP="00DE721D" w14:paraId="11F040D1" w14:textId="77777777">
      <w:pPr>
        <w:pStyle w:val="ListParagraph"/>
        <w:rPr>
          <w:b/>
          <w:bCs/>
        </w:rPr>
      </w:pPr>
    </w:p>
    <w:p w:rsidR="00520045" w:rsidRPr="00DE721D" w:rsidP="00DE721D" w14:paraId="699E1340" w14:textId="1D4C59AD">
      <w:pPr>
        <w:rPr>
          <w:sz w:val="22"/>
          <w:szCs w:val="22"/>
        </w:rPr>
      </w:pPr>
      <w:r w:rsidRPr="00A60552">
        <w:rPr>
          <w:sz w:val="22"/>
          <w:szCs w:val="22"/>
        </w:rPr>
        <w:t xml:space="preserve">CEO requests to use the race and ethnicity questions with minimum categories only and examples. As the data will be examined at the industry level, any analysis by race and/or ethnicity that used the detailed categories would result in sample sizes that are too small to yield precise estimates. </w:t>
      </w:r>
    </w:p>
    <w:p w:rsidR="006B4EA6" w:rsidRPr="0025624C" w:rsidP="006B4EA6" w14:paraId="27346E3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sz w:val="22"/>
          <w:szCs w:val="22"/>
        </w:rPr>
      </w:pPr>
    </w:p>
    <w:p w:rsidR="006B4EA6" w:rsidRPr="0025624C" w:rsidP="006B4EA6" w14:paraId="2174BA80" w14:textId="77777777">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25624C">
        <w:rPr>
          <w:b/>
          <w:bCs/>
          <w:sz w:val="22"/>
          <w:szCs w:val="22"/>
        </w:rPr>
        <w:t xml:space="preserve">that includes a pledge of </w:t>
      </w:r>
      <w:r w:rsidRPr="0025624C">
        <w:rPr>
          <w:b/>
          <w:bCs/>
          <w:sz w:val="22"/>
          <w:szCs w:val="22"/>
        </w:rPr>
        <w:t>confidentially</w:t>
      </w:r>
      <w:r w:rsidRPr="0025624C">
        <w:rPr>
          <w:b/>
          <w:bCs/>
          <w:sz w:val="22"/>
          <w:szCs w:val="22"/>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4EA6" w:rsidRPr="0025624C" w:rsidP="006B4EA6" w14:paraId="162392C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8516B0" w:rsidRPr="008516B0" w:rsidP="008516B0" w14:paraId="66D871E2" w14:textId="2839B9C8">
      <w:pPr>
        <w:pStyle w:val="Level1"/>
        <w:widowControl/>
        <w:numPr>
          <w:ilvl w:val="0"/>
          <w:numId w:val="2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5624C">
        <w:rPr>
          <w:b/>
          <w:bCs/>
          <w:sz w:val="22"/>
          <w:szCs w:val="22"/>
        </w:rPr>
        <w:t>requiring</w:t>
      </w:r>
      <w:r w:rsidRPr="0025624C">
        <w:rPr>
          <w:b/>
          <w:bCs/>
          <w:sz w:val="22"/>
          <w:szCs w:val="22"/>
        </w:rPr>
        <w:t xml:space="preserve"> respondents to submit proprietary trade </w:t>
      </w:r>
      <w:r w:rsidRPr="0025624C">
        <w:rPr>
          <w:b/>
          <w:bCs/>
          <w:sz w:val="22"/>
          <w:szCs w:val="22"/>
        </w:rPr>
        <w:t>secret</w:t>
      </w:r>
      <w:r w:rsidRPr="0025624C">
        <w:rPr>
          <w:b/>
          <w:bCs/>
          <w:sz w:val="22"/>
          <w:szCs w:val="22"/>
        </w:rPr>
        <w:t>, or other confidential information unless the agency can demonstrate that it has instituted procedures to protect the information's confidentially to the extent permitted by law.</w:t>
      </w:r>
    </w:p>
    <w:p w:rsidR="008516B0" w:rsidP="008516B0" w14:paraId="67C3EF33" w14:textId="77777777">
      <w:pPr>
        <w:pStyle w:val="ListParagraph"/>
      </w:pPr>
    </w:p>
    <w:p w:rsidR="001369E3" w:rsidRPr="0025624C" w:rsidP="00711D94" w14:paraId="51A97E01" w14:textId="77777777">
      <w:pPr>
        <w:pStyle w:val="L1-FlLSp12"/>
        <w:rPr>
          <w:sz w:val="22"/>
          <w:szCs w:val="22"/>
        </w:rPr>
      </w:pPr>
    </w:p>
    <w:p w:rsidR="005E5BF1" w:rsidRPr="0025624C" w:rsidP="005E5BF1" w14:paraId="10B127C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25624C">
        <w:rPr>
          <w:b/>
          <w:bCs/>
          <w:sz w:val="22"/>
          <w:szCs w:val="22"/>
        </w:rPr>
        <w:t xml:space="preserve">8.  If applicable, provide a copy and identify the date and page number of </w:t>
      </w:r>
      <w:r w:rsidRPr="0025624C">
        <w:rPr>
          <w:b/>
          <w:bCs/>
          <w:sz w:val="22"/>
          <w:szCs w:val="22"/>
        </w:rPr>
        <w:t>publication</w:t>
      </w:r>
      <w:r w:rsidRPr="0025624C">
        <w:rPr>
          <w:b/>
          <w:bCs/>
          <w:sz w:val="22"/>
          <w:szCs w:val="22"/>
        </w:rPr>
        <w:t xml:space="preserve"> in the </w:t>
      </w:r>
      <w:r w:rsidRPr="0025624C">
        <w:rPr>
          <w:rStyle w:val="Heading2Char"/>
          <w:sz w:val="22"/>
          <w:szCs w:val="22"/>
        </w:rPr>
        <w:t>Federal Register</w:t>
      </w:r>
      <w:r w:rsidRPr="0025624C">
        <w:rPr>
          <w:b/>
          <w:bCs/>
          <w:sz w:val="22"/>
          <w:szCs w:val="22"/>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5BF1" w:rsidRPr="0025624C" w:rsidP="005E5BF1" w14:paraId="774EF8E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p>
    <w:p w:rsidR="005E5BF1" w:rsidRPr="0025624C" w:rsidP="005E5BF1" w14:paraId="2BAF449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bCs/>
          <w:sz w:val="22"/>
          <w:szCs w:val="22"/>
        </w:rPr>
        <w:t xml:space="preserve">Describe efforts to consult with </w:t>
      </w:r>
      <w:r w:rsidRPr="0025624C">
        <w:rPr>
          <w:b/>
          <w:bCs/>
          <w:sz w:val="22"/>
          <w:szCs w:val="22"/>
        </w:rPr>
        <w:t>persons</w:t>
      </w:r>
      <w:r w:rsidRPr="0025624C">
        <w:rPr>
          <w:b/>
          <w:bCs/>
          <w:sz w:val="22"/>
          <w:szCs w:val="22"/>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5E5BF1" w:rsidRPr="0025624C" w:rsidP="005E5BF1" w14:paraId="7DE7B8D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p>
    <w:p w:rsidR="005E5BF1" w:rsidRPr="0025624C" w:rsidP="005E5BF1" w14:paraId="3DABC5D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25624C">
        <w:rPr>
          <w:b/>
          <w:bCs/>
          <w:sz w:val="22"/>
          <w:szCs w:val="22"/>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E5BF1" w:rsidRPr="0025624C" w:rsidP="005E5BF1" w14:paraId="18BE67DF" w14:textId="77777777">
      <w:pPr>
        <w:rPr>
          <w:sz w:val="22"/>
          <w:szCs w:val="22"/>
          <w:highlight w:val="cyan"/>
        </w:rPr>
      </w:pPr>
    </w:p>
    <w:p w:rsidR="000B7D35" w:rsidRPr="00E05864" w:rsidP="000B7D35" w14:paraId="6707D269" w14:textId="5EB48F3D">
      <w:pPr>
        <w:rPr>
          <w:sz w:val="22"/>
          <w:szCs w:val="22"/>
        </w:rPr>
      </w:pPr>
      <w:r w:rsidRPr="00E05864">
        <w:rPr>
          <w:sz w:val="22"/>
          <w:szCs w:val="22"/>
          <w:u w:val="single"/>
        </w:rPr>
        <w:t>Federal Register Notice and Comments</w:t>
      </w:r>
    </w:p>
    <w:p w:rsidR="00747DA1" w:rsidRPr="00E05864" w:rsidP="000B7D35" w14:paraId="4C6CF6C0" w14:textId="4CE2A7F0">
      <w:pPr>
        <w:rPr>
          <w:sz w:val="22"/>
          <w:szCs w:val="22"/>
        </w:rPr>
      </w:pPr>
      <w:r w:rsidRPr="00E05864">
        <w:rPr>
          <w:sz w:val="22"/>
          <w:szCs w:val="22"/>
        </w:rPr>
        <w:t xml:space="preserve">In accordance with the Paperwork Reduction Act of 1995 (Pub. L. 14-13 and Office of Management and Budget Regulations at 5 CFR Part 1320), DOL published a notice on </w:t>
      </w:r>
      <w:r w:rsidRPr="00E05864" w:rsidR="00AF49F0">
        <w:rPr>
          <w:sz w:val="22"/>
          <w:szCs w:val="22"/>
        </w:rPr>
        <w:t>August 8</w:t>
      </w:r>
      <w:r w:rsidRPr="00E05864">
        <w:rPr>
          <w:sz w:val="22"/>
          <w:szCs w:val="22"/>
        </w:rPr>
        <w:t xml:space="preserve">, </w:t>
      </w:r>
      <w:r w:rsidRPr="00E05864">
        <w:rPr>
          <w:sz w:val="22"/>
          <w:szCs w:val="22"/>
        </w:rPr>
        <w:t>20</w:t>
      </w:r>
      <w:r w:rsidRPr="00E05864" w:rsidR="00AF49F0">
        <w:rPr>
          <w:sz w:val="22"/>
          <w:szCs w:val="22"/>
        </w:rPr>
        <w:t>24</w:t>
      </w:r>
      <w:r w:rsidRPr="00E05864">
        <w:rPr>
          <w:sz w:val="22"/>
          <w:szCs w:val="22"/>
        </w:rPr>
        <w:t xml:space="preserve"> in the </w:t>
      </w:r>
      <w:r w:rsidRPr="00E05864">
        <w:rPr>
          <w:i/>
          <w:sz w:val="22"/>
          <w:szCs w:val="22"/>
        </w:rPr>
        <w:t>Federal Register</w:t>
      </w:r>
      <w:r w:rsidRPr="00E05864">
        <w:rPr>
          <w:sz w:val="22"/>
          <w:szCs w:val="22"/>
        </w:rPr>
        <w:t>, Volume 8</w:t>
      </w:r>
      <w:r w:rsidRPr="00E05864" w:rsidR="0045575F">
        <w:rPr>
          <w:sz w:val="22"/>
          <w:szCs w:val="22"/>
        </w:rPr>
        <w:t>9</w:t>
      </w:r>
      <w:r w:rsidRPr="00E05864">
        <w:rPr>
          <w:sz w:val="22"/>
          <w:szCs w:val="22"/>
        </w:rPr>
        <w:t xml:space="preserve">, Number </w:t>
      </w:r>
      <w:r w:rsidRPr="00E05864" w:rsidR="0045575F">
        <w:rPr>
          <w:sz w:val="22"/>
          <w:szCs w:val="22"/>
        </w:rPr>
        <w:t>153</w:t>
      </w:r>
      <w:r w:rsidRPr="00E05864">
        <w:rPr>
          <w:sz w:val="22"/>
          <w:szCs w:val="22"/>
        </w:rPr>
        <w:t xml:space="preserve">, pages </w:t>
      </w:r>
      <w:r w:rsidRPr="00E05864" w:rsidR="00131FEE">
        <w:rPr>
          <w:sz w:val="22"/>
          <w:szCs w:val="22"/>
        </w:rPr>
        <w:t>64</w:t>
      </w:r>
      <w:r w:rsidRPr="00E05864" w:rsidR="00E9235B">
        <w:rPr>
          <w:sz w:val="22"/>
          <w:szCs w:val="22"/>
        </w:rPr>
        <w:t>9</w:t>
      </w:r>
      <w:r w:rsidRPr="00E05864" w:rsidR="00754EDE">
        <w:rPr>
          <w:sz w:val="22"/>
          <w:szCs w:val="22"/>
        </w:rPr>
        <w:t>6</w:t>
      </w:r>
      <w:r w:rsidRPr="00E05864" w:rsidR="00131FEE">
        <w:rPr>
          <w:sz w:val="22"/>
          <w:szCs w:val="22"/>
        </w:rPr>
        <w:t>0</w:t>
      </w:r>
      <w:r w:rsidRPr="00E05864">
        <w:rPr>
          <w:sz w:val="22"/>
          <w:szCs w:val="22"/>
        </w:rPr>
        <w:t>-</w:t>
      </w:r>
      <w:r w:rsidRPr="00E05864" w:rsidR="006E0F9D">
        <w:rPr>
          <w:sz w:val="22"/>
          <w:szCs w:val="22"/>
        </w:rPr>
        <w:t>64961</w:t>
      </w:r>
      <w:r w:rsidRPr="00E05864">
        <w:rPr>
          <w:sz w:val="22"/>
          <w:szCs w:val="22"/>
        </w:rPr>
        <w:t xml:space="preserve"> </w:t>
      </w:r>
      <w:r w:rsidRPr="00E05864" w:rsidR="00792361">
        <w:rPr>
          <w:sz w:val="22"/>
          <w:szCs w:val="22"/>
        </w:rPr>
        <w:t xml:space="preserve">(89 FR 64960) </w:t>
      </w:r>
      <w:r w:rsidRPr="00E05864">
        <w:rPr>
          <w:sz w:val="22"/>
          <w:szCs w:val="22"/>
        </w:rPr>
        <w:t xml:space="preserve">announcing the agency’s intent to request and OMB review of information collection activities. The notice provided a 60-day period for public comments. </w:t>
      </w:r>
      <w:r w:rsidRPr="00E05864" w:rsidR="006F2652">
        <w:rPr>
          <w:sz w:val="22"/>
          <w:szCs w:val="22"/>
        </w:rPr>
        <w:t>A copy of this notice is included in this package</w:t>
      </w:r>
      <w:r w:rsidRPr="00E05864">
        <w:rPr>
          <w:sz w:val="22"/>
          <w:szCs w:val="22"/>
        </w:rPr>
        <w:t xml:space="preserve"> (see </w:t>
      </w:r>
      <w:r w:rsidRPr="00E05864" w:rsidR="000D7B24">
        <w:rPr>
          <w:sz w:val="22"/>
          <w:szCs w:val="22"/>
        </w:rPr>
        <w:t>Attachment C</w:t>
      </w:r>
      <w:r w:rsidRPr="00E05864">
        <w:rPr>
          <w:sz w:val="22"/>
          <w:szCs w:val="22"/>
        </w:rPr>
        <w:t>)</w:t>
      </w:r>
      <w:r w:rsidRPr="00E05864" w:rsidR="006F2652">
        <w:rPr>
          <w:sz w:val="22"/>
          <w:szCs w:val="22"/>
        </w:rPr>
        <w:t>.</w:t>
      </w:r>
      <w:r w:rsidR="00BF24E8">
        <w:rPr>
          <w:sz w:val="22"/>
          <w:szCs w:val="22"/>
        </w:rPr>
        <w:t xml:space="preserve">  </w:t>
      </w:r>
      <w:r w:rsidR="00C02281">
        <w:rPr>
          <w:sz w:val="22"/>
          <w:szCs w:val="22"/>
        </w:rPr>
        <w:t>No public comments were received.</w:t>
      </w:r>
    </w:p>
    <w:p w:rsidR="005A6C0F" w:rsidRPr="00E05864" w:rsidP="000B7D35" w14:paraId="7B46BBB4" w14:textId="0E8112C5">
      <w:pPr>
        <w:rPr>
          <w:sz w:val="22"/>
          <w:szCs w:val="22"/>
        </w:rPr>
      </w:pPr>
    </w:p>
    <w:p w:rsidR="000B7D35" w:rsidRPr="0025624C" w:rsidP="000B7D35" w14:paraId="329F16A6" w14:textId="77777777">
      <w:pPr>
        <w:rPr>
          <w:sz w:val="22"/>
          <w:szCs w:val="22"/>
        </w:rPr>
      </w:pPr>
    </w:p>
    <w:p w:rsidR="000B7D35" w:rsidRPr="0025624C" w:rsidP="000B7D35" w14:paraId="7029972D" w14:textId="4B56F1FC">
      <w:pPr>
        <w:rPr>
          <w:sz w:val="22"/>
          <w:szCs w:val="22"/>
        </w:rPr>
      </w:pPr>
      <w:r w:rsidRPr="0025624C">
        <w:rPr>
          <w:sz w:val="22"/>
          <w:szCs w:val="22"/>
          <w:u w:val="single"/>
        </w:rPr>
        <w:t>Consultations Outside the Agency</w:t>
      </w:r>
    </w:p>
    <w:p w:rsidR="002F4715" w:rsidRPr="0025624C" w:rsidP="000B7D35" w14:paraId="057288EF" w14:textId="2B9AD924">
      <w:pPr>
        <w:rPr>
          <w:sz w:val="22"/>
          <w:szCs w:val="22"/>
        </w:rPr>
      </w:pPr>
      <w:r w:rsidRPr="0025624C">
        <w:rPr>
          <w:sz w:val="22"/>
          <w:szCs w:val="22"/>
        </w:rPr>
        <w:t xml:space="preserve">DOL convened a technical working group (TWG) </w:t>
      </w:r>
      <w:r w:rsidRPr="0025624C" w:rsidR="00666373">
        <w:rPr>
          <w:sz w:val="22"/>
          <w:szCs w:val="22"/>
        </w:rPr>
        <w:t>to advise on the study</w:t>
      </w:r>
      <w:r w:rsidRPr="0025624C">
        <w:rPr>
          <w:sz w:val="22"/>
          <w:szCs w:val="22"/>
        </w:rPr>
        <w:t xml:space="preserve">, and members of the TWG are listed below. The objectives of </w:t>
      </w:r>
      <w:r w:rsidRPr="0025624C" w:rsidR="00BB566F">
        <w:rPr>
          <w:sz w:val="22"/>
          <w:szCs w:val="22"/>
        </w:rPr>
        <w:t xml:space="preserve">convening a TWG </w:t>
      </w:r>
      <w:r w:rsidRPr="0025624C">
        <w:rPr>
          <w:sz w:val="22"/>
          <w:szCs w:val="22"/>
        </w:rPr>
        <w:t>were to</w:t>
      </w:r>
      <w:r w:rsidRPr="0025624C" w:rsidR="00446C30">
        <w:rPr>
          <w:sz w:val="22"/>
          <w:szCs w:val="22"/>
        </w:rPr>
        <w:t xml:space="preserve"> provide input on the research objectives and survey instrument,</w:t>
      </w:r>
      <w:r w:rsidRPr="0025624C">
        <w:rPr>
          <w:sz w:val="22"/>
          <w:szCs w:val="22"/>
        </w:rPr>
        <w:t xml:space="preserve"> </w:t>
      </w:r>
      <w:r w:rsidRPr="0025624C" w:rsidR="00D311FF">
        <w:rPr>
          <w:sz w:val="22"/>
          <w:szCs w:val="22"/>
        </w:rPr>
        <w:t xml:space="preserve">review </w:t>
      </w:r>
      <w:r w:rsidRPr="0025624C">
        <w:rPr>
          <w:sz w:val="22"/>
          <w:szCs w:val="22"/>
        </w:rPr>
        <w:t xml:space="preserve">the technical soundness of the </w:t>
      </w:r>
      <w:r w:rsidRPr="0025624C" w:rsidR="00216DAC">
        <w:rPr>
          <w:sz w:val="22"/>
          <w:szCs w:val="22"/>
        </w:rPr>
        <w:t>sampl</w:t>
      </w:r>
      <w:r w:rsidRPr="0025624C" w:rsidR="00F311F4">
        <w:rPr>
          <w:sz w:val="22"/>
          <w:szCs w:val="22"/>
        </w:rPr>
        <w:t>ing</w:t>
      </w:r>
      <w:r w:rsidRPr="0025624C" w:rsidR="00F9382F">
        <w:rPr>
          <w:sz w:val="22"/>
          <w:szCs w:val="22"/>
        </w:rPr>
        <w:t xml:space="preserve"> </w:t>
      </w:r>
      <w:r w:rsidRPr="0025624C" w:rsidR="00216DAC">
        <w:rPr>
          <w:sz w:val="22"/>
          <w:szCs w:val="22"/>
        </w:rPr>
        <w:t>design</w:t>
      </w:r>
      <w:r w:rsidRPr="0025624C" w:rsidR="009621A3">
        <w:rPr>
          <w:sz w:val="22"/>
          <w:szCs w:val="22"/>
        </w:rPr>
        <w:t xml:space="preserve"> including</w:t>
      </w:r>
      <w:r w:rsidRPr="0025624C" w:rsidR="00F9382F">
        <w:rPr>
          <w:sz w:val="22"/>
          <w:szCs w:val="22"/>
        </w:rPr>
        <w:t xml:space="preserve"> the RDS</w:t>
      </w:r>
      <w:r w:rsidRPr="0025624C">
        <w:rPr>
          <w:sz w:val="22"/>
          <w:szCs w:val="22"/>
        </w:rPr>
        <w:t xml:space="preserve">, and confirm the </w:t>
      </w:r>
      <w:r w:rsidRPr="0025624C" w:rsidR="00216DAC">
        <w:rPr>
          <w:sz w:val="22"/>
          <w:szCs w:val="22"/>
        </w:rPr>
        <w:t>plan</w:t>
      </w:r>
      <w:r w:rsidRPr="0025624C" w:rsidR="00EE4101">
        <w:rPr>
          <w:sz w:val="22"/>
          <w:szCs w:val="22"/>
        </w:rPr>
        <w:t>ned analyses</w:t>
      </w:r>
      <w:r w:rsidRPr="0025624C" w:rsidR="00216DAC">
        <w:rPr>
          <w:sz w:val="22"/>
          <w:szCs w:val="22"/>
        </w:rPr>
        <w:t>.</w:t>
      </w:r>
      <w:r w:rsidRPr="0025624C">
        <w:rPr>
          <w:sz w:val="22"/>
          <w:szCs w:val="22"/>
        </w:rPr>
        <w:t xml:space="preserve"> </w:t>
      </w:r>
      <w:r w:rsidRPr="0025624C" w:rsidR="009F54D0">
        <w:rPr>
          <w:sz w:val="22"/>
          <w:szCs w:val="22"/>
        </w:rPr>
        <w:t>The TWG members and their areas of expertise as described below:</w:t>
      </w:r>
    </w:p>
    <w:p w:rsidR="000B7D35" w:rsidRPr="005B4C0C" w:rsidP="000B7D35" w14:paraId="00714112" w14:textId="77777777"/>
    <w:tbl>
      <w:tblPr>
        <w:tblStyle w:val="TableGrid1"/>
        <w:tblW w:w="0" w:type="auto"/>
        <w:tblLook w:val="04A0"/>
      </w:tblPr>
      <w:tblGrid>
        <w:gridCol w:w="1220"/>
        <w:gridCol w:w="1947"/>
        <w:gridCol w:w="2876"/>
        <w:gridCol w:w="3307"/>
      </w:tblGrid>
      <w:tr w14:paraId="334B3357" w14:textId="77777777" w:rsidTr="00453F3E">
        <w:tblPrEx>
          <w:tblW w:w="0" w:type="auto"/>
          <w:tblLook w:val="04A0"/>
        </w:tblPrEx>
        <w:tc>
          <w:tcPr>
            <w:tcW w:w="0" w:type="auto"/>
            <w:shd w:val="clear" w:color="auto" w:fill="95B3D7" w:themeFill="accent1" w:themeFillTint="99"/>
            <w:vAlign w:val="center"/>
          </w:tcPr>
          <w:p w:rsidR="00D74448" w:rsidRPr="00083831" w:rsidP="00453F3E" w14:paraId="19196814" w14:textId="2B63738F">
            <w:pPr>
              <w:pStyle w:val="NormalSS"/>
              <w:tabs>
                <w:tab w:val="left" w:pos="0"/>
                <w:tab w:val="clear" w:pos="432"/>
              </w:tabs>
              <w:spacing w:after="0" w:line="276" w:lineRule="auto"/>
              <w:ind w:firstLine="0"/>
              <w:jc w:val="center"/>
              <w:rPr>
                <w:b/>
                <w:sz w:val="22"/>
                <w:szCs w:val="22"/>
              </w:rPr>
            </w:pPr>
            <w:r w:rsidRPr="00083831">
              <w:rPr>
                <w:b/>
                <w:sz w:val="22"/>
                <w:szCs w:val="22"/>
              </w:rPr>
              <w:t>Name</w:t>
            </w:r>
          </w:p>
        </w:tc>
        <w:tc>
          <w:tcPr>
            <w:tcW w:w="0" w:type="auto"/>
            <w:shd w:val="clear" w:color="auto" w:fill="95B3D7" w:themeFill="accent1" w:themeFillTint="99"/>
            <w:vAlign w:val="center"/>
          </w:tcPr>
          <w:p w:rsidR="00D74448" w:rsidRPr="00083831" w:rsidP="00453F3E" w14:paraId="7EBA7B7D" w14:textId="04CA1561">
            <w:pPr>
              <w:pStyle w:val="NormalSS"/>
              <w:tabs>
                <w:tab w:val="left" w:pos="0"/>
                <w:tab w:val="clear" w:pos="432"/>
              </w:tabs>
              <w:spacing w:after="0" w:line="276" w:lineRule="auto"/>
              <w:ind w:firstLine="0"/>
              <w:jc w:val="center"/>
              <w:rPr>
                <w:b/>
                <w:sz w:val="22"/>
                <w:szCs w:val="22"/>
              </w:rPr>
            </w:pPr>
            <w:r w:rsidRPr="00083831">
              <w:rPr>
                <w:b/>
                <w:sz w:val="22"/>
                <w:szCs w:val="22"/>
              </w:rPr>
              <w:t>Title</w:t>
            </w:r>
          </w:p>
        </w:tc>
        <w:tc>
          <w:tcPr>
            <w:tcW w:w="0" w:type="auto"/>
            <w:shd w:val="clear" w:color="auto" w:fill="95B3D7" w:themeFill="accent1" w:themeFillTint="99"/>
            <w:vAlign w:val="center"/>
          </w:tcPr>
          <w:p w:rsidR="00D74448" w:rsidRPr="00083831" w:rsidP="00453F3E" w14:paraId="53205B67" w14:textId="4513270C">
            <w:pPr>
              <w:pStyle w:val="NormalSS"/>
              <w:tabs>
                <w:tab w:val="left" w:pos="0"/>
                <w:tab w:val="clear" w:pos="432"/>
              </w:tabs>
              <w:spacing w:after="0" w:line="276" w:lineRule="auto"/>
              <w:ind w:firstLine="0"/>
              <w:jc w:val="center"/>
              <w:rPr>
                <w:b/>
                <w:sz w:val="22"/>
                <w:szCs w:val="22"/>
              </w:rPr>
            </w:pPr>
            <w:r w:rsidRPr="00083831">
              <w:rPr>
                <w:b/>
                <w:sz w:val="22"/>
                <w:szCs w:val="22"/>
              </w:rPr>
              <w:t>Organization</w:t>
            </w:r>
          </w:p>
        </w:tc>
        <w:tc>
          <w:tcPr>
            <w:tcW w:w="0" w:type="auto"/>
            <w:shd w:val="clear" w:color="auto" w:fill="95B3D7" w:themeFill="accent1" w:themeFillTint="99"/>
            <w:vAlign w:val="center"/>
          </w:tcPr>
          <w:p w:rsidR="00D74448" w:rsidRPr="00083831" w:rsidP="00453F3E" w14:paraId="1B5F54F6" w14:textId="7186F0C1">
            <w:pPr>
              <w:pStyle w:val="NormalSS"/>
              <w:tabs>
                <w:tab w:val="left" w:pos="0"/>
                <w:tab w:val="clear" w:pos="432"/>
              </w:tabs>
              <w:spacing w:after="0" w:line="276" w:lineRule="auto"/>
              <w:ind w:firstLine="0"/>
              <w:jc w:val="center"/>
              <w:rPr>
                <w:b/>
                <w:sz w:val="22"/>
                <w:szCs w:val="22"/>
              </w:rPr>
            </w:pPr>
            <w:r w:rsidRPr="00083831">
              <w:rPr>
                <w:b/>
                <w:sz w:val="22"/>
                <w:szCs w:val="22"/>
              </w:rPr>
              <w:t>Expertise</w:t>
            </w:r>
          </w:p>
        </w:tc>
      </w:tr>
      <w:tr w14:paraId="1A913FE6" w14:textId="77777777" w:rsidTr="00453F3E">
        <w:tblPrEx>
          <w:tblW w:w="0" w:type="auto"/>
          <w:tblLook w:val="04A0"/>
        </w:tblPrEx>
        <w:tc>
          <w:tcPr>
            <w:tcW w:w="0" w:type="auto"/>
            <w:vAlign w:val="center"/>
          </w:tcPr>
          <w:p w:rsidR="00D74448" w:rsidRPr="00453F3E" w:rsidP="00453F3E" w14:paraId="66FD5F81" w14:textId="166048EE">
            <w:pPr>
              <w:pStyle w:val="NormalSS"/>
              <w:tabs>
                <w:tab w:val="left" w:pos="0"/>
                <w:tab w:val="clear" w:pos="432"/>
              </w:tabs>
              <w:spacing w:after="0" w:line="276" w:lineRule="auto"/>
              <w:ind w:firstLine="0"/>
              <w:jc w:val="center"/>
              <w:rPr>
                <w:sz w:val="22"/>
                <w:szCs w:val="22"/>
              </w:rPr>
            </w:pPr>
            <w:r w:rsidRPr="00453F3E">
              <w:rPr>
                <w:sz w:val="22"/>
                <w:szCs w:val="22"/>
              </w:rPr>
              <w:t>Krista Gile</w:t>
            </w:r>
          </w:p>
        </w:tc>
        <w:tc>
          <w:tcPr>
            <w:tcW w:w="0" w:type="auto"/>
            <w:vAlign w:val="center"/>
          </w:tcPr>
          <w:p w:rsidR="00D74448" w:rsidRPr="00453F3E" w:rsidP="00453F3E" w14:paraId="2145BBF8" w14:textId="159C0AFB">
            <w:pPr>
              <w:pStyle w:val="NormalSS"/>
              <w:tabs>
                <w:tab w:val="left" w:pos="0"/>
                <w:tab w:val="clear" w:pos="432"/>
              </w:tabs>
              <w:spacing w:after="0" w:line="276" w:lineRule="auto"/>
              <w:ind w:firstLine="0"/>
              <w:jc w:val="center"/>
              <w:rPr>
                <w:sz w:val="22"/>
                <w:szCs w:val="22"/>
              </w:rPr>
            </w:pPr>
            <w:r w:rsidRPr="00453F3E">
              <w:rPr>
                <w:sz w:val="22"/>
                <w:szCs w:val="22"/>
              </w:rPr>
              <w:t>Professor of Mathematics</w:t>
            </w:r>
          </w:p>
        </w:tc>
        <w:tc>
          <w:tcPr>
            <w:tcW w:w="0" w:type="auto"/>
            <w:vAlign w:val="center"/>
          </w:tcPr>
          <w:p w:rsidR="00D74448" w:rsidRPr="00453F3E" w:rsidP="00453F3E" w14:paraId="0B48E659" w14:textId="6F0BCD00">
            <w:pPr>
              <w:pStyle w:val="NormalSS"/>
              <w:tabs>
                <w:tab w:val="left" w:pos="0"/>
                <w:tab w:val="clear" w:pos="432"/>
              </w:tabs>
              <w:spacing w:after="0" w:line="276" w:lineRule="auto"/>
              <w:ind w:firstLine="0"/>
              <w:jc w:val="center"/>
              <w:rPr>
                <w:sz w:val="22"/>
                <w:szCs w:val="22"/>
              </w:rPr>
            </w:pPr>
            <w:r w:rsidRPr="00453F3E">
              <w:rPr>
                <w:sz w:val="22"/>
                <w:szCs w:val="22"/>
              </w:rPr>
              <w:t>University of Massachusetts</w:t>
            </w:r>
          </w:p>
        </w:tc>
        <w:tc>
          <w:tcPr>
            <w:tcW w:w="0" w:type="auto"/>
            <w:vAlign w:val="center"/>
          </w:tcPr>
          <w:p w:rsidR="00D74448" w:rsidRPr="00453F3E" w:rsidP="00453F3E" w14:paraId="06B9A23A" w14:textId="3C6D5717">
            <w:pPr>
              <w:pStyle w:val="NormalSS"/>
              <w:tabs>
                <w:tab w:val="left" w:pos="0"/>
                <w:tab w:val="clear" w:pos="432"/>
              </w:tabs>
              <w:spacing w:after="0" w:line="276" w:lineRule="auto"/>
              <w:ind w:firstLine="0"/>
              <w:jc w:val="center"/>
              <w:rPr>
                <w:sz w:val="22"/>
                <w:szCs w:val="22"/>
              </w:rPr>
            </w:pPr>
            <w:r w:rsidRPr="00453F3E">
              <w:rPr>
                <w:sz w:val="22"/>
                <w:szCs w:val="22"/>
                <w:u w:color="365F91"/>
              </w:rPr>
              <w:t>Methods for studying hard-to-reach populations including RDS, link tracing, and statistical analysis of social networks</w:t>
            </w:r>
          </w:p>
        </w:tc>
      </w:tr>
      <w:tr w14:paraId="461A60EE" w14:textId="77777777" w:rsidTr="00453F3E">
        <w:tblPrEx>
          <w:tblW w:w="0" w:type="auto"/>
          <w:tblLook w:val="04A0"/>
        </w:tblPrEx>
        <w:tc>
          <w:tcPr>
            <w:tcW w:w="0" w:type="auto"/>
            <w:vAlign w:val="center"/>
          </w:tcPr>
          <w:p w:rsidR="00D74448" w:rsidRPr="00453F3E" w:rsidP="00453F3E" w14:paraId="514D1034" w14:textId="3D62CDB5">
            <w:pPr>
              <w:pStyle w:val="NormalSS"/>
              <w:tabs>
                <w:tab w:val="left" w:pos="0"/>
                <w:tab w:val="clear" w:pos="432"/>
              </w:tabs>
              <w:spacing w:after="0" w:line="276" w:lineRule="auto"/>
              <w:ind w:firstLine="0"/>
              <w:jc w:val="center"/>
              <w:rPr>
                <w:sz w:val="22"/>
                <w:szCs w:val="22"/>
              </w:rPr>
            </w:pPr>
            <w:r w:rsidRPr="00453F3E">
              <w:rPr>
                <w:sz w:val="22"/>
                <w:szCs w:val="22"/>
              </w:rPr>
              <w:t>Joy Kim</w:t>
            </w:r>
          </w:p>
        </w:tc>
        <w:tc>
          <w:tcPr>
            <w:tcW w:w="0" w:type="auto"/>
            <w:vAlign w:val="center"/>
          </w:tcPr>
          <w:p w:rsidR="00D74448" w:rsidRPr="00453F3E" w:rsidP="00453F3E" w14:paraId="147376D5" w14:textId="2A4D9CB0">
            <w:pPr>
              <w:pStyle w:val="NormalSS"/>
              <w:tabs>
                <w:tab w:val="left" w:pos="0"/>
                <w:tab w:val="clear" w:pos="432"/>
              </w:tabs>
              <w:spacing w:after="0" w:line="276" w:lineRule="auto"/>
              <w:ind w:firstLine="0"/>
              <w:jc w:val="center"/>
              <w:rPr>
                <w:sz w:val="22"/>
                <w:szCs w:val="22"/>
              </w:rPr>
            </w:pPr>
            <w:r w:rsidRPr="00453F3E">
              <w:rPr>
                <w:sz w:val="22"/>
                <w:szCs w:val="22"/>
              </w:rPr>
              <w:t>Associate Professor of Social Work</w:t>
            </w:r>
          </w:p>
        </w:tc>
        <w:tc>
          <w:tcPr>
            <w:tcW w:w="0" w:type="auto"/>
            <w:vAlign w:val="center"/>
          </w:tcPr>
          <w:p w:rsidR="00D74448" w:rsidRPr="00453F3E" w:rsidP="00453F3E" w14:paraId="2CA277FC" w14:textId="5B2D329B">
            <w:pPr>
              <w:pStyle w:val="NormalSS"/>
              <w:tabs>
                <w:tab w:val="left" w:pos="0"/>
                <w:tab w:val="clear" w:pos="432"/>
              </w:tabs>
              <w:spacing w:after="0" w:line="276" w:lineRule="auto"/>
              <w:ind w:firstLine="0"/>
              <w:jc w:val="center"/>
              <w:rPr>
                <w:sz w:val="22"/>
                <w:szCs w:val="22"/>
              </w:rPr>
            </w:pPr>
            <w:r w:rsidRPr="00453F3E">
              <w:rPr>
                <w:sz w:val="22"/>
                <w:szCs w:val="22"/>
              </w:rPr>
              <w:t>Rutgers University</w:t>
            </w:r>
          </w:p>
        </w:tc>
        <w:tc>
          <w:tcPr>
            <w:tcW w:w="0" w:type="auto"/>
            <w:vAlign w:val="center"/>
          </w:tcPr>
          <w:p w:rsidR="00D74448" w:rsidRPr="00453F3E" w:rsidP="00453F3E" w14:paraId="6FE1D7A2" w14:textId="38B77C52">
            <w:pPr>
              <w:pStyle w:val="NormalSS"/>
              <w:tabs>
                <w:tab w:val="left" w:pos="0"/>
                <w:tab w:val="clear" w:pos="432"/>
              </w:tabs>
              <w:spacing w:after="0" w:line="276" w:lineRule="auto"/>
              <w:ind w:firstLine="0"/>
              <w:jc w:val="center"/>
              <w:rPr>
                <w:sz w:val="22"/>
                <w:szCs w:val="22"/>
              </w:rPr>
            </w:pPr>
            <w:r w:rsidRPr="00453F3E">
              <w:rPr>
                <w:sz w:val="22"/>
                <w:szCs w:val="22"/>
                <w:u w:color="365F91"/>
              </w:rPr>
              <w:t xml:space="preserve">Low-wage work and nonstandard employment; job qualities of direct care workforce; </w:t>
            </w:r>
            <w:r w:rsidRPr="00453F3E" w:rsidR="00CB166F">
              <w:rPr>
                <w:sz w:val="22"/>
                <w:szCs w:val="22"/>
                <w:u w:color="365F91"/>
              </w:rPr>
              <w:t>low wage labor markets, policy analysis</w:t>
            </w:r>
          </w:p>
        </w:tc>
      </w:tr>
      <w:tr w14:paraId="75DDEC26" w14:textId="77777777" w:rsidTr="00453F3E">
        <w:tblPrEx>
          <w:tblW w:w="0" w:type="auto"/>
          <w:tblLook w:val="04A0"/>
        </w:tblPrEx>
        <w:tc>
          <w:tcPr>
            <w:tcW w:w="0" w:type="auto"/>
            <w:vAlign w:val="center"/>
          </w:tcPr>
          <w:p w:rsidR="00D74448" w:rsidRPr="00453F3E" w:rsidP="00453F3E" w14:paraId="7D0566B2" w14:textId="630F5F2F">
            <w:pPr>
              <w:pStyle w:val="NormalSS"/>
              <w:tabs>
                <w:tab w:val="left" w:pos="0"/>
                <w:tab w:val="clear" w:pos="432"/>
              </w:tabs>
              <w:spacing w:after="0" w:line="276" w:lineRule="auto"/>
              <w:ind w:firstLine="0"/>
              <w:jc w:val="center"/>
              <w:rPr>
                <w:sz w:val="22"/>
                <w:szCs w:val="22"/>
              </w:rPr>
            </w:pPr>
            <w:r w:rsidRPr="00453F3E">
              <w:rPr>
                <w:sz w:val="22"/>
                <w:szCs w:val="22"/>
              </w:rPr>
              <w:t>Ruth Milkman</w:t>
            </w:r>
          </w:p>
        </w:tc>
        <w:tc>
          <w:tcPr>
            <w:tcW w:w="0" w:type="auto"/>
            <w:vAlign w:val="center"/>
          </w:tcPr>
          <w:p w:rsidR="00D74448" w:rsidRPr="00453F3E" w:rsidP="00453F3E" w14:paraId="5341AB81" w14:textId="206F6A6D">
            <w:pPr>
              <w:pStyle w:val="NormalSS"/>
              <w:tabs>
                <w:tab w:val="left" w:pos="0"/>
                <w:tab w:val="clear" w:pos="432"/>
              </w:tabs>
              <w:spacing w:after="0" w:line="276" w:lineRule="auto"/>
              <w:ind w:firstLine="0"/>
              <w:jc w:val="center"/>
              <w:rPr>
                <w:sz w:val="22"/>
                <w:szCs w:val="22"/>
              </w:rPr>
            </w:pPr>
            <w:r w:rsidRPr="00453F3E">
              <w:rPr>
                <w:sz w:val="22"/>
                <w:szCs w:val="22"/>
              </w:rPr>
              <w:t>Distinguished Professor of Sociology</w:t>
            </w:r>
          </w:p>
        </w:tc>
        <w:tc>
          <w:tcPr>
            <w:tcW w:w="0" w:type="auto"/>
            <w:vAlign w:val="center"/>
          </w:tcPr>
          <w:p w:rsidR="00D74448" w:rsidRPr="00453F3E" w:rsidP="00453F3E" w14:paraId="195D62FC" w14:textId="0D8C6821">
            <w:pPr>
              <w:pStyle w:val="NormalSS"/>
              <w:tabs>
                <w:tab w:val="left" w:pos="0"/>
                <w:tab w:val="clear" w:pos="432"/>
              </w:tabs>
              <w:spacing w:after="0" w:line="276" w:lineRule="auto"/>
              <w:ind w:firstLine="0"/>
              <w:jc w:val="center"/>
              <w:rPr>
                <w:sz w:val="22"/>
                <w:szCs w:val="22"/>
              </w:rPr>
            </w:pPr>
            <w:r w:rsidRPr="00453F3E">
              <w:rPr>
                <w:sz w:val="22"/>
                <w:szCs w:val="22"/>
              </w:rPr>
              <w:t>City University of New York (CUNY) Graduate Center and School of Labor and Urban Studies</w:t>
            </w:r>
          </w:p>
        </w:tc>
        <w:tc>
          <w:tcPr>
            <w:tcW w:w="0" w:type="auto"/>
            <w:vAlign w:val="center"/>
          </w:tcPr>
          <w:p w:rsidR="00D74448" w:rsidRPr="00453F3E" w:rsidP="00453F3E" w14:paraId="2EAB1F56" w14:textId="726FF1B2">
            <w:pPr>
              <w:pStyle w:val="NormalSS"/>
              <w:tabs>
                <w:tab w:val="left" w:pos="0"/>
                <w:tab w:val="clear" w:pos="432"/>
              </w:tabs>
              <w:spacing w:after="0" w:line="276" w:lineRule="auto"/>
              <w:ind w:firstLine="0"/>
              <w:jc w:val="center"/>
              <w:rPr>
                <w:sz w:val="22"/>
                <w:szCs w:val="22"/>
              </w:rPr>
            </w:pPr>
            <w:r w:rsidRPr="00453F3E">
              <w:rPr>
                <w:rStyle w:val="color2"/>
                <w:sz w:val="22"/>
                <w:szCs w:val="22"/>
                <w:bdr w:val="none" w:sz="0" w:space="0" w:color="auto" w:frame="1"/>
              </w:rPr>
              <w:t>W</w:t>
            </w:r>
            <w:r w:rsidRPr="00453F3E" w:rsidR="00433664">
              <w:rPr>
                <w:rStyle w:val="color2"/>
                <w:sz w:val="22"/>
                <w:szCs w:val="22"/>
                <w:bdr w:val="none" w:sz="0" w:space="0" w:color="auto" w:frame="1"/>
              </w:rPr>
              <w:t xml:space="preserve">age theft, unionization trends, </w:t>
            </w:r>
            <w:r w:rsidRPr="00453F3E" w:rsidR="00323D85">
              <w:rPr>
                <w:rStyle w:val="color2"/>
                <w:sz w:val="22"/>
                <w:szCs w:val="22"/>
                <w:bdr w:val="none" w:sz="0" w:space="0" w:color="auto" w:frame="1"/>
              </w:rPr>
              <w:t xml:space="preserve">and co-principal investigator of the </w:t>
            </w:r>
            <w:r w:rsidRPr="00453F3E" w:rsidR="00323D85">
              <w:rPr>
                <w:rStyle w:val="color2"/>
                <w:i/>
                <w:sz w:val="22"/>
                <w:szCs w:val="22"/>
                <w:bdr w:val="none" w:sz="0" w:space="0" w:color="auto" w:frame="1"/>
              </w:rPr>
              <w:t>Broken Laws, Unprotected Workers</w:t>
            </w:r>
            <w:r w:rsidRPr="00453F3E" w:rsidR="00323D85">
              <w:rPr>
                <w:rStyle w:val="color2"/>
                <w:sz w:val="22"/>
                <w:szCs w:val="22"/>
                <w:bdr w:val="none" w:sz="0" w:space="0" w:color="auto" w:frame="1"/>
              </w:rPr>
              <w:t xml:space="preserve"> study</w:t>
            </w:r>
          </w:p>
        </w:tc>
      </w:tr>
      <w:tr w14:paraId="2CF5EF56" w14:textId="77777777" w:rsidTr="00453F3E">
        <w:tblPrEx>
          <w:tblW w:w="0" w:type="auto"/>
          <w:tblLook w:val="04A0"/>
        </w:tblPrEx>
        <w:tc>
          <w:tcPr>
            <w:tcW w:w="0" w:type="auto"/>
            <w:vAlign w:val="center"/>
          </w:tcPr>
          <w:p w:rsidR="00D74448" w:rsidRPr="00453F3E" w:rsidP="00453F3E" w14:paraId="5DB959B3" w14:textId="70852872">
            <w:pPr>
              <w:pStyle w:val="NormalSS"/>
              <w:tabs>
                <w:tab w:val="left" w:pos="0"/>
                <w:tab w:val="clear" w:pos="432"/>
              </w:tabs>
              <w:spacing w:after="0" w:line="276" w:lineRule="auto"/>
              <w:ind w:firstLine="0"/>
              <w:jc w:val="center"/>
              <w:rPr>
                <w:sz w:val="22"/>
                <w:szCs w:val="22"/>
              </w:rPr>
            </w:pPr>
            <w:r w:rsidRPr="00453F3E">
              <w:rPr>
                <w:sz w:val="22"/>
                <w:szCs w:val="22"/>
              </w:rPr>
              <w:t>Daniel Schneider</w:t>
            </w:r>
          </w:p>
        </w:tc>
        <w:tc>
          <w:tcPr>
            <w:tcW w:w="0" w:type="auto"/>
            <w:vAlign w:val="center"/>
          </w:tcPr>
          <w:p w:rsidR="00D74448" w:rsidRPr="00453F3E" w:rsidP="00453F3E" w14:paraId="2AB31773" w14:textId="23D5C124">
            <w:pPr>
              <w:pStyle w:val="NormalSS"/>
              <w:tabs>
                <w:tab w:val="left" w:pos="0"/>
                <w:tab w:val="clear" w:pos="432"/>
              </w:tabs>
              <w:spacing w:after="0" w:line="276" w:lineRule="auto"/>
              <w:ind w:firstLine="0"/>
              <w:jc w:val="center"/>
              <w:rPr>
                <w:sz w:val="22"/>
                <w:szCs w:val="22"/>
              </w:rPr>
            </w:pPr>
            <w:r w:rsidRPr="00453F3E">
              <w:rPr>
                <w:sz w:val="22"/>
                <w:szCs w:val="22"/>
              </w:rPr>
              <w:t>Malcolm Wiener Professor of Social Policy</w:t>
            </w:r>
          </w:p>
        </w:tc>
        <w:tc>
          <w:tcPr>
            <w:tcW w:w="0" w:type="auto"/>
            <w:vAlign w:val="center"/>
          </w:tcPr>
          <w:p w:rsidR="00D74448" w:rsidRPr="00453F3E" w:rsidP="00453F3E" w14:paraId="33974E13" w14:textId="2081B60C">
            <w:pPr>
              <w:pStyle w:val="NormalSS"/>
              <w:tabs>
                <w:tab w:val="left" w:pos="0"/>
                <w:tab w:val="clear" w:pos="432"/>
              </w:tabs>
              <w:spacing w:after="0" w:line="276" w:lineRule="auto"/>
              <w:ind w:firstLine="0"/>
              <w:jc w:val="center"/>
              <w:rPr>
                <w:sz w:val="22"/>
                <w:szCs w:val="22"/>
              </w:rPr>
            </w:pPr>
            <w:r w:rsidRPr="00453F3E">
              <w:rPr>
                <w:sz w:val="22"/>
                <w:szCs w:val="22"/>
              </w:rPr>
              <w:t>Kennedy School, Harvard University</w:t>
            </w:r>
          </w:p>
        </w:tc>
        <w:tc>
          <w:tcPr>
            <w:tcW w:w="0" w:type="auto"/>
            <w:vAlign w:val="center"/>
          </w:tcPr>
          <w:p w:rsidR="00D74448" w:rsidRPr="00453F3E" w:rsidP="00453F3E" w14:paraId="4E9B0AB0" w14:textId="780D3E4A">
            <w:pPr>
              <w:pStyle w:val="NormalSS"/>
              <w:tabs>
                <w:tab w:val="left" w:pos="0"/>
                <w:tab w:val="clear" w:pos="432"/>
              </w:tabs>
              <w:spacing w:after="0" w:line="276" w:lineRule="auto"/>
              <w:ind w:firstLine="0"/>
              <w:jc w:val="center"/>
              <w:rPr>
                <w:sz w:val="22"/>
                <w:szCs w:val="22"/>
              </w:rPr>
            </w:pPr>
            <w:r w:rsidRPr="00453F3E">
              <w:rPr>
                <w:sz w:val="22"/>
                <w:szCs w:val="22"/>
                <w:shd w:val="clear" w:color="auto" w:fill="FFFFFF"/>
              </w:rPr>
              <w:t>Co-Director of the</w:t>
            </w:r>
            <w:r w:rsidRPr="00453F3E" w:rsidR="00316133">
              <w:rPr>
                <w:sz w:val="22"/>
                <w:szCs w:val="22"/>
                <w:shd w:val="clear" w:color="auto" w:fill="FFFFFF"/>
              </w:rPr>
              <w:t xml:space="preserve"> Shift Project</w:t>
            </w:r>
            <w:r w:rsidRPr="00453F3E">
              <w:rPr>
                <w:sz w:val="22"/>
                <w:szCs w:val="22"/>
                <w:shd w:val="clear" w:color="auto" w:fill="FFFFFF"/>
              </w:rPr>
              <w:t xml:space="preserve"> on work, work schedules, and labor policy </w:t>
            </w:r>
            <w:r w:rsidRPr="00453F3E" w:rsidR="007F0759">
              <w:rPr>
                <w:sz w:val="22"/>
                <w:szCs w:val="22"/>
                <w:shd w:val="clear" w:color="auto" w:fill="FFFFFF"/>
              </w:rPr>
              <w:t>on frontline workers</w:t>
            </w:r>
          </w:p>
        </w:tc>
      </w:tr>
      <w:tr w14:paraId="15A2F3DA" w14:textId="77777777" w:rsidTr="00453F3E">
        <w:tblPrEx>
          <w:tblW w:w="0" w:type="auto"/>
          <w:tblLook w:val="04A0"/>
        </w:tblPrEx>
        <w:tc>
          <w:tcPr>
            <w:tcW w:w="0" w:type="auto"/>
            <w:vAlign w:val="center"/>
          </w:tcPr>
          <w:p w:rsidR="00D74448" w:rsidRPr="00453F3E" w:rsidP="00453F3E" w14:paraId="1560D201" w14:textId="21898C22">
            <w:pPr>
              <w:pStyle w:val="NormalSS"/>
              <w:tabs>
                <w:tab w:val="left" w:pos="0"/>
                <w:tab w:val="clear" w:pos="432"/>
              </w:tabs>
              <w:spacing w:after="0" w:line="276" w:lineRule="auto"/>
              <w:ind w:firstLine="0"/>
              <w:jc w:val="center"/>
              <w:rPr>
                <w:sz w:val="22"/>
                <w:szCs w:val="22"/>
              </w:rPr>
            </w:pPr>
            <w:r w:rsidRPr="00453F3E">
              <w:rPr>
                <w:sz w:val="22"/>
                <w:szCs w:val="22"/>
              </w:rPr>
              <w:t>Aaron Sojourner</w:t>
            </w:r>
          </w:p>
        </w:tc>
        <w:tc>
          <w:tcPr>
            <w:tcW w:w="0" w:type="auto"/>
            <w:vAlign w:val="center"/>
          </w:tcPr>
          <w:p w:rsidR="00D74448" w:rsidRPr="00453F3E" w:rsidP="00453F3E" w14:paraId="3E654050" w14:textId="45F683AB">
            <w:pPr>
              <w:pStyle w:val="NormalSS"/>
              <w:tabs>
                <w:tab w:val="left" w:pos="0"/>
                <w:tab w:val="clear" w:pos="432"/>
              </w:tabs>
              <w:spacing w:after="0" w:line="276" w:lineRule="auto"/>
              <w:ind w:firstLine="0"/>
              <w:jc w:val="center"/>
              <w:rPr>
                <w:sz w:val="22"/>
                <w:szCs w:val="22"/>
              </w:rPr>
            </w:pPr>
            <w:r w:rsidRPr="00453F3E">
              <w:rPr>
                <w:sz w:val="22"/>
                <w:szCs w:val="22"/>
              </w:rPr>
              <w:t>Senior Economist</w:t>
            </w:r>
          </w:p>
        </w:tc>
        <w:tc>
          <w:tcPr>
            <w:tcW w:w="0" w:type="auto"/>
            <w:vAlign w:val="center"/>
          </w:tcPr>
          <w:p w:rsidR="00D74448" w:rsidRPr="00453F3E" w:rsidP="00453F3E" w14:paraId="4D610FA2" w14:textId="49A2D566">
            <w:pPr>
              <w:pStyle w:val="NormalSS"/>
              <w:tabs>
                <w:tab w:val="left" w:pos="0"/>
                <w:tab w:val="clear" w:pos="432"/>
              </w:tabs>
              <w:spacing w:after="0" w:line="276" w:lineRule="auto"/>
              <w:ind w:firstLine="0"/>
              <w:jc w:val="center"/>
              <w:rPr>
                <w:sz w:val="22"/>
                <w:szCs w:val="22"/>
              </w:rPr>
            </w:pPr>
            <w:r w:rsidRPr="00453F3E">
              <w:rPr>
                <w:sz w:val="22"/>
                <w:szCs w:val="22"/>
              </w:rPr>
              <w:t>W.E. Upjohn Institute for Employment Research</w:t>
            </w:r>
          </w:p>
        </w:tc>
        <w:tc>
          <w:tcPr>
            <w:tcW w:w="0" w:type="auto"/>
            <w:vAlign w:val="center"/>
          </w:tcPr>
          <w:p w:rsidR="00D74448" w:rsidRPr="00453F3E" w:rsidP="00453F3E" w14:paraId="1FA19A23" w14:textId="2ADA5DDA">
            <w:pPr>
              <w:pStyle w:val="NormalSS"/>
              <w:tabs>
                <w:tab w:val="left" w:pos="0"/>
                <w:tab w:val="clear" w:pos="432"/>
              </w:tabs>
              <w:spacing w:after="0" w:line="276" w:lineRule="auto"/>
              <w:ind w:firstLine="0"/>
              <w:jc w:val="center"/>
              <w:rPr>
                <w:sz w:val="22"/>
                <w:szCs w:val="22"/>
              </w:rPr>
            </w:pPr>
            <w:r w:rsidRPr="00453F3E">
              <w:rPr>
                <w:sz w:val="22"/>
                <w:szCs w:val="22"/>
                <w:shd w:val="clear" w:color="auto" w:fill="FFFFFF"/>
              </w:rPr>
              <w:t>W</w:t>
            </w:r>
            <w:r w:rsidRPr="00453F3E" w:rsidR="00AA0C72">
              <w:rPr>
                <w:sz w:val="22"/>
                <w:szCs w:val="22"/>
                <w:shd w:val="clear" w:color="auto" w:fill="FFFFFF"/>
              </w:rPr>
              <w:t>age inequality and labor rights violations</w:t>
            </w:r>
          </w:p>
        </w:tc>
      </w:tr>
    </w:tbl>
    <w:p w:rsidR="00474DEF" w:rsidP="00DE11FD" w14:paraId="379C5701" w14:textId="77777777"/>
    <w:p w:rsidR="002F4715" w:rsidRPr="0025624C" w:rsidP="00DE11FD" w14:paraId="3A623B13" w14:textId="0DC25F39">
      <w:pPr>
        <w:rPr>
          <w:sz w:val="22"/>
          <w:szCs w:val="22"/>
        </w:rPr>
      </w:pPr>
      <w:r w:rsidRPr="0025624C">
        <w:rPr>
          <w:sz w:val="22"/>
          <w:szCs w:val="22"/>
        </w:rPr>
        <w:t xml:space="preserve">The study team convened the </w:t>
      </w:r>
      <w:r w:rsidRPr="0025624C" w:rsidR="003B5EC8">
        <w:rPr>
          <w:sz w:val="22"/>
          <w:szCs w:val="22"/>
        </w:rPr>
        <w:t>TWG</w:t>
      </w:r>
      <w:r w:rsidRPr="0025624C">
        <w:rPr>
          <w:sz w:val="22"/>
          <w:szCs w:val="22"/>
        </w:rPr>
        <w:t xml:space="preserve"> in Ju</w:t>
      </w:r>
      <w:r w:rsidRPr="0025624C" w:rsidR="00EA4EB5">
        <w:rPr>
          <w:sz w:val="22"/>
          <w:szCs w:val="22"/>
        </w:rPr>
        <w:t>ly</w:t>
      </w:r>
      <w:r w:rsidRPr="0025624C">
        <w:rPr>
          <w:sz w:val="22"/>
          <w:szCs w:val="22"/>
        </w:rPr>
        <w:t xml:space="preserve"> 2023 to review the </w:t>
      </w:r>
      <w:r w:rsidRPr="0025624C" w:rsidR="00EA4EB5">
        <w:rPr>
          <w:sz w:val="22"/>
          <w:szCs w:val="22"/>
        </w:rPr>
        <w:t>survey design</w:t>
      </w:r>
      <w:r w:rsidRPr="0025624C">
        <w:rPr>
          <w:sz w:val="22"/>
          <w:szCs w:val="22"/>
        </w:rPr>
        <w:t xml:space="preserve"> and </w:t>
      </w:r>
      <w:r w:rsidRPr="0025624C" w:rsidR="0011597B">
        <w:rPr>
          <w:sz w:val="22"/>
          <w:szCs w:val="22"/>
        </w:rPr>
        <w:t xml:space="preserve">advise on </w:t>
      </w:r>
      <w:r w:rsidRPr="0025624C" w:rsidR="00871740">
        <w:rPr>
          <w:sz w:val="22"/>
          <w:szCs w:val="22"/>
        </w:rPr>
        <w:t xml:space="preserve">how </w:t>
      </w:r>
      <w:r w:rsidRPr="0025624C">
        <w:rPr>
          <w:sz w:val="22"/>
          <w:szCs w:val="22"/>
        </w:rPr>
        <w:t xml:space="preserve">the study </w:t>
      </w:r>
      <w:r w:rsidRPr="0025624C" w:rsidR="0011597B">
        <w:rPr>
          <w:sz w:val="22"/>
          <w:szCs w:val="22"/>
        </w:rPr>
        <w:t xml:space="preserve">can </w:t>
      </w:r>
      <w:r w:rsidRPr="0025624C">
        <w:rPr>
          <w:sz w:val="22"/>
          <w:szCs w:val="22"/>
        </w:rPr>
        <w:t xml:space="preserve">provide information </w:t>
      </w:r>
      <w:r w:rsidRPr="0025624C" w:rsidR="00EA4EB5">
        <w:rPr>
          <w:sz w:val="22"/>
          <w:szCs w:val="22"/>
        </w:rPr>
        <w:t xml:space="preserve">that the </w:t>
      </w:r>
      <w:r w:rsidRPr="0025624C" w:rsidR="003B5EC8">
        <w:rPr>
          <w:sz w:val="22"/>
          <w:szCs w:val="22"/>
        </w:rPr>
        <w:t>DOL</w:t>
      </w:r>
      <w:r w:rsidRPr="0025624C" w:rsidR="00EA4EB5">
        <w:rPr>
          <w:sz w:val="22"/>
          <w:szCs w:val="22"/>
        </w:rPr>
        <w:t>, policymakers, and WHD enforcement agents can use</w:t>
      </w:r>
      <w:r w:rsidRPr="0025624C">
        <w:rPr>
          <w:sz w:val="22"/>
          <w:szCs w:val="22"/>
        </w:rPr>
        <w:t xml:space="preserve">. </w:t>
      </w:r>
      <w:r w:rsidRPr="0025624C" w:rsidR="00EA4EB5">
        <w:rPr>
          <w:sz w:val="22"/>
          <w:szCs w:val="22"/>
        </w:rPr>
        <w:t xml:space="preserve">The study team convened </w:t>
      </w:r>
      <w:r w:rsidRPr="0025624C" w:rsidR="007C2E02">
        <w:rPr>
          <w:sz w:val="22"/>
          <w:szCs w:val="22"/>
        </w:rPr>
        <w:t xml:space="preserve">again </w:t>
      </w:r>
      <w:r w:rsidRPr="0025624C" w:rsidR="00EA4EB5">
        <w:rPr>
          <w:sz w:val="22"/>
          <w:szCs w:val="22"/>
        </w:rPr>
        <w:t xml:space="preserve">the </w:t>
      </w:r>
      <w:r w:rsidRPr="0025624C" w:rsidR="003B5EC8">
        <w:rPr>
          <w:sz w:val="22"/>
          <w:szCs w:val="22"/>
        </w:rPr>
        <w:t>TWG</w:t>
      </w:r>
      <w:r w:rsidRPr="0025624C" w:rsidR="00EA4EB5">
        <w:rPr>
          <w:sz w:val="22"/>
          <w:szCs w:val="22"/>
        </w:rPr>
        <w:t xml:space="preserve"> in November 2023 to review the survey instrument.</w:t>
      </w:r>
      <w:r w:rsidRPr="0025624C" w:rsidR="00610CE3">
        <w:rPr>
          <w:sz w:val="22"/>
          <w:szCs w:val="22"/>
        </w:rPr>
        <w:t xml:space="preserve"> </w:t>
      </w:r>
      <w:r w:rsidRPr="0025624C" w:rsidR="00610CE3">
        <w:rPr>
          <w:sz w:val="22"/>
          <w:szCs w:val="22"/>
        </w:rPr>
        <w:t xml:space="preserve">The </w:t>
      </w:r>
      <w:r w:rsidRPr="0025624C" w:rsidR="007C2E02">
        <w:rPr>
          <w:sz w:val="22"/>
          <w:szCs w:val="22"/>
        </w:rPr>
        <w:t>TWG</w:t>
      </w:r>
      <w:r w:rsidRPr="0025624C" w:rsidR="00610CE3">
        <w:rPr>
          <w:sz w:val="22"/>
          <w:szCs w:val="22"/>
        </w:rPr>
        <w:t xml:space="preserve"> provided additional feedback on the survey instrument in January 2024.</w:t>
      </w:r>
      <w:r w:rsidRPr="0025624C" w:rsidR="00EA4EB5">
        <w:rPr>
          <w:sz w:val="22"/>
          <w:szCs w:val="22"/>
        </w:rPr>
        <w:t xml:space="preserve"> </w:t>
      </w:r>
      <w:r w:rsidRPr="0025624C">
        <w:rPr>
          <w:sz w:val="22"/>
          <w:szCs w:val="22"/>
        </w:rPr>
        <w:t xml:space="preserve">The study team plans to convene the </w:t>
      </w:r>
      <w:r w:rsidRPr="0025624C" w:rsidR="007C2E02">
        <w:rPr>
          <w:sz w:val="22"/>
          <w:szCs w:val="22"/>
        </w:rPr>
        <w:t xml:space="preserve">TWG </w:t>
      </w:r>
      <w:r w:rsidRPr="0025624C">
        <w:rPr>
          <w:sz w:val="22"/>
          <w:szCs w:val="22"/>
        </w:rPr>
        <w:t>again before the</w:t>
      </w:r>
      <w:r w:rsidRPr="0025624C" w:rsidR="00EA4EB5">
        <w:rPr>
          <w:sz w:val="22"/>
          <w:szCs w:val="22"/>
        </w:rPr>
        <w:t xml:space="preserve"> data analysis and</w:t>
      </w:r>
      <w:r w:rsidRPr="0025624C">
        <w:rPr>
          <w:sz w:val="22"/>
          <w:szCs w:val="22"/>
        </w:rPr>
        <w:t xml:space="preserve"> public release of the final report. </w:t>
      </w:r>
    </w:p>
    <w:p w:rsidR="004631A3" w:rsidRPr="0025624C" w:rsidP="00DE11FD" w14:paraId="6EB27328" w14:textId="77777777">
      <w:pPr>
        <w:rPr>
          <w:sz w:val="22"/>
          <w:szCs w:val="22"/>
        </w:rPr>
      </w:pPr>
    </w:p>
    <w:p w:rsidR="002F4715" w:rsidRPr="0025624C" w:rsidP="00DE11FD" w14:paraId="2B43FABE" w14:textId="722925BC">
      <w:pPr>
        <w:rPr>
          <w:sz w:val="22"/>
          <w:szCs w:val="22"/>
        </w:rPr>
      </w:pPr>
      <w:r w:rsidRPr="0025624C">
        <w:rPr>
          <w:sz w:val="22"/>
          <w:szCs w:val="22"/>
        </w:rPr>
        <w:t>An external consultant,</w:t>
      </w:r>
      <w:r w:rsidRPr="0025624C" w:rsidR="00EA4EB5">
        <w:rPr>
          <w:sz w:val="22"/>
          <w:szCs w:val="22"/>
        </w:rPr>
        <w:t xml:space="preserve"> Kenneth Dau-Schmidt, Willard and Margaret Carr Professor of Labor and Employment Law</w:t>
      </w:r>
      <w:r w:rsidRPr="0025624C" w:rsidR="00E062DC">
        <w:rPr>
          <w:sz w:val="22"/>
          <w:szCs w:val="22"/>
        </w:rPr>
        <w:t xml:space="preserve"> at the</w:t>
      </w:r>
      <w:r w:rsidRPr="0025624C" w:rsidR="00EA4EB5">
        <w:rPr>
          <w:sz w:val="22"/>
          <w:szCs w:val="22"/>
        </w:rPr>
        <w:t xml:space="preserve"> University of Indiana Bloomington, </w:t>
      </w:r>
      <w:r w:rsidRPr="0025624C" w:rsidR="00296BC8">
        <w:rPr>
          <w:sz w:val="22"/>
          <w:szCs w:val="22"/>
        </w:rPr>
        <w:t>provided consultation on the survey instrument.</w:t>
      </w:r>
    </w:p>
    <w:p w:rsidR="00E40502" w:rsidRPr="0025624C" w:rsidP="00E40502" w14:paraId="3B766CF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p>
    <w:p w:rsidR="00E40502" w:rsidRPr="0025624C" w:rsidP="00E40502" w14:paraId="6B7A44B0" w14:textId="582FC3C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9</w:t>
      </w:r>
      <w:r w:rsidRPr="0025624C">
        <w:rPr>
          <w:b/>
          <w:bCs/>
          <w:sz w:val="22"/>
          <w:szCs w:val="22"/>
        </w:rPr>
        <w:t>.  Explain</w:t>
      </w:r>
      <w:r w:rsidRPr="0025624C">
        <w:rPr>
          <w:b/>
          <w:bCs/>
          <w:sz w:val="22"/>
          <w:szCs w:val="22"/>
        </w:rPr>
        <w:t xml:space="preserve"> any decision</w:t>
      </w:r>
      <w:r w:rsidRPr="0025624C" w:rsidR="00597D0F">
        <w:rPr>
          <w:b/>
          <w:sz w:val="22"/>
          <w:szCs w:val="22"/>
        </w:rPr>
        <w:t xml:space="preserve"> to </w:t>
      </w:r>
      <w:r w:rsidRPr="0025624C">
        <w:rPr>
          <w:b/>
          <w:bCs/>
          <w:sz w:val="22"/>
          <w:szCs w:val="22"/>
        </w:rPr>
        <w:t>provide any payments or gifts to respondents, other than remuneration of contractors or grantees.</w:t>
      </w:r>
    </w:p>
    <w:p w:rsidR="00597D0F" w:rsidRPr="0025624C" w:rsidP="00DE11FD" w14:paraId="62AB141F" w14:textId="77777777">
      <w:pPr>
        <w:rPr>
          <w:sz w:val="22"/>
          <w:szCs w:val="22"/>
        </w:rPr>
      </w:pPr>
    </w:p>
    <w:p w:rsidR="00692D49" w:rsidRPr="0025624C" w:rsidP="00DE11FD" w14:paraId="4691EA18" w14:textId="6827CEB9">
      <w:pPr>
        <w:rPr>
          <w:sz w:val="22"/>
          <w:szCs w:val="22"/>
        </w:rPr>
      </w:pPr>
      <w:r>
        <w:rPr>
          <w:sz w:val="22"/>
          <w:szCs w:val="22"/>
        </w:rPr>
        <w:t xml:space="preserve">CEO </w:t>
      </w:r>
      <w:r w:rsidR="00AE1CFC">
        <w:rPr>
          <w:sz w:val="22"/>
          <w:szCs w:val="22"/>
        </w:rPr>
        <w:t>is providing a payment for participation</w:t>
      </w:r>
      <w:r w:rsidR="008C4B89">
        <w:rPr>
          <w:sz w:val="22"/>
          <w:szCs w:val="22"/>
        </w:rPr>
        <w:t xml:space="preserve"> which includes a $1 prepaid incentive, $40 for completing the survey, and $20 for each eligible individual that a respondent recruits to complete the survey</w:t>
      </w:r>
      <w:r w:rsidR="00AE1CFC">
        <w:rPr>
          <w:sz w:val="22"/>
          <w:szCs w:val="22"/>
        </w:rPr>
        <w:t xml:space="preserve">.  </w:t>
      </w:r>
      <w:r w:rsidRPr="0025624C">
        <w:rPr>
          <w:sz w:val="22"/>
          <w:szCs w:val="22"/>
        </w:rPr>
        <w:t xml:space="preserve"> </w:t>
      </w:r>
      <w:r w:rsidR="002F1A7E">
        <w:rPr>
          <w:sz w:val="22"/>
          <w:szCs w:val="22"/>
        </w:rPr>
        <w:t xml:space="preserve">CEO </w:t>
      </w:r>
      <w:r w:rsidRPr="0025624C" w:rsidR="00630133">
        <w:rPr>
          <w:sz w:val="22"/>
          <w:szCs w:val="22"/>
        </w:rPr>
        <w:t>is requesting the use of pre-paid (pre-survey) and post-participation (survey completion) incentives to increase survey response rates and reduce non-response bias</w:t>
      </w:r>
      <w:r w:rsidRPr="0025624C" w:rsidR="00ED24F4">
        <w:rPr>
          <w:sz w:val="22"/>
          <w:szCs w:val="22"/>
        </w:rPr>
        <w:t xml:space="preserve"> for the ABS </w:t>
      </w:r>
      <w:r w:rsidRPr="0025624C" w:rsidR="00A73531">
        <w:rPr>
          <w:sz w:val="22"/>
          <w:szCs w:val="22"/>
        </w:rPr>
        <w:t xml:space="preserve">sample </w:t>
      </w:r>
      <w:r w:rsidRPr="0025624C" w:rsidR="00ED24F4">
        <w:rPr>
          <w:sz w:val="22"/>
          <w:szCs w:val="22"/>
        </w:rPr>
        <w:t>survey of nonexempt workers</w:t>
      </w:r>
      <w:r w:rsidRPr="0025624C" w:rsidR="00630133">
        <w:rPr>
          <w:sz w:val="22"/>
          <w:szCs w:val="22"/>
        </w:rPr>
        <w:t xml:space="preserve">. The use of incentives is supported by </w:t>
      </w:r>
      <w:r w:rsidRPr="0025624C" w:rsidR="00630133">
        <w:rPr>
          <w:sz w:val="22"/>
          <w:szCs w:val="22"/>
        </w:rPr>
        <w:t>a number of</w:t>
      </w:r>
      <w:r w:rsidRPr="0025624C" w:rsidR="00630133">
        <w:rPr>
          <w:sz w:val="22"/>
          <w:szCs w:val="22"/>
        </w:rPr>
        <w:t xml:space="preserve"> studies. As has been documented elsewhere,</w:t>
      </w:r>
      <w:r>
        <w:rPr>
          <w:rStyle w:val="FootnoteReference"/>
          <w:sz w:val="22"/>
          <w:szCs w:val="22"/>
        </w:rPr>
        <w:footnoteReference w:id="11"/>
      </w:r>
      <w:r w:rsidRPr="0025624C" w:rsidR="00630133">
        <w:rPr>
          <w:sz w:val="22"/>
          <w:szCs w:val="22"/>
        </w:rPr>
        <w:t xml:space="preserve"> it is increasingly difficult to achieve high response rates in surveys. Providing survey participants with a monetary incentive </w:t>
      </w:r>
      <w:r w:rsidRPr="0025624C" w:rsidR="0067375F">
        <w:rPr>
          <w:sz w:val="22"/>
          <w:szCs w:val="22"/>
        </w:rPr>
        <w:t xml:space="preserve">significantly </w:t>
      </w:r>
      <w:r w:rsidRPr="0025624C" w:rsidR="00630133">
        <w:rPr>
          <w:sz w:val="22"/>
          <w:szCs w:val="22"/>
        </w:rPr>
        <w:t>reduces non-response bias and improves survey representativeness.</w:t>
      </w:r>
      <w:r>
        <w:rPr>
          <w:rStyle w:val="FootnoteReference"/>
          <w:sz w:val="22"/>
          <w:szCs w:val="22"/>
        </w:rPr>
        <w:footnoteReference w:id="12"/>
      </w:r>
      <w:r w:rsidRPr="0025624C" w:rsidR="009F795F">
        <w:rPr>
          <w:rStyle w:val="FootnoteReference"/>
          <w:sz w:val="22"/>
          <w:szCs w:val="22"/>
        </w:rPr>
        <w:t xml:space="preserve">  </w:t>
      </w:r>
      <w:r w:rsidRPr="0025624C" w:rsidR="00630133">
        <w:rPr>
          <w:sz w:val="22"/>
          <w:szCs w:val="22"/>
        </w:rPr>
        <w:t xml:space="preserve">Additionally, incentives improve survey response rates and therefore the numbers of surveys completed. Having an adequate number of </w:t>
      </w:r>
      <w:r w:rsidRPr="0025624C" w:rsidR="00630133">
        <w:rPr>
          <w:sz w:val="22"/>
          <w:szCs w:val="22"/>
        </w:rPr>
        <w:t>completed</w:t>
      </w:r>
      <w:r w:rsidRPr="0025624C" w:rsidR="00630133">
        <w:rPr>
          <w:sz w:val="22"/>
          <w:szCs w:val="22"/>
        </w:rPr>
        <w:t xml:space="preserve"> surveys is essential to obtaining reliable estimates, especially </w:t>
      </w:r>
      <w:r w:rsidRPr="0025624C" w:rsidR="00ED24F4">
        <w:rPr>
          <w:sz w:val="22"/>
          <w:szCs w:val="22"/>
        </w:rPr>
        <w:t>for subgroups of workers</w:t>
      </w:r>
      <w:r w:rsidRPr="0025624C" w:rsidR="00630133">
        <w:rPr>
          <w:sz w:val="22"/>
          <w:szCs w:val="22"/>
        </w:rPr>
        <w:t>. Incentives are an essential component of multi-pronged approaches to minimize non-response bias, especially in studies with hard-to-reach, low-income households.</w:t>
      </w:r>
      <w:r>
        <w:rPr>
          <w:rStyle w:val="FootnoteReference"/>
          <w:sz w:val="22"/>
          <w:szCs w:val="22"/>
        </w:rPr>
        <w:footnoteReference w:id="13"/>
      </w:r>
      <w:r w:rsidRPr="0025624C" w:rsidR="00630133">
        <w:rPr>
          <w:sz w:val="22"/>
          <w:szCs w:val="22"/>
        </w:rPr>
        <w:t xml:space="preserve"> </w:t>
      </w:r>
      <w:r w:rsidRPr="0025624C" w:rsidR="00630133">
        <w:rPr>
          <w:sz w:val="22"/>
          <w:szCs w:val="22"/>
        </w:rPr>
        <w:t>Incentives reduce efforts to locate hard-to-reach study participants and lower overall survey costs and time to achieve completion rates without affecting data quality.</w:t>
      </w:r>
      <w:r>
        <w:rPr>
          <w:rStyle w:val="FootnoteReference"/>
          <w:sz w:val="22"/>
          <w:szCs w:val="22"/>
        </w:rPr>
        <w:footnoteReference w:id="14"/>
      </w:r>
      <w:r w:rsidRPr="0025624C" w:rsidR="00630133">
        <w:rPr>
          <w:sz w:val="22"/>
          <w:szCs w:val="22"/>
        </w:rPr>
        <w:t xml:space="preserve"> </w:t>
      </w:r>
    </w:p>
    <w:p w:rsidR="00692D49" w:rsidRPr="0025624C" w:rsidP="00E40502" w14:paraId="66CE65B8" w14:textId="77777777">
      <w:pPr>
        <w:rPr>
          <w:sz w:val="22"/>
          <w:szCs w:val="22"/>
        </w:rPr>
      </w:pPr>
    </w:p>
    <w:p w:rsidR="00106CCD" w:rsidRPr="0025624C" w:rsidP="00E40502" w14:paraId="3B31739A" w14:textId="74CBBEB5">
      <w:pPr>
        <w:rPr>
          <w:sz w:val="22"/>
          <w:szCs w:val="22"/>
        </w:rPr>
      </w:pPr>
      <w:r w:rsidRPr="0025624C">
        <w:rPr>
          <w:sz w:val="22"/>
          <w:szCs w:val="22"/>
        </w:rPr>
        <w:t>There has been extensive research on the relative effectiveness of different incentive amounts. Higher incentive amounts increase response rates, although the relationship between incentive amounts and response rates is not linear.</w:t>
      </w:r>
      <w:r>
        <w:rPr>
          <w:rStyle w:val="FootnoteReference"/>
          <w:rFonts w:eastAsiaTheme="majorEastAsia"/>
          <w:sz w:val="22"/>
          <w:szCs w:val="22"/>
        </w:rPr>
        <w:footnoteReference w:id="15"/>
      </w:r>
      <w:r w:rsidRPr="0025624C">
        <w:rPr>
          <w:sz w:val="22"/>
          <w:szCs w:val="22"/>
        </w:rPr>
        <w:t xml:space="preserve"> This means that the marginal increase in response rate decreases as incentive amounts increase. For example, Mercer et al. found that while response rates increased with higher incentive amounts, the effect tapered off at about $20 (in 2012 dollars).</w:t>
      </w:r>
      <w:r w:rsidRPr="0025624C">
        <w:rPr>
          <w:rStyle w:val="FootnoteReference"/>
          <w:rFonts w:eastAsiaTheme="majorEastAsia"/>
          <w:sz w:val="22"/>
          <w:szCs w:val="22"/>
        </w:rPr>
        <w:t xml:space="preserve"> </w:t>
      </w:r>
      <w:r>
        <w:rPr>
          <w:rStyle w:val="FootnoteReference"/>
          <w:rFonts w:eastAsiaTheme="majorEastAsia"/>
          <w:sz w:val="22"/>
          <w:szCs w:val="22"/>
        </w:rPr>
        <w:footnoteReference w:id="16"/>
      </w:r>
      <w:r w:rsidRPr="0025624C">
        <w:rPr>
          <w:sz w:val="22"/>
          <w:szCs w:val="22"/>
        </w:rPr>
        <w:t xml:space="preserve"> Cantor et al. (2008) obtained similar results.</w:t>
      </w:r>
      <w:r>
        <w:rPr>
          <w:rStyle w:val="FootnoteReference"/>
          <w:rFonts w:eastAsiaTheme="majorEastAsia"/>
          <w:sz w:val="22"/>
          <w:szCs w:val="22"/>
        </w:rPr>
        <w:footnoteReference w:id="17"/>
      </w:r>
      <w:r w:rsidRPr="0025624C">
        <w:rPr>
          <w:sz w:val="22"/>
          <w:szCs w:val="22"/>
        </w:rPr>
        <w:t xml:space="preserve"> </w:t>
      </w:r>
      <w:r w:rsidRPr="0025624C" w:rsidR="009D3E70">
        <w:rPr>
          <w:sz w:val="22"/>
          <w:szCs w:val="22"/>
        </w:rPr>
        <w:t xml:space="preserve">However, some of these studies are quite old and incentive amounts have increased for several federal surveys. </w:t>
      </w:r>
      <w:r w:rsidRPr="0025624C">
        <w:rPr>
          <w:sz w:val="22"/>
          <w:szCs w:val="22"/>
        </w:rPr>
        <w:t xml:space="preserve">The incentive amounts for which we seek approval are in line with other recent federal surveys that have offered incentive amounts of </w:t>
      </w:r>
      <w:r w:rsidRPr="0025624C" w:rsidR="669E4730">
        <w:rPr>
          <w:sz w:val="22"/>
          <w:szCs w:val="22"/>
        </w:rPr>
        <w:t>more than $20</w:t>
      </w:r>
      <w:r w:rsidRPr="0025624C">
        <w:rPr>
          <w:sz w:val="22"/>
          <w:szCs w:val="22"/>
        </w:rPr>
        <w:t xml:space="preserve"> including the National Survey of Family Growth ($</w:t>
      </w:r>
      <w:r w:rsidRPr="0025624C" w:rsidR="00127E0F">
        <w:rPr>
          <w:sz w:val="22"/>
          <w:szCs w:val="22"/>
        </w:rPr>
        <w:t>60</w:t>
      </w:r>
      <w:r w:rsidRPr="0025624C">
        <w:rPr>
          <w:sz w:val="22"/>
          <w:szCs w:val="22"/>
        </w:rPr>
        <w:t>),</w:t>
      </w:r>
      <w:r>
        <w:rPr>
          <w:rStyle w:val="FootnoteReference"/>
          <w:sz w:val="22"/>
          <w:szCs w:val="22"/>
        </w:rPr>
        <w:footnoteReference w:id="18"/>
      </w:r>
      <w:r w:rsidRPr="0025624C">
        <w:rPr>
          <w:sz w:val="22"/>
          <w:szCs w:val="22"/>
        </w:rPr>
        <w:t xml:space="preserve"> the National Longitudinal Survey of Youth ($70),</w:t>
      </w:r>
      <w:r>
        <w:rPr>
          <w:rStyle w:val="FootnoteReference"/>
          <w:sz w:val="22"/>
          <w:szCs w:val="22"/>
        </w:rPr>
        <w:footnoteReference w:id="19"/>
      </w:r>
      <w:r w:rsidRPr="0025624C">
        <w:rPr>
          <w:sz w:val="22"/>
          <w:szCs w:val="22"/>
        </w:rPr>
        <w:t xml:space="preserve"> the Survey of Consumer Finance</w:t>
      </w:r>
      <w:r w:rsidRPr="0025624C" w:rsidR="21265212">
        <w:rPr>
          <w:sz w:val="22"/>
          <w:szCs w:val="22"/>
        </w:rPr>
        <w:t>s</w:t>
      </w:r>
      <w:r w:rsidRPr="0025624C">
        <w:rPr>
          <w:sz w:val="22"/>
          <w:szCs w:val="22"/>
        </w:rPr>
        <w:t xml:space="preserve"> ($75),</w:t>
      </w:r>
      <w:r>
        <w:rPr>
          <w:rStyle w:val="FootnoteReference"/>
          <w:sz w:val="22"/>
          <w:szCs w:val="22"/>
        </w:rPr>
        <w:footnoteReference w:id="20"/>
      </w:r>
      <w:r w:rsidRPr="0025624C">
        <w:rPr>
          <w:sz w:val="22"/>
          <w:szCs w:val="22"/>
        </w:rPr>
        <w:t xml:space="preserve"> and the National Survey on Drug Use and Health ($</w:t>
      </w:r>
      <w:r w:rsidRPr="0025624C" w:rsidR="06EBD62D">
        <w:rPr>
          <w:sz w:val="22"/>
          <w:szCs w:val="22"/>
        </w:rPr>
        <w:t>3</w:t>
      </w:r>
      <w:r w:rsidRPr="0025624C">
        <w:rPr>
          <w:sz w:val="22"/>
          <w:szCs w:val="22"/>
        </w:rPr>
        <w:t>0).</w:t>
      </w:r>
      <w:r>
        <w:rPr>
          <w:rStyle w:val="FootnoteReference"/>
          <w:sz w:val="22"/>
          <w:szCs w:val="22"/>
        </w:rPr>
        <w:footnoteReference w:id="21"/>
      </w:r>
      <w:r w:rsidRPr="0025624C">
        <w:rPr>
          <w:sz w:val="22"/>
          <w:szCs w:val="22"/>
        </w:rPr>
        <w:t xml:space="preserve"> </w:t>
      </w:r>
    </w:p>
    <w:p w:rsidR="0065749B" w:rsidRPr="0025624C" w:rsidP="00E40502" w14:paraId="2A70D82E" w14:textId="77777777">
      <w:pPr>
        <w:rPr>
          <w:sz w:val="22"/>
          <w:szCs w:val="22"/>
        </w:rPr>
      </w:pPr>
    </w:p>
    <w:p w:rsidR="00692D49" w:rsidRPr="0025624C" w:rsidP="00E40502" w14:paraId="17213D3B" w14:textId="7C311CE4">
      <w:pPr>
        <w:rPr>
          <w:sz w:val="22"/>
          <w:szCs w:val="22"/>
        </w:rPr>
      </w:pPr>
      <w:r w:rsidRPr="0025624C">
        <w:rPr>
          <w:sz w:val="22"/>
          <w:szCs w:val="22"/>
        </w:rPr>
        <w:t>A</w:t>
      </w:r>
      <w:r w:rsidRPr="0025624C" w:rsidR="00447A52">
        <w:rPr>
          <w:sz w:val="22"/>
          <w:szCs w:val="22"/>
        </w:rPr>
        <w:t xml:space="preserve"> 2012</w:t>
      </w:r>
      <w:r w:rsidRPr="0025624C">
        <w:rPr>
          <w:sz w:val="22"/>
          <w:szCs w:val="22"/>
        </w:rPr>
        <w:t xml:space="preserve"> experiment conducted for DOL’s National Evaluation of the Trade Adjustment Assistance Program found that incentives of $50 and $75 resulted in significantly higher response rate than an incentive of $25. However, the $50 incentive was more cost effective than the $75 incentive. We believe that the incentive of $40 strikes a good balance between encouraging cooperation and the efficient use of project resources. </w:t>
      </w:r>
    </w:p>
    <w:p w:rsidR="00E40502" w:rsidRPr="0025624C" w:rsidP="00E40502" w14:paraId="5623741D" w14:textId="77777777">
      <w:pPr>
        <w:rPr>
          <w:sz w:val="22"/>
          <w:szCs w:val="22"/>
        </w:rPr>
      </w:pPr>
    </w:p>
    <w:p w:rsidR="00164E22" w:rsidRPr="0025624C" w:rsidP="00E40502" w14:paraId="08A2C270" w14:textId="0D68D1DB">
      <w:pPr>
        <w:rPr>
          <w:sz w:val="22"/>
          <w:szCs w:val="22"/>
        </w:rPr>
      </w:pPr>
      <w:r w:rsidRPr="0025624C">
        <w:rPr>
          <w:sz w:val="22"/>
          <w:szCs w:val="22"/>
        </w:rPr>
        <w:t>Other literature documents the effectiveness of prepaid incentives.</w:t>
      </w:r>
      <w:r>
        <w:rPr>
          <w:rStyle w:val="FootnoteReference"/>
          <w:rFonts w:eastAsiaTheme="majorEastAsia"/>
          <w:sz w:val="22"/>
          <w:szCs w:val="22"/>
        </w:rPr>
        <w:footnoteReference w:id="22"/>
      </w:r>
      <w:r w:rsidRPr="0025624C">
        <w:rPr>
          <w:sz w:val="22"/>
          <w:szCs w:val="22"/>
        </w:rPr>
        <w:t xml:space="preserve"> A review by Cantor, O’Hare, and O’Connor</w:t>
      </w:r>
      <w:r>
        <w:rPr>
          <w:rStyle w:val="FootnoteReference"/>
          <w:rFonts w:eastAsiaTheme="majorEastAsia"/>
          <w:sz w:val="22"/>
          <w:szCs w:val="22"/>
        </w:rPr>
        <w:footnoteReference w:id="23"/>
      </w:r>
      <w:r w:rsidRPr="0025624C">
        <w:rPr>
          <w:sz w:val="22"/>
          <w:szCs w:val="22"/>
        </w:rPr>
        <w:t xml:space="preserve"> of incentive experiments in telephone surveys found consistently significant effects for pre</w:t>
      </w:r>
      <w:r w:rsidRPr="0025624C" w:rsidR="0070609D">
        <w:rPr>
          <w:sz w:val="22"/>
          <w:szCs w:val="22"/>
        </w:rPr>
        <w:t>-</w:t>
      </w:r>
      <w:r w:rsidRPr="0025624C">
        <w:rPr>
          <w:sz w:val="22"/>
          <w:szCs w:val="22"/>
        </w:rPr>
        <w:t>paid incentives of $1 to $5, with increases in response rate of 2.2 to 12.1 percentage points.</w:t>
      </w:r>
      <w:r>
        <w:rPr>
          <w:rStyle w:val="FootnoteReference"/>
          <w:rFonts w:eastAsiaTheme="majorEastAsia"/>
          <w:sz w:val="22"/>
          <w:szCs w:val="22"/>
        </w:rPr>
        <w:footnoteReference w:id="24"/>
      </w:r>
      <w:r w:rsidRPr="0025624C">
        <w:rPr>
          <w:sz w:val="22"/>
          <w:szCs w:val="22"/>
        </w:rPr>
        <w:t xml:space="preserve"> In a meta-analysis of 40 studies, Messer and Dillman</w:t>
      </w:r>
      <w:r>
        <w:rPr>
          <w:rStyle w:val="FootnoteReference"/>
          <w:rFonts w:eastAsiaTheme="majorEastAsia"/>
          <w:sz w:val="22"/>
          <w:szCs w:val="22"/>
        </w:rPr>
        <w:footnoteReference w:id="25"/>
      </w:r>
      <w:r w:rsidRPr="0025624C">
        <w:rPr>
          <w:sz w:val="22"/>
          <w:szCs w:val="22"/>
        </w:rPr>
        <w:t xml:space="preserve"> found that offering a $5 pre-incentive yielded significant </w:t>
      </w:r>
      <w:r w:rsidRPr="0025624C" w:rsidR="00BA7F12">
        <w:rPr>
          <w:sz w:val="22"/>
          <w:szCs w:val="22"/>
        </w:rPr>
        <w:t>(p</w:t>
      </w:r>
      <w:r w:rsidRPr="0025624C" w:rsidR="00F03721">
        <w:rPr>
          <w:sz w:val="22"/>
          <w:szCs w:val="22"/>
        </w:rPr>
        <w:t xml:space="preserve"> </w:t>
      </w:r>
      <w:r w:rsidRPr="0025624C" w:rsidR="00BA7F12">
        <w:rPr>
          <w:sz w:val="22"/>
          <w:szCs w:val="22"/>
        </w:rPr>
        <w:t>&lt;</w:t>
      </w:r>
      <w:r w:rsidRPr="0025624C" w:rsidR="00F03721">
        <w:rPr>
          <w:sz w:val="22"/>
          <w:szCs w:val="22"/>
        </w:rPr>
        <w:t xml:space="preserve">= </w:t>
      </w:r>
      <w:r w:rsidRPr="0025624C" w:rsidR="00BA7F12">
        <w:rPr>
          <w:sz w:val="22"/>
          <w:szCs w:val="22"/>
        </w:rPr>
        <w:t>.01)</w:t>
      </w:r>
      <w:r w:rsidRPr="0025624C" w:rsidR="00F03721">
        <w:rPr>
          <w:sz w:val="22"/>
          <w:szCs w:val="22"/>
        </w:rPr>
        <w:t xml:space="preserve"> </w:t>
      </w:r>
      <w:r w:rsidRPr="0025624C">
        <w:rPr>
          <w:sz w:val="22"/>
          <w:szCs w:val="22"/>
        </w:rPr>
        <w:t>increase in response rates</w:t>
      </w:r>
      <w:r w:rsidRPr="0025624C" w:rsidR="00C271D8">
        <w:rPr>
          <w:sz w:val="22"/>
          <w:szCs w:val="22"/>
        </w:rPr>
        <w:t xml:space="preserve"> to multimode surveys.</w:t>
      </w:r>
      <w:bookmarkStart w:id="1" w:name="_Hlk175686334"/>
    </w:p>
    <w:p w:rsidR="00846154" w:rsidRPr="0025624C" w:rsidP="00E40502" w14:paraId="44D54C6A" w14:textId="77777777">
      <w:pPr>
        <w:rPr>
          <w:sz w:val="22"/>
          <w:szCs w:val="22"/>
        </w:rPr>
      </w:pPr>
    </w:p>
    <w:p w:rsidR="00471B1D" w:rsidRPr="0025624C" w:rsidP="00E40502" w14:paraId="7CD09396" w14:textId="0A2CDA74">
      <w:pPr>
        <w:rPr>
          <w:sz w:val="22"/>
          <w:szCs w:val="22"/>
        </w:rPr>
      </w:pPr>
      <w:r w:rsidRPr="0025624C">
        <w:rPr>
          <w:sz w:val="22"/>
          <w:szCs w:val="22"/>
        </w:rPr>
        <w:t>For the RDS</w:t>
      </w:r>
      <w:r w:rsidRPr="0025624C" w:rsidR="00624567">
        <w:rPr>
          <w:sz w:val="22"/>
          <w:szCs w:val="22"/>
        </w:rPr>
        <w:t xml:space="preserve"> sample of workers in </w:t>
      </w:r>
      <w:r w:rsidRPr="0025624C" w:rsidR="001A1719">
        <w:rPr>
          <w:sz w:val="22"/>
          <w:szCs w:val="22"/>
        </w:rPr>
        <w:t>10</w:t>
      </w:r>
      <w:r w:rsidRPr="0025624C" w:rsidR="00624567">
        <w:rPr>
          <w:sz w:val="22"/>
          <w:szCs w:val="22"/>
        </w:rPr>
        <w:t xml:space="preserve"> industries</w:t>
      </w:r>
      <w:r w:rsidRPr="0025624C">
        <w:rPr>
          <w:sz w:val="22"/>
          <w:szCs w:val="22"/>
        </w:rPr>
        <w:t xml:space="preserve">, we </w:t>
      </w:r>
      <w:r w:rsidRPr="0025624C" w:rsidR="00C60CCD">
        <w:rPr>
          <w:sz w:val="22"/>
          <w:szCs w:val="22"/>
        </w:rPr>
        <w:t xml:space="preserve">request to use </w:t>
      </w:r>
      <w:r w:rsidRPr="0025624C">
        <w:rPr>
          <w:sz w:val="22"/>
          <w:szCs w:val="22"/>
        </w:rPr>
        <w:t xml:space="preserve">a dual-incentive structure in which recruiters receive $20 for each eligible </w:t>
      </w:r>
      <w:r w:rsidRPr="0025624C" w:rsidR="00FF312D">
        <w:rPr>
          <w:sz w:val="22"/>
          <w:szCs w:val="22"/>
        </w:rPr>
        <w:t xml:space="preserve">recruit </w:t>
      </w:r>
      <w:r w:rsidRPr="0025624C">
        <w:rPr>
          <w:sz w:val="22"/>
          <w:szCs w:val="22"/>
        </w:rPr>
        <w:t xml:space="preserve">who completes the survey </w:t>
      </w:r>
      <w:r w:rsidRPr="0025624C" w:rsidR="003E1C8C">
        <w:rPr>
          <w:sz w:val="22"/>
          <w:szCs w:val="22"/>
        </w:rPr>
        <w:t>(secondary incentive)</w:t>
      </w:r>
      <w:r w:rsidRPr="0025624C" w:rsidR="0051540A">
        <w:rPr>
          <w:sz w:val="22"/>
          <w:szCs w:val="22"/>
        </w:rPr>
        <w:t>,</w:t>
      </w:r>
      <w:r w:rsidRPr="0025624C" w:rsidR="003E1C8C">
        <w:rPr>
          <w:sz w:val="22"/>
          <w:szCs w:val="22"/>
        </w:rPr>
        <w:t xml:space="preserve"> </w:t>
      </w:r>
      <w:r w:rsidRPr="0025624C">
        <w:rPr>
          <w:sz w:val="22"/>
          <w:szCs w:val="22"/>
        </w:rPr>
        <w:t>a</w:t>
      </w:r>
      <w:r w:rsidRPr="0025624C" w:rsidR="00C60CCD">
        <w:rPr>
          <w:sz w:val="22"/>
          <w:szCs w:val="22"/>
        </w:rPr>
        <w:t>nd</w:t>
      </w:r>
      <w:r w:rsidRPr="0025624C">
        <w:rPr>
          <w:sz w:val="22"/>
          <w:szCs w:val="22"/>
        </w:rPr>
        <w:t xml:space="preserve"> recruits receive $40 for completing the survey</w:t>
      </w:r>
      <w:r w:rsidRPr="0025624C" w:rsidR="003E1C8C">
        <w:rPr>
          <w:sz w:val="22"/>
          <w:szCs w:val="22"/>
        </w:rPr>
        <w:t xml:space="preserve"> (primary incentive)</w:t>
      </w:r>
      <w:r w:rsidRPr="0025624C">
        <w:rPr>
          <w:sz w:val="22"/>
          <w:szCs w:val="22"/>
        </w:rPr>
        <w:t xml:space="preserve">. </w:t>
      </w:r>
      <w:r w:rsidRPr="0025624C" w:rsidR="00696B70">
        <w:rPr>
          <w:sz w:val="22"/>
          <w:szCs w:val="22"/>
        </w:rPr>
        <w:t xml:space="preserve">A dual incentive structure is common </w:t>
      </w:r>
      <w:r w:rsidRPr="0025624C" w:rsidR="00696B70">
        <w:rPr>
          <w:sz w:val="22"/>
          <w:szCs w:val="22"/>
        </w:rPr>
        <w:t>in studies that use RDS.</w:t>
      </w:r>
      <w:r>
        <w:rPr>
          <w:rStyle w:val="FootnoteReference"/>
          <w:sz w:val="22"/>
          <w:szCs w:val="22"/>
        </w:rPr>
        <w:footnoteReference w:id="26"/>
      </w:r>
      <w:r w:rsidRPr="0025624C" w:rsidR="00696B70">
        <w:rPr>
          <w:sz w:val="22"/>
          <w:szCs w:val="22"/>
        </w:rPr>
        <w:t xml:space="preserve"> </w:t>
      </w:r>
      <w:r w:rsidRPr="0025624C">
        <w:rPr>
          <w:sz w:val="22"/>
          <w:szCs w:val="22"/>
        </w:rPr>
        <w:t>A</w:t>
      </w:r>
      <w:r w:rsidRPr="0025624C" w:rsidR="008B07CC">
        <w:rPr>
          <w:sz w:val="22"/>
          <w:szCs w:val="22"/>
        </w:rPr>
        <w:t xml:space="preserve"> recent review of web-based RDS studies concluded that a</w:t>
      </w:r>
      <w:r w:rsidRPr="0025624C">
        <w:rPr>
          <w:sz w:val="22"/>
          <w:szCs w:val="22"/>
        </w:rPr>
        <w:t xml:space="preserve"> lack of monetary incen</w:t>
      </w:r>
      <w:r w:rsidRPr="0025624C" w:rsidR="008B07CC">
        <w:rPr>
          <w:sz w:val="22"/>
          <w:szCs w:val="22"/>
        </w:rPr>
        <w:t>tives</w:t>
      </w:r>
      <w:r w:rsidRPr="0025624C">
        <w:rPr>
          <w:sz w:val="22"/>
          <w:szCs w:val="22"/>
        </w:rPr>
        <w:t xml:space="preserve"> </w:t>
      </w:r>
      <w:r w:rsidRPr="0025624C" w:rsidR="008B07CC">
        <w:rPr>
          <w:sz w:val="22"/>
          <w:szCs w:val="22"/>
        </w:rPr>
        <w:t xml:space="preserve">is </w:t>
      </w:r>
      <w:r w:rsidRPr="0025624C">
        <w:rPr>
          <w:sz w:val="22"/>
          <w:szCs w:val="22"/>
        </w:rPr>
        <w:t xml:space="preserve">related to </w:t>
      </w:r>
      <w:r w:rsidRPr="0025624C" w:rsidR="008B07CC">
        <w:rPr>
          <w:sz w:val="22"/>
          <w:szCs w:val="22"/>
        </w:rPr>
        <w:t xml:space="preserve">poor </w:t>
      </w:r>
      <w:r w:rsidRPr="0025624C">
        <w:rPr>
          <w:sz w:val="22"/>
          <w:szCs w:val="22"/>
        </w:rPr>
        <w:t>recruitment performance</w:t>
      </w:r>
      <w:r w:rsidRPr="0025624C" w:rsidR="00A125E0">
        <w:rPr>
          <w:sz w:val="22"/>
          <w:szCs w:val="22"/>
        </w:rPr>
        <w:t>, with studies tha</w:t>
      </w:r>
      <w:r w:rsidRPr="0025624C" w:rsidR="004C5A29">
        <w:rPr>
          <w:sz w:val="22"/>
          <w:szCs w:val="22"/>
        </w:rPr>
        <w:t>t</w:t>
      </w:r>
      <w:r w:rsidRPr="0025624C" w:rsidR="00A125E0">
        <w:rPr>
          <w:sz w:val="22"/>
          <w:szCs w:val="22"/>
        </w:rPr>
        <w:t xml:space="preserve"> did not offer monetary incentives </w:t>
      </w:r>
      <w:r w:rsidRPr="0025624C" w:rsidR="002B397F">
        <w:rPr>
          <w:sz w:val="22"/>
          <w:szCs w:val="22"/>
        </w:rPr>
        <w:t xml:space="preserve">having low percentages of </w:t>
      </w:r>
      <w:r w:rsidRPr="0025624C" w:rsidR="009D6DD0">
        <w:rPr>
          <w:sz w:val="22"/>
          <w:szCs w:val="22"/>
        </w:rPr>
        <w:t xml:space="preserve">recruiters </w:t>
      </w:r>
      <w:r w:rsidRPr="0025624C" w:rsidR="002B397F">
        <w:rPr>
          <w:sz w:val="22"/>
          <w:szCs w:val="22"/>
        </w:rPr>
        <w:t>who successfully recruited and fewer waves.</w:t>
      </w:r>
      <w:r>
        <w:rPr>
          <w:rStyle w:val="FootnoteReference"/>
          <w:sz w:val="22"/>
          <w:szCs w:val="22"/>
        </w:rPr>
        <w:footnoteReference w:id="27"/>
      </w:r>
      <w:r w:rsidRPr="0025624C">
        <w:rPr>
          <w:sz w:val="22"/>
          <w:szCs w:val="22"/>
        </w:rPr>
        <w:t xml:space="preserve"> For example, one study of men who have sex with men in Vietnam included smaller incentives in the pilot </w:t>
      </w:r>
      <w:r w:rsidRPr="0025624C" w:rsidR="00EE0B9C">
        <w:rPr>
          <w:sz w:val="22"/>
          <w:szCs w:val="22"/>
        </w:rPr>
        <w:t xml:space="preserve">than in the main study, and examined </w:t>
      </w:r>
      <w:r w:rsidRPr="0025624C" w:rsidR="00E866EC">
        <w:rPr>
          <w:sz w:val="22"/>
          <w:szCs w:val="22"/>
        </w:rPr>
        <w:t xml:space="preserve">the </w:t>
      </w:r>
      <w:r w:rsidRPr="0025624C" w:rsidR="00EE0B9C">
        <w:rPr>
          <w:sz w:val="22"/>
          <w:szCs w:val="22"/>
        </w:rPr>
        <w:t xml:space="preserve">impact of incentive size on </w:t>
      </w:r>
      <w:r w:rsidRPr="0025624C" w:rsidR="00E477FD">
        <w:rPr>
          <w:sz w:val="22"/>
          <w:szCs w:val="22"/>
        </w:rPr>
        <w:t xml:space="preserve">recruitment. They </w:t>
      </w:r>
      <w:r w:rsidRPr="0025624C">
        <w:rPr>
          <w:sz w:val="22"/>
          <w:szCs w:val="22"/>
        </w:rPr>
        <w:t>found that although recruitment died out after 5 waves, the main study with the higher incentive have improved recruitment performance</w:t>
      </w:r>
      <w:r w:rsidRPr="0025624C" w:rsidR="00955566">
        <w:rPr>
          <w:sz w:val="22"/>
          <w:szCs w:val="22"/>
        </w:rPr>
        <w:t xml:space="preserve">: 85 </w:t>
      </w:r>
      <w:r w:rsidRPr="0025624C" w:rsidR="00C808B5">
        <w:rPr>
          <w:sz w:val="22"/>
          <w:szCs w:val="22"/>
        </w:rPr>
        <w:t>participants</w:t>
      </w:r>
      <w:r w:rsidRPr="0025624C">
        <w:rPr>
          <w:sz w:val="22"/>
          <w:szCs w:val="22"/>
        </w:rPr>
        <w:t xml:space="preserve"> </w:t>
      </w:r>
      <w:r w:rsidRPr="0025624C" w:rsidR="00F561D8">
        <w:rPr>
          <w:sz w:val="22"/>
          <w:szCs w:val="22"/>
        </w:rPr>
        <w:t xml:space="preserve">were recruited in the </w:t>
      </w:r>
      <w:r w:rsidRPr="0025624C" w:rsidR="00E46FCA">
        <w:rPr>
          <w:sz w:val="22"/>
          <w:szCs w:val="22"/>
        </w:rPr>
        <w:t xml:space="preserve">main study </w:t>
      </w:r>
      <w:r w:rsidRPr="0025624C">
        <w:rPr>
          <w:sz w:val="22"/>
          <w:szCs w:val="22"/>
        </w:rPr>
        <w:t xml:space="preserve">versus </w:t>
      </w:r>
      <w:r w:rsidRPr="0025624C" w:rsidR="00E46FCA">
        <w:rPr>
          <w:sz w:val="22"/>
          <w:szCs w:val="22"/>
        </w:rPr>
        <w:t xml:space="preserve">only </w:t>
      </w:r>
      <w:r w:rsidRPr="0025624C">
        <w:rPr>
          <w:sz w:val="22"/>
          <w:szCs w:val="22"/>
        </w:rPr>
        <w:t>25</w:t>
      </w:r>
      <w:r w:rsidRPr="0025624C" w:rsidR="00C808B5">
        <w:rPr>
          <w:sz w:val="22"/>
          <w:szCs w:val="22"/>
        </w:rPr>
        <w:t xml:space="preserve"> </w:t>
      </w:r>
      <w:r w:rsidRPr="0025624C" w:rsidR="00E46FCA">
        <w:rPr>
          <w:sz w:val="22"/>
          <w:szCs w:val="22"/>
        </w:rPr>
        <w:t>in the pilot</w:t>
      </w:r>
      <w:r w:rsidRPr="0025624C">
        <w:rPr>
          <w:sz w:val="22"/>
          <w:szCs w:val="22"/>
        </w:rPr>
        <w:t xml:space="preserve"> </w:t>
      </w:r>
      <w:r w:rsidRPr="0025624C" w:rsidR="00C808B5">
        <w:rPr>
          <w:sz w:val="22"/>
          <w:szCs w:val="22"/>
        </w:rPr>
        <w:t xml:space="preserve">(both studies included </w:t>
      </w:r>
      <w:r w:rsidRPr="0025624C">
        <w:rPr>
          <w:sz w:val="22"/>
          <w:szCs w:val="22"/>
        </w:rPr>
        <w:t>15 see</w:t>
      </w:r>
      <w:r w:rsidRPr="0025624C" w:rsidR="00C808B5">
        <w:rPr>
          <w:sz w:val="22"/>
          <w:szCs w:val="22"/>
        </w:rPr>
        <w:t>ds)</w:t>
      </w:r>
      <w:r w:rsidRPr="0025624C">
        <w:rPr>
          <w:sz w:val="22"/>
          <w:szCs w:val="22"/>
        </w:rPr>
        <w:t>.</w:t>
      </w:r>
      <w:r>
        <w:rPr>
          <w:rStyle w:val="FootnoteReference"/>
          <w:sz w:val="22"/>
          <w:szCs w:val="22"/>
        </w:rPr>
        <w:footnoteReference w:id="28"/>
      </w:r>
      <w:r w:rsidRPr="0025624C">
        <w:rPr>
          <w:sz w:val="22"/>
          <w:szCs w:val="22"/>
        </w:rPr>
        <w:t xml:space="preserve"> Th</w:t>
      </w:r>
      <w:r w:rsidRPr="0025624C" w:rsidR="00C808B5">
        <w:rPr>
          <w:sz w:val="22"/>
          <w:szCs w:val="22"/>
        </w:rPr>
        <w:t>ese findings</w:t>
      </w:r>
      <w:r w:rsidRPr="0025624C">
        <w:rPr>
          <w:sz w:val="22"/>
          <w:szCs w:val="22"/>
        </w:rPr>
        <w:t xml:space="preserve"> </w:t>
      </w:r>
      <w:r w:rsidRPr="0025624C" w:rsidR="00C808B5">
        <w:rPr>
          <w:sz w:val="22"/>
          <w:szCs w:val="22"/>
        </w:rPr>
        <w:t>are</w:t>
      </w:r>
      <w:r w:rsidRPr="0025624C">
        <w:rPr>
          <w:sz w:val="22"/>
          <w:szCs w:val="22"/>
        </w:rPr>
        <w:t xml:space="preserve"> consistent with the body of research showing </w:t>
      </w:r>
      <w:r w:rsidRPr="0025624C" w:rsidR="00C808B5">
        <w:rPr>
          <w:sz w:val="22"/>
          <w:szCs w:val="22"/>
        </w:rPr>
        <w:t xml:space="preserve">that </w:t>
      </w:r>
      <w:r w:rsidRPr="0025624C">
        <w:rPr>
          <w:sz w:val="22"/>
          <w:szCs w:val="22"/>
        </w:rPr>
        <w:t xml:space="preserve">monetary incentives increase survey response rates. We thus suggest that </w:t>
      </w:r>
      <w:r w:rsidRPr="0025624C" w:rsidR="00BD306E">
        <w:rPr>
          <w:sz w:val="22"/>
          <w:szCs w:val="22"/>
        </w:rPr>
        <w:t>recruitment incentives</w:t>
      </w:r>
      <w:r w:rsidRPr="0025624C">
        <w:rPr>
          <w:sz w:val="22"/>
          <w:szCs w:val="22"/>
        </w:rPr>
        <w:t xml:space="preserve"> are particularly important to sustain recruitment</w:t>
      </w:r>
      <w:r w:rsidRPr="0025624C" w:rsidR="004F06AA">
        <w:rPr>
          <w:sz w:val="22"/>
          <w:szCs w:val="22"/>
        </w:rPr>
        <w:t>, get completed surveys,</w:t>
      </w:r>
      <w:r w:rsidRPr="0025624C">
        <w:rPr>
          <w:sz w:val="22"/>
          <w:szCs w:val="22"/>
        </w:rPr>
        <w:t xml:space="preserve"> </w:t>
      </w:r>
      <w:r w:rsidRPr="0025624C" w:rsidR="00652226">
        <w:rPr>
          <w:sz w:val="22"/>
          <w:szCs w:val="22"/>
        </w:rPr>
        <w:t xml:space="preserve">and </w:t>
      </w:r>
      <w:r w:rsidRPr="0025624C">
        <w:rPr>
          <w:sz w:val="22"/>
          <w:szCs w:val="22"/>
        </w:rPr>
        <w:t xml:space="preserve">generate </w:t>
      </w:r>
      <w:r w:rsidRPr="0025624C" w:rsidR="00652226">
        <w:rPr>
          <w:sz w:val="22"/>
          <w:szCs w:val="22"/>
        </w:rPr>
        <w:t xml:space="preserve">accurate </w:t>
      </w:r>
      <w:r w:rsidRPr="0025624C">
        <w:rPr>
          <w:sz w:val="22"/>
          <w:szCs w:val="22"/>
        </w:rPr>
        <w:t xml:space="preserve">industry estimates.  </w:t>
      </w:r>
    </w:p>
    <w:p w:rsidR="00C9070A" w:rsidRPr="0025624C" w:rsidP="00E40502" w14:paraId="19FD16CD" w14:textId="77777777">
      <w:pPr>
        <w:rPr>
          <w:sz w:val="22"/>
          <w:szCs w:val="22"/>
        </w:rPr>
      </w:pPr>
    </w:p>
    <w:p w:rsidR="00C9070A" w:rsidRPr="0025624C" w:rsidP="00E40502" w14:paraId="0C6EAB32" w14:textId="35865F07">
      <w:pPr>
        <w:rPr>
          <w:sz w:val="22"/>
          <w:szCs w:val="22"/>
        </w:rPr>
      </w:pPr>
      <w:r w:rsidRPr="0025624C">
        <w:rPr>
          <w:sz w:val="22"/>
          <w:szCs w:val="22"/>
        </w:rPr>
        <w:t xml:space="preserve">However, there is less consensus about the amount of </w:t>
      </w:r>
      <w:r w:rsidRPr="0025624C">
        <w:rPr>
          <w:sz w:val="22"/>
          <w:szCs w:val="22"/>
        </w:rPr>
        <w:t xml:space="preserve">the </w:t>
      </w:r>
      <w:r w:rsidRPr="0025624C" w:rsidR="00C94CC7">
        <w:rPr>
          <w:sz w:val="22"/>
          <w:szCs w:val="22"/>
        </w:rPr>
        <w:t>recruitment</w:t>
      </w:r>
      <w:r w:rsidRPr="0025624C" w:rsidR="00C94CC7">
        <w:rPr>
          <w:sz w:val="22"/>
          <w:szCs w:val="22"/>
        </w:rPr>
        <w:t xml:space="preserve"> </w:t>
      </w:r>
      <w:r w:rsidRPr="0025624C">
        <w:rPr>
          <w:sz w:val="22"/>
          <w:szCs w:val="22"/>
        </w:rPr>
        <w:t>incentive in RDS.  R</w:t>
      </w:r>
      <w:r w:rsidRPr="0025624C" w:rsidR="3300B65A">
        <w:rPr>
          <w:sz w:val="22"/>
          <w:szCs w:val="22"/>
        </w:rPr>
        <w:t xml:space="preserve">ecent web-based RDS studies have provided recruitment incentives ranging from $10 to $50 with </w:t>
      </w:r>
      <w:r w:rsidRPr="0025624C" w:rsidR="009327C1">
        <w:rPr>
          <w:sz w:val="22"/>
          <w:szCs w:val="22"/>
        </w:rPr>
        <w:t>several studies offering $10, $15, or $20</w:t>
      </w:r>
      <w:r w:rsidRPr="0025624C">
        <w:rPr>
          <w:sz w:val="22"/>
          <w:szCs w:val="22"/>
        </w:rPr>
        <w:t>.</w:t>
      </w:r>
      <w:r>
        <w:rPr>
          <w:rStyle w:val="FootnoteReference"/>
          <w:sz w:val="22"/>
          <w:szCs w:val="22"/>
        </w:rPr>
        <w:footnoteReference w:id="29"/>
      </w:r>
      <w:r w:rsidRPr="0025624C">
        <w:rPr>
          <w:sz w:val="22"/>
          <w:szCs w:val="22"/>
        </w:rPr>
        <w:t xml:space="preserve"> One difficulty about determining </w:t>
      </w:r>
      <w:r w:rsidRPr="0025624C" w:rsidR="00C94CC7">
        <w:rPr>
          <w:sz w:val="22"/>
          <w:szCs w:val="22"/>
        </w:rPr>
        <w:t>the recruitment incentive</w:t>
      </w:r>
      <w:r w:rsidRPr="0025624C">
        <w:rPr>
          <w:sz w:val="22"/>
          <w:szCs w:val="22"/>
        </w:rPr>
        <w:t xml:space="preserve"> amount in RDS is that</w:t>
      </w:r>
      <w:r w:rsidRPr="0025624C" w:rsidR="003A3771">
        <w:rPr>
          <w:sz w:val="22"/>
          <w:szCs w:val="22"/>
        </w:rPr>
        <w:t xml:space="preserve">, if the incentive amount is too high, </w:t>
      </w:r>
      <w:r w:rsidRPr="0025624C">
        <w:rPr>
          <w:sz w:val="22"/>
          <w:szCs w:val="22"/>
        </w:rPr>
        <w:t xml:space="preserve">noneligible persons </w:t>
      </w:r>
      <w:r w:rsidRPr="0025624C" w:rsidR="003A3771">
        <w:rPr>
          <w:sz w:val="22"/>
          <w:szCs w:val="22"/>
        </w:rPr>
        <w:t xml:space="preserve">may be encouraged </w:t>
      </w:r>
      <w:r w:rsidRPr="0025624C">
        <w:rPr>
          <w:sz w:val="22"/>
          <w:szCs w:val="22"/>
        </w:rPr>
        <w:t>to respond to questions inaccurately to be part of the eligible population in order to enroll in the study and get the incentive</w:t>
      </w:r>
      <w:r w:rsidRPr="0025624C" w:rsidR="00073DDE">
        <w:rPr>
          <w:sz w:val="22"/>
          <w:szCs w:val="22"/>
        </w:rPr>
        <w:t>.</w:t>
      </w:r>
      <w:r>
        <w:rPr>
          <w:rStyle w:val="FootnoteReference"/>
          <w:sz w:val="22"/>
          <w:szCs w:val="22"/>
        </w:rPr>
        <w:footnoteReference w:id="30"/>
      </w:r>
      <w:r w:rsidRPr="0025624C">
        <w:rPr>
          <w:sz w:val="22"/>
          <w:szCs w:val="22"/>
        </w:rPr>
        <w:t xml:space="preserve"> On the other hand, if the incentive amount is too low, recruitment may be slow and possibly attractive to only lower socio-economic members of the population.</w:t>
      </w:r>
      <w:r>
        <w:rPr>
          <w:rStyle w:val="FootnoteReference"/>
          <w:sz w:val="22"/>
          <w:szCs w:val="22"/>
        </w:rPr>
        <w:footnoteReference w:id="31"/>
      </w:r>
      <w:r w:rsidRPr="0025624C">
        <w:rPr>
          <w:sz w:val="22"/>
          <w:szCs w:val="22"/>
        </w:rPr>
        <w:t xml:space="preserve"> We believe that a $20 recruitment incentive is a good balance between these two considerations.</w:t>
      </w:r>
    </w:p>
    <w:p w:rsidR="00C9070A" w:rsidRPr="0025624C" w:rsidP="00E40502" w14:paraId="0CAA65C6" w14:textId="77777777">
      <w:pPr>
        <w:rPr>
          <w:sz w:val="22"/>
          <w:szCs w:val="22"/>
        </w:rPr>
      </w:pPr>
    </w:p>
    <w:p w:rsidR="00C9070A" w:rsidRPr="0025624C" w:rsidP="00E40502" w14:paraId="000F10C9" w14:textId="19EF6279">
      <w:pPr>
        <w:rPr>
          <w:sz w:val="22"/>
          <w:szCs w:val="22"/>
        </w:rPr>
      </w:pPr>
      <w:r w:rsidRPr="0025624C">
        <w:rPr>
          <w:sz w:val="22"/>
          <w:szCs w:val="22"/>
        </w:rPr>
        <w:t>The next design consideration is incentive format (i.e., mailed vs. electronic). Many RDS studies provide electronic gift cards as incentives.</w:t>
      </w:r>
      <w:r>
        <w:rPr>
          <w:rStyle w:val="FootnoteReference"/>
          <w:sz w:val="22"/>
          <w:szCs w:val="22"/>
        </w:rPr>
        <w:footnoteReference w:id="32"/>
      </w:r>
      <w:r w:rsidRPr="0025624C">
        <w:rPr>
          <w:sz w:val="22"/>
          <w:szCs w:val="22"/>
        </w:rPr>
        <w:t xml:space="preserve"> Receiving an electronic gift card soon after completing the survey, as opposed to waiting for a mailed gift card, </w:t>
      </w:r>
      <w:r w:rsidRPr="0025624C" w:rsidR="00B73616">
        <w:rPr>
          <w:sz w:val="22"/>
          <w:szCs w:val="22"/>
        </w:rPr>
        <w:t xml:space="preserve">may </w:t>
      </w:r>
      <w:r w:rsidRPr="0025624C">
        <w:rPr>
          <w:sz w:val="22"/>
          <w:szCs w:val="22"/>
        </w:rPr>
        <w:t>lend legitimacy to the study and increase respondents’ willingness to recruit others</w:t>
      </w:r>
      <w:r w:rsidRPr="0025624C" w:rsidR="005C489B">
        <w:rPr>
          <w:sz w:val="22"/>
          <w:szCs w:val="22"/>
        </w:rPr>
        <w:t xml:space="preserve"> (i.e., </w:t>
      </w:r>
      <w:r w:rsidRPr="0025624C" w:rsidR="005C489B">
        <w:rPr>
          <w:sz w:val="22"/>
          <w:szCs w:val="22"/>
        </w:rPr>
        <w:t>actually forwarding</w:t>
      </w:r>
      <w:r w:rsidRPr="0025624C" w:rsidR="005C489B">
        <w:rPr>
          <w:sz w:val="22"/>
          <w:szCs w:val="22"/>
        </w:rPr>
        <w:t xml:space="preserve"> the e-coupons </w:t>
      </w:r>
      <w:r w:rsidRPr="0025624C" w:rsidR="004A58EC">
        <w:rPr>
          <w:sz w:val="22"/>
          <w:szCs w:val="22"/>
        </w:rPr>
        <w:t xml:space="preserve">to </w:t>
      </w:r>
      <w:r w:rsidRPr="0025624C" w:rsidR="005C489B">
        <w:rPr>
          <w:sz w:val="22"/>
          <w:szCs w:val="22"/>
        </w:rPr>
        <w:t>potential recruits)</w:t>
      </w:r>
      <w:r w:rsidRPr="0025624C">
        <w:rPr>
          <w:sz w:val="22"/>
          <w:szCs w:val="22"/>
        </w:rPr>
        <w:t xml:space="preserve">. </w:t>
      </w:r>
      <w:r w:rsidRPr="0025624C" w:rsidR="00B73616">
        <w:rPr>
          <w:sz w:val="22"/>
          <w:szCs w:val="22"/>
        </w:rPr>
        <w:t xml:space="preserve">In </w:t>
      </w:r>
      <w:r w:rsidRPr="0025624C">
        <w:rPr>
          <w:sz w:val="22"/>
          <w:szCs w:val="22"/>
        </w:rPr>
        <w:t xml:space="preserve">formative research </w:t>
      </w:r>
      <w:r w:rsidRPr="0025624C" w:rsidR="00B73616">
        <w:rPr>
          <w:sz w:val="22"/>
          <w:szCs w:val="22"/>
        </w:rPr>
        <w:t xml:space="preserve">conducted </w:t>
      </w:r>
      <w:r w:rsidRPr="0025624C">
        <w:rPr>
          <w:sz w:val="22"/>
          <w:szCs w:val="22"/>
        </w:rPr>
        <w:t xml:space="preserve">with </w:t>
      </w:r>
      <w:r w:rsidRPr="0025624C" w:rsidR="003038DA">
        <w:rPr>
          <w:sz w:val="22"/>
          <w:szCs w:val="22"/>
        </w:rPr>
        <w:t xml:space="preserve">29 nonexempt </w:t>
      </w:r>
      <w:r w:rsidRPr="0025624C">
        <w:rPr>
          <w:sz w:val="22"/>
          <w:szCs w:val="22"/>
        </w:rPr>
        <w:t>workers</w:t>
      </w:r>
      <w:r w:rsidRPr="0025624C" w:rsidR="00DD52E2">
        <w:rPr>
          <w:sz w:val="22"/>
          <w:szCs w:val="22"/>
        </w:rPr>
        <w:t xml:space="preserve"> mostly in the </w:t>
      </w:r>
      <w:r w:rsidRPr="0025624C" w:rsidR="00180967">
        <w:rPr>
          <w:sz w:val="22"/>
          <w:szCs w:val="22"/>
        </w:rPr>
        <w:t>10</w:t>
      </w:r>
      <w:r w:rsidRPr="0025624C" w:rsidR="00DD52E2">
        <w:rPr>
          <w:sz w:val="22"/>
          <w:szCs w:val="22"/>
        </w:rPr>
        <w:t xml:space="preserve"> industries that are the focus of the RDS</w:t>
      </w:r>
      <w:r w:rsidRPr="0025624C" w:rsidR="006A587B">
        <w:rPr>
          <w:sz w:val="22"/>
          <w:szCs w:val="22"/>
        </w:rPr>
        <w:t xml:space="preserve"> (</w:t>
      </w:r>
      <w:r w:rsidRPr="00B62EA4" w:rsidR="00B62EA4">
        <w:rPr>
          <w:sz w:val="22"/>
          <w:szCs w:val="22"/>
        </w:rPr>
        <w:t xml:space="preserve">OMB Control Number </w:t>
      </w:r>
      <w:r w:rsidRPr="0025624C" w:rsidR="006A587B">
        <w:rPr>
          <w:sz w:val="22"/>
          <w:szCs w:val="22"/>
        </w:rPr>
        <w:t>1290-0043)</w:t>
      </w:r>
      <w:r w:rsidRPr="0025624C" w:rsidR="00B73616">
        <w:rPr>
          <w:sz w:val="22"/>
          <w:szCs w:val="22"/>
        </w:rPr>
        <w:t>, s</w:t>
      </w:r>
      <w:r w:rsidRPr="0025624C">
        <w:rPr>
          <w:sz w:val="22"/>
          <w:szCs w:val="22"/>
        </w:rPr>
        <w:t xml:space="preserve">everal workers said that they would be more likely to recruit others </w:t>
      </w:r>
      <w:r w:rsidRPr="0025624C" w:rsidR="00F4037E">
        <w:rPr>
          <w:sz w:val="22"/>
          <w:szCs w:val="22"/>
        </w:rPr>
        <w:t>if the</w:t>
      </w:r>
      <w:r w:rsidRPr="0025624C">
        <w:rPr>
          <w:sz w:val="22"/>
          <w:szCs w:val="22"/>
        </w:rPr>
        <w:t xml:space="preserve"> incentive for completing the survey</w:t>
      </w:r>
      <w:r w:rsidRPr="0025624C" w:rsidR="00561976">
        <w:rPr>
          <w:sz w:val="22"/>
          <w:szCs w:val="22"/>
        </w:rPr>
        <w:t xml:space="preserve"> was provide</w:t>
      </w:r>
      <w:r w:rsidRPr="0025624C" w:rsidR="007F4D1E">
        <w:rPr>
          <w:sz w:val="22"/>
          <w:szCs w:val="22"/>
        </w:rPr>
        <w:t>d</w:t>
      </w:r>
      <w:r w:rsidRPr="0025624C" w:rsidR="00561976">
        <w:rPr>
          <w:sz w:val="22"/>
          <w:szCs w:val="22"/>
        </w:rPr>
        <w:t xml:space="preserve"> immediately than if they had to wait for it to arrive in the mail</w:t>
      </w:r>
      <w:r w:rsidRPr="0025624C">
        <w:rPr>
          <w:sz w:val="22"/>
          <w:szCs w:val="22"/>
        </w:rPr>
        <w:t xml:space="preserve">. Although electronic incentives may increase the success of RDS, they make fraud detection </w:t>
      </w:r>
      <w:r w:rsidRPr="0025624C" w:rsidR="00BC2DDD">
        <w:rPr>
          <w:sz w:val="22"/>
          <w:szCs w:val="22"/>
        </w:rPr>
        <w:t xml:space="preserve">more </w:t>
      </w:r>
      <w:r w:rsidRPr="0025624C">
        <w:rPr>
          <w:sz w:val="22"/>
          <w:szCs w:val="22"/>
        </w:rPr>
        <w:t>difficult because only an email address is required to provide the incentive</w:t>
      </w:r>
      <w:r w:rsidRPr="0025624C" w:rsidR="00F717C1">
        <w:rPr>
          <w:sz w:val="22"/>
          <w:szCs w:val="22"/>
        </w:rPr>
        <w:t>, and a fraudster could</w:t>
      </w:r>
      <w:r w:rsidRPr="0025624C">
        <w:rPr>
          <w:sz w:val="22"/>
          <w:szCs w:val="22"/>
        </w:rPr>
        <w:t xml:space="preserve"> easily create </w:t>
      </w:r>
      <w:r w:rsidRPr="0025624C" w:rsidR="00F717C1">
        <w:rPr>
          <w:sz w:val="22"/>
          <w:szCs w:val="22"/>
        </w:rPr>
        <w:t xml:space="preserve">multiple </w:t>
      </w:r>
      <w:r w:rsidRPr="0025624C">
        <w:rPr>
          <w:sz w:val="22"/>
          <w:szCs w:val="22"/>
        </w:rPr>
        <w:t xml:space="preserve">email addresses to receive multiple incentives. In contrast, mailed incentives </w:t>
      </w:r>
      <w:r w:rsidRPr="0025624C">
        <w:rPr>
          <w:sz w:val="22"/>
          <w:szCs w:val="22"/>
        </w:rPr>
        <w:t xml:space="preserve">require asking respondents for a mailing address, which allows the </w:t>
      </w:r>
      <w:r w:rsidRPr="0025624C" w:rsidR="00BC2DDD">
        <w:rPr>
          <w:sz w:val="22"/>
          <w:szCs w:val="22"/>
        </w:rPr>
        <w:t>researchers</w:t>
      </w:r>
      <w:r w:rsidRPr="0025624C">
        <w:rPr>
          <w:sz w:val="22"/>
          <w:szCs w:val="22"/>
        </w:rPr>
        <w:t xml:space="preserve"> to check for requests to mail multiple gift cards to the same address</w:t>
      </w:r>
      <w:r w:rsidRPr="0025624C" w:rsidR="00BC2DDD">
        <w:rPr>
          <w:sz w:val="22"/>
          <w:szCs w:val="22"/>
        </w:rPr>
        <w:t>.</w:t>
      </w:r>
      <w:r>
        <w:rPr>
          <w:rStyle w:val="FootnoteReference"/>
          <w:sz w:val="22"/>
          <w:szCs w:val="22"/>
        </w:rPr>
        <w:footnoteReference w:id="33"/>
      </w:r>
      <w:r w:rsidRPr="0025624C">
        <w:rPr>
          <w:sz w:val="22"/>
          <w:szCs w:val="22"/>
        </w:rPr>
        <w:t xml:space="preserve">  However, </w:t>
      </w:r>
      <w:r w:rsidRPr="0025624C" w:rsidR="00AC59E3">
        <w:rPr>
          <w:sz w:val="22"/>
          <w:szCs w:val="22"/>
        </w:rPr>
        <w:t>as noted above, mailing incentives may be less effective for encouraging recruitment.</w:t>
      </w:r>
    </w:p>
    <w:p w:rsidR="00C9070A" w:rsidRPr="0025624C" w:rsidP="00711D94" w14:paraId="5D0396CE" w14:textId="77777777">
      <w:pPr>
        <w:rPr>
          <w:sz w:val="22"/>
          <w:szCs w:val="22"/>
        </w:rPr>
      </w:pPr>
      <w:r w:rsidRPr="0025624C">
        <w:rPr>
          <w:sz w:val="22"/>
          <w:szCs w:val="22"/>
        </w:rPr>
        <w:t> </w:t>
      </w:r>
    </w:p>
    <w:p w:rsidR="00C9070A" w:rsidRPr="0025624C" w:rsidP="00711D94" w14:paraId="6DBD47FB" w14:textId="76626C86">
      <w:pPr>
        <w:rPr>
          <w:sz w:val="22"/>
          <w:szCs w:val="22"/>
        </w:rPr>
      </w:pPr>
      <w:r w:rsidRPr="0025624C">
        <w:rPr>
          <w:sz w:val="22"/>
          <w:szCs w:val="22"/>
        </w:rPr>
        <w:t xml:space="preserve">Given the uncertainty about the implications of different payment methods for the success of recruitment in web-based RDS, </w:t>
      </w:r>
      <w:r w:rsidR="00C02281">
        <w:rPr>
          <w:sz w:val="22"/>
          <w:szCs w:val="22"/>
        </w:rPr>
        <w:t>CEO</w:t>
      </w:r>
      <w:r w:rsidRPr="0025624C" w:rsidR="00C02281">
        <w:rPr>
          <w:sz w:val="22"/>
          <w:szCs w:val="22"/>
        </w:rPr>
        <w:t xml:space="preserve"> </w:t>
      </w:r>
      <w:r w:rsidRPr="0025624C">
        <w:rPr>
          <w:sz w:val="22"/>
          <w:szCs w:val="22"/>
        </w:rPr>
        <w:t xml:space="preserve">plans to include an experiment to compare </w:t>
      </w:r>
      <w:r w:rsidRPr="0025624C" w:rsidR="00A109C1">
        <w:rPr>
          <w:sz w:val="22"/>
          <w:szCs w:val="22"/>
        </w:rPr>
        <w:t>recruitment rates</w:t>
      </w:r>
      <w:r w:rsidRPr="0025624C" w:rsidR="0033391F">
        <w:rPr>
          <w:sz w:val="22"/>
          <w:szCs w:val="22"/>
        </w:rPr>
        <w:t xml:space="preserve"> by </w:t>
      </w:r>
      <w:r w:rsidRPr="0025624C">
        <w:rPr>
          <w:sz w:val="22"/>
          <w:szCs w:val="22"/>
        </w:rPr>
        <w:t>incentives</w:t>
      </w:r>
      <w:r w:rsidRPr="0025624C" w:rsidR="009B6C53">
        <w:rPr>
          <w:sz w:val="22"/>
          <w:szCs w:val="22"/>
        </w:rPr>
        <w:t xml:space="preserve"> in the form of a mailed gift card </w:t>
      </w:r>
      <w:r w:rsidRPr="0025624C" w:rsidR="0033391F">
        <w:rPr>
          <w:sz w:val="22"/>
          <w:szCs w:val="22"/>
        </w:rPr>
        <w:t xml:space="preserve">versus electronic </w:t>
      </w:r>
      <w:r w:rsidRPr="0025624C" w:rsidR="00466C76">
        <w:rPr>
          <w:sz w:val="22"/>
          <w:szCs w:val="22"/>
        </w:rPr>
        <w:t>E-gift card</w:t>
      </w:r>
      <w:r w:rsidRPr="0025624C">
        <w:rPr>
          <w:sz w:val="22"/>
          <w:szCs w:val="22"/>
        </w:rPr>
        <w:t>. This experiment is described in detail in Section B.</w:t>
      </w:r>
      <w:r w:rsidRPr="0025624C" w:rsidR="00180967">
        <w:rPr>
          <w:sz w:val="22"/>
          <w:szCs w:val="22"/>
        </w:rPr>
        <w:t>4</w:t>
      </w:r>
      <w:r w:rsidRPr="0025624C">
        <w:rPr>
          <w:sz w:val="22"/>
          <w:szCs w:val="22"/>
        </w:rPr>
        <w:t>.</w:t>
      </w:r>
    </w:p>
    <w:bookmarkEnd w:id="1"/>
    <w:p w:rsidR="00DD3FE6" w:rsidRPr="0025624C" w:rsidP="00711D94" w14:paraId="75512652" w14:textId="77777777">
      <w:pPr>
        <w:rPr>
          <w:sz w:val="22"/>
          <w:szCs w:val="22"/>
        </w:rPr>
      </w:pPr>
    </w:p>
    <w:p w:rsidR="00DD3FE6" w:rsidRPr="0025624C" w:rsidP="00DD3FE6" w14:paraId="01E6616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10</w:t>
      </w:r>
      <w:r w:rsidRPr="0025624C">
        <w:rPr>
          <w:b/>
          <w:bCs/>
          <w:sz w:val="22"/>
          <w:szCs w:val="22"/>
        </w:rPr>
        <w:t>.  Describe</w:t>
      </w:r>
      <w:r w:rsidRPr="0025624C">
        <w:rPr>
          <w:b/>
          <w:bCs/>
          <w:sz w:val="22"/>
          <w:szCs w:val="22"/>
        </w:rPr>
        <w:t xml:space="preserve"> any assurance</w:t>
      </w:r>
      <w:r w:rsidRPr="0025624C" w:rsidR="00597D0F">
        <w:rPr>
          <w:b/>
          <w:sz w:val="22"/>
          <w:szCs w:val="22"/>
        </w:rPr>
        <w:t xml:space="preserve"> of </w:t>
      </w:r>
      <w:r w:rsidRPr="0025624C">
        <w:rPr>
          <w:b/>
          <w:bCs/>
          <w:sz w:val="22"/>
          <w:szCs w:val="22"/>
        </w:rPr>
        <w:t>confidentiality provided to respondents and the basis for the assurance in statute, regulation, or agency policy.</w:t>
      </w:r>
    </w:p>
    <w:p w:rsidR="00597D0F" w:rsidRPr="0025624C" w:rsidP="00DD3FE6" w14:paraId="7BA68C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p>
    <w:p w:rsidR="00CF7589" w:rsidRPr="0025624C" w:rsidP="00DD3FE6" w14:paraId="10CFC41D" w14:textId="56CB3361">
      <w:pPr>
        <w:rPr>
          <w:sz w:val="22"/>
          <w:szCs w:val="22"/>
        </w:rPr>
      </w:pPr>
      <w:r w:rsidRPr="0025624C">
        <w:rPr>
          <w:sz w:val="22"/>
          <w:szCs w:val="22"/>
        </w:rPr>
        <w:t xml:space="preserve">Respondents will be informed of the voluntary nature of the survey in the materials mailed to households </w:t>
      </w:r>
      <w:r w:rsidRPr="0025624C" w:rsidR="0018738D">
        <w:rPr>
          <w:sz w:val="22"/>
          <w:szCs w:val="22"/>
        </w:rPr>
        <w:t xml:space="preserve">(Attachment B) </w:t>
      </w:r>
      <w:r w:rsidRPr="0025624C">
        <w:rPr>
          <w:sz w:val="22"/>
          <w:szCs w:val="22"/>
        </w:rPr>
        <w:t>and in the web survey</w:t>
      </w:r>
      <w:r w:rsidRPr="0025624C" w:rsidR="005F0630">
        <w:rPr>
          <w:sz w:val="22"/>
          <w:szCs w:val="22"/>
        </w:rPr>
        <w:t xml:space="preserve"> landing page</w:t>
      </w:r>
      <w:r w:rsidRPr="0025624C">
        <w:rPr>
          <w:sz w:val="22"/>
          <w:szCs w:val="22"/>
        </w:rPr>
        <w:t xml:space="preserve">, stating that their responses </w:t>
      </w:r>
      <w:r w:rsidRPr="0025624C" w:rsidR="008F4723">
        <w:rPr>
          <w:sz w:val="22"/>
          <w:szCs w:val="22"/>
        </w:rPr>
        <w:t>will be reported in aggregate form only and no reported information will identify any individuals.</w:t>
      </w:r>
      <w:r w:rsidRPr="0025624C" w:rsidR="000222C5">
        <w:rPr>
          <w:sz w:val="22"/>
          <w:szCs w:val="22"/>
        </w:rPr>
        <w:t xml:space="preserve"> They will also be informed that their </w:t>
      </w:r>
      <w:r w:rsidRPr="0025624C" w:rsidR="00CF284B">
        <w:rPr>
          <w:sz w:val="22"/>
          <w:szCs w:val="22"/>
        </w:rPr>
        <w:t>email address</w:t>
      </w:r>
      <w:r w:rsidRPr="0025624C" w:rsidR="00BD1BAB">
        <w:rPr>
          <w:sz w:val="22"/>
          <w:szCs w:val="22"/>
        </w:rPr>
        <w:t>, phone number,</w:t>
      </w:r>
      <w:r w:rsidRPr="0025624C" w:rsidR="00CF284B">
        <w:rPr>
          <w:sz w:val="22"/>
          <w:szCs w:val="22"/>
        </w:rPr>
        <w:t xml:space="preserve"> and/or mailing address will be used to send their incentives only and will not be shared with</w:t>
      </w:r>
      <w:r w:rsidRPr="0025624C" w:rsidR="00AB6915">
        <w:rPr>
          <w:sz w:val="22"/>
          <w:szCs w:val="22"/>
        </w:rPr>
        <w:t xml:space="preserve"> DOL or anyone else.</w:t>
      </w:r>
      <w:r w:rsidRPr="0025624C" w:rsidR="008F4723">
        <w:rPr>
          <w:sz w:val="22"/>
          <w:szCs w:val="22"/>
        </w:rPr>
        <w:t xml:space="preserve"> </w:t>
      </w:r>
      <w:r w:rsidRPr="0025624C">
        <w:rPr>
          <w:sz w:val="22"/>
          <w:szCs w:val="22"/>
        </w:rPr>
        <w:t xml:space="preserve">Additionally, </w:t>
      </w:r>
      <w:r w:rsidRPr="0025624C" w:rsidR="00536E2E">
        <w:rPr>
          <w:sz w:val="22"/>
          <w:szCs w:val="22"/>
        </w:rPr>
        <w:t>a</w:t>
      </w:r>
      <w:r w:rsidRPr="0025624C">
        <w:rPr>
          <w:sz w:val="22"/>
          <w:szCs w:val="22"/>
        </w:rPr>
        <w:t>ll project staff</w:t>
      </w:r>
      <w:r w:rsidRPr="0025624C" w:rsidR="00146F29">
        <w:rPr>
          <w:sz w:val="22"/>
          <w:szCs w:val="22"/>
        </w:rPr>
        <w:t xml:space="preserve"> </w:t>
      </w:r>
      <w:r w:rsidRPr="0025624C">
        <w:rPr>
          <w:sz w:val="22"/>
          <w:szCs w:val="22"/>
        </w:rPr>
        <w:t>will be instructed in the privacy requirements of the data and will be required to sign statements affirming their obligation to maintain privacy</w:t>
      </w:r>
      <w:r w:rsidRPr="0025624C" w:rsidR="00490C86">
        <w:rPr>
          <w:sz w:val="22"/>
          <w:szCs w:val="22"/>
        </w:rPr>
        <w:t>.</w:t>
      </w:r>
      <w:r w:rsidRPr="0025624C">
        <w:rPr>
          <w:sz w:val="22"/>
          <w:szCs w:val="22"/>
        </w:rPr>
        <w:t xml:space="preserve"> </w:t>
      </w:r>
    </w:p>
    <w:p w:rsidR="00DD3FE6" w:rsidRPr="0025624C" w:rsidP="00DD3FE6" w14:paraId="2BBBF25F" w14:textId="77777777">
      <w:pPr>
        <w:rPr>
          <w:sz w:val="22"/>
          <w:szCs w:val="22"/>
        </w:rPr>
      </w:pPr>
    </w:p>
    <w:p w:rsidR="007453DA" w:rsidRPr="0025624C" w:rsidP="00DD3FE6" w14:paraId="1D91ED3C" w14:textId="3FB1F349">
      <w:pPr>
        <w:rPr>
          <w:sz w:val="22"/>
          <w:szCs w:val="22"/>
        </w:rPr>
      </w:pPr>
      <w:r w:rsidRPr="0025624C">
        <w:rPr>
          <w:sz w:val="22"/>
          <w:szCs w:val="22"/>
        </w:rPr>
        <w:t>Key identifiers (</w:t>
      </w:r>
      <w:r w:rsidRPr="0025624C" w:rsidR="00032919">
        <w:rPr>
          <w:sz w:val="22"/>
          <w:szCs w:val="22"/>
        </w:rPr>
        <w:t xml:space="preserve">name, </w:t>
      </w:r>
      <w:r w:rsidRPr="0025624C">
        <w:rPr>
          <w:sz w:val="22"/>
          <w:szCs w:val="22"/>
        </w:rPr>
        <w:t>telephone num</w:t>
      </w:r>
      <w:r w:rsidRPr="0025624C" w:rsidR="00032919">
        <w:rPr>
          <w:sz w:val="22"/>
          <w:szCs w:val="22"/>
        </w:rPr>
        <w:t xml:space="preserve">ber, </w:t>
      </w:r>
      <w:r w:rsidRPr="0025624C">
        <w:rPr>
          <w:sz w:val="22"/>
          <w:szCs w:val="22"/>
        </w:rPr>
        <w:t>email address</w:t>
      </w:r>
      <w:r w:rsidRPr="0025624C" w:rsidR="00032919">
        <w:rPr>
          <w:sz w:val="22"/>
          <w:szCs w:val="22"/>
        </w:rPr>
        <w:t>, and mailing address</w:t>
      </w:r>
      <w:r w:rsidRPr="0025624C">
        <w:rPr>
          <w:sz w:val="22"/>
          <w:szCs w:val="22"/>
        </w:rPr>
        <w:t xml:space="preserve">) will be removed from </w:t>
      </w:r>
      <w:r w:rsidRPr="0025624C" w:rsidR="00BC64F4">
        <w:rPr>
          <w:sz w:val="22"/>
          <w:szCs w:val="22"/>
        </w:rPr>
        <w:t xml:space="preserve">the </w:t>
      </w:r>
      <w:r w:rsidRPr="0025624C">
        <w:rPr>
          <w:sz w:val="22"/>
          <w:szCs w:val="22"/>
        </w:rPr>
        <w:t xml:space="preserve">survey data </w:t>
      </w:r>
      <w:r w:rsidRPr="0025624C" w:rsidR="00BC64F4">
        <w:rPr>
          <w:sz w:val="22"/>
          <w:szCs w:val="22"/>
        </w:rPr>
        <w:t xml:space="preserve">prior to analysis </w:t>
      </w:r>
      <w:r w:rsidRPr="0025624C">
        <w:rPr>
          <w:sz w:val="22"/>
          <w:szCs w:val="22"/>
        </w:rPr>
        <w:t xml:space="preserve">so that it is not possible to link responses to individual respondents. Once the survey is completed, all private data on each respondent will be destroyed. Any data used for analysis by the contractor or </w:t>
      </w:r>
      <w:r w:rsidRPr="0025624C" w:rsidR="00583BC9">
        <w:rPr>
          <w:sz w:val="22"/>
          <w:szCs w:val="22"/>
        </w:rPr>
        <w:t xml:space="preserve">DOL </w:t>
      </w:r>
      <w:r w:rsidRPr="0025624C">
        <w:rPr>
          <w:sz w:val="22"/>
          <w:szCs w:val="22"/>
        </w:rPr>
        <w:t xml:space="preserve">will be completely de-identified. The entire database will be encrypted so that any data stored will be further protected. Finally, access to any data with identifying information will be limited only to </w:t>
      </w:r>
      <w:r w:rsidRPr="0025624C">
        <w:rPr>
          <w:sz w:val="22"/>
          <w:szCs w:val="22"/>
        </w:rPr>
        <w:t>contractor</w:t>
      </w:r>
      <w:r w:rsidRPr="0025624C">
        <w:rPr>
          <w:sz w:val="22"/>
          <w:szCs w:val="22"/>
        </w:rPr>
        <w:t xml:space="preserve"> staff directly working on the survey. </w:t>
      </w:r>
    </w:p>
    <w:p w:rsidR="00DD3FE6" w:rsidRPr="0025624C" w:rsidP="00DD3FE6" w14:paraId="1D794500" w14:textId="77777777">
      <w:pPr>
        <w:rPr>
          <w:sz w:val="22"/>
          <w:szCs w:val="22"/>
        </w:rPr>
      </w:pPr>
    </w:p>
    <w:p w:rsidR="004068AB" w:rsidRPr="0025624C" w:rsidP="00DD3FE6" w14:paraId="563026C6" w14:textId="003E576B">
      <w:pPr>
        <w:rPr>
          <w:sz w:val="22"/>
          <w:szCs w:val="22"/>
        </w:rPr>
      </w:pPr>
      <w:r w:rsidRPr="0025624C">
        <w:rPr>
          <w:sz w:val="22"/>
          <w:szCs w:val="22"/>
        </w:rPr>
        <w:t>All analyses</w:t>
      </w:r>
      <w:r w:rsidRPr="0025624C" w:rsidR="005F196B">
        <w:rPr>
          <w:sz w:val="22"/>
          <w:szCs w:val="22"/>
        </w:rPr>
        <w:t xml:space="preserve"> </w:t>
      </w:r>
      <w:r w:rsidRPr="0025624C">
        <w:rPr>
          <w:sz w:val="22"/>
          <w:szCs w:val="22"/>
        </w:rPr>
        <w:t>will be presented at the aggregate level</w:t>
      </w:r>
      <w:r w:rsidRPr="0025624C" w:rsidR="00B67C49">
        <w:rPr>
          <w:sz w:val="22"/>
          <w:szCs w:val="22"/>
        </w:rPr>
        <w:t>,</w:t>
      </w:r>
      <w:r w:rsidRPr="0025624C">
        <w:rPr>
          <w:sz w:val="22"/>
          <w:szCs w:val="22"/>
        </w:rPr>
        <w:t xml:space="preserve"> and it will not be possible to link specific responses to individual respondents in any way. The database delivered to DOL will not include any identifying information such as names, addresses, telephone numbers, or </w:t>
      </w:r>
      <w:r w:rsidRPr="0025624C" w:rsidR="00CF7589">
        <w:rPr>
          <w:sz w:val="22"/>
          <w:szCs w:val="22"/>
        </w:rPr>
        <w:t>email addresses</w:t>
      </w:r>
      <w:r w:rsidRPr="0025624C">
        <w:rPr>
          <w:sz w:val="22"/>
          <w:szCs w:val="22"/>
        </w:rPr>
        <w:t xml:space="preserve">, or any other information that might </w:t>
      </w:r>
      <w:r w:rsidRPr="0025624C" w:rsidR="005F196B">
        <w:rPr>
          <w:sz w:val="22"/>
          <w:szCs w:val="22"/>
        </w:rPr>
        <w:t>lead to</w:t>
      </w:r>
      <w:r w:rsidRPr="0025624C">
        <w:rPr>
          <w:sz w:val="22"/>
          <w:szCs w:val="22"/>
        </w:rPr>
        <w:t xml:space="preserve"> identification of respondents.</w:t>
      </w:r>
    </w:p>
    <w:p w:rsidR="00DD3FE6" w:rsidRPr="0025624C" w:rsidP="00DD3FE6" w14:paraId="7CFCB9DF" w14:textId="77777777">
      <w:pPr>
        <w:rPr>
          <w:sz w:val="22"/>
          <w:szCs w:val="22"/>
        </w:rPr>
      </w:pPr>
    </w:p>
    <w:p w:rsidR="00DE48F0" w:rsidP="0025624C" w14:paraId="0EE02B56" w14:textId="12489931">
      <w:pPr>
        <w:rPr>
          <w:sz w:val="22"/>
          <w:szCs w:val="22"/>
        </w:rPr>
      </w:pPr>
      <w:r w:rsidRPr="0025624C">
        <w:rPr>
          <w:sz w:val="22"/>
          <w:szCs w:val="22"/>
        </w:rPr>
        <w:t xml:space="preserve">The contractor has received approval from its IRB. All </w:t>
      </w:r>
      <w:r w:rsidRPr="0025624C" w:rsidR="00A40B31">
        <w:rPr>
          <w:sz w:val="22"/>
          <w:szCs w:val="22"/>
        </w:rPr>
        <w:t xml:space="preserve">contractor staff working on the study have completed training in human </w:t>
      </w:r>
      <w:r w:rsidRPr="0025624C" w:rsidR="00A40B31">
        <w:rPr>
          <w:sz w:val="22"/>
          <w:szCs w:val="22"/>
        </w:rPr>
        <w:t>subjects</w:t>
      </w:r>
      <w:r w:rsidRPr="0025624C" w:rsidR="00A40B31">
        <w:rPr>
          <w:sz w:val="22"/>
          <w:szCs w:val="22"/>
        </w:rPr>
        <w:t xml:space="preserve"> protection.</w:t>
      </w:r>
    </w:p>
    <w:p w:rsidR="0025624C" w:rsidRPr="0025624C" w:rsidP="0025624C" w14:paraId="7AFD55B6" w14:textId="77777777">
      <w:pPr>
        <w:rPr>
          <w:sz w:val="22"/>
          <w:szCs w:val="22"/>
        </w:rPr>
      </w:pPr>
    </w:p>
    <w:p w:rsidR="00DE48F0" w:rsidRPr="0025624C" w:rsidP="00DE48F0" w14:paraId="48EB366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11</w:t>
      </w:r>
      <w:r w:rsidRPr="0025624C">
        <w:rPr>
          <w:b/>
          <w:bCs/>
          <w:sz w:val="22"/>
          <w:szCs w:val="22"/>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w:t>
      </w:r>
      <w:r w:rsidRPr="0025624C" w:rsidR="00597D0F">
        <w:rPr>
          <w:b/>
          <w:sz w:val="22"/>
          <w:szCs w:val="22"/>
        </w:rPr>
        <w:t xml:space="preserve"> of </w:t>
      </w:r>
      <w:r w:rsidRPr="0025624C">
        <w:rPr>
          <w:b/>
          <w:bCs/>
          <w:sz w:val="22"/>
          <w:szCs w:val="22"/>
        </w:rPr>
        <w:t xml:space="preserve">the information, the explanation to be given to </w:t>
      </w:r>
      <w:r w:rsidRPr="0025624C">
        <w:rPr>
          <w:b/>
          <w:bCs/>
          <w:sz w:val="22"/>
          <w:szCs w:val="22"/>
        </w:rPr>
        <w:t>persons</w:t>
      </w:r>
      <w:r w:rsidRPr="0025624C">
        <w:rPr>
          <w:b/>
          <w:bCs/>
          <w:sz w:val="22"/>
          <w:szCs w:val="22"/>
        </w:rPr>
        <w:t xml:space="preserve"> from whom the information is requested, and any steps to be taken to obtain their consent.</w:t>
      </w:r>
    </w:p>
    <w:p w:rsidR="00CF7589" w:rsidRPr="0025624C" w:rsidP="00DE48F0" w14:paraId="160F0F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p>
    <w:p w:rsidR="00086169" w:rsidRPr="0025624C" w:rsidP="000B3EFF" w14:paraId="577C2F24" w14:textId="72AC6595">
      <w:pPr>
        <w:rPr>
          <w:sz w:val="22"/>
          <w:szCs w:val="22"/>
        </w:rPr>
      </w:pPr>
      <w:r w:rsidRPr="0025624C">
        <w:rPr>
          <w:sz w:val="22"/>
          <w:szCs w:val="22"/>
        </w:rPr>
        <w:t>Some respondents may find some of the questions sensitive. The questions about whether a respondent was not paid or retaliated against</w:t>
      </w:r>
      <w:r w:rsidRPr="0025624C" w:rsidR="00040C75">
        <w:rPr>
          <w:sz w:val="22"/>
          <w:szCs w:val="22"/>
        </w:rPr>
        <w:t xml:space="preserve"> by their employer</w:t>
      </w:r>
      <w:r w:rsidRPr="0025624C">
        <w:rPr>
          <w:sz w:val="22"/>
          <w:szCs w:val="22"/>
        </w:rPr>
        <w:t xml:space="preserve"> may be deemed sensitive. </w:t>
      </w:r>
      <w:r w:rsidRPr="0025624C" w:rsidR="001F6AE7">
        <w:rPr>
          <w:sz w:val="22"/>
          <w:szCs w:val="22"/>
        </w:rPr>
        <w:t xml:space="preserve">In addition, respondents are asked to provide information about </w:t>
      </w:r>
      <w:r w:rsidRPr="0025624C" w:rsidR="001572E1">
        <w:rPr>
          <w:sz w:val="22"/>
          <w:szCs w:val="22"/>
        </w:rPr>
        <w:t>their jobs, which</w:t>
      </w:r>
      <w:r w:rsidRPr="0025624C" w:rsidR="001F6AE7">
        <w:rPr>
          <w:sz w:val="22"/>
          <w:szCs w:val="22"/>
        </w:rPr>
        <w:t xml:space="preserve"> includes the industry in which they work, the total number (reported in ranges) of workers at the firm/company, and the zip code. </w:t>
      </w:r>
      <w:r w:rsidRPr="0025624C" w:rsidR="00D1189F">
        <w:rPr>
          <w:sz w:val="22"/>
          <w:szCs w:val="22"/>
        </w:rPr>
        <w:t>(</w:t>
      </w:r>
      <w:r w:rsidRPr="0025624C" w:rsidR="001F6AE7">
        <w:rPr>
          <w:sz w:val="22"/>
          <w:szCs w:val="22"/>
        </w:rPr>
        <w:t xml:space="preserve">If respondents </w:t>
      </w:r>
      <w:r w:rsidRPr="0025624C" w:rsidR="001572E1">
        <w:rPr>
          <w:sz w:val="22"/>
          <w:szCs w:val="22"/>
        </w:rPr>
        <w:t>skip the question about the employer’s zip code, they are asked about the state.</w:t>
      </w:r>
      <w:r w:rsidRPr="0025624C" w:rsidR="00D1189F">
        <w:rPr>
          <w:sz w:val="22"/>
          <w:szCs w:val="22"/>
        </w:rPr>
        <w:t>)</w:t>
      </w:r>
      <w:r w:rsidRPr="0025624C" w:rsidR="001F6AE7">
        <w:rPr>
          <w:sz w:val="22"/>
          <w:szCs w:val="22"/>
        </w:rPr>
        <w:t xml:space="preserve"> </w:t>
      </w:r>
      <w:r w:rsidRPr="0025624C" w:rsidR="00D44090">
        <w:rPr>
          <w:sz w:val="22"/>
          <w:szCs w:val="22"/>
        </w:rPr>
        <w:t xml:space="preserve">This information is asked to </w:t>
      </w:r>
      <w:r w:rsidRPr="0025624C" w:rsidR="00A87B8C">
        <w:rPr>
          <w:sz w:val="22"/>
          <w:szCs w:val="22"/>
        </w:rPr>
        <w:t xml:space="preserve">examine compliance with state employment laws and </w:t>
      </w:r>
      <w:r w:rsidRPr="0025624C" w:rsidR="00BB1E78">
        <w:rPr>
          <w:sz w:val="22"/>
          <w:szCs w:val="22"/>
        </w:rPr>
        <w:t xml:space="preserve">to </w:t>
      </w:r>
      <w:r w:rsidRPr="0025624C" w:rsidR="00D44090">
        <w:rPr>
          <w:sz w:val="22"/>
          <w:szCs w:val="22"/>
        </w:rPr>
        <w:t xml:space="preserve">link </w:t>
      </w:r>
      <w:r w:rsidRPr="0025624C" w:rsidR="00953BCF">
        <w:rPr>
          <w:sz w:val="22"/>
          <w:szCs w:val="22"/>
        </w:rPr>
        <w:t xml:space="preserve">to </w:t>
      </w:r>
      <w:r w:rsidRPr="0025624C" w:rsidR="00D44090">
        <w:rPr>
          <w:sz w:val="22"/>
          <w:szCs w:val="22"/>
        </w:rPr>
        <w:t xml:space="preserve">Census data </w:t>
      </w:r>
      <w:r w:rsidRPr="0025624C" w:rsidR="00046F38">
        <w:rPr>
          <w:sz w:val="22"/>
          <w:szCs w:val="22"/>
        </w:rPr>
        <w:t xml:space="preserve">on </w:t>
      </w:r>
      <w:r w:rsidRPr="0025624C" w:rsidR="00D44090">
        <w:rPr>
          <w:sz w:val="22"/>
          <w:szCs w:val="22"/>
        </w:rPr>
        <w:t xml:space="preserve">community </w:t>
      </w:r>
      <w:r w:rsidRPr="0025624C" w:rsidR="00086599">
        <w:rPr>
          <w:sz w:val="22"/>
          <w:szCs w:val="22"/>
        </w:rPr>
        <w:t>characteristics,</w:t>
      </w:r>
      <w:r w:rsidRPr="0025624C" w:rsidR="002B76E4">
        <w:rPr>
          <w:sz w:val="22"/>
          <w:szCs w:val="22"/>
        </w:rPr>
        <w:t xml:space="preserve"> industry mix</w:t>
      </w:r>
      <w:r w:rsidRPr="0025624C" w:rsidR="00086599">
        <w:rPr>
          <w:sz w:val="22"/>
          <w:szCs w:val="22"/>
        </w:rPr>
        <w:t>, and employment</w:t>
      </w:r>
      <w:r w:rsidRPr="0025624C" w:rsidR="002B76E4">
        <w:rPr>
          <w:sz w:val="22"/>
          <w:szCs w:val="22"/>
        </w:rPr>
        <w:t xml:space="preserve"> </w:t>
      </w:r>
      <w:r w:rsidRPr="0025624C" w:rsidR="00046F38">
        <w:rPr>
          <w:sz w:val="22"/>
          <w:szCs w:val="22"/>
        </w:rPr>
        <w:t>trends</w:t>
      </w:r>
      <w:r w:rsidRPr="0025624C" w:rsidR="00086599">
        <w:rPr>
          <w:sz w:val="22"/>
          <w:szCs w:val="22"/>
        </w:rPr>
        <w:t xml:space="preserve">. </w:t>
      </w:r>
      <w:r w:rsidRPr="0025624C">
        <w:rPr>
          <w:sz w:val="22"/>
          <w:szCs w:val="22"/>
        </w:rPr>
        <w:t xml:space="preserve">The </w:t>
      </w:r>
      <w:r w:rsidRPr="0025624C" w:rsidR="00371C3F">
        <w:rPr>
          <w:sz w:val="22"/>
          <w:szCs w:val="22"/>
        </w:rPr>
        <w:t xml:space="preserve">National </w:t>
      </w:r>
      <w:r w:rsidRPr="0025624C">
        <w:rPr>
          <w:sz w:val="22"/>
          <w:szCs w:val="22"/>
        </w:rPr>
        <w:t xml:space="preserve">Worker Survey is voluntary, and no individuals are required to respond to the </w:t>
      </w:r>
      <w:r w:rsidRPr="0025624C" w:rsidR="00EF2CE5">
        <w:rPr>
          <w:sz w:val="22"/>
          <w:szCs w:val="22"/>
        </w:rPr>
        <w:t>survey</w:t>
      </w:r>
      <w:r w:rsidRPr="0025624C">
        <w:rPr>
          <w:sz w:val="22"/>
          <w:szCs w:val="22"/>
        </w:rPr>
        <w:t xml:space="preserve">. In addition, respondents may </w:t>
      </w:r>
      <w:r w:rsidRPr="0025624C" w:rsidR="00973C8C">
        <w:rPr>
          <w:sz w:val="22"/>
          <w:szCs w:val="22"/>
        </w:rPr>
        <w:t>skip</w:t>
      </w:r>
      <w:r w:rsidRPr="0025624C">
        <w:rPr>
          <w:sz w:val="22"/>
          <w:szCs w:val="22"/>
        </w:rPr>
        <w:t xml:space="preserve"> </w:t>
      </w:r>
      <w:r w:rsidRPr="0025624C" w:rsidR="00973C8C">
        <w:rPr>
          <w:sz w:val="22"/>
          <w:szCs w:val="22"/>
        </w:rPr>
        <w:t xml:space="preserve">most </w:t>
      </w:r>
      <w:r w:rsidRPr="0025624C">
        <w:rPr>
          <w:sz w:val="22"/>
          <w:szCs w:val="22"/>
        </w:rPr>
        <w:t>question</w:t>
      </w:r>
      <w:r w:rsidRPr="0025624C" w:rsidR="00973C8C">
        <w:rPr>
          <w:sz w:val="22"/>
          <w:szCs w:val="22"/>
        </w:rPr>
        <w:t>s</w:t>
      </w:r>
      <w:r w:rsidRPr="0025624C">
        <w:rPr>
          <w:sz w:val="22"/>
          <w:szCs w:val="22"/>
        </w:rPr>
        <w:t xml:space="preserve"> in the </w:t>
      </w:r>
      <w:r w:rsidRPr="0025624C">
        <w:rPr>
          <w:sz w:val="22"/>
          <w:szCs w:val="22"/>
        </w:rPr>
        <w:t xml:space="preserve">survey. Respondents are informed of the voluntary nature of the survey in the mailed materials, as well as </w:t>
      </w:r>
      <w:r w:rsidRPr="0025624C" w:rsidR="00C25CFA">
        <w:rPr>
          <w:sz w:val="22"/>
          <w:szCs w:val="22"/>
        </w:rPr>
        <w:t>in the actual web</w:t>
      </w:r>
      <w:r w:rsidRPr="0025624C">
        <w:rPr>
          <w:sz w:val="22"/>
          <w:szCs w:val="22"/>
        </w:rPr>
        <w:t xml:space="preserve"> survey.  </w:t>
      </w:r>
    </w:p>
    <w:p w:rsidR="00CF7589" w:rsidRPr="0025624C" w:rsidP="000B3EFF" w14:paraId="4D9D3AFD" w14:textId="3E2A9639">
      <w:pPr>
        <w:rPr>
          <w:sz w:val="22"/>
          <w:szCs w:val="22"/>
        </w:rPr>
      </w:pPr>
    </w:p>
    <w:p w:rsidR="00CF7589" w:rsidRPr="0025624C" w:rsidP="000B3EFF" w14:paraId="69ECF5EE" w14:textId="0FADF35E">
      <w:pPr>
        <w:rPr>
          <w:sz w:val="22"/>
          <w:szCs w:val="22"/>
        </w:rPr>
      </w:pPr>
      <w:r w:rsidRPr="0025624C">
        <w:rPr>
          <w:sz w:val="22"/>
          <w:szCs w:val="22"/>
        </w:rPr>
        <w:t xml:space="preserve">DOL conducted cognitive tests on the worker survey with </w:t>
      </w:r>
      <w:r w:rsidRPr="0025624C" w:rsidR="000D57F6">
        <w:rPr>
          <w:sz w:val="22"/>
          <w:szCs w:val="22"/>
        </w:rPr>
        <w:t>40</w:t>
      </w:r>
      <w:r w:rsidRPr="0025624C" w:rsidR="009D0BCD">
        <w:rPr>
          <w:sz w:val="22"/>
          <w:szCs w:val="22"/>
        </w:rPr>
        <w:t xml:space="preserve"> respondents</w:t>
      </w:r>
      <w:r w:rsidRPr="0025624C" w:rsidR="006A587B">
        <w:rPr>
          <w:sz w:val="22"/>
          <w:szCs w:val="22"/>
        </w:rPr>
        <w:t xml:space="preserve"> (</w:t>
      </w:r>
      <w:r w:rsidR="00802947">
        <w:rPr>
          <w:sz w:val="22"/>
          <w:szCs w:val="22"/>
        </w:rPr>
        <w:t>OMB Control Number</w:t>
      </w:r>
      <w:r w:rsidR="00B62EA4">
        <w:rPr>
          <w:sz w:val="22"/>
          <w:szCs w:val="22"/>
        </w:rPr>
        <w:t xml:space="preserve"> </w:t>
      </w:r>
      <w:r w:rsidRPr="0025624C" w:rsidR="006A587B">
        <w:rPr>
          <w:sz w:val="22"/>
          <w:szCs w:val="22"/>
        </w:rPr>
        <w:t>1290-0043)</w:t>
      </w:r>
      <w:r w:rsidRPr="0025624C">
        <w:rPr>
          <w:sz w:val="22"/>
          <w:szCs w:val="22"/>
        </w:rPr>
        <w:t xml:space="preserve">. These purposively selected respondents included workers who were </w:t>
      </w:r>
      <w:r w:rsidRPr="0025624C" w:rsidR="00377742">
        <w:rPr>
          <w:sz w:val="22"/>
          <w:szCs w:val="22"/>
        </w:rPr>
        <w:t xml:space="preserve">salaried and hourly </w:t>
      </w:r>
      <w:r w:rsidRPr="0025624C" w:rsidR="00A71A39">
        <w:rPr>
          <w:sz w:val="22"/>
          <w:szCs w:val="22"/>
        </w:rPr>
        <w:t>and in different industries</w:t>
      </w:r>
      <w:r w:rsidRPr="0025624C">
        <w:rPr>
          <w:sz w:val="22"/>
          <w:szCs w:val="22"/>
        </w:rPr>
        <w:t xml:space="preserve"> to </w:t>
      </w:r>
      <w:r w:rsidRPr="0025624C" w:rsidR="00377742">
        <w:rPr>
          <w:sz w:val="22"/>
          <w:szCs w:val="22"/>
        </w:rPr>
        <w:t>gauge how the questions would be understood by different workers</w:t>
      </w:r>
      <w:r w:rsidRPr="0025624C">
        <w:rPr>
          <w:sz w:val="22"/>
          <w:szCs w:val="22"/>
        </w:rPr>
        <w:t xml:space="preserve">. The cognitive testing did not reveal any </w:t>
      </w:r>
      <w:r w:rsidRPr="0025624C" w:rsidR="00A456DC">
        <w:rPr>
          <w:sz w:val="22"/>
          <w:szCs w:val="22"/>
        </w:rPr>
        <w:t xml:space="preserve">concerns </w:t>
      </w:r>
      <w:r w:rsidRPr="0025624C">
        <w:rPr>
          <w:sz w:val="22"/>
          <w:szCs w:val="22"/>
        </w:rPr>
        <w:t xml:space="preserve">from respondents </w:t>
      </w:r>
      <w:r w:rsidRPr="0025624C" w:rsidR="00A456DC">
        <w:rPr>
          <w:sz w:val="22"/>
          <w:szCs w:val="22"/>
        </w:rPr>
        <w:t>about</w:t>
      </w:r>
      <w:r w:rsidRPr="0025624C">
        <w:rPr>
          <w:sz w:val="22"/>
          <w:szCs w:val="22"/>
        </w:rPr>
        <w:t xml:space="preserve"> answering the survey questions. </w:t>
      </w:r>
      <w:r w:rsidRPr="0025624C" w:rsidR="00A456DC">
        <w:rPr>
          <w:sz w:val="22"/>
          <w:szCs w:val="22"/>
        </w:rPr>
        <w:t xml:space="preserve">The survey included in this package </w:t>
      </w:r>
      <w:r w:rsidRPr="0025624C" w:rsidR="009B0B53">
        <w:rPr>
          <w:sz w:val="22"/>
          <w:szCs w:val="22"/>
        </w:rPr>
        <w:t>incorporates</w:t>
      </w:r>
      <w:r w:rsidRPr="0025624C" w:rsidR="00A456DC">
        <w:rPr>
          <w:sz w:val="22"/>
          <w:szCs w:val="22"/>
        </w:rPr>
        <w:t xml:space="preserve"> the revisions based on the cognitive tests.</w:t>
      </w:r>
    </w:p>
    <w:p w:rsidR="00DE74FD" w:rsidRPr="0025624C" w:rsidP="00711D94" w14:paraId="257E0D93" w14:textId="77777777">
      <w:pPr>
        <w:rPr>
          <w:sz w:val="22"/>
          <w:szCs w:val="22"/>
        </w:rPr>
      </w:pPr>
    </w:p>
    <w:p w:rsidR="009D314F" w:rsidRPr="0025624C" w:rsidP="00EC43F8" w14:paraId="7CACDC10" w14:textId="4046347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sz w:val="22"/>
          <w:szCs w:val="22"/>
        </w:rPr>
        <w:t>12</w:t>
      </w:r>
      <w:r w:rsidRPr="0025624C">
        <w:rPr>
          <w:b/>
          <w:bCs/>
          <w:sz w:val="22"/>
          <w:szCs w:val="22"/>
        </w:rPr>
        <w:t>.  Provide</w:t>
      </w:r>
      <w:r w:rsidRPr="0025624C">
        <w:rPr>
          <w:b/>
          <w:bCs/>
          <w:sz w:val="22"/>
          <w:szCs w:val="22"/>
        </w:rPr>
        <w:t xml:space="preserve"> estimates </w:t>
      </w:r>
      <w:r w:rsidRPr="0025624C" w:rsidR="00597D0F">
        <w:rPr>
          <w:b/>
          <w:sz w:val="22"/>
          <w:szCs w:val="22"/>
        </w:rPr>
        <w:t xml:space="preserve">of </w:t>
      </w:r>
      <w:r w:rsidRPr="0025624C">
        <w:rPr>
          <w:b/>
          <w:bCs/>
          <w:sz w:val="22"/>
          <w:szCs w:val="22"/>
        </w:rPr>
        <w:t xml:space="preserve">the hour burden of the collection of information. </w:t>
      </w:r>
    </w:p>
    <w:p w:rsidR="00AD7D86" w:rsidRPr="0025624C" w:rsidP="00AB48E3" w14:paraId="32B2853F" w14:textId="77777777">
      <w:pPr>
        <w:rPr>
          <w:sz w:val="22"/>
          <w:szCs w:val="22"/>
        </w:rPr>
      </w:pPr>
    </w:p>
    <w:p w:rsidR="00D664CE" w:rsidRPr="0025624C" w:rsidP="00AB48E3" w14:paraId="2C3FA68C" w14:textId="2C4B50E8">
      <w:pPr>
        <w:rPr>
          <w:sz w:val="22"/>
          <w:szCs w:val="22"/>
        </w:rPr>
      </w:pPr>
      <w:r w:rsidRPr="0025624C">
        <w:rPr>
          <w:sz w:val="22"/>
          <w:szCs w:val="22"/>
        </w:rPr>
        <w:t xml:space="preserve">The </w:t>
      </w:r>
      <w:r w:rsidRPr="0025624C" w:rsidR="00306513">
        <w:rPr>
          <w:sz w:val="22"/>
          <w:szCs w:val="22"/>
        </w:rPr>
        <w:t>survey</w:t>
      </w:r>
      <w:r w:rsidRPr="0025624C">
        <w:rPr>
          <w:sz w:val="22"/>
          <w:szCs w:val="22"/>
        </w:rPr>
        <w:t xml:space="preserve"> annual hour burden contains two components: a </w:t>
      </w:r>
      <w:r w:rsidRPr="0025624C" w:rsidR="00EF2CE5">
        <w:rPr>
          <w:sz w:val="22"/>
          <w:szCs w:val="22"/>
        </w:rPr>
        <w:t>screener</w:t>
      </w:r>
      <w:r w:rsidRPr="0025624C">
        <w:rPr>
          <w:sz w:val="22"/>
          <w:szCs w:val="22"/>
        </w:rPr>
        <w:t xml:space="preserve"> and an extended </w:t>
      </w:r>
      <w:r w:rsidRPr="0025624C" w:rsidR="00EF2CE5">
        <w:rPr>
          <w:sz w:val="22"/>
          <w:szCs w:val="22"/>
        </w:rPr>
        <w:t>survey</w:t>
      </w:r>
      <w:r w:rsidRPr="0025624C">
        <w:rPr>
          <w:sz w:val="22"/>
          <w:szCs w:val="22"/>
        </w:rPr>
        <w:t xml:space="preserve">. </w:t>
      </w:r>
      <w:r w:rsidRPr="0025624C" w:rsidR="00E532EB">
        <w:rPr>
          <w:sz w:val="22"/>
          <w:szCs w:val="22"/>
        </w:rPr>
        <w:t>For</w:t>
      </w:r>
      <w:r w:rsidRPr="0025624C" w:rsidR="0084343E">
        <w:rPr>
          <w:sz w:val="22"/>
          <w:szCs w:val="22"/>
        </w:rPr>
        <w:t xml:space="preserve"> the ABS</w:t>
      </w:r>
      <w:r w:rsidRPr="0025624C" w:rsidR="00E532EB">
        <w:rPr>
          <w:sz w:val="22"/>
          <w:szCs w:val="22"/>
        </w:rPr>
        <w:t xml:space="preserve"> sample</w:t>
      </w:r>
      <w:r w:rsidRPr="0025624C" w:rsidR="0084343E">
        <w:rPr>
          <w:sz w:val="22"/>
          <w:szCs w:val="22"/>
        </w:rPr>
        <w:t>, e</w:t>
      </w:r>
      <w:r w:rsidRPr="0025624C">
        <w:rPr>
          <w:sz w:val="22"/>
          <w:szCs w:val="22"/>
        </w:rPr>
        <w:t xml:space="preserve">ligible households must contain at least one person who is currently working and nonexempt. To determine eligibility, the survey includes a </w:t>
      </w:r>
      <w:r w:rsidRPr="0025624C" w:rsidR="00E532EB">
        <w:rPr>
          <w:sz w:val="22"/>
          <w:szCs w:val="22"/>
        </w:rPr>
        <w:t xml:space="preserve">five-minute </w:t>
      </w:r>
      <w:r w:rsidRPr="0025624C">
        <w:rPr>
          <w:sz w:val="22"/>
          <w:szCs w:val="22"/>
        </w:rPr>
        <w:t xml:space="preserve">screener. </w:t>
      </w:r>
      <w:r w:rsidRPr="0025624C" w:rsidR="0084343E">
        <w:rPr>
          <w:sz w:val="22"/>
          <w:szCs w:val="22"/>
        </w:rPr>
        <w:t xml:space="preserve">It is estimated that </w:t>
      </w:r>
      <w:r w:rsidR="00BB7202">
        <w:rPr>
          <w:sz w:val="22"/>
          <w:szCs w:val="22"/>
        </w:rPr>
        <w:t xml:space="preserve">3,373 </w:t>
      </w:r>
      <w:r w:rsidRPr="0025624C" w:rsidR="0084343E">
        <w:rPr>
          <w:sz w:val="22"/>
          <w:szCs w:val="22"/>
        </w:rPr>
        <w:t xml:space="preserve">households will respond to the screener </w:t>
      </w:r>
      <w:r w:rsidR="00360B0A">
        <w:rPr>
          <w:sz w:val="22"/>
          <w:szCs w:val="22"/>
        </w:rPr>
        <w:t xml:space="preserve">(annualized figure) </w:t>
      </w:r>
      <w:r w:rsidRPr="0025624C" w:rsidR="0084343E">
        <w:rPr>
          <w:sz w:val="22"/>
          <w:szCs w:val="22"/>
        </w:rPr>
        <w:t xml:space="preserve">and </w:t>
      </w:r>
      <w:r w:rsidRPr="0025624C">
        <w:rPr>
          <w:sz w:val="22"/>
          <w:szCs w:val="22"/>
        </w:rPr>
        <w:t>that</w:t>
      </w:r>
      <w:r w:rsidRPr="0025624C" w:rsidR="0084343E">
        <w:rPr>
          <w:sz w:val="22"/>
          <w:szCs w:val="22"/>
        </w:rPr>
        <w:t>,</w:t>
      </w:r>
      <w:r w:rsidRPr="0025624C">
        <w:rPr>
          <w:sz w:val="22"/>
          <w:szCs w:val="22"/>
        </w:rPr>
        <w:t xml:space="preserve"> of those, </w:t>
      </w:r>
      <w:r w:rsidR="00EF538C">
        <w:rPr>
          <w:sz w:val="22"/>
          <w:szCs w:val="22"/>
        </w:rPr>
        <w:t xml:space="preserve">1,349 </w:t>
      </w:r>
      <w:r w:rsidRPr="0025624C">
        <w:rPr>
          <w:sz w:val="22"/>
          <w:szCs w:val="22"/>
        </w:rPr>
        <w:t xml:space="preserve">will be eligible and go on to complete the extended </w:t>
      </w:r>
      <w:r w:rsidRPr="0025624C" w:rsidR="0033511D">
        <w:rPr>
          <w:sz w:val="22"/>
          <w:szCs w:val="22"/>
        </w:rPr>
        <w:t>survey</w:t>
      </w:r>
      <w:r w:rsidRPr="0025624C">
        <w:rPr>
          <w:sz w:val="22"/>
          <w:szCs w:val="22"/>
        </w:rPr>
        <w:t>. This will be a 25-minute</w:t>
      </w:r>
      <w:r w:rsidRPr="0025624C" w:rsidR="0084343E">
        <w:rPr>
          <w:sz w:val="22"/>
          <w:szCs w:val="22"/>
        </w:rPr>
        <w:t xml:space="preserve"> </w:t>
      </w:r>
      <w:r w:rsidRPr="0025624C" w:rsidR="0033511D">
        <w:rPr>
          <w:sz w:val="22"/>
          <w:szCs w:val="22"/>
        </w:rPr>
        <w:t>survey</w:t>
      </w:r>
      <w:r w:rsidRPr="0025624C">
        <w:rPr>
          <w:sz w:val="22"/>
          <w:szCs w:val="22"/>
        </w:rPr>
        <w:t xml:space="preserve">. </w:t>
      </w:r>
      <w:r w:rsidRPr="0025624C" w:rsidR="009826B9">
        <w:rPr>
          <w:sz w:val="22"/>
          <w:szCs w:val="22"/>
        </w:rPr>
        <w:t xml:space="preserve">The ABS </w:t>
      </w:r>
      <w:r w:rsidRPr="0025624C">
        <w:rPr>
          <w:sz w:val="22"/>
          <w:szCs w:val="22"/>
        </w:rPr>
        <w:t>sample includes</w:t>
      </w:r>
      <w:r w:rsidRPr="0025624C" w:rsidR="009826B9">
        <w:rPr>
          <w:sz w:val="22"/>
          <w:szCs w:val="22"/>
        </w:rPr>
        <w:t xml:space="preserve"> nonexempt workers, and therefore </w:t>
      </w:r>
      <w:r w:rsidRPr="0025624C" w:rsidR="00B60595">
        <w:rPr>
          <w:sz w:val="22"/>
          <w:szCs w:val="22"/>
        </w:rPr>
        <w:t xml:space="preserve">cost estimates provided here use </w:t>
      </w:r>
      <w:r w:rsidRPr="0025624C" w:rsidR="009826B9">
        <w:rPr>
          <w:sz w:val="22"/>
          <w:szCs w:val="22"/>
        </w:rPr>
        <w:t xml:space="preserve">the average hourly rate for </w:t>
      </w:r>
      <w:r w:rsidRPr="0025624C" w:rsidR="00E1285E">
        <w:rPr>
          <w:sz w:val="22"/>
          <w:szCs w:val="22"/>
        </w:rPr>
        <w:t>workers ages 18</w:t>
      </w:r>
      <w:r w:rsidRPr="0025624C" w:rsidR="005E2F96">
        <w:rPr>
          <w:sz w:val="22"/>
          <w:szCs w:val="22"/>
        </w:rPr>
        <w:t xml:space="preserve"> or older, not self-employed, and not working in management or professional occupations</w:t>
      </w:r>
      <w:r w:rsidRPr="0025624C" w:rsidR="0065166D">
        <w:rPr>
          <w:sz w:val="22"/>
          <w:szCs w:val="22"/>
        </w:rPr>
        <w:t xml:space="preserve"> likely to be exempt</w:t>
      </w:r>
      <w:r w:rsidRPr="0025624C" w:rsidR="009826B9">
        <w:rPr>
          <w:sz w:val="22"/>
          <w:szCs w:val="22"/>
        </w:rPr>
        <w:t>.</w:t>
      </w:r>
      <w:r>
        <w:rPr>
          <w:rStyle w:val="FootnoteReference"/>
          <w:sz w:val="22"/>
          <w:szCs w:val="22"/>
        </w:rPr>
        <w:footnoteReference w:id="34"/>
      </w:r>
      <w:r w:rsidRPr="0025624C">
        <w:rPr>
          <w:sz w:val="22"/>
          <w:szCs w:val="22"/>
        </w:rPr>
        <w:t xml:space="preserve"> </w:t>
      </w:r>
      <w:r w:rsidRPr="0025624C" w:rsidR="00755F0A">
        <w:rPr>
          <w:sz w:val="22"/>
          <w:szCs w:val="22"/>
        </w:rPr>
        <w:t xml:space="preserve">This estimate may be somewhat higher due to the inclusion of some higher paid workers who are exempt from the FLSA. </w:t>
      </w:r>
    </w:p>
    <w:p w:rsidR="009D314F" w:rsidRPr="0025624C" w:rsidP="00AB48E3" w14:paraId="160946B6" w14:textId="77777777">
      <w:pPr>
        <w:rPr>
          <w:sz w:val="22"/>
          <w:szCs w:val="22"/>
        </w:rPr>
      </w:pPr>
    </w:p>
    <w:p w:rsidR="00F77991" w:rsidRPr="0025624C" w:rsidP="00AB48E3" w14:paraId="4E0996F2" w14:textId="72905F4D">
      <w:pPr>
        <w:rPr>
          <w:sz w:val="22"/>
          <w:szCs w:val="22"/>
        </w:rPr>
      </w:pPr>
      <w:r w:rsidRPr="0025624C">
        <w:rPr>
          <w:sz w:val="22"/>
          <w:szCs w:val="22"/>
        </w:rPr>
        <w:t xml:space="preserve">For </w:t>
      </w:r>
      <w:r w:rsidRPr="0025624C" w:rsidR="00D664CE">
        <w:rPr>
          <w:sz w:val="22"/>
          <w:szCs w:val="22"/>
        </w:rPr>
        <w:t xml:space="preserve">the </w:t>
      </w:r>
      <w:r w:rsidRPr="0025624C">
        <w:rPr>
          <w:sz w:val="22"/>
          <w:szCs w:val="22"/>
        </w:rPr>
        <w:t>RDS</w:t>
      </w:r>
      <w:r w:rsidRPr="0025624C" w:rsidR="00D664CE">
        <w:rPr>
          <w:sz w:val="22"/>
          <w:szCs w:val="22"/>
        </w:rPr>
        <w:t xml:space="preserve"> sample</w:t>
      </w:r>
      <w:r w:rsidRPr="0025624C" w:rsidR="00BE5E80">
        <w:rPr>
          <w:sz w:val="22"/>
          <w:szCs w:val="22"/>
        </w:rPr>
        <w:t xml:space="preserve">, it is estimated that </w:t>
      </w:r>
      <w:r w:rsidR="00C9621F">
        <w:rPr>
          <w:sz w:val="22"/>
          <w:szCs w:val="22"/>
        </w:rPr>
        <w:t>1,481</w:t>
      </w:r>
      <w:r w:rsidRPr="0025624C" w:rsidR="00BE5E80">
        <w:rPr>
          <w:sz w:val="22"/>
          <w:szCs w:val="22"/>
        </w:rPr>
        <w:t xml:space="preserve"> </w:t>
      </w:r>
      <w:r w:rsidR="009571F6">
        <w:rPr>
          <w:sz w:val="22"/>
          <w:szCs w:val="22"/>
        </w:rPr>
        <w:t xml:space="preserve">individuals </w:t>
      </w:r>
      <w:r w:rsidRPr="0025624C" w:rsidR="00BE5E80">
        <w:rPr>
          <w:sz w:val="22"/>
          <w:szCs w:val="22"/>
        </w:rPr>
        <w:t xml:space="preserve">will complete the </w:t>
      </w:r>
      <w:r w:rsidRPr="0025624C" w:rsidR="00D70663">
        <w:rPr>
          <w:sz w:val="22"/>
          <w:szCs w:val="22"/>
        </w:rPr>
        <w:t xml:space="preserve">five-minute </w:t>
      </w:r>
      <w:r w:rsidRPr="0025624C" w:rsidR="00BE5E80">
        <w:rPr>
          <w:sz w:val="22"/>
          <w:szCs w:val="22"/>
        </w:rPr>
        <w:t xml:space="preserve">screener </w:t>
      </w:r>
      <w:r w:rsidR="009753A0">
        <w:rPr>
          <w:sz w:val="22"/>
          <w:szCs w:val="22"/>
        </w:rPr>
        <w:t xml:space="preserve">(annualized figure) </w:t>
      </w:r>
      <w:r w:rsidRPr="0025624C" w:rsidR="00BE5E80">
        <w:rPr>
          <w:sz w:val="22"/>
          <w:szCs w:val="22"/>
        </w:rPr>
        <w:t xml:space="preserve">and that, of those, </w:t>
      </w:r>
      <w:r w:rsidR="009753A0">
        <w:rPr>
          <w:sz w:val="22"/>
          <w:szCs w:val="22"/>
        </w:rPr>
        <w:t>1,333</w:t>
      </w:r>
      <w:r w:rsidRPr="0025624C" w:rsidR="00BE5E80">
        <w:rPr>
          <w:sz w:val="22"/>
          <w:szCs w:val="22"/>
        </w:rPr>
        <w:t xml:space="preserve"> will be eligible and go on to complete the extended </w:t>
      </w:r>
      <w:r w:rsidRPr="0025624C" w:rsidR="0033511D">
        <w:rPr>
          <w:sz w:val="22"/>
          <w:szCs w:val="22"/>
        </w:rPr>
        <w:t>survey</w:t>
      </w:r>
      <w:r w:rsidRPr="0025624C" w:rsidR="00BE5E80">
        <w:rPr>
          <w:sz w:val="22"/>
          <w:szCs w:val="22"/>
        </w:rPr>
        <w:t>.</w:t>
      </w:r>
      <w:r w:rsidRPr="0025624C" w:rsidR="002248DD">
        <w:rPr>
          <w:sz w:val="22"/>
          <w:szCs w:val="22"/>
        </w:rPr>
        <w:t xml:space="preserve"> </w:t>
      </w:r>
      <w:r w:rsidRPr="0025624C" w:rsidR="00252CF7">
        <w:rPr>
          <w:sz w:val="22"/>
          <w:szCs w:val="22"/>
        </w:rPr>
        <w:t>We expect a 90% or higher eligibility</w:t>
      </w:r>
      <w:r w:rsidRPr="0025624C" w:rsidR="00BE5E80">
        <w:rPr>
          <w:sz w:val="22"/>
          <w:szCs w:val="22"/>
        </w:rPr>
        <w:t xml:space="preserve"> because the </w:t>
      </w:r>
      <w:r w:rsidRPr="0025624C" w:rsidR="00D97C13">
        <w:rPr>
          <w:sz w:val="22"/>
          <w:szCs w:val="22"/>
        </w:rPr>
        <w:t xml:space="preserve">recruiters are asked to </w:t>
      </w:r>
      <w:r w:rsidRPr="0025624C" w:rsidR="00BE5E80">
        <w:rPr>
          <w:sz w:val="22"/>
          <w:szCs w:val="22"/>
        </w:rPr>
        <w:t>recruit</w:t>
      </w:r>
      <w:r w:rsidRPr="0025624C" w:rsidR="00992876">
        <w:rPr>
          <w:sz w:val="22"/>
          <w:szCs w:val="22"/>
        </w:rPr>
        <w:t xml:space="preserve"> people who</w:t>
      </w:r>
      <w:r w:rsidRPr="0025624C" w:rsidR="00BE5E80">
        <w:rPr>
          <w:sz w:val="22"/>
          <w:szCs w:val="22"/>
        </w:rPr>
        <w:t xml:space="preserve"> work </w:t>
      </w:r>
      <w:r w:rsidRPr="0025624C" w:rsidR="00992876">
        <w:rPr>
          <w:sz w:val="22"/>
          <w:szCs w:val="22"/>
        </w:rPr>
        <w:t>in the types of jobs that are eligible for the survey</w:t>
      </w:r>
      <w:r w:rsidRPr="0025624C" w:rsidR="00BE5E80">
        <w:rPr>
          <w:sz w:val="22"/>
          <w:szCs w:val="22"/>
        </w:rPr>
        <w:t xml:space="preserve"> </w:t>
      </w:r>
      <w:r w:rsidRPr="0025624C" w:rsidR="00992876">
        <w:rPr>
          <w:sz w:val="22"/>
          <w:szCs w:val="22"/>
        </w:rPr>
        <w:t>and more likely to be</w:t>
      </w:r>
      <w:r w:rsidRPr="0025624C" w:rsidR="00BE5E80">
        <w:rPr>
          <w:sz w:val="22"/>
          <w:szCs w:val="22"/>
        </w:rPr>
        <w:t xml:space="preserve"> nonexempt. </w:t>
      </w:r>
      <w:r w:rsidRPr="0025624C" w:rsidR="00D70663">
        <w:rPr>
          <w:sz w:val="22"/>
          <w:szCs w:val="22"/>
        </w:rPr>
        <w:t xml:space="preserve">Because the RDS sample includes workers in </w:t>
      </w:r>
      <w:r w:rsidRPr="0025624C" w:rsidR="001A1719">
        <w:rPr>
          <w:sz w:val="22"/>
          <w:szCs w:val="22"/>
        </w:rPr>
        <w:t>10</w:t>
      </w:r>
      <w:r w:rsidRPr="0025624C" w:rsidR="00D70663">
        <w:rPr>
          <w:sz w:val="22"/>
          <w:szCs w:val="22"/>
        </w:rPr>
        <w:t xml:space="preserve"> industries, the federal minimum wage was used to determine the costs.</w:t>
      </w:r>
      <w:r w:rsidRPr="0025624C">
        <w:rPr>
          <w:sz w:val="22"/>
          <w:szCs w:val="22"/>
        </w:rPr>
        <w:t xml:space="preserve"> For the nonresponse follow-up survey,</w:t>
      </w:r>
      <w:r w:rsidRPr="0025624C" w:rsidR="002669CF">
        <w:rPr>
          <w:sz w:val="22"/>
          <w:szCs w:val="22"/>
        </w:rPr>
        <w:t xml:space="preserve"> it is estimated that </w:t>
      </w:r>
      <w:r w:rsidR="009D3A4C">
        <w:rPr>
          <w:sz w:val="22"/>
          <w:szCs w:val="22"/>
        </w:rPr>
        <w:t>373 individuals</w:t>
      </w:r>
      <w:r w:rsidRPr="0025624C" w:rsidR="006270D0">
        <w:rPr>
          <w:sz w:val="22"/>
          <w:szCs w:val="22"/>
        </w:rPr>
        <w:t xml:space="preserve"> </w:t>
      </w:r>
      <w:r w:rsidRPr="0025624C" w:rsidR="002E32F7">
        <w:rPr>
          <w:sz w:val="22"/>
          <w:szCs w:val="22"/>
        </w:rPr>
        <w:t>will complete the 2-minute survey</w:t>
      </w:r>
      <w:r w:rsidR="009D3A4C">
        <w:rPr>
          <w:sz w:val="22"/>
          <w:szCs w:val="22"/>
        </w:rPr>
        <w:t xml:space="preserve"> (annualized figure)</w:t>
      </w:r>
      <w:r w:rsidRPr="0025624C" w:rsidR="002E32F7">
        <w:rPr>
          <w:sz w:val="22"/>
          <w:szCs w:val="22"/>
        </w:rPr>
        <w:t>.</w:t>
      </w:r>
      <w:r>
        <w:rPr>
          <w:rStyle w:val="FootnoteReference"/>
          <w:sz w:val="22"/>
          <w:szCs w:val="22"/>
        </w:rPr>
        <w:footnoteReference w:id="35"/>
      </w:r>
      <w:r w:rsidRPr="0025624C" w:rsidR="00E52F47">
        <w:rPr>
          <w:sz w:val="22"/>
          <w:szCs w:val="22"/>
        </w:rPr>
        <w:t xml:space="preserve"> Because the </w:t>
      </w:r>
      <w:r w:rsidR="009D3A4C">
        <w:rPr>
          <w:sz w:val="22"/>
          <w:szCs w:val="22"/>
        </w:rPr>
        <w:t xml:space="preserve">373 </w:t>
      </w:r>
      <w:r w:rsidRPr="0025624C" w:rsidR="00E52F47">
        <w:rPr>
          <w:sz w:val="22"/>
          <w:szCs w:val="22"/>
        </w:rPr>
        <w:t xml:space="preserve">includes </w:t>
      </w:r>
      <w:r w:rsidRPr="0025624C" w:rsidR="001C55D0">
        <w:rPr>
          <w:sz w:val="22"/>
          <w:szCs w:val="22"/>
        </w:rPr>
        <w:t xml:space="preserve">workers from both the ABS sample of all nonexempt workers and the RDS sample of workers in </w:t>
      </w:r>
      <w:r w:rsidRPr="0025624C" w:rsidR="001A1719">
        <w:rPr>
          <w:sz w:val="22"/>
          <w:szCs w:val="22"/>
        </w:rPr>
        <w:t>10</w:t>
      </w:r>
      <w:r w:rsidRPr="0025624C" w:rsidR="001C55D0">
        <w:rPr>
          <w:sz w:val="22"/>
          <w:szCs w:val="22"/>
        </w:rPr>
        <w:t xml:space="preserve"> industries, the average of</w:t>
      </w:r>
      <w:r w:rsidRPr="0025624C" w:rsidR="001F2E9F">
        <w:rPr>
          <w:sz w:val="22"/>
          <w:szCs w:val="22"/>
        </w:rPr>
        <w:t xml:space="preserve"> the hourly rate for </w:t>
      </w:r>
      <w:r w:rsidRPr="0025624C" w:rsidR="00C66629">
        <w:rPr>
          <w:sz w:val="22"/>
          <w:szCs w:val="22"/>
        </w:rPr>
        <w:t xml:space="preserve">nonexempt workers </w:t>
      </w:r>
      <w:r w:rsidRPr="0025624C" w:rsidR="001F2E9F">
        <w:rPr>
          <w:sz w:val="22"/>
          <w:szCs w:val="22"/>
        </w:rPr>
        <w:t>and minimum wage were used to determine the costs.</w:t>
      </w:r>
    </w:p>
    <w:p w:rsidR="00323737" w:rsidRPr="005B4C0C" w:rsidP="00AB48E3" w14:paraId="3B28A460" w14:textId="77777777"/>
    <w:p w:rsidR="00B2592B" w:rsidRPr="0025624C" w:rsidP="00864CFF" w14:paraId="4F4A1BDB" w14:textId="2F72D9EC">
      <w:pPr>
        <w:jc w:val="center"/>
        <w:rPr>
          <w:i/>
          <w:sz w:val="20"/>
          <w:szCs w:val="20"/>
        </w:rPr>
      </w:pPr>
      <w:r w:rsidRPr="0025624C">
        <w:rPr>
          <w:b/>
          <w:sz w:val="20"/>
          <w:szCs w:val="20"/>
        </w:rPr>
        <w:t>Estimated Annualized Respondent Cost and Hour Burde</w:t>
      </w:r>
      <w:r w:rsidR="00416EDE">
        <w:rPr>
          <w:b/>
          <w:sz w:val="20"/>
          <w:szCs w:val="20"/>
        </w:rPr>
        <w:t>n</w:t>
      </w:r>
    </w:p>
    <w:tbl>
      <w:tblPr>
        <w:tblStyle w:val="TableGrid2"/>
        <w:tblW w:w="0" w:type="auto"/>
        <w:tblCellMar>
          <w:left w:w="0" w:type="dxa"/>
          <w:right w:w="0" w:type="dxa"/>
        </w:tblCellMar>
        <w:tblLook w:val="04A0"/>
      </w:tblPr>
      <w:tblGrid>
        <w:gridCol w:w="1458"/>
        <w:gridCol w:w="1283"/>
        <w:gridCol w:w="1353"/>
        <w:gridCol w:w="1087"/>
        <w:gridCol w:w="1036"/>
        <w:gridCol w:w="972"/>
        <w:gridCol w:w="972"/>
        <w:gridCol w:w="1189"/>
      </w:tblGrid>
      <w:tr w14:paraId="261C8BF1" w14:textId="77777777" w:rsidTr="00416EDE">
        <w:tblPrEx>
          <w:tblW w:w="0" w:type="auto"/>
          <w:tblCellMar>
            <w:left w:w="0" w:type="dxa"/>
            <w:right w:w="0" w:type="dxa"/>
          </w:tblCellMar>
          <w:tblLook w:val="04A0"/>
        </w:tblPrEx>
        <w:trPr>
          <w:cantSplit/>
          <w:trHeight w:val="1106"/>
        </w:trPr>
        <w:tc>
          <w:tcPr>
            <w:tcW w:w="0" w:type="auto"/>
            <w:shd w:val="clear" w:color="auto" w:fill="95B3D7" w:themeFill="accent1" w:themeFillTint="99"/>
            <w:vAlign w:val="center"/>
          </w:tcPr>
          <w:p w:rsidR="00BA5C79" w:rsidRPr="00A60552" w14:paraId="691B77FF" w14:textId="77777777">
            <w:pPr>
              <w:pStyle w:val="L1-FlLSp12"/>
              <w:spacing w:line="216" w:lineRule="auto"/>
              <w:ind w:left="115" w:right="115"/>
              <w:jc w:val="center"/>
              <w:rPr>
                <w:b/>
                <w:sz w:val="18"/>
                <w:szCs w:val="18"/>
              </w:rPr>
            </w:pPr>
            <w:r w:rsidRPr="00A60552">
              <w:rPr>
                <w:b/>
                <w:bCs/>
                <w:sz w:val="18"/>
                <w:szCs w:val="18"/>
              </w:rPr>
              <w:t>Activity</w:t>
            </w:r>
          </w:p>
        </w:tc>
        <w:tc>
          <w:tcPr>
            <w:tcW w:w="0" w:type="auto"/>
            <w:shd w:val="clear" w:color="auto" w:fill="95B3D7" w:themeFill="accent1" w:themeFillTint="99"/>
            <w:vAlign w:val="center"/>
          </w:tcPr>
          <w:p w:rsidR="00BA5C79" w:rsidRPr="00A60552" w14:paraId="5DD770DD" w14:textId="77777777">
            <w:pPr>
              <w:pStyle w:val="L1-FlLSp12"/>
              <w:spacing w:line="216" w:lineRule="auto"/>
              <w:ind w:left="115" w:right="115"/>
              <w:jc w:val="center"/>
              <w:rPr>
                <w:b/>
                <w:sz w:val="18"/>
                <w:szCs w:val="18"/>
              </w:rPr>
            </w:pPr>
            <w:r w:rsidRPr="00A60552">
              <w:rPr>
                <w:b/>
                <w:bCs/>
                <w:sz w:val="18"/>
                <w:szCs w:val="18"/>
              </w:rPr>
              <w:t>No. of Respondents</w:t>
            </w:r>
          </w:p>
        </w:tc>
        <w:tc>
          <w:tcPr>
            <w:tcW w:w="0" w:type="auto"/>
            <w:shd w:val="clear" w:color="auto" w:fill="95B3D7" w:themeFill="accent1" w:themeFillTint="99"/>
            <w:vAlign w:val="center"/>
          </w:tcPr>
          <w:p w:rsidR="00BA5C79" w:rsidRPr="00A60552" w14:paraId="2D11B876" w14:textId="77777777">
            <w:pPr>
              <w:pStyle w:val="L1-FlLSp12"/>
              <w:spacing w:line="216" w:lineRule="auto"/>
              <w:ind w:left="115" w:right="115"/>
              <w:jc w:val="center"/>
              <w:rPr>
                <w:b/>
                <w:sz w:val="18"/>
                <w:szCs w:val="18"/>
              </w:rPr>
            </w:pPr>
            <w:r w:rsidRPr="00A60552">
              <w:rPr>
                <w:b/>
                <w:bCs/>
                <w:sz w:val="18"/>
                <w:szCs w:val="18"/>
              </w:rPr>
              <w:t>No.</w:t>
            </w:r>
            <w:r w:rsidRPr="00A60552">
              <w:rPr>
                <w:b/>
                <w:sz w:val="18"/>
                <w:szCs w:val="18"/>
              </w:rPr>
              <w:t xml:space="preserve"> of Responses per </w:t>
            </w:r>
            <w:r w:rsidRPr="00A60552">
              <w:rPr>
                <w:b/>
                <w:bCs/>
                <w:sz w:val="18"/>
                <w:szCs w:val="18"/>
              </w:rPr>
              <w:t>Respondent</w:t>
            </w:r>
          </w:p>
        </w:tc>
        <w:tc>
          <w:tcPr>
            <w:tcW w:w="0" w:type="auto"/>
            <w:shd w:val="clear" w:color="auto" w:fill="95B3D7" w:themeFill="accent1" w:themeFillTint="99"/>
            <w:vAlign w:val="center"/>
          </w:tcPr>
          <w:p w:rsidR="00BA5C79" w:rsidRPr="00A60552" w14:paraId="39A75A2A" w14:textId="6435494F">
            <w:pPr>
              <w:spacing w:line="216" w:lineRule="auto"/>
              <w:ind w:left="115" w:right="115"/>
              <w:jc w:val="center"/>
              <w:rPr>
                <w:b/>
                <w:bCs/>
                <w:sz w:val="18"/>
                <w:szCs w:val="18"/>
              </w:rPr>
            </w:pPr>
            <w:r w:rsidRPr="00A60552">
              <w:rPr>
                <w:b/>
                <w:sz w:val="18"/>
                <w:szCs w:val="18"/>
              </w:rPr>
              <w:t>Total Responses</w:t>
            </w:r>
          </w:p>
        </w:tc>
        <w:tc>
          <w:tcPr>
            <w:tcW w:w="0" w:type="auto"/>
            <w:shd w:val="clear" w:color="auto" w:fill="95B3D7" w:themeFill="accent1" w:themeFillTint="99"/>
            <w:vAlign w:val="center"/>
          </w:tcPr>
          <w:p w:rsidR="00BA5C79" w:rsidRPr="00A60552" w14:paraId="643AD06D" w14:textId="77777777">
            <w:pPr>
              <w:pStyle w:val="L1-FlLSp12"/>
              <w:spacing w:line="216" w:lineRule="auto"/>
              <w:ind w:left="115" w:right="115"/>
              <w:jc w:val="center"/>
              <w:rPr>
                <w:b/>
                <w:sz w:val="18"/>
                <w:szCs w:val="18"/>
              </w:rPr>
            </w:pPr>
            <w:r w:rsidRPr="00A60552">
              <w:rPr>
                <w:b/>
                <w:bCs/>
                <w:sz w:val="18"/>
                <w:szCs w:val="18"/>
              </w:rPr>
              <w:t>Average</w:t>
            </w:r>
            <w:r w:rsidRPr="00A60552">
              <w:rPr>
                <w:b/>
                <w:sz w:val="18"/>
                <w:szCs w:val="18"/>
              </w:rPr>
              <w:t xml:space="preserve"> Burden </w:t>
            </w:r>
            <w:r w:rsidRPr="00A60552">
              <w:rPr>
                <w:b/>
                <w:bCs/>
                <w:sz w:val="18"/>
                <w:szCs w:val="18"/>
              </w:rPr>
              <w:t>(Hours)</w:t>
            </w:r>
          </w:p>
        </w:tc>
        <w:tc>
          <w:tcPr>
            <w:tcW w:w="0" w:type="auto"/>
            <w:shd w:val="clear" w:color="auto" w:fill="95B3D7" w:themeFill="accent1" w:themeFillTint="99"/>
            <w:vAlign w:val="center"/>
          </w:tcPr>
          <w:p w:rsidR="00BA5C79" w:rsidRPr="00A60552" w14:paraId="3F5AD744" w14:textId="77777777">
            <w:pPr>
              <w:pStyle w:val="L1-FlLSp12"/>
              <w:spacing w:line="216" w:lineRule="auto"/>
              <w:ind w:left="115" w:right="115"/>
              <w:jc w:val="center"/>
              <w:rPr>
                <w:b/>
                <w:sz w:val="18"/>
                <w:szCs w:val="18"/>
              </w:rPr>
            </w:pPr>
            <w:r w:rsidRPr="00A60552">
              <w:rPr>
                <w:b/>
                <w:sz w:val="18"/>
                <w:szCs w:val="18"/>
              </w:rPr>
              <w:t>Total Burden (</w:t>
            </w:r>
            <w:r w:rsidRPr="00A60552">
              <w:rPr>
                <w:b/>
                <w:bCs/>
                <w:sz w:val="18"/>
                <w:szCs w:val="18"/>
              </w:rPr>
              <w:t>Hours</w:t>
            </w:r>
            <w:r w:rsidRPr="00A60552">
              <w:rPr>
                <w:b/>
                <w:sz w:val="18"/>
                <w:szCs w:val="18"/>
              </w:rPr>
              <w:t>)</w:t>
            </w:r>
          </w:p>
        </w:tc>
        <w:tc>
          <w:tcPr>
            <w:tcW w:w="0" w:type="auto"/>
            <w:shd w:val="clear" w:color="auto" w:fill="95B3D7" w:themeFill="accent1" w:themeFillTint="99"/>
            <w:vAlign w:val="center"/>
          </w:tcPr>
          <w:p w:rsidR="00BA5C79" w:rsidRPr="00A60552" w14:paraId="1372150C" w14:textId="47B7F76F">
            <w:pPr>
              <w:pStyle w:val="L1-FlLSp12"/>
              <w:spacing w:line="216" w:lineRule="auto"/>
              <w:ind w:left="115" w:right="115"/>
              <w:jc w:val="center"/>
              <w:rPr>
                <w:b/>
                <w:sz w:val="18"/>
                <w:szCs w:val="18"/>
              </w:rPr>
            </w:pPr>
            <w:r w:rsidRPr="00A60552">
              <w:rPr>
                <w:b/>
                <w:bCs/>
                <w:sz w:val="18"/>
                <w:szCs w:val="18"/>
              </w:rPr>
              <w:t xml:space="preserve">Hourly </w:t>
            </w:r>
            <w:r w:rsidRPr="00A60552">
              <w:rPr>
                <w:b/>
                <w:sz w:val="18"/>
                <w:szCs w:val="18"/>
              </w:rPr>
              <w:t>Wage Rate</w:t>
            </w:r>
            <w:r w:rsidRPr="00A60552" w:rsidR="00416EDE">
              <w:rPr>
                <w:b/>
                <w:sz w:val="18"/>
                <w:szCs w:val="18"/>
                <w:vertAlign w:val="superscript"/>
              </w:rPr>
              <w:t>1,2</w:t>
            </w:r>
            <w:r w:rsidRPr="00A60552">
              <w:rPr>
                <w:b/>
                <w:sz w:val="18"/>
                <w:szCs w:val="18"/>
                <w:vertAlign w:val="superscript"/>
              </w:rPr>
              <w:t>,3</w:t>
            </w:r>
          </w:p>
        </w:tc>
        <w:tc>
          <w:tcPr>
            <w:tcW w:w="0" w:type="auto"/>
            <w:shd w:val="clear" w:color="auto" w:fill="95B3D7" w:themeFill="accent1" w:themeFillTint="99"/>
            <w:vAlign w:val="center"/>
          </w:tcPr>
          <w:p w:rsidR="00BA5C79" w:rsidRPr="00A60552" w14:paraId="3E3C307A" w14:textId="18D34B8A">
            <w:pPr>
              <w:pStyle w:val="L1-FlLSp12"/>
              <w:spacing w:line="216" w:lineRule="auto"/>
              <w:ind w:left="115" w:right="115"/>
              <w:jc w:val="center"/>
              <w:rPr>
                <w:b/>
                <w:sz w:val="18"/>
                <w:szCs w:val="18"/>
              </w:rPr>
            </w:pPr>
            <w:r w:rsidRPr="00A60552">
              <w:rPr>
                <w:b/>
                <w:bCs/>
                <w:sz w:val="18"/>
                <w:szCs w:val="18"/>
              </w:rPr>
              <w:t>Monetized Value of Time</w:t>
            </w:r>
          </w:p>
        </w:tc>
      </w:tr>
      <w:tr w14:paraId="1CD3DE98" w14:textId="77777777" w:rsidTr="00266D10">
        <w:tblPrEx>
          <w:tblW w:w="0" w:type="auto"/>
          <w:tblCellMar>
            <w:left w:w="0" w:type="dxa"/>
            <w:right w:w="0" w:type="dxa"/>
          </w:tblCellMar>
          <w:tblLook w:val="04A0"/>
        </w:tblPrEx>
        <w:trPr>
          <w:trHeight w:val="20"/>
        </w:trPr>
        <w:tc>
          <w:tcPr>
            <w:tcW w:w="0" w:type="auto"/>
            <w:vAlign w:val="center"/>
          </w:tcPr>
          <w:p w:rsidR="00BA5C79" w:rsidRPr="00A60552" w:rsidP="00610B44" w14:paraId="30316B4D" w14:textId="054ECE41">
            <w:pPr>
              <w:pStyle w:val="L1-FlLSp12"/>
              <w:spacing w:line="276" w:lineRule="auto"/>
              <w:jc w:val="center"/>
              <w:rPr>
                <w:b/>
                <w:sz w:val="18"/>
                <w:szCs w:val="18"/>
              </w:rPr>
            </w:pPr>
            <w:r w:rsidRPr="00A60552">
              <w:rPr>
                <w:snapToGrid w:val="0"/>
                <w:sz w:val="18"/>
                <w:szCs w:val="18"/>
              </w:rPr>
              <w:t xml:space="preserve">ABS </w:t>
            </w:r>
            <w:r w:rsidRPr="00A60552" w:rsidR="00C02A6C">
              <w:rPr>
                <w:snapToGrid w:val="0"/>
                <w:sz w:val="18"/>
                <w:szCs w:val="18"/>
              </w:rPr>
              <w:t>S</w:t>
            </w:r>
            <w:r w:rsidRPr="00A60552">
              <w:rPr>
                <w:snapToGrid w:val="0"/>
                <w:sz w:val="18"/>
                <w:szCs w:val="18"/>
              </w:rPr>
              <w:t xml:space="preserve">ample </w:t>
            </w:r>
            <w:r w:rsidRPr="00A60552" w:rsidR="00C02A6C">
              <w:rPr>
                <w:snapToGrid w:val="0"/>
                <w:sz w:val="18"/>
                <w:szCs w:val="18"/>
              </w:rPr>
              <w:t>S</w:t>
            </w:r>
            <w:r w:rsidRPr="00A60552">
              <w:rPr>
                <w:snapToGrid w:val="0"/>
                <w:sz w:val="18"/>
                <w:szCs w:val="18"/>
              </w:rPr>
              <w:t xml:space="preserve">creener </w:t>
            </w:r>
            <w:r w:rsidRPr="00A60552" w:rsidR="00C02281">
              <w:rPr>
                <w:snapToGrid w:val="0"/>
                <w:sz w:val="18"/>
                <w:szCs w:val="18"/>
              </w:rPr>
              <w:t>O</w:t>
            </w:r>
            <w:r w:rsidRPr="00A60552">
              <w:rPr>
                <w:snapToGrid w:val="0"/>
                <w:sz w:val="18"/>
                <w:szCs w:val="18"/>
              </w:rPr>
              <w:t>nly</w:t>
            </w:r>
            <w:r w:rsidRPr="00A60552" w:rsidR="007B4E97">
              <w:rPr>
                <w:snapToGrid w:val="0"/>
                <w:sz w:val="18"/>
                <w:szCs w:val="18"/>
              </w:rPr>
              <w:t xml:space="preserve"> (</w:t>
            </w:r>
            <w:r w:rsidRPr="00A60552" w:rsidR="002E4799">
              <w:rPr>
                <w:snapToGrid w:val="0"/>
                <w:sz w:val="18"/>
                <w:szCs w:val="18"/>
              </w:rPr>
              <w:t xml:space="preserve">English, </w:t>
            </w:r>
            <w:r w:rsidRPr="00A60552" w:rsidR="007B4E97">
              <w:rPr>
                <w:snapToGrid w:val="0"/>
                <w:sz w:val="18"/>
                <w:szCs w:val="18"/>
              </w:rPr>
              <w:t>Chinese, Spanish, and Vietnamese)</w:t>
            </w:r>
          </w:p>
        </w:tc>
        <w:tc>
          <w:tcPr>
            <w:tcW w:w="0" w:type="auto"/>
            <w:vAlign w:val="center"/>
          </w:tcPr>
          <w:p w:rsidR="00BA5C79" w:rsidRPr="00A60552" w:rsidP="00610B44" w14:paraId="72EE3F23" w14:textId="6F0D476B">
            <w:pPr>
              <w:pStyle w:val="L1-FlLSp12"/>
              <w:spacing w:line="276" w:lineRule="auto"/>
              <w:jc w:val="center"/>
              <w:rPr>
                <w:sz w:val="18"/>
                <w:szCs w:val="18"/>
              </w:rPr>
            </w:pPr>
            <w:r w:rsidRPr="00A60552">
              <w:rPr>
                <w:sz w:val="18"/>
                <w:szCs w:val="18"/>
              </w:rPr>
              <w:t>2,024</w:t>
            </w:r>
          </w:p>
        </w:tc>
        <w:tc>
          <w:tcPr>
            <w:tcW w:w="0" w:type="auto"/>
            <w:vAlign w:val="center"/>
          </w:tcPr>
          <w:p w:rsidR="00BA5C79" w:rsidRPr="00A60552" w:rsidP="00610B44" w14:paraId="38F91D92" w14:textId="77777777">
            <w:pPr>
              <w:pStyle w:val="L1-FlLSp12"/>
              <w:spacing w:line="276" w:lineRule="auto"/>
              <w:jc w:val="center"/>
              <w:rPr>
                <w:sz w:val="18"/>
                <w:szCs w:val="18"/>
              </w:rPr>
            </w:pPr>
            <w:r w:rsidRPr="00A60552">
              <w:rPr>
                <w:snapToGrid w:val="0"/>
                <w:sz w:val="18"/>
                <w:szCs w:val="18"/>
              </w:rPr>
              <w:t>1</w:t>
            </w:r>
          </w:p>
        </w:tc>
        <w:tc>
          <w:tcPr>
            <w:tcW w:w="0" w:type="auto"/>
            <w:vAlign w:val="center"/>
          </w:tcPr>
          <w:p w:rsidR="00BA5C79" w:rsidRPr="00A60552" w:rsidP="00610B44" w14:paraId="68DE8F98" w14:textId="77777777">
            <w:pPr>
              <w:jc w:val="center"/>
              <w:rPr>
                <w:sz w:val="18"/>
                <w:szCs w:val="18"/>
              </w:rPr>
            </w:pPr>
            <w:r w:rsidRPr="00A60552">
              <w:rPr>
                <w:sz w:val="18"/>
                <w:szCs w:val="18"/>
              </w:rPr>
              <w:t>2,024</w:t>
            </w:r>
          </w:p>
        </w:tc>
        <w:tc>
          <w:tcPr>
            <w:tcW w:w="0" w:type="auto"/>
            <w:vAlign w:val="center"/>
          </w:tcPr>
          <w:p w:rsidR="00BA5C79" w:rsidRPr="00A60552" w:rsidP="00610B44" w14:paraId="3D37BB52" w14:textId="77777777">
            <w:pPr>
              <w:pStyle w:val="L1-FlLSp12"/>
              <w:spacing w:line="276" w:lineRule="auto"/>
              <w:jc w:val="center"/>
              <w:rPr>
                <w:sz w:val="18"/>
                <w:szCs w:val="18"/>
              </w:rPr>
            </w:pPr>
            <w:r w:rsidRPr="00A60552">
              <w:rPr>
                <w:sz w:val="18"/>
                <w:szCs w:val="18"/>
              </w:rPr>
              <w:t>5/60</w:t>
            </w:r>
          </w:p>
        </w:tc>
        <w:tc>
          <w:tcPr>
            <w:tcW w:w="0" w:type="auto"/>
            <w:vAlign w:val="center"/>
          </w:tcPr>
          <w:p w:rsidR="00BA5C79" w:rsidRPr="00A60552" w:rsidP="00610B44" w14:paraId="1E1A115B" w14:textId="78D876EA">
            <w:pPr>
              <w:pStyle w:val="L1-FlLSp12"/>
              <w:spacing w:line="276" w:lineRule="auto"/>
              <w:jc w:val="center"/>
              <w:rPr>
                <w:sz w:val="18"/>
                <w:szCs w:val="18"/>
              </w:rPr>
            </w:pPr>
            <w:r w:rsidRPr="00A60552">
              <w:rPr>
                <w:sz w:val="18"/>
                <w:szCs w:val="18"/>
              </w:rPr>
              <w:t>169</w:t>
            </w:r>
          </w:p>
        </w:tc>
        <w:tc>
          <w:tcPr>
            <w:tcW w:w="0" w:type="auto"/>
            <w:vAlign w:val="center"/>
          </w:tcPr>
          <w:p w:rsidR="00BA5C79" w:rsidRPr="00A60552" w:rsidP="00610B44" w14:paraId="70800224" w14:textId="77777777">
            <w:pPr>
              <w:pStyle w:val="L1-FlLSp12"/>
              <w:spacing w:line="276" w:lineRule="auto"/>
              <w:jc w:val="center"/>
              <w:rPr>
                <w:sz w:val="18"/>
                <w:szCs w:val="18"/>
              </w:rPr>
            </w:pPr>
            <w:r w:rsidRPr="00A60552">
              <w:rPr>
                <w:sz w:val="18"/>
                <w:szCs w:val="18"/>
              </w:rPr>
              <w:t>$17.00</w:t>
            </w:r>
          </w:p>
        </w:tc>
        <w:tc>
          <w:tcPr>
            <w:tcW w:w="0" w:type="auto"/>
            <w:vAlign w:val="center"/>
          </w:tcPr>
          <w:p w:rsidR="00BA5C79" w:rsidRPr="00A60552" w:rsidP="00610B44" w14:paraId="7D0DFDF0" w14:textId="794C7B99">
            <w:pPr>
              <w:pStyle w:val="L1-FlLSp12"/>
              <w:spacing w:line="276" w:lineRule="auto"/>
              <w:jc w:val="center"/>
              <w:rPr>
                <w:sz w:val="18"/>
                <w:szCs w:val="18"/>
              </w:rPr>
            </w:pPr>
            <w:r w:rsidRPr="00A60552">
              <w:rPr>
                <w:sz w:val="18"/>
                <w:szCs w:val="18"/>
              </w:rPr>
              <w:t>$2,8</w:t>
            </w:r>
            <w:r w:rsidRPr="00A60552" w:rsidR="007D36B9">
              <w:rPr>
                <w:sz w:val="18"/>
                <w:szCs w:val="18"/>
              </w:rPr>
              <w:t>73</w:t>
            </w:r>
          </w:p>
        </w:tc>
      </w:tr>
      <w:tr w14:paraId="40966AD3" w14:textId="77777777" w:rsidTr="00266D10">
        <w:tblPrEx>
          <w:tblW w:w="0" w:type="auto"/>
          <w:tblCellMar>
            <w:left w:w="0" w:type="dxa"/>
            <w:right w:w="0" w:type="dxa"/>
          </w:tblCellMar>
          <w:tblLook w:val="04A0"/>
        </w:tblPrEx>
        <w:trPr>
          <w:trHeight w:val="20"/>
        </w:trPr>
        <w:tc>
          <w:tcPr>
            <w:tcW w:w="0" w:type="auto"/>
            <w:vAlign w:val="center"/>
          </w:tcPr>
          <w:p w:rsidR="00BA5C79" w:rsidRPr="00A60552" w:rsidP="00610B44" w14:paraId="2AEF386D" w14:textId="382E52FF">
            <w:pPr>
              <w:pStyle w:val="L1-FlLSp12"/>
              <w:spacing w:line="276" w:lineRule="auto"/>
              <w:jc w:val="center"/>
              <w:rPr>
                <w:snapToGrid w:val="0"/>
                <w:sz w:val="18"/>
                <w:szCs w:val="18"/>
              </w:rPr>
            </w:pPr>
            <w:r w:rsidRPr="00A60552">
              <w:rPr>
                <w:snapToGrid w:val="0"/>
                <w:sz w:val="18"/>
                <w:szCs w:val="18"/>
              </w:rPr>
              <w:t xml:space="preserve">ABS </w:t>
            </w:r>
            <w:r w:rsidRPr="00A60552" w:rsidR="00C02281">
              <w:rPr>
                <w:snapToGrid w:val="0"/>
                <w:sz w:val="18"/>
                <w:szCs w:val="18"/>
              </w:rPr>
              <w:t>S</w:t>
            </w:r>
            <w:r w:rsidRPr="00A60552">
              <w:rPr>
                <w:snapToGrid w:val="0"/>
                <w:sz w:val="18"/>
                <w:szCs w:val="18"/>
              </w:rPr>
              <w:t xml:space="preserve">ample </w:t>
            </w:r>
            <w:r w:rsidRPr="00A60552" w:rsidR="00C02281">
              <w:rPr>
                <w:snapToGrid w:val="0"/>
                <w:sz w:val="18"/>
                <w:szCs w:val="18"/>
              </w:rPr>
              <w:t>S</w:t>
            </w:r>
            <w:r w:rsidRPr="00A60552">
              <w:rPr>
                <w:snapToGrid w:val="0"/>
                <w:sz w:val="18"/>
                <w:szCs w:val="18"/>
              </w:rPr>
              <w:t xml:space="preserve">creener and </w:t>
            </w:r>
            <w:r w:rsidRPr="00A60552" w:rsidR="00C02281">
              <w:rPr>
                <w:snapToGrid w:val="0"/>
                <w:sz w:val="18"/>
                <w:szCs w:val="18"/>
              </w:rPr>
              <w:t>E</w:t>
            </w:r>
            <w:r w:rsidRPr="00A60552">
              <w:rPr>
                <w:snapToGrid w:val="0"/>
                <w:sz w:val="18"/>
                <w:szCs w:val="18"/>
              </w:rPr>
              <w:t xml:space="preserve">xtended </w:t>
            </w:r>
            <w:r w:rsidRPr="00A60552" w:rsidR="00C02281">
              <w:rPr>
                <w:snapToGrid w:val="0"/>
                <w:sz w:val="18"/>
                <w:szCs w:val="18"/>
              </w:rPr>
              <w:t>S</w:t>
            </w:r>
            <w:r w:rsidRPr="00A60552">
              <w:rPr>
                <w:snapToGrid w:val="0"/>
                <w:sz w:val="18"/>
                <w:szCs w:val="18"/>
              </w:rPr>
              <w:t>urvey</w:t>
            </w:r>
          </w:p>
          <w:p w:rsidR="007B4E97" w:rsidRPr="00A60552" w:rsidP="00610B44" w14:paraId="070F312F" w14:textId="2E770393">
            <w:pPr>
              <w:pStyle w:val="L1-FlLSp12"/>
              <w:spacing w:line="276" w:lineRule="auto"/>
              <w:jc w:val="center"/>
              <w:rPr>
                <w:sz w:val="18"/>
                <w:szCs w:val="18"/>
              </w:rPr>
            </w:pPr>
            <w:r w:rsidRPr="00A60552">
              <w:rPr>
                <w:snapToGrid w:val="0"/>
                <w:sz w:val="18"/>
                <w:szCs w:val="18"/>
              </w:rPr>
              <w:t>(</w:t>
            </w:r>
            <w:r w:rsidRPr="00A60552" w:rsidR="002E4799">
              <w:rPr>
                <w:snapToGrid w:val="0"/>
                <w:sz w:val="18"/>
                <w:szCs w:val="18"/>
              </w:rPr>
              <w:t xml:space="preserve">English, </w:t>
            </w:r>
            <w:r w:rsidRPr="00A60552">
              <w:rPr>
                <w:snapToGrid w:val="0"/>
                <w:sz w:val="18"/>
                <w:szCs w:val="18"/>
              </w:rPr>
              <w:t>Chinese, Spanish, and Vietnamese)</w:t>
            </w:r>
          </w:p>
        </w:tc>
        <w:tc>
          <w:tcPr>
            <w:tcW w:w="0" w:type="auto"/>
            <w:vAlign w:val="center"/>
          </w:tcPr>
          <w:p w:rsidR="00BA5C79" w:rsidRPr="00A60552" w:rsidP="00610B44" w14:paraId="6CDE81E2" w14:textId="38D2D0CB">
            <w:pPr>
              <w:pStyle w:val="L1-FlLSp12"/>
              <w:spacing w:line="276" w:lineRule="auto"/>
              <w:jc w:val="center"/>
              <w:rPr>
                <w:color w:val="000000"/>
                <w:sz w:val="18"/>
                <w:szCs w:val="18"/>
              </w:rPr>
            </w:pPr>
            <w:r w:rsidRPr="00A60552">
              <w:rPr>
                <w:sz w:val="18"/>
                <w:szCs w:val="18"/>
              </w:rPr>
              <w:t>1,349</w:t>
            </w:r>
          </w:p>
        </w:tc>
        <w:tc>
          <w:tcPr>
            <w:tcW w:w="0" w:type="auto"/>
            <w:vAlign w:val="center"/>
          </w:tcPr>
          <w:p w:rsidR="00BA5C79" w:rsidRPr="00A60552" w:rsidP="00610B44" w14:paraId="2F29A294" w14:textId="77777777">
            <w:pPr>
              <w:pStyle w:val="L1-FlLSp12"/>
              <w:spacing w:line="276" w:lineRule="auto"/>
              <w:jc w:val="center"/>
              <w:rPr>
                <w:color w:val="000000"/>
                <w:sz w:val="18"/>
                <w:szCs w:val="18"/>
              </w:rPr>
            </w:pPr>
            <w:r w:rsidRPr="00A60552">
              <w:rPr>
                <w:snapToGrid w:val="0"/>
                <w:sz w:val="18"/>
                <w:szCs w:val="18"/>
              </w:rPr>
              <w:t>1</w:t>
            </w:r>
          </w:p>
        </w:tc>
        <w:tc>
          <w:tcPr>
            <w:tcW w:w="0" w:type="auto"/>
            <w:vAlign w:val="center"/>
          </w:tcPr>
          <w:p w:rsidR="00BA5C79" w:rsidRPr="00A60552" w:rsidP="00610B44" w14:paraId="4B519311" w14:textId="77777777">
            <w:pPr>
              <w:jc w:val="center"/>
              <w:rPr>
                <w:sz w:val="18"/>
                <w:szCs w:val="18"/>
              </w:rPr>
            </w:pPr>
            <w:r w:rsidRPr="00A60552">
              <w:rPr>
                <w:sz w:val="18"/>
                <w:szCs w:val="18"/>
              </w:rPr>
              <w:t>1,349</w:t>
            </w:r>
          </w:p>
        </w:tc>
        <w:tc>
          <w:tcPr>
            <w:tcW w:w="0" w:type="auto"/>
            <w:vAlign w:val="center"/>
          </w:tcPr>
          <w:p w:rsidR="00BA5C79" w:rsidRPr="00A60552" w:rsidP="00610B44" w14:paraId="1383DB1B" w14:textId="77777777">
            <w:pPr>
              <w:pStyle w:val="L1-FlLSp12"/>
              <w:spacing w:line="276" w:lineRule="auto"/>
              <w:jc w:val="center"/>
              <w:rPr>
                <w:sz w:val="18"/>
                <w:szCs w:val="18"/>
              </w:rPr>
            </w:pPr>
            <w:r w:rsidRPr="00A60552">
              <w:rPr>
                <w:sz w:val="18"/>
                <w:szCs w:val="18"/>
              </w:rPr>
              <w:t>30/60</w:t>
            </w:r>
          </w:p>
        </w:tc>
        <w:tc>
          <w:tcPr>
            <w:tcW w:w="0" w:type="auto"/>
            <w:vAlign w:val="center"/>
          </w:tcPr>
          <w:p w:rsidR="00BA5C79" w:rsidRPr="00A60552" w:rsidP="00610B44" w14:paraId="44794BD0" w14:textId="558D55A5">
            <w:pPr>
              <w:pStyle w:val="L1-FlLSp12"/>
              <w:spacing w:line="276" w:lineRule="auto"/>
              <w:jc w:val="center"/>
              <w:rPr>
                <w:color w:val="000000"/>
                <w:sz w:val="18"/>
                <w:szCs w:val="18"/>
              </w:rPr>
            </w:pPr>
            <w:r w:rsidRPr="00A60552">
              <w:rPr>
                <w:sz w:val="18"/>
                <w:szCs w:val="18"/>
              </w:rPr>
              <w:t>675</w:t>
            </w:r>
          </w:p>
        </w:tc>
        <w:tc>
          <w:tcPr>
            <w:tcW w:w="0" w:type="auto"/>
            <w:vAlign w:val="center"/>
          </w:tcPr>
          <w:p w:rsidR="00BA5C79" w:rsidRPr="00A60552" w:rsidP="00610B44" w14:paraId="464242CC" w14:textId="77777777">
            <w:pPr>
              <w:pStyle w:val="L1-FlLSp12"/>
              <w:spacing w:line="276" w:lineRule="auto"/>
              <w:jc w:val="center"/>
              <w:rPr>
                <w:sz w:val="18"/>
                <w:szCs w:val="18"/>
              </w:rPr>
            </w:pPr>
            <w:r w:rsidRPr="00A60552">
              <w:rPr>
                <w:sz w:val="18"/>
                <w:szCs w:val="18"/>
              </w:rPr>
              <w:t>$17.00</w:t>
            </w:r>
          </w:p>
        </w:tc>
        <w:tc>
          <w:tcPr>
            <w:tcW w:w="0" w:type="auto"/>
            <w:vAlign w:val="center"/>
          </w:tcPr>
          <w:p w:rsidR="00BA5C79" w:rsidRPr="00A60552" w:rsidP="00610B44" w14:paraId="40C0D41E" w14:textId="4DE1D172">
            <w:pPr>
              <w:pStyle w:val="L1-FlLSp12"/>
              <w:spacing w:line="276" w:lineRule="auto"/>
              <w:jc w:val="center"/>
              <w:rPr>
                <w:sz w:val="18"/>
                <w:szCs w:val="18"/>
              </w:rPr>
            </w:pPr>
            <w:r w:rsidRPr="00A60552">
              <w:rPr>
                <w:sz w:val="18"/>
                <w:szCs w:val="18"/>
              </w:rPr>
              <w:t>$11,4</w:t>
            </w:r>
            <w:r w:rsidRPr="00A60552" w:rsidR="007E12A0">
              <w:rPr>
                <w:sz w:val="18"/>
                <w:szCs w:val="18"/>
              </w:rPr>
              <w:t>75</w:t>
            </w:r>
          </w:p>
        </w:tc>
      </w:tr>
      <w:tr w14:paraId="176679BF" w14:textId="77777777" w:rsidTr="00266D10">
        <w:tblPrEx>
          <w:tblW w:w="0" w:type="auto"/>
          <w:tblCellMar>
            <w:left w:w="0" w:type="dxa"/>
            <w:right w:w="0" w:type="dxa"/>
          </w:tblCellMar>
          <w:tblLook w:val="04A0"/>
        </w:tblPrEx>
        <w:trPr>
          <w:trHeight w:val="20"/>
        </w:trPr>
        <w:tc>
          <w:tcPr>
            <w:tcW w:w="0" w:type="auto"/>
            <w:vAlign w:val="center"/>
          </w:tcPr>
          <w:p w:rsidR="00BA5C79" w:rsidRPr="00A60552" w:rsidP="00610B44" w14:paraId="690B543E" w14:textId="4543A667">
            <w:pPr>
              <w:pStyle w:val="L1-FlLSp12"/>
              <w:spacing w:line="276" w:lineRule="auto"/>
              <w:jc w:val="center"/>
              <w:rPr>
                <w:snapToGrid w:val="0"/>
                <w:sz w:val="18"/>
                <w:szCs w:val="18"/>
              </w:rPr>
            </w:pPr>
            <w:r w:rsidRPr="00A60552">
              <w:rPr>
                <w:snapToGrid w:val="0"/>
                <w:sz w:val="18"/>
                <w:szCs w:val="18"/>
              </w:rPr>
              <w:t xml:space="preserve">RDS </w:t>
            </w:r>
            <w:r w:rsidRPr="00A60552" w:rsidR="00C02281">
              <w:rPr>
                <w:snapToGrid w:val="0"/>
                <w:sz w:val="18"/>
                <w:szCs w:val="18"/>
              </w:rPr>
              <w:t>S</w:t>
            </w:r>
            <w:r w:rsidRPr="00A60552">
              <w:rPr>
                <w:snapToGrid w:val="0"/>
                <w:sz w:val="18"/>
                <w:szCs w:val="18"/>
              </w:rPr>
              <w:t xml:space="preserve">ample </w:t>
            </w:r>
            <w:r w:rsidRPr="00A60552" w:rsidR="00C02281">
              <w:rPr>
                <w:snapToGrid w:val="0"/>
                <w:sz w:val="18"/>
                <w:szCs w:val="18"/>
              </w:rPr>
              <w:t>S</w:t>
            </w:r>
            <w:r w:rsidRPr="00A60552">
              <w:rPr>
                <w:snapToGrid w:val="0"/>
                <w:sz w:val="18"/>
                <w:szCs w:val="18"/>
              </w:rPr>
              <w:t xml:space="preserve">creener </w:t>
            </w:r>
            <w:r w:rsidRPr="00A60552" w:rsidR="00C02281">
              <w:rPr>
                <w:snapToGrid w:val="0"/>
                <w:sz w:val="18"/>
                <w:szCs w:val="18"/>
              </w:rPr>
              <w:t>O</w:t>
            </w:r>
            <w:r w:rsidRPr="00A60552">
              <w:rPr>
                <w:snapToGrid w:val="0"/>
                <w:sz w:val="18"/>
                <w:szCs w:val="18"/>
              </w:rPr>
              <w:t>nly</w:t>
            </w:r>
          </w:p>
          <w:p w:rsidR="007B4E97" w:rsidRPr="00A60552" w:rsidP="00610B44" w14:paraId="658CF804" w14:textId="4F2A5EE6">
            <w:pPr>
              <w:pStyle w:val="L1-FlLSp12"/>
              <w:spacing w:line="276" w:lineRule="auto"/>
              <w:jc w:val="center"/>
              <w:rPr>
                <w:sz w:val="18"/>
                <w:szCs w:val="18"/>
              </w:rPr>
            </w:pPr>
            <w:r w:rsidRPr="00A60552">
              <w:rPr>
                <w:snapToGrid w:val="0"/>
                <w:sz w:val="18"/>
                <w:szCs w:val="18"/>
              </w:rPr>
              <w:t>(</w:t>
            </w:r>
            <w:r w:rsidRPr="00A60552" w:rsidR="002E4799">
              <w:rPr>
                <w:snapToGrid w:val="0"/>
                <w:sz w:val="18"/>
                <w:szCs w:val="18"/>
              </w:rPr>
              <w:t xml:space="preserve">English, </w:t>
            </w:r>
            <w:r w:rsidRPr="00A60552">
              <w:rPr>
                <w:snapToGrid w:val="0"/>
                <w:sz w:val="18"/>
                <w:szCs w:val="18"/>
              </w:rPr>
              <w:t>Chinese, Spanish, and Vietnamese)</w:t>
            </w:r>
          </w:p>
        </w:tc>
        <w:tc>
          <w:tcPr>
            <w:tcW w:w="0" w:type="auto"/>
            <w:vAlign w:val="center"/>
          </w:tcPr>
          <w:p w:rsidR="00BA5C79" w:rsidRPr="00A60552" w:rsidP="00610B44" w14:paraId="6C13A9B6" w14:textId="547CCC34">
            <w:pPr>
              <w:pStyle w:val="L1-FlLSp12"/>
              <w:spacing w:line="276" w:lineRule="auto"/>
              <w:jc w:val="center"/>
              <w:rPr>
                <w:color w:val="000000"/>
                <w:sz w:val="18"/>
                <w:szCs w:val="18"/>
              </w:rPr>
            </w:pPr>
            <w:r w:rsidRPr="00A60552">
              <w:rPr>
                <w:sz w:val="18"/>
                <w:szCs w:val="18"/>
              </w:rPr>
              <w:t>148</w:t>
            </w:r>
          </w:p>
        </w:tc>
        <w:tc>
          <w:tcPr>
            <w:tcW w:w="0" w:type="auto"/>
            <w:vAlign w:val="center"/>
          </w:tcPr>
          <w:p w:rsidR="00BA5C79" w:rsidRPr="00A60552" w:rsidP="00610B44" w14:paraId="49629969" w14:textId="77777777">
            <w:pPr>
              <w:pStyle w:val="L1-FlLSp12"/>
              <w:spacing w:line="276" w:lineRule="auto"/>
              <w:jc w:val="center"/>
              <w:rPr>
                <w:color w:val="000000"/>
                <w:sz w:val="18"/>
                <w:szCs w:val="18"/>
              </w:rPr>
            </w:pPr>
            <w:r w:rsidRPr="00A60552">
              <w:rPr>
                <w:snapToGrid w:val="0"/>
                <w:sz w:val="18"/>
                <w:szCs w:val="18"/>
              </w:rPr>
              <w:t>1</w:t>
            </w:r>
          </w:p>
        </w:tc>
        <w:tc>
          <w:tcPr>
            <w:tcW w:w="0" w:type="auto"/>
            <w:vAlign w:val="center"/>
          </w:tcPr>
          <w:p w:rsidR="00BA5C79" w:rsidRPr="00A60552" w:rsidP="00610B44" w14:paraId="4539BE63" w14:textId="77777777">
            <w:pPr>
              <w:jc w:val="center"/>
              <w:rPr>
                <w:sz w:val="18"/>
                <w:szCs w:val="18"/>
              </w:rPr>
            </w:pPr>
            <w:r w:rsidRPr="00A60552">
              <w:rPr>
                <w:sz w:val="18"/>
                <w:szCs w:val="18"/>
              </w:rPr>
              <w:t>148</w:t>
            </w:r>
          </w:p>
        </w:tc>
        <w:tc>
          <w:tcPr>
            <w:tcW w:w="0" w:type="auto"/>
            <w:vAlign w:val="center"/>
          </w:tcPr>
          <w:p w:rsidR="00BA5C79" w:rsidRPr="00A60552" w:rsidP="00610B44" w14:paraId="5349C3BD" w14:textId="77777777">
            <w:pPr>
              <w:pStyle w:val="L1-FlLSp12"/>
              <w:spacing w:line="276" w:lineRule="auto"/>
              <w:jc w:val="center"/>
              <w:rPr>
                <w:color w:val="000000"/>
                <w:sz w:val="18"/>
                <w:szCs w:val="18"/>
              </w:rPr>
            </w:pPr>
            <w:r w:rsidRPr="00A60552">
              <w:rPr>
                <w:sz w:val="18"/>
                <w:szCs w:val="18"/>
              </w:rPr>
              <w:t>5/60</w:t>
            </w:r>
          </w:p>
        </w:tc>
        <w:tc>
          <w:tcPr>
            <w:tcW w:w="0" w:type="auto"/>
            <w:vAlign w:val="center"/>
          </w:tcPr>
          <w:p w:rsidR="00BA5C79" w:rsidRPr="00A60552" w:rsidP="00610B44" w14:paraId="4FE71974" w14:textId="7CA933D0">
            <w:pPr>
              <w:pStyle w:val="L1-FlLSp12"/>
              <w:spacing w:line="276" w:lineRule="auto"/>
              <w:jc w:val="center"/>
              <w:rPr>
                <w:color w:val="000000"/>
                <w:sz w:val="18"/>
                <w:szCs w:val="18"/>
              </w:rPr>
            </w:pPr>
            <w:r w:rsidRPr="00A60552">
              <w:rPr>
                <w:sz w:val="18"/>
                <w:szCs w:val="18"/>
              </w:rPr>
              <w:t>12</w:t>
            </w:r>
          </w:p>
        </w:tc>
        <w:tc>
          <w:tcPr>
            <w:tcW w:w="0" w:type="auto"/>
            <w:vAlign w:val="center"/>
          </w:tcPr>
          <w:p w:rsidR="00BA5C79" w:rsidRPr="00A60552" w:rsidP="00610B44" w14:paraId="72E2FE56" w14:textId="77777777">
            <w:pPr>
              <w:pStyle w:val="L1-FlLSp12"/>
              <w:spacing w:line="276" w:lineRule="auto"/>
              <w:jc w:val="center"/>
              <w:rPr>
                <w:sz w:val="18"/>
                <w:szCs w:val="18"/>
              </w:rPr>
            </w:pPr>
            <w:r w:rsidRPr="00A60552">
              <w:rPr>
                <w:sz w:val="18"/>
                <w:szCs w:val="18"/>
              </w:rPr>
              <w:t>$7.25</w:t>
            </w:r>
          </w:p>
        </w:tc>
        <w:tc>
          <w:tcPr>
            <w:tcW w:w="0" w:type="auto"/>
            <w:vAlign w:val="center"/>
          </w:tcPr>
          <w:p w:rsidR="00BA5C79" w:rsidRPr="00A60552" w:rsidP="00610B44" w14:paraId="1472E922" w14:textId="35DBFAD3">
            <w:pPr>
              <w:pStyle w:val="L1-FlLSp12"/>
              <w:spacing w:line="276" w:lineRule="auto"/>
              <w:jc w:val="center"/>
              <w:rPr>
                <w:sz w:val="18"/>
                <w:szCs w:val="18"/>
              </w:rPr>
            </w:pPr>
            <w:r w:rsidRPr="00A60552">
              <w:rPr>
                <w:sz w:val="18"/>
                <w:szCs w:val="18"/>
              </w:rPr>
              <w:t>$8</w:t>
            </w:r>
            <w:r w:rsidRPr="00A60552" w:rsidR="007E12A0">
              <w:rPr>
                <w:sz w:val="18"/>
                <w:szCs w:val="18"/>
              </w:rPr>
              <w:t>7</w:t>
            </w:r>
          </w:p>
        </w:tc>
      </w:tr>
      <w:tr w14:paraId="641B7CA8" w14:textId="77777777" w:rsidTr="00266D10">
        <w:tblPrEx>
          <w:tblW w:w="0" w:type="auto"/>
          <w:tblCellMar>
            <w:left w:w="0" w:type="dxa"/>
            <w:right w:w="0" w:type="dxa"/>
          </w:tblCellMar>
          <w:tblLook w:val="04A0"/>
        </w:tblPrEx>
        <w:trPr>
          <w:trHeight w:val="20"/>
        </w:trPr>
        <w:tc>
          <w:tcPr>
            <w:tcW w:w="0" w:type="auto"/>
            <w:vAlign w:val="center"/>
          </w:tcPr>
          <w:p w:rsidR="00BA5C79" w:rsidRPr="00A60552" w:rsidP="00610B44" w14:paraId="0D28AD2B" w14:textId="39A35426">
            <w:pPr>
              <w:pStyle w:val="L1-FlLSp12"/>
              <w:spacing w:line="276" w:lineRule="auto"/>
              <w:jc w:val="center"/>
              <w:rPr>
                <w:snapToGrid w:val="0"/>
                <w:sz w:val="18"/>
                <w:szCs w:val="18"/>
              </w:rPr>
            </w:pPr>
            <w:r w:rsidRPr="00A60552">
              <w:rPr>
                <w:snapToGrid w:val="0"/>
                <w:sz w:val="18"/>
                <w:szCs w:val="18"/>
              </w:rPr>
              <w:t xml:space="preserve">RDS </w:t>
            </w:r>
            <w:r w:rsidRPr="00A60552" w:rsidR="00C02281">
              <w:rPr>
                <w:snapToGrid w:val="0"/>
                <w:sz w:val="18"/>
                <w:szCs w:val="18"/>
              </w:rPr>
              <w:t>S</w:t>
            </w:r>
            <w:r w:rsidRPr="00A60552">
              <w:rPr>
                <w:snapToGrid w:val="0"/>
                <w:sz w:val="18"/>
                <w:szCs w:val="18"/>
              </w:rPr>
              <w:t xml:space="preserve">ample </w:t>
            </w:r>
            <w:r w:rsidRPr="00A60552" w:rsidR="00C02281">
              <w:rPr>
                <w:snapToGrid w:val="0"/>
                <w:sz w:val="18"/>
                <w:szCs w:val="18"/>
              </w:rPr>
              <w:t>S</w:t>
            </w:r>
            <w:r w:rsidRPr="00A60552">
              <w:rPr>
                <w:snapToGrid w:val="0"/>
                <w:sz w:val="18"/>
                <w:szCs w:val="18"/>
              </w:rPr>
              <w:t xml:space="preserve">creener and </w:t>
            </w:r>
            <w:r w:rsidRPr="00A60552" w:rsidR="00C02281">
              <w:rPr>
                <w:snapToGrid w:val="0"/>
                <w:sz w:val="18"/>
                <w:szCs w:val="18"/>
              </w:rPr>
              <w:t>E</w:t>
            </w:r>
            <w:r w:rsidRPr="00A60552">
              <w:rPr>
                <w:snapToGrid w:val="0"/>
                <w:sz w:val="18"/>
                <w:szCs w:val="18"/>
              </w:rPr>
              <w:t xml:space="preserve">xtended </w:t>
            </w:r>
            <w:r w:rsidRPr="00A60552" w:rsidR="00C02281">
              <w:rPr>
                <w:snapToGrid w:val="0"/>
                <w:sz w:val="18"/>
                <w:szCs w:val="18"/>
              </w:rPr>
              <w:t>S</w:t>
            </w:r>
            <w:r w:rsidRPr="00A60552">
              <w:rPr>
                <w:snapToGrid w:val="0"/>
                <w:sz w:val="18"/>
                <w:szCs w:val="18"/>
              </w:rPr>
              <w:t>urvey</w:t>
            </w:r>
          </w:p>
          <w:p w:rsidR="007B4E97" w:rsidRPr="00A60552" w:rsidP="00610B44" w14:paraId="5159574C" w14:textId="56DF1521">
            <w:pPr>
              <w:pStyle w:val="L1-FlLSp12"/>
              <w:spacing w:line="276" w:lineRule="auto"/>
              <w:jc w:val="center"/>
              <w:rPr>
                <w:sz w:val="18"/>
                <w:szCs w:val="18"/>
              </w:rPr>
            </w:pPr>
            <w:r w:rsidRPr="00A60552">
              <w:rPr>
                <w:snapToGrid w:val="0"/>
                <w:sz w:val="18"/>
                <w:szCs w:val="18"/>
              </w:rPr>
              <w:t>(</w:t>
            </w:r>
            <w:r w:rsidRPr="00A60552" w:rsidR="002E4799">
              <w:rPr>
                <w:snapToGrid w:val="0"/>
                <w:sz w:val="18"/>
                <w:szCs w:val="18"/>
              </w:rPr>
              <w:t xml:space="preserve">English, </w:t>
            </w:r>
            <w:r w:rsidRPr="00A60552">
              <w:rPr>
                <w:snapToGrid w:val="0"/>
                <w:sz w:val="18"/>
                <w:szCs w:val="18"/>
              </w:rPr>
              <w:t>Chinese, Spanish, and Vietnamese)</w:t>
            </w:r>
          </w:p>
        </w:tc>
        <w:tc>
          <w:tcPr>
            <w:tcW w:w="0" w:type="auto"/>
            <w:vAlign w:val="center"/>
          </w:tcPr>
          <w:p w:rsidR="00BA5C79" w:rsidRPr="00A60552" w:rsidP="00610B44" w14:paraId="6B76E050" w14:textId="2D4566DE">
            <w:pPr>
              <w:pStyle w:val="L1-FlLSp12"/>
              <w:spacing w:line="276" w:lineRule="auto"/>
              <w:jc w:val="center"/>
              <w:rPr>
                <w:color w:val="000000"/>
                <w:sz w:val="18"/>
                <w:szCs w:val="18"/>
              </w:rPr>
            </w:pPr>
            <w:r w:rsidRPr="00A60552">
              <w:rPr>
                <w:sz w:val="18"/>
                <w:szCs w:val="18"/>
              </w:rPr>
              <w:t>1,333</w:t>
            </w:r>
          </w:p>
        </w:tc>
        <w:tc>
          <w:tcPr>
            <w:tcW w:w="0" w:type="auto"/>
            <w:vAlign w:val="center"/>
          </w:tcPr>
          <w:p w:rsidR="00BA5C79" w:rsidRPr="00A60552" w:rsidP="00610B44" w14:paraId="4A8857DF" w14:textId="77777777">
            <w:pPr>
              <w:pStyle w:val="L1-FlLSp12"/>
              <w:spacing w:line="276" w:lineRule="auto"/>
              <w:jc w:val="center"/>
              <w:rPr>
                <w:color w:val="000000"/>
                <w:sz w:val="18"/>
                <w:szCs w:val="18"/>
              </w:rPr>
            </w:pPr>
            <w:r w:rsidRPr="00A60552">
              <w:rPr>
                <w:snapToGrid w:val="0"/>
                <w:sz w:val="18"/>
                <w:szCs w:val="18"/>
              </w:rPr>
              <w:t>1</w:t>
            </w:r>
          </w:p>
        </w:tc>
        <w:tc>
          <w:tcPr>
            <w:tcW w:w="0" w:type="auto"/>
            <w:vAlign w:val="center"/>
          </w:tcPr>
          <w:p w:rsidR="00BA5C79" w:rsidRPr="00A60552" w:rsidP="00610B44" w14:paraId="6DB21301" w14:textId="77777777">
            <w:pPr>
              <w:jc w:val="center"/>
              <w:rPr>
                <w:sz w:val="18"/>
                <w:szCs w:val="18"/>
              </w:rPr>
            </w:pPr>
            <w:r w:rsidRPr="00A60552">
              <w:rPr>
                <w:sz w:val="18"/>
                <w:szCs w:val="18"/>
              </w:rPr>
              <w:t>1,333</w:t>
            </w:r>
          </w:p>
        </w:tc>
        <w:tc>
          <w:tcPr>
            <w:tcW w:w="0" w:type="auto"/>
            <w:vAlign w:val="center"/>
          </w:tcPr>
          <w:p w:rsidR="00BA5C79" w:rsidRPr="00A60552" w:rsidP="00610B44" w14:paraId="6390095E" w14:textId="77777777">
            <w:pPr>
              <w:pStyle w:val="L1-FlLSp12"/>
              <w:spacing w:line="276" w:lineRule="auto"/>
              <w:jc w:val="center"/>
              <w:rPr>
                <w:sz w:val="18"/>
                <w:szCs w:val="18"/>
              </w:rPr>
            </w:pPr>
            <w:r w:rsidRPr="00A60552">
              <w:rPr>
                <w:sz w:val="18"/>
                <w:szCs w:val="18"/>
              </w:rPr>
              <w:t>30/60</w:t>
            </w:r>
          </w:p>
        </w:tc>
        <w:tc>
          <w:tcPr>
            <w:tcW w:w="0" w:type="auto"/>
            <w:vAlign w:val="center"/>
          </w:tcPr>
          <w:p w:rsidR="00BA5C79" w:rsidRPr="00A60552" w:rsidP="00610B44" w14:paraId="27C44CAB" w14:textId="60E6FD39">
            <w:pPr>
              <w:pStyle w:val="L1-FlLSp12"/>
              <w:spacing w:line="276" w:lineRule="auto"/>
              <w:jc w:val="center"/>
              <w:rPr>
                <w:color w:val="000000"/>
                <w:sz w:val="18"/>
                <w:szCs w:val="18"/>
              </w:rPr>
            </w:pPr>
            <w:r w:rsidRPr="00A60552">
              <w:rPr>
                <w:sz w:val="18"/>
                <w:szCs w:val="18"/>
              </w:rPr>
              <w:t>667</w:t>
            </w:r>
          </w:p>
        </w:tc>
        <w:tc>
          <w:tcPr>
            <w:tcW w:w="0" w:type="auto"/>
            <w:vAlign w:val="center"/>
          </w:tcPr>
          <w:p w:rsidR="00BA5C79" w:rsidRPr="00A60552" w:rsidP="00610B44" w14:paraId="02AEA5F9" w14:textId="77777777">
            <w:pPr>
              <w:pStyle w:val="L1-FlLSp12"/>
              <w:spacing w:line="276" w:lineRule="auto"/>
              <w:jc w:val="center"/>
              <w:rPr>
                <w:sz w:val="18"/>
                <w:szCs w:val="18"/>
              </w:rPr>
            </w:pPr>
            <w:r w:rsidRPr="00A60552">
              <w:rPr>
                <w:sz w:val="18"/>
                <w:szCs w:val="18"/>
              </w:rPr>
              <w:t>$7.25</w:t>
            </w:r>
          </w:p>
        </w:tc>
        <w:tc>
          <w:tcPr>
            <w:tcW w:w="0" w:type="auto"/>
            <w:vAlign w:val="center"/>
          </w:tcPr>
          <w:p w:rsidR="00BA5C79" w:rsidRPr="00A60552" w:rsidP="00610B44" w14:paraId="0D7F34DB" w14:textId="4B88D3A2">
            <w:pPr>
              <w:pStyle w:val="L1-FlLSp12"/>
              <w:spacing w:line="276" w:lineRule="auto"/>
              <w:jc w:val="center"/>
              <w:rPr>
                <w:sz w:val="18"/>
                <w:szCs w:val="18"/>
              </w:rPr>
            </w:pPr>
            <w:r w:rsidRPr="00A60552">
              <w:rPr>
                <w:sz w:val="18"/>
                <w:szCs w:val="18"/>
              </w:rPr>
              <w:t>$4,83</w:t>
            </w:r>
            <w:r w:rsidRPr="00A60552" w:rsidR="007E12A0">
              <w:rPr>
                <w:sz w:val="18"/>
                <w:szCs w:val="18"/>
              </w:rPr>
              <w:t>6</w:t>
            </w:r>
          </w:p>
        </w:tc>
      </w:tr>
      <w:tr w14:paraId="2ACF076C" w14:textId="77777777" w:rsidTr="00266D10">
        <w:tblPrEx>
          <w:tblW w:w="0" w:type="auto"/>
          <w:tblCellMar>
            <w:left w:w="0" w:type="dxa"/>
            <w:right w:w="0" w:type="dxa"/>
          </w:tblCellMar>
          <w:tblLook w:val="04A0"/>
        </w:tblPrEx>
        <w:trPr>
          <w:trHeight w:val="20"/>
        </w:trPr>
        <w:tc>
          <w:tcPr>
            <w:tcW w:w="0" w:type="auto"/>
            <w:vAlign w:val="center"/>
          </w:tcPr>
          <w:p w:rsidR="007B4E97" w:rsidRPr="00A60552" w:rsidP="00610B44" w14:paraId="0BF722CB" w14:textId="3212F225">
            <w:pPr>
              <w:pStyle w:val="L1-FlLSp12"/>
              <w:spacing w:line="276" w:lineRule="auto"/>
              <w:jc w:val="center"/>
              <w:rPr>
                <w:snapToGrid w:val="0"/>
                <w:sz w:val="18"/>
                <w:szCs w:val="18"/>
              </w:rPr>
            </w:pPr>
            <w:r w:rsidRPr="00A60552">
              <w:rPr>
                <w:snapToGrid w:val="0"/>
                <w:sz w:val="18"/>
                <w:szCs w:val="18"/>
              </w:rPr>
              <w:t xml:space="preserve">Non-response </w:t>
            </w:r>
            <w:r w:rsidRPr="00A60552" w:rsidR="00C02281">
              <w:rPr>
                <w:snapToGrid w:val="0"/>
                <w:sz w:val="18"/>
                <w:szCs w:val="18"/>
              </w:rPr>
              <w:t>F</w:t>
            </w:r>
            <w:r w:rsidRPr="00A60552">
              <w:rPr>
                <w:snapToGrid w:val="0"/>
                <w:sz w:val="18"/>
                <w:szCs w:val="18"/>
              </w:rPr>
              <w:t xml:space="preserve">ollow-up </w:t>
            </w:r>
            <w:r w:rsidRPr="00A60552" w:rsidR="00C02281">
              <w:rPr>
                <w:snapToGrid w:val="0"/>
                <w:sz w:val="18"/>
                <w:szCs w:val="18"/>
              </w:rPr>
              <w:t>S</w:t>
            </w:r>
            <w:r w:rsidRPr="00A60552">
              <w:rPr>
                <w:snapToGrid w:val="0"/>
                <w:sz w:val="18"/>
                <w:szCs w:val="18"/>
              </w:rPr>
              <w:t>urvey</w:t>
            </w:r>
          </w:p>
          <w:p w:rsidR="00BA5C79" w:rsidRPr="00A60552" w:rsidP="00610B44" w14:paraId="0D8A3493" w14:textId="7F01D251">
            <w:pPr>
              <w:pStyle w:val="L1-FlLSp12"/>
              <w:spacing w:line="276" w:lineRule="auto"/>
              <w:jc w:val="center"/>
              <w:rPr>
                <w:snapToGrid w:val="0"/>
                <w:sz w:val="18"/>
                <w:szCs w:val="18"/>
              </w:rPr>
            </w:pPr>
            <w:r w:rsidRPr="00A60552">
              <w:rPr>
                <w:snapToGrid w:val="0"/>
                <w:sz w:val="18"/>
                <w:szCs w:val="18"/>
              </w:rPr>
              <w:t>(</w:t>
            </w:r>
            <w:r w:rsidRPr="00A60552" w:rsidR="002E4799">
              <w:rPr>
                <w:snapToGrid w:val="0"/>
                <w:sz w:val="18"/>
                <w:szCs w:val="18"/>
              </w:rPr>
              <w:t xml:space="preserve">English, </w:t>
            </w:r>
            <w:r w:rsidRPr="00A60552">
              <w:rPr>
                <w:snapToGrid w:val="0"/>
                <w:sz w:val="18"/>
                <w:szCs w:val="18"/>
              </w:rPr>
              <w:t>Chinese, Spanish, and Vietnamese)</w:t>
            </w:r>
          </w:p>
        </w:tc>
        <w:tc>
          <w:tcPr>
            <w:tcW w:w="0" w:type="auto"/>
            <w:vAlign w:val="center"/>
          </w:tcPr>
          <w:p w:rsidR="00BA5C79" w:rsidRPr="00A60552" w:rsidP="00610B44" w14:paraId="0A0F948B" w14:textId="33311F54">
            <w:pPr>
              <w:pStyle w:val="L1-FlLSp12"/>
              <w:spacing w:line="276" w:lineRule="auto"/>
              <w:jc w:val="center"/>
              <w:rPr>
                <w:snapToGrid w:val="0"/>
                <w:sz w:val="18"/>
                <w:szCs w:val="18"/>
              </w:rPr>
            </w:pPr>
            <w:r w:rsidRPr="00A60552">
              <w:rPr>
                <w:sz w:val="18"/>
                <w:szCs w:val="18"/>
              </w:rPr>
              <w:t>373</w:t>
            </w:r>
          </w:p>
        </w:tc>
        <w:tc>
          <w:tcPr>
            <w:tcW w:w="0" w:type="auto"/>
            <w:vAlign w:val="center"/>
          </w:tcPr>
          <w:p w:rsidR="00BA5C79" w:rsidRPr="00A60552" w:rsidP="00610B44" w14:paraId="12C24143" w14:textId="77777777">
            <w:pPr>
              <w:pStyle w:val="L1-FlLSp12"/>
              <w:spacing w:line="276" w:lineRule="auto"/>
              <w:jc w:val="center"/>
              <w:rPr>
                <w:snapToGrid w:val="0"/>
                <w:sz w:val="18"/>
                <w:szCs w:val="18"/>
              </w:rPr>
            </w:pPr>
            <w:r w:rsidRPr="00A60552">
              <w:rPr>
                <w:snapToGrid w:val="0"/>
                <w:sz w:val="18"/>
                <w:szCs w:val="18"/>
              </w:rPr>
              <w:t>1</w:t>
            </w:r>
          </w:p>
        </w:tc>
        <w:tc>
          <w:tcPr>
            <w:tcW w:w="0" w:type="auto"/>
            <w:vAlign w:val="center"/>
          </w:tcPr>
          <w:p w:rsidR="00BA5C79" w:rsidRPr="00A60552" w:rsidP="00610B44" w14:paraId="74EAE203" w14:textId="77777777">
            <w:pPr>
              <w:jc w:val="center"/>
              <w:rPr>
                <w:sz w:val="18"/>
                <w:szCs w:val="18"/>
              </w:rPr>
            </w:pPr>
            <w:r w:rsidRPr="00A60552">
              <w:rPr>
                <w:sz w:val="18"/>
                <w:szCs w:val="18"/>
              </w:rPr>
              <w:t>373</w:t>
            </w:r>
          </w:p>
        </w:tc>
        <w:tc>
          <w:tcPr>
            <w:tcW w:w="0" w:type="auto"/>
            <w:vAlign w:val="center"/>
          </w:tcPr>
          <w:p w:rsidR="00BA5C79" w:rsidRPr="00A60552" w:rsidP="00610B44" w14:paraId="71ED7277" w14:textId="77777777">
            <w:pPr>
              <w:pStyle w:val="L1-FlLSp12"/>
              <w:spacing w:line="276" w:lineRule="auto"/>
              <w:jc w:val="center"/>
              <w:rPr>
                <w:sz w:val="18"/>
                <w:szCs w:val="18"/>
              </w:rPr>
            </w:pPr>
            <w:r w:rsidRPr="00A60552">
              <w:rPr>
                <w:sz w:val="18"/>
                <w:szCs w:val="18"/>
              </w:rPr>
              <w:t>2/60</w:t>
            </w:r>
          </w:p>
        </w:tc>
        <w:tc>
          <w:tcPr>
            <w:tcW w:w="0" w:type="auto"/>
            <w:vAlign w:val="center"/>
          </w:tcPr>
          <w:p w:rsidR="00BA5C79" w:rsidRPr="00A60552" w:rsidP="00610B44" w14:paraId="3D4D364B" w14:textId="00EA70C5">
            <w:pPr>
              <w:pStyle w:val="L1-FlLSp12"/>
              <w:spacing w:line="276" w:lineRule="auto"/>
              <w:jc w:val="center"/>
              <w:rPr>
                <w:snapToGrid w:val="0"/>
                <w:sz w:val="18"/>
                <w:szCs w:val="18"/>
              </w:rPr>
            </w:pPr>
            <w:r w:rsidRPr="00A60552">
              <w:rPr>
                <w:sz w:val="18"/>
                <w:szCs w:val="18"/>
              </w:rPr>
              <w:t>12</w:t>
            </w:r>
          </w:p>
        </w:tc>
        <w:tc>
          <w:tcPr>
            <w:tcW w:w="0" w:type="auto"/>
            <w:vAlign w:val="center"/>
          </w:tcPr>
          <w:p w:rsidR="00BA5C79" w:rsidRPr="00A60552" w:rsidP="00610B44" w14:paraId="7095B73C" w14:textId="77777777">
            <w:pPr>
              <w:pStyle w:val="L1-FlLSp12"/>
              <w:spacing w:line="276" w:lineRule="auto"/>
              <w:jc w:val="center"/>
              <w:rPr>
                <w:sz w:val="18"/>
                <w:szCs w:val="18"/>
              </w:rPr>
            </w:pPr>
            <w:r w:rsidRPr="00A60552">
              <w:rPr>
                <w:sz w:val="18"/>
                <w:szCs w:val="18"/>
              </w:rPr>
              <w:t>$12.13</w:t>
            </w:r>
          </w:p>
        </w:tc>
        <w:tc>
          <w:tcPr>
            <w:tcW w:w="0" w:type="auto"/>
            <w:vAlign w:val="center"/>
          </w:tcPr>
          <w:p w:rsidR="00BA5C79" w:rsidRPr="00A60552" w:rsidP="00610B44" w14:paraId="28F06E95" w14:textId="66DB1C57">
            <w:pPr>
              <w:pStyle w:val="L1-FlLSp12"/>
              <w:spacing w:line="276" w:lineRule="auto"/>
              <w:jc w:val="center"/>
              <w:rPr>
                <w:sz w:val="18"/>
                <w:szCs w:val="18"/>
              </w:rPr>
            </w:pPr>
            <w:r w:rsidRPr="00A60552">
              <w:rPr>
                <w:sz w:val="18"/>
                <w:szCs w:val="18"/>
              </w:rPr>
              <w:t>$1</w:t>
            </w:r>
            <w:r w:rsidRPr="00A60552" w:rsidR="007E12A0">
              <w:rPr>
                <w:sz w:val="18"/>
                <w:szCs w:val="18"/>
              </w:rPr>
              <w:t>46</w:t>
            </w:r>
          </w:p>
        </w:tc>
      </w:tr>
      <w:tr w14:paraId="4C80B2C8" w14:textId="77777777" w:rsidTr="009A177F">
        <w:tblPrEx>
          <w:tblW w:w="0" w:type="auto"/>
          <w:tblCellMar>
            <w:left w:w="0" w:type="dxa"/>
            <w:right w:w="0" w:type="dxa"/>
          </w:tblCellMar>
          <w:tblLook w:val="04A0"/>
        </w:tblPrEx>
        <w:trPr>
          <w:trHeight w:val="20"/>
        </w:trPr>
        <w:tc>
          <w:tcPr>
            <w:tcW w:w="0" w:type="auto"/>
            <w:vAlign w:val="center"/>
          </w:tcPr>
          <w:p w:rsidR="00BA5C79" w:rsidRPr="00A60552" w:rsidP="00610B44" w14:paraId="635C8409" w14:textId="77777777">
            <w:pPr>
              <w:pStyle w:val="L1-FlLSp12"/>
              <w:spacing w:line="276" w:lineRule="auto"/>
              <w:jc w:val="center"/>
              <w:rPr>
                <w:b/>
                <w:bCs/>
                <w:sz w:val="18"/>
                <w:szCs w:val="18"/>
              </w:rPr>
            </w:pPr>
            <w:r w:rsidRPr="00A60552">
              <w:rPr>
                <w:b/>
                <w:bCs/>
                <w:sz w:val="18"/>
                <w:szCs w:val="18"/>
              </w:rPr>
              <w:t>Total</w:t>
            </w:r>
          </w:p>
        </w:tc>
        <w:tc>
          <w:tcPr>
            <w:tcW w:w="0" w:type="auto"/>
            <w:vAlign w:val="center"/>
          </w:tcPr>
          <w:p w:rsidR="00BA5C79" w:rsidRPr="00A60552" w:rsidP="00610B44" w14:paraId="6F424A3F" w14:textId="06F657F3">
            <w:pPr>
              <w:pStyle w:val="L1-FlLSp12"/>
              <w:spacing w:line="276" w:lineRule="auto"/>
              <w:jc w:val="center"/>
              <w:rPr>
                <w:b/>
                <w:bCs/>
                <w:sz w:val="18"/>
                <w:szCs w:val="18"/>
              </w:rPr>
            </w:pPr>
            <w:r w:rsidRPr="00A60552">
              <w:rPr>
                <w:b/>
                <w:bCs/>
                <w:sz w:val="18"/>
                <w:szCs w:val="18"/>
              </w:rPr>
              <w:t>5,22</w:t>
            </w:r>
            <w:r w:rsidRPr="00A60552" w:rsidR="0071132B">
              <w:rPr>
                <w:b/>
                <w:bCs/>
                <w:sz w:val="18"/>
                <w:szCs w:val="18"/>
              </w:rPr>
              <w:t>7</w:t>
            </w:r>
          </w:p>
        </w:tc>
        <w:tc>
          <w:tcPr>
            <w:tcW w:w="0" w:type="auto"/>
            <w:shd w:val="clear" w:color="auto" w:fill="000000" w:themeFill="text1"/>
            <w:vAlign w:val="center"/>
          </w:tcPr>
          <w:p w:rsidR="00BA5C79" w:rsidRPr="00A60552" w:rsidP="00610B44" w14:paraId="5D275230" w14:textId="77777777">
            <w:pPr>
              <w:pStyle w:val="L1-FlLSp12"/>
              <w:spacing w:line="276" w:lineRule="auto"/>
              <w:jc w:val="center"/>
              <w:rPr>
                <w:b/>
                <w:bCs/>
                <w:sz w:val="18"/>
                <w:szCs w:val="18"/>
              </w:rPr>
            </w:pPr>
            <w:r w:rsidRPr="00A60552">
              <w:rPr>
                <w:b/>
                <w:bCs/>
                <w:snapToGrid w:val="0"/>
                <w:sz w:val="18"/>
                <w:szCs w:val="18"/>
              </w:rPr>
              <w:t>-</w:t>
            </w:r>
          </w:p>
        </w:tc>
        <w:tc>
          <w:tcPr>
            <w:tcW w:w="0" w:type="auto"/>
            <w:vAlign w:val="center"/>
          </w:tcPr>
          <w:p w:rsidR="00BA5C79" w:rsidRPr="00A60552" w:rsidP="00610B44" w14:paraId="47EBAE1D" w14:textId="3045836B">
            <w:pPr>
              <w:jc w:val="center"/>
              <w:rPr>
                <w:b/>
                <w:bCs/>
                <w:snapToGrid w:val="0"/>
                <w:sz w:val="18"/>
                <w:szCs w:val="18"/>
              </w:rPr>
            </w:pPr>
            <w:r w:rsidRPr="00A60552">
              <w:rPr>
                <w:b/>
                <w:bCs/>
                <w:sz w:val="18"/>
                <w:szCs w:val="18"/>
              </w:rPr>
              <w:t>5,22</w:t>
            </w:r>
            <w:r w:rsidRPr="00A60552" w:rsidR="007D36B9">
              <w:rPr>
                <w:b/>
                <w:bCs/>
                <w:sz w:val="18"/>
                <w:szCs w:val="18"/>
              </w:rPr>
              <w:t>7</w:t>
            </w:r>
          </w:p>
        </w:tc>
        <w:tc>
          <w:tcPr>
            <w:tcW w:w="0" w:type="auto"/>
            <w:shd w:val="clear" w:color="auto" w:fill="000000" w:themeFill="text1"/>
            <w:vAlign w:val="center"/>
          </w:tcPr>
          <w:p w:rsidR="00BA5C79" w:rsidRPr="00A60552" w:rsidP="00610B44" w14:paraId="37837A82" w14:textId="1BE030F0">
            <w:pPr>
              <w:pStyle w:val="L1-FlLSp12"/>
              <w:spacing w:line="276" w:lineRule="auto"/>
              <w:jc w:val="center"/>
              <w:rPr>
                <w:b/>
                <w:bCs/>
                <w:sz w:val="18"/>
                <w:szCs w:val="18"/>
              </w:rPr>
            </w:pPr>
          </w:p>
        </w:tc>
        <w:tc>
          <w:tcPr>
            <w:tcW w:w="0" w:type="auto"/>
            <w:vAlign w:val="center"/>
          </w:tcPr>
          <w:p w:rsidR="00BA5C79" w:rsidRPr="00A60552" w:rsidP="00610B44" w14:paraId="49FF9D40" w14:textId="1A7A9E39">
            <w:pPr>
              <w:pStyle w:val="L1-FlLSp12"/>
              <w:spacing w:line="276" w:lineRule="auto"/>
              <w:jc w:val="center"/>
              <w:rPr>
                <w:b/>
                <w:bCs/>
                <w:color w:val="000000"/>
                <w:sz w:val="18"/>
                <w:szCs w:val="18"/>
              </w:rPr>
            </w:pPr>
            <w:r w:rsidRPr="00A60552">
              <w:rPr>
                <w:b/>
                <w:bCs/>
                <w:sz w:val="18"/>
                <w:szCs w:val="18"/>
              </w:rPr>
              <w:t>1,535</w:t>
            </w:r>
          </w:p>
        </w:tc>
        <w:tc>
          <w:tcPr>
            <w:tcW w:w="0" w:type="auto"/>
            <w:shd w:val="clear" w:color="auto" w:fill="000000" w:themeFill="text1"/>
            <w:vAlign w:val="center"/>
          </w:tcPr>
          <w:p w:rsidR="00BA5C79" w:rsidRPr="00A60552" w:rsidP="00610B44" w14:paraId="3A8D168C" w14:textId="77777777">
            <w:pPr>
              <w:pStyle w:val="L1-FlLSp12"/>
              <w:spacing w:line="276" w:lineRule="auto"/>
              <w:jc w:val="center"/>
              <w:rPr>
                <w:b/>
                <w:bCs/>
                <w:sz w:val="18"/>
                <w:szCs w:val="18"/>
              </w:rPr>
            </w:pPr>
          </w:p>
        </w:tc>
        <w:tc>
          <w:tcPr>
            <w:tcW w:w="0" w:type="auto"/>
            <w:vAlign w:val="center"/>
          </w:tcPr>
          <w:p w:rsidR="00BA5C79" w:rsidRPr="00A60552" w:rsidP="00610B44" w14:paraId="049B14FC" w14:textId="7B117680">
            <w:pPr>
              <w:pStyle w:val="L1-FlLSp12"/>
              <w:spacing w:line="276" w:lineRule="auto"/>
              <w:jc w:val="center"/>
              <w:rPr>
                <w:b/>
                <w:bCs/>
                <w:sz w:val="18"/>
                <w:szCs w:val="18"/>
              </w:rPr>
            </w:pPr>
            <w:r w:rsidRPr="00A60552">
              <w:rPr>
                <w:b/>
                <w:bCs/>
                <w:sz w:val="18"/>
                <w:szCs w:val="18"/>
              </w:rPr>
              <w:t>$19,4</w:t>
            </w:r>
            <w:r w:rsidRPr="00A60552" w:rsidR="00266A4A">
              <w:rPr>
                <w:b/>
                <w:bCs/>
                <w:sz w:val="18"/>
                <w:szCs w:val="18"/>
              </w:rPr>
              <w:t>1</w:t>
            </w:r>
            <w:r w:rsidRPr="00A60552" w:rsidR="002D2FF5">
              <w:rPr>
                <w:b/>
                <w:bCs/>
                <w:sz w:val="18"/>
                <w:szCs w:val="18"/>
              </w:rPr>
              <w:t>7</w:t>
            </w:r>
          </w:p>
        </w:tc>
      </w:tr>
    </w:tbl>
    <w:p w:rsidR="00B2592B" w:rsidRPr="00423181" w:rsidP="00B2592B" w14:paraId="3633529D" w14:textId="5F3F3338">
      <w:pPr>
        <w:rPr>
          <w:sz w:val="18"/>
          <w:szCs w:val="18"/>
        </w:rPr>
      </w:pPr>
      <w:r w:rsidRPr="00423181">
        <w:rPr>
          <w:sz w:val="18"/>
          <w:szCs w:val="18"/>
          <w:vertAlign w:val="superscript"/>
        </w:rPr>
        <w:t>1</w:t>
      </w:r>
      <w:r w:rsidRPr="00423181">
        <w:rPr>
          <w:sz w:val="18"/>
          <w:szCs w:val="18"/>
        </w:rPr>
        <w:t xml:space="preserve">Hourly wage reflects </w:t>
      </w:r>
      <w:r w:rsidRPr="009A6DB1">
        <w:rPr>
          <w:sz w:val="18"/>
          <w:szCs w:val="18"/>
        </w:rPr>
        <w:t xml:space="preserve">the median national hourly wage for workers at least 18 years who were not self-employed and did not work in managerial or professional occupations that were likely to be exempt based on calculations using the CPS. </w:t>
      </w:r>
    </w:p>
    <w:p w:rsidR="00B2592B" w:rsidRPr="00423181" w:rsidP="00B2592B" w14:paraId="69F51C6A" w14:textId="383BBDB7">
      <w:pPr>
        <w:rPr>
          <w:sz w:val="18"/>
          <w:szCs w:val="18"/>
        </w:rPr>
      </w:pPr>
      <w:r w:rsidRPr="00423181">
        <w:rPr>
          <w:sz w:val="18"/>
          <w:szCs w:val="18"/>
          <w:vertAlign w:val="superscript"/>
        </w:rPr>
        <w:t>2</w:t>
      </w:r>
      <w:r w:rsidRPr="00423181">
        <w:rPr>
          <w:sz w:val="18"/>
          <w:szCs w:val="18"/>
        </w:rPr>
        <w:t>Hourly wage reflects the federal minimum wage.</w:t>
      </w:r>
    </w:p>
    <w:p w:rsidR="00B2592B" w:rsidP="00B2592B" w14:paraId="7B4FEC64" w14:textId="6BC5F0B4">
      <w:pPr>
        <w:rPr>
          <w:sz w:val="18"/>
          <w:szCs w:val="18"/>
        </w:rPr>
      </w:pPr>
      <w:r w:rsidRPr="00423181">
        <w:rPr>
          <w:sz w:val="18"/>
          <w:szCs w:val="18"/>
          <w:vertAlign w:val="superscript"/>
        </w:rPr>
        <w:t>3</w:t>
      </w:r>
      <w:r w:rsidRPr="00423181">
        <w:rPr>
          <w:sz w:val="18"/>
          <w:szCs w:val="18"/>
        </w:rPr>
        <w:t xml:space="preserve">Hourly wage reflects the average of the hourly wage </w:t>
      </w:r>
      <w:r w:rsidRPr="009A6DB1">
        <w:rPr>
          <w:sz w:val="18"/>
          <w:szCs w:val="18"/>
        </w:rPr>
        <w:t>for workers at least 18 years who were not self-employed and did not work in managerial or professional occupations and the federal minimum wage.</w:t>
      </w:r>
    </w:p>
    <w:p w:rsidR="00B2592B" w:rsidP="003E3B89" w14:paraId="45BF19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p>
    <w:p w:rsidR="003E3B89" w:rsidRPr="0025624C" w:rsidP="003E3B89" w14:paraId="2C5F1E4E" w14:textId="4767146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r w:rsidRPr="0025624C">
        <w:rPr>
          <w:b/>
          <w:sz w:val="22"/>
          <w:szCs w:val="22"/>
        </w:rPr>
        <w:t>13</w:t>
      </w:r>
      <w:r w:rsidRPr="0025624C">
        <w:rPr>
          <w:b/>
          <w:sz w:val="22"/>
          <w:szCs w:val="22"/>
        </w:rPr>
        <w:t>.  Provide</w:t>
      </w:r>
      <w:r w:rsidRPr="0025624C">
        <w:rPr>
          <w:b/>
          <w:sz w:val="22"/>
          <w:szCs w:val="22"/>
        </w:rPr>
        <w:t xml:space="preserve"> an estimate of the total annual cost burden to respondents or recordkeepers resulting from the collection of information.  (Do not include the cost of any hour burden shown in Items 12 and 14).</w:t>
      </w:r>
    </w:p>
    <w:p w:rsidR="003E3B89" w:rsidRPr="0025624C" w:rsidP="00711D94" w14:paraId="6998E82B" w14:textId="77777777">
      <w:pPr>
        <w:rPr>
          <w:sz w:val="22"/>
          <w:szCs w:val="22"/>
        </w:rPr>
      </w:pPr>
    </w:p>
    <w:p w:rsidR="00DE29B6" w:rsidRPr="0025624C" w:rsidP="00711D94" w14:paraId="04AAD7A1" w14:textId="72FFF33F">
      <w:pPr>
        <w:rPr>
          <w:sz w:val="22"/>
          <w:szCs w:val="22"/>
        </w:rPr>
      </w:pPr>
      <w:r w:rsidRPr="0025624C">
        <w:rPr>
          <w:sz w:val="22"/>
          <w:szCs w:val="22"/>
        </w:rPr>
        <w:t xml:space="preserve">There are no capital/start-up or ongoing operation/maintenance costs </w:t>
      </w:r>
      <w:r w:rsidRPr="00714237" w:rsidR="00714237">
        <w:rPr>
          <w:sz w:val="22"/>
          <w:szCs w:val="22"/>
        </w:rPr>
        <w:t xml:space="preserve">to respondents or recordkeepers </w:t>
      </w:r>
      <w:r w:rsidRPr="0025624C">
        <w:rPr>
          <w:sz w:val="22"/>
          <w:szCs w:val="22"/>
        </w:rPr>
        <w:t>associated with this information collection.</w:t>
      </w:r>
    </w:p>
    <w:p w:rsidR="00804804" w:rsidRPr="0025624C" w:rsidP="00711D94" w14:paraId="2B1C3DEB" w14:textId="77777777">
      <w:pPr>
        <w:rPr>
          <w:sz w:val="22"/>
          <w:szCs w:val="22"/>
        </w:rPr>
      </w:pPr>
    </w:p>
    <w:p w:rsidR="00804804" w:rsidRPr="0025624C" w:rsidP="009D1A06" w14:paraId="758021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25624C">
        <w:rPr>
          <w:b/>
          <w:bCs/>
          <w:sz w:val="22"/>
          <w:szCs w:val="22"/>
        </w:rPr>
        <w:t>14</w:t>
      </w:r>
      <w:r w:rsidRPr="0025624C">
        <w:rPr>
          <w:b/>
          <w:bCs/>
          <w:sz w:val="22"/>
          <w:szCs w:val="22"/>
        </w:rPr>
        <w:t>.  Provide</w:t>
      </w:r>
      <w:r w:rsidRPr="0025624C">
        <w:rPr>
          <w:b/>
          <w:bCs/>
          <w:sz w:val="22"/>
          <w:szCs w:val="22"/>
        </w:rPr>
        <w:t xml:space="preserve"> estimates of the annualized cost to the Federal Government.  Also, provide a description of the method used to estimate </w:t>
      </w:r>
      <w:r w:rsidRPr="0025624C">
        <w:rPr>
          <w:b/>
          <w:bCs/>
          <w:sz w:val="22"/>
          <w:szCs w:val="22"/>
        </w:rPr>
        <w:t>cost</w:t>
      </w:r>
      <w:r w:rsidRPr="0025624C">
        <w:rPr>
          <w:b/>
          <w:bCs/>
          <w:sz w:val="22"/>
          <w:szCs w:val="22"/>
        </w:rPr>
        <w:t xml:space="preserve">, which should include quantification of hours, operational expenses (such as equipment, overhead, printing, and support staff), any other </w:t>
      </w:r>
      <w:r w:rsidRPr="0025624C">
        <w:rPr>
          <w:b/>
          <w:bCs/>
          <w:sz w:val="22"/>
          <w:szCs w:val="22"/>
        </w:rPr>
        <w:t>expense</w:t>
      </w:r>
      <w:r w:rsidRPr="0025624C">
        <w:rPr>
          <w:b/>
          <w:bCs/>
          <w:sz w:val="22"/>
          <w:szCs w:val="22"/>
        </w:rPr>
        <w:t xml:space="preserve"> that would not have been incurred</w:t>
      </w:r>
      <w:r w:rsidRPr="0025624C">
        <w:rPr>
          <w:sz w:val="22"/>
          <w:szCs w:val="22"/>
        </w:rPr>
        <w:t xml:space="preserve"> </w:t>
      </w:r>
      <w:r w:rsidRPr="0025624C">
        <w:rPr>
          <w:b/>
          <w:bCs/>
          <w:sz w:val="22"/>
          <w:szCs w:val="22"/>
        </w:rPr>
        <w:t>without this collection of information.  Agencies also may aggregate cost estimates from Items 12, 13, and 14 into a single table.</w:t>
      </w:r>
    </w:p>
    <w:p w:rsidR="00804804" w:rsidRPr="0025624C" w:rsidP="009D1A06" w14:paraId="6F544CC0" w14:textId="77777777">
      <w:pPr>
        <w:rPr>
          <w:sz w:val="22"/>
          <w:szCs w:val="22"/>
        </w:rPr>
      </w:pPr>
    </w:p>
    <w:p w:rsidR="00BE5E80" w:rsidRPr="0025624C" w:rsidP="009D1A06" w14:paraId="0E7F3FB8" w14:textId="2BA8370A">
      <w:pPr>
        <w:rPr>
          <w:sz w:val="22"/>
          <w:szCs w:val="22"/>
        </w:rPr>
      </w:pPr>
      <w:r w:rsidRPr="0025624C">
        <w:rPr>
          <w:sz w:val="22"/>
          <w:szCs w:val="22"/>
        </w:rPr>
        <w:t xml:space="preserve">The estimated annualized cost to the Federal government is </w:t>
      </w:r>
      <w:r w:rsidRPr="0025624C" w:rsidR="00D376DD">
        <w:rPr>
          <w:rFonts w:eastAsia="Times New Roman"/>
          <w:color w:val="000000"/>
          <w:sz w:val="22"/>
          <w:szCs w:val="22"/>
        </w:rPr>
        <w:t>$</w:t>
      </w:r>
      <w:r w:rsidRPr="00BD03EF" w:rsidR="00D376DD">
        <w:rPr>
          <w:rFonts w:eastAsia="Times New Roman"/>
          <w:b/>
          <w:bCs/>
          <w:color w:val="000000"/>
          <w:sz w:val="22"/>
          <w:szCs w:val="22"/>
        </w:rPr>
        <w:t>895,328</w:t>
      </w:r>
      <w:r w:rsidRPr="0025624C">
        <w:rPr>
          <w:sz w:val="22"/>
          <w:szCs w:val="22"/>
        </w:rPr>
        <w:t xml:space="preserve">. The estimated total cost to the Federal government over the </w:t>
      </w:r>
      <w:r w:rsidRPr="0025624C" w:rsidR="00D376DD">
        <w:rPr>
          <w:sz w:val="22"/>
          <w:szCs w:val="22"/>
        </w:rPr>
        <w:t>three-</w:t>
      </w:r>
      <w:r w:rsidRPr="0025624C">
        <w:rPr>
          <w:sz w:val="22"/>
          <w:szCs w:val="22"/>
        </w:rPr>
        <w:t xml:space="preserve">year clearance period is </w:t>
      </w:r>
      <w:r w:rsidRPr="0025624C" w:rsidR="00D376DD">
        <w:rPr>
          <w:rFonts w:eastAsia="Times New Roman"/>
          <w:color w:val="000000"/>
          <w:sz w:val="22"/>
          <w:szCs w:val="22"/>
        </w:rPr>
        <w:t>$2,685,985</w:t>
      </w:r>
      <w:r w:rsidRPr="0025624C">
        <w:rPr>
          <w:sz w:val="22"/>
          <w:szCs w:val="22"/>
        </w:rPr>
        <w:t>.</w:t>
      </w:r>
      <w:r>
        <w:rPr>
          <w:rStyle w:val="FootnoteReference"/>
          <w:sz w:val="22"/>
          <w:szCs w:val="22"/>
        </w:rPr>
        <w:footnoteReference w:id="36"/>
      </w:r>
      <w:r w:rsidRPr="0025624C">
        <w:rPr>
          <w:sz w:val="22"/>
          <w:szCs w:val="22"/>
        </w:rPr>
        <w:t xml:space="preserve"> This cost estimate is comprised of two components:</w:t>
      </w:r>
    </w:p>
    <w:p w:rsidR="00EE7828" w:rsidRPr="0025624C" w:rsidP="009D1A06" w14:paraId="071D1610" w14:textId="77777777">
      <w:pPr>
        <w:rPr>
          <w:rFonts w:eastAsia="Times New Roman"/>
          <w:color w:val="000000"/>
          <w:sz w:val="22"/>
          <w:szCs w:val="22"/>
        </w:rPr>
      </w:pPr>
    </w:p>
    <w:p w:rsidR="00F32362" w:rsidRPr="0025624C" w:rsidP="009D1A06" w14:paraId="52928E37" w14:textId="7A96A329">
      <w:pPr>
        <w:pStyle w:val="NumberedBullet"/>
        <w:tabs>
          <w:tab w:val="num" w:pos="630"/>
          <w:tab w:val="clear" w:pos="2880"/>
        </w:tabs>
        <w:spacing w:after="0"/>
        <w:ind w:left="360" w:firstLine="0"/>
        <w:rPr>
          <w:sz w:val="22"/>
          <w:szCs w:val="22"/>
        </w:rPr>
      </w:pPr>
      <w:r w:rsidRPr="0025624C">
        <w:rPr>
          <w:sz w:val="22"/>
          <w:szCs w:val="22"/>
        </w:rPr>
        <w:t xml:space="preserve">The estimated total cost to the Federal government for the contractor to carry out the tasks for which this justification seeks approval is </w:t>
      </w:r>
      <w:r w:rsidRPr="0025624C" w:rsidR="00400372">
        <w:rPr>
          <w:sz w:val="22"/>
          <w:szCs w:val="22"/>
        </w:rPr>
        <w:t>$2,615,454</w:t>
      </w:r>
      <w:r w:rsidRPr="0025624C">
        <w:rPr>
          <w:sz w:val="22"/>
          <w:szCs w:val="22"/>
        </w:rPr>
        <w:t xml:space="preserve">. This is comprised of </w:t>
      </w:r>
      <w:r w:rsidRPr="0025624C" w:rsidR="00D376DD">
        <w:rPr>
          <w:sz w:val="22"/>
          <w:szCs w:val="22"/>
        </w:rPr>
        <w:t xml:space="preserve">$392,318 </w:t>
      </w:r>
      <w:r w:rsidRPr="0025624C">
        <w:rPr>
          <w:sz w:val="22"/>
          <w:szCs w:val="22"/>
        </w:rPr>
        <w:t xml:space="preserve">for instrument design and </w:t>
      </w:r>
      <w:r w:rsidRPr="0025624C" w:rsidR="00D376DD">
        <w:rPr>
          <w:sz w:val="22"/>
          <w:szCs w:val="22"/>
        </w:rPr>
        <w:t xml:space="preserve">$2,223,136 </w:t>
      </w:r>
      <w:r w:rsidRPr="0025624C">
        <w:rPr>
          <w:sz w:val="22"/>
          <w:szCs w:val="22"/>
        </w:rPr>
        <w:t>for data collection. Annualized over three years, the estimated annual cost is</w:t>
      </w:r>
      <w:r w:rsidRPr="0025624C" w:rsidR="00D376DD">
        <w:rPr>
          <w:sz w:val="22"/>
          <w:szCs w:val="22"/>
        </w:rPr>
        <w:t xml:space="preserve"> $871,818</w:t>
      </w:r>
      <w:r w:rsidRPr="0025624C">
        <w:rPr>
          <w:sz w:val="22"/>
          <w:szCs w:val="22"/>
        </w:rPr>
        <w:t>.</w:t>
      </w:r>
      <w:r>
        <w:rPr>
          <w:rStyle w:val="FootnoteReference"/>
          <w:sz w:val="22"/>
          <w:szCs w:val="22"/>
          <w:vertAlign w:val="baseline"/>
        </w:rPr>
        <w:footnoteReference w:id="37"/>
      </w:r>
      <w:r w:rsidRPr="0025624C" w:rsidR="009D1A06">
        <w:rPr>
          <w:sz w:val="22"/>
          <w:szCs w:val="22"/>
        </w:rPr>
        <w:t>.</w:t>
      </w:r>
    </w:p>
    <w:p w:rsidR="009D1A06" w:rsidRPr="0025624C" w:rsidP="009D1A06" w14:paraId="5E02E71A" w14:textId="77777777">
      <w:pPr>
        <w:pStyle w:val="NumberedBullet"/>
        <w:numPr>
          <w:ilvl w:val="0"/>
          <w:numId w:val="0"/>
        </w:numPr>
        <w:spacing w:after="0"/>
        <w:ind w:left="360"/>
        <w:rPr>
          <w:sz w:val="22"/>
          <w:szCs w:val="22"/>
        </w:rPr>
      </w:pPr>
    </w:p>
    <w:p w:rsidR="00913B1A" w:rsidRPr="0025624C" w:rsidP="009D1A06" w14:paraId="44DC9627" w14:textId="01A0A210">
      <w:pPr>
        <w:pStyle w:val="NumberedBullet"/>
        <w:tabs>
          <w:tab w:val="num" w:pos="630"/>
          <w:tab w:val="clear" w:pos="2880"/>
        </w:tabs>
        <w:spacing w:after="0"/>
        <w:ind w:left="360" w:firstLine="0"/>
        <w:rPr>
          <w:sz w:val="22"/>
          <w:szCs w:val="22"/>
        </w:rPr>
      </w:pPr>
      <w:r w:rsidRPr="0025624C">
        <w:rPr>
          <w:sz w:val="22"/>
          <w:szCs w:val="22"/>
        </w:rPr>
        <w:t>DOL expects the annual level of effort for Federal government technical staff to oversee the contract will require 200 hours for one Washington D.C.-based GS-14, Step 4 employee earning $</w:t>
      </w:r>
      <w:r w:rsidRPr="0025624C" w:rsidR="00400372">
        <w:rPr>
          <w:sz w:val="22"/>
          <w:szCs w:val="22"/>
        </w:rPr>
        <w:t>73</w:t>
      </w:r>
      <w:r w:rsidRPr="0025624C" w:rsidR="007861BA">
        <w:rPr>
          <w:sz w:val="22"/>
          <w:szCs w:val="22"/>
        </w:rPr>
        <w:t>.4</w:t>
      </w:r>
      <w:r w:rsidRPr="0025624C" w:rsidR="00400372">
        <w:rPr>
          <w:sz w:val="22"/>
          <w:szCs w:val="22"/>
        </w:rPr>
        <w:t>7</w:t>
      </w:r>
      <w:r w:rsidRPr="0025624C">
        <w:rPr>
          <w:sz w:val="22"/>
          <w:szCs w:val="22"/>
        </w:rPr>
        <w:t xml:space="preserve"> per hour.</w:t>
      </w:r>
      <w:r>
        <w:rPr>
          <w:rStyle w:val="FootnoteReference"/>
          <w:bCs/>
          <w:sz w:val="22"/>
          <w:szCs w:val="22"/>
        </w:rPr>
        <w:footnoteReference w:id="38"/>
      </w:r>
      <w:r w:rsidRPr="0025624C">
        <w:rPr>
          <w:sz w:val="22"/>
          <w:szCs w:val="22"/>
        </w:rPr>
        <w:t xml:space="preserve"> To account for fringe benefits and other overhead costs the agency applies a multiplication factor of 1.6. The annual cost is $</w:t>
      </w:r>
      <w:r w:rsidRPr="0025624C" w:rsidR="00400372">
        <w:rPr>
          <w:sz w:val="22"/>
          <w:szCs w:val="22"/>
        </w:rPr>
        <w:t>23,510.</w:t>
      </w:r>
      <w:r>
        <w:rPr>
          <w:rStyle w:val="FootnoteReference"/>
          <w:sz w:val="22"/>
          <w:szCs w:val="22"/>
        </w:rPr>
        <w:footnoteReference w:id="39"/>
      </w:r>
      <w:r w:rsidRPr="0025624C">
        <w:rPr>
          <w:sz w:val="22"/>
          <w:szCs w:val="22"/>
        </w:rPr>
        <w:t xml:space="preserve"> </w:t>
      </w:r>
      <w:r w:rsidRPr="0025624C" w:rsidR="00830436">
        <w:rPr>
          <w:sz w:val="22"/>
          <w:szCs w:val="22"/>
        </w:rPr>
        <w:t>The data collection period covered by this justification is three years, so the estimated total cost is $</w:t>
      </w:r>
      <w:r w:rsidRPr="0025624C" w:rsidR="00400372">
        <w:rPr>
          <w:sz w:val="22"/>
          <w:szCs w:val="22"/>
        </w:rPr>
        <w:t>70,531</w:t>
      </w:r>
      <w:r w:rsidRPr="0025624C" w:rsidR="00830436">
        <w:rPr>
          <w:sz w:val="22"/>
          <w:szCs w:val="22"/>
        </w:rPr>
        <w:t>.</w:t>
      </w:r>
    </w:p>
    <w:p w:rsidR="009D1A06" w:rsidRPr="0025624C" w:rsidP="009D1A06" w14:paraId="241DFC48" w14:textId="77777777">
      <w:pPr>
        <w:pStyle w:val="NumberedBullet"/>
        <w:numPr>
          <w:ilvl w:val="0"/>
          <w:numId w:val="0"/>
        </w:numPr>
        <w:spacing w:after="0"/>
        <w:rPr>
          <w:sz w:val="22"/>
          <w:szCs w:val="22"/>
        </w:rPr>
      </w:pPr>
    </w:p>
    <w:p w:rsidR="009D1A06" w:rsidRPr="0025624C" w:rsidP="009D1A06" w14:paraId="3B9378D3" w14:textId="77777777">
      <w:pPr>
        <w:pStyle w:val="NumberedBullet"/>
        <w:numPr>
          <w:ilvl w:val="0"/>
          <w:numId w:val="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432" w:hanging="432"/>
        <w:rPr>
          <w:b/>
          <w:bCs/>
          <w:sz w:val="22"/>
          <w:szCs w:val="22"/>
        </w:rPr>
      </w:pPr>
      <w:r w:rsidRPr="0025624C">
        <w:rPr>
          <w:b/>
          <w:bCs/>
          <w:sz w:val="22"/>
          <w:szCs w:val="22"/>
        </w:rPr>
        <w:t>15.</w:t>
      </w:r>
      <w:r w:rsidRPr="0025624C">
        <w:rPr>
          <w:b/>
          <w:bCs/>
          <w:sz w:val="22"/>
          <w:szCs w:val="22"/>
        </w:rPr>
        <w:tab/>
        <w:t>Explain the reasons for any program changes or adjustments.</w:t>
      </w:r>
    </w:p>
    <w:p w:rsidR="009D1A06" w:rsidRPr="0025624C" w:rsidP="009D1A06" w14:paraId="58B8F3F2" w14:textId="77777777">
      <w:pPr>
        <w:rPr>
          <w:sz w:val="22"/>
          <w:szCs w:val="22"/>
        </w:rPr>
      </w:pPr>
    </w:p>
    <w:p w:rsidR="001A7BA5" w:rsidRPr="0025624C" w:rsidP="00AB48E3" w14:paraId="5B214E9B" w14:textId="11396140">
      <w:pPr>
        <w:rPr>
          <w:sz w:val="22"/>
          <w:szCs w:val="22"/>
        </w:rPr>
      </w:pPr>
      <w:r w:rsidRPr="0025624C">
        <w:rPr>
          <w:sz w:val="22"/>
          <w:szCs w:val="22"/>
        </w:rPr>
        <w:t>This is a new data collection</w:t>
      </w:r>
      <w:r w:rsidR="009D0A54">
        <w:rPr>
          <w:sz w:val="22"/>
          <w:szCs w:val="22"/>
        </w:rPr>
        <w:t>,</w:t>
      </w:r>
      <w:r w:rsidR="00B412CC">
        <w:rPr>
          <w:sz w:val="22"/>
          <w:szCs w:val="22"/>
        </w:rPr>
        <w:t xml:space="preserve"> and therefore there ar</w:t>
      </w:r>
      <w:r w:rsidR="009D0A54">
        <w:rPr>
          <w:sz w:val="22"/>
          <w:szCs w:val="22"/>
        </w:rPr>
        <w:t>e</w:t>
      </w:r>
      <w:r w:rsidR="00B412CC">
        <w:rPr>
          <w:sz w:val="22"/>
          <w:szCs w:val="22"/>
        </w:rPr>
        <w:t xml:space="preserve"> no program changes or adjustments form the current OMB </w:t>
      </w:r>
      <w:r w:rsidR="009D0A54">
        <w:rPr>
          <w:sz w:val="22"/>
          <w:szCs w:val="22"/>
        </w:rPr>
        <w:t>inventory</w:t>
      </w:r>
      <w:r w:rsidRPr="0025624C">
        <w:rPr>
          <w:sz w:val="22"/>
          <w:szCs w:val="22"/>
        </w:rPr>
        <w:t>.</w:t>
      </w:r>
    </w:p>
    <w:p w:rsidR="004551D9" w:rsidRPr="0025624C" w:rsidP="00AB48E3" w14:paraId="47E77E1F" w14:textId="77777777">
      <w:pPr>
        <w:rPr>
          <w:sz w:val="22"/>
          <w:szCs w:val="22"/>
        </w:rPr>
      </w:pPr>
    </w:p>
    <w:p w:rsidR="00F26524" w:rsidRPr="0025624C" w:rsidP="00F26524" w14:paraId="1B9D14B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2"/>
          <w:szCs w:val="22"/>
        </w:rPr>
      </w:pPr>
      <w:r w:rsidRPr="0025624C">
        <w:rPr>
          <w:b/>
          <w:bCs/>
          <w:sz w:val="22"/>
          <w:szCs w:val="22"/>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25624C">
        <w:rPr>
          <w:sz w:val="22"/>
          <w:szCs w:val="22"/>
        </w:rPr>
        <w:t>.</w:t>
      </w:r>
    </w:p>
    <w:p w:rsidR="00400372" w:rsidRPr="0025624C" w:rsidP="00AB48E3" w14:paraId="2FB873E2" w14:textId="061C5C28">
      <w:pPr>
        <w:rPr>
          <w:sz w:val="22"/>
          <w:szCs w:val="22"/>
        </w:rPr>
      </w:pPr>
    </w:p>
    <w:p w:rsidR="00400372" w:rsidRPr="0025624C" w:rsidP="00AB48E3" w14:paraId="6066C45E" w14:textId="5E743D06">
      <w:pPr>
        <w:rPr>
          <w:sz w:val="22"/>
          <w:szCs w:val="22"/>
        </w:rPr>
      </w:pPr>
      <w:r w:rsidRPr="0025624C">
        <w:rPr>
          <w:sz w:val="22"/>
          <w:szCs w:val="22"/>
        </w:rPr>
        <w:t>DOL plans to compile an analytical research report on the findings and results of the survey. Data will be presented primarily in a descriptive statistical manner, employing cross-tabulations. Data will be analyzed to</w:t>
      </w:r>
      <w:r w:rsidRPr="0025624C" w:rsidR="00E16655">
        <w:rPr>
          <w:sz w:val="22"/>
          <w:szCs w:val="22"/>
        </w:rPr>
        <w:t>:</w:t>
      </w:r>
      <w:r w:rsidRPr="0025624C">
        <w:rPr>
          <w:sz w:val="22"/>
          <w:szCs w:val="22"/>
        </w:rPr>
        <w:t xml:space="preserve"> (1) produce prevalence estimates for violations of wage, hour, and overtime protections; (2) understand differences in violations by employer and worker characteristics; and (3) examine the relative weight of job, employer, and worker characteristics.</w:t>
      </w:r>
    </w:p>
    <w:p w:rsidR="006E4672" w:rsidRPr="0025624C" w:rsidP="00711D94" w14:paraId="69B4B538" w14:textId="77777777">
      <w:pPr>
        <w:rPr>
          <w:sz w:val="22"/>
          <w:szCs w:val="22"/>
        </w:rPr>
      </w:pPr>
    </w:p>
    <w:p w:rsidR="006E4672" w:rsidRPr="0025624C" w:rsidP="006E4672" w14:paraId="549915C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2"/>
          <w:szCs w:val="22"/>
        </w:rPr>
      </w:pPr>
      <w:r w:rsidRPr="0025624C">
        <w:rPr>
          <w:b/>
          <w:bCs/>
          <w:sz w:val="22"/>
          <w:szCs w:val="22"/>
        </w:rPr>
        <w:t>17</w:t>
      </w:r>
      <w:r w:rsidRPr="0025624C">
        <w:rPr>
          <w:b/>
          <w:bCs/>
          <w:sz w:val="22"/>
          <w:szCs w:val="22"/>
        </w:rPr>
        <w:t>.  If</w:t>
      </w:r>
      <w:r w:rsidRPr="0025624C">
        <w:rPr>
          <w:b/>
          <w:bCs/>
          <w:sz w:val="22"/>
          <w:szCs w:val="22"/>
        </w:rPr>
        <w:t xml:space="preserve"> seeking approval to not display the expiration date for OMB approval of the information collection, explain the reasons that display would be inappropriate.</w:t>
      </w:r>
    </w:p>
    <w:p w:rsidR="006E4672" w:rsidRPr="0025624C" w:rsidP="00711D94" w14:paraId="71A7A1D3" w14:textId="77777777">
      <w:pPr>
        <w:rPr>
          <w:sz w:val="22"/>
          <w:szCs w:val="22"/>
        </w:rPr>
      </w:pPr>
    </w:p>
    <w:p w:rsidR="00082A50" w:rsidRPr="00082A50" w:rsidP="00082A50" w14:paraId="5B9FF325" w14:textId="77777777">
      <w:pPr>
        <w:rPr>
          <w:sz w:val="22"/>
          <w:szCs w:val="22"/>
        </w:rPr>
      </w:pPr>
      <w:r w:rsidRPr="00A60552">
        <w:rPr>
          <w:sz w:val="22"/>
          <w:szCs w:val="22"/>
        </w:rPr>
        <w:t>CEO does not seek approval to not display the expiration date for OMB approval of the information collection.</w:t>
      </w:r>
    </w:p>
    <w:p w:rsidR="00761C16" w:rsidRPr="0025624C" w:rsidP="00711D94" w14:paraId="41CBCDF5" w14:textId="42E4AD14">
      <w:pPr>
        <w:rPr>
          <w:sz w:val="22"/>
          <w:szCs w:val="22"/>
        </w:rPr>
      </w:pPr>
    </w:p>
    <w:p w:rsidR="004750BF" w:rsidRPr="0025624C" w:rsidP="00711D94" w14:paraId="62A8992A" w14:textId="77777777">
      <w:pPr>
        <w:rPr>
          <w:sz w:val="22"/>
          <w:szCs w:val="22"/>
        </w:rPr>
      </w:pPr>
    </w:p>
    <w:p w:rsidR="004750BF" w:rsidRPr="0025624C" w:rsidP="004750BF" w14:paraId="7908BB8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2"/>
          <w:szCs w:val="22"/>
        </w:rPr>
      </w:pPr>
      <w:r w:rsidRPr="0025624C">
        <w:rPr>
          <w:b/>
          <w:sz w:val="22"/>
          <w:szCs w:val="22"/>
        </w:rPr>
        <w:t>18</w:t>
      </w:r>
      <w:r w:rsidRPr="0025624C">
        <w:rPr>
          <w:b/>
          <w:sz w:val="22"/>
          <w:szCs w:val="22"/>
        </w:rPr>
        <w:t>.  Explain</w:t>
      </w:r>
      <w:r w:rsidRPr="0025624C">
        <w:rPr>
          <w:b/>
          <w:sz w:val="22"/>
          <w:szCs w:val="22"/>
        </w:rPr>
        <w:t xml:space="preserve"> each exception to the certification statement.</w:t>
      </w:r>
    </w:p>
    <w:p w:rsidR="004750BF" w:rsidRPr="0025624C" w:rsidP="00711D94" w14:paraId="2620D800" w14:textId="77777777">
      <w:pPr>
        <w:rPr>
          <w:sz w:val="22"/>
          <w:szCs w:val="22"/>
        </w:rPr>
      </w:pPr>
    </w:p>
    <w:p w:rsidR="00892BAE" w:rsidRPr="0025624C" w:rsidP="00711D94" w14:paraId="50787A9B" w14:textId="591B4034">
      <w:pPr>
        <w:rPr>
          <w:sz w:val="22"/>
          <w:szCs w:val="22"/>
        </w:rPr>
      </w:pPr>
      <w:r w:rsidRPr="0025624C">
        <w:rPr>
          <w:sz w:val="22"/>
          <w:szCs w:val="22"/>
        </w:rPr>
        <w:t xml:space="preserve">There are no exceptions to the Certification for Paperwork Reduction Act </w:t>
      </w:r>
      <w:r w:rsidR="00653A6A">
        <w:rPr>
          <w:sz w:val="22"/>
          <w:szCs w:val="22"/>
        </w:rPr>
        <w:t xml:space="preserve">Submissions </w:t>
      </w:r>
      <w:r w:rsidRPr="0025624C">
        <w:rPr>
          <w:sz w:val="22"/>
          <w:szCs w:val="22"/>
        </w:rPr>
        <w:t>(5 CFR 1320.9) for this study.</w:t>
      </w:r>
    </w:p>
    <w:p w:rsidR="00546D74" w:rsidP="00711D94" w14:paraId="70BC7404" w14:textId="77777777"/>
    <w:p w:rsidR="00892BAE" w:rsidP="00711D94" w14:paraId="26421DF3" w14:textId="77777777"/>
    <w:sectPr w:rsidSect="000700D6">
      <w:footerReference w:type="default" r:id="rId9"/>
      <w:headerReference w:type="first" r:id="rId10"/>
      <w:footerReference w:type="first" r:id="rId11"/>
      <w:pgSz w:w="12240" w:h="15840" w:code="1"/>
      <w:pgMar w:top="1008" w:right="1440" w:bottom="1440"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4928687"/>
      <w:docPartObj>
        <w:docPartGallery w:val="Page Numbers (Bottom of Page)"/>
        <w:docPartUnique/>
      </w:docPartObj>
    </w:sdtPr>
    <w:sdtContent>
      <w:p w:rsidR="00D40032" w:rsidRPr="00B418D0" w14:paraId="5103FFE8" w14:textId="5FD2A596">
        <w:pPr>
          <w:pStyle w:val="Footer"/>
          <w:jc w:val="center"/>
        </w:pPr>
        <w:r w:rsidRPr="00B418D0">
          <w:fldChar w:fldCharType="begin"/>
        </w:r>
        <w:r w:rsidRPr="00B418D0">
          <w:instrText xml:space="preserve"> PAGE   \* MERGEFORMAT </w:instrText>
        </w:r>
        <w:r w:rsidRPr="00B418D0">
          <w:fldChar w:fldCharType="separate"/>
        </w:r>
        <w:r w:rsidR="00407721">
          <w:t>12</w:t>
        </w:r>
        <w:r w:rsidRPr="00B418D0">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5662362"/>
      <w:docPartObj>
        <w:docPartGallery w:val="Page Numbers (Bottom of Page)"/>
        <w:docPartUnique/>
      </w:docPartObj>
    </w:sdtPr>
    <w:sdtEndPr>
      <w:rPr>
        <w:noProof/>
      </w:rPr>
    </w:sdtEndPr>
    <w:sdtContent>
      <w:p w:rsidR="00D40032" w:rsidP="004E1D77" w14:paraId="31B688F2" w14:textId="5D024293">
        <w:pPr>
          <w:pStyle w:val="Footer"/>
          <w:jc w:val="center"/>
        </w:pPr>
        <w:r>
          <w:fldChar w:fldCharType="begin"/>
        </w:r>
        <w:r>
          <w:instrText xml:space="preserve"> PAGE   \* MERGEFORMAT </w:instrText>
        </w:r>
        <w:r>
          <w:fldChar w:fldCharType="separate"/>
        </w:r>
        <w:r w:rsidR="00E63A2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19EA" w14:paraId="6367F3A0" w14:textId="77777777">
      <w:r>
        <w:separator/>
      </w:r>
    </w:p>
  </w:footnote>
  <w:footnote w:type="continuationSeparator" w:id="1">
    <w:p w:rsidR="004719EA" w14:paraId="086A7614" w14:textId="77777777">
      <w:r>
        <w:continuationSeparator/>
      </w:r>
    </w:p>
  </w:footnote>
  <w:footnote w:type="continuationNotice" w:id="2">
    <w:p w:rsidR="004719EA" w14:paraId="00A7B599" w14:textId="77777777"/>
  </w:footnote>
  <w:footnote w:id="3">
    <w:p w:rsidR="00652331" w:rsidRPr="00AE740D" w:rsidP="0028262D" w14:paraId="1C5B6782" w14:textId="0A309173">
      <w:pPr>
        <w:pStyle w:val="FootnoteText"/>
        <w:tabs>
          <w:tab w:val="clear" w:pos="120"/>
        </w:tabs>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If the employee receives more than $30 a month in tips, the employer may include those tips as part of the minimum wage owed that employee, but the employee must still receive at least $2.13 per hour from the employer regardless of tipped earnings.</w:t>
      </w:r>
    </w:p>
  </w:footnote>
  <w:footnote w:id="4">
    <w:p w:rsidR="00F0166A" w:rsidRPr="00423181" w:rsidP="0028262D" w14:paraId="4BFB4091" w14:textId="1B19C61B">
      <w:pPr>
        <w:pStyle w:val="FootnoteText"/>
        <w:tabs>
          <w:tab w:val="clear" w:pos="120"/>
        </w:tabs>
        <w:spacing w:before="0" w:line="240" w:lineRule="auto"/>
        <w:ind w:left="0" w:firstLine="0"/>
        <w:contextualSpacing/>
        <w:rPr>
          <w:rFonts w:ascii="Times New Roman" w:hAnsi="Times New Roman"/>
          <w:sz w:val="18"/>
          <w:szCs w:val="18"/>
        </w:rPr>
      </w:pPr>
      <w:r w:rsidRPr="0028262D">
        <w:rPr>
          <w:rStyle w:val="FootnoteReference"/>
          <w:rFonts w:ascii="Times New Roman" w:hAnsi="Times New Roman"/>
          <w:sz w:val="18"/>
          <w:szCs w:val="18"/>
        </w:rPr>
        <w:footnoteRef/>
      </w:r>
      <w:r w:rsidR="00EF214B">
        <w:rPr>
          <w:rFonts w:ascii="Times New Roman" w:hAnsi="Times New Roman"/>
          <w:sz w:val="18"/>
          <w:szCs w:val="18"/>
        </w:rPr>
        <w:t xml:space="preserve"> </w:t>
      </w:r>
      <w:r w:rsidRPr="0080457B" w:rsidR="0080457B">
        <w:rPr>
          <w:rFonts w:ascii="Times New Roman" w:hAnsi="Times New Roman"/>
          <w:sz w:val="18"/>
          <w:szCs w:val="18"/>
        </w:rPr>
        <w:t xml:space="preserve">DOL issued a new rule that raises the salary threshold for exemption to $1,128 per week effective January 1, 2025. Given that the rule is facing legal challenges, we propose that the current data collection use the $684 threshold. </w:t>
      </w:r>
      <w:r w:rsidR="00073D12">
        <w:rPr>
          <w:rFonts w:ascii="Times New Roman" w:hAnsi="Times New Roman"/>
          <w:sz w:val="18"/>
          <w:szCs w:val="18"/>
        </w:rPr>
        <w:t>Basing the eligibility criteria on the new rule could lead to overestimates of potential violations</w:t>
      </w:r>
      <w:r w:rsidR="00B1594C">
        <w:rPr>
          <w:rFonts w:ascii="Times New Roman" w:hAnsi="Times New Roman"/>
          <w:sz w:val="18"/>
          <w:szCs w:val="18"/>
        </w:rPr>
        <w:t xml:space="preserve"> if the new rule is not consistently applied. </w:t>
      </w:r>
      <w:r w:rsidRPr="0080457B" w:rsidR="0080457B">
        <w:rPr>
          <w:rFonts w:ascii="Times New Roman" w:hAnsi="Times New Roman"/>
          <w:sz w:val="18"/>
          <w:szCs w:val="18"/>
        </w:rPr>
        <w:t xml:space="preserve">However, we will reevaluate the decision and </w:t>
      </w:r>
      <w:r w:rsidR="00543F3B">
        <w:rPr>
          <w:rFonts w:ascii="Times New Roman" w:hAnsi="Times New Roman"/>
          <w:sz w:val="18"/>
          <w:szCs w:val="18"/>
        </w:rPr>
        <w:t>may file an OMB amendment if necessary to change the eligibility criteria</w:t>
      </w:r>
      <w:r w:rsidRPr="0080457B" w:rsidR="0080457B">
        <w:rPr>
          <w:rFonts w:ascii="Times New Roman" w:hAnsi="Times New Roman"/>
          <w:sz w:val="18"/>
          <w:szCs w:val="18"/>
        </w:rPr>
        <w:t xml:space="preserve">. </w:t>
      </w:r>
      <w:hyperlink r:id="rId1" w:history="1">
        <w:r w:rsidRPr="00596658">
          <w:rPr>
            <w:rStyle w:val="Hyperlink"/>
            <w:rFonts w:ascii="Times New Roman" w:hAnsi="Times New Roman"/>
            <w:sz w:val="18"/>
            <w:szCs w:val="18"/>
          </w:rPr>
          <w:t>https://www.dol.gov/agencies/whd/overtime/salary-levels</w:t>
        </w:r>
      </w:hyperlink>
    </w:p>
  </w:footnote>
  <w:footnote w:id="5">
    <w:p w:rsidR="007A1152" w:rsidRPr="00AE740D" w:rsidP="0028262D" w14:paraId="15B31682" w14:textId="77777777">
      <w:pPr>
        <w:pStyle w:val="FootnoteText"/>
        <w:tabs>
          <w:tab w:val="clear" w:pos="120"/>
        </w:tabs>
        <w:spacing w:before="0" w:line="240" w:lineRule="auto"/>
        <w:ind w:left="0" w:firstLine="0"/>
        <w:contextualSpacing/>
        <w:rPr>
          <w:rFonts w:ascii="Times New Roman" w:hAnsi="Times New Roman"/>
          <w:sz w:val="18"/>
          <w:szCs w:val="18"/>
          <w:highlight w:val="yellow"/>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Apprentices and unpaid student interns are also exempt from the Act </w:t>
      </w:r>
      <w:r w:rsidRPr="00AE740D">
        <w:rPr>
          <w:rFonts w:ascii="Times New Roman" w:hAnsi="Times New Roman"/>
          <w:sz w:val="18"/>
          <w:szCs w:val="18"/>
        </w:rPr>
        <w:t>as long as</w:t>
      </w:r>
      <w:r w:rsidRPr="00AE740D">
        <w:rPr>
          <w:rFonts w:ascii="Times New Roman" w:hAnsi="Times New Roman"/>
          <w:sz w:val="18"/>
          <w:szCs w:val="18"/>
        </w:rPr>
        <w:t xml:space="preserve"> they are the “primary beneficiary” of their work, which is educational in nature and does not displace other covered employees. Finally, the FLSA exempts employees of certain small newspapers, seamen employed on foreign vessels, employees engaged in fishing operations, employees engaged in newspaper delivery, some farmworkers, casual babysitters, and persons employed as companions to the elderly or infirm (Code of Federal Regulations, 2022).</w:t>
      </w:r>
    </w:p>
  </w:footnote>
  <w:footnote w:id="6">
    <w:p w:rsidR="00756ECE" w:rsidRPr="0028262D" w:rsidP="0028262D" w14:paraId="270909C0" w14:textId="77DF2686">
      <w:pPr>
        <w:pStyle w:val="N0-FlLftBullet"/>
        <w:spacing w:after="0"/>
        <w:ind w:left="0" w:firstLine="0"/>
        <w:contextualSpacing/>
        <w:rPr>
          <w:sz w:val="18"/>
          <w:szCs w:val="18"/>
        </w:rPr>
      </w:pPr>
      <w:r w:rsidRPr="0028262D">
        <w:rPr>
          <w:rStyle w:val="FootnoteReference"/>
          <w:sz w:val="18"/>
          <w:szCs w:val="18"/>
        </w:rPr>
        <w:footnoteRef/>
      </w:r>
      <w:r w:rsidRPr="0028262D" w:rsidR="00614B7D">
        <w:rPr>
          <w:rFonts w:eastAsia="Times New Roman"/>
          <w:sz w:val="18"/>
          <w:szCs w:val="18"/>
          <w:lang w:eastAsia="en-GB"/>
        </w:rPr>
        <w:t xml:space="preserve">Dolfin, S., Maxwell, N., Gould-Werth, A., Yanez, A., Deutsch, J., and Hendrix, L. (2020). </w:t>
      </w:r>
      <w:r w:rsidRPr="0028262D" w:rsidR="00614B7D">
        <w:rPr>
          <w:rFonts w:eastAsia="Times New Roman"/>
          <w:i/>
          <w:sz w:val="18"/>
          <w:szCs w:val="18"/>
          <w:lang w:eastAsia="en-GB"/>
        </w:rPr>
        <w:t>Compliance Evaluation Strategies Literature and Database Review.</w:t>
      </w:r>
      <w:r w:rsidRPr="0028262D" w:rsidR="00614B7D">
        <w:rPr>
          <w:rFonts w:eastAsia="Times New Roman"/>
          <w:sz w:val="18"/>
          <w:szCs w:val="18"/>
          <w:lang w:eastAsia="en-GB"/>
        </w:rPr>
        <w:t xml:space="preserve"> Department of Labor. </w:t>
      </w:r>
      <w:hyperlink r:id="rId2" w:history="1">
        <w:r w:rsidRPr="0028262D" w:rsidR="00614B7D">
          <w:rPr>
            <w:rStyle w:val="Hyperlink"/>
            <w:rFonts w:eastAsia="Times New Roman"/>
            <w:sz w:val="18"/>
            <w:szCs w:val="18"/>
            <w:lang w:eastAsia="en-GB"/>
          </w:rPr>
          <w:t>https://www.dol.gov/sites/dolgov/files/OASP/evaluation/pdf/WHD_ComplianceStrategies_LiteratureReview_Oct2020.pdf</w:t>
        </w:r>
      </w:hyperlink>
    </w:p>
  </w:footnote>
  <w:footnote w:id="7">
    <w:p w:rsidR="00584568" w:rsidRPr="0028262D" w:rsidP="0028262D" w14:paraId="0708C73B" w14:textId="6861D95C">
      <w:pPr>
        <w:pStyle w:val="N0-FlLftBullet"/>
        <w:spacing w:after="0"/>
        <w:ind w:left="0" w:firstLine="0"/>
        <w:contextualSpacing/>
        <w:rPr>
          <w:rFonts w:eastAsia="Times New Roman"/>
          <w:sz w:val="18"/>
          <w:szCs w:val="18"/>
          <w:lang w:eastAsia="en-GB"/>
        </w:rPr>
      </w:pPr>
      <w:r w:rsidRPr="0028262D">
        <w:rPr>
          <w:rStyle w:val="FootnoteReference"/>
          <w:sz w:val="18"/>
          <w:szCs w:val="18"/>
        </w:rPr>
        <w:footnoteRef/>
      </w:r>
      <w:r w:rsidRPr="0028262D">
        <w:rPr>
          <w:sz w:val="18"/>
          <w:szCs w:val="18"/>
        </w:rPr>
        <w:t xml:space="preserve"> </w:t>
      </w:r>
      <w:r w:rsidRPr="0028262D" w:rsidR="00DF3B23">
        <w:rPr>
          <w:rFonts w:eastAsia="Times New Roman"/>
          <w:sz w:val="18"/>
          <w:szCs w:val="18"/>
          <w:lang w:eastAsia="en-GB"/>
        </w:rPr>
        <w:t xml:space="preserve">U.S. Government Accountability Office (GAO) (2020 December). </w:t>
      </w:r>
      <w:r w:rsidRPr="0028262D" w:rsidR="00DF3B23">
        <w:rPr>
          <w:rFonts w:eastAsia="Times New Roman"/>
          <w:i/>
          <w:sz w:val="18"/>
          <w:szCs w:val="18"/>
          <w:lang w:eastAsia="en-GB"/>
        </w:rPr>
        <w:t>Fair Labor Standards Act: Tracking additional compl</w:t>
      </w:r>
      <w:r w:rsidRPr="0028262D" w:rsidR="000B2665">
        <w:rPr>
          <w:rFonts w:eastAsia="Times New Roman"/>
          <w:i/>
          <w:sz w:val="18"/>
          <w:szCs w:val="18"/>
          <w:lang w:eastAsia="en-GB"/>
        </w:rPr>
        <w:t>ai</w:t>
      </w:r>
      <w:r w:rsidRPr="0028262D" w:rsidR="00DF3B23">
        <w:rPr>
          <w:rFonts w:eastAsia="Times New Roman"/>
          <w:i/>
          <w:sz w:val="18"/>
          <w:szCs w:val="18"/>
          <w:lang w:eastAsia="en-GB"/>
        </w:rPr>
        <w:t xml:space="preserve">nt data could improve DOL’s enforcement </w:t>
      </w:r>
      <w:r w:rsidRPr="0028262D" w:rsidR="00DF3B23">
        <w:rPr>
          <w:rFonts w:eastAsia="Times New Roman"/>
          <w:sz w:val="18"/>
          <w:szCs w:val="18"/>
          <w:lang w:eastAsia="en-GB"/>
        </w:rPr>
        <w:t xml:space="preserve">(GAO-21-13). Report to Congressional Requesters. </w:t>
      </w:r>
      <w:hyperlink r:id="rId3" w:history="1">
        <w:r w:rsidRPr="0028262D" w:rsidR="00DF3B23">
          <w:rPr>
            <w:rStyle w:val="Hyperlink"/>
            <w:rFonts w:eastAsia="Times New Roman"/>
            <w:sz w:val="18"/>
            <w:szCs w:val="18"/>
            <w:lang w:eastAsia="en-GB"/>
          </w:rPr>
          <w:t>https://www.gao.gov/assets/gao-21-13.pdf</w:t>
        </w:r>
      </w:hyperlink>
    </w:p>
  </w:footnote>
  <w:footnote w:id="8">
    <w:p w:rsidR="003E7474" w:rsidRPr="0028262D" w:rsidP="0028262D" w14:paraId="6C729838" w14:textId="6E04D4DB">
      <w:pPr>
        <w:pStyle w:val="N0-FlLftBullet"/>
        <w:spacing w:after="0"/>
        <w:ind w:left="0" w:firstLine="0"/>
        <w:contextualSpacing/>
        <w:rPr>
          <w:sz w:val="18"/>
          <w:szCs w:val="18"/>
        </w:rPr>
      </w:pPr>
      <w:r w:rsidRPr="0028262D">
        <w:rPr>
          <w:rStyle w:val="FootnoteReference"/>
          <w:sz w:val="18"/>
          <w:szCs w:val="18"/>
        </w:rPr>
        <w:footnoteRef/>
      </w:r>
      <w:r w:rsidRPr="0028262D" w:rsidR="00A17330">
        <w:rPr>
          <w:sz w:val="18"/>
          <w:szCs w:val="18"/>
        </w:rPr>
        <w:t xml:space="preserve">Cooper, D., and Kroeger, T. (2017 May 10). Employers steal billions from workers’ paychecks each year: Survey data show millions of workers are paid less than the minimum wage, at significant cost to taxpayers and state economies. Economic Policy Institute. </w:t>
      </w:r>
      <w:hyperlink r:id="rId4" w:history="1">
        <w:r w:rsidRPr="0028262D" w:rsidR="00A17330">
          <w:rPr>
            <w:rStyle w:val="Hyperlink"/>
            <w:sz w:val="18"/>
            <w:szCs w:val="18"/>
          </w:rPr>
          <w:t>https://www.epi.org/publication/employers-steal-billions-from-workers-paychecks-each-year/</w:t>
        </w:r>
      </w:hyperlink>
      <w:r w:rsidRPr="0028262D" w:rsidR="00E91086">
        <w:rPr>
          <w:rStyle w:val="Hyperlink"/>
          <w:sz w:val="18"/>
          <w:szCs w:val="18"/>
        </w:rPr>
        <w:t>;</w:t>
      </w:r>
      <w:r w:rsidRPr="0028262D" w:rsidR="00E91086">
        <w:rPr>
          <w:rFonts w:eastAsia="Times New Roman"/>
          <w:sz w:val="18"/>
          <w:szCs w:val="18"/>
          <w:lang w:eastAsia="en-GB"/>
        </w:rPr>
        <w:t xml:space="preserve"> Eastern Research Group Inc. (ERG) (2014). The social and economic effects of wage violations: Estimates for California and New York (Contract number DOLU139634375). Department of Labor. </w:t>
      </w:r>
      <w:hyperlink r:id="rId5" w:history="1">
        <w:r w:rsidRPr="0028262D" w:rsidR="00E91086">
          <w:rPr>
            <w:rStyle w:val="Hyperlink"/>
            <w:rFonts w:eastAsia="Times New Roman"/>
            <w:sz w:val="18"/>
            <w:szCs w:val="18"/>
            <w:lang w:eastAsia="en-GB"/>
          </w:rPr>
          <w:t>https://www.dol.gov/sites/dolgov/files/OASP/legacy/files/WageViolationsReport</w:t>
        </w:r>
        <w:r w:rsidRPr="0028262D" w:rsidR="00E91086">
          <w:rPr>
            <w:rStyle w:val="Hyperlink"/>
            <w:rFonts w:eastAsia="Times New Roman"/>
            <w:sz w:val="18"/>
            <w:szCs w:val="18"/>
            <w:lang w:eastAsia="en-GB"/>
          </w:rPr>
          <w:br/>
          <w:t>December2014.pdf</w:t>
        </w:r>
      </w:hyperlink>
      <w:r w:rsidRPr="0028262D" w:rsidR="00A17330">
        <w:rPr>
          <w:rFonts w:eastAsia="Times New Roman"/>
          <w:sz w:val="18"/>
          <w:szCs w:val="18"/>
          <w:lang w:eastAsia="en-GB"/>
        </w:rPr>
        <w:t>;</w:t>
      </w:r>
      <w:r w:rsidRPr="0028262D" w:rsidR="00425F14">
        <w:rPr>
          <w:rFonts w:eastAsia="Times New Roman"/>
          <w:sz w:val="18"/>
          <w:szCs w:val="18"/>
          <w:lang w:eastAsia="en-GB"/>
        </w:rPr>
        <w:t xml:space="preserve"> </w:t>
      </w:r>
      <w:r w:rsidRPr="0028262D" w:rsidR="00BC5B60">
        <w:rPr>
          <w:rFonts w:eastAsia="Times New Roman"/>
          <w:sz w:val="18"/>
          <w:szCs w:val="18"/>
          <w:lang w:eastAsia="en-GB"/>
        </w:rPr>
        <w:t xml:space="preserve">Galvin, D., Round, J., and Fine, J. (2020). A roadmap for strategic enforcement: Complaints and compliance with San Francisco’s minimum wage. Center for Innovation in Worker Organization. </w:t>
      </w:r>
      <w:hyperlink r:id="rId6" w:history="1">
        <w:r w:rsidRPr="0028262D" w:rsidR="00BC5B60">
          <w:rPr>
            <w:rStyle w:val="Hyperlink"/>
            <w:rFonts w:eastAsia="Times New Roman"/>
            <w:sz w:val="18"/>
            <w:szCs w:val="18"/>
            <w:lang w:eastAsia="en-GB"/>
          </w:rPr>
          <w:t>https://smlr.rutgers.edu/sites/default/files/Documents/Centers/CIWO/20_0828_sanfrancisco_study.pdf</w:t>
        </w:r>
      </w:hyperlink>
    </w:p>
  </w:footnote>
  <w:footnote w:id="9">
    <w:p w:rsidR="00025B9E" w:rsidRPr="0028262D" w:rsidP="0028262D" w14:paraId="3F7E3DCC" w14:textId="206B0BF1">
      <w:pPr>
        <w:pStyle w:val="N0-FlLftBullet"/>
        <w:spacing w:after="0"/>
        <w:ind w:left="0" w:firstLine="0"/>
        <w:contextualSpacing/>
        <w:rPr>
          <w:rFonts w:eastAsia="Times New Roman"/>
          <w:sz w:val="18"/>
          <w:szCs w:val="18"/>
          <w:lang w:eastAsia="en-GB"/>
        </w:rPr>
      </w:pPr>
      <w:r w:rsidRPr="0028262D">
        <w:rPr>
          <w:rStyle w:val="FootnoteReference"/>
          <w:sz w:val="18"/>
          <w:szCs w:val="18"/>
        </w:rPr>
        <w:footnoteRef/>
      </w:r>
      <w:r w:rsidRPr="0028262D">
        <w:rPr>
          <w:sz w:val="18"/>
          <w:szCs w:val="18"/>
        </w:rPr>
        <w:t xml:space="preserve"> </w:t>
      </w:r>
      <w:r w:rsidRPr="0028262D" w:rsidR="0018360B">
        <w:rPr>
          <w:rFonts w:eastAsia="Times New Roman"/>
          <w:sz w:val="18"/>
          <w:szCs w:val="18"/>
          <w:lang w:eastAsia="en-GB"/>
        </w:rPr>
        <w:t xml:space="preserve">Bernhardt, A., Milkman, R., Heckathorn, R., Theodore, N., Auer, M., DeFilippis, J., Gonzalez, A.L., Narro, V., Perelshteyn, J., Polson, D., and Spiller, M. (2009). </w:t>
      </w:r>
      <w:r w:rsidRPr="0028262D" w:rsidR="0018360B">
        <w:rPr>
          <w:rFonts w:eastAsia="Times New Roman"/>
          <w:i/>
          <w:sz w:val="18"/>
          <w:szCs w:val="18"/>
          <w:lang w:eastAsia="en-GB"/>
        </w:rPr>
        <w:t>Broken laws, unprotected workers: Violations of employment and labor laws in America’s cities.</w:t>
      </w:r>
      <w:r w:rsidRPr="0028262D" w:rsidR="0018360B">
        <w:rPr>
          <w:rFonts w:eastAsia="Times New Roman"/>
          <w:sz w:val="18"/>
          <w:szCs w:val="18"/>
          <w:lang w:eastAsia="en-GB"/>
        </w:rPr>
        <w:t xml:space="preserve"> National Employment Law Project (NELP) Report. </w:t>
      </w:r>
      <w:hyperlink r:id="rId7" w:history="1">
        <w:r w:rsidRPr="0028262D" w:rsidR="0018360B">
          <w:rPr>
            <w:rStyle w:val="Hyperlink"/>
            <w:rFonts w:eastAsia="Times New Roman"/>
            <w:sz w:val="18"/>
            <w:szCs w:val="18"/>
            <w:lang w:eastAsia="en-GB"/>
          </w:rPr>
          <w:t>https://s27147.pcdn.co/wp-content/uploads/2015/03/BrokenLawsReport2009.pdf</w:t>
        </w:r>
      </w:hyperlink>
    </w:p>
  </w:footnote>
  <w:footnote w:id="10">
    <w:p w:rsidR="004378B7" w:rsidRPr="0028262D" w:rsidP="0028262D" w14:paraId="30095B8F" w14:textId="15C50E2B">
      <w:pPr>
        <w:pStyle w:val="FootnoteText"/>
        <w:spacing w:before="0" w:line="240" w:lineRule="auto"/>
        <w:ind w:left="0" w:firstLine="0"/>
        <w:contextualSpacing/>
        <w:rPr>
          <w:rFonts w:ascii="Times New Roman" w:hAnsi="Times New Roman"/>
          <w:sz w:val="18"/>
          <w:szCs w:val="18"/>
        </w:rPr>
      </w:pPr>
      <w:r w:rsidRPr="0028262D">
        <w:rPr>
          <w:rStyle w:val="FootnoteReference"/>
          <w:rFonts w:ascii="Times New Roman" w:hAnsi="Times New Roman"/>
          <w:sz w:val="18"/>
          <w:szCs w:val="18"/>
        </w:rPr>
        <w:footnoteRef/>
      </w:r>
      <w:r w:rsidRPr="0028262D">
        <w:rPr>
          <w:rFonts w:ascii="Times New Roman" w:hAnsi="Times New Roman"/>
          <w:sz w:val="18"/>
          <w:szCs w:val="18"/>
        </w:rPr>
        <w:t xml:space="preserve"> </w:t>
      </w:r>
      <w:r w:rsidRPr="00AE740D" w:rsidR="00AB44CE">
        <w:rPr>
          <w:rFonts w:ascii="Times New Roman" w:hAnsi="Times New Roman"/>
          <w:sz w:val="18"/>
          <w:szCs w:val="18"/>
        </w:rPr>
        <w:t>Cooper</w:t>
      </w:r>
      <w:r w:rsidR="00341F22">
        <w:rPr>
          <w:rFonts w:ascii="Times New Roman" w:hAnsi="Times New Roman"/>
          <w:sz w:val="18"/>
          <w:szCs w:val="18"/>
        </w:rPr>
        <w:t xml:space="preserve"> </w:t>
      </w:r>
      <w:r w:rsidRPr="00AE740D" w:rsidR="00AB44CE">
        <w:rPr>
          <w:rFonts w:ascii="Times New Roman" w:hAnsi="Times New Roman"/>
          <w:sz w:val="18"/>
          <w:szCs w:val="18"/>
        </w:rPr>
        <w:t>and Kroeger</w:t>
      </w:r>
      <w:r w:rsidR="00341F22">
        <w:rPr>
          <w:rFonts w:ascii="Times New Roman" w:hAnsi="Times New Roman"/>
          <w:sz w:val="18"/>
          <w:szCs w:val="18"/>
        </w:rPr>
        <w:t xml:space="preserve"> </w:t>
      </w:r>
      <w:r w:rsidRPr="00AE740D" w:rsidR="00AB44CE">
        <w:rPr>
          <w:rFonts w:ascii="Times New Roman" w:hAnsi="Times New Roman"/>
          <w:sz w:val="18"/>
          <w:szCs w:val="18"/>
        </w:rPr>
        <w:t>(2017)</w:t>
      </w:r>
    </w:p>
  </w:footnote>
  <w:footnote w:id="11">
    <w:p w:rsidR="00282894" w:rsidRPr="00AE740D" w:rsidP="0028262D" w14:paraId="19FC2F45" w14:textId="26DD3D41">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AD1D23">
        <w:rPr>
          <w:rFonts w:ascii="Times New Roman" w:hAnsi="Times New Roman"/>
          <w:sz w:val="18"/>
          <w:szCs w:val="18"/>
        </w:rPr>
        <w:t xml:space="preserve">Krieger, N., LeBlanc, M., Waterman, P. D., Reisner, S. L., Testa, C., </w:t>
      </w:r>
      <w:r w:rsidR="00165AFF">
        <w:rPr>
          <w:rFonts w:ascii="Times New Roman" w:hAnsi="Times New Roman"/>
          <w:sz w:val="18"/>
          <w:szCs w:val="18"/>
        </w:rPr>
        <w:t>and</w:t>
      </w:r>
      <w:r w:rsidRPr="00AE740D" w:rsidR="00AD1D23">
        <w:rPr>
          <w:rFonts w:ascii="Times New Roman" w:hAnsi="Times New Roman"/>
          <w:sz w:val="18"/>
          <w:szCs w:val="18"/>
        </w:rPr>
        <w:t xml:space="preserve"> Chen, J. T. (2023). Decreasing survey response rates in the time of COVID-19: implications for analyses of population health and health inequities. </w:t>
      </w:r>
      <w:r w:rsidRPr="00AE740D" w:rsidR="00AD1D23">
        <w:rPr>
          <w:rFonts w:ascii="Times New Roman" w:hAnsi="Times New Roman"/>
          <w:i/>
          <w:sz w:val="18"/>
          <w:szCs w:val="18"/>
        </w:rPr>
        <w:t xml:space="preserve">American </w:t>
      </w:r>
      <w:r w:rsidR="00165AFF">
        <w:rPr>
          <w:rFonts w:ascii="Times New Roman" w:hAnsi="Times New Roman"/>
          <w:i/>
          <w:sz w:val="18"/>
          <w:szCs w:val="18"/>
        </w:rPr>
        <w:t>J</w:t>
      </w:r>
      <w:r w:rsidRPr="00AE740D" w:rsidR="00AD1D23">
        <w:rPr>
          <w:rFonts w:ascii="Times New Roman" w:hAnsi="Times New Roman"/>
          <w:i/>
          <w:sz w:val="18"/>
          <w:szCs w:val="18"/>
        </w:rPr>
        <w:t xml:space="preserve">ournal of </w:t>
      </w:r>
      <w:r w:rsidR="00165AFF">
        <w:rPr>
          <w:rFonts w:ascii="Times New Roman" w:hAnsi="Times New Roman"/>
          <w:i/>
          <w:sz w:val="18"/>
          <w:szCs w:val="18"/>
        </w:rPr>
        <w:t>P</w:t>
      </w:r>
      <w:r w:rsidRPr="00AE740D" w:rsidR="00AD1D23">
        <w:rPr>
          <w:rFonts w:ascii="Times New Roman" w:hAnsi="Times New Roman"/>
          <w:i/>
          <w:sz w:val="18"/>
          <w:szCs w:val="18"/>
        </w:rPr>
        <w:t xml:space="preserve">ublic </w:t>
      </w:r>
      <w:r w:rsidR="00165AFF">
        <w:rPr>
          <w:rFonts w:ascii="Times New Roman" w:hAnsi="Times New Roman"/>
          <w:i/>
          <w:sz w:val="18"/>
          <w:szCs w:val="18"/>
        </w:rPr>
        <w:t>H</w:t>
      </w:r>
      <w:r w:rsidRPr="00AE740D" w:rsidR="00AD1D23">
        <w:rPr>
          <w:rFonts w:ascii="Times New Roman" w:hAnsi="Times New Roman"/>
          <w:i/>
          <w:sz w:val="18"/>
          <w:szCs w:val="18"/>
        </w:rPr>
        <w:t>ealth</w:t>
      </w:r>
      <w:r w:rsidRPr="00AE740D" w:rsidR="00AD1D23">
        <w:rPr>
          <w:rFonts w:ascii="Times New Roman" w:hAnsi="Times New Roman"/>
          <w:sz w:val="18"/>
          <w:szCs w:val="18"/>
        </w:rPr>
        <w:t>, </w:t>
      </w:r>
      <w:r w:rsidRPr="00AF1899" w:rsidR="00AD1D23">
        <w:rPr>
          <w:rFonts w:ascii="Times New Roman" w:hAnsi="Times New Roman"/>
          <w:iCs/>
          <w:sz w:val="18"/>
          <w:szCs w:val="18"/>
        </w:rPr>
        <w:t>113</w:t>
      </w:r>
      <w:r w:rsidRPr="00020421" w:rsidR="00AD1D23">
        <w:rPr>
          <w:rFonts w:ascii="Times New Roman" w:hAnsi="Times New Roman"/>
          <w:iCs/>
          <w:sz w:val="18"/>
          <w:szCs w:val="18"/>
        </w:rPr>
        <w:t>(6)</w:t>
      </w:r>
      <w:r w:rsidRPr="00020421" w:rsidR="00F94511">
        <w:rPr>
          <w:rFonts w:ascii="Times New Roman" w:hAnsi="Times New Roman"/>
          <w:iCs/>
          <w:sz w:val="18"/>
          <w:szCs w:val="18"/>
        </w:rPr>
        <w:t>:</w:t>
      </w:r>
      <w:r w:rsidRPr="00AE740D" w:rsidR="00AD1D23">
        <w:rPr>
          <w:rFonts w:ascii="Times New Roman" w:hAnsi="Times New Roman"/>
          <w:sz w:val="18"/>
          <w:szCs w:val="18"/>
        </w:rPr>
        <w:t>667-670</w:t>
      </w:r>
      <w:r w:rsidR="00FB7464">
        <w:rPr>
          <w:rFonts w:ascii="Times New Roman" w:hAnsi="Times New Roman"/>
          <w:sz w:val="18"/>
          <w:szCs w:val="18"/>
        </w:rPr>
        <w:t xml:space="preserve">, </w:t>
      </w:r>
      <w:hyperlink r:id="rId8" w:history="1">
        <w:r w:rsidRPr="00D573FB">
          <w:rPr>
            <w:rStyle w:val="Hyperlink"/>
            <w:rFonts w:ascii="Times New Roman" w:hAnsi="Times New Roman"/>
            <w:sz w:val="18"/>
            <w:szCs w:val="18"/>
          </w:rPr>
          <w:t>https://doi.org/10.2105/AJPH.2023.307267</w:t>
        </w:r>
      </w:hyperlink>
    </w:p>
  </w:footnote>
  <w:footnote w:id="12">
    <w:p w:rsidR="00C030F5" w:rsidRPr="00AE740D" w:rsidP="0028262D" w14:paraId="45B7E9E7" w14:textId="2B8BB01D">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Singer E. (2002). The use of incentives to reduce non-response in household surveys in: Groves R, Dillman D, Eltinge J, Little R (eds.) Survey </w:t>
      </w:r>
      <w:r w:rsidRPr="00AE740D">
        <w:rPr>
          <w:rFonts w:ascii="Times New Roman" w:hAnsi="Times New Roman"/>
          <w:sz w:val="18"/>
          <w:szCs w:val="18"/>
        </w:rPr>
        <w:t>Non Response</w:t>
      </w:r>
      <w:r w:rsidRPr="00AE740D">
        <w:rPr>
          <w:rFonts w:ascii="Times New Roman" w:hAnsi="Times New Roman"/>
          <w:sz w:val="18"/>
          <w:szCs w:val="18"/>
        </w:rPr>
        <w:t>. New York: Wiley, pp 163-177</w:t>
      </w:r>
      <w:r w:rsidRPr="00AE740D" w:rsidR="009F795F">
        <w:rPr>
          <w:rFonts w:ascii="Times New Roman" w:hAnsi="Times New Roman"/>
          <w:sz w:val="18"/>
          <w:szCs w:val="18"/>
        </w:rPr>
        <w:t>; James T. (1996). Results of wave 1 incentive experiment in the 1996 survey of income and program participation. Proceedings of the Survey Research Section, American Statistical Association, 834-839; Groves R, Fowler F, Couper M, Lepkowski J, Singer E. (2009) in: Survey methodology. John Wiley &amp; Sons, pp 205-206; Singer E and Ye C. (2013). The use and effective</w:t>
      </w:r>
      <w:r w:rsidR="007A344C">
        <w:rPr>
          <w:rFonts w:ascii="Times New Roman" w:hAnsi="Times New Roman"/>
          <w:sz w:val="18"/>
          <w:szCs w:val="18"/>
        </w:rPr>
        <w:t>nes</w:t>
      </w:r>
      <w:r w:rsidRPr="00AE740D" w:rsidR="009F795F">
        <w:rPr>
          <w:rFonts w:ascii="Times New Roman" w:hAnsi="Times New Roman"/>
          <w:sz w:val="18"/>
          <w:szCs w:val="18"/>
        </w:rPr>
        <w:t xml:space="preserve">s of incentives in surveys. </w:t>
      </w:r>
      <w:r w:rsidRPr="00AE740D" w:rsidR="009F795F">
        <w:rPr>
          <w:rFonts w:ascii="Times New Roman" w:hAnsi="Times New Roman"/>
          <w:i/>
          <w:iCs/>
          <w:sz w:val="18"/>
          <w:szCs w:val="18"/>
        </w:rPr>
        <w:t>Annals of the American Academy of Political and Social Science</w:t>
      </w:r>
      <w:r w:rsidRPr="00AE740D" w:rsidR="009F795F">
        <w:rPr>
          <w:rFonts w:ascii="Times New Roman" w:hAnsi="Times New Roman"/>
          <w:sz w:val="18"/>
          <w:szCs w:val="18"/>
        </w:rPr>
        <w:t>, 645(1):112-141</w:t>
      </w:r>
      <w:r w:rsidR="007A344C">
        <w:rPr>
          <w:rFonts w:ascii="Times New Roman" w:hAnsi="Times New Roman"/>
          <w:sz w:val="18"/>
          <w:szCs w:val="18"/>
        </w:rPr>
        <w:t xml:space="preserve">, </w:t>
      </w:r>
      <w:hyperlink r:id="rId9" w:history="1">
        <w:r w:rsidRPr="00D573FB">
          <w:rPr>
            <w:rStyle w:val="Hyperlink"/>
            <w:rFonts w:ascii="Times New Roman" w:hAnsi="Times New Roman"/>
            <w:sz w:val="18"/>
            <w:szCs w:val="18"/>
          </w:rPr>
          <w:t>http://www.jstor.org/stable/23479084</w:t>
        </w:r>
      </w:hyperlink>
    </w:p>
  </w:footnote>
  <w:footnote w:id="13">
    <w:p w:rsidR="00C030F5" w:rsidRPr="00AE740D" w:rsidP="0028262D" w14:paraId="73620E68" w14:textId="266D31F2">
      <w:pPr>
        <w:pStyle w:val="FootnoteText"/>
        <w:tabs>
          <w:tab w:val="clear" w:pos="120"/>
        </w:tabs>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Bonevski B</w:t>
      </w:r>
      <w:r w:rsidR="004238ED">
        <w:rPr>
          <w:rFonts w:ascii="Times New Roman" w:hAnsi="Times New Roman"/>
          <w:sz w:val="18"/>
          <w:szCs w:val="18"/>
        </w:rPr>
        <w:t>.</w:t>
      </w:r>
      <w:r w:rsidRPr="00AE740D">
        <w:rPr>
          <w:rFonts w:ascii="Times New Roman" w:hAnsi="Times New Roman"/>
          <w:sz w:val="18"/>
          <w:szCs w:val="18"/>
        </w:rPr>
        <w:t>, Randell M</w:t>
      </w:r>
      <w:r w:rsidR="004238ED">
        <w:rPr>
          <w:rFonts w:ascii="Times New Roman" w:hAnsi="Times New Roman"/>
          <w:sz w:val="18"/>
          <w:szCs w:val="18"/>
        </w:rPr>
        <w:t>.</w:t>
      </w:r>
      <w:r w:rsidRPr="00AE740D">
        <w:rPr>
          <w:rFonts w:ascii="Times New Roman" w:hAnsi="Times New Roman"/>
          <w:sz w:val="18"/>
          <w:szCs w:val="18"/>
        </w:rPr>
        <w:t>, Paul C</w:t>
      </w:r>
      <w:r w:rsidR="004238ED">
        <w:rPr>
          <w:rFonts w:ascii="Times New Roman" w:hAnsi="Times New Roman"/>
          <w:sz w:val="18"/>
          <w:szCs w:val="18"/>
        </w:rPr>
        <w:t>.</w:t>
      </w:r>
      <w:r w:rsidRPr="00AE740D">
        <w:rPr>
          <w:rFonts w:ascii="Times New Roman" w:hAnsi="Times New Roman"/>
          <w:sz w:val="18"/>
          <w:szCs w:val="18"/>
        </w:rPr>
        <w:t>, Chapman K</w:t>
      </w:r>
      <w:r w:rsidR="004238ED">
        <w:rPr>
          <w:rFonts w:ascii="Times New Roman" w:hAnsi="Times New Roman"/>
          <w:sz w:val="18"/>
          <w:szCs w:val="18"/>
        </w:rPr>
        <w:t>.</w:t>
      </w:r>
      <w:r w:rsidRPr="00AE740D">
        <w:rPr>
          <w:rFonts w:ascii="Times New Roman" w:hAnsi="Times New Roman"/>
          <w:sz w:val="18"/>
          <w:szCs w:val="18"/>
        </w:rPr>
        <w:t>, Twyman L</w:t>
      </w:r>
      <w:r w:rsidR="004238ED">
        <w:rPr>
          <w:rFonts w:ascii="Times New Roman" w:hAnsi="Times New Roman"/>
          <w:sz w:val="18"/>
          <w:szCs w:val="18"/>
        </w:rPr>
        <w:t>.</w:t>
      </w:r>
      <w:r w:rsidRPr="00AE740D">
        <w:rPr>
          <w:rFonts w:ascii="Times New Roman" w:hAnsi="Times New Roman"/>
          <w:sz w:val="18"/>
          <w:szCs w:val="18"/>
        </w:rPr>
        <w:t>, Bryant J</w:t>
      </w:r>
      <w:r w:rsidR="004238ED">
        <w:rPr>
          <w:rFonts w:ascii="Times New Roman" w:hAnsi="Times New Roman"/>
          <w:sz w:val="18"/>
          <w:szCs w:val="18"/>
        </w:rPr>
        <w:t>.</w:t>
      </w:r>
      <w:r w:rsidRPr="00AE740D">
        <w:rPr>
          <w:rFonts w:ascii="Times New Roman" w:hAnsi="Times New Roman"/>
          <w:sz w:val="18"/>
          <w:szCs w:val="18"/>
        </w:rPr>
        <w:t>, Brozek K</w:t>
      </w:r>
      <w:r w:rsidR="004238ED">
        <w:rPr>
          <w:rFonts w:ascii="Times New Roman" w:hAnsi="Times New Roman"/>
          <w:sz w:val="18"/>
          <w:szCs w:val="18"/>
        </w:rPr>
        <w:t>.</w:t>
      </w:r>
      <w:r w:rsidRPr="00AE740D">
        <w:rPr>
          <w:rFonts w:ascii="Times New Roman" w:hAnsi="Times New Roman"/>
          <w:sz w:val="18"/>
          <w:szCs w:val="18"/>
        </w:rPr>
        <w:t xml:space="preserve">, </w:t>
      </w:r>
      <w:r w:rsidR="004238ED">
        <w:rPr>
          <w:rFonts w:ascii="Times New Roman" w:hAnsi="Times New Roman"/>
          <w:sz w:val="18"/>
          <w:szCs w:val="18"/>
        </w:rPr>
        <w:t xml:space="preserve">and </w:t>
      </w:r>
      <w:r w:rsidRPr="00AE740D">
        <w:rPr>
          <w:rFonts w:ascii="Times New Roman" w:hAnsi="Times New Roman"/>
          <w:sz w:val="18"/>
          <w:szCs w:val="18"/>
        </w:rPr>
        <w:t>Hughes, C. (2014)</w:t>
      </w:r>
      <w:r w:rsidR="00534B06">
        <w:rPr>
          <w:rFonts w:ascii="Times New Roman" w:hAnsi="Times New Roman"/>
          <w:sz w:val="18"/>
          <w:szCs w:val="18"/>
        </w:rPr>
        <w:t>.</w:t>
      </w:r>
      <w:r w:rsidRPr="00AE740D">
        <w:rPr>
          <w:rFonts w:ascii="Times New Roman" w:hAnsi="Times New Roman"/>
          <w:sz w:val="18"/>
          <w:szCs w:val="18"/>
        </w:rPr>
        <w:t xml:space="preserve"> Reaching the hard-to-reach: a systematic review of strategies for improving health and medical research with socially disadvantaged groups. </w:t>
      </w:r>
      <w:r w:rsidRPr="00AE740D">
        <w:rPr>
          <w:rFonts w:ascii="Times New Roman" w:hAnsi="Times New Roman"/>
          <w:i/>
          <w:iCs/>
          <w:sz w:val="18"/>
          <w:szCs w:val="18"/>
        </w:rPr>
        <w:t>BMC Medical Research Methodology</w:t>
      </w:r>
      <w:r w:rsidRPr="00AE740D">
        <w:rPr>
          <w:rFonts w:ascii="Times New Roman" w:hAnsi="Times New Roman"/>
          <w:sz w:val="18"/>
          <w:szCs w:val="18"/>
        </w:rPr>
        <w:t xml:space="preserve"> 14:42</w:t>
      </w:r>
      <w:r w:rsidR="00BE3938">
        <w:rPr>
          <w:rFonts w:ascii="Times New Roman" w:hAnsi="Times New Roman"/>
          <w:sz w:val="18"/>
          <w:szCs w:val="18"/>
        </w:rPr>
        <w:t xml:space="preserve">, </w:t>
      </w:r>
      <w:hyperlink r:id="rId10" w:history="1">
        <w:r w:rsidRPr="00D573FB">
          <w:rPr>
            <w:rStyle w:val="Hyperlink"/>
            <w:rFonts w:ascii="Times New Roman" w:hAnsi="Times New Roman"/>
            <w:sz w:val="18"/>
            <w:szCs w:val="18"/>
          </w:rPr>
          <w:t>https://doi.org/10.1186/1471-2288-14-42</w:t>
        </w:r>
      </w:hyperlink>
    </w:p>
  </w:footnote>
  <w:footnote w:id="14">
    <w:p w:rsidR="00C030F5" w:rsidRPr="00AE740D" w:rsidP="0028262D" w14:paraId="47E3878A" w14:textId="380B8D5A">
      <w:pPr>
        <w:pStyle w:val="FootnoteText"/>
        <w:tabs>
          <w:tab w:val="clear" w:pos="120"/>
        </w:tabs>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Dillman, D. </w:t>
      </w:r>
      <w:r w:rsidR="00534B06">
        <w:rPr>
          <w:rFonts w:ascii="Times New Roman" w:hAnsi="Times New Roman"/>
          <w:sz w:val="18"/>
          <w:szCs w:val="18"/>
        </w:rPr>
        <w:t>(</w:t>
      </w:r>
      <w:r w:rsidRPr="00AE740D">
        <w:rPr>
          <w:rFonts w:ascii="Times New Roman" w:hAnsi="Times New Roman"/>
          <w:sz w:val="18"/>
          <w:szCs w:val="18"/>
        </w:rPr>
        <w:t>2000</w:t>
      </w:r>
      <w:r w:rsidR="00534B06">
        <w:rPr>
          <w:rFonts w:ascii="Times New Roman" w:hAnsi="Times New Roman"/>
          <w:sz w:val="18"/>
          <w:szCs w:val="18"/>
        </w:rPr>
        <w:t>)</w:t>
      </w:r>
      <w:r w:rsidRPr="00AE740D">
        <w:rPr>
          <w:rFonts w:ascii="Times New Roman" w:hAnsi="Times New Roman"/>
          <w:sz w:val="18"/>
          <w:szCs w:val="18"/>
        </w:rPr>
        <w:t xml:space="preserve">. </w:t>
      </w:r>
      <w:r w:rsidRPr="00AE740D">
        <w:rPr>
          <w:rFonts w:ascii="Times New Roman" w:hAnsi="Times New Roman"/>
          <w:i/>
          <w:sz w:val="18"/>
          <w:szCs w:val="18"/>
        </w:rPr>
        <w:t>Mail and Internet Surveys: The Tailored Design Method, 2</w:t>
      </w:r>
      <w:r w:rsidRPr="00AE740D">
        <w:rPr>
          <w:rFonts w:ascii="Times New Roman" w:hAnsi="Times New Roman"/>
          <w:i/>
          <w:sz w:val="18"/>
          <w:szCs w:val="18"/>
          <w:vertAlign w:val="superscript"/>
        </w:rPr>
        <w:t>nd</w:t>
      </w:r>
      <w:r w:rsidRPr="00AE740D">
        <w:rPr>
          <w:rFonts w:ascii="Times New Roman" w:hAnsi="Times New Roman"/>
          <w:i/>
          <w:sz w:val="18"/>
          <w:szCs w:val="18"/>
        </w:rPr>
        <w:t xml:space="preserve"> Edition</w:t>
      </w:r>
      <w:r w:rsidRPr="00AE740D">
        <w:rPr>
          <w:rFonts w:ascii="Times New Roman" w:hAnsi="Times New Roman"/>
          <w:sz w:val="18"/>
          <w:szCs w:val="18"/>
        </w:rPr>
        <w:t>. John Wiley &amp; Sons: New York</w:t>
      </w:r>
      <w:r w:rsidRPr="00AE740D" w:rsidR="00020CF8">
        <w:rPr>
          <w:rFonts w:ascii="Times New Roman" w:hAnsi="Times New Roman"/>
          <w:sz w:val="18"/>
          <w:szCs w:val="18"/>
        </w:rPr>
        <w:t xml:space="preserve">; Singer, E. </w:t>
      </w:r>
      <w:r w:rsidR="00534B06">
        <w:rPr>
          <w:rFonts w:ascii="Times New Roman" w:hAnsi="Times New Roman"/>
          <w:sz w:val="18"/>
          <w:szCs w:val="18"/>
        </w:rPr>
        <w:t>(</w:t>
      </w:r>
      <w:r w:rsidRPr="00AE740D" w:rsidR="00020CF8">
        <w:rPr>
          <w:rFonts w:ascii="Times New Roman" w:hAnsi="Times New Roman"/>
          <w:sz w:val="18"/>
          <w:szCs w:val="18"/>
        </w:rPr>
        <w:t>2006</w:t>
      </w:r>
      <w:r w:rsidR="00534B06">
        <w:rPr>
          <w:rFonts w:ascii="Times New Roman" w:hAnsi="Times New Roman"/>
          <w:sz w:val="18"/>
          <w:szCs w:val="18"/>
        </w:rPr>
        <w:t>)</w:t>
      </w:r>
      <w:r w:rsidRPr="00AE740D" w:rsidR="00020CF8">
        <w:rPr>
          <w:rFonts w:ascii="Times New Roman" w:hAnsi="Times New Roman"/>
          <w:sz w:val="18"/>
          <w:szCs w:val="18"/>
        </w:rPr>
        <w:t xml:space="preserve">. “Introduction: Nonresponse Bias in Household Surveys,” </w:t>
      </w:r>
      <w:r w:rsidRPr="00AE740D" w:rsidR="00020CF8">
        <w:rPr>
          <w:rFonts w:ascii="Times New Roman" w:hAnsi="Times New Roman"/>
          <w:i/>
          <w:sz w:val="18"/>
          <w:szCs w:val="18"/>
        </w:rPr>
        <w:t>Public Opinion Quarterly</w:t>
      </w:r>
      <w:r w:rsidRPr="00AE740D" w:rsidR="00020CF8">
        <w:rPr>
          <w:rFonts w:ascii="Times New Roman" w:hAnsi="Times New Roman"/>
          <w:sz w:val="18"/>
          <w:szCs w:val="18"/>
        </w:rPr>
        <w:t>. 70(5): 637-645</w:t>
      </w:r>
      <w:r w:rsidR="004E748B">
        <w:rPr>
          <w:rFonts w:ascii="Times New Roman" w:hAnsi="Times New Roman"/>
          <w:sz w:val="18"/>
          <w:szCs w:val="18"/>
        </w:rPr>
        <w:t xml:space="preserve">, </w:t>
      </w:r>
      <w:hyperlink r:id="rId11" w:history="1">
        <w:r w:rsidRPr="00D573FB">
          <w:rPr>
            <w:rStyle w:val="Hyperlink"/>
            <w:rFonts w:ascii="Times New Roman" w:hAnsi="Times New Roman"/>
            <w:sz w:val="18"/>
            <w:szCs w:val="18"/>
          </w:rPr>
          <w:t>https://www.jstor.org/stable/4124219</w:t>
        </w:r>
      </w:hyperlink>
    </w:p>
  </w:footnote>
  <w:footnote w:id="15">
    <w:p w:rsidR="00692D49" w:rsidRPr="00AE740D" w:rsidP="0028262D" w14:paraId="5139A8A8" w14:textId="14EF6B7C">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EA3701">
        <w:rPr>
          <w:rFonts w:ascii="Times New Roman" w:hAnsi="Times New Roman"/>
          <w:sz w:val="18"/>
          <w:szCs w:val="18"/>
        </w:rPr>
        <w:t xml:space="preserve">Mercer, A., Caporaso, A., Cantor, D., </w:t>
      </w:r>
      <w:r w:rsidR="004F406F">
        <w:rPr>
          <w:rFonts w:ascii="Times New Roman" w:hAnsi="Times New Roman"/>
          <w:sz w:val="18"/>
          <w:szCs w:val="18"/>
        </w:rPr>
        <w:t>and</w:t>
      </w:r>
      <w:r w:rsidRPr="00AE740D" w:rsidR="00EA3701">
        <w:rPr>
          <w:rFonts w:ascii="Times New Roman" w:hAnsi="Times New Roman"/>
          <w:sz w:val="18"/>
          <w:szCs w:val="18"/>
        </w:rPr>
        <w:t xml:space="preserve"> Townsend, R. (2015). How much gets you how much? Monetary incentives and response rates in household surveys. </w:t>
      </w:r>
      <w:r w:rsidRPr="00AE740D" w:rsidR="00EA3701">
        <w:rPr>
          <w:rFonts w:ascii="Times New Roman" w:hAnsi="Times New Roman"/>
          <w:i/>
          <w:sz w:val="18"/>
          <w:szCs w:val="18"/>
        </w:rPr>
        <w:t>Public Opinion Quarterly, 79</w:t>
      </w:r>
      <w:r w:rsidRPr="00AE740D" w:rsidR="00EA3701">
        <w:rPr>
          <w:rFonts w:ascii="Times New Roman" w:hAnsi="Times New Roman"/>
          <w:sz w:val="18"/>
          <w:szCs w:val="18"/>
        </w:rPr>
        <w:t>(1), 105–129</w:t>
      </w:r>
      <w:r w:rsidR="00AF58C5">
        <w:rPr>
          <w:rFonts w:ascii="Times New Roman" w:hAnsi="Times New Roman"/>
          <w:sz w:val="18"/>
          <w:szCs w:val="18"/>
        </w:rPr>
        <w:t xml:space="preserve">, </w:t>
      </w:r>
      <w:hyperlink r:id="rId12" w:history="1">
        <w:r w:rsidRPr="00AF58C5" w:rsidR="00AF58C5">
          <w:rPr>
            <w:rStyle w:val="Hyperlink"/>
            <w:rFonts w:ascii="Times New Roman" w:hAnsi="Times New Roman"/>
            <w:sz w:val="18"/>
            <w:szCs w:val="18"/>
          </w:rPr>
          <w:t>https://doi.org/10.1093/poq/nfu059</w:t>
        </w:r>
      </w:hyperlink>
    </w:p>
  </w:footnote>
  <w:footnote w:id="16">
    <w:p w:rsidR="00692D49" w:rsidRPr="00AE740D" w:rsidP="0028262D" w14:paraId="2C0818D6" w14:textId="722F8D26">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300498">
        <w:rPr>
          <w:rFonts w:ascii="Times New Roman" w:hAnsi="Times New Roman"/>
          <w:sz w:val="18"/>
          <w:szCs w:val="18"/>
        </w:rPr>
        <w:t>Mercer et al., (2015).</w:t>
      </w:r>
    </w:p>
  </w:footnote>
  <w:footnote w:id="17">
    <w:p w:rsidR="00692D49" w:rsidRPr="00AE740D" w:rsidP="0028262D" w14:paraId="4DADA17C" w14:textId="03978D78">
      <w:pPr>
        <w:pStyle w:val="FootnoteText"/>
        <w:tabs>
          <w:tab w:val="clear" w:pos="120"/>
        </w:tabs>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Cantor, D., O’Hare, B., </w:t>
      </w:r>
      <w:r w:rsidR="006900AD">
        <w:rPr>
          <w:rFonts w:ascii="Times New Roman" w:hAnsi="Times New Roman"/>
          <w:sz w:val="18"/>
          <w:szCs w:val="18"/>
        </w:rPr>
        <w:t>and</w:t>
      </w:r>
      <w:r w:rsidRPr="00AE740D">
        <w:rPr>
          <w:rFonts w:ascii="Times New Roman" w:hAnsi="Times New Roman"/>
          <w:sz w:val="18"/>
          <w:szCs w:val="18"/>
        </w:rPr>
        <w:t xml:space="preserve"> O’Connor, K. (2008). The use of monetary incentives to reduce non-response in random digit dial telephone surveys. In </w:t>
      </w:r>
      <w:r w:rsidRPr="00423181">
        <w:rPr>
          <w:rFonts w:ascii="Times New Roman" w:hAnsi="Times New Roman"/>
          <w:i/>
          <w:iCs/>
          <w:sz w:val="18"/>
          <w:szCs w:val="18"/>
        </w:rPr>
        <w:t>Advances in Telephone Survey Methodology</w:t>
      </w:r>
      <w:r w:rsidRPr="00AE740D">
        <w:rPr>
          <w:rFonts w:ascii="Times New Roman" w:hAnsi="Times New Roman"/>
          <w:sz w:val="18"/>
          <w:szCs w:val="18"/>
        </w:rPr>
        <w:t>, eds. James M. Lepkowski, Clyde Tucker, J. Michael Brick, Edith de Leeuw, Lilli Japec, Paul J. Lavrakas, Michael W. Link, and Roberta L. Sangster, 471-98. New York: Wiley</w:t>
      </w:r>
      <w:r w:rsidRPr="00AE740D" w:rsidR="007B4301">
        <w:rPr>
          <w:rFonts w:ascii="Times New Roman" w:hAnsi="Times New Roman"/>
          <w:sz w:val="18"/>
          <w:szCs w:val="18"/>
        </w:rPr>
        <w:t>.</w:t>
      </w:r>
    </w:p>
  </w:footnote>
  <w:footnote w:id="18">
    <w:p w:rsidR="00F26732" w:rsidRPr="0028262D" w:rsidP="0028262D" w14:paraId="7A5A4E6A" w14:textId="39FBE961">
      <w:pPr>
        <w:pStyle w:val="FootnoteText"/>
        <w:spacing w:before="0" w:line="240" w:lineRule="auto"/>
        <w:ind w:left="0" w:firstLine="0"/>
        <w:contextualSpacing/>
        <w:rPr>
          <w:rFonts w:ascii="Times New Roman" w:hAnsi="Times New Roman"/>
          <w:sz w:val="18"/>
          <w:szCs w:val="18"/>
        </w:rPr>
      </w:pPr>
      <w:r w:rsidRPr="0028262D">
        <w:rPr>
          <w:rStyle w:val="FootnoteReference"/>
          <w:rFonts w:ascii="Times New Roman" w:hAnsi="Times New Roman"/>
          <w:sz w:val="18"/>
          <w:szCs w:val="18"/>
        </w:rPr>
        <w:footnoteRef/>
      </w:r>
      <w:r w:rsidRPr="0028262D">
        <w:rPr>
          <w:rFonts w:ascii="Times New Roman" w:hAnsi="Times New Roman"/>
          <w:sz w:val="18"/>
          <w:szCs w:val="18"/>
        </w:rPr>
        <w:t xml:space="preserve"> </w:t>
      </w:r>
      <w:r w:rsidRPr="0028262D" w:rsidR="003C0489">
        <w:rPr>
          <w:rFonts w:ascii="Times New Roman" w:hAnsi="Times New Roman"/>
          <w:sz w:val="18"/>
          <w:szCs w:val="18"/>
        </w:rPr>
        <w:t xml:space="preserve">Chandra, A. </w:t>
      </w:r>
      <w:r w:rsidRPr="0028262D" w:rsidR="00253444">
        <w:rPr>
          <w:rFonts w:ascii="Times New Roman" w:hAnsi="Times New Roman"/>
          <w:sz w:val="18"/>
          <w:szCs w:val="18"/>
        </w:rPr>
        <w:t xml:space="preserve">(6 March 2024) </w:t>
      </w:r>
      <w:r w:rsidRPr="0028262D" w:rsidR="003C0489">
        <w:rPr>
          <w:rFonts w:ascii="Times New Roman" w:hAnsi="Times New Roman"/>
          <w:sz w:val="18"/>
          <w:szCs w:val="18"/>
        </w:rPr>
        <w:t>“</w:t>
      </w:r>
      <w:r w:rsidRPr="0028262D" w:rsidR="00253444">
        <w:rPr>
          <w:rFonts w:ascii="Times New Roman" w:hAnsi="Times New Roman"/>
          <w:sz w:val="18"/>
          <w:szCs w:val="18"/>
        </w:rPr>
        <w:t xml:space="preserve">Update on the National Survey of Family Growth.” Presentation to the </w:t>
      </w:r>
      <w:r w:rsidRPr="0028262D" w:rsidR="00C02533">
        <w:rPr>
          <w:rFonts w:ascii="Times New Roman" w:hAnsi="Times New Roman"/>
          <w:sz w:val="18"/>
          <w:szCs w:val="18"/>
        </w:rPr>
        <w:t xml:space="preserve">National Center for Health Statistics </w:t>
      </w:r>
      <w:r w:rsidRPr="0028262D" w:rsidR="003C0489">
        <w:rPr>
          <w:rFonts w:ascii="Times New Roman" w:hAnsi="Times New Roman"/>
          <w:sz w:val="18"/>
          <w:szCs w:val="18"/>
        </w:rPr>
        <w:t>Board of Scientific Counselors Meeting</w:t>
      </w:r>
      <w:r w:rsidRPr="0028262D" w:rsidR="00253444">
        <w:rPr>
          <w:rFonts w:ascii="Times New Roman" w:hAnsi="Times New Roman"/>
          <w:sz w:val="18"/>
          <w:szCs w:val="18"/>
        </w:rPr>
        <w:t xml:space="preserve">. </w:t>
      </w:r>
      <w:hyperlink r:id="rId13" w:history="1">
        <w:r w:rsidRPr="0028262D" w:rsidR="00E346AE">
          <w:rPr>
            <w:rStyle w:val="Hyperlink"/>
            <w:rFonts w:ascii="Times New Roman" w:hAnsi="Times New Roman"/>
            <w:sz w:val="18"/>
            <w:szCs w:val="18"/>
          </w:rPr>
          <w:t>https://stacks.cdc.gov/view/cdc/154734/cdc_154734_DS1.pdf</w:t>
        </w:r>
      </w:hyperlink>
      <w:r w:rsidRPr="0028262D" w:rsidR="00E346AE">
        <w:rPr>
          <w:rFonts w:ascii="Times New Roman" w:hAnsi="Times New Roman"/>
          <w:sz w:val="18"/>
          <w:szCs w:val="18"/>
        </w:rPr>
        <w:t xml:space="preserve"> </w:t>
      </w:r>
    </w:p>
  </w:footnote>
  <w:footnote w:id="19">
    <w:p w:rsidR="00434025" w:rsidRPr="009E71A9" w:rsidP="009E71A9" w14:paraId="152718CC" w14:textId="709D14BD">
      <w:pPr>
        <w:pStyle w:val="FootnoteText"/>
        <w:spacing w:before="0"/>
        <w:rPr>
          <w:rFonts w:ascii="Times New Roman" w:hAnsi="Times New Roman"/>
          <w:sz w:val="18"/>
          <w:szCs w:val="18"/>
        </w:rPr>
      </w:pPr>
      <w:r w:rsidRPr="009E71A9">
        <w:rPr>
          <w:rStyle w:val="FootnoteReference"/>
          <w:rFonts w:ascii="Times New Roman" w:hAnsi="Times New Roman"/>
          <w:sz w:val="18"/>
          <w:szCs w:val="18"/>
        </w:rPr>
        <w:footnoteRef/>
      </w:r>
      <w:r w:rsidRPr="009E71A9">
        <w:rPr>
          <w:rFonts w:ascii="Times New Roman" w:hAnsi="Times New Roman"/>
          <w:sz w:val="18"/>
          <w:szCs w:val="18"/>
        </w:rPr>
        <w:t xml:space="preserve"> Rothstein, D. (2019). </w:t>
      </w:r>
      <w:r w:rsidRPr="009E71A9">
        <w:rPr>
          <w:rFonts w:ascii="Times New Roman" w:hAnsi="Times New Roman"/>
          <w:i/>
          <w:iCs/>
          <w:sz w:val="18"/>
          <w:szCs w:val="18"/>
        </w:rPr>
        <w:t>Innovations in incentives in the NLS</w:t>
      </w:r>
      <w:r w:rsidRPr="009E71A9">
        <w:rPr>
          <w:rFonts w:ascii="Times New Roman" w:hAnsi="Times New Roman"/>
          <w:sz w:val="18"/>
          <w:szCs w:val="18"/>
        </w:rPr>
        <w:t xml:space="preserve">. U.S. Bureau of Labor Statistics. </w:t>
      </w:r>
      <w:hyperlink r:id="rId14" w:history="1">
        <w:r w:rsidRPr="009E71A9" w:rsidR="00F67BF4">
          <w:rPr>
            <w:rStyle w:val="Hyperlink"/>
            <w:rFonts w:ascii="Times New Roman" w:hAnsi="Times New Roman"/>
            <w:sz w:val="18"/>
            <w:szCs w:val="18"/>
          </w:rPr>
          <w:t>https://www.bls.gov/cex/research_papers/pdf/innovations-in-incentives-in-the-nls-rothstein.pdf</w:t>
        </w:r>
      </w:hyperlink>
      <w:r w:rsidRPr="009E71A9" w:rsidR="00F67BF4">
        <w:rPr>
          <w:rFonts w:ascii="Times New Roman" w:hAnsi="Times New Roman"/>
          <w:sz w:val="18"/>
          <w:szCs w:val="18"/>
        </w:rPr>
        <w:t xml:space="preserve"> </w:t>
      </w:r>
    </w:p>
  </w:footnote>
  <w:footnote w:id="20">
    <w:p w:rsidR="0065749B" w:rsidP="00D970DD" w14:paraId="74731444" w14:textId="0776434F">
      <w:pPr>
        <w:pStyle w:val="FootnoteText"/>
        <w:spacing w:before="0"/>
      </w:pPr>
      <w:r w:rsidRPr="009E71A9">
        <w:rPr>
          <w:rStyle w:val="FootnoteReference"/>
          <w:rFonts w:ascii="Times New Roman" w:hAnsi="Times New Roman"/>
          <w:sz w:val="18"/>
          <w:szCs w:val="18"/>
        </w:rPr>
        <w:footnoteRef/>
      </w:r>
      <w:r w:rsidRPr="009E71A9">
        <w:rPr>
          <w:rFonts w:ascii="Times New Roman" w:hAnsi="Times New Roman"/>
          <w:sz w:val="18"/>
          <w:szCs w:val="18"/>
        </w:rPr>
        <w:t xml:space="preserve"> Bachtell, K. (2021). </w:t>
      </w:r>
      <w:r w:rsidRPr="009E71A9">
        <w:rPr>
          <w:rFonts w:ascii="Times New Roman" w:hAnsi="Times New Roman"/>
          <w:i/>
          <w:iCs/>
          <w:sz w:val="18"/>
          <w:szCs w:val="18"/>
        </w:rPr>
        <w:t>A tale of two approaches: Incentive escalation strategies for the 2019 Survey of Consumer Finances</w:t>
      </w:r>
      <w:r w:rsidRPr="009E71A9">
        <w:rPr>
          <w:rFonts w:ascii="Times New Roman" w:hAnsi="Times New Roman"/>
          <w:sz w:val="18"/>
          <w:szCs w:val="18"/>
        </w:rPr>
        <w:t xml:space="preserve">. U.S. Census Bureau. </w:t>
      </w:r>
      <w:hyperlink r:id="rId15" w:history="1">
        <w:r w:rsidRPr="009E71A9" w:rsidR="00BB1881">
          <w:rPr>
            <w:rStyle w:val="Hyperlink"/>
            <w:rFonts w:ascii="Times New Roman" w:hAnsi="Times New Roman"/>
            <w:sz w:val="18"/>
            <w:szCs w:val="18"/>
          </w:rPr>
          <w:t>https://www.census.gov/fedcasic/fc2021/pdf/7A_Bachtell.pdf</w:t>
        </w:r>
      </w:hyperlink>
      <w:r w:rsidRPr="009E71A9" w:rsidR="00BB1881">
        <w:rPr>
          <w:rFonts w:ascii="Times New Roman" w:hAnsi="Times New Roman"/>
          <w:sz w:val="18"/>
          <w:szCs w:val="18"/>
        </w:rPr>
        <w:t xml:space="preserve"> </w:t>
      </w:r>
    </w:p>
  </w:footnote>
  <w:footnote w:id="21">
    <w:p w:rsidR="00D35913" w:rsidRPr="00423181" w:rsidP="00423181" w14:paraId="0B57B857" w14:textId="59D0A36B">
      <w:pPr>
        <w:pStyle w:val="FootnoteText"/>
        <w:spacing w:before="0"/>
        <w:rPr>
          <w:rFonts w:ascii="Times New Roman" w:hAnsi="Times New Roman"/>
          <w:sz w:val="20"/>
          <w:szCs w:val="20"/>
        </w:rPr>
      </w:pPr>
      <w:r w:rsidRPr="00423181">
        <w:rPr>
          <w:rStyle w:val="FootnoteReference"/>
          <w:rFonts w:ascii="Times New Roman" w:hAnsi="Times New Roman"/>
          <w:sz w:val="20"/>
          <w:szCs w:val="20"/>
        </w:rPr>
        <w:footnoteRef/>
      </w:r>
      <w:r w:rsidRPr="00423181">
        <w:rPr>
          <w:rFonts w:ascii="Times New Roman" w:hAnsi="Times New Roman"/>
          <w:sz w:val="20"/>
          <w:szCs w:val="20"/>
        </w:rPr>
        <w:t xml:space="preserve"> </w:t>
      </w:r>
      <w:r w:rsidRPr="00423181" w:rsidR="000405C0">
        <w:rPr>
          <w:rFonts w:ascii="Times New Roman" w:hAnsi="Times New Roman"/>
          <w:sz w:val="18"/>
          <w:szCs w:val="18"/>
        </w:rPr>
        <w:t xml:space="preserve">Currivan, D., Smith, T., Fretchel, P., </w:t>
      </w:r>
      <w:r w:rsidRPr="00423181" w:rsidR="00671349">
        <w:rPr>
          <w:rFonts w:ascii="Times New Roman" w:hAnsi="Times New Roman"/>
          <w:sz w:val="18"/>
          <w:szCs w:val="18"/>
        </w:rPr>
        <w:t xml:space="preserve">Harter, R., Jewett, C., </w:t>
      </w:r>
      <w:r w:rsidRPr="00423181" w:rsidR="007214AF">
        <w:rPr>
          <w:rFonts w:ascii="Times New Roman" w:hAnsi="Times New Roman"/>
          <w:sz w:val="18"/>
          <w:szCs w:val="18"/>
        </w:rPr>
        <w:t xml:space="preserve">Rumsey, A., </w:t>
      </w:r>
      <w:r w:rsidRPr="00423181" w:rsidR="004D2688">
        <w:rPr>
          <w:rFonts w:ascii="Times New Roman" w:hAnsi="Times New Roman"/>
          <w:sz w:val="18"/>
          <w:szCs w:val="18"/>
        </w:rPr>
        <w:t xml:space="preserve">Mae Cooper, P., </w:t>
      </w:r>
      <w:r w:rsidRPr="00423181" w:rsidR="006B2191">
        <w:rPr>
          <w:rFonts w:ascii="Times New Roman" w:hAnsi="Times New Roman"/>
          <w:sz w:val="18"/>
          <w:szCs w:val="18"/>
        </w:rPr>
        <w:t xml:space="preserve">and Hoenig, J. (2024). </w:t>
      </w:r>
      <w:r w:rsidRPr="00423181" w:rsidR="000F49A4">
        <w:rPr>
          <w:rFonts w:ascii="Times New Roman" w:hAnsi="Times New Roman"/>
          <w:sz w:val="18"/>
          <w:szCs w:val="18"/>
        </w:rPr>
        <w:t>Respondent Incentives and the National Survey on Drug Use and Health. Paper presented at the American Association of Public Opinion Research</w:t>
      </w:r>
      <w:r w:rsidRPr="00423181" w:rsidR="006E3435">
        <w:rPr>
          <w:rFonts w:ascii="Times New Roman" w:hAnsi="Times New Roman"/>
          <w:sz w:val="18"/>
          <w:szCs w:val="18"/>
        </w:rPr>
        <w:t>: Atlanta, GA.</w:t>
      </w:r>
    </w:p>
  </w:footnote>
  <w:footnote w:id="22">
    <w:p w:rsidR="00EE03E2" w:rsidRPr="00AE740D" w:rsidP="0028262D" w14:paraId="1B77E2B7" w14:textId="6B7EFC1A">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Singer, E., van Hoewyk, J., and Maher, M. P. (2000). Experiments with incentives in telephone surveys. </w:t>
      </w:r>
      <w:r w:rsidRPr="00AE740D">
        <w:rPr>
          <w:rFonts w:ascii="Times New Roman" w:hAnsi="Times New Roman"/>
          <w:i/>
          <w:sz w:val="18"/>
          <w:szCs w:val="18"/>
        </w:rPr>
        <w:t>Public Opinion Quarterly</w:t>
      </w:r>
      <w:r w:rsidRPr="00AE740D">
        <w:rPr>
          <w:rFonts w:ascii="Times New Roman" w:hAnsi="Times New Roman"/>
          <w:sz w:val="18"/>
          <w:szCs w:val="18"/>
        </w:rPr>
        <w:t>, 64, 171–188</w:t>
      </w:r>
      <w:r w:rsidR="000F294D">
        <w:rPr>
          <w:rFonts w:ascii="Times New Roman" w:hAnsi="Times New Roman"/>
          <w:sz w:val="18"/>
          <w:szCs w:val="18"/>
        </w:rPr>
        <w:t xml:space="preserve">, </w:t>
      </w:r>
      <w:hyperlink r:id="rId16" w:history="1">
        <w:r w:rsidRPr="00D573FB" w:rsidR="00370209">
          <w:rPr>
            <w:rStyle w:val="Hyperlink"/>
            <w:rFonts w:ascii="Times New Roman" w:hAnsi="Times New Roman"/>
            <w:sz w:val="18"/>
            <w:szCs w:val="18"/>
          </w:rPr>
          <w:t>https://doi.org/10.1086/317761</w:t>
        </w:r>
      </w:hyperlink>
      <w:r w:rsidRPr="00AE740D">
        <w:rPr>
          <w:rFonts w:ascii="Times New Roman" w:hAnsi="Times New Roman"/>
          <w:sz w:val="18"/>
          <w:szCs w:val="18"/>
        </w:rPr>
        <w:t xml:space="preserve">; and Singer, E., Groves, R. M., and Corning, A. D. (1999). Differential incentives: Beliefs about practices, perceptions of equity, and effects on survey participation. </w:t>
      </w:r>
      <w:r w:rsidRPr="00AE740D">
        <w:rPr>
          <w:rFonts w:ascii="Times New Roman" w:hAnsi="Times New Roman"/>
          <w:i/>
          <w:sz w:val="18"/>
          <w:szCs w:val="18"/>
        </w:rPr>
        <w:t>Public Opinion Quarterly</w:t>
      </w:r>
      <w:r w:rsidRPr="00AE740D">
        <w:rPr>
          <w:rFonts w:ascii="Times New Roman" w:hAnsi="Times New Roman"/>
          <w:sz w:val="18"/>
          <w:szCs w:val="18"/>
        </w:rPr>
        <w:t>, 63</w:t>
      </w:r>
      <w:r w:rsidR="00B54CDC">
        <w:rPr>
          <w:rFonts w:ascii="Times New Roman" w:hAnsi="Times New Roman"/>
          <w:sz w:val="18"/>
          <w:szCs w:val="18"/>
        </w:rPr>
        <w:t>:</w:t>
      </w:r>
      <w:r w:rsidRPr="00AE740D">
        <w:rPr>
          <w:rFonts w:ascii="Times New Roman" w:hAnsi="Times New Roman"/>
          <w:sz w:val="18"/>
          <w:szCs w:val="18"/>
        </w:rPr>
        <w:t>251–260</w:t>
      </w:r>
      <w:r w:rsidR="000F294D">
        <w:rPr>
          <w:rFonts w:ascii="Times New Roman" w:hAnsi="Times New Roman"/>
          <w:sz w:val="18"/>
          <w:szCs w:val="18"/>
        </w:rPr>
        <w:t xml:space="preserve">, </w:t>
      </w:r>
      <w:hyperlink r:id="rId17" w:history="1">
        <w:r w:rsidRPr="00D573FB">
          <w:rPr>
            <w:rStyle w:val="Hyperlink"/>
            <w:rFonts w:ascii="Times New Roman" w:hAnsi="Times New Roman"/>
            <w:sz w:val="18"/>
            <w:szCs w:val="18"/>
          </w:rPr>
          <w:t>https://www.jstor.org/stable/2991257</w:t>
        </w:r>
      </w:hyperlink>
    </w:p>
  </w:footnote>
  <w:footnote w:id="23">
    <w:p w:rsidR="00692D49" w:rsidRPr="00AE740D" w:rsidP="0028262D" w14:paraId="75D40FD4"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Cantor, et al., (2008). </w:t>
      </w:r>
    </w:p>
  </w:footnote>
  <w:footnote w:id="24">
    <w:p w:rsidR="00692D49" w:rsidRPr="00AE740D" w:rsidP="0028262D" w14:paraId="63704002" w14:textId="7777777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Cantor, et al., (2008). </w:t>
      </w:r>
    </w:p>
  </w:footnote>
  <w:footnote w:id="25">
    <w:p w:rsidR="00692D49" w:rsidRPr="00AE740D" w:rsidP="0028262D" w14:paraId="18D7ED58" w14:textId="264F1078">
      <w:pPr>
        <w:pStyle w:val="FootnoteText"/>
        <w:tabs>
          <w:tab w:val="clear" w:pos="120"/>
        </w:tabs>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Messer, B. and Dillman, D. (2011). Surveying the </w:t>
      </w:r>
      <w:r w:rsidRPr="00AE740D">
        <w:rPr>
          <w:rFonts w:ascii="Times New Roman" w:hAnsi="Times New Roman"/>
          <w:sz w:val="18"/>
          <w:szCs w:val="18"/>
        </w:rPr>
        <w:t>general public</w:t>
      </w:r>
      <w:r w:rsidRPr="00AE740D">
        <w:rPr>
          <w:rFonts w:ascii="Times New Roman" w:hAnsi="Times New Roman"/>
          <w:sz w:val="18"/>
          <w:szCs w:val="18"/>
        </w:rPr>
        <w:t xml:space="preserve"> over the internet using address-based sampling and mail contact procedures. </w:t>
      </w:r>
      <w:r w:rsidRPr="00AE740D">
        <w:rPr>
          <w:rFonts w:ascii="Times New Roman" w:hAnsi="Times New Roman"/>
          <w:i/>
          <w:sz w:val="18"/>
          <w:szCs w:val="18"/>
        </w:rPr>
        <w:t>Public Opinion Quarterly</w:t>
      </w:r>
      <w:r w:rsidR="007C4676">
        <w:rPr>
          <w:rFonts w:ascii="Times New Roman" w:hAnsi="Times New Roman"/>
          <w:sz w:val="18"/>
          <w:szCs w:val="18"/>
        </w:rPr>
        <w:t>,</w:t>
      </w:r>
      <w:r w:rsidRPr="00AE740D">
        <w:rPr>
          <w:rFonts w:ascii="Times New Roman" w:hAnsi="Times New Roman"/>
          <w:sz w:val="18"/>
          <w:szCs w:val="18"/>
        </w:rPr>
        <w:t xml:space="preserve"> 64:171-188</w:t>
      </w:r>
      <w:r w:rsidR="00554C9D">
        <w:rPr>
          <w:rFonts w:ascii="Times New Roman" w:hAnsi="Times New Roman"/>
          <w:sz w:val="18"/>
          <w:szCs w:val="18"/>
        </w:rPr>
        <w:t xml:space="preserve">, </w:t>
      </w:r>
      <w:hyperlink r:id="rId18" w:history="1">
        <w:r w:rsidRPr="00554C9D" w:rsidR="00554C9D">
          <w:rPr>
            <w:rStyle w:val="Hyperlink"/>
            <w:rFonts w:ascii="Times New Roman" w:hAnsi="Times New Roman"/>
            <w:sz w:val="18"/>
            <w:szCs w:val="18"/>
          </w:rPr>
          <w:t>https://doi.org/10.1093/poq/nfr021</w:t>
        </w:r>
      </w:hyperlink>
    </w:p>
  </w:footnote>
  <w:footnote w:id="26">
    <w:p w:rsidR="00EE03E2" w:rsidRPr="00CD4954" w:rsidP="0028262D" w14:paraId="2EEDBFAB" w14:textId="4A00EFA5">
      <w:pPr>
        <w:pStyle w:val="N0-FlLftBullet"/>
        <w:spacing w:after="0"/>
        <w:ind w:left="0" w:firstLine="0"/>
        <w:contextualSpacing/>
        <w:rPr>
          <w:rFonts w:eastAsia="Times New Roman"/>
          <w:sz w:val="18"/>
          <w:szCs w:val="18"/>
          <w:lang w:eastAsia="en-GB"/>
        </w:rPr>
      </w:pPr>
      <w:r w:rsidRPr="0028262D">
        <w:rPr>
          <w:rStyle w:val="FootnoteReference"/>
          <w:sz w:val="18"/>
          <w:szCs w:val="18"/>
        </w:rPr>
        <w:footnoteRef/>
      </w:r>
      <w:r w:rsidRPr="0028262D">
        <w:rPr>
          <w:sz w:val="18"/>
          <w:szCs w:val="18"/>
        </w:rPr>
        <w:t xml:space="preserve"> </w:t>
      </w:r>
      <w:r w:rsidRPr="0028262D" w:rsidR="00240508">
        <w:rPr>
          <w:rFonts w:eastAsia="Times New Roman"/>
          <w:sz w:val="18"/>
          <w:szCs w:val="18"/>
          <w:lang w:eastAsia="en-GB"/>
        </w:rPr>
        <w:t xml:space="preserve">Helms, Y.B., Hamdiui, N., Kretzschmar, M.E.E., Rocha, L.E.C., van Steenbergen, J.E., Bengtsson, L., Thorson, A., Timen, A., and Stein, M.L. (2021). Applications and recruitment performance of web-based respondent-driven sampling: Scoping review. </w:t>
      </w:r>
      <w:r w:rsidRPr="0028262D" w:rsidR="00240508">
        <w:rPr>
          <w:rFonts w:eastAsia="Times New Roman"/>
          <w:i/>
          <w:sz w:val="18"/>
          <w:szCs w:val="18"/>
          <w:lang w:eastAsia="en-GB"/>
        </w:rPr>
        <w:t>Journal of Medical Internet Research</w:t>
      </w:r>
      <w:r w:rsidRPr="0028262D" w:rsidR="00240508">
        <w:rPr>
          <w:rFonts w:eastAsia="Times New Roman"/>
          <w:sz w:val="18"/>
          <w:szCs w:val="18"/>
          <w:lang w:eastAsia="en-GB"/>
        </w:rPr>
        <w:t>, 23(1</w:t>
      </w:r>
      <w:r w:rsidRPr="0028262D" w:rsidR="00240508">
        <w:rPr>
          <w:rFonts w:eastAsia="Times New Roman"/>
          <w:sz w:val="18"/>
          <w:szCs w:val="18"/>
          <w:lang w:eastAsia="en-GB"/>
        </w:rPr>
        <w:t>)</w:t>
      </w:r>
      <w:r w:rsidRPr="0028262D" w:rsidR="005B58E1">
        <w:rPr>
          <w:rFonts w:eastAsia="Times New Roman"/>
          <w:sz w:val="18"/>
          <w:szCs w:val="18"/>
          <w:lang w:eastAsia="en-GB"/>
        </w:rPr>
        <w:t>:</w:t>
      </w:r>
      <w:r w:rsidRPr="0028262D" w:rsidR="00240508">
        <w:rPr>
          <w:rFonts w:eastAsia="Times New Roman"/>
          <w:sz w:val="18"/>
          <w:szCs w:val="18"/>
          <w:lang w:eastAsia="en-GB"/>
        </w:rPr>
        <w:t>e</w:t>
      </w:r>
      <w:r w:rsidRPr="0028262D" w:rsidR="00240508">
        <w:rPr>
          <w:rFonts w:eastAsia="Times New Roman"/>
          <w:sz w:val="18"/>
          <w:szCs w:val="18"/>
          <w:lang w:eastAsia="en-GB"/>
        </w:rPr>
        <w:t>17564</w:t>
      </w:r>
      <w:r w:rsidR="00554C9D">
        <w:rPr>
          <w:rFonts w:eastAsia="Times New Roman"/>
          <w:sz w:val="18"/>
          <w:szCs w:val="18"/>
          <w:lang w:eastAsia="en-GB"/>
        </w:rPr>
        <w:t xml:space="preserve">, </w:t>
      </w:r>
      <w:hyperlink r:id="rId19" w:tgtFrame="_blank" w:history="1">
        <w:r w:rsidRPr="00370209">
          <w:rPr>
            <w:rStyle w:val="Hyperlink"/>
            <w:rFonts w:eastAsia="Times New Roman"/>
            <w:sz w:val="18"/>
            <w:szCs w:val="18"/>
            <w:lang w:eastAsia="en-GB"/>
          </w:rPr>
          <w:t>https://doi.org/10.2196/17564</w:t>
        </w:r>
      </w:hyperlink>
    </w:p>
  </w:footnote>
  <w:footnote w:id="27">
    <w:p w:rsidR="00624567" w:rsidRPr="00AE740D" w:rsidP="0028262D" w14:paraId="5E01CD3A" w14:textId="44BA3C19">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240508">
        <w:rPr>
          <w:rFonts w:ascii="Times New Roman" w:hAnsi="Times New Roman"/>
          <w:sz w:val="18"/>
          <w:szCs w:val="18"/>
        </w:rPr>
        <w:t>Helms et al., (20</w:t>
      </w:r>
      <w:r w:rsidRPr="00AE740D" w:rsidR="00A76E1A">
        <w:rPr>
          <w:rFonts w:ascii="Times New Roman" w:hAnsi="Times New Roman"/>
          <w:sz w:val="18"/>
          <w:szCs w:val="18"/>
        </w:rPr>
        <w:t>21)</w:t>
      </w:r>
    </w:p>
  </w:footnote>
  <w:footnote w:id="28">
    <w:p w:rsidR="00CD4954" w:rsidRPr="00AE740D" w:rsidP="0028262D" w14:paraId="6E28C63E" w14:textId="01379CE3">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754007">
        <w:rPr>
          <w:rFonts w:ascii="Times New Roman" w:hAnsi="Times New Roman"/>
          <w:sz w:val="18"/>
          <w:szCs w:val="18"/>
        </w:rPr>
        <w:t>Bengtsson L</w:t>
      </w:r>
      <w:r w:rsidR="00D913FC">
        <w:rPr>
          <w:rFonts w:ascii="Times New Roman" w:hAnsi="Times New Roman"/>
          <w:sz w:val="18"/>
          <w:szCs w:val="18"/>
        </w:rPr>
        <w:t>.</w:t>
      </w:r>
      <w:r w:rsidRPr="00AE740D" w:rsidR="00754007">
        <w:rPr>
          <w:rFonts w:ascii="Times New Roman" w:hAnsi="Times New Roman"/>
          <w:sz w:val="18"/>
          <w:szCs w:val="18"/>
        </w:rPr>
        <w:t>, Lu X</w:t>
      </w:r>
      <w:r w:rsidR="00D913FC">
        <w:rPr>
          <w:rFonts w:ascii="Times New Roman" w:hAnsi="Times New Roman"/>
          <w:sz w:val="18"/>
          <w:szCs w:val="18"/>
        </w:rPr>
        <w:t>.</w:t>
      </w:r>
      <w:r w:rsidRPr="00AE740D" w:rsidR="00754007">
        <w:rPr>
          <w:rFonts w:ascii="Times New Roman" w:hAnsi="Times New Roman"/>
          <w:sz w:val="18"/>
          <w:szCs w:val="18"/>
        </w:rPr>
        <w:t>, Nguyen Q</w:t>
      </w:r>
      <w:r w:rsidR="00D913FC">
        <w:rPr>
          <w:rFonts w:ascii="Times New Roman" w:hAnsi="Times New Roman"/>
          <w:sz w:val="18"/>
          <w:szCs w:val="18"/>
        </w:rPr>
        <w:t>.</w:t>
      </w:r>
      <w:r w:rsidRPr="00AE740D" w:rsidR="00754007">
        <w:rPr>
          <w:rFonts w:ascii="Times New Roman" w:hAnsi="Times New Roman"/>
          <w:sz w:val="18"/>
          <w:szCs w:val="18"/>
        </w:rPr>
        <w:t>C</w:t>
      </w:r>
      <w:r w:rsidR="00D913FC">
        <w:rPr>
          <w:rFonts w:ascii="Times New Roman" w:hAnsi="Times New Roman"/>
          <w:sz w:val="18"/>
          <w:szCs w:val="18"/>
        </w:rPr>
        <w:t>.</w:t>
      </w:r>
      <w:r w:rsidRPr="00AE740D" w:rsidR="00754007">
        <w:rPr>
          <w:rFonts w:ascii="Times New Roman" w:hAnsi="Times New Roman"/>
          <w:sz w:val="18"/>
          <w:szCs w:val="18"/>
        </w:rPr>
        <w:t>, Camitz M</w:t>
      </w:r>
      <w:r w:rsidR="00D913FC">
        <w:rPr>
          <w:rFonts w:ascii="Times New Roman" w:hAnsi="Times New Roman"/>
          <w:sz w:val="18"/>
          <w:szCs w:val="18"/>
        </w:rPr>
        <w:t>.</w:t>
      </w:r>
      <w:r w:rsidRPr="00AE740D" w:rsidR="00754007">
        <w:rPr>
          <w:rFonts w:ascii="Times New Roman" w:hAnsi="Times New Roman"/>
          <w:sz w:val="18"/>
          <w:szCs w:val="18"/>
        </w:rPr>
        <w:t>, Hoang N</w:t>
      </w:r>
      <w:r w:rsidR="00D913FC">
        <w:rPr>
          <w:rFonts w:ascii="Times New Roman" w:hAnsi="Times New Roman"/>
          <w:sz w:val="18"/>
          <w:szCs w:val="18"/>
        </w:rPr>
        <w:t>.</w:t>
      </w:r>
      <w:r w:rsidRPr="00AE740D" w:rsidR="00754007">
        <w:rPr>
          <w:rFonts w:ascii="Times New Roman" w:hAnsi="Times New Roman"/>
          <w:sz w:val="18"/>
          <w:szCs w:val="18"/>
        </w:rPr>
        <w:t>L</w:t>
      </w:r>
      <w:r w:rsidR="00D913FC">
        <w:rPr>
          <w:rFonts w:ascii="Times New Roman" w:hAnsi="Times New Roman"/>
          <w:sz w:val="18"/>
          <w:szCs w:val="18"/>
        </w:rPr>
        <w:t>.</w:t>
      </w:r>
      <w:r w:rsidRPr="00AE740D" w:rsidR="00754007">
        <w:rPr>
          <w:rFonts w:ascii="Times New Roman" w:hAnsi="Times New Roman"/>
          <w:sz w:val="18"/>
          <w:szCs w:val="18"/>
        </w:rPr>
        <w:t>, Nguyen T</w:t>
      </w:r>
      <w:r w:rsidR="00D913FC">
        <w:rPr>
          <w:rFonts w:ascii="Times New Roman" w:hAnsi="Times New Roman"/>
          <w:sz w:val="18"/>
          <w:szCs w:val="18"/>
        </w:rPr>
        <w:t>.</w:t>
      </w:r>
      <w:r w:rsidRPr="00AE740D" w:rsidR="00754007">
        <w:rPr>
          <w:rFonts w:ascii="Times New Roman" w:hAnsi="Times New Roman"/>
          <w:sz w:val="18"/>
          <w:szCs w:val="18"/>
        </w:rPr>
        <w:t>A</w:t>
      </w:r>
      <w:r w:rsidR="00D913FC">
        <w:rPr>
          <w:rFonts w:ascii="Times New Roman" w:hAnsi="Times New Roman"/>
          <w:sz w:val="18"/>
          <w:szCs w:val="18"/>
        </w:rPr>
        <w:t>.</w:t>
      </w:r>
      <w:r w:rsidRPr="00AE740D" w:rsidR="00754007">
        <w:rPr>
          <w:rFonts w:ascii="Times New Roman" w:hAnsi="Times New Roman"/>
          <w:sz w:val="18"/>
          <w:szCs w:val="18"/>
        </w:rPr>
        <w:t>, Liljeros F</w:t>
      </w:r>
      <w:r w:rsidR="00D913FC">
        <w:rPr>
          <w:rFonts w:ascii="Times New Roman" w:hAnsi="Times New Roman"/>
          <w:sz w:val="18"/>
          <w:szCs w:val="18"/>
        </w:rPr>
        <w:t>.</w:t>
      </w:r>
      <w:r w:rsidRPr="00AE740D" w:rsidR="00754007">
        <w:rPr>
          <w:rFonts w:ascii="Times New Roman" w:hAnsi="Times New Roman"/>
          <w:sz w:val="18"/>
          <w:szCs w:val="18"/>
        </w:rPr>
        <w:t xml:space="preserve">, </w:t>
      </w:r>
      <w:r w:rsidR="00D913FC">
        <w:rPr>
          <w:rFonts w:ascii="Times New Roman" w:hAnsi="Times New Roman"/>
          <w:sz w:val="18"/>
          <w:szCs w:val="18"/>
        </w:rPr>
        <w:t xml:space="preserve">and </w:t>
      </w:r>
      <w:r w:rsidRPr="00AE740D" w:rsidR="00754007">
        <w:rPr>
          <w:rFonts w:ascii="Times New Roman" w:hAnsi="Times New Roman"/>
          <w:sz w:val="18"/>
          <w:szCs w:val="18"/>
        </w:rPr>
        <w:t xml:space="preserve">Thorson A. </w:t>
      </w:r>
      <w:r w:rsidR="00AB09B3">
        <w:rPr>
          <w:rFonts w:ascii="Times New Roman" w:hAnsi="Times New Roman"/>
          <w:sz w:val="18"/>
          <w:szCs w:val="18"/>
        </w:rPr>
        <w:t xml:space="preserve">(2012). </w:t>
      </w:r>
      <w:r w:rsidRPr="00AE740D" w:rsidR="00754007">
        <w:rPr>
          <w:rFonts w:ascii="Times New Roman" w:hAnsi="Times New Roman"/>
          <w:sz w:val="18"/>
          <w:szCs w:val="18"/>
        </w:rPr>
        <w:t>Implementation of web-based respondent-driven sampling among men who have sex with men in Vietnam. </w:t>
      </w:r>
      <w:r w:rsidRPr="00AE740D" w:rsidR="00754007">
        <w:rPr>
          <w:rFonts w:ascii="Times New Roman" w:hAnsi="Times New Roman"/>
          <w:i/>
          <w:sz w:val="18"/>
          <w:szCs w:val="18"/>
        </w:rPr>
        <w:t>PLoS One. </w:t>
      </w:r>
      <w:r w:rsidRPr="00AE740D" w:rsidR="00754007">
        <w:rPr>
          <w:rFonts w:ascii="Times New Roman" w:hAnsi="Times New Roman"/>
          <w:sz w:val="18"/>
          <w:szCs w:val="18"/>
        </w:rPr>
        <w:t>7(11</w:t>
      </w:r>
      <w:r w:rsidRPr="00AE740D" w:rsidR="00754007">
        <w:rPr>
          <w:rFonts w:ascii="Times New Roman" w:hAnsi="Times New Roman"/>
          <w:sz w:val="18"/>
          <w:szCs w:val="18"/>
        </w:rPr>
        <w:t>):e</w:t>
      </w:r>
      <w:r w:rsidRPr="00AE740D" w:rsidR="00754007">
        <w:rPr>
          <w:rFonts w:ascii="Times New Roman" w:hAnsi="Times New Roman"/>
          <w:sz w:val="18"/>
          <w:szCs w:val="18"/>
        </w:rPr>
        <w:t>49417</w:t>
      </w:r>
      <w:r w:rsidR="002A00CA">
        <w:rPr>
          <w:rFonts w:ascii="Times New Roman" w:hAnsi="Times New Roman"/>
          <w:sz w:val="18"/>
          <w:szCs w:val="18"/>
        </w:rPr>
        <w:t>,</w:t>
      </w:r>
      <w:r w:rsidRPr="00AE740D" w:rsidR="00754007">
        <w:rPr>
          <w:rFonts w:ascii="Times New Roman" w:hAnsi="Times New Roman"/>
          <w:sz w:val="18"/>
          <w:szCs w:val="18"/>
        </w:rPr>
        <w:t xml:space="preserve"> </w:t>
      </w:r>
      <w:hyperlink r:id="rId20" w:history="1">
        <w:r w:rsidRPr="005F1A7A">
          <w:rPr>
            <w:rStyle w:val="Hyperlink"/>
            <w:rFonts w:ascii="Times New Roman" w:eastAsia="Times New Roman" w:hAnsi="Times New Roman"/>
            <w:sz w:val="18"/>
            <w:szCs w:val="18"/>
            <w:lang w:eastAsia="en-GB"/>
          </w:rPr>
          <w:t>https://doi.org/</w:t>
        </w:r>
        <w:r w:rsidRPr="005F1A7A">
          <w:rPr>
            <w:rStyle w:val="Hyperlink"/>
            <w:rFonts w:ascii="Times New Roman" w:hAnsi="Times New Roman"/>
            <w:sz w:val="18"/>
            <w:szCs w:val="18"/>
          </w:rPr>
          <w:t>10.1371/journal.pone.0049417</w:t>
        </w:r>
      </w:hyperlink>
    </w:p>
  </w:footnote>
  <w:footnote w:id="29">
    <w:p w:rsidR="00370209" w:rsidRPr="008C6583" w:rsidP="00370209" w14:paraId="68FBE745" w14:textId="77777777">
      <w:pPr>
        <w:pStyle w:val="FootnoteText"/>
        <w:contextualSpacing/>
        <w:rPr>
          <w:rStyle w:val="Hyperlink"/>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156D10">
        <w:rPr>
          <w:rFonts w:ascii="Times New Roman" w:hAnsi="Times New Roman"/>
          <w:sz w:val="18"/>
          <w:szCs w:val="18"/>
        </w:rPr>
        <w:t>Wejnert C</w:t>
      </w:r>
      <w:r w:rsidR="00AB09B3">
        <w:rPr>
          <w:rFonts w:ascii="Times New Roman" w:hAnsi="Times New Roman"/>
          <w:sz w:val="18"/>
          <w:szCs w:val="18"/>
        </w:rPr>
        <w:t>.</w:t>
      </w:r>
      <w:r w:rsidRPr="00AE740D" w:rsidR="00156D10">
        <w:rPr>
          <w:rFonts w:ascii="Times New Roman" w:hAnsi="Times New Roman"/>
          <w:sz w:val="18"/>
          <w:szCs w:val="18"/>
        </w:rPr>
        <w:t>, Heckathorn D</w:t>
      </w:r>
      <w:r w:rsidR="00AB09B3">
        <w:rPr>
          <w:rFonts w:ascii="Times New Roman" w:hAnsi="Times New Roman"/>
          <w:sz w:val="18"/>
          <w:szCs w:val="18"/>
        </w:rPr>
        <w:t>.</w:t>
      </w:r>
      <w:r w:rsidRPr="00AE740D" w:rsidR="00156D10">
        <w:rPr>
          <w:rFonts w:ascii="Times New Roman" w:hAnsi="Times New Roman"/>
          <w:sz w:val="18"/>
          <w:szCs w:val="18"/>
        </w:rPr>
        <w:t xml:space="preserve">D. </w:t>
      </w:r>
      <w:r w:rsidR="000A34EA">
        <w:rPr>
          <w:rFonts w:ascii="Times New Roman" w:hAnsi="Times New Roman"/>
          <w:sz w:val="18"/>
          <w:szCs w:val="18"/>
        </w:rPr>
        <w:t xml:space="preserve">(2008). </w:t>
      </w:r>
      <w:r w:rsidRPr="00AE740D" w:rsidR="00156D10">
        <w:rPr>
          <w:rFonts w:ascii="Times New Roman" w:hAnsi="Times New Roman"/>
          <w:sz w:val="18"/>
          <w:szCs w:val="18"/>
        </w:rPr>
        <w:t xml:space="preserve">Web-based network sampling. </w:t>
      </w:r>
      <w:r w:rsidRPr="00AE740D" w:rsidR="00156D10">
        <w:rPr>
          <w:rFonts w:ascii="Times New Roman" w:hAnsi="Times New Roman"/>
          <w:i/>
          <w:iCs/>
          <w:sz w:val="18"/>
          <w:szCs w:val="18"/>
        </w:rPr>
        <w:t>Sociological Methods &amp; Research</w:t>
      </w:r>
      <w:r w:rsidR="000A34EA">
        <w:rPr>
          <w:rFonts w:ascii="Times New Roman" w:hAnsi="Times New Roman"/>
          <w:sz w:val="18"/>
          <w:szCs w:val="18"/>
        </w:rPr>
        <w:t xml:space="preserve">, </w:t>
      </w:r>
      <w:r w:rsidRPr="00AE740D" w:rsidR="00156D10">
        <w:rPr>
          <w:rFonts w:ascii="Times New Roman" w:hAnsi="Times New Roman"/>
          <w:sz w:val="18"/>
          <w:szCs w:val="18"/>
        </w:rPr>
        <w:t>37(1):105–134</w:t>
      </w:r>
      <w:r w:rsidR="00273E75">
        <w:rPr>
          <w:rFonts w:ascii="Times New Roman" w:hAnsi="Times New Roman"/>
          <w:sz w:val="18"/>
          <w:szCs w:val="18"/>
        </w:rPr>
        <w:t xml:space="preserve">, </w:t>
      </w:r>
      <w:hyperlink r:id="rId21" w:tgtFrame="_blank" w:history="1">
        <w:r w:rsidRPr="005F1A7A" w:rsidR="00273E75">
          <w:rPr>
            <w:rStyle w:val="Hyperlink"/>
            <w:rFonts w:ascii="Times New Roman" w:hAnsi="Times New Roman"/>
            <w:sz w:val="18"/>
            <w:szCs w:val="18"/>
          </w:rPr>
          <w:t>https://doi.org/10.1177/0049124108318333</w:t>
        </w:r>
      </w:hyperlink>
      <w:r w:rsidRPr="005F1A7A" w:rsidR="000A34EA">
        <w:rPr>
          <w:rFonts w:ascii="Times New Roman" w:hAnsi="Times New Roman"/>
          <w:sz w:val="18"/>
          <w:szCs w:val="18"/>
        </w:rPr>
        <w:t>;</w:t>
      </w:r>
      <w:r w:rsidR="00273E75">
        <w:rPr>
          <w:rFonts w:ascii="Times New Roman" w:hAnsi="Times New Roman"/>
          <w:sz w:val="18"/>
          <w:szCs w:val="18"/>
        </w:rPr>
        <w:t xml:space="preserve"> </w:t>
      </w:r>
      <w:r w:rsidRPr="00AE740D" w:rsidR="00320D77">
        <w:rPr>
          <w:rFonts w:ascii="Times New Roman" w:hAnsi="Times New Roman"/>
          <w:sz w:val="18"/>
          <w:szCs w:val="18"/>
        </w:rPr>
        <w:t>Sadasivam R</w:t>
      </w:r>
      <w:r w:rsidR="000A34EA">
        <w:rPr>
          <w:rFonts w:ascii="Times New Roman" w:hAnsi="Times New Roman"/>
          <w:sz w:val="18"/>
          <w:szCs w:val="18"/>
        </w:rPr>
        <w:t>.</w:t>
      </w:r>
      <w:r w:rsidRPr="00AE740D" w:rsidR="00320D77">
        <w:rPr>
          <w:rFonts w:ascii="Times New Roman" w:hAnsi="Times New Roman"/>
          <w:sz w:val="18"/>
          <w:szCs w:val="18"/>
        </w:rPr>
        <w:t>S</w:t>
      </w:r>
      <w:r w:rsidR="000A34EA">
        <w:rPr>
          <w:rFonts w:ascii="Times New Roman" w:hAnsi="Times New Roman"/>
          <w:sz w:val="18"/>
          <w:szCs w:val="18"/>
        </w:rPr>
        <w:t>.</w:t>
      </w:r>
      <w:r w:rsidRPr="00AE740D" w:rsidR="00320D77">
        <w:rPr>
          <w:rFonts w:ascii="Times New Roman" w:hAnsi="Times New Roman"/>
          <w:sz w:val="18"/>
          <w:szCs w:val="18"/>
        </w:rPr>
        <w:t>, Cutrona S</w:t>
      </w:r>
      <w:r w:rsidR="000A34EA">
        <w:rPr>
          <w:rFonts w:ascii="Times New Roman" w:hAnsi="Times New Roman"/>
          <w:sz w:val="18"/>
          <w:szCs w:val="18"/>
        </w:rPr>
        <w:t>.</w:t>
      </w:r>
      <w:r w:rsidRPr="00AE740D" w:rsidR="00320D77">
        <w:rPr>
          <w:rFonts w:ascii="Times New Roman" w:hAnsi="Times New Roman"/>
          <w:sz w:val="18"/>
          <w:szCs w:val="18"/>
        </w:rPr>
        <w:t>L</w:t>
      </w:r>
      <w:r w:rsidR="000A34EA">
        <w:rPr>
          <w:rFonts w:ascii="Times New Roman" w:hAnsi="Times New Roman"/>
          <w:sz w:val="18"/>
          <w:szCs w:val="18"/>
        </w:rPr>
        <w:t>.</w:t>
      </w:r>
      <w:r w:rsidRPr="00AE740D" w:rsidR="00320D77">
        <w:rPr>
          <w:rFonts w:ascii="Times New Roman" w:hAnsi="Times New Roman"/>
          <w:sz w:val="18"/>
          <w:szCs w:val="18"/>
        </w:rPr>
        <w:t>, Luger T</w:t>
      </w:r>
      <w:r w:rsidR="000A34EA">
        <w:rPr>
          <w:rFonts w:ascii="Times New Roman" w:hAnsi="Times New Roman"/>
          <w:sz w:val="18"/>
          <w:szCs w:val="18"/>
        </w:rPr>
        <w:t>.</w:t>
      </w:r>
      <w:r w:rsidRPr="00AE740D" w:rsidR="00320D77">
        <w:rPr>
          <w:rFonts w:ascii="Times New Roman" w:hAnsi="Times New Roman"/>
          <w:sz w:val="18"/>
          <w:szCs w:val="18"/>
        </w:rPr>
        <w:t>M</w:t>
      </w:r>
      <w:r w:rsidR="000A34EA">
        <w:rPr>
          <w:rFonts w:ascii="Times New Roman" w:hAnsi="Times New Roman"/>
          <w:sz w:val="18"/>
          <w:szCs w:val="18"/>
        </w:rPr>
        <w:t>.</w:t>
      </w:r>
      <w:r w:rsidRPr="00AE740D" w:rsidR="00320D77">
        <w:rPr>
          <w:rFonts w:ascii="Times New Roman" w:hAnsi="Times New Roman"/>
          <w:sz w:val="18"/>
          <w:szCs w:val="18"/>
        </w:rPr>
        <w:t>, Volz E</w:t>
      </w:r>
      <w:r w:rsidR="000A34EA">
        <w:rPr>
          <w:rFonts w:ascii="Times New Roman" w:hAnsi="Times New Roman"/>
          <w:sz w:val="18"/>
          <w:szCs w:val="18"/>
        </w:rPr>
        <w:t>.</w:t>
      </w:r>
      <w:r w:rsidRPr="00AE740D" w:rsidR="00320D77">
        <w:rPr>
          <w:rFonts w:ascii="Times New Roman" w:hAnsi="Times New Roman"/>
          <w:sz w:val="18"/>
          <w:szCs w:val="18"/>
        </w:rPr>
        <w:t>, Kinney R</w:t>
      </w:r>
      <w:r w:rsidR="000A34EA">
        <w:rPr>
          <w:rFonts w:ascii="Times New Roman" w:hAnsi="Times New Roman"/>
          <w:sz w:val="18"/>
          <w:szCs w:val="18"/>
        </w:rPr>
        <w:t>.</w:t>
      </w:r>
      <w:r w:rsidRPr="00AE740D" w:rsidR="00320D77">
        <w:rPr>
          <w:rFonts w:ascii="Times New Roman" w:hAnsi="Times New Roman"/>
          <w:sz w:val="18"/>
          <w:szCs w:val="18"/>
        </w:rPr>
        <w:t>, Rao S</w:t>
      </w:r>
      <w:r w:rsidR="000A34EA">
        <w:rPr>
          <w:rFonts w:ascii="Times New Roman" w:hAnsi="Times New Roman"/>
          <w:sz w:val="18"/>
          <w:szCs w:val="18"/>
        </w:rPr>
        <w:t>.</w:t>
      </w:r>
      <w:r w:rsidRPr="00AE740D" w:rsidR="00320D77">
        <w:rPr>
          <w:rFonts w:ascii="Times New Roman" w:hAnsi="Times New Roman"/>
          <w:sz w:val="18"/>
          <w:szCs w:val="18"/>
        </w:rPr>
        <w:t>R</w:t>
      </w:r>
      <w:r w:rsidR="000A34EA">
        <w:rPr>
          <w:rFonts w:ascii="Times New Roman" w:hAnsi="Times New Roman"/>
          <w:sz w:val="18"/>
          <w:szCs w:val="18"/>
        </w:rPr>
        <w:t>.</w:t>
      </w:r>
      <w:r w:rsidRPr="00AE740D" w:rsidR="00320D77">
        <w:rPr>
          <w:rFonts w:ascii="Times New Roman" w:hAnsi="Times New Roman"/>
          <w:sz w:val="18"/>
          <w:szCs w:val="18"/>
        </w:rPr>
        <w:t>, Allison J</w:t>
      </w:r>
      <w:r w:rsidR="000A34EA">
        <w:rPr>
          <w:rFonts w:ascii="Times New Roman" w:hAnsi="Times New Roman"/>
          <w:sz w:val="18"/>
          <w:szCs w:val="18"/>
        </w:rPr>
        <w:t>.</w:t>
      </w:r>
      <w:r w:rsidRPr="00AE740D" w:rsidR="00320D77">
        <w:rPr>
          <w:rFonts w:ascii="Times New Roman" w:hAnsi="Times New Roman"/>
          <w:sz w:val="18"/>
          <w:szCs w:val="18"/>
        </w:rPr>
        <w:t>J</w:t>
      </w:r>
      <w:r w:rsidR="000A34EA">
        <w:rPr>
          <w:rFonts w:ascii="Times New Roman" w:hAnsi="Times New Roman"/>
          <w:sz w:val="18"/>
          <w:szCs w:val="18"/>
        </w:rPr>
        <w:t>.</w:t>
      </w:r>
      <w:r w:rsidRPr="00AE740D" w:rsidR="00320D77">
        <w:rPr>
          <w:rFonts w:ascii="Times New Roman" w:hAnsi="Times New Roman"/>
          <w:sz w:val="18"/>
          <w:szCs w:val="18"/>
        </w:rPr>
        <w:t>, Houston T</w:t>
      </w:r>
      <w:r w:rsidR="000A34EA">
        <w:rPr>
          <w:rFonts w:ascii="Times New Roman" w:hAnsi="Times New Roman"/>
          <w:sz w:val="18"/>
          <w:szCs w:val="18"/>
        </w:rPr>
        <w:t>.</w:t>
      </w:r>
      <w:r w:rsidRPr="00AE740D" w:rsidR="00320D77">
        <w:rPr>
          <w:rFonts w:ascii="Times New Roman" w:hAnsi="Times New Roman"/>
          <w:sz w:val="18"/>
          <w:szCs w:val="18"/>
        </w:rPr>
        <w:t>K.</w:t>
      </w:r>
      <w:r w:rsidR="000A34EA">
        <w:rPr>
          <w:rFonts w:ascii="Times New Roman" w:hAnsi="Times New Roman"/>
          <w:sz w:val="18"/>
          <w:szCs w:val="18"/>
        </w:rPr>
        <w:t xml:space="preserve"> (2017).</w:t>
      </w:r>
      <w:r w:rsidRPr="00AE740D" w:rsidR="00320D77">
        <w:rPr>
          <w:rFonts w:ascii="Times New Roman" w:hAnsi="Times New Roman"/>
          <w:sz w:val="18"/>
          <w:szCs w:val="18"/>
        </w:rPr>
        <w:t xml:space="preserve"> Share2Quit: online social network peer marketing of tobacco cessation systems. </w:t>
      </w:r>
      <w:r w:rsidRPr="00AE740D" w:rsidR="00320D77">
        <w:rPr>
          <w:rFonts w:ascii="Times New Roman" w:hAnsi="Times New Roman"/>
          <w:i/>
          <w:iCs/>
          <w:sz w:val="18"/>
          <w:szCs w:val="18"/>
        </w:rPr>
        <w:t>Nicotine Tob Res</w:t>
      </w:r>
      <w:r w:rsidR="000A34EA">
        <w:rPr>
          <w:rFonts w:ascii="Times New Roman" w:hAnsi="Times New Roman"/>
          <w:sz w:val="18"/>
          <w:szCs w:val="18"/>
        </w:rPr>
        <w:t>,</w:t>
      </w:r>
      <w:r w:rsidRPr="00AE740D" w:rsidR="00320D77">
        <w:rPr>
          <w:rFonts w:ascii="Times New Roman" w:hAnsi="Times New Roman"/>
          <w:sz w:val="18"/>
          <w:szCs w:val="18"/>
        </w:rPr>
        <w:t> 19(3):314–323</w:t>
      </w:r>
      <w:r w:rsidR="00F17501">
        <w:rPr>
          <w:rFonts w:ascii="Times New Roman" w:hAnsi="Times New Roman"/>
          <w:sz w:val="18"/>
          <w:szCs w:val="18"/>
        </w:rPr>
        <w:t xml:space="preserve">, </w:t>
      </w:r>
      <w:hyperlink r:id="rId22" w:history="1">
        <w:r w:rsidRPr="00D573FB" w:rsidR="005F1A7A">
          <w:rPr>
            <w:rStyle w:val="Hyperlink"/>
            <w:rFonts w:ascii="Times New Roman" w:hAnsi="Times New Roman"/>
            <w:sz w:val="18"/>
            <w:szCs w:val="18"/>
          </w:rPr>
          <w:t>https://doi.org/10.1093/ntr/ntw187</w:t>
        </w:r>
      </w:hyperlink>
      <w:r w:rsidR="000A34EA">
        <w:rPr>
          <w:rFonts w:ascii="Times New Roman" w:hAnsi="Times New Roman"/>
          <w:sz w:val="18"/>
          <w:szCs w:val="18"/>
        </w:rPr>
        <w:t xml:space="preserve">; </w:t>
      </w:r>
      <w:r w:rsidRPr="00AE740D" w:rsidR="00C066FD">
        <w:rPr>
          <w:rFonts w:ascii="Times New Roman" w:hAnsi="Times New Roman"/>
          <w:sz w:val="18"/>
          <w:szCs w:val="18"/>
        </w:rPr>
        <w:t>Oesterle S</w:t>
      </w:r>
      <w:r w:rsidR="000A34EA">
        <w:rPr>
          <w:rFonts w:ascii="Times New Roman" w:hAnsi="Times New Roman"/>
          <w:sz w:val="18"/>
          <w:szCs w:val="18"/>
        </w:rPr>
        <w:t>.</w:t>
      </w:r>
      <w:r w:rsidRPr="00AE740D" w:rsidR="00C066FD">
        <w:rPr>
          <w:rFonts w:ascii="Times New Roman" w:hAnsi="Times New Roman"/>
          <w:sz w:val="18"/>
          <w:szCs w:val="18"/>
        </w:rPr>
        <w:t>, Epstein M</w:t>
      </w:r>
      <w:r w:rsidR="000A34EA">
        <w:rPr>
          <w:rFonts w:ascii="Times New Roman" w:hAnsi="Times New Roman"/>
          <w:sz w:val="18"/>
          <w:szCs w:val="18"/>
        </w:rPr>
        <w:t>.</w:t>
      </w:r>
      <w:r w:rsidRPr="00AE740D" w:rsidR="00C066FD">
        <w:rPr>
          <w:rFonts w:ascii="Times New Roman" w:hAnsi="Times New Roman"/>
          <w:sz w:val="18"/>
          <w:szCs w:val="18"/>
        </w:rPr>
        <w:t>, Haggerty K</w:t>
      </w:r>
      <w:r w:rsidR="000A34EA">
        <w:rPr>
          <w:rFonts w:ascii="Times New Roman" w:hAnsi="Times New Roman"/>
          <w:sz w:val="18"/>
          <w:szCs w:val="18"/>
        </w:rPr>
        <w:t>.</w:t>
      </w:r>
      <w:r w:rsidRPr="00AE740D" w:rsidR="00C066FD">
        <w:rPr>
          <w:rFonts w:ascii="Times New Roman" w:hAnsi="Times New Roman"/>
          <w:sz w:val="18"/>
          <w:szCs w:val="18"/>
        </w:rPr>
        <w:t>P</w:t>
      </w:r>
      <w:r w:rsidR="000A34EA">
        <w:rPr>
          <w:rFonts w:ascii="Times New Roman" w:hAnsi="Times New Roman"/>
          <w:sz w:val="18"/>
          <w:szCs w:val="18"/>
        </w:rPr>
        <w:t>.</w:t>
      </w:r>
      <w:r w:rsidRPr="00AE740D" w:rsidR="00C066FD">
        <w:rPr>
          <w:rFonts w:ascii="Times New Roman" w:hAnsi="Times New Roman"/>
          <w:sz w:val="18"/>
          <w:szCs w:val="18"/>
        </w:rPr>
        <w:t xml:space="preserve">, </w:t>
      </w:r>
      <w:r w:rsidR="000A34EA">
        <w:rPr>
          <w:rFonts w:ascii="Times New Roman" w:hAnsi="Times New Roman"/>
          <w:sz w:val="18"/>
          <w:szCs w:val="18"/>
        </w:rPr>
        <w:t xml:space="preserve">and </w:t>
      </w:r>
      <w:r w:rsidRPr="00AE740D" w:rsidR="00C066FD">
        <w:rPr>
          <w:rFonts w:ascii="Times New Roman" w:hAnsi="Times New Roman"/>
          <w:sz w:val="18"/>
          <w:szCs w:val="18"/>
        </w:rPr>
        <w:t>Moreno M</w:t>
      </w:r>
      <w:r w:rsidR="000A34EA">
        <w:rPr>
          <w:rFonts w:ascii="Times New Roman" w:hAnsi="Times New Roman"/>
          <w:sz w:val="18"/>
          <w:szCs w:val="18"/>
        </w:rPr>
        <w:t>.</w:t>
      </w:r>
      <w:r w:rsidRPr="00AE740D" w:rsidR="00C066FD">
        <w:rPr>
          <w:rFonts w:ascii="Times New Roman" w:hAnsi="Times New Roman"/>
          <w:sz w:val="18"/>
          <w:szCs w:val="18"/>
        </w:rPr>
        <w:t>A</w:t>
      </w:r>
      <w:r w:rsidR="000A34EA">
        <w:rPr>
          <w:rFonts w:ascii="Times New Roman" w:hAnsi="Times New Roman"/>
          <w:sz w:val="18"/>
          <w:szCs w:val="18"/>
        </w:rPr>
        <w:t xml:space="preserve">. (2018). </w:t>
      </w:r>
      <w:r w:rsidRPr="00AE740D" w:rsidR="00C066FD">
        <w:rPr>
          <w:rFonts w:ascii="Times New Roman" w:hAnsi="Times New Roman"/>
          <w:sz w:val="18"/>
          <w:szCs w:val="18"/>
        </w:rPr>
        <w:t xml:space="preserve">Using Facebook to recruit parents to participate in a family program to prevent teen drug use. </w:t>
      </w:r>
      <w:r w:rsidRPr="00AE740D" w:rsidR="00C066FD">
        <w:rPr>
          <w:rFonts w:ascii="Times New Roman" w:hAnsi="Times New Roman"/>
          <w:i/>
          <w:iCs/>
          <w:sz w:val="18"/>
          <w:szCs w:val="18"/>
        </w:rPr>
        <w:t>Prev Sci</w:t>
      </w:r>
      <w:r w:rsidR="000A34EA">
        <w:rPr>
          <w:rFonts w:ascii="Times New Roman" w:hAnsi="Times New Roman"/>
          <w:sz w:val="18"/>
          <w:szCs w:val="18"/>
        </w:rPr>
        <w:t xml:space="preserve">. </w:t>
      </w:r>
      <w:r w:rsidRPr="00AE740D" w:rsidR="00C066FD">
        <w:rPr>
          <w:rFonts w:ascii="Times New Roman" w:hAnsi="Times New Roman"/>
          <w:sz w:val="18"/>
          <w:szCs w:val="18"/>
        </w:rPr>
        <w:t>19(4):559–569</w:t>
      </w:r>
      <w:r w:rsidR="000F160C">
        <w:rPr>
          <w:rFonts w:ascii="Times New Roman" w:hAnsi="Times New Roman"/>
          <w:sz w:val="18"/>
          <w:szCs w:val="18"/>
        </w:rPr>
        <w:t xml:space="preserve">, </w:t>
      </w:r>
      <w:r w:rsidRPr="000F160C" w:rsidR="000F160C">
        <w:rPr>
          <w:rFonts w:ascii="Times New Roman" w:hAnsi="Times New Roman"/>
          <w:sz w:val="18"/>
          <w:szCs w:val="18"/>
        </w:rPr>
        <w:t xml:space="preserve"> </w:t>
      </w:r>
      <w:hyperlink r:id="rId23" w:history="1">
        <w:r w:rsidRPr="00D573FB" w:rsidR="005F1A7A">
          <w:rPr>
            <w:rStyle w:val="Hyperlink"/>
            <w:rFonts w:ascii="Times New Roman" w:hAnsi="Times New Roman"/>
            <w:sz w:val="18"/>
            <w:szCs w:val="18"/>
          </w:rPr>
          <w:t>https://doi.org/10.1007/s11121-017-0844-7</w:t>
        </w:r>
      </w:hyperlink>
      <w:r w:rsidR="000A34EA">
        <w:rPr>
          <w:rFonts w:ascii="Times New Roman" w:hAnsi="Times New Roman"/>
          <w:sz w:val="18"/>
          <w:szCs w:val="18"/>
        </w:rPr>
        <w:t xml:space="preserve">; </w:t>
      </w:r>
      <w:r w:rsidRPr="00AE740D" w:rsidR="00112F6B">
        <w:rPr>
          <w:rFonts w:ascii="Times New Roman" w:hAnsi="Times New Roman"/>
          <w:sz w:val="18"/>
          <w:szCs w:val="18"/>
        </w:rPr>
        <w:t>Bauermeister J</w:t>
      </w:r>
      <w:r w:rsidR="000A34EA">
        <w:rPr>
          <w:rFonts w:ascii="Times New Roman" w:hAnsi="Times New Roman"/>
          <w:sz w:val="18"/>
          <w:szCs w:val="18"/>
        </w:rPr>
        <w:t>.</w:t>
      </w:r>
      <w:r w:rsidRPr="00AE740D" w:rsidR="00112F6B">
        <w:rPr>
          <w:rFonts w:ascii="Times New Roman" w:hAnsi="Times New Roman"/>
          <w:sz w:val="18"/>
          <w:szCs w:val="18"/>
        </w:rPr>
        <w:t>A</w:t>
      </w:r>
      <w:r w:rsidR="000A34EA">
        <w:rPr>
          <w:rFonts w:ascii="Times New Roman" w:hAnsi="Times New Roman"/>
          <w:sz w:val="18"/>
          <w:szCs w:val="18"/>
        </w:rPr>
        <w:t>.</w:t>
      </w:r>
      <w:r w:rsidRPr="00AE740D" w:rsidR="00112F6B">
        <w:rPr>
          <w:rFonts w:ascii="Times New Roman" w:hAnsi="Times New Roman"/>
          <w:sz w:val="18"/>
          <w:szCs w:val="18"/>
        </w:rPr>
        <w:t>, Zimmerman M</w:t>
      </w:r>
      <w:r w:rsidR="000A34EA">
        <w:rPr>
          <w:rFonts w:ascii="Times New Roman" w:hAnsi="Times New Roman"/>
          <w:sz w:val="18"/>
          <w:szCs w:val="18"/>
        </w:rPr>
        <w:t>.</w:t>
      </w:r>
      <w:r w:rsidRPr="00AE740D" w:rsidR="00112F6B">
        <w:rPr>
          <w:rFonts w:ascii="Times New Roman" w:hAnsi="Times New Roman"/>
          <w:sz w:val="18"/>
          <w:szCs w:val="18"/>
        </w:rPr>
        <w:t>A</w:t>
      </w:r>
      <w:r w:rsidR="000A34EA">
        <w:rPr>
          <w:rFonts w:ascii="Times New Roman" w:hAnsi="Times New Roman"/>
          <w:sz w:val="18"/>
          <w:szCs w:val="18"/>
        </w:rPr>
        <w:t>.</w:t>
      </w:r>
      <w:r w:rsidRPr="00AE740D" w:rsidR="00112F6B">
        <w:rPr>
          <w:rFonts w:ascii="Times New Roman" w:hAnsi="Times New Roman"/>
          <w:sz w:val="18"/>
          <w:szCs w:val="18"/>
        </w:rPr>
        <w:t>, Johns M</w:t>
      </w:r>
      <w:r w:rsidR="000A34EA">
        <w:rPr>
          <w:rFonts w:ascii="Times New Roman" w:hAnsi="Times New Roman"/>
          <w:sz w:val="18"/>
          <w:szCs w:val="18"/>
        </w:rPr>
        <w:t>.</w:t>
      </w:r>
      <w:r w:rsidRPr="00AE740D" w:rsidR="00112F6B">
        <w:rPr>
          <w:rFonts w:ascii="Times New Roman" w:hAnsi="Times New Roman"/>
          <w:sz w:val="18"/>
          <w:szCs w:val="18"/>
        </w:rPr>
        <w:t>M</w:t>
      </w:r>
      <w:r w:rsidR="000A34EA">
        <w:rPr>
          <w:rFonts w:ascii="Times New Roman" w:hAnsi="Times New Roman"/>
          <w:sz w:val="18"/>
          <w:szCs w:val="18"/>
        </w:rPr>
        <w:t>.</w:t>
      </w:r>
      <w:r w:rsidRPr="00AE740D" w:rsidR="00112F6B">
        <w:rPr>
          <w:rFonts w:ascii="Times New Roman" w:hAnsi="Times New Roman"/>
          <w:sz w:val="18"/>
          <w:szCs w:val="18"/>
        </w:rPr>
        <w:t>, Glowacki P</w:t>
      </w:r>
      <w:r w:rsidR="000A34EA">
        <w:rPr>
          <w:rFonts w:ascii="Times New Roman" w:hAnsi="Times New Roman"/>
          <w:sz w:val="18"/>
          <w:szCs w:val="18"/>
        </w:rPr>
        <w:t>.</w:t>
      </w:r>
      <w:r w:rsidRPr="00AE740D" w:rsidR="00112F6B">
        <w:rPr>
          <w:rFonts w:ascii="Times New Roman" w:hAnsi="Times New Roman"/>
          <w:sz w:val="18"/>
          <w:szCs w:val="18"/>
        </w:rPr>
        <w:t>, Stoddard S</w:t>
      </w:r>
      <w:r w:rsidR="000A34EA">
        <w:rPr>
          <w:rFonts w:ascii="Times New Roman" w:hAnsi="Times New Roman"/>
          <w:sz w:val="18"/>
          <w:szCs w:val="18"/>
        </w:rPr>
        <w:t>.</w:t>
      </w:r>
      <w:r w:rsidRPr="00AE740D" w:rsidR="00112F6B">
        <w:rPr>
          <w:rFonts w:ascii="Times New Roman" w:hAnsi="Times New Roman"/>
          <w:sz w:val="18"/>
          <w:szCs w:val="18"/>
        </w:rPr>
        <w:t xml:space="preserve">, </w:t>
      </w:r>
      <w:r w:rsidR="000A34EA">
        <w:rPr>
          <w:rFonts w:ascii="Times New Roman" w:hAnsi="Times New Roman"/>
          <w:sz w:val="18"/>
          <w:szCs w:val="18"/>
        </w:rPr>
        <w:t xml:space="preserve">and </w:t>
      </w:r>
      <w:r w:rsidRPr="00AE740D" w:rsidR="00112F6B">
        <w:rPr>
          <w:rFonts w:ascii="Times New Roman" w:hAnsi="Times New Roman"/>
          <w:sz w:val="18"/>
          <w:szCs w:val="18"/>
        </w:rPr>
        <w:t>Volz E.</w:t>
      </w:r>
      <w:r w:rsidR="000A34EA">
        <w:rPr>
          <w:rFonts w:ascii="Times New Roman" w:hAnsi="Times New Roman"/>
          <w:sz w:val="18"/>
          <w:szCs w:val="18"/>
        </w:rPr>
        <w:t xml:space="preserve"> (2012).</w:t>
      </w:r>
      <w:r w:rsidRPr="00AE740D" w:rsidR="00112F6B">
        <w:rPr>
          <w:rFonts w:ascii="Times New Roman" w:hAnsi="Times New Roman"/>
          <w:sz w:val="18"/>
          <w:szCs w:val="18"/>
        </w:rPr>
        <w:t xml:space="preserve"> Innovative recruitment using online networks: lessons learned from an online study of alcohol and other drug use utilizing a web-based, respondent-driven sampling (webRDS) strategy. </w:t>
      </w:r>
      <w:r w:rsidRPr="00AE740D" w:rsidR="00112F6B">
        <w:rPr>
          <w:rFonts w:ascii="Times New Roman" w:hAnsi="Times New Roman"/>
          <w:i/>
          <w:iCs/>
          <w:sz w:val="18"/>
          <w:szCs w:val="18"/>
        </w:rPr>
        <w:t>J Stud Alcohol Drug</w:t>
      </w:r>
      <w:r w:rsidR="000A34EA">
        <w:rPr>
          <w:rFonts w:ascii="Times New Roman" w:hAnsi="Times New Roman"/>
          <w:sz w:val="18"/>
          <w:szCs w:val="18"/>
        </w:rPr>
        <w:t xml:space="preserve">s, </w:t>
      </w:r>
      <w:r w:rsidRPr="00AE740D" w:rsidR="00112F6B">
        <w:rPr>
          <w:rFonts w:ascii="Times New Roman" w:hAnsi="Times New Roman"/>
          <w:sz w:val="18"/>
          <w:szCs w:val="18"/>
        </w:rPr>
        <w:t>73(5):834–8</w:t>
      </w:r>
      <w:r w:rsidR="00F64600">
        <w:rPr>
          <w:rFonts w:ascii="Times New Roman" w:hAnsi="Times New Roman"/>
          <w:sz w:val="18"/>
          <w:szCs w:val="18"/>
        </w:rPr>
        <w:t xml:space="preserve">, </w:t>
      </w:r>
      <w:hyperlink r:id="rId24" w:history="1">
        <w:r w:rsidRPr="00D573FB" w:rsidR="005F1A7A">
          <w:rPr>
            <w:rStyle w:val="Hyperlink"/>
            <w:rFonts w:ascii="Times New Roman" w:hAnsi="Times New Roman"/>
            <w:sz w:val="18"/>
            <w:szCs w:val="18"/>
          </w:rPr>
          <w:t>https://doi.org/10.15288/jsad.2012.73.834</w:t>
        </w:r>
      </w:hyperlink>
      <w:r w:rsidR="000A34EA">
        <w:rPr>
          <w:rFonts w:ascii="Times New Roman" w:hAnsi="Times New Roman"/>
          <w:sz w:val="18"/>
          <w:szCs w:val="18"/>
        </w:rPr>
        <w:t xml:space="preserve">; </w:t>
      </w:r>
      <w:r w:rsidRPr="00AE740D" w:rsidR="00F8392A">
        <w:rPr>
          <w:rFonts w:ascii="Times New Roman" w:hAnsi="Times New Roman"/>
          <w:sz w:val="18"/>
          <w:szCs w:val="18"/>
        </w:rPr>
        <w:t>Hildebrand J</w:t>
      </w:r>
      <w:r w:rsidR="000A34EA">
        <w:rPr>
          <w:rFonts w:ascii="Times New Roman" w:hAnsi="Times New Roman"/>
          <w:sz w:val="18"/>
          <w:szCs w:val="18"/>
        </w:rPr>
        <w:t>.</w:t>
      </w:r>
      <w:r w:rsidRPr="00AE740D" w:rsidR="00F8392A">
        <w:rPr>
          <w:rFonts w:ascii="Times New Roman" w:hAnsi="Times New Roman"/>
          <w:sz w:val="18"/>
          <w:szCs w:val="18"/>
        </w:rPr>
        <w:t>, Burns S</w:t>
      </w:r>
      <w:r w:rsidR="000A34EA">
        <w:rPr>
          <w:rFonts w:ascii="Times New Roman" w:hAnsi="Times New Roman"/>
          <w:sz w:val="18"/>
          <w:szCs w:val="18"/>
        </w:rPr>
        <w:t>.</w:t>
      </w:r>
      <w:r w:rsidRPr="00AE740D" w:rsidR="00F8392A">
        <w:rPr>
          <w:rFonts w:ascii="Times New Roman" w:hAnsi="Times New Roman"/>
          <w:sz w:val="18"/>
          <w:szCs w:val="18"/>
        </w:rPr>
        <w:t>, Zhao Y</w:t>
      </w:r>
      <w:r w:rsidR="000A34EA">
        <w:rPr>
          <w:rFonts w:ascii="Times New Roman" w:hAnsi="Times New Roman"/>
          <w:sz w:val="18"/>
          <w:szCs w:val="18"/>
        </w:rPr>
        <w:t>.</w:t>
      </w:r>
      <w:r w:rsidRPr="00AE740D" w:rsidR="00F8392A">
        <w:rPr>
          <w:rFonts w:ascii="Times New Roman" w:hAnsi="Times New Roman"/>
          <w:sz w:val="18"/>
          <w:szCs w:val="18"/>
        </w:rPr>
        <w:t>, Lobo R</w:t>
      </w:r>
      <w:r w:rsidR="000A34EA">
        <w:rPr>
          <w:rFonts w:ascii="Times New Roman" w:hAnsi="Times New Roman"/>
          <w:sz w:val="18"/>
          <w:szCs w:val="18"/>
        </w:rPr>
        <w:t>.</w:t>
      </w:r>
      <w:r w:rsidRPr="00AE740D" w:rsidR="00F8392A">
        <w:rPr>
          <w:rFonts w:ascii="Times New Roman" w:hAnsi="Times New Roman"/>
          <w:sz w:val="18"/>
          <w:szCs w:val="18"/>
        </w:rPr>
        <w:t>, Howat P</w:t>
      </w:r>
      <w:r w:rsidR="000A34EA">
        <w:rPr>
          <w:rFonts w:ascii="Times New Roman" w:hAnsi="Times New Roman"/>
          <w:sz w:val="18"/>
          <w:szCs w:val="18"/>
        </w:rPr>
        <w:t>.</w:t>
      </w:r>
      <w:r w:rsidRPr="00AE740D" w:rsidR="00F8392A">
        <w:rPr>
          <w:rFonts w:ascii="Times New Roman" w:hAnsi="Times New Roman"/>
          <w:sz w:val="18"/>
          <w:szCs w:val="18"/>
        </w:rPr>
        <w:t>, Allsop S</w:t>
      </w:r>
      <w:r w:rsidR="000A34EA">
        <w:rPr>
          <w:rFonts w:ascii="Times New Roman" w:hAnsi="Times New Roman"/>
          <w:sz w:val="18"/>
          <w:szCs w:val="18"/>
        </w:rPr>
        <w:t>.</w:t>
      </w:r>
      <w:r w:rsidRPr="00AE740D" w:rsidR="00F8392A">
        <w:rPr>
          <w:rFonts w:ascii="Times New Roman" w:hAnsi="Times New Roman"/>
          <w:sz w:val="18"/>
          <w:szCs w:val="18"/>
        </w:rPr>
        <w:t>, et al.</w:t>
      </w:r>
      <w:r w:rsidR="000A34EA">
        <w:rPr>
          <w:rFonts w:ascii="Times New Roman" w:hAnsi="Times New Roman"/>
          <w:sz w:val="18"/>
          <w:szCs w:val="18"/>
        </w:rPr>
        <w:t xml:space="preserve"> (2015).</w:t>
      </w:r>
      <w:r w:rsidRPr="00AE740D" w:rsidR="00F8392A">
        <w:rPr>
          <w:rFonts w:ascii="Times New Roman" w:hAnsi="Times New Roman"/>
          <w:sz w:val="18"/>
          <w:szCs w:val="18"/>
        </w:rPr>
        <w:t xml:space="preserve"> Potential and challenges in collecting social and behavioral data on adolescent alcohol norms: comparing respondent-driven sampling and web-based respondent-driven sampling. </w:t>
      </w:r>
      <w:r w:rsidRPr="00AE740D" w:rsidR="00F8392A">
        <w:rPr>
          <w:rFonts w:ascii="Times New Roman" w:hAnsi="Times New Roman"/>
          <w:i/>
          <w:iCs/>
          <w:sz w:val="18"/>
          <w:szCs w:val="18"/>
        </w:rPr>
        <w:t>J Med Internet Res</w:t>
      </w:r>
      <w:r w:rsidR="000A34EA">
        <w:rPr>
          <w:rFonts w:ascii="Times New Roman" w:hAnsi="Times New Roman"/>
          <w:sz w:val="18"/>
          <w:szCs w:val="18"/>
        </w:rPr>
        <w:t xml:space="preserve">, </w:t>
      </w:r>
      <w:r w:rsidRPr="00AE740D" w:rsidR="00F8392A">
        <w:rPr>
          <w:rFonts w:ascii="Times New Roman" w:hAnsi="Times New Roman"/>
          <w:sz w:val="18"/>
          <w:szCs w:val="18"/>
        </w:rPr>
        <w:t>17(12</w:t>
      </w:r>
      <w:r w:rsidRPr="00AE740D" w:rsidR="00F8392A">
        <w:rPr>
          <w:rFonts w:ascii="Times New Roman" w:hAnsi="Times New Roman"/>
          <w:sz w:val="18"/>
          <w:szCs w:val="18"/>
        </w:rPr>
        <w:t>):e</w:t>
      </w:r>
      <w:r w:rsidRPr="00AE740D" w:rsidR="00F8392A">
        <w:rPr>
          <w:rFonts w:ascii="Times New Roman" w:hAnsi="Times New Roman"/>
          <w:sz w:val="18"/>
          <w:szCs w:val="18"/>
        </w:rPr>
        <w:t>285</w:t>
      </w:r>
      <w:r w:rsidR="00D357AE">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HYPERLINK "https://doi.org/10.2196/jmir.4762" \t "_blank"</w:instrText>
      </w:r>
      <w:r>
        <w:rPr>
          <w:rFonts w:ascii="Times New Roman" w:hAnsi="Times New Roman"/>
          <w:sz w:val="18"/>
          <w:szCs w:val="18"/>
        </w:rPr>
        <w:fldChar w:fldCharType="separate"/>
      </w:r>
      <w:r w:rsidRPr="008C6583">
        <w:rPr>
          <w:rStyle w:val="Hyperlink"/>
          <w:rFonts w:ascii="Times New Roman" w:hAnsi="Times New Roman"/>
          <w:sz w:val="18"/>
          <w:szCs w:val="18"/>
        </w:rPr>
        <w:t>https://doi.org/10.2196/jmir.4762</w:t>
      </w:r>
    </w:p>
    <w:p w:rsidR="005F1A7A" w:rsidRPr="00AE740D" w:rsidP="00370209" w14:paraId="7DE2329B" w14:textId="22E4432C">
      <w:pPr>
        <w:pStyle w:val="FootnoteText"/>
        <w:ind w:left="0" w:firstLine="0"/>
        <w:contextualSpacing/>
        <w:rPr>
          <w:rFonts w:ascii="Times New Roman" w:hAnsi="Times New Roman"/>
          <w:sz w:val="18"/>
          <w:szCs w:val="18"/>
        </w:rPr>
      </w:pPr>
      <w:r>
        <w:rPr>
          <w:rFonts w:ascii="Times New Roman" w:hAnsi="Times New Roman"/>
          <w:sz w:val="18"/>
          <w:szCs w:val="18"/>
        </w:rPr>
        <w:fldChar w:fldCharType="end"/>
      </w:r>
    </w:p>
  </w:footnote>
  <w:footnote w:id="30">
    <w:p w:rsidR="00073DDE" w:rsidRPr="00AE740D" w:rsidP="0028262D" w14:paraId="70258CBA" w14:textId="475E355A">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CB6C2F">
        <w:rPr>
          <w:rFonts w:ascii="Times New Roman" w:hAnsi="Times New Roman"/>
          <w:sz w:val="18"/>
          <w:szCs w:val="18"/>
        </w:rPr>
        <w:t>Johnston, L. G.,</w:t>
      </w:r>
      <w:r w:rsidR="000A34EA">
        <w:rPr>
          <w:rFonts w:ascii="Times New Roman" w:hAnsi="Times New Roman"/>
          <w:sz w:val="18"/>
          <w:szCs w:val="18"/>
        </w:rPr>
        <w:t xml:space="preserve"> and</w:t>
      </w:r>
      <w:r w:rsidRPr="00AE740D" w:rsidR="00CB6C2F">
        <w:rPr>
          <w:rFonts w:ascii="Times New Roman" w:hAnsi="Times New Roman"/>
          <w:sz w:val="18"/>
          <w:szCs w:val="18"/>
        </w:rPr>
        <w:t xml:space="preserve"> Sabin, K. (2010). Sampling Hard-to-Reach Populations with Respondent Driven Sampling. </w:t>
      </w:r>
      <w:r w:rsidRPr="00AE740D" w:rsidR="00CB6C2F">
        <w:rPr>
          <w:rFonts w:ascii="Times New Roman" w:hAnsi="Times New Roman"/>
          <w:i/>
          <w:sz w:val="18"/>
          <w:szCs w:val="18"/>
        </w:rPr>
        <w:t>Methodological Innovations Online</w:t>
      </w:r>
      <w:r w:rsidRPr="00AE740D" w:rsidR="00CB6C2F">
        <w:rPr>
          <w:rFonts w:ascii="Times New Roman" w:hAnsi="Times New Roman"/>
          <w:sz w:val="18"/>
          <w:szCs w:val="18"/>
        </w:rPr>
        <w:t>, </w:t>
      </w:r>
      <w:r w:rsidRPr="00AE740D" w:rsidR="00CB6C2F">
        <w:rPr>
          <w:rFonts w:ascii="Times New Roman" w:hAnsi="Times New Roman"/>
          <w:i/>
          <w:sz w:val="18"/>
          <w:szCs w:val="18"/>
        </w:rPr>
        <w:t>5</w:t>
      </w:r>
      <w:r w:rsidRPr="00AE740D" w:rsidR="00CB6C2F">
        <w:rPr>
          <w:rFonts w:ascii="Times New Roman" w:hAnsi="Times New Roman"/>
          <w:sz w:val="18"/>
          <w:szCs w:val="18"/>
        </w:rPr>
        <w:t>(2), 38-48. </w:t>
      </w:r>
      <w:hyperlink r:id="rId25" w:history="1">
        <w:r w:rsidRPr="00423181">
          <w:rPr>
            <w:rStyle w:val="Hyperlink"/>
            <w:rFonts w:ascii="Times New Roman" w:hAnsi="Times New Roman"/>
            <w:sz w:val="18"/>
            <w:szCs w:val="18"/>
          </w:rPr>
          <w:t>https://doi.org/10.4256/mio.2010.0017</w:t>
        </w:r>
      </w:hyperlink>
    </w:p>
  </w:footnote>
  <w:footnote w:id="31">
    <w:p w:rsidR="005911B1" w:rsidRPr="00AE740D" w:rsidP="0028262D" w14:paraId="7FD104DF" w14:textId="18935174">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Kendall, C., Kerr, L.R.F.S., Gondim, R. C., Werneck, G. L., Macena, R.H.M., Pontes, M.K., Johnston, L.G., Sabin, K. and McFarland, W. (2008)</w:t>
      </w:r>
      <w:r w:rsidR="000A34EA">
        <w:rPr>
          <w:rFonts w:ascii="Times New Roman" w:hAnsi="Times New Roman"/>
          <w:sz w:val="18"/>
          <w:szCs w:val="18"/>
        </w:rPr>
        <w:t>.</w:t>
      </w:r>
      <w:r w:rsidRPr="00AE740D">
        <w:rPr>
          <w:rFonts w:ascii="Times New Roman" w:hAnsi="Times New Roman"/>
          <w:sz w:val="18"/>
          <w:szCs w:val="18"/>
        </w:rPr>
        <w:t xml:space="preserve"> An empirical comparison of respondent-driven sampling, time location sampling, and snowball sampling for behavioral surveillance in men who have sex with men, Fortaleza, Brazil</w:t>
      </w:r>
      <w:r w:rsidRPr="00AE740D" w:rsidR="00845340">
        <w:rPr>
          <w:rFonts w:ascii="Times New Roman" w:hAnsi="Times New Roman"/>
          <w:sz w:val="18"/>
          <w:szCs w:val="18"/>
        </w:rPr>
        <w:t>.</w:t>
      </w:r>
      <w:r w:rsidRPr="00AE740D">
        <w:rPr>
          <w:rFonts w:ascii="Times New Roman" w:hAnsi="Times New Roman"/>
          <w:sz w:val="18"/>
          <w:szCs w:val="18"/>
        </w:rPr>
        <w:t xml:space="preserve"> </w:t>
      </w:r>
      <w:r w:rsidRPr="00AE740D">
        <w:rPr>
          <w:rFonts w:ascii="Times New Roman" w:hAnsi="Times New Roman"/>
          <w:i/>
          <w:sz w:val="18"/>
          <w:szCs w:val="18"/>
        </w:rPr>
        <w:t>AIDS &amp; Behavior</w:t>
      </w:r>
      <w:r w:rsidRPr="00AE740D">
        <w:rPr>
          <w:rFonts w:ascii="Times New Roman" w:hAnsi="Times New Roman"/>
          <w:sz w:val="18"/>
          <w:szCs w:val="18"/>
        </w:rPr>
        <w:t xml:space="preserve">, </w:t>
      </w:r>
      <w:r w:rsidRPr="00AE740D">
        <w:rPr>
          <w:rFonts w:ascii="Times New Roman" w:hAnsi="Times New Roman"/>
          <w:sz w:val="18"/>
          <w:szCs w:val="18"/>
        </w:rPr>
        <w:t>12</w:t>
      </w:r>
      <w:r w:rsidR="000A34EA">
        <w:rPr>
          <w:rFonts w:ascii="Times New Roman" w:hAnsi="Times New Roman"/>
          <w:sz w:val="18"/>
          <w:szCs w:val="18"/>
        </w:rPr>
        <w:t>:</w:t>
      </w:r>
      <w:r w:rsidRPr="00AE740D">
        <w:rPr>
          <w:rFonts w:ascii="Times New Roman" w:hAnsi="Times New Roman"/>
          <w:sz w:val="18"/>
          <w:szCs w:val="18"/>
        </w:rPr>
        <w:t>S</w:t>
      </w:r>
      <w:r w:rsidRPr="00AE740D">
        <w:rPr>
          <w:rFonts w:ascii="Times New Roman" w:hAnsi="Times New Roman"/>
          <w:sz w:val="18"/>
          <w:szCs w:val="18"/>
        </w:rPr>
        <w:t>97-S104</w:t>
      </w:r>
      <w:r w:rsidR="003B20EA">
        <w:rPr>
          <w:rFonts w:ascii="Times New Roman" w:hAnsi="Times New Roman"/>
          <w:sz w:val="18"/>
          <w:szCs w:val="18"/>
        </w:rPr>
        <w:t xml:space="preserve">, </w:t>
      </w:r>
      <w:hyperlink r:id="rId26" w:history="1">
        <w:r w:rsidRPr="00D573FB">
          <w:rPr>
            <w:rStyle w:val="Hyperlink"/>
            <w:rFonts w:ascii="Times New Roman" w:hAnsi="Times New Roman"/>
            <w:sz w:val="18"/>
            <w:szCs w:val="18"/>
          </w:rPr>
          <w:t>https://doi.org/10.1007/s10461-008-9390-4</w:t>
        </w:r>
      </w:hyperlink>
    </w:p>
  </w:footnote>
  <w:footnote w:id="32">
    <w:p w:rsidR="00C9070A" w:rsidRPr="00AE740D" w:rsidP="0028262D" w14:paraId="5A1BFBCA" w14:textId="09AEE66A">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7B0188">
        <w:rPr>
          <w:rFonts w:ascii="Times New Roman" w:hAnsi="Times New Roman"/>
          <w:sz w:val="18"/>
          <w:szCs w:val="18"/>
        </w:rPr>
        <w:t>Helms et al., (2021)</w:t>
      </w:r>
    </w:p>
  </w:footnote>
  <w:footnote w:id="33">
    <w:p w:rsidR="005911B1" w:rsidRPr="00AE740D" w:rsidP="0028262D" w14:paraId="5E6D3CE2" w14:textId="54DB2967">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DD6695">
        <w:rPr>
          <w:rFonts w:ascii="Times New Roman" w:hAnsi="Times New Roman"/>
          <w:sz w:val="18"/>
          <w:szCs w:val="18"/>
        </w:rPr>
        <w:t>Teitcher J</w:t>
      </w:r>
      <w:r w:rsidR="00EA13C5">
        <w:rPr>
          <w:rFonts w:ascii="Times New Roman" w:hAnsi="Times New Roman"/>
          <w:sz w:val="18"/>
          <w:szCs w:val="18"/>
        </w:rPr>
        <w:t>.</w:t>
      </w:r>
      <w:r w:rsidRPr="00AE740D" w:rsidR="00DD6695">
        <w:rPr>
          <w:rFonts w:ascii="Times New Roman" w:hAnsi="Times New Roman"/>
          <w:sz w:val="18"/>
          <w:szCs w:val="18"/>
        </w:rPr>
        <w:t>E</w:t>
      </w:r>
      <w:r w:rsidR="00EA13C5">
        <w:rPr>
          <w:rFonts w:ascii="Times New Roman" w:hAnsi="Times New Roman"/>
          <w:sz w:val="18"/>
          <w:szCs w:val="18"/>
        </w:rPr>
        <w:t>.</w:t>
      </w:r>
      <w:r w:rsidRPr="00AE740D" w:rsidR="00DD6695">
        <w:rPr>
          <w:rFonts w:ascii="Times New Roman" w:hAnsi="Times New Roman"/>
          <w:sz w:val="18"/>
          <w:szCs w:val="18"/>
        </w:rPr>
        <w:t>, Bockting W</w:t>
      </w:r>
      <w:r w:rsidR="00EA13C5">
        <w:rPr>
          <w:rFonts w:ascii="Times New Roman" w:hAnsi="Times New Roman"/>
          <w:sz w:val="18"/>
          <w:szCs w:val="18"/>
        </w:rPr>
        <w:t>.</w:t>
      </w:r>
      <w:r w:rsidRPr="00AE740D" w:rsidR="00DD6695">
        <w:rPr>
          <w:rFonts w:ascii="Times New Roman" w:hAnsi="Times New Roman"/>
          <w:sz w:val="18"/>
          <w:szCs w:val="18"/>
        </w:rPr>
        <w:t>O</w:t>
      </w:r>
      <w:r w:rsidR="00EA13C5">
        <w:rPr>
          <w:rFonts w:ascii="Times New Roman" w:hAnsi="Times New Roman"/>
          <w:sz w:val="18"/>
          <w:szCs w:val="18"/>
        </w:rPr>
        <w:t>.</w:t>
      </w:r>
      <w:r w:rsidRPr="00AE740D" w:rsidR="00DD6695">
        <w:rPr>
          <w:rFonts w:ascii="Times New Roman" w:hAnsi="Times New Roman"/>
          <w:sz w:val="18"/>
          <w:szCs w:val="18"/>
        </w:rPr>
        <w:t>, Bauermeister J</w:t>
      </w:r>
      <w:r w:rsidR="00EA13C5">
        <w:rPr>
          <w:rFonts w:ascii="Times New Roman" w:hAnsi="Times New Roman"/>
          <w:sz w:val="18"/>
          <w:szCs w:val="18"/>
        </w:rPr>
        <w:t>.</w:t>
      </w:r>
      <w:r w:rsidRPr="00AE740D" w:rsidR="00DD6695">
        <w:rPr>
          <w:rFonts w:ascii="Times New Roman" w:hAnsi="Times New Roman"/>
          <w:sz w:val="18"/>
          <w:szCs w:val="18"/>
        </w:rPr>
        <w:t>A</w:t>
      </w:r>
      <w:r w:rsidR="00EA13C5">
        <w:rPr>
          <w:rFonts w:ascii="Times New Roman" w:hAnsi="Times New Roman"/>
          <w:sz w:val="18"/>
          <w:szCs w:val="18"/>
        </w:rPr>
        <w:t>.</w:t>
      </w:r>
      <w:r w:rsidRPr="00AE740D" w:rsidR="00DD6695">
        <w:rPr>
          <w:rFonts w:ascii="Times New Roman" w:hAnsi="Times New Roman"/>
          <w:sz w:val="18"/>
          <w:szCs w:val="18"/>
        </w:rPr>
        <w:t>, Hoefer C</w:t>
      </w:r>
      <w:r w:rsidR="00EA13C5">
        <w:rPr>
          <w:rFonts w:ascii="Times New Roman" w:hAnsi="Times New Roman"/>
          <w:sz w:val="18"/>
          <w:szCs w:val="18"/>
        </w:rPr>
        <w:t>.</w:t>
      </w:r>
      <w:r w:rsidRPr="00AE740D" w:rsidR="00DD6695">
        <w:rPr>
          <w:rFonts w:ascii="Times New Roman" w:hAnsi="Times New Roman"/>
          <w:sz w:val="18"/>
          <w:szCs w:val="18"/>
        </w:rPr>
        <w:t>J</w:t>
      </w:r>
      <w:r w:rsidR="00EA13C5">
        <w:rPr>
          <w:rFonts w:ascii="Times New Roman" w:hAnsi="Times New Roman"/>
          <w:sz w:val="18"/>
          <w:szCs w:val="18"/>
        </w:rPr>
        <w:t>.</w:t>
      </w:r>
      <w:r w:rsidRPr="00AE740D" w:rsidR="00DD6695">
        <w:rPr>
          <w:rFonts w:ascii="Times New Roman" w:hAnsi="Times New Roman"/>
          <w:sz w:val="18"/>
          <w:szCs w:val="18"/>
        </w:rPr>
        <w:t>, Miner M</w:t>
      </w:r>
      <w:r w:rsidR="00EA13C5">
        <w:rPr>
          <w:rFonts w:ascii="Times New Roman" w:hAnsi="Times New Roman"/>
          <w:sz w:val="18"/>
          <w:szCs w:val="18"/>
        </w:rPr>
        <w:t>.</w:t>
      </w:r>
      <w:r w:rsidRPr="00AE740D" w:rsidR="00DD6695">
        <w:rPr>
          <w:rFonts w:ascii="Times New Roman" w:hAnsi="Times New Roman"/>
          <w:sz w:val="18"/>
          <w:szCs w:val="18"/>
        </w:rPr>
        <w:t>H</w:t>
      </w:r>
      <w:r w:rsidR="00EA13C5">
        <w:rPr>
          <w:rFonts w:ascii="Times New Roman" w:hAnsi="Times New Roman"/>
          <w:sz w:val="18"/>
          <w:szCs w:val="18"/>
        </w:rPr>
        <w:t>.</w:t>
      </w:r>
      <w:r w:rsidRPr="00AE740D" w:rsidR="00DD6695">
        <w:rPr>
          <w:rFonts w:ascii="Times New Roman" w:hAnsi="Times New Roman"/>
          <w:sz w:val="18"/>
          <w:szCs w:val="18"/>
        </w:rPr>
        <w:t>, Klitzman R</w:t>
      </w:r>
      <w:r w:rsidR="00EA13C5">
        <w:rPr>
          <w:rFonts w:ascii="Times New Roman" w:hAnsi="Times New Roman"/>
          <w:sz w:val="18"/>
          <w:szCs w:val="18"/>
        </w:rPr>
        <w:t>.</w:t>
      </w:r>
      <w:r w:rsidRPr="00AE740D" w:rsidR="00DD6695">
        <w:rPr>
          <w:rFonts w:ascii="Times New Roman" w:hAnsi="Times New Roman"/>
          <w:sz w:val="18"/>
          <w:szCs w:val="18"/>
        </w:rPr>
        <w:t>L.</w:t>
      </w:r>
      <w:r w:rsidR="00EA13C5">
        <w:rPr>
          <w:rFonts w:ascii="Times New Roman" w:hAnsi="Times New Roman"/>
          <w:sz w:val="18"/>
          <w:szCs w:val="18"/>
        </w:rPr>
        <w:t xml:space="preserve"> (2015).</w:t>
      </w:r>
      <w:r w:rsidRPr="00AE740D" w:rsidR="00DD6695">
        <w:rPr>
          <w:rFonts w:ascii="Times New Roman" w:hAnsi="Times New Roman"/>
          <w:sz w:val="18"/>
          <w:szCs w:val="18"/>
        </w:rPr>
        <w:t xml:space="preserve"> Detecting, preventing, and responding to "fraudsters" in internet research: ethics and tradeoffs. </w:t>
      </w:r>
      <w:r w:rsidRPr="00AE740D" w:rsidR="00DD6695">
        <w:rPr>
          <w:rFonts w:ascii="Times New Roman" w:hAnsi="Times New Roman"/>
          <w:i/>
          <w:iCs/>
          <w:sz w:val="18"/>
          <w:szCs w:val="18"/>
        </w:rPr>
        <w:t>J Law Med Ethics</w:t>
      </w:r>
      <w:r w:rsidR="00EA13C5">
        <w:rPr>
          <w:rFonts w:ascii="Times New Roman" w:hAnsi="Times New Roman"/>
          <w:sz w:val="18"/>
          <w:szCs w:val="18"/>
        </w:rPr>
        <w:t xml:space="preserve">, </w:t>
      </w:r>
      <w:r w:rsidRPr="00AE740D" w:rsidR="00DD6695">
        <w:rPr>
          <w:rFonts w:ascii="Times New Roman" w:hAnsi="Times New Roman"/>
          <w:sz w:val="18"/>
          <w:szCs w:val="18"/>
        </w:rPr>
        <w:t>43(1):116-33</w:t>
      </w:r>
      <w:r w:rsidR="003B20EA">
        <w:rPr>
          <w:rFonts w:ascii="Times New Roman" w:hAnsi="Times New Roman"/>
          <w:sz w:val="18"/>
          <w:szCs w:val="18"/>
        </w:rPr>
        <w:t>,</w:t>
      </w:r>
      <w:r>
        <w:rPr>
          <w:rFonts w:ascii="Times New Roman" w:hAnsi="Times New Roman"/>
          <w:sz w:val="18"/>
          <w:szCs w:val="18"/>
        </w:rPr>
        <w:t xml:space="preserve"> </w:t>
      </w:r>
      <w:hyperlink r:id="rId27" w:history="1">
        <w:r w:rsidRPr="00D573FB" w:rsidR="004665CF">
          <w:rPr>
            <w:rStyle w:val="Hyperlink"/>
            <w:rFonts w:ascii="Times New Roman" w:hAnsi="Times New Roman"/>
            <w:sz w:val="18"/>
            <w:szCs w:val="18"/>
          </w:rPr>
          <w:t>https://doi.org/10.1111/jlme.12200</w:t>
        </w:r>
      </w:hyperlink>
    </w:p>
  </w:footnote>
  <w:footnote w:id="34">
    <w:p w:rsidR="005E2F96" w:rsidRPr="00BF43FE" w:rsidP="0028262D" w14:paraId="13FA2C6F" w14:textId="32F04492">
      <w:pPr>
        <w:pStyle w:val="FootnoteText"/>
        <w:spacing w:before="0" w:line="240" w:lineRule="auto"/>
        <w:ind w:left="0" w:firstLine="0"/>
        <w:contextualSpacing/>
        <w:rPr>
          <w:rFonts w:ascii="Times New Roman" w:hAnsi="Times New Roman"/>
          <w:sz w:val="18"/>
          <w:szCs w:val="18"/>
        </w:rPr>
      </w:pPr>
      <w:r w:rsidRPr="00BF43FE">
        <w:rPr>
          <w:rStyle w:val="FootnoteReference"/>
          <w:rFonts w:ascii="Times New Roman" w:hAnsi="Times New Roman"/>
          <w:sz w:val="18"/>
          <w:szCs w:val="18"/>
        </w:rPr>
        <w:footnoteRef/>
      </w:r>
      <w:r w:rsidRPr="00BF43FE">
        <w:rPr>
          <w:rFonts w:ascii="Times New Roman" w:hAnsi="Times New Roman"/>
          <w:sz w:val="18"/>
          <w:szCs w:val="18"/>
        </w:rPr>
        <w:t xml:space="preserve"> </w:t>
      </w:r>
      <w:r w:rsidRPr="00BF43FE" w:rsidR="0065166D">
        <w:rPr>
          <w:rFonts w:ascii="Times New Roman" w:hAnsi="Times New Roman"/>
          <w:sz w:val="18"/>
          <w:szCs w:val="18"/>
        </w:rPr>
        <w:t>This calculation is based on the CPS.</w:t>
      </w:r>
    </w:p>
  </w:footnote>
  <w:footnote w:id="35">
    <w:p w:rsidR="00E52F47" w:rsidRPr="00AE740D" w:rsidP="0028262D" w14:paraId="5BEA2B35" w14:textId="34426D89">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w:t>
      </w:r>
      <w:r w:rsidRPr="00AE740D" w:rsidR="0088747B">
        <w:rPr>
          <w:rFonts w:ascii="Times New Roman" w:hAnsi="Times New Roman"/>
          <w:sz w:val="18"/>
          <w:szCs w:val="18"/>
        </w:rPr>
        <w:t xml:space="preserve">We assume that </w:t>
      </w:r>
      <w:r w:rsidRPr="00AE740D" w:rsidR="00774EE0">
        <w:rPr>
          <w:rFonts w:ascii="Times New Roman" w:hAnsi="Times New Roman"/>
          <w:sz w:val="18"/>
          <w:szCs w:val="18"/>
        </w:rPr>
        <w:t>50% of the ABS and RDS respondents request e-coupons and that, of these, 70%</w:t>
      </w:r>
      <w:r w:rsidRPr="00AE740D" w:rsidR="00CB659A">
        <w:rPr>
          <w:rFonts w:ascii="Times New Roman" w:hAnsi="Times New Roman"/>
          <w:sz w:val="18"/>
          <w:szCs w:val="18"/>
        </w:rPr>
        <w:t xml:space="preserve"> have at least one e-coupon that is not redeemed and 40% respond to the follow-up survey.</w:t>
      </w:r>
    </w:p>
  </w:footnote>
  <w:footnote w:id="36">
    <w:p w:rsidR="00BE5E80" w:rsidRPr="00AE740D" w:rsidP="0028262D" w14:paraId="42BC2C2B" w14:textId="180BC9E4">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Total costs include the full cost of instrument design and data collection activities. Annual costs include the total costs annualized over a three</w:t>
      </w:r>
      <w:r w:rsidRPr="00AE740D" w:rsidR="00D376DD">
        <w:rPr>
          <w:rFonts w:ascii="Times New Roman" w:hAnsi="Times New Roman"/>
          <w:sz w:val="18"/>
          <w:szCs w:val="18"/>
        </w:rPr>
        <w:t>-</w:t>
      </w:r>
      <w:r w:rsidRPr="00AE740D">
        <w:rPr>
          <w:rFonts w:ascii="Times New Roman" w:hAnsi="Times New Roman"/>
          <w:sz w:val="18"/>
          <w:szCs w:val="18"/>
        </w:rPr>
        <w:t xml:space="preserve">year period. </w:t>
      </w:r>
    </w:p>
  </w:footnote>
  <w:footnote w:id="37">
    <w:p w:rsidR="00BE5E80" w:rsidRPr="00AE740D" w:rsidP="0028262D" w14:paraId="28A6B146" w14:textId="5DD34B91">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sidR="00D376DD">
        <w:rPr>
          <w:rFonts w:ascii="Times New Roman" w:hAnsi="Times New Roman"/>
          <w:sz w:val="18"/>
          <w:szCs w:val="18"/>
        </w:rPr>
        <w:t xml:space="preserve"> </w:t>
      </w:r>
      <w:r w:rsidRPr="00AE740D" w:rsidR="00615E5A">
        <w:rPr>
          <w:rFonts w:ascii="Times New Roman" w:hAnsi="Times New Roman"/>
          <w:sz w:val="18"/>
          <w:szCs w:val="18"/>
        </w:rPr>
        <w:t>(</w:t>
      </w:r>
      <w:r w:rsidRPr="00AE740D" w:rsidR="009E500A">
        <w:rPr>
          <w:rFonts w:ascii="Times New Roman" w:hAnsi="Times New Roman"/>
          <w:sz w:val="18"/>
          <w:szCs w:val="18"/>
        </w:rPr>
        <w:t>$2,</w:t>
      </w:r>
      <w:r w:rsidRPr="00AE740D" w:rsidR="004C72A7">
        <w:rPr>
          <w:rFonts w:ascii="Times New Roman" w:hAnsi="Times New Roman"/>
          <w:sz w:val="18"/>
          <w:szCs w:val="18"/>
        </w:rPr>
        <w:t>223,136</w:t>
      </w:r>
      <w:r w:rsidRPr="00AE740D" w:rsidR="009E500A">
        <w:rPr>
          <w:rFonts w:ascii="Times New Roman" w:hAnsi="Times New Roman"/>
          <w:sz w:val="18"/>
          <w:szCs w:val="18"/>
        </w:rPr>
        <w:t>+</w:t>
      </w:r>
      <w:r w:rsidRPr="00AE740D" w:rsidR="009E500A">
        <w:rPr>
          <w:rFonts w:ascii="Times New Roman" w:eastAsia="Times New Roman" w:hAnsi="Times New Roman"/>
          <w:color w:val="000000"/>
          <w:sz w:val="18"/>
          <w:szCs w:val="18"/>
        </w:rPr>
        <w:t>$392,318</w:t>
      </w:r>
      <w:r w:rsidRPr="00AE740D">
        <w:rPr>
          <w:rFonts w:ascii="Times New Roman" w:hAnsi="Times New Roman"/>
          <w:sz w:val="18"/>
          <w:szCs w:val="18"/>
        </w:rPr>
        <w:t>)/3=</w:t>
      </w:r>
      <w:r w:rsidRPr="00AE740D" w:rsidR="009E500A">
        <w:rPr>
          <w:rFonts w:ascii="Times New Roman" w:eastAsia="Times New Roman" w:hAnsi="Times New Roman"/>
          <w:color w:val="000000"/>
          <w:sz w:val="18"/>
          <w:szCs w:val="18"/>
        </w:rPr>
        <w:t>$871,818</w:t>
      </w:r>
    </w:p>
  </w:footnote>
  <w:footnote w:id="38">
    <w:p w:rsidR="003B20EA" w:rsidRPr="00AE740D" w:rsidP="0028262D" w14:paraId="0394EEBD" w14:textId="2C396663">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See Office of Personnel Management </w:t>
      </w:r>
      <w:r w:rsidRPr="00AE740D" w:rsidR="00082A50">
        <w:rPr>
          <w:rFonts w:ascii="Times New Roman" w:hAnsi="Times New Roman"/>
          <w:sz w:val="18"/>
          <w:szCs w:val="18"/>
        </w:rPr>
        <w:t>20</w:t>
      </w:r>
      <w:r w:rsidR="00082A50">
        <w:rPr>
          <w:rFonts w:ascii="Times New Roman" w:hAnsi="Times New Roman"/>
          <w:sz w:val="18"/>
          <w:szCs w:val="18"/>
        </w:rPr>
        <w:t>2</w:t>
      </w:r>
      <w:r w:rsidRPr="00AE740D" w:rsidR="00082A50">
        <w:rPr>
          <w:rFonts w:ascii="Times New Roman" w:hAnsi="Times New Roman"/>
          <w:sz w:val="18"/>
          <w:szCs w:val="18"/>
        </w:rPr>
        <w:t xml:space="preserve">4 </w:t>
      </w:r>
      <w:r w:rsidRPr="00AE740D">
        <w:rPr>
          <w:rFonts w:ascii="Times New Roman" w:hAnsi="Times New Roman"/>
          <w:sz w:val="18"/>
          <w:szCs w:val="18"/>
        </w:rPr>
        <w:t xml:space="preserve">Hourly Salary Table: </w:t>
      </w:r>
      <w:hyperlink r:id="rId28" w:history="1">
        <w:r w:rsidRPr="00596658">
          <w:rPr>
            <w:rStyle w:val="Hyperlink"/>
            <w:rFonts w:ascii="Times New Roman" w:hAnsi="Times New Roman"/>
            <w:sz w:val="18"/>
            <w:szCs w:val="18"/>
          </w:rPr>
          <w:t>https://www.opm.gov/policy-data-oversight/pay-leave/salaries-wages/salary-tables/pdf/2024/DCB_h.pdf</w:t>
        </w:r>
      </w:hyperlink>
    </w:p>
  </w:footnote>
  <w:footnote w:id="39">
    <w:p w:rsidR="00400372" w:rsidRPr="00AE740D" w:rsidP="0028262D" w14:paraId="4B7BF58D" w14:textId="0E06E0C8">
      <w:pPr>
        <w:pStyle w:val="FootnoteText"/>
        <w:spacing w:before="0" w:line="240" w:lineRule="auto"/>
        <w:ind w:left="0" w:firstLine="0"/>
        <w:contextualSpacing/>
        <w:rPr>
          <w:rFonts w:ascii="Times New Roman" w:hAnsi="Times New Roman"/>
          <w:sz w:val="18"/>
          <w:szCs w:val="18"/>
        </w:rPr>
      </w:pPr>
      <w:r w:rsidRPr="00AE740D">
        <w:rPr>
          <w:rStyle w:val="FootnoteReference"/>
          <w:rFonts w:ascii="Times New Roman" w:hAnsi="Times New Roman"/>
          <w:sz w:val="18"/>
          <w:szCs w:val="18"/>
        </w:rPr>
        <w:footnoteRef/>
      </w:r>
      <w:r w:rsidRPr="00AE740D">
        <w:rPr>
          <w:rFonts w:ascii="Times New Roman" w:hAnsi="Times New Roman"/>
          <w:sz w:val="18"/>
          <w:szCs w:val="18"/>
        </w:rPr>
        <w:t xml:space="preserve"> $73.47 x 1.6 x 200 hours = $</w:t>
      </w:r>
      <w:r w:rsidRPr="00AE740D" w:rsidR="00D856EE">
        <w:rPr>
          <w:rFonts w:ascii="Times New Roman" w:hAnsi="Times New Roman"/>
          <w:sz w:val="18"/>
          <w:szCs w:val="18"/>
        </w:rPr>
        <w:t>23,510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04A9" w:rsidRPr="006626FF" w:rsidP="00FA04A9" w14:paraId="5FA53793" w14:textId="1BB1FF47">
    <w:pPr>
      <w:pStyle w:val="Header"/>
    </w:pPr>
    <w:r>
      <w:t>National Worker Survey</w:t>
    </w:r>
  </w:p>
  <w:p w:rsidR="00F34F01" w:rsidP="00711D94" w14:paraId="6051F4E4" w14:textId="3C6F6875">
    <w:pPr>
      <w:pStyle w:val="Header"/>
    </w:pPr>
    <w:r>
      <w:t>OMB Control Number</w:t>
    </w:r>
    <w:r w:rsidR="00B62EA4">
      <w:t>:</w:t>
    </w:r>
    <w:r>
      <w:t xml:space="preserve"> </w:t>
    </w:r>
    <w:r w:rsidR="00F85408">
      <w:t>1290-0NEW</w:t>
    </w:r>
  </w:p>
  <w:p w:rsidR="00F34F01" w:rsidRPr="00F8164B" w:rsidP="00711D94" w14:paraId="432CBDA6" w14:textId="43E55E37">
    <w:pPr>
      <w:pStyle w:val="Header"/>
    </w:pPr>
    <w:r>
      <w:t xml:space="preserve">OMB Expiration Date: </w:t>
    </w:r>
    <w:r w:rsidR="00F85408">
      <w:t>TBD</w:t>
    </w:r>
  </w:p>
  <w:p w:rsidR="00FA04A9" w14:paraId="0E27C4E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5B8BE9B"/>
    <w:multiLevelType w:val="singleLevel"/>
    <w:tmpl w:val="6C7283F9"/>
    <w:lvl w:ilvl="0">
      <w:start w:val="0"/>
      <w:numFmt w:val="bullet"/>
      <w:lvlText w:val="·"/>
      <w:lvlJc w:val="left"/>
      <w:pPr>
        <w:tabs>
          <w:tab w:val="num" w:pos="1512"/>
        </w:tabs>
        <w:ind w:left="1080"/>
      </w:pPr>
      <w:rPr>
        <w:rFonts w:ascii="Symbol" w:hAnsi="Symbol" w:cs="Symbol" w:hint="default"/>
        <w:color w:val="000000"/>
      </w:rPr>
    </w:lvl>
  </w:abstractNum>
  <w:abstractNum w:abstractNumId="2">
    <w:nsid w:val="07F91088"/>
    <w:multiLevelType w:val="hybridMultilevel"/>
    <w:tmpl w:val="B3843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7B165F"/>
    <w:multiLevelType w:val="hybridMultilevel"/>
    <w:tmpl w:val="3E6E660C"/>
    <w:lvl w:ilvl="0">
      <w:start w:val="1"/>
      <w:numFmt w:val="bullet"/>
      <w:lvlText w:val=""/>
      <w:lvlJc w:val="left"/>
      <w:pPr>
        <w:ind w:left="1872" w:hanging="360"/>
      </w:pPr>
      <w:rPr>
        <w:rFonts w:ascii="Symbol" w:hAnsi="Symbol" w:hint="default"/>
      </w:rPr>
    </w:lvl>
    <w:lvl w:ilvl="1" w:tentative="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4">
    <w:nsid w:val="09604CE9"/>
    <w:multiLevelType w:val="hybridMultilevel"/>
    <w:tmpl w:val="B91AC9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E475400"/>
    <w:multiLevelType w:val="hybridMultilevel"/>
    <w:tmpl w:val="89A60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12510F"/>
    <w:multiLevelType w:val="hybridMultilevel"/>
    <w:tmpl w:val="93C8FA18"/>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5D36C1"/>
    <w:multiLevelType w:val="hybridMultilevel"/>
    <w:tmpl w:val="C9AAFB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E272F80"/>
    <w:multiLevelType w:val="hybridMultilevel"/>
    <w:tmpl w:val="AFEC8A46"/>
    <w:lvl w:ilvl="0">
      <w:start w:val="1"/>
      <w:numFmt w:val="decimal"/>
      <w:pStyle w:val="N3-3rdBullet"/>
      <w:lvlText w:val="%1."/>
      <w:lvlJc w:val="left"/>
      <w:pPr>
        <w:tabs>
          <w:tab w:val="num" w:pos="2304"/>
        </w:tabs>
        <w:ind w:left="2304" w:hanging="576"/>
      </w:pPr>
      <w:rPr>
        <w:rFonts w:ascii="Garamond" w:hAnsi="Garamond"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0386711"/>
    <w:multiLevelType w:val="hybridMultilevel"/>
    <w:tmpl w:val="D058505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C9581E"/>
    <w:multiLevelType w:val="hybridMultilevel"/>
    <w:tmpl w:val="6AF0F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095A1E"/>
    <w:multiLevelType w:val="hybridMultilevel"/>
    <w:tmpl w:val="E38861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08DE816E"/>
    <w:lvl w:ilvl="0">
      <w:start w:val="1"/>
      <w:numFmt w:val="decimal"/>
      <w:pStyle w:val="NumberedBullet"/>
      <w:lvlText w:val="%1."/>
      <w:lvlJc w:val="left"/>
      <w:pPr>
        <w:tabs>
          <w:tab w:val="num" w:pos="2880"/>
        </w:tabs>
        <w:ind w:left="2880" w:hanging="360"/>
      </w:pPr>
    </w:lvl>
  </w:abstractNum>
  <w:abstractNum w:abstractNumId="18">
    <w:nsid w:val="56AD62C8"/>
    <w:multiLevelType w:val="hybridMultilevel"/>
    <w:tmpl w:val="B8DE8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68542601"/>
    <w:multiLevelType w:val="multilevel"/>
    <w:tmpl w:val="2F52B792"/>
    <w:lvl w:ilvl="0">
      <w:start w:val="1"/>
      <w:numFmt w:val="decimal"/>
      <w:pStyle w:val="NL-1stNumberedBullet"/>
      <w:lvlText w:val="%1."/>
      <w:lvlJc w:val="left"/>
      <w:pPr>
        <w:ind w:left="576" w:hanging="360"/>
      </w:pPr>
      <w:rPr>
        <w:rFonts w:asciiTheme="minorHAnsi" w:hAnsiTheme="minorHAnsi" w:cstheme="minorHAnsi" w:hint="default"/>
        <w:color w:val="00467F"/>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BC1859"/>
    <w:multiLevelType w:val="hybridMultilevel"/>
    <w:tmpl w:val="01EC0316"/>
    <w:lvl w:ilvl="0">
      <w:start w:val="1"/>
      <w:numFmt w:val="bullet"/>
      <w:pStyle w:val="TB-Table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4">
    <w:nsid w:val="75CA2106"/>
    <w:multiLevelType w:val="hybridMultilevel"/>
    <w:tmpl w:val="14184A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A4A040"/>
    <w:multiLevelType w:val="singleLevel"/>
    <w:tmpl w:val="5C5E7707"/>
    <w:lvl w:ilvl="0">
      <w:start w:val="0"/>
      <w:numFmt w:val="bullet"/>
      <w:lvlText w:val="·"/>
      <w:lvlJc w:val="left"/>
      <w:pPr>
        <w:tabs>
          <w:tab w:val="num" w:pos="1512"/>
        </w:tabs>
        <w:ind w:left="1080"/>
      </w:pPr>
      <w:rPr>
        <w:rFonts w:ascii="Symbol" w:hAnsi="Symbol" w:cs="Symbol" w:hint="default"/>
        <w:color w:val="000000"/>
      </w:rPr>
    </w:lvl>
  </w:abstractNum>
  <w:abstractNum w:abstractNumId="2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1793748289">
    <w:abstractNumId w:val="12"/>
  </w:num>
  <w:num w:numId="2" w16cid:durableId="1794783440">
    <w:abstractNumId w:val="13"/>
  </w:num>
  <w:num w:numId="3" w16cid:durableId="137576467">
    <w:abstractNumId w:val="5"/>
  </w:num>
  <w:num w:numId="4" w16cid:durableId="525482164">
    <w:abstractNumId w:val="6"/>
  </w:num>
  <w:num w:numId="5" w16cid:durableId="2019042361">
    <w:abstractNumId w:val="22"/>
  </w:num>
  <w:num w:numId="6" w16cid:durableId="648635302">
    <w:abstractNumId w:val="2"/>
  </w:num>
  <w:num w:numId="7" w16cid:durableId="1997685626">
    <w:abstractNumId w:val="23"/>
  </w:num>
  <w:num w:numId="8" w16cid:durableId="510754546">
    <w:abstractNumId w:val="3"/>
  </w:num>
  <w:num w:numId="9" w16cid:durableId="573902119">
    <w:abstractNumId w:val="17"/>
    <w:lvlOverride w:ilvl="0">
      <w:startOverride w:val="1"/>
    </w:lvlOverride>
  </w:num>
  <w:num w:numId="10" w16cid:durableId="1065567310">
    <w:abstractNumId w:val="26"/>
  </w:num>
  <w:num w:numId="11" w16cid:durableId="1090472217">
    <w:abstractNumId w:val="11"/>
  </w:num>
  <w:num w:numId="12" w16cid:durableId="1164735216">
    <w:abstractNumId w:val="20"/>
  </w:num>
  <w:num w:numId="13" w16cid:durableId="1670909890">
    <w:abstractNumId w:val="4"/>
  </w:num>
  <w:num w:numId="14" w16cid:durableId="1405253905">
    <w:abstractNumId w:val="25"/>
  </w:num>
  <w:num w:numId="15" w16cid:durableId="388961588">
    <w:abstractNumId w:val="1"/>
  </w:num>
  <w:num w:numId="16" w16cid:durableId="1304431875">
    <w:abstractNumId w:val="8"/>
  </w:num>
  <w:num w:numId="17" w16cid:durableId="3238248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1423707">
    <w:abstractNumId w:val="21"/>
  </w:num>
  <w:num w:numId="19" w16cid:durableId="1847556806">
    <w:abstractNumId w:val="24"/>
  </w:num>
  <w:num w:numId="20" w16cid:durableId="693502339">
    <w:abstractNumId w:val="9"/>
  </w:num>
  <w:num w:numId="21" w16cid:durableId="1032148108">
    <w:abstractNumId w:val="15"/>
  </w:num>
  <w:num w:numId="22" w16cid:durableId="1036933578">
    <w:abstractNumId w:val="18"/>
  </w:num>
  <w:num w:numId="23" w16cid:durableId="267006737">
    <w:abstractNumId w:val="16"/>
  </w:num>
  <w:num w:numId="24" w16cid:durableId="1999074265">
    <w:abstractNumId w:val="7"/>
  </w:num>
  <w:num w:numId="25" w16cid:durableId="1637757583">
    <w:abstractNumId w:val="14"/>
  </w:num>
  <w:num w:numId="26" w16cid:durableId="149402614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7" w16cid:durableId="77772514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71"/>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96"/>
    <w:rsid w:val="000005F7"/>
    <w:rsid w:val="00000790"/>
    <w:rsid w:val="00000B3B"/>
    <w:rsid w:val="00000C19"/>
    <w:rsid w:val="00000ECE"/>
    <w:rsid w:val="0000132B"/>
    <w:rsid w:val="00001E0F"/>
    <w:rsid w:val="000023E1"/>
    <w:rsid w:val="00004222"/>
    <w:rsid w:val="000044FB"/>
    <w:rsid w:val="000050AC"/>
    <w:rsid w:val="000065C3"/>
    <w:rsid w:val="00006B9C"/>
    <w:rsid w:val="000073DB"/>
    <w:rsid w:val="000102FA"/>
    <w:rsid w:val="000104D2"/>
    <w:rsid w:val="00011B84"/>
    <w:rsid w:val="00012266"/>
    <w:rsid w:val="0001275A"/>
    <w:rsid w:val="00012E40"/>
    <w:rsid w:val="000141BB"/>
    <w:rsid w:val="00014A2B"/>
    <w:rsid w:val="000153FB"/>
    <w:rsid w:val="00015875"/>
    <w:rsid w:val="00015CAF"/>
    <w:rsid w:val="00015EF3"/>
    <w:rsid w:val="00016574"/>
    <w:rsid w:val="00016C36"/>
    <w:rsid w:val="00020298"/>
    <w:rsid w:val="00020421"/>
    <w:rsid w:val="00020CF8"/>
    <w:rsid w:val="00021901"/>
    <w:rsid w:val="000222C5"/>
    <w:rsid w:val="000238D1"/>
    <w:rsid w:val="00025B9E"/>
    <w:rsid w:val="00030378"/>
    <w:rsid w:val="00030385"/>
    <w:rsid w:val="0003074B"/>
    <w:rsid w:val="000312C5"/>
    <w:rsid w:val="00031CA8"/>
    <w:rsid w:val="0003206C"/>
    <w:rsid w:val="00032650"/>
    <w:rsid w:val="00032919"/>
    <w:rsid w:val="00034A48"/>
    <w:rsid w:val="00035EFD"/>
    <w:rsid w:val="00036599"/>
    <w:rsid w:val="0004031A"/>
    <w:rsid w:val="000405C0"/>
    <w:rsid w:val="00040C75"/>
    <w:rsid w:val="00042D5E"/>
    <w:rsid w:val="00043228"/>
    <w:rsid w:val="00043EBA"/>
    <w:rsid w:val="00044AB1"/>
    <w:rsid w:val="000454CE"/>
    <w:rsid w:val="00045541"/>
    <w:rsid w:val="00045ED9"/>
    <w:rsid w:val="00046F38"/>
    <w:rsid w:val="00047EC4"/>
    <w:rsid w:val="000504F8"/>
    <w:rsid w:val="00052730"/>
    <w:rsid w:val="000548B5"/>
    <w:rsid w:val="000549EA"/>
    <w:rsid w:val="00055695"/>
    <w:rsid w:val="000556DE"/>
    <w:rsid w:val="000564CE"/>
    <w:rsid w:val="00056DF2"/>
    <w:rsid w:val="00057ED0"/>
    <w:rsid w:val="00060C07"/>
    <w:rsid w:val="00061891"/>
    <w:rsid w:val="00064097"/>
    <w:rsid w:val="000700D6"/>
    <w:rsid w:val="00070119"/>
    <w:rsid w:val="000718E4"/>
    <w:rsid w:val="00071B5F"/>
    <w:rsid w:val="0007248F"/>
    <w:rsid w:val="00072524"/>
    <w:rsid w:val="0007381F"/>
    <w:rsid w:val="00073D12"/>
    <w:rsid w:val="00073DDE"/>
    <w:rsid w:val="00073FEE"/>
    <w:rsid w:val="00074631"/>
    <w:rsid w:val="00074D25"/>
    <w:rsid w:val="0007507B"/>
    <w:rsid w:val="000800EC"/>
    <w:rsid w:val="00081266"/>
    <w:rsid w:val="00081E39"/>
    <w:rsid w:val="00082A37"/>
    <w:rsid w:val="00082A50"/>
    <w:rsid w:val="0008362C"/>
    <w:rsid w:val="00083831"/>
    <w:rsid w:val="000848B4"/>
    <w:rsid w:val="00086169"/>
    <w:rsid w:val="00086236"/>
    <w:rsid w:val="00086255"/>
    <w:rsid w:val="00086599"/>
    <w:rsid w:val="00086E3B"/>
    <w:rsid w:val="00086EC6"/>
    <w:rsid w:val="000877B9"/>
    <w:rsid w:val="000877C6"/>
    <w:rsid w:val="00090638"/>
    <w:rsid w:val="00092F66"/>
    <w:rsid w:val="00095939"/>
    <w:rsid w:val="00095DD5"/>
    <w:rsid w:val="00096983"/>
    <w:rsid w:val="000970EA"/>
    <w:rsid w:val="00097218"/>
    <w:rsid w:val="000A023C"/>
    <w:rsid w:val="000A075E"/>
    <w:rsid w:val="000A080C"/>
    <w:rsid w:val="000A0AB1"/>
    <w:rsid w:val="000A1870"/>
    <w:rsid w:val="000A18B6"/>
    <w:rsid w:val="000A27DD"/>
    <w:rsid w:val="000A2BA3"/>
    <w:rsid w:val="000A34EA"/>
    <w:rsid w:val="000A3C6F"/>
    <w:rsid w:val="000A3D4C"/>
    <w:rsid w:val="000A5515"/>
    <w:rsid w:val="000A6939"/>
    <w:rsid w:val="000A7311"/>
    <w:rsid w:val="000B04FD"/>
    <w:rsid w:val="000B16BE"/>
    <w:rsid w:val="000B1C26"/>
    <w:rsid w:val="000B2665"/>
    <w:rsid w:val="000B2E88"/>
    <w:rsid w:val="000B3EFF"/>
    <w:rsid w:val="000B4064"/>
    <w:rsid w:val="000B41D2"/>
    <w:rsid w:val="000B64B2"/>
    <w:rsid w:val="000B66F2"/>
    <w:rsid w:val="000B7782"/>
    <w:rsid w:val="000B7B23"/>
    <w:rsid w:val="000B7D35"/>
    <w:rsid w:val="000C1A6C"/>
    <w:rsid w:val="000C290E"/>
    <w:rsid w:val="000C3424"/>
    <w:rsid w:val="000C3F9D"/>
    <w:rsid w:val="000C4E97"/>
    <w:rsid w:val="000C62B9"/>
    <w:rsid w:val="000C62C3"/>
    <w:rsid w:val="000C706D"/>
    <w:rsid w:val="000C7ABE"/>
    <w:rsid w:val="000D05DD"/>
    <w:rsid w:val="000D09BB"/>
    <w:rsid w:val="000D1325"/>
    <w:rsid w:val="000D173A"/>
    <w:rsid w:val="000D1ABA"/>
    <w:rsid w:val="000D20F0"/>
    <w:rsid w:val="000D29AB"/>
    <w:rsid w:val="000D3116"/>
    <w:rsid w:val="000D57F6"/>
    <w:rsid w:val="000D7617"/>
    <w:rsid w:val="000D7B24"/>
    <w:rsid w:val="000E0BE6"/>
    <w:rsid w:val="000E201E"/>
    <w:rsid w:val="000E301F"/>
    <w:rsid w:val="000E361D"/>
    <w:rsid w:val="000E4E21"/>
    <w:rsid w:val="000E624B"/>
    <w:rsid w:val="000E66C3"/>
    <w:rsid w:val="000E6912"/>
    <w:rsid w:val="000E7995"/>
    <w:rsid w:val="000F0A9B"/>
    <w:rsid w:val="000F160C"/>
    <w:rsid w:val="000F2051"/>
    <w:rsid w:val="000F294D"/>
    <w:rsid w:val="000F2F15"/>
    <w:rsid w:val="000F49A4"/>
    <w:rsid w:val="000F5371"/>
    <w:rsid w:val="00100B05"/>
    <w:rsid w:val="00100DD8"/>
    <w:rsid w:val="00101452"/>
    <w:rsid w:val="0010240F"/>
    <w:rsid w:val="00102828"/>
    <w:rsid w:val="00102D1F"/>
    <w:rsid w:val="00103FC0"/>
    <w:rsid w:val="00106CCD"/>
    <w:rsid w:val="00107CE3"/>
    <w:rsid w:val="0011170D"/>
    <w:rsid w:val="00111FD5"/>
    <w:rsid w:val="00112178"/>
    <w:rsid w:val="00112BCA"/>
    <w:rsid w:val="00112F6B"/>
    <w:rsid w:val="00113D6B"/>
    <w:rsid w:val="001148A4"/>
    <w:rsid w:val="00114A83"/>
    <w:rsid w:val="0011597B"/>
    <w:rsid w:val="00115EE7"/>
    <w:rsid w:val="00116562"/>
    <w:rsid w:val="0011751B"/>
    <w:rsid w:val="00117F33"/>
    <w:rsid w:val="00117F86"/>
    <w:rsid w:val="00120EB5"/>
    <w:rsid w:val="00121F25"/>
    <w:rsid w:val="0012254C"/>
    <w:rsid w:val="001225F2"/>
    <w:rsid w:val="00122A59"/>
    <w:rsid w:val="00123175"/>
    <w:rsid w:val="00123A7F"/>
    <w:rsid w:val="00123DD2"/>
    <w:rsid w:val="00124D70"/>
    <w:rsid w:val="001251B9"/>
    <w:rsid w:val="0012586F"/>
    <w:rsid w:val="00126063"/>
    <w:rsid w:val="00126685"/>
    <w:rsid w:val="00126703"/>
    <w:rsid w:val="00126DD2"/>
    <w:rsid w:val="00127E0F"/>
    <w:rsid w:val="00130BC6"/>
    <w:rsid w:val="00131099"/>
    <w:rsid w:val="00131FEE"/>
    <w:rsid w:val="00132CE4"/>
    <w:rsid w:val="00132D50"/>
    <w:rsid w:val="00132EB5"/>
    <w:rsid w:val="00133CB1"/>
    <w:rsid w:val="0013477E"/>
    <w:rsid w:val="0013498F"/>
    <w:rsid w:val="001350BD"/>
    <w:rsid w:val="00135B5E"/>
    <w:rsid w:val="001369E3"/>
    <w:rsid w:val="001411C6"/>
    <w:rsid w:val="001414F1"/>
    <w:rsid w:val="001418D4"/>
    <w:rsid w:val="00141E48"/>
    <w:rsid w:val="001427E1"/>
    <w:rsid w:val="00144BB0"/>
    <w:rsid w:val="0014558D"/>
    <w:rsid w:val="0014594C"/>
    <w:rsid w:val="00145B25"/>
    <w:rsid w:val="0014652E"/>
    <w:rsid w:val="00146DA2"/>
    <w:rsid w:val="00146F29"/>
    <w:rsid w:val="001477EA"/>
    <w:rsid w:val="0015161E"/>
    <w:rsid w:val="00151701"/>
    <w:rsid w:val="00152337"/>
    <w:rsid w:val="00152950"/>
    <w:rsid w:val="00152DDA"/>
    <w:rsid w:val="00155297"/>
    <w:rsid w:val="00155644"/>
    <w:rsid w:val="001564C4"/>
    <w:rsid w:val="00156D10"/>
    <w:rsid w:val="001571D9"/>
    <w:rsid w:val="001572E1"/>
    <w:rsid w:val="001604E1"/>
    <w:rsid w:val="00160B00"/>
    <w:rsid w:val="00161C5A"/>
    <w:rsid w:val="00161C96"/>
    <w:rsid w:val="00162233"/>
    <w:rsid w:val="001639C7"/>
    <w:rsid w:val="00164E22"/>
    <w:rsid w:val="00165AFF"/>
    <w:rsid w:val="00166169"/>
    <w:rsid w:val="00172F41"/>
    <w:rsid w:val="00173BA9"/>
    <w:rsid w:val="00173EDF"/>
    <w:rsid w:val="00173FF1"/>
    <w:rsid w:val="00176E59"/>
    <w:rsid w:val="001779C2"/>
    <w:rsid w:val="00180967"/>
    <w:rsid w:val="001809D6"/>
    <w:rsid w:val="00180F8E"/>
    <w:rsid w:val="00182A74"/>
    <w:rsid w:val="0018360B"/>
    <w:rsid w:val="001872CB"/>
    <w:rsid w:val="0018738D"/>
    <w:rsid w:val="00191740"/>
    <w:rsid w:val="001946B0"/>
    <w:rsid w:val="00194F26"/>
    <w:rsid w:val="001954C5"/>
    <w:rsid w:val="001956DF"/>
    <w:rsid w:val="001965BB"/>
    <w:rsid w:val="00197256"/>
    <w:rsid w:val="00197959"/>
    <w:rsid w:val="001A0FCC"/>
    <w:rsid w:val="001A119F"/>
    <w:rsid w:val="001A13F5"/>
    <w:rsid w:val="001A15B3"/>
    <w:rsid w:val="001A1719"/>
    <w:rsid w:val="001A1834"/>
    <w:rsid w:val="001A18EF"/>
    <w:rsid w:val="001A4AB8"/>
    <w:rsid w:val="001A4E69"/>
    <w:rsid w:val="001A5C0D"/>
    <w:rsid w:val="001A7BA5"/>
    <w:rsid w:val="001A7D67"/>
    <w:rsid w:val="001B0498"/>
    <w:rsid w:val="001B049C"/>
    <w:rsid w:val="001B1132"/>
    <w:rsid w:val="001B2382"/>
    <w:rsid w:val="001B4416"/>
    <w:rsid w:val="001B4E9B"/>
    <w:rsid w:val="001B56E1"/>
    <w:rsid w:val="001B5EC9"/>
    <w:rsid w:val="001C22E5"/>
    <w:rsid w:val="001C2957"/>
    <w:rsid w:val="001C3C29"/>
    <w:rsid w:val="001C42B7"/>
    <w:rsid w:val="001C55D0"/>
    <w:rsid w:val="001C5D32"/>
    <w:rsid w:val="001C62A9"/>
    <w:rsid w:val="001C6713"/>
    <w:rsid w:val="001D063D"/>
    <w:rsid w:val="001D0778"/>
    <w:rsid w:val="001D35D8"/>
    <w:rsid w:val="001D37F7"/>
    <w:rsid w:val="001D388F"/>
    <w:rsid w:val="001D40FE"/>
    <w:rsid w:val="001D4859"/>
    <w:rsid w:val="001D4E4C"/>
    <w:rsid w:val="001D64FE"/>
    <w:rsid w:val="001D6B42"/>
    <w:rsid w:val="001D787C"/>
    <w:rsid w:val="001E0BBE"/>
    <w:rsid w:val="001E2219"/>
    <w:rsid w:val="001E2BF6"/>
    <w:rsid w:val="001E2E7E"/>
    <w:rsid w:val="001E3078"/>
    <w:rsid w:val="001E31EF"/>
    <w:rsid w:val="001E3811"/>
    <w:rsid w:val="001E39C2"/>
    <w:rsid w:val="001E4092"/>
    <w:rsid w:val="001E4761"/>
    <w:rsid w:val="001E4BD0"/>
    <w:rsid w:val="001E58F0"/>
    <w:rsid w:val="001E5D8E"/>
    <w:rsid w:val="001E6E3A"/>
    <w:rsid w:val="001E712F"/>
    <w:rsid w:val="001E7523"/>
    <w:rsid w:val="001E7AFE"/>
    <w:rsid w:val="001F0EA1"/>
    <w:rsid w:val="001F14B2"/>
    <w:rsid w:val="001F199E"/>
    <w:rsid w:val="001F2299"/>
    <w:rsid w:val="001F2E9F"/>
    <w:rsid w:val="001F3103"/>
    <w:rsid w:val="001F3F45"/>
    <w:rsid w:val="001F49F9"/>
    <w:rsid w:val="001F4D7A"/>
    <w:rsid w:val="001F53BD"/>
    <w:rsid w:val="001F6AE7"/>
    <w:rsid w:val="001F7B47"/>
    <w:rsid w:val="001F7F30"/>
    <w:rsid w:val="002046D1"/>
    <w:rsid w:val="00204829"/>
    <w:rsid w:val="00210937"/>
    <w:rsid w:val="00210B2D"/>
    <w:rsid w:val="00211891"/>
    <w:rsid w:val="002118A3"/>
    <w:rsid w:val="00213B78"/>
    <w:rsid w:val="002162C5"/>
    <w:rsid w:val="00216DAC"/>
    <w:rsid w:val="00217266"/>
    <w:rsid w:val="00217A0D"/>
    <w:rsid w:val="00217E6F"/>
    <w:rsid w:val="002200FC"/>
    <w:rsid w:val="002209EB"/>
    <w:rsid w:val="00220C13"/>
    <w:rsid w:val="00221186"/>
    <w:rsid w:val="00222BD1"/>
    <w:rsid w:val="00222ED5"/>
    <w:rsid w:val="00222FCE"/>
    <w:rsid w:val="0022320D"/>
    <w:rsid w:val="00223849"/>
    <w:rsid w:val="00223EFF"/>
    <w:rsid w:val="002246DB"/>
    <w:rsid w:val="002248DD"/>
    <w:rsid w:val="00224E89"/>
    <w:rsid w:val="00224EFE"/>
    <w:rsid w:val="00225ACA"/>
    <w:rsid w:val="00225F9C"/>
    <w:rsid w:val="0022664B"/>
    <w:rsid w:val="00226D87"/>
    <w:rsid w:val="00230516"/>
    <w:rsid w:val="00231785"/>
    <w:rsid w:val="00231AA3"/>
    <w:rsid w:val="00231CE9"/>
    <w:rsid w:val="00231E3A"/>
    <w:rsid w:val="002334AA"/>
    <w:rsid w:val="0023366D"/>
    <w:rsid w:val="00234988"/>
    <w:rsid w:val="00234D21"/>
    <w:rsid w:val="00235C46"/>
    <w:rsid w:val="00235D84"/>
    <w:rsid w:val="002361BC"/>
    <w:rsid w:val="00236733"/>
    <w:rsid w:val="00237F90"/>
    <w:rsid w:val="00240189"/>
    <w:rsid w:val="00240508"/>
    <w:rsid w:val="002406D6"/>
    <w:rsid w:val="00241179"/>
    <w:rsid w:val="002418D0"/>
    <w:rsid w:val="00241CE1"/>
    <w:rsid w:val="0024232F"/>
    <w:rsid w:val="00242C7F"/>
    <w:rsid w:val="00243B19"/>
    <w:rsid w:val="00243FEE"/>
    <w:rsid w:val="00244FF3"/>
    <w:rsid w:val="00245A8A"/>
    <w:rsid w:val="0024771D"/>
    <w:rsid w:val="00247B55"/>
    <w:rsid w:val="00250278"/>
    <w:rsid w:val="0025032F"/>
    <w:rsid w:val="0025062C"/>
    <w:rsid w:val="00251411"/>
    <w:rsid w:val="00252294"/>
    <w:rsid w:val="002523EC"/>
    <w:rsid w:val="00252CF7"/>
    <w:rsid w:val="00253444"/>
    <w:rsid w:val="00253491"/>
    <w:rsid w:val="00253ACF"/>
    <w:rsid w:val="0025624C"/>
    <w:rsid w:val="00256518"/>
    <w:rsid w:val="00256705"/>
    <w:rsid w:val="00256831"/>
    <w:rsid w:val="00257235"/>
    <w:rsid w:val="00257846"/>
    <w:rsid w:val="00257FE0"/>
    <w:rsid w:val="002609AE"/>
    <w:rsid w:val="00260A97"/>
    <w:rsid w:val="00260BC1"/>
    <w:rsid w:val="00260CFA"/>
    <w:rsid w:val="00260F6E"/>
    <w:rsid w:val="002611AA"/>
    <w:rsid w:val="00262302"/>
    <w:rsid w:val="0026330F"/>
    <w:rsid w:val="00263758"/>
    <w:rsid w:val="0026389A"/>
    <w:rsid w:val="0026476B"/>
    <w:rsid w:val="0026498A"/>
    <w:rsid w:val="0026517F"/>
    <w:rsid w:val="00265C7B"/>
    <w:rsid w:val="002669CF"/>
    <w:rsid w:val="00266A4A"/>
    <w:rsid w:val="00266D10"/>
    <w:rsid w:val="00267152"/>
    <w:rsid w:val="002672C5"/>
    <w:rsid w:val="00267DDC"/>
    <w:rsid w:val="002701F4"/>
    <w:rsid w:val="00270688"/>
    <w:rsid w:val="00270D8C"/>
    <w:rsid w:val="00270F31"/>
    <w:rsid w:val="002728A8"/>
    <w:rsid w:val="002729C2"/>
    <w:rsid w:val="00272BAB"/>
    <w:rsid w:val="0027355A"/>
    <w:rsid w:val="00273701"/>
    <w:rsid w:val="00273E75"/>
    <w:rsid w:val="00274210"/>
    <w:rsid w:val="0027688B"/>
    <w:rsid w:val="002768A0"/>
    <w:rsid w:val="00277032"/>
    <w:rsid w:val="00277E6C"/>
    <w:rsid w:val="00280472"/>
    <w:rsid w:val="0028114F"/>
    <w:rsid w:val="0028262D"/>
    <w:rsid w:val="00282894"/>
    <w:rsid w:val="00282E02"/>
    <w:rsid w:val="00282EFB"/>
    <w:rsid w:val="002839D3"/>
    <w:rsid w:val="00285843"/>
    <w:rsid w:val="0028749B"/>
    <w:rsid w:val="002906E1"/>
    <w:rsid w:val="00291251"/>
    <w:rsid w:val="00291593"/>
    <w:rsid w:val="0029161D"/>
    <w:rsid w:val="00291725"/>
    <w:rsid w:val="002927CD"/>
    <w:rsid w:val="00292FB2"/>
    <w:rsid w:val="00295B6E"/>
    <w:rsid w:val="0029628F"/>
    <w:rsid w:val="00296BC8"/>
    <w:rsid w:val="00297F7C"/>
    <w:rsid w:val="002A00CA"/>
    <w:rsid w:val="002A016B"/>
    <w:rsid w:val="002A154B"/>
    <w:rsid w:val="002A281A"/>
    <w:rsid w:val="002A2D2F"/>
    <w:rsid w:val="002A3FEB"/>
    <w:rsid w:val="002A47D1"/>
    <w:rsid w:val="002A4FD3"/>
    <w:rsid w:val="002A5610"/>
    <w:rsid w:val="002A5611"/>
    <w:rsid w:val="002A5F6A"/>
    <w:rsid w:val="002A6158"/>
    <w:rsid w:val="002A63DB"/>
    <w:rsid w:val="002B05B7"/>
    <w:rsid w:val="002B181A"/>
    <w:rsid w:val="002B1F7C"/>
    <w:rsid w:val="002B31DD"/>
    <w:rsid w:val="002B33E9"/>
    <w:rsid w:val="002B3760"/>
    <w:rsid w:val="002B397F"/>
    <w:rsid w:val="002B76E4"/>
    <w:rsid w:val="002C1E2F"/>
    <w:rsid w:val="002C24F6"/>
    <w:rsid w:val="002C2A4F"/>
    <w:rsid w:val="002C2B3F"/>
    <w:rsid w:val="002C36ED"/>
    <w:rsid w:val="002C4387"/>
    <w:rsid w:val="002C43E4"/>
    <w:rsid w:val="002C4A90"/>
    <w:rsid w:val="002C4DD8"/>
    <w:rsid w:val="002C5ECA"/>
    <w:rsid w:val="002C7B74"/>
    <w:rsid w:val="002D0AA8"/>
    <w:rsid w:val="002D1263"/>
    <w:rsid w:val="002D2FB1"/>
    <w:rsid w:val="002D2FF5"/>
    <w:rsid w:val="002D32F8"/>
    <w:rsid w:val="002D4033"/>
    <w:rsid w:val="002D457D"/>
    <w:rsid w:val="002D4CC0"/>
    <w:rsid w:val="002D5C2A"/>
    <w:rsid w:val="002D5CC3"/>
    <w:rsid w:val="002D5FC3"/>
    <w:rsid w:val="002D6969"/>
    <w:rsid w:val="002D6DD5"/>
    <w:rsid w:val="002D7547"/>
    <w:rsid w:val="002E1974"/>
    <w:rsid w:val="002E32F7"/>
    <w:rsid w:val="002E3AA4"/>
    <w:rsid w:val="002E4799"/>
    <w:rsid w:val="002E48B6"/>
    <w:rsid w:val="002E4BA1"/>
    <w:rsid w:val="002E5D14"/>
    <w:rsid w:val="002E5F63"/>
    <w:rsid w:val="002E633E"/>
    <w:rsid w:val="002E63A2"/>
    <w:rsid w:val="002E7FC9"/>
    <w:rsid w:val="002F010A"/>
    <w:rsid w:val="002F1A7E"/>
    <w:rsid w:val="002F25CF"/>
    <w:rsid w:val="002F2EE3"/>
    <w:rsid w:val="002F3ACF"/>
    <w:rsid w:val="002F3D97"/>
    <w:rsid w:val="002F4715"/>
    <w:rsid w:val="002F7E0A"/>
    <w:rsid w:val="00300498"/>
    <w:rsid w:val="00301436"/>
    <w:rsid w:val="00301B3C"/>
    <w:rsid w:val="0030242C"/>
    <w:rsid w:val="003038DA"/>
    <w:rsid w:val="00304273"/>
    <w:rsid w:val="0030435A"/>
    <w:rsid w:val="00304846"/>
    <w:rsid w:val="003049C0"/>
    <w:rsid w:val="00305504"/>
    <w:rsid w:val="00305FD9"/>
    <w:rsid w:val="00306031"/>
    <w:rsid w:val="00306480"/>
    <w:rsid w:val="00306486"/>
    <w:rsid w:val="003064DA"/>
    <w:rsid w:val="00306513"/>
    <w:rsid w:val="00307427"/>
    <w:rsid w:val="0031021A"/>
    <w:rsid w:val="00310F16"/>
    <w:rsid w:val="0031287C"/>
    <w:rsid w:val="00313B56"/>
    <w:rsid w:val="003158A3"/>
    <w:rsid w:val="00316102"/>
    <w:rsid w:val="00316133"/>
    <w:rsid w:val="00316CBB"/>
    <w:rsid w:val="00320442"/>
    <w:rsid w:val="00320B24"/>
    <w:rsid w:val="00320D77"/>
    <w:rsid w:val="00321D9C"/>
    <w:rsid w:val="00322195"/>
    <w:rsid w:val="003227F3"/>
    <w:rsid w:val="00323737"/>
    <w:rsid w:val="00323D85"/>
    <w:rsid w:val="0032558A"/>
    <w:rsid w:val="00325ACA"/>
    <w:rsid w:val="00327608"/>
    <w:rsid w:val="003317CC"/>
    <w:rsid w:val="00331DF7"/>
    <w:rsid w:val="0033200A"/>
    <w:rsid w:val="00332B67"/>
    <w:rsid w:val="0033391F"/>
    <w:rsid w:val="0033399A"/>
    <w:rsid w:val="003340B0"/>
    <w:rsid w:val="0033511D"/>
    <w:rsid w:val="003376F8"/>
    <w:rsid w:val="00337F5E"/>
    <w:rsid w:val="00341276"/>
    <w:rsid w:val="00341F22"/>
    <w:rsid w:val="00342BD4"/>
    <w:rsid w:val="00343F09"/>
    <w:rsid w:val="00344655"/>
    <w:rsid w:val="00345108"/>
    <w:rsid w:val="003462EC"/>
    <w:rsid w:val="00346621"/>
    <w:rsid w:val="00346753"/>
    <w:rsid w:val="0035182A"/>
    <w:rsid w:val="00351950"/>
    <w:rsid w:val="00352016"/>
    <w:rsid w:val="003563F9"/>
    <w:rsid w:val="00356D65"/>
    <w:rsid w:val="00360B0A"/>
    <w:rsid w:val="00360E33"/>
    <w:rsid w:val="00362454"/>
    <w:rsid w:val="003641B8"/>
    <w:rsid w:val="003646C5"/>
    <w:rsid w:val="00365AAB"/>
    <w:rsid w:val="00370209"/>
    <w:rsid w:val="003705F2"/>
    <w:rsid w:val="0037100F"/>
    <w:rsid w:val="0037151A"/>
    <w:rsid w:val="003717AC"/>
    <w:rsid w:val="00371B70"/>
    <w:rsid w:val="00371C3F"/>
    <w:rsid w:val="00372740"/>
    <w:rsid w:val="003727F1"/>
    <w:rsid w:val="00372B72"/>
    <w:rsid w:val="0037349D"/>
    <w:rsid w:val="00374D7B"/>
    <w:rsid w:val="0037681B"/>
    <w:rsid w:val="00376C55"/>
    <w:rsid w:val="00377114"/>
    <w:rsid w:val="00377742"/>
    <w:rsid w:val="00377D83"/>
    <w:rsid w:val="00377DB8"/>
    <w:rsid w:val="0038073C"/>
    <w:rsid w:val="00380F02"/>
    <w:rsid w:val="003827A0"/>
    <w:rsid w:val="00383A46"/>
    <w:rsid w:val="00383D2A"/>
    <w:rsid w:val="00385DE4"/>
    <w:rsid w:val="003866C4"/>
    <w:rsid w:val="00386731"/>
    <w:rsid w:val="00387468"/>
    <w:rsid w:val="0038761D"/>
    <w:rsid w:val="003877BD"/>
    <w:rsid w:val="00387CCD"/>
    <w:rsid w:val="00390FA6"/>
    <w:rsid w:val="00391092"/>
    <w:rsid w:val="0039142C"/>
    <w:rsid w:val="00391D4C"/>
    <w:rsid w:val="00394157"/>
    <w:rsid w:val="003943A1"/>
    <w:rsid w:val="00394612"/>
    <w:rsid w:val="0039730B"/>
    <w:rsid w:val="0039742F"/>
    <w:rsid w:val="00397AC6"/>
    <w:rsid w:val="003A0713"/>
    <w:rsid w:val="003A18F2"/>
    <w:rsid w:val="003A1BE8"/>
    <w:rsid w:val="003A26AE"/>
    <w:rsid w:val="003A310C"/>
    <w:rsid w:val="003A34AE"/>
    <w:rsid w:val="003A3771"/>
    <w:rsid w:val="003A53F7"/>
    <w:rsid w:val="003A6C59"/>
    <w:rsid w:val="003A7167"/>
    <w:rsid w:val="003A7806"/>
    <w:rsid w:val="003A7A1A"/>
    <w:rsid w:val="003B20EA"/>
    <w:rsid w:val="003B3C5D"/>
    <w:rsid w:val="003B484E"/>
    <w:rsid w:val="003B59AA"/>
    <w:rsid w:val="003B5EC8"/>
    <w:rsid w:val="003B677A"/>
    <w:rsid w:val="003B7354"/>
    <w:rsid w:val="003C0489"/>
    <w:rsid w:val="003C0E9F"/>
    <w:rsid w:val="003C293E"/>
    <w:rsid w:val="003C343D"/>
    <w:rsid w:val="003C5653"/>
    <w:rsid w:val="003C5B50"/>
    <w:rsid w:val="003C6044"/>
    <w:rsid w:val="003D071A"/>
    <w:rsid w:val="003D15EA"/>
    <w:rsid w:val="003D2932"/>
    <w:rsid w:val="003D29FE"/>
    <w:rsid w:val="003D3DB6"/>
    <w:rsid w:val="003D430B"/>
    <w:rsid w:val="003D61B7"/>
    <w:rsid w:val="003D6247"/>
    <w:rsid w:val="003D6AC2"/>
    <w:rsid w:val="003E05D7"/>
    <w:rsid w:val="003E0A83"/>
    <w:rsid w:val="003E0AFD"/>
    <w:rsid w:val="003E0F9A"/>
    <w:rsid w:val="003E1C8C"/>
    <w:rsid w:val="003E2289"/>
    <w:rsid w:val="003E2C95"/>
    <w:rsid w:val="003E3B89"/>
    <w:rsid w:val="003E4F96"/>
    <w:rsid w:val="003E683B"/>
    <w:rsid w:val="003E7474"/>
    <w:rsid w:val="003F03B9"/>
    <w:rsid w:val="003F042C"/>
    <w:rsid w:val="003F0D99"/>
    <w:rsid w:val="003F1A1F"/>
    <w:rsid w:val="003F2680"/>
    <w:rsid w:val="003F33A7"/>
    <w:rsid w:val="003F3FA4"/>
    <w:rsid w:val="003F4EDA"/>
    <w:rsid w:val="003F541C"/>
    <w:rsid w:val="00400372"/>
    <w:rsid w:val="004009B4"/>
    <w:rsid w:val="004011C5"/>
    <w:rsid w:val="0040241A"/>
    <w:rsid w:val="004029CE"/>
    <w:rsid w:val="00402F71"/>
    <w:rsid w:val="00405E37"/>
    <w:rsid w:val="004065CC"/>
    <w:rsid w:val="004068AB"/>
    <w:rsid w:val="00406ED3"/>
    <w:rsid w:val="00407721"/>
    <w:rsid w:val="004122C1"/>
    <w:rsid w:val="004128F1"/>
    <w:rsid w:val="00412A1C"/>
    <w:rsid w:val="004139E0"/>
    <w:rsid w:val="00413E9B"/>
    <w:rsid w:val="0041460F"/>
    <w:rsid w:val="00414DA9"/>
    <w:rsid w:val="004151AD"/>
    <w:rsid w:val="004160A4"/>
    <w:rsid w:val="004168AA"/>
    <w:rsid w:val="00416EDE"/>
    <w:rsid w:val="00417539"/>
    <w:rsid w:val="00417E03"/>
    <w:rsid w:val="00420186"/>
    <w:rsid w:val="00421B07"/>
    <w:rsid w:val="00422BEE"/>
    <w:rsid w:val="00423181"/>
    <w:rsid w:val="004234C5"/>
    <w:rsid w:val="00423614"/>
    <w:rsid w:val="00423673"/>
    <w:rsid w:val="004237AC"/>
    <w:rsid w:val="004238ED"/>
    <w:rsid w:val="00423A18"/>
    <w:rsid w:val="00423E4B"/>
    <w:rsid w:val="00424B0B"/>
    <w:rsid w:val="00425F14"/>
    <w:rsid w:val="004276CE"/>
    <w:rsid w:val="00427D8D"/>
    <w:rsid w:val="004301D1"/>
    <w:rsid w:val="00430A47"/>
    <w:rsid w:val="004313D8"/>
    <w:rsid w:val="00433664"/>
    <w:rsid w:val="00434025"/>
    <w:rsid w:val="0043514D"/>
    <w:rsid w:val="004351CC"/>
    <w:rsid w:val="00435851"/>
    <w:rsid w:val="00435912"/>
    <w:rsid w:val="00435AE4"/>
    <w:rsid w:val="00435B05"/>
    <w:rsid w:val="004362B8"/>
    <w:rsid w:val="00437718"/>
    <w:rsid w:val="004378B7"/>
    <w:rsid w:val="00437BD3"/>
    <w:rsid w:val="00440A41"/>
    <w:rsid w:val="0044141C"/>
    <w:rsid w:val="00443744"/>
    <w:rsid w:val="00445F43"/>
    <w:rsid w:val="00446C30"/>
    <w:rsid w:val="00447336"/>
    <w:rsid w:val="00447457"/>
    <w:rsid w:val="0044755F"/>
    <w:rsid w:val="00447A52"/>
    <w:rsid w:val="00447D4B"/>
    <w:rsid w:val="004515AA"/>
    <w:rsid w:val="00451F59"/>
    <w:rsid w:val="00452B7F"/>
    <w:rsid w:val="004531BE"/>
    <w:rsid w:val="00453388"/>
    <w:rsid w:val="00453F3E"/>
    <w:rsid w:val="00454BE2"/>
    <w:rsid w:val="004551D9"/>
    <w:rsid w:val="0045575F"/>
    <w:rsid w:val="00455B26"/>
    <w:rsid w:val="00456773"/>
    <w:rsid w:val="00456ECB"/>
    <w:rsid w:val="0045711F"/>
    <w:rsid w:val="0045783B"/>
    <w:rsid w:val="00460C86"/>
    <w:rsid w:val="0046186A"/>
    <w:rsid w:val="00461A61"/>
    <w:rsid w:val="00461FFE"/>
    <w:rsid w:val="00462063"/>
    <w:rsid w:val="00462FF3"/>
    <w:rsid w:val="004631A3"/>
    <w:rsid w:val="00464E3D"/>
    <w:rsid w:val="004665CF"/>
    <w:rsid w:val="00466C76"/>
    <w:rsid w:val="004719EA"/>
    <w:rsid w:val="00471B1D"/>
    <w:rsid w:val="0047275B"/>
    <w:rsid w:val="00472CE3"/>
    <w:rsid w:val="00473475"/>
    <w:rsid w:val="00473B5D"/>
    <w:rsid w:val="00474DEF"/>
    <w:rsid w:val="004750BF"/>
    <w:rsid w:val="0047706C"/>
    <w:rsid w:val="00480DD1"/>
    <w:rsid w:val="00481F0E"/>
    <w:rsid w:val="00482BFA"/>
    <w:rsid w:val="004839E4"/>
    <w:rsid w:val="004851F5"/>
    <w:rsid w:val="00486248"/>
    <w:rsid w:val="0048647C"/>
    <w:rsid w:val="004875F9"/>
    <w:rsid w:val="004876A0"/>
    <w:rsid w:val="00487755"/>
    <w:rsid w:val="00487AC5"/>
    <w:rsid w:val="00487CFA"/>
    <w:rsid w:val="00490C86"/>
    <w:rsid w:val="00491052"/>
    <w:rsid w:val="00492646"/>
    <w:rsid w:val="00492AD8"/>
    <w:rsid w:val="00492BBB"/>
    <w:rsid w:val="004934DC"/>
    <w:rsid w:val="00493E67"/>
    <w:rsid w:val="004A03AA"/>
    <w:rsid w:val="004A0C2D"/>
    <w:rsid w:val="004A17B8"/>
    <w:rsid w:val="004A19B5"/>
    <w:rsid w:val="004A4B37"/>
    <w:rsid w:val="004A4B38"/>
    <w:rsid w:val="004A58EC"/>
    <w:rsid w:val="004A5D83"/>
    <w:rsid w:val="004A6CDF"/>
    <w:rsid w:val="004A77BA"/>
    <w:rsid w:val="004A788D"/>
    <w:rsid w:val="004A7A8A"/>
    <w:rsid w:val="004B0075"/>
    <w:rsid w:val="004B094B"/>
    <w:rsid w:val="004B24C9"/>
    <w:rsid w:val="004B25C3"/>
    <w:rsid w:val="004B2C2E"/>
    <w:rsid w:val="004B330E"/>
    <w:rsid w:val="004B44D4"/>
    <w:rsid w:val="004B4580"/>
    <w:rsid w:val="004B45EE"/>
    <w:rsid w:val="004B666D"/>
    <w:rsid w:val="004B69A1"/>
    <w:rsid w:val="004C03DB"/>
    <w:rsid w:val="004C0F53"/>
    <w:rsid w:val="004C360E"/>
    <w:rsid w:val="004C48C9"/>
    <w:rsid w:val="004C4A91"/>
    <w:rsid w:val="004C4E95"/>
    <w:rsid w:val="004C5A29"/>
    <w:rsid w:val="004C6DF5"/>
    <w:rsid w:val="004C6E21"/>
    <w:rsid w:val="004C72A7"/>
    <w:rsid w:val="004C7880"/>
    <w:rsid w:val="004D0DA4"/>
    <w:rsid w:val="004D2688"/>
    <w:rsid w:val="004D670E"/>
    <w:rsid w:val="004D696A"/>
    <w:rsid w:val="004E14CE"/>
    <w:rsid w:val="004E16C8"/>
    <w:rsid w:val="004E1D77"/>
    <w:rsid w:val="004E2802"/>
    <w:rsid w:val="004E3186"/>
    <w:rsid w:val="004E3775"/>
    <w:rsid w:val="004E42E2"/>
    <w:rsid w:val="004E45D8"/>
    <w:rsid w:val="004E490F"/>
    <w:rsid w:val="004E4ABA"/>
    <w:rsid w:val="004E4F18"/>
    <w:rsid w:val="004E748B"/>
    <w:rsid w:val="004E7D41"/>
    <w:rsid w:val="004F06AA"/>
    <w:rsid w:val="004F2997"/>
    <w:rsid w:val="004F406F"/>
    <w:rsid w:val="004F4B35"/>
    <w:rsid w:val="004F6857"/>
    <w:rsid w:val="004F6912"/>
    <w:rsid w:val="004F750B"/>
    <w:rsid w:val="004F76D8"/>
    <w:rsid w:val="00500CBD"/>
    <w:rsid w:val="00501D4A"/>
    <w:rsid w:val="00503822"/>
    <w:rsid w:val="005043E7"/>
    <w:rsid w:val="00506212"/>
    <w:rsid w:val="00506851"/>
    <w:rsid w:val="005077EB"/>
    <w:rsid w:val="00510E53"/>
    <w:rsid w:val="0051156A"/>
    <w:rsid w:val="0051199C"/>
    <w:rsid w:val="00512126"/>
    <w:rsid w:val="00512E08"/>
    <w:rsid w:val="0051540A"/>
    <w:rsid w:val="00515C12"/>
    <w:rsid w:val="00516524"/>
    <w:rsid w:val="00517606"/>
    <w:rsid w:val="005177A9"/>
    <w:rsid w:val="00520045"/>
    <w:rsid w:val="0052035E"/>
    <w:rsid w:val="00521769"/>
    <w:rsid w:val="00522FB1"/>
    <w:rsid w:val="005235FD"/>
    <w:rsid w:val="00525337"/>
    <w:rsid w:val="005309AD"/>
    <w:rsid w:val="005312B0"/>
    <w:rsid w:val="005313C6"/>
    <w:rsid w:val="00531D7A"/>
    <w:rsid w:val="00532A43"/>
    <w:rsid w:val="00532CED"/>
    <w:rsid w:val="00533F3C"/>
    <w:rsid w:val="005348EB"/>
    <w:rsid w:val="00534A68"/>
    <w:rsid w:val="00534B06"/>
    <w:rsid w:val="005356CF"/>
    <w:rsid w:val="00536E2E"/>
    <w:rsid w:val="005405CC"/>
    <w:rsid w:val="00541E90"/>
    <w:rsid w:val="005420DC"/>
    <w:rsid w:val="0054224B"/>
    <w:rsid w:val="00542419"/>
    <w:rsid w:val="00542765"/>
    <w:rsid w:val="00543965"/>
    <w:rsid w:val="00543F3B"/>
    <w:rsid w:val="005450B0"/>
    <w:rsid w:val="00546400"/>
    <w:rsid w:val="00546681"/>
    <w:rsid w:val="00546D74"/>
    <w:rsid w:val="00550C39"/>
    <w:rsid w:val="00550F7E"/>
    <w:rsid w:val="00553096"/>
    <w:rsid w:val="00553244"/>
    <w:rsid w:val="00553282"/>
    <w:rsid w:val="00553E98"/>
    <w:rsid w:val="00553FB9"/>
    <w:rsid w:val="00554422"/>
    <w:rsid w:val="00554C9D"/>
    <w:rsid w:val="005559AA"/>
    <w:rsid w:val="005561BF"/>
    <w:rsid w:val="005567B9"/>
    <w:rsid w:val="00556BC7"/>
    <w:rsid w:val="00557684"/>
    <w:rsid w:val="00557F06"/>
    <w:rsid w:val="00557F07"/>
    <w:rsid w:val="00560D80"/>
    <w:rsid w:val="00561976"/>
    <w:rsid w:val="00563555"/>
    <w:rsid w:val="005637A5"/>
    <w:rsid w:val="005639C5"/>
    <w:rsid w:val="005648A0"/>
    <w:rsid w:val="00564D13"/>
    <w:rsid w:val="00565A78"/>
    <w:rsid w:val="00565DFD"/>
    <w:rsid w:val="0057102D"/>
    <w:rsid w:val="00571124"/>
    <w:rsid w:val="005711D5"/>
    <w:rsid w:val="00571655"/>
    <w:rsid w:val="00571E57"/>
    <w:rsid w:val="005720EE"/>
    <w:rsid w:val="00572E66"/>
    <w:rsid w:val="005752CC"/>
    <w:rsid w:val="00575E45"/>
    <w:rsid w:val="00576E3B"/>
    <w:rsid w:val="0057720C"/>
    <w:rsid w:val="005779B2"/>
    <w:rsid w:val="0058006C"/>
    <w:rsid w:val="0058079C"/>
    <w:rsid w:val="00582129"/>
    <w:rsid w:val="005827A3"/>
    <w:rsid w:val="00583651"/>
    <w:rsid w:val="00583BC9"/>
    <w:rsid w:val="00584568"/>
    <w:rsid w:val="00584AAD"/>
    <w:rsid w:val="0058567E"/>
    <w:rsid w:val="00586477"/>
    <w:rsid w:val="005911B1"/>
    <w:rsid w:val="00591C7C"/>
    <w:rsid w:val="005935ED"/>
    <w:rsid w:val="00594077"/>
    <w:rsid w:val="00594FC8"/>
    <w:rsid w:val="00596658"/>
    <w:rsid w:val="00596C40"/>
    <w:rsid w:val="00597D0F"/>
    <w:rsid w:val="005A0A2C"/>
    <w:rsid w:val="005A13CA"/>
    <w:rsid w:val="005A2845"/>
    <w:rsid w:val="005A354D"/>
    <w:rsid w:val="005A3571"/>
    <w:rsid w:val="005A447C"/>
    <w:rsid w:val="005A5BEA"/>
    <w:rsid w:val="005A62FD"/>
    <w:rsid w:val="005A6699"/>
    <w:rsid w:val="005A6C0F"/>
    <w:rsid w:val="005B0631"/>
    <w:rsid w:val="005B26CD"/>
    <w:rsid w:val="005B3678"/>
    <w:rsid w:val="005B4079"/>
    <w:rsid w:val="005B4436"/>
    <w:rsid w:val="005B4802"/>
    <w:rsid w:val="005B4B64"/>
    <w:rsid w:val="005B4C0C"/>
    <w:rsid w:val="005B58E1"/>
    <w:rsid w:val="005B70E7"/>
    <w:rsid w:val="005B7D17"/>
    <w:rsid w:val="005C2B69"/>
    <w:rsid w:val="005C2DBF"/>
    <w:rsid w:val="005C34B2"/>
    <w:rsid w:val="005C3E04"/>
    <w:rsid w:val="005C489B"/>
    <w:rsid w:val="005C5031"/>
    <w:rsid w:val="005C62E5"/>
    <w:rsid w:val="005C68DB"/>
    <w:rsid w:val="005C6D9F"/>
    <w:rsid w:val="005C7432"/>
    <w:rsid w:val="005D0599"/>
    <w:rsid w:val="005D35E2"/>
    <w:rsid w:val="005D3EE2"/>
    <w:rsid w:val="005D5524"/>
    <w:rsid w:val="005D5AED"/>
    <w:rsid w:val="005D6445"/>
    <w:rsid w:val="005D6C7E"/>
    <w:rsid w:val="005D6F41"/>
    <w:rsid w:val="005D713B"/>
    <w:rsid w:val="005E178C"/>
    <w:rsid w:val="005E2330"/>
    <w:rsid w:val="005E2F96"/>
    <w:rsid w:val="005E34F5"/>
    <w:rsid w:val="005E5A9B"/>
    <w:rsid w:val="005E5BF1"/>
    <w:rsid w:val="005E64E5"/>
    <w:rsid w:val="005E71CB"/>
    <w:rsid w:val="005E7E51"/>
    <w:rsid w:val="005F026F"/>
    <w:rsid w:val="005F0630"/>
    <w:rsid w:val="005F193D"/>
    <w:rsid w:val="005F196B"/>
    <w:rsid w:val="005F1A7A"/>
    <w:rsid w:val="005F3969"/>
    <w:rsid w:val="005F43E5"/>
    <w:rsid w:val="005F7F10"/>
    <w:rsid w:val="0060064A"/>
    <w:rsid w:val="00600DC4"/>
    <w:rsid w:val="0060108B"/>
    <w:rsid w:val="006012B1"/>
    <w:rsid w:val="0060258A"/>
    <w:rsid w:val="0060268B"/>
    <w:rsid w:val="0060283D"/>
    <w:rsid w:val="00605B19"/>
    <w:rsid w:val="00605FC9"/>
    <w:rsid w:val="00610B44"/>
    <w:rsid w:val="00610C4B"/>
    <w:rsid w:val="00610CE3"/>
    <w:rsid w:val="00612F30"/>
    <w:rsid w:val="00613356"/>
    <w:rsid w:val="00613CA3"/>
    <w:rsid w:val="00614869"/>
    <w:rsid w:val="00614B7D"/>
    <w:rsid w:val="00615E5A"/>
    <w:rsid w:val="006169A5"/>
    <w:rsid w:val="0061789A"/>
    <w:rsid w:val="00617C82"/>
    <w:rsid w:val="0062108D"/>
    <w:rsid w:val="006232B2"/>
    <w:rsid w:val="00623C83"/>
    <w:rsid w:val="00624567"/>
    <w:rsid w:val="00625767"/>
    <w:rsid w:val="006257E3"/>
    <w:rsid w:val="00625E32"/>
    <w:rsid w:val="00625F83"/>
    <w:rsid w:val="00626276"/>
    <w:rsid w:val="00626484"/>
    <w:rsid w:val="006264DA"/>
    <w:rsid w:val="00626C00"/>
    <w:rsid w:val="006270D0"/>
    <w:rsid w:val="00630133"/>
    <w:rsid w:val="00630939"/>
    <w:rsid w:val="00630E4D"/>
    <w:rsid w:val="00632904"/>
    <w:rsid w:val="006334F8"/>
    <w:rsid w:val="0063525D"/>
    <w:rsid w:val="0063542C"/>
    <w:rsid w:val="0063598D"/>
    <w:rsid w:val="0063691E"/>
    <w:rsid w:val="00636ECF"/>
    <w:rsid w:val="00636F1F"/>
    <w:rsid w:val="00637591"/>
    <w:rsid w:val="00637696"/>
    <w:rsid w:val="00637ED8"/>
    <w:rsid w:val="00643173"/>
    <w:rsid w:val="00643347"/>
    <w:rsid w:val="0064521A"/>
    <w:rsid w:val="00646742"/>
    <w:rsid w:val="0064762E"/>
    <w:rsid w:val="00647A6E"/>
    <w:rsid w:val="00647BE6"/>
    <w:rsid w:val="00647CE6"/>
    <w:rsid w:val="00647DF3"/>
    <w:rsid w:val="0065166D"/>
    <w:rsid w:val="00652226"/>
    <w:rsid w:val="00652331"/>
    <w:rsid w:val="00652721"/>
    <w:rsid w:val="0065326F"/>
    <w:rsid w:val="00653A6A"/>
    <w:rsid w:val="006540A8"/>
    <w:rsid w:val="00654585"/>
    <w:rsid w:val="0065545B"/>
    <w:rsid w:val="00655C41"/>
    <w:rsid w:val="0065635A"/>
    <w:rsid w:val="006569DF"/>
    <w:rsid w:val="0065749B"/>
    <w:rsid w:val="006605C8"/>
    <w:rsid w:val="006611A6"/>
    <w:rsid w:val="00661213"/>
    <w:rsid w:val="00661DB6"/>
    <w:rsid w:val="0066230B"/>
    <w:rsid w:val="006626E4"/>
    <w:rsid w:val="006626FF"/>
    <w:rsid w:val="00663AB1"/>
    <w:rsid w:val="00663C79"/>
    <w:rsid w:val="006640BD"/>
    <w:rsid w:val="006649E2"/>
    <w:rsid w:val="00665AC8"/>
    <w:rsid w:val="00665FBE"/>
    <w:rsid w:val="00666373"/>
    <w:rsid w:val="00666C32"/>
    <w:rsid w:val="006676AC"/>
    <w:rsid w:val="00667952"/>
    <w:rsid w:val="0067064F"/>
    <w:rsid w:val="00671349"/>
    <w:rsid w:val="00672E28"/>
    <w:rsid w:val="0067375F"/>
    <w:rsid w:val="006738BA"/>
    <w:rsid w:val="00673E78"/>
    <w:rsid w:val="00674226"/>
    <w:rsid w:val="006760AF"/>
    <w:rsid w:val="00676833"/>
    <w:rsid w:val="00676EAD"/>
    <w:rsid w:val="00677E84"/>
    <w:rsid w:val="00680FC7"/>
    <w:rsid w:val="006813FF"/>
    <w:rsid w:val="00681926"/>
    <w:rsid w:val="00681B0D"/>
    <w:rsid w:val="00681BB3"/>
    <w:rsid w:val="006834CB"/>
    <w:rsid w:val="006844A5"/>
    <w:rsid w:val="00684A82"/>
    <w:rsid w:val="00685AEC"/>
    <w:rsid w:val="00686146"/>
    <w:rsid w:val="00687797"/>
    <w:rsid w:val="00687B11"/>
    <w:rsid w:val="006900AD"/>
    <w:rsid w:val="0069286E"/>
    <w:rsid w:val="00692D49"/>
    <w:rsid w:val="00693A6B"/>
    <w:rsid w:val="0069464B"/>
    <w:rsid w:val="0069494A"/>
    <w:rsid w:val="00695407"/>
    <w:rsid w:val="00696943"/>
    <w:rsid w:val="00696B70"/>
    <w:rsid w:val="00697E5D"/>
    <w:rsid w:val="00697EA6"/>
    <w:rsid w:val="006A088E"/>
    <w:rsid w:val="006A14FF"/>
    <w:rsid w:val="006A1EBF"/>
    <w:rsid w:val="006A32A5"/>
    <w:rsid w:val="006A3E62"/>
    <w:rsid w:val="006A51D8"/>
    <w:rsid w:val="006A587B"/>
    <w:rsid w:val="006A5FF7"/>
    <w:rsid w:val="006A676A"/>
    <w:rsid w:val="006B03DB"/>
    <w:rsid w:val="006B1EB5"/>
    <w:rsid w:val="006B2191"/>
    <w:rsid w:val="006B2472"/>
    <w:rsid w:val="006B38C8"/>
    <w:rsid w:val="006B4EA6"/>
    <w:rsid w:val="006B58B4"/>
    <w:rsid w:val="006B7471"/>
    <w:rsid w:val="006B7797"/>
    <w:rsid w:val="006C137D"/>
    <w:rsid w:val="006C2B1E"/>
    <w:rsid w:val="006C3EA0"/>
    <w:rsid w:val="006C4EC4"/>
    <w:rsid w:val="006C52BE"/>
    <w:rsid w:val="006C52FB"/>
    <w:rsid w:val="006C63FE"/>
    <w:rsid w:val="006C674D"/>
    <w:rsid w:val="006C6E41"/>
    <w:rsid w:val="006C714B"/>
    <w:rsid w:val="006C74A1"/>
    <w:rsid w:val="006C74B1"/>
    <w:rsid w:val="006C7EC9"/>
    <w:rsid w:val="006D17C8"/>
    <w:rsid w:val="006D7498"/>
    <w:rsid w:val="006E0F9D"/>
    <w:rsid w:val="006E245A"/>
    <w:rsid w:val="006E261F"/>
    <w:rsid w:val="006E2A02"/>
    <w:rsid w:val="006E3265"/>
    <w:rsid w:val="006E3435"/>
    <w:rsid w:val="006E3865"/>
    <w:rsid w:val="006E3C6C"/>
    <w:rsid w:val="006E3F79"/>
    <w:rsid w:val="006E4672"/>
    <w:rsid w:val="006E4788"/>
    <w:rsid w:val="006E4DB4"/>
    <w:rsid w:val="006E5069"/>
    <w:rsid w:val="006E67FB"/>
    <w:rsid w:val="006E773A"/>
    <w:rsid w:val="006E7D7F"/>
    <w:rsid w:val="006F085F"/>
    <w:rsid w:val="006F165C"/>
    <w:rsid w:val="006F18CB"/>
    <w:rsid w:val="006F2652"/>
    <w:rsid w:val="006F2791"/>
    <w:rsid w:val="006F2E45"/>
    <w:rsid w:val="006F33BC"/>
    <w:rsid w:val="006F33DC"/>
    <w:rsid w:val="006F602E"/>
    <w:rsid w:val="006F6323"/>
    <w:rsid w:val="006F675C"/>
    <w:rsid w:val="006F6942"/>
    <w:rsid w:val="006F75E1"/>
    <w:rsid w:val="0070075A"/>
    <w:rsid w:val="00700918"/>
    <w:rsid w:val="00702164"/>
    <w:rsid w:val="00702370"/>
    <w:rsid w:val="00702F1B"/>
    <w:rsid w:val="00703ECE"/>
    <w:rsid w:val="00704050"/>
    <w:rsid w:val="0070558D"/>
    <w:rsid w:val="007059B9"/>
    <w:rsid w:val="0070609D"/>
    <w:rsid w:val="007060C5"/>
    <w:rsid w:val="0070698E"/>
    <w:rsid w:val="00706B4C"/>
    <w:rsid w:val="00707CAA"/>
    <w:rsid w:val="00710D76"/>
    <w:rsid w:val="007111A1"/>
    <w:rsid w:val="0071132B"/>
    <w:rsid w:val="00711D94"/>
    <w:rsid w:val="007120C9"/>
    <w:rsid w:val="00712C60"/>
    <w:rsid w:val="00712F72"/>
    <w:rsid w:val="00713105"/>
    <w:rsid w:val="0071312E"/>
    <w:rsid w:val="00713CDE"/>
    <w:rsid w:val="00714237"/>
    <w:rsid w:val="00715503"/>
    <w:rsid w:val="007164A0"/>
    <w:rsid w:val="007167B3"/>
    <w:rsid w:val="00717851"/>
    <w:rsid w:val="00720DE3"/>
    <w:rsid w:val="007214AF"/>
    <w:rsid w:val="007215EA"/>
    <w:rsid w:val="00721F47"/>
    <w:rsid w:val="007255CB"/>
    <w:rsid w:val="0072576A"/>
    <w:rsid w:val="00730A70"/>
    <w:rsid w:val="0073114E"/>
    <w:rsid w:val="00731C13"/>
    <w:rsid w:val="00731C4E"/>
    <w:rsid w:val="00731D5F"/>
    <w:rsid w:val="007348EE"/>
    <w:rsid w:val="007352F5"/>
    <w:rsid w:val="00736C28"/>
    <w:rsid w:val="007400CE"/>
    <w:rsid w:val="00740532"/>
    <w:rsid w:val="007406C6"/>
    <w:rsid w:val="00740E10"/>
    <w:rsid w:val="0074104E"/>
    <w:rsid w:val="007410E9"/>
    <w:rsid w:val="007412CD"/>
    <w:rsid w:val="00742AAB"/>
    <w:rsid w:val="00742D90"/>
    <w:rsid w:val="007448F2"/>
    <w:rsid w:val="007453DA"/>
    <w:rsid w:val="00746062"/>
    <w:rsid w:val="00746F4C"/>
    <w:rsid w:val="00747258"/>
    <w:rsid w:val="00747DA1"/>
    <w:rsid w:val="00751C40"/>
    <w:rsid w:val="00752589"/>
    <w:rsid w:val="007539B8"/>
    <w:rsid w:val="00754007"/>
    <w:rsid w:val="00754EDE"/>
    <w:rsid w:val="00755E8E"/>
    <w:rsid w:val="00755F0A"/>
    <w:rsid w:val="0075609B"/>
    <w:rsid w:val="00756ECE"/>
    <w:rsid w:val="007579B4"/>
    <w:rsid w:val="007600AF"/>
    <w:rsid w:val="007608D6"/>
    <w:rsid w:val="00761ADD"/>
    <w:rsid w:val="00761C16"/>
    <w:rsid w:val="00762607"/>
    <w:rsid w:val="007629D7"/>
    <w:rsid w:val="00762EE0"/>
    <w:rsid w:val="0076307B"/>
    <w:rsid w:val="007631CF"/>
    <w:rsid w:val="0076387B"/>
    <w:rsid w:val="00764C9E"/>
    <w:rsid w:val="007658F4"/>
    <w:rsid w:val="00765A5D"/>
    <w:rsid w:val="00766D43"/>
    <w:rsid w:val="00767CA1"/>
    <w:rsid w:val="007706F0"/>
    <w:rsid w:val="00770C69"/>
    <w:rsid w:val="007716B0"/>
    <w:rsid w:val="00771E1D"/>
    <w:rsid w:val="007731A5"/>
    <w:rsid w:val="00774C97"/>
    <w:rsid w:val="00774EE0"/>
    <w:rsid w:val="0077513D"/>
    <w:rsid w:val="00775ACE"/>
    <w:rsid w:val="00775F86"/>
    <w:rsid w:val="007768A4"/>
    <w:rsid w:val="00776AE6"/>
    <w:rsid w:val="00780404"/>
    <w:rsid w:val="00781791"/>
    <w:rsid w:val="00781F42"/>
    <w:rsid w:val="0078241F"/>
    <w:rsid w:val="00783034"/>
    <w:rsid w:val="007831F0"/>
    <w:rsid w:val="0078333C"/>
    <w:rsid w:val="00784156"/>
    <w:rsid w:val="0078495A"/>
    <w:rsid w:val="00784A5C"/>
    <w:rsid w:val="007858E4"/>
    <w:rsid w:val="00785A64"/>
    <w:rsid w:val="007861BA"/>
    <w:rsid w:val="00790C9C"/>
    <w:rsid w:val="007912F8"/>
    <w:rsid w:val="00792361"/>
    <w:rsid w:val="00792610"/>
    <w:rsid w:val="00792FB9"/>
    <w:rsid w:val="007934D9"/>
    <w:rsid w:val="0079481A"/>
    <w:rsid w:val="00795361"/>
    <w:rsid w:val="007A1152"/>
    <w:rsid w:val="007A14A2"/>
    <w:rsid w:val="007A1D42"/>
    <w:rsid w:val="007A3017"/>
    <w:rsid w:val="007A3177"/>
    <w:rsid w:val="007A344C"/>
    <w:rsid w:val="007A34EB"/>
    <w:rsid w:val="007A35F4"/>
    <w:rsid w:val="007A36ED"/>
    <w:rsid w:val="007A45BF"/>
    <w:rsid w:val="007A50EC"/>
    <w:rsid w:val="007A5B5A"/>
    <w:rsid w:val="007B0188"/>
    <w:rsid w:val="007B0CDE"/>
    <w:rsid w:val="007B182C"/>
    <w:rsid w:val="007B2025"/>
    <w:rsid w:val="007B3463"/>
    <w:rsid w:val="007B36F0"/>
    <w:rsid w:val="007B378D"/>
    <w:rsid w:val="007B4200"/>
    <w:rsid w:val="007B4301"/>
    <w:rsid w:val="007B4E97"/>
    <w:rsid w:val="007B5430"/>
    <w:rsid w:val="007B5718"/>
    <w:rsid w:val="007B5DBE"/>
    <w:rsid w:val="007B6EB4"/>
    <w:rsid w:val="007B7687"/>
    <w:rsid w:val="007B789A"/>
    <w:rsid w:val="007C06BE"/>
    <w:rsid w:val="007C0D66"/>
    <w:rsid w:val="007C18B3"/>
    <w:rsid w:val="007C1979"/>
    <w:rsid w:val="007C1E2D"/>
    <w:rsid w:val="007C202E"/>
    <w:rsid w:val="007C2576"/>
    <w:rsid w:val="007C2E02"/>
    <w:rsid w:val="007C4676"/>
    <w:rsid w:val="007C4C30"/>
    <w:rsid w:val="007C5265"/>
    <w:rsid w:val="007C54F4"/>
    <w:rsid w:val="007C5F75"/>
    <w:rsid w:val="007C6413"/>
    <w:rsid w:val="007C7285"/>
    <w:rsid w:val="007D131F"/>
    <w:rsid w:val="007D18FA"/>
    <w:rsid w:val="007D2C68"/>
    <w:rsid w:val="007D2FE0"/>
    <w:rsid w:val="007D36B9"/>
    <w:rsid w:val="007D4168"/>
    <w:rsid w:val="007D4178"/>
    <w:rsid w:val="007D4F3C"/>
    <w:rsid w:val="007D57AB"/>
    <w:rsid w:val="007D5E81"/>
    <w:rsid w:val="007D6E31"/>
    <w:rsid w:val="007D7F83"/>
    <w:rsid w:val="007E073A"/>
    <w:rsid w:val="007E0B98"/>
    <w:rsid w:val="007E107A"/>
    <w:rsid w:val="007E12A0"/>
    <w:rsid w:val="007E2B1F"/>
    <w:rsid w:val="007E3C8C"/>
    <w:rsid w:val="007E54AF"/>
    <w:rsid w:val="007E66D1"/>
    <w:rsid w:val="007E7379"/>
    <w:rsid w:val="007E79AE"/>
    <w:rsid w:val="007F0759"/>
    <w:rsid w:val="007F08FB"/>
    <w:rsid w:val="007F12F2"/>
    <w:rsid w:val="007F19AA"/>
    <w:rsid w:val="007F1DC6"/>
    <w:rsid w:val="007F1E27"/>
    <w:rsid w:val="007F2002"/>
    <w:rsid w:val="007F30FE"/>
    <w:rsid w:val="007F4D1E"/>
    <w:rsid w:val="007F634F"/>
    <w:rsid w:val="007F6909"/>
    <w:rsid w:val="007F6EEB"/>
    <w:rsid w:val="007F7F27"/>
    <w:rsid w:val="00801721"/>
    <w:rsid w:val="00801E48"/>
    <w:rsid w:val="0080224B"/>
    <w:rsid w:val="00802947"/>
    <w:rsid w:val="00803875"/>
    <w:rsid w:val="00803F62"/>
    <w:rsid w:val="0080457B"/>
    <w:rsid w:val="00804804"/>
    <w:rsid w:val="008059A3"/>
    <w:rsid w:val="0080624E"/>
    <w:rsid w:val="00806464"/>
    <w:rsid w:val="0080680E"/>
    <w:rsid w:val="0080682F"/>
    <w:rsid w:val="00810453"/>
    <w:rsid w:val="00810F43"/>
    <w:rsid w:val="00812524"/>
    <w:rsid w:val="00812727"/>
    <w:rsid w:val="00812DC8"/>
    <w:rsid w:val="0081361B"/>
    <w:rsid w:val="0081462E"/>
    <w:rsid w:val="0081499F"/>
    <w:rsid w:val="00814BEE"/>
    <w:rsid w:val="00816377"/>
    <w:rsid w:val="008178B0"/>
    <w:rsid w:val="00820CF8"/>
    <w:rsid w:val="00820F23"/>
    <w:rsid w:val="008232A4"/>
    <w:rsid w:val="008237E5"/>
    <w:rsid w:val="00823A37"/>
    <w:rsid w:val="00824CCA"/>
    <w:rsid w:val="00825AAB"/>
    <w:rsid w:val="0082601C"/>
    <w:rsid w:val="00826AE1"/>
    <w:rsid w:val="008274B0"/>
    <w:rsid w:val="00830436"/>
    <w:rsid w:val="00831546"/>
    <w:rsid w:val="0083312F"/>
    <w:rsid w:val="008341C1"/>
    <w:rsid w:val="0083481B"/>
    <w:rsid w:val="00834969"/>
    <w:rsid w:val="00836597"/>
    <w:rsid w:val="00836DF6"/>
    <w:rsid w:val="00837948"/>
    <w:rsid w:val="00837F2F"/>
    <w:rsid w:val="008413D3"/>
    <w:rsid w:val="008423EA"/>
    <w:rsid w:val="0084343E"/>
    <w:rsid w:val="00843646"/>
    <w:rsid w:val="008441C7"/>
    <w:rsid w:val="00845340"/>
    <w:rsid w:val="008453A7"/>
    <w:rsid w:val="008458CB"/>
    <w:rsid w:val="00846154"/>
    <w:rsid w:val="0084633D"/>
    <w:rsid w:val="00846D99"/>
    <w:rsid w:val="00846F74"/>
    <w:rsid w:val="00847F3C"/>
    <w:rsid w:val="00850460"/>
    <w:rsid w:val="00850CA1"/>
    <w:rsid w:val="008512EF"/>
    <w:rsid w:val="008516B0"/>
    <w:rsid w:val="0085426C"/>
    <w:rsid w:val="00854428"/>
    <w:rsid w:val="00854928"/>
    <w:rsid w:val="008555C0"/>
    <w:rsid w:val="00855FB8"/>
    <w:rsid w:val="00860C2D"/>
    <w:rsid w:val="00861C14"/>
    <w:rsid w:val="00864180"/>
    <w:rsid w:val="0086496F"/>
    <w:rsid w:val="00864970"/>
    <w:rsid w:val="00864A9D"/>
    <w:rsid w:val="00864CFF"/>
    <w:rsid w:val="0086523E"/>
    <w:rsid w:val="008660CB"/>
    <w:rsid w:val="008669F6"/>
    <w:rsid w:val="00870E1B"/>
    <w:rsid w:val="00871740"/>
    <w:rsid w:val="008718E0"/>
    <w:rsid w:val="00871BAC"/>
    <w:rsid w:val="00871D93"/>
    <w:rsid w:val="0087437B"/>
    <w:rsid w:val="00874709"/>
    <w:rsid w:val="0087691E"/>
    <w:rsid w:val="008817B7"/>
    <w:rsid w:val="00882349"/>
    <w:rsid w:val="00882E69"/>
    <w:rsid w:val="008833FF"/>
    <w:rsid w:val="00883996"/>
    <w:rsid w:val="00883ABE"/>
    <w:rsid w:val="0088464B"/>
    <w:rsid w:val="008846B0"/>
    <w:rsid w:val="00884FDC"/>
    <w:rsid w:val="00885B21"/>
    <w:rsid w:val="0088680E"/>
    <w:rsid w:val="0088747B"/>
    <w:rsid w:val="00887E7B"/>
    <w:rsid w:val="00890045"/>
    <w:rsid w:val="008901D0"/>
    <w:rsid w:val="0089120E"/>
    <w:rsid w:val="0089137B"/>
    <w:rsid w:val="00891582"/>
    <w:rsid w:val="008923A7"/>
    <w:rsid w:val="00892BAE"/>
    <w:rsid w:val="008939A4"/>
    <w:rsid w:val="00894782"/>
    <w:rsid w:val="00895F5A"/>
    <w:rsid w:val="0089698B"/>
    <w:rsid w:val="00897EB7"/>
    <w:rsid w:val="008A170D"/>
    <w:rsid w:val="008A1973"/>
    <w:rsid w:val="008A3071"/>
    <w:rsid w:val="008A46F6"/>
    <w:rsid w:val="008A6760"/>
    <w:rsid w:val="008A6881"/>
    <w:rsid w:val="008A6E44"/>
    <w:rsid w:val="008B07CC"/>
    <w:rsid w:val="008B0D1A"/>
    <w:rsid w:val="008B0F9D"/>
    <w:rsid w:val="008B1702"/>
    <w:rsid w:val="008B17FF"/>
    <w:rsid w:val="008B24F6"/>
    <w:rsid w:val="008B39AD"/>
    <w:rsid w:val="008B3A5A"/>
    <w:rsid w:val="008B44F3"/>
    <w:rsid w:val="008B45BE"/>
    <w:rsid w:val="008B528F"/>
    <w:rsid w:val="008B5760"/>
    <w:rsid w:val="008B6909"/>
    <w:rsid w:val="008B7C99"/>
    <w:rsid w:val="008C2F79"/>
    <w:rsid w:val="008C3E56"/>
    <w:rsid w:val="008C3FB0"/>
    <w:rsid w:val="008C4B89"/>
    <w:rsid w:val="008C601F"/>
    <w:rsid w:val="008C6583"/>
    <w:rsid w:val="008C7A06"/>
    <w:rsid w:val="008D09FF"/>
    <w:rsid w:val="008D0B31"/>
    <w:rsid w:val="008D14BE"/>
    <w:rsid w:val="008D1A1E"/>
    <w:rsid w:val="008D2581"/>
    <w:rsid w:val="008D2B3D"/>
    <w:rsid w:val="008D4778"/>
    <w:rsid w:val="008D489B"/>
    <w:rsid w:val="008D4E9F"/>
    <w:rsid w:val="008D5888"/>
    <w:rsid w:val="008D6638"/>
    <w:rsid w:val="008D6A08"/>
    <w:rsid w:val="008D6E14"/>
    <w:rsid w:val="008D75B6"/>
    <w:rsid w:val="008E0468"/>
    <w:rsid w:val="008E28C4"/>
    <w:rsid w:val="008E2E5D"/>
    <w:rsid w:val="008E3398"/>
    <w:rsid w:val="008E3575"/>
    <w:rsid w:val="008E4A13"/>
    <w:rsid w:val="008E5421"/>
    <w:rsid w:val="008F07B2"/>
    <w:rsid w:val="008F2343"/>
    <w:rsid w:val="008F2666"/>
    <w:rsid w:val="008F4723"/>
    <w:rsid w:val="008F4E3A"/>
    <w:rsid w:val="008F6F13"/>
    <w:rsid w:val="008F7359"/>
    <w:rsid w:val="008F7363"/>
    <w:rsid w:val="00901221"/>
    <w:rsid w:val="00901595"/>
    <w:rsid w:val="009015FE"/>
    <w:rsid w:val="00902464"/>
    <w:rsid w:val="00903299"/>
    <w:rsid w:val="00903FA7"/>
    <w:rsid w:val="0090460E"/>
    <w:rsid w:val="00904A61"/>
    <w:rsid w:val="00904F24"/>
    <w:rsid w:val="0090560D"/>
    <w:rsid w:val="00905AC6"/>
    <w:rsid w:val="00906394"/>
    <w:rsid w:val="00907B74"/>
    <w:rsid w:val="00910E9D"/>
    <w:rsid w:val="00912949"/>
    <w:rsid w:val="00912B22"/>
    <w:rsid w:val="009133E2"/>
    <w:rsid w:val="009136A4"/>
    <w:rsid w:val="00913B1A"/>
    <w:rsid w:val="00913B50"/>
    <w:rsid w:val="00913CAF"/>
    <w:rsid w:val="00915C0B"/>
    <w:rsid w:val="00916881"/>
    <w:rsid w:val="009203DC"/>
    <w:rsid w:val="009207E6"/>
    <w:rsid w:val="0092244B"/>
    <w:rsid w:val="00922C96"/>
    <w:rsid w:val="009239FC"/>
    <w:rsid w:val="00925449"/>
    <w:rsid w:val="00925A8D"/>
    <w:rsid w:val="0093040D"/>
    <w:rsid w:val="00930BAE"/>
    <w:rsid w:val="009310DC"/>
    <w:rsid w:val="00932342"/>
    <w:rsid w:val="009327C1"/>
    <w:rsid w:val="00933DA8"/>
    <w:rsid w:val="00934765"/>
    <w:rsid w:val="00936D21"/>
    <w:rsid w:val="00937580"/>
    <w:rsid w:val="00937B0D"/>
    <w:rsid w:val="00937D75"/>
    <w:rsid w:val="00940A82"/>
    <w:rsid w:val="00940E35"/>
    <w:rsid w:val="00940EDA"/>
    <w:rsid w:val="0094124A"/>
    <w:rsid w:val="00941ADF"/>
    <w:rsid w:val="00941B72"/>
    <w:rsid w:val="00942A21"/>
    <w:rsid w:val="00942ADC"/>
    <w:rsid w:val="00943CF1"/>
    <w:rsid w:val="00943FCB"/>
    <w:rsid w:val="00944FC2"/>
    <w:rsid w:val="009458A6"/>
    <w:rsid w:val="00947956"/>
    <w:rsid w:val="00950147"/>
    <w:rsid w:val="00950849"/>
    <w:rsid w:val="00951195"/>
    <w:rsid w:val="00952E36"/>
    <w:rsid w:val="0095387C"/>
    <w:rsid w:val="00953BCF"/>
    <w:rsid w:val="009549D6"/>
    <w:rsid w:val="0095533C"/>
    <w:rsid w:val="00955566"/>
    <w:rsid w:val="00957166"/>
    <w:rsid w:val="009571F6"/>
    <w:rsid w:val="009573BC"/>
    <w:rsid w:val="009607C5"/>
    <w:rsid w:val="009616DF"/>
    <w:rsid w:val="00961E6F"/>
    <w:rsid w:val="009621A3"/>
    <w:rsid w:val="009638C7"/>
    <w:rsid w:val="00965E05"/>
    <w:rsid w:val="00972864"/>
    <w:rsid w:val="00972CB4"/>
    <w:rsid w:val="00973C8C"/>
    <w:rsid w:val="0097449B"/>
    <w:rsid w:val="00974AAB"/>
    <w:rsid w:val="009753A0"/>
    <w:rsid w:val="00975561"/>
    <w:rsid w:val="009756FD"/>
    <w:rsid w:val="00975C9F"/>
    <w:rsid w:val="00975F81"/>
    <w:rsid w:val="009764DD"/>
    <w:rsid w:val="00976827"/>
    <w:rsid w:val="0097686B"/>
    <w:rsid w:val="00980D95"/>
    <w:rsid w:val="00981252"/>
    <w:rsid w:val="009813E4"/>
    <w:rsid w:val="009826B9"/>
    <w:rsid w:val="00982D46"/>
    <w:rsid w:val="00982E6B"/>
    <w:rsid w:val="0098301C"/>
    <w:rsid w:val="0098308E"/>
    <w:rsid w:val="00983201"/>
    <w:rsid w:val="00983701"/>
    <w:rsid w:val="009837EC"/>
    <w:rsid w:val="00983E4A"/>
    <w:rsid w:val="0098442E"/>
    <w:rsid w:val="009857A5"/>
    <w:rsid w:val="0098744E"/>
    <w:rsid w:val="0098751A"/>
    <w:rsid w:val="00987BCC"/>
    <w:rsid w:val="009907C6"/>
    <w:rsid w:val="00991739"/>
    <w:rsid w:val="009919CE"/>
    <w:rsid w:val="00991A28"/>
    <w:rsid w:val="00992876"/>
    <w:rsid w:val="009929EE"/>
    <w:rsid w:val="00992D45"/>
    <w:rsid w:val="009944C2"/>
    <w:rsid w:val="00995648"/>
    <w:rsid w:val="00996608"/>
    <w:rsid w:val="00997A71"/>
    <w:rsid w:val="00997D42"/>
    <w:rsid w:val="00997D62"/>
    <w:rsid w:val="009A0241"/>
    <w:rsid w:val="009A07F5"/>
    <w:rsid w:val="009A177F"/>
    <w:rsid w:val="009A348F"/>
    <w:rsid w:val="009A37A9"/>
    <w:rsid w:val="009A46D4"/>
    <w:rsid w:val="009A6DB1"/>
    <w:rsid w:val="009A7636"/>
    <w:rsid w:val="009B035D"/>
    <w:rsid w:val="009B0B53"/>
    <w:rsid w:val="009B1468"/>
    <w:rsid w:val="009B1A0E"/>
    <w:rsid w:val="009B1CD9"/>
    <w:rsid w:val="009B1DCD"/>
    <w:rsid w:val="009B29DA"/>
    <w:rsid w:val="009B2FB6"/>
    <w:rsid w:val="009B4140"/>
    <w:rsid w:val="009B45DC"/>
    <w:rsid w:val="009B4C0A"/>
    <w:rsid w:val="009B4E0E"/>
    <w:rsid w:val="009B59CB"/>
    <w:rsid w:val="009B6C53"/>
    <w:rsid w:val="009B6DBE"/>
    <w:rsid w:val="009B7158"/>
    <w:rsid w:val="009B776D"/>
    <w:rsid w:val="009B7E1F"/>
    <w:rsid w:val="009B7EC5"/>
    <w:rsid w:val="009B7EF4"/>
    <w:rsid w:val="009C0BA9"/>
    <w:rsid w:val="009C207F"/>
    <w:rsid w:val="009C20EB"/>
    <w:rsid w:val="009C40C2"/>
    <w:rsid w:val="009C46B1"/>
    <w:rsid w:val="009C53D7"/>
    <w:rsid w:val="009C780A"/>
    <w:rsid w:val="009D0067"/>
    <w:rsid w:val="009D03F3"/>
    <w:rsid w:val="009D0A54"/>
    <w:rsid w:val="009D0BCD"/>
    <w:rsid w:val="009D0F2B"/>
    <w:rsid w:val="009D116D"/>
    <w:rsid w:val="009D162E"/>
    <w:rsid w:val="009D1679"/>
    <w:rsid w:val="009D1A06"/>
    <w:rsid w:val="009D1A0D"/>
    <w:rsid w:val="009D1FA2"/>
    <w:rsid w:val="009D24C1"/>
    <w:rsid w:val="009D251C"/>
    <w:rsid w:val="009D2D5F"/>
    <w:rsid w:val="009D314F"/>
    <w:rsid w:val="009D31AC"/>
    <w:rsid w:val="009D3A4C"/>
    <w:rsid w:val="009D3E70"/>
    <w:rsid w:val="009D44EA"/>
    <w:rsid w:val="009D4502"/>
    <w:rsid w:val="009D514B"/>
    <w:rsid w:val="009D555E"/>
    <w:rsid w:val="009D6DD0"/>
    <w:rsid w:val="009D7063"/>
    <w:rsid w:val="009D7272"/>
    <w:rsid w:val="009E0B33"/>
    <w:rsid w:val="009E184F"/>
    <w:rsid w:val="009E1DE8"/>
    <w:rsid w:val="009E471B"/>
    <w:rsid w:val="009E500A"/>
    <w:rsid w:val="009E6B8E"/>
    <w:rsid w:val="009E71A9"/>
    <w:rsid w:val="009E79BF"/>
    <w:rsid w:val="009F0318"/>
    <w:rsid w:val="009F21E2"/>
    <w:rsid w:val="009F35C8"/>
    <w:rsid w:val="009F3976"/>
    <w:rsid w:val="009F4177"/>
    <w:rsid w:val="009F54D0"/>
    <w:rsid w:val="009F5883"/>
    <w:rsid w:val="009F6E73"/>
    <w:rsid w:val="009F72E0"/>
    <w:rsid w:val="009F795F"/>
    <w:rsid w:val="00A007A2"/>
    <w:rsid w:val="00A03265"/>
    <w:rsid w:val="00A03E36"/>
    <w:rsid w:val="00A04C8F"/>
    <w:rsid w:val="00A04EA8"/>
    <w:rsid w:val="00A05499"/>
    <w:rsid w:val="00A06317"/>
    <w:rsid w:val="00A063D3"/>
    <w:rsid w:val="00A07926"/>
    <w:rsid w:val="00A0796A"/>
    <w:rsid w:val="00A10193"/>
    <w:rsid w:val="00A109C1"/>
    <w:rsid w:val="00A10DFF"/>
    <w:rsid w:val="00A1108F"/>
    <w:rsid w:val="00A115C3"/>
    <w:rsid w:val="00A11AF7"/>
    <w:rsid w:val="00A125E0"/>
    <w:rsid w:val="00A14231"/>
    <w:rsid w:val="00A144C1"/>
    <w:rsid w:val="00A14F08"/>
    <w:rsid w:val="00A16BD6"/>
    <w:rsid w:val="00A16DF2"/>
    <w:rsid w:val="00A17330"/>
    <w:rsid w:val="00A17943"/>
    <w:rsid w:val="00A17CC6"/>
    <w:rsid w:val="00A20096"/>
    <w:rsid w:val="00A21756"/>
    <w:rsid w:val="00A21B2E"/>
    <w:rsid w:val="00A21C33"/>
    <w:rsid w:val="00A23DEB"/>
    <w:rsid w:val="00A24406"/>
    <w:rsid w:val="00A24B7E"/>
    <w:rsid w:val="00A24E6C"/>
    <w:rsid w:val="00A2653C"/>
    <w:rsid w:val="00A269BC"/>
    <w:rsid w:val="00A26A79"/>
    <w:rsid w:val="00A26DE0"/>
    <w:rsid w:val="00A27C06"/>
    <w:rsid w:val="00A27DB9"/>
    <w:rsid w:val="00A30905"/>
    <w:rsid w:val="00A3178D"/>
    <w:rsid w:val="00A317BA"/>
    <w:rsid w:val="00A31A57"/>
    <w:rsid w:val="00A31BB4"/>
    <w:rsid w:val="00A31DCB"/>
    <w:rsid w:val="00A321EF"/>
    <w:rsid w:val="00A32592"/>
    <w:rsid w:val="00A335EC"/>
    <w:rsid w:val="00A33A28"/>
    <w:rsid w:val="00A34339"/>
    <w:rsid w:val="00A34F5F"/>
    <w:rsid w:val="00A35851"/>
    <w:rsid w:val="00A37708"/>
    <w:rsid w:val="00A37863"/>
    <w:rsid w:val="00A40456"/>
    <w:rsid w:val="00A409EF"/>
    <w:rsid w:val="00A40B31"/>
    <w:rsid w:val="00A4102C"/>
    <w:rsid w:val="00A4105A"/>
    <w:rsid w:val="00A4132E"/>
    <w:rsid w:val="00A4133B"/>
    <w:rsid w:val="00A41492"/>
    <w:rsid w:val="00A42D07"/>
    <w:rsid w:val="00A43ABB"/>
    <w:rsid w:val="00A45038"/>
    <w:rsid w:val="00A456DC"/>
    <w:rsid w:val="00A4662D"/>
    <w:rsid w:val="00A4769B"/>
    <w:rsid w:val="00A47E1D"/>
    <w:rsid w:val="00A50E4F"/>
    <w:rsid w:val="00A52135"/>
    <w:rsid w:val="00A52978"/>
    <w:rsid w:val="00A52C1C"/>
    <w:rsid w:val="00A535C7"/>
    <w:rsid w:val="00A5468A"/>
    <w:rsid w:val="00A5632D"/>
    <w:rsid w:val="00A5650B"/>
    <w:rsid w:val="00A56778"/>
    <w:rsid w:val="00A57AA5"/>
    <w:rsid w:val="00A60552"/>
    <w:rsid w:val="00A61625"/>
    <w:rsid w:val="00A61705"/>
    <w:rsid w:val="00A61BBD"/>
    <w:rsid w:val="00A62E20"/>
    <w:rsid w:val="00A6337D"/>
    <w:rsid w:val="00A63ACF"/>
    <w:rsid w:val="00A6496A"/>
    <w:rsid w:val="00A64EAC"/>
    <w:rsid w:val="00A651E4"/>
    <w:rsid w:val="00A651F7"/>
    <w:rsid w:val="00A66AA4"/>
    <w:rsid w:val="00A66B94"/>
    <w:rsid w:val="00A66BC9"/>
    <w:rsid w:val="00A67655"/>
    <w:rsid w:val="00A71A39"/>
    <w:rsid w:val="00A71BA6"/>
    <w:rsid w:val="00A71EF2"/>
    <w:rsid w:val="00A7299E"/>
    <w:rsid w:val="00A72BA4"/>
    <w:rsid w:val="00A73531"/>
    <w:rsid w:val="00A76A5D"/>
    <w:rsid w:val="00A76E1A"/>
    <w:rsid w:val="00A7701A"/>
    <w:rsid w:val="00A8132A"/>
    <w:rsid w:val="00A81C62"/>
    <w:rsid w:val="00A84EAB"/>
    <w:rsid w:val="00A860D7"/>
    <w:rsid w:val="00A8655A"/>
    <w:rsid w:val="00A87B8C"/>
    <w:rsid w:val="00A90323"/>
    <w:rsid w:val="00A90A14"/>
    <w:rsid w:val="00A90E52"/>
    <w:rsid w:val="00A9179E"/>
    <w:rsid w:val="00A928C5"/>
    <w:rsid w:val="00A946D7"/>
    <w:rsid w:val="00A96C28"/>
    <w:rsid w:val="00A9705E"/>
    <w:rsid w:val="00A971F1"/>
    <w:rsid w:val="00AA036B"/>
    <w:rsid w:val="00AA0560"/>
    <w:rsid w:val="00AA0C72"/>
    <w:rsid w:val="00AA17F2"/>
    <w:rsid w:val="00AA1DC9"/>
    <w:rsid w:val="00AA2A48"/>
    <w:rsid w:val="00AA477F"/>
    <w:rsid w:val="00AA48AF"/>
    <w:rsid w:val="00AA4F60"/>
    <w:rsid w:val="00AA513E"/>
    <w:rsid w:val="00AA69CE"/>
    <w:rsid w:val="00AA6AC2"/>
    <w:rsid w:val="00AA70C3"/>
    <w:rsid w:val="00AB09B3"/>
    <w:rsid w:val="00AB0A5D"/>
    <w:rsid w:val="00AB0E64"/>
    <w:rsid w:val="00AB3A99"/>
    <w:rsid w:val="00AB3E28"/>
    <w:rsid w:val="00AB44CE"/>
    <w:rsid w:val="00AB48E3"/>
    <w:rsid w:val="00AB6820"/>
    <w:rsid w:val="00AB6915"/>
    <w:rsid w:val="00AB7212"/>
    <w:rsid w:val="00AB7CB8"/>
    <w:rsid w:val="00AC073B"/>
    <w:rsid w:val="00AC11FC"/>
    <w:rsid w:val="00AC19E9"/>
    <w:rsid w:val="00AC29E3"/>
    <w:rsid w:val="00AC46FC"/>
    <w:rsid w:val="00AC59E3"/>
    <w:rsid w:val="00AC614A"/>
    <w:rsid w:val="00AC6464"/>
    <w:rsid w:val="00AC6864"/>
    <w:rsid w:val="00AC70CD"/>
    <w:rsid w:val="00AC754D"/>
    <w:rsid w:val="00AD0041"/>
    <w:rsid w:val="00AD0CDB"/>
    <w:rsid w:val="00AD1D23"/>
    <w:rsid w:val="00AD1DCB"/>
    <w:rsid w:val="00AD2456"/>
    <w:rsid w:val="00AD27B9"/>
    <w:rsid w:val="00AD477E"/>
    <w:rsid w:val="00AD5021"/>
    <w:rsid w:val="00AD5374"/>
    <w:rsid w:val="00AD5D5C"/>
    <w:rsid w:val="00AD6847"/>
    <w:rsid w:val="00AD70F7"/>
    <w:rsid w:val="00AD7615"/>
    <w:rsid w:val="00AD7C38"/>
    <w:rsid w:val="00AD7D86"/>
    <w:rsid w:val="00AE053F"/>
    <w:rsid w:val="00AE1CFC"/>
    <w:rsid w:val="00AE1FD2"/>
    <w:rsid w:val="00AE56D2"/>
    <w:rsid w:val="00AE5FAB"/>
    <w:rsid w:val="00AE640D"/>
    <w:rsid w:val="00AE6745"/>
    <w:rsid w:val="00AE740D"/>
    <w:rsid w:val="00AE7616"/>
    <w:rsid w:val="00AE7EC7"/>
    <w:rsid w:val="00AF050B"/>
    <w:rsid w:val="00AF1899"/>
    <w:rsid w:val="00AF19F4"/>
    <w:rsid w:val="00AF1BD6"/>
    <w:rsid w:val="00AF2922"/>
    <w:rsid w:val="00AF2F22"/>
    <w:rsid w:val="00AF31AA"/>
    <w:rsid w:val="00AF3685"/>
    <w:rsid w:val="00AF40A4"/>
    <w:rsid w:val="00AF48A2"/>
    <w:rsid w:val="00AF49F0"/>
    <w:rsid w:val="00AF5402"/>
    <w:rsid w:val="00AF54E0"/>
    <w:rsid w:val="00AF58C5"/>
    <w:rsid w:val="00AF5B61"/>
    <w:rsid w:val="00AF6ECF"/>
    <w:rsid w:val="00AF7B32"/>
    <w:rsid w:val="00B00352"/>
    <w:rsid w:val="00B00435"/>
    <w:rsid w:val="00B0054E"/>
    <w:rsid w:val="00B00E65"/>
    <w:rsid w:val="00B0174B"/>
    <w:rsid w:val="00B030C7"/>
    <w:rsid w:val="00B036C9"/>
    <w:rsid w:val="00B04C3E"/>
    <w:rsid w:val="00B0599C"/>
    <w:rsid w:val="00B06316"/>
    <w:rsid w:val="00B07101"/>
    <w:rsid w:val="00B10251"/>
    <w:rsid w:val="00B10F4B"/>
    <w:rsid w:val="00B1239A"/>
    <w:rsid w:val="00B12D3C"/>
    <w:rsid w:val="00B14A1F"/>
    <w:rsid w:val="00B14C1E"/>
    <w:rsid w:val="00B14E8D"/>
    <w:rsid w:val="00B1594C"/>
    <w:rsid w:val="00B161F8"/>
    <w:rsid w:val="00B16B8C"/>
    <w:rsid w:val="00B17507"/>
    <w:rsid w:val="00B17F59"/>
    <w:rsid w:val="00B2079D"/>
    <w:rsid w:val="00B218B5"/>
    <w:rsid w:val="00B2431F"/>
    <w:rsid w:val="00B24385"/>
    <w:rsid w:val="00B25117"/>
    <w:rsid w:val="00B256C1"/>
    <w:rsid w:val="00B2592B"/>
    <w:rsid w:val="00B25BE0"/>
    <w:rsid w:val="00B25DB9"/>
    <w:rsid w:val="00B262D7"/>
    <w:rsid w:val="00B268CC"/>
    <w:rsid w:val="00B27001"/>
    <w:rsid w:val="00B3065A"/>
    <w:rsid w:val="00B30B0C"/>
    <w:rsid w:val="00B30D9A"/>
    <w:rsid w:val="00B31B6D"/>
    <w:rsid w:val="00B3295F"/>
    <w:rsid w:val="00B331E9"/>
    <w:rsid w:val="00B340DD"/>
    <w:rsid w:val="00B346C9"/>
    <w:rsid w:val="00B34BD9"/>
    <w:rsid w:val="00B34D8E"/>
    <w:rsid w:val="00B36296"/>
    <w:rsid w:val="00B40418"/>
    <w:rsid w:val="00B40798"/>
    <w:rsid w:val="00B412CC"/>
    <w:rsid w:val="00B418D0"/>
    <w:rsid w:val="00B41F0B"/>
    <w:rsid w:val="00B427D5"/>
    <w:rsid w:val="00B42D7C"/>
    <w:rsid w:val="00B43571"/>
    <w:rsid w:val="00B435E4"/>
    <w:rsid w:val="00B4430D"/>
    <w:rsid w:val="00B44FB1"/>
    <w:rsid w:val="00B45AAE"/>
    <w:rsid w:val="00B473E2"/>
    <w:rsid w:val="00B50309"/>
    <w:rsid w:val="00B5078E"/>
    <w:rsid w:val="00B51AFB"/>
    <w:rsid w:val="00B52844"/>
    <w:rsid w:val="00B54CDC"/>
    <w:rsid w:val="00B55577"/>
    <w:rsid w:val="00B56761"/>
    <w:rsid w:val="00B56A8E"/>
    <w:rsid w:val="00B57D9A"/>
    <w:rsid w:val="00B57FC5"/>
    <w:rsid w:val="00B604FE"/>
    <w:rsid w:val="00B60595"/>
    <w:rsid w:val="00B62EA4"/>
    <w:rsid w:val="00B62F91"/>
    <w:rsid w:val="00B636B3"/>
    <w:rsid w:val="00B63864"/>
    <w:rsid w:val="00B63912"/>
    <w:rsid w:val="00B6507D"/>
    <w:rsid w:val="00B66068"/>
    <w:rsid w:val="00B66474"/>
    <w:rsid w:val="00B6678A"/>
    <w:rsid w:val="00B66C09"/>
    <w:rsid w:val="00B66C9E"/>
    <w:rsid w:val="00B67C49"/>
    <w:rsid w:val="00B703A2"/>
    <w:rsid w:val="00B704E8"/>
    <w:rsid w:val="00B709AC"/>
    <w:rsid w:val="00B7100C"/>
    <w:rsid w:val="00B711D0"/>
    <w:rsid w:val="00B7214C"/>
    <w:rsid w:val="00B73564"/>
    <w:rsid w:val="00B73616"/>
    <w:rsid w:val="00B73921"/>
    <w:rsid w:val="00B74158"/>
    <w:rsid w:val="00B7516A"/>
    <w:rsid w:val="00B75A78"/>
    <w:rsid w:val="00B810D4"/>
    <w:rsid w:val="00B811C4"/>
    <w:rsid w:val="00B81726"/>
    <w:rsid w:val="00B82737"/>
    <w:rsid w:val="00B8349B"/>
    <w:rsid w:val="00B83932"/>
    <w:rsid w:val="00B83B0F"/>
    <w:rsid w:val="00B8424E"/>
    <w:rsid w:val="00B84571"/>
    <w:rsid w:val="00B85EA9"/>
    <w:rsid w:val="00B86404"/>
    <w:rsid w:val="00B87AC2"/>
    <w:rsid w:val="00B87DC8"/>
    <w:rsid w:val="00B928F8"/>
    <w:rsid w:val="00B9290C"/>
    <w:rsid w:val="00B93167"/>
    <w:rsid w:val="00B94052"/>
    <w:rsid w:val="00B94F83"/>
    <w:rsid w:val="00B95608"/>
    <w:rsid w:val="00B97ACA"/>
    <w:rsid w:val="00BA1F60"/>
    <w:rsid w:val="00BA30E6"/>
    <w:rsid w:val="00BA3945"/>
    <w:rsid w:val="00BA4A18"/>
    <w:rsid w:val="00BA536B"/>
    <w:rsid w:val="00BA53D8"/>
    <w:rsid w:val="00BA5C79"/>
    <w:rsid w:val="00BA66E9"/>
    <w:rsid w:val="00BA68B9"/>
    <w:rsid w:val="00BA6FF7"/>
    <w:rsid w:val="00BA7F12"/>
    <w:rsid w:val="00BB00EA"/>
    <w:rsid w:val="00BB10EC"/>
    <w:rsid w:val="00BB176B"/>
    <w:rsid w:val="00BB1881"/>
    <w:rsid w:val="00BB1E78"/>
    <w:rsid w:val="00BB23BE"/>
    <w:rsid w:val="00BB23F5"/>
    <w:rsid w:val="00BB3EDB"/>
    <w:rsid w:val="00BB539B"/>
    <w:rsid w:val="00BB5409"/>
    <w:rsid w:val="00BB566F"/>
    <w:rsid w:val="00BB59B3"/>
    <w:rsid w:val="00BB7096"/>
    <w:rsid w:val="00BB7202"/>
    <w:rsid w:val="00BB7BE6"/>
    <w:rsid w:val="00BC1BD4"/>
    <w:rsid w:val="00BC2DDD"/>
    <w:rsid w:val="00BC4927"/>
    <w:rsid w:val="00BC5763"/>
    <w:rsid w:val="00BC5B60"/>
    <w:rsid w:val="00BC6061"/>
    <w:rsid w:val="00BC64F4"/>
    <w:rsid w:val="00BC6AE1"/>
    <w:rsid w:val="00BD01DD"/>
    <w:rsid w:val="00BD03EF"/>
    <w:rsid w:val="00BD067B"/>
    <w:rsid w:val="00BD1BAB"/>
    <w:rsid w:val="00BD24FE"/>
    <w:rsid w:val="00BD2539"/>
    <w:rsid w:val="00BD306E"/>
    <w:rsid w:val="00BD3C60"/>
    <w:rsid w:val="00BD43D3"/>
    <w:rsid w:val="00BD46A7"/>
    <w:rsid w:val="00BD4883"/>
    <w:rsid w:val="00BD4A9F"/>
    <w:rsid w:val="00BD4B5A"/>
    <w:rsid w:val="00BD5EBE"/>
    <w:rsid w:val="00BE2C5A"/>
    <w:rsid w:val="00BE3938"/>
    <w:rsid w:val="00BE488A"/>
    <w:rsid w:val="00BE5503"/>
    <w:rsid w:val="00BE5E80"/>
    <w:rsid w:val="00BE5E92"/>
    <w:rsid w:val="00BE6B8A"/>
    <w:rsid w:val="00BF0271"/>
    <w:rsid w:val="00BF06D2"/>
    <w:rsid w:val="00BF24E8"/>
    <w:rsid w:val="00BF2B33"/>
    <w:rsid w:val="00BF337F"/>
    <w:rsid w:val="00BF418D"/>
    <w:rsid w:val="00BF43FE"/>
    <w:rsid w:val="00BF539D"/>
    <w:rsid w:val="00BF6142"/>
    <w:rsid w:val="00BF728E"/>
    <w:rsid w:val="00C0008E"/>
    <w:rsid w:val="00C00484"/>
    <w:rsid w:val="00C01627"/>
    <w:rsid w:val="00C02071"/>
    <w:rsid w:val="00C02281"/>
    <w:rsid w:val="00C02407"/>
    <w:rsid w:val="00C02533"/>
    <w:rsid w:val="00C0297D"/>
    <w:rsid w:val="00C02A6C"/>
    <w:rsid w:val="00C02CD9"/>
    <w:rsid w:val="00C030F5"/>
    <w:rsid w:val="00C033F4"/>
    <w:rsid w:val="00C045D4"/>
    <w:rsid w:val="00C05712"/>
    <w:rsid w:val="00C057DF"/>
    <w:rsid w:val="00C066FD"/>
    <w:rsid w:val="00C101A3"/>
    <w:rsid w:val="00C1281E"/>
    <w:rsid w:val="00C12E1F"/>
    <w:rsid w:val="00C12E33"/>
    <w:rsid w:val="00C1348E"/>
    <w:rsid w:val="00C14F7D"/>
    <w:rsid w:val="00C1519F"/>
    <w:rsid w:val="00C1548A"/>
    <w:rsid w:val="00C15900"/>
    <w:rsid w:val="00C16C12"/>
    <w:rsid w:val="00C16CFB"/>
    <w:rsid w:val="00C178E8"/>
    <w:rsid w:val="00C22A08"/>
    <w:rsid w:val="00C23E85"/>
    <w:rsid w:val="00C254AA"/>
    <w:rsid w:val="00C25845"/>
    <w:rsid w:val="00C25B11"/>
    <w:rsid w:val="00C25CFA"/>
    <w:rsid w:val="00C261F0"/>
    <w:rsid w:val="00C26BA9"/>
    <w:rsid w:val="00C271D8"/>
    <w:rsid w:val="00C310CA"/>
    <w:rsid w:val="00C31FB9"/>
    <w:rsid w:val="00C3226C"/>
    <w:rsid w:val="00C32911"/>
    <w:rsid w:val="00C3317A"/>
    <w:rsid w:val="00C33C2B"/>
    <w:rsid w:val="00C3534E"/>
    <w:rsid w:val="00C357DD"/>
    <w:rsid w:val="00C35B0C"/>
    <w:rsid w:val="00C36354"/>
    <w:rsid w:val="00C364A8"/>
    <w:rsid w:val="00C366AF"/>
    <w:rsid w:val="00C37652"/>
    <w:rsid w:val="00C379F1"/>
    <w:rsid w:val="00C443CB"/>
    <w:rsid w:val="00C446CD"/>
    <w:rsid w:val="00C4557C"/>
    <w:rsid w:val="00C4680E"/>
    <w:rsid w:val="00C46954"/>
    <w:rsid w:val="00C46B40"/>
    <w:rsid w:val="00C46E91"/>
    <w:rsid w:val="00C47BAE"/>
    <w:rsid w:val="00C50430"/>
    <w:rsid w:val="00C50E4C"/>
    <w:rsid w:val="00C50FCD"/>
    <w:rsid w:val="00C51442"/>
    <w:rsid w:val="00C51584"/>
    <w:rsid w:val="00C52674"/>
    <w:rsid w:val="00C53C01"/>
    <w:rsid w:val="00C5505C"/>
    <w:rsid w:val="00C55EF8"/>
    <w:rsid w:val="00C564A6"/>
    <w:rsid w:val="00C56C6C"/>
    <w:rsid w:val="00C57166"/>
    <w:rsid w:val="00C57E4E"/>
    <w:rsid w:val="00C60806"/>
    <w:rsid w:val="00C60938"/>
    <w:rsid w:val="00C60AE7"/>
    <w:rsid w:val="00C60CCD"/>
    <w:rsid w:val="00C612BD"/>
    <w:rsid w:val="00C63807"/>
    <w:rsid w:val="00C639CF"/>
    <w:rsid w:val="00C66629"/>
    <w:rsid w:val="00C66994"/>
    <w:rsid w:val="00C676FF"/>
    <w:rsid w:val="00C7019A"/>
    <w:rsid w:val="00C707EA"/>
    <w:rsid w:val="00C71772"/>
    <w:rsid w:val="00C72A61"/>
    <w:rsid w:val="00C75886"/>
    <w:rsid w:val="00C76600"/>
    <w:rsid w:val="00C76BC7"/>
    <w:rsid w:val="00C77A6C"/>
    <w:rsid w:val="00C77D1F"/>
    <w:rsid w:val="00C808B5"/>
    <w:rsid w:val="00C80F98"/>
    <w:rsid w:val="00C8133D"/>
    <w:rsid w:val="00C82071"/>
    <w:rsid w:val="00C824C4"/>
    <w:rsid w:val="00C835F8"/>
    <w:rsid w:val="00C84647"/>
    <w:rsid w:val="00C84DB0"/>
    <w:rsid w:val="00C9070A"/>
    <w:rsid w:val="00C9092F"/>
    <w:rsid w:val="00C9109A"/>
    <w:rsid w:val="00C91C06"/>
    <w:rsid w:val="00C91CCD"/>
    <w:rsid w:val="00C9267E"/>
    <w:rsid w:val="00C928BC"/>
    <w:rsid w:val="00C9442B"/>
    <w:rsid w:val="00C94CC7"/>
    <w:rsid w:val="00C9621F"/>
    <w:rsid w:val="00C96E89"/>
    <w:rsid w:val="00C978FF"/>
    <w:rsid w:val="00CA0694"/>
    <w:rsid w:val="00CA46DB"/>
    <w:rsid w:val="00CA5D4A"/>
    <w:rsid w:val="00CB02B2"/>
    <w:rsid w:val="00CB0E6B"/>
    <w:rsid w:val="00CB144F"/>
    <w:rsid w:val="00CB166F"/>
    <w:rsid w:val="00CB19CD"/>
    <w:rsid w:val="00CB1B31"/>
    <w:rsid w:val="00CB1C8F"/>
    <w:rsid w:val="00CB523F"/>
    <w:rsid w:val="00CB659A"/>
    <w:rsid w:val="00CB6C16"/>
    <w:rsid w:val="00CB6C2F"/>
    <w:rsid w:val="00CB7D84"/>
    <w:rsid w:val="00CC302E"/>
    <w:rsid w:val="00CC3E71"/>
    <w:rsid w:val="00CC434D"/>
    <w:rsid w:val="00CC49E5"/>
    <w:rsid w:val="00CC54D2"/>
    <w:rsid w:val="00CC704C"/>
    <w:rsid w:val="00CC7526"/>
    <w:rsid w:val="00CD0954"/>
    <w:rsid w:val="00CD143A"/>
    <w:rsid w:val="00CD2538"/>
    <w:rsid w:val="00CD2F03"/>
    <w:rsid w:val="00CD2F5D"/>
    <w:rsid w:val="00CD351F"/>
    <w:rsid w:val="00CD3FFE"/>
    <w:rsid w:val="00CD458B"/>
    <w:rsid w:val="00CD4954"/>
    <w:rsid w:val="00CD4974"/>
    <w:rsid w:val="00CD4CE3"/>
    <w:rsid w:val="00CD4D79"/>
    <w:rsid w:val="00CD668C"/>
    <w:rsid w:val="00CD7DC3"/>
    <w:rsid w:val="00CE0AA1"/>
    <w:rsid w:val="00CE0BCA"/>
    <w:rsid w:val="00CE0D26"/>
    <w:rsid w:val="00CE13FA"/>
    <w:rsid w:val="00CE234A"/>
    <w:rsid w:val="00CE2ED6"/>
    <w:rsid w:val="00CE35B0"/>
    <w:rsid w:val="00CE3C16"/>
    <w:rsid w:val="00CE4504"/>
    <w:rsid w:val="00CE4818"/>
    <w:rsid w:val="00CE5DC8"/>
    <w:rsid w:val="00CE64DB"/>
    <w:rsid w:val="00CE6980"/>
    <w:rsid w:val="00CF1630"/>
    <w:rsid w:val="00CF18EA"/>
    <w:rsid w:val="00CF284B"/>
    <w:rsid w:val="00CF28D2"/>
    <w:rsid w:val="00CF317A"/>
    <w:rsid w:val="00CF548F"/>
    <w:rsid w:val="00CF5C4B"/>
    <w:rsid w:val="00CF629F"/>
    <w:rsid w:val="00CF6E0E"/>
    <w:rsid w:val="00CF7589"/>
    <w:rsid w:val="00CF7BF5"/>
    <w:rsid w:val="00D02317"/>
    <w:rsid w:val="00D02481"/>
    <w:rsid w:val="00D0392F"/>
    <w:rsid w:val="00D03D06"/>
    <w:rsid w:val="00D041A8"/>
    <w:rsid w:val="00D0498C"/>
    <w:rsid w:val="00D0587D"/>
    <w:rsid w:val="00D060B9"/>
    <w:rsid w:val="00D06EC3"/>
    <w:rsid w:val="00D1189F"/>
    <w:rsid w:val="00D11C27"/>
    <w:rsid w:val="00D1395B"/>
    <w:rsid w:val="00D13F86"/>
    <w:rsid w:val="00D141A5"/>
    <w:rsid w:val="00D148D9"/>
    <w:rsid w:val="00D15194"/>
    <w:rsid w:val="00D16162"/>
    <w:rsid w:val="00D165BB"/>
    <w:rsid w:val="00D16D36"/>
    <w:rsid w:val="00D17411"/>
    <w:rsid w:val="00D20BCE"/>
    <w:rsid w:val="00D21244"/>
    <w:rsid w:val="00D22E72"/>
    <w:rsid w:val="00D23127"/>
    <w:rsid w:val="00D234B0"/>
    <w:rsid w:val="00D239D7"/>
    <w:rsid w:val="00D23BD6"/>
    <w:rsid w:val="00D23DC1"/>
    <w:rsid w:val="00D2406C"/>
    <w:rsid w:val="00D261B6"/>
    <w:rsid w:val="00D308DB"/>
    <w:rsid w:val="00D311FF"/>
    <w:rsid w:val="00D3161F"/>
    <w:rsid w:val="00D357AE"/>
    <w:rsid w:val="00D35913"/>
    <w:rsid w:val="00D36832"/>
    <w:rsid w:val="00D37192"/>
    <w:rsid w:val="00D376DD"/>
    <w:rsid w:val="00D37E56"/>
    <w:rsid w:val="00D40032"/>
    <w:rsid w:val="00D42C9E"/>
    <w:rsid w:val="00D43925"/>
    <w:rsid w:val="00D44090"/>
    <w:rsid w:val="00D4423C"/>
    <w:rsid w:val="00D4435D"/>
    <w:rsid w:val="00D44ECA"/>
    <w:rsid w:val="00D45799"/>
    <w:rsid w:val="00D46ACE"/>
    <w:rsid w:val="00D46FEC"/>
    <w:rsid w:val="00D501CF"/>
    <w:rsid w:val="00D5062E"/>
    <w:rsid w:val="00D511AF"/>
    <w:rsid w:val="00D5228F"/>
    <w:rsid w:val="00D526AF"/>
    <w:rsid w:val="00D52CBC"/>
    <w:rsid w:val="00D532A3"/>
    <w:rsid w:val="00D53709"/>
    <w:rsid w:val="00D53DEB"/>
    <w:rsid w:val="00D54394"/>
    <w:rsid w:val="00D5651F"/>
    <w:rsid w:val="00D573FB"/>
    <w:rsid w:val="00D60A2F"/>
    <w:rsid w:val="00D617A8"/>
    <w:rsid w:val="00D626E0"/>
    <w:rsid w:val="00D62CCE"/>
    <w:rsid w:val="00D64A27"/>
    <w:rsid w:val="00D6535B"/>
    <w:rsid w:val="00D65805"/>
    <w:rsid w:val="00D65956"/>
    <w:rsid w:val="00D65B9D"/>
    <w:rsid w:val="00D65CB7"/>
    <w:rsid w:val="00D664CE"/>
    <w:rsid w:val="00D66BD0"/>
    <w:rsid w:val="00D67944"/>
    <w:rsid w:val="00D70663"/>
    <w:rsid w:val="00D71CFD"/>
    <w:rsid w:val="00D74448"/>
    <w:rsid w:val="00D74452"/>
    <w:rsid w:val="00D765F5"/>
    <w:rsid w:val="00D76E23"/>
    <w:rsid w:val="00D8064F"/>
    <w:rsid w:val="00D82101"/>
    <w:rsid w:val="00D825E0"/>
    <w:rsid w:val="00D829CD"/>
    <w:rsid w:val="00D8310F"/>
    <w:rsid w:val="00D83EE9"/>
    <w:rsid w:val="00D84AF4"/>
    <w:rsid w:val="00D84B9E"/>
    <w:rsid w:val="00D84FBC"/>
    <w:rsid w:val="00D856EE"/>
    <w:rsid w:val="00D866CB"/>
    <w:rsid w:val="00D869F7"/>
    <w:rsid w:val="00D87289"/>
    <w:rsid w:val="00D87F3A"/>
    <w:rsid w:val="00D90BE6"/>
    <w:rsid w:val="00D90F2D"/>
    <w:rsid w:val="00D91009"/>
    <w:rsid w:val="00D913FC"/>
    <w:rsid w:val="00D918D4"/>
    <w:rsid w:val="00D92139"/>
    <w:rsid w:val="00D926A6"/>
    <w:rsid w:val="00D927B6"/>
    <w:rsid w:val="00D931DC"/>
    <w:rsid w:val="00D93708"/>
    <w:rsid w:val="00D95546"/>
    <w:rsid w:val="00D96AE5"/>
    <w:rsid w:val="00D96BBE"/>
    <w:rsid w:val="00D970DD"/>
    <w:rsid w:val="00D97C13"/>
    <w:rsid w:val="00DA013D"/>
    <w:rsid w:val="00DA24A7"/>
    <w:rsid w:val="00DA2D96"/>
    <w:rsid w:val="00DA3055"/>
    <w:rsid w:val="00DA35BE"/>
    <w:rsid w:val="00DA45C2"/>
    <w:rsid w:val="00DA4D2F"/>
    <w:rsid w:val="00DB0148"/>
    <w:rsid w:val="00DB5044"/>
    <w:rsid w:val="00DB539B"/>
    <w:rsid w:val="00DB5658"/>
    <w:rsid w:val="00DB6761"/>
    <w:rsid w:val="00DB693D"/>
    <w:rsid w:val="00DB70C9"/>
    <w:rsid w:val="00DB716C"/>
    <w:rsid w:val="00DB77C6"/>
    <w:rsid w:val="00DC06CC"/>
    <w:rsid w:val="00DC23B4"/>
    <w:rsid w:val="00DC4703"/>
    <w:rsid w:val="00DC4AB2"/>
    <w:rsid w:val="00DC4C29"/>
    <w:rsid w:val="00DC59CE"/>
    <w:rsid w:val="00DC5EB3"/>
    <w:rsid w:val="00DC6DDF"/>
    <w:rsid w:val="00DC77E2"/>
    <w:rsid w:val="00DD0EDE"/>
    <w:rsid w:val="00DD1A79"/>
    <w:rsid w:val="00DD23CC"/>
    <w:rsid w:val="00DD240A"/>
    <w:rsid w:val="00DD2EF4"/>
    <w:rsid w:val="00DD34E7"/>
    <w:rsid w:val="00DD3B14"/>
    <w:rsid w:val="00DD3FE6"/>
    <w:rsid w:val="00DD4E43"/>
    <w:rsid w:val="00DD4F1E"/>
    <w:rsid w:val="00DD52E2"/>
    <w:rsid w:val="00DD56AB"/>
    <w:rsid w:val="00DD5CF4"/>
    <w:rsid w:val="00DD6127"/>
    <w:rsid w:val="00DD656D"/>
    <w:rsid w:val="00DD6695"/>
    <w:rsid w:val="00DD69EF"/>
    <w:rsid w:val="00DD76AF"/>
    <w:rsid w:val="00DE09DD"/>
    <w:rsid w:val="00DE0FD1"/>
    <w:rsid w:val="00DE11FD"/>
    <w:rsid w:val="00DE18A9"/>
    <w:rsid w:val="00DE19C8"/>
    <w:rsid w:val="00DE230C"/>
    <w:rsid w:val="00DE29B6"/>
    <w:rsid w:val="00DE3F76"/>
    <w:rsid w:val="00DE48F0"/>
    <w:rsid w:val="00DE5669"/>
    <w:rsid w:val="00DE721D"/>
    <w:rsid w:val="00DE74FD"/>
    <w:rsid w:val="00DE7747"/>
    <w:rsid w:val="00DE7BD8"/>
    <w:rsid w:val="00DE7BDF"/>
    <w:rsid w:val="00DF1168"/>
    <w:rsid w:val="00DF1A28"/>
    <w:rsid w:val="00DF2734"/>
    <w:rsid w:val="00DF275C"/>
    <w:rsid w:val="00DF303A"/>
    <w:rsid w:val="00DF3AED"/>
    <w:rsid w:val="00DF3B23"/>
    <w:rsid w:val="00DF4C33"/>
    <w:rsid w:val="00DF5976"/>
    <w:rsid w:val="00DF7466"/>
    <w:rsid w:val="00DF7526"/>
    <w:rsid w:val="00DF7AE2"/>
    <w:rsid w:val="00E02835"/>
    <w:rsid w:val="00E03044"/>
    <w:rsid w:val="00E04058"/>
    <w:rsid w:val="00E04A85"/>
    <w:rsid w:val="00E05864"/>
    <w:rsid w:val="00E062DC"/>
    <w:rsid w:val="00E0699B"/>
    <w:rsid w:val="00E06FEB"/>
    <w:rsid w:val="00E103B5"/>
    <w:rsid w:val="00E106B3"/>
    <w:rsid w:val="00E1130F"/>
    <w:rsid w:val="00E1285E"/>
    <w:rsid w:val="00E13F10"/>
    <w:rsid w:val="00E150BC"/>
    <w:rsid w:val="00E15924"/>
    <w:rsid w:val="00E16655"/>
    <w:rsid w:val="00E1675D"/>
    <w:rsid w:val="00E20F03"/>
    <w:rsid w:val="00E212C0"/>
    <w:rsid w:val="00E220E5"/>
    <w:rsid w:val="00E23205"/>
    <w:rsid w:val="00E241E6"/>
    <w:rsid w:val="00E24B04"/>
    <w:rsid w:val="00E24EE9"/>
    <w:rsid w:val="00E2658B"/>
    <w:rsid w:val="00E265E9"/>
    <w:rsid w:val="00E26720"/>
    <w:rsid w:val="00E26857"/>
    <w:rsid w:val="00E2739F"/>
    <w:rsid w:val="00E301CD"/>
    <w:rsid w:val="00E3063E"/>
    <w:rsid w:val="00E31E29"/>
    <w:rsid w:val="00E32160"/>
    <w:rsid w:val="00E321D8"/>
    <w:rsid w:val="00E346AE"/>
    <w:rsid w:val="00E34EA3"/>
    <w:rsid w:val="00E36B5C"/>
    <w:rsid w:val="00E37065"/>
    <w:rsid w:val="00E40502"/>
    <w:rsid w:val="00E40F65"/>
    <w:rsid w:val="00E417EC"/>
    <w:rsid w:val="00E41A9E"/>
    <w:rsid w:val="00E42217"/>
    <w:rsid w:val="00E454C5"/>
    <w:rsid w:val="00E46A56"/>
    <w:rsid w:val="00E46FCA"/>
    <w:rsid w:val="00E470D2"/>
    <w:rsid w:val="00E473B2"/>
    <w:rsid w:val="00E477FD"/>
    <w:rsid w:val="00E47C37"/>
    <w:rsid w:val="00E47FAB"/>
    <w:rsid w:val="00E52F47"/>
    <w:rsid w:val="00E532EB"/>
    <w:rsid w:val="00E539C7"/>
    <w:rsid w:val="00E54813"/>
    <w:rsid w:val="00E55341"/>
    <w:rsid w:val="00E55B64"/>
    <w:rsid w:val="00E55F28"/>
    <w:rsid w:val="00E56B95"/>
    <w:rsid w:val="00E577C5"/>
    <w:rsid w:val="00E618A6"/>
    <w:rsid w:val="00E62959"/>
    <w:rsid w:val="00E62A6F"/>
    <w:rsid w:val="00E63A27"/>
    <w:rsid w:val="00E63F04"/>
    <w:rsid w:val="00E64C6E"/>
    <w:rsid w:val="00E655BF"/>
    <w:rsid w:val="00E6598E"/>
    <w:rsid w:val="00E6639C"/>
    <w:rsid w:val="00E668F2"/>
    <w:rsid w:val="00E70590"/>
    <w:rsid w:val="00E71038"/>
    <w:rsid w:val="00E720A6"/>
    <w:rsid w:val="00E725BC"/>
    <w:rsid w:val="00E730EC"/>
    <w:rsid w:val="00E7357B"/>
    <w:rsid w:val="00E73781"/>
    <w:rsid w:val="00E73CBB"/>
    <w:rsid w:val="00E75604"/>
    <w:rsid w:val="00E77267"/>
    <w:rsid w:val="00E772A1"/>
    <w:rsid w:val="00E77304"/>
    <w:rsid w:val="00E77C84"/>
    <w:rsid w:val="00E77ED4"/>
    <w:rsid w:val="00E80D6C"/>
    <w:rsid w:val="00E82800"/>
    <w:rsid w:val="00E83493"/>
    <w:rsid w:val="00E839F3"/>
    <w:rsid w:val="00E857C9"/>
    <w:rsid w:val="00E865F7"/>
    <w:rsid w:val="00E866EC"/>
    <w:rsid w:val="00E86F7A"/>
    <w:rsid w:val="00E879D7"/>
    <w:rsid w:val="00E91086"/>
    <w:rsid w:val="00E91C9D"/>
    <w:rsid w:val="00E920ED"/>
    <w:rsid w:val="00E92184"/>
    <w:rsid w:val="00E9235B"/>
    <w:rsid w:val="00E9245D"/>
    <w:rsid w:val="00E92648"/>
    <w:rsid w:val="00E93A43"/>
    <w:rsid w:val="00E9738C"/>
    <w:rsid w:val="00EA025C"/>
    <w:rsid w:val="00EA0DAA"/>
    <w:rsid w:val="00EA13C5"/>
    <w:rsid w:val="00EA3701"/>
    <w:rsid w:val="00EA4EB5"/>
    <w:rsid w:val="00EA60C6"/>
    <w:rsid w:val="00EA695E"/>
    <w:rsid w:val="00EA7B40"/>
    <w:rsid w:val="00EB0087"/>
    <w:rsid w:val="00EB22DA"/>
    <w:rsid w:val="00EB28E9"/>
    <w:rsid w:val="00EB37EC"/>
    <w:rsid w:val="00EB57FD"/>
    <w:rsid w:val="00EB7A66"/>
    <w:rsid w:val="00EC06B1"/>
    <w:rsid w:val="00EC1198"/>
    <w:rsid w:val="00EC1506"/>
    <w:rsid w:val="00EC1D65"/>
    <w:rsid w:val="00EC2226"/>
    <w:rsid w:val="00EC2CA6"/>
    <w:rsid w:val="00EC31B1"/>
    <w:rsid w:val="00EC3928"/>
    <w:rsid w:val="00EC43F8"/>
    <w:rsid w:val="00EC7632"/>
    <w:rsid w:val="00EC7804"/>
    <w:rsid w:val="00EC7C03"/>
    <w:rsid w:val="00ED0FA8"/>
    <w:rsid w:val="00ED10DB"/>
    <w:rsid w:val="00ED1808"/>
    <w:rsid w:val="00ED1E46"/>
    <w:rsid w:val="00ED24F4"/>
    <w:rsid w:val="00ED2DD4"/>
    <w:rsid w:val="00ED389C"/>
    <w:rsid w:val="00ED6118"/>
    <w:rsid w:val="00ED7AE3"/>
    <w:rsid w:val="00ED7ED8"/>
    <w:rsid w:val="00EE03E2"/>
    <w:rsid w:val="00EE092D"/>
    <w:rsid w:val="00EE0B9C"/>
    <w:rsid w:val="00EE23E4"/>
    <w:rsid w:val="00EE2B53"/>
    <w:rsid w:val="00EE304A"/>
    <w:rsid w:val="00EE30AC"/>
    <w:rsid w:val="00EE37E2"/>
    <w:rsid w:val="00EE39E1"/>
    <w:rsid w:val="00EE4101"/>
    <w:rsid w:val="00EE412A"/>
    <w:rsid w:val="00EE4649"/>
    <w:rsid w:val="00EE5CAB"/>
    <w:rsid w:val="00EE629E"/>
    <w:rsid w:val="00EE74EB"/>
    <w:rsid w:val="00EE7828"/>
    <w:rsid w:val="00EF0237"/>
    <w:rsid w:val="00EF1201"/>
    <w:rsid w:val="00EF2016"/>
    <w:rsid w:val="00EF214B"/>
    <w:rsid w:val="00EF23CF"/>
    <w:rsid w:val="00EF2CE5"/>
    <w:rsid w:val="00EF3879"/>
    <w:rsid w:val="00EF38CF"/>
    <w:rsid w:val="00EF40AC"/>
    <w:rsid w:val="00EF42F2"/>
    <w:rsid w:val="00EF4C0D"/>
    <w:rsid w:val="00EF538C"/>
    <w:rsid w:val="00EF64F6"/>
    <w:rsid w:val="00EF7413"/>
    <w:rsid w:val="00F004C0"/>
    <w:rsid w:val="00F00D59"/>
    <w:rsid w:val="00F00EE9"/>
    <w:rsid w:val="00F012A3"/>
    <w:rsid w:val="00F012B7"/>
    <w:rsid w:val="00F0166A"/>
    <w:rsid w:val="00F030DF"/>
    <w:rsid w:val="00F03506"/>
    <w:rsid w:val="00F03721"/>
    <w:rsid w:val="00F04159"/>
    <w:rsid w:val="00F0445F"/>
    <w:rsid w:val="00F046B9"/>
    <w:rsid w:val="00F05CD5"/>
    <w:rsid w:val="00F114EF"/>
    <w:rsid w:val="00F11B36"/>
    <w:rsid w:val="00F14028"/>
    <w:rsid w:val="00F14686"/>
    <w:rsid w:val="00F14A06"/>
    <w:rsid w:val="00F15190"/>
    <w:rsid w:val="00F158E1"/>
    <w:rsid w:val="00F15C1D"/>
    <w:rsid w:val="00F16694"/>
    <w:rsid w:val="00F17501"/>
    <w:rsid w:val="00F207AD"/>
    <w:rsid w:val="00F20E7A"/>
    <w:rsid w:val="00F232C5"/>
    <w:rsid w:val="00F23778"/>
    <w:rsid w:val="00F23926"/>
    <w:rsid w:val="00F25283"/>
    <w:rsid w:val="00F25DCE"/>
    <w:rsid w:val="00F26314"/>
    <w:rsid w:val="00F26524"/>
    <w:rsid w:val="00F26732"/>
    <w:rsid w:val="00F27AF6"/>
    <w:rsid w:val="00F311F4"/>
    <w:rsid w:val="00F32362"/>
    <w:rsid w:val="00F32DD3"/>
    <w:rsid w:val="00F331A6"/>
    <w:rsid w:val="00F33AB1"/>
    <w:rsid w:val="00F34420"/>
    <w:rsid w:val="00F34F01"/>
    <w:rsid w:val="00F36802"/>
    <w:rsid w:val="00F36C19"/>
    <w:rsid w:val="00F4037E"/>
    <w:rsid w:val="00F416B2"/>
    <w:rsid w:val="00F41E6B"/>
    <w:rsid w:val="00F4211F"/>
    <w:rsid w:val="00F4257E"/>
    <w:rsid w:val="00F425CF"/>
    <w:rsid w:val="00F4425A"/>
    <w:rsid w:val="00F45AAA"/>
    <w:rsid w:val="00F46725"/>
    <w:rsid w:val="00F47707"/>
    <w:rsid w:val="00F47F55"/>
    <w:rsid w:val="00F50A36"/>
    <w:rsid w:val="00F50AD6"/>
    <w:rsid w:val="00F515DD"/>
    <w:rsid w:val="00F518D4"/>
    <w:rsid w:val="00F51AA1"/>
    <w:rsid w:val="00F5332A"/>
    <w:rsid w:val="00F5355D"/>
    <w:rsid w:val="00F538DD"/>
    <w:rsid w:val="00F55984"/>
    <w:rsid w:val="00F561D8"/>
    <w:rsid w:val="00F57709"/>
    <w:rsid w:val="00F57F67"/>
    <w:rsid w:val="00F600EA"/>
    <w:rsid w:val="00F62A4D"/>
    <w:rsid w:val="00F6314A"/>
    <w:rsid w:val="00F63429"/>
    <w:rsid w:val="00F64600"/>
    <w:rsid w:val="00F6472F"/>
    <w:rsid w:val="00F66164"/>
    <w:rsid w:val="00F66571"/>
    <w:rsid w:val="00F66AAE"/>
    <w:rsid w:val="00F67BF4"/>
    <w:rsid w:val="00F70F94"/>
    <w:rsid w:val="00F717C1"/>
    <w:rsid w:val="00F72337"/>
    <w:rsid w:val="00F7240E"/>
    <w:rsid w:val="00F7351E"/>
    <w:rsid w:val="00F73DD5"/>
    <w:rsid w:val="00F753E4"/>
    <w:rsid w:val="00F75B6E"/>
    <w:rsid w:val="00F764A6"/>
    <w:rsid w:val="00F7691B"/>
    <w:rsid w:val="00F76B4B"/>
    <w:rsid w:val="00F76E82"/>
    <w:rsid w:val="00F77683"/>
    <w:rsid w:val="00F77991"/>
    <w:rsid w:val="00F77BC0"/>
    <w:rsid w:val="00F804DA"/>
    <w:rsid w:val="00F80811"/>
    <w:rsid w:val="00F80EAB"/>
    <w:rsid w:val="00F8104F"/>
    <w:rsid w:val="00F810A5"/>
    <w:rsid w:val="00F8164B"/>
    <w:rsid w:val="00F816F3"/>
    <w:rsid w:val="00F8238E"/>
    <w:rsid w:val="00F834EC"/>
    <w:rsid w:val="00F8392A"/>
    <w:rsid w:val="00F83D15"/>
    <w:rsid w:val="00F84521"/>
    <w:rsid w:val="00F85408"/>
    <w:rsid w:val="00F8542D"/>
    <w:rsid w:val="00F8565D"/>
    <w:rsid w:val="00F85735"/>
    <w:rsid w:val="00F85761"/>
    <w:rsid w:val="00F859DB"/>
    <w:rsid w:val="00F85E9B"/>
    <w:rsid w:val="00F85F37"/>
    <w:rsid w:val="00F860B6"/>
    <w:rsid w:val="00F91DA0"/>
    <w:rsid w:val="00F92B16"/>
    <w:rsid w:val="00F93300"/>
    <w:rsid w:val="00F9382F"/>
    <w:rsid w:val="00F93D5D"/>
    <w:rsid w:val="00F94511"/>
    <w:rsid w:val="00F94531"/>
    <w:rsid w:val="00F94B5B"/>
    <w:rsid w:val="00F95D1F"/>
    <w:rsid w:val="00F974BA"/>
    <w:rsid w:val="00F97A6F"/>
    <w:rsid w:val="00FA03FB"/>
    <w:rsid w:val="00FA04A9"/>
    <w:rsid w:val="00FA091B"/>
    <w:rsid w:val="00FA0BD1"/>
    <w:rsid w:val="00FA0DA1"/>
    <w:rsid w:val="00FA2403"/>
    <w:rsid w:val="00FA3C44"/>
    <w:rsid w:val="00FA3F7E"/>
    <w:rsid w:val="00FA4A2F"/>
    <w:rsid w:val="00FA5298"/>
    <w:rsid w:val="00FA626D"/>
    <w:rsid w:val="00FA6DDD"/>
    <w:rsid w:val="00FA76FA"/>
    <w:rsid w:val="00FB0150"/>
    <w:rsid w:val="00FB1279"/>
    <w:rsid w:val="00FB2C70"/>
    <w:rsid w:val="00FB3E70"/>
    <w:rsid w:val="00FB4E2A"/>
    <w:rsid w:val="00FB708E"/>
    <w:rsid w:val="00FB7464"/>
    <w:rsid w:val="00FB751B"/>
    <w:rsid w:val="00FC0450"/>
    <w:rsid w:val="00FC5CEE"/>
    <w:rsid w:val="00FC7C78"/>
    <w:rsid w:val="00FD004E"/>
    <w:rsid w:val="00FD0407"/>
    <w:rsid w:val="00FD2737"/>
    <w:rsid w:val="00FD2D10"/>
    <w:rsid w:val="00FD3B87"/>
    <w:rsid w:val="00FD407A"/>
    <w:rsid w:val="00FD41A9"/>
    <w:rsid w:val="00FD47A5"/>
    <w:rsid w:val="00FD4FAD"/>
    <w:rsid w:val="00FD50CC"/>
    <w:rsid w:val="00FD5F21"/>
    <w:rsid w:val="00FD60F1"/>
    <w:rsid w:val="00FD679E"/>
    <w:rsid w:val="00FD6ECB"/>
    <w:rsid w:val="00FD7752"/>
    <w:rsid w:val="00FE0299"/>
    <w:rsid w:val="00FE0A5B"/>
    <w:rsid w:val="00FE0A90"/>
    <w:rsid w:val="00FE0E01"/>
    <w:rsid w:val="00FE131B"/>
    <w:rsid w:val="00FE221A"/>
    <w:rsid w:val="00FE2DAD"/>
    <w:rsid w:val="00FE3420"/>
    <w:rsid w:val="00FE3635"/>
    <w:rsid w:val="00FE4248"/>
    <w:rsid w:val="00FE490B"/>
    <w:rsid w:val="00FE5381"/>
    <w:rsid w:val="00FF0D65"/>
    <w:rsid w:val="00FF2FEC"/>
    <w:rsid w:val="00FF312D"/>
    <w:rsid w:val="00FF3F56"/>
    <w:rsid w:val="00FF441D"/>
    <w:rsid w:val="00FF46A6"/>
    <w:rsid w:val="00FF52A9"/>
    <w:rsid w:val="00FF5931"/>
    <w:rsid w:val="00FF5972"/>
    <w:rsid w:val="00FF6FCE"/>
    <w:rsid w:val="00FF7E05"/>
    <w:rsid w:val="0271F505"/>
    <w:rsid w:val="0580D471"/>
    <w:rsid w:val="06EBD62D"/>
    <w:rsid w:val="176606C5"/>
    <w:rsid w:val="1825B396"/>
    <w:rsid w:val="1E0CDE7F"/>
    <w:rsid w:val="1E1F53B4"/>
    <w:rsid w:val="1EFBA47B"/>
    <w:rsid w:val="21265212"/>
    <w:rsid w:val="2500BC06"/>
    <w:rsid w:val="25C948B7"/>
    <w:rsid w:val="294ED2C9"/>
    <w:rsid w:val="314ACA06"/>
    <w:rsid w:val="3300B65A"/>
    <w:rsid w:val="36225794"/>
    <w:rsid w:val="3D427D66"/>
    <w:rsid w:val="432B0E18"/>
    <w:rsid w:val="43747D88"/>
    <w:rsid w:val="4888CCCA"/>
    <w:rsid w:val="4BC6FF57"/>
    <w:rsid w:val="4BFE4ABF"/>
    <w:rsid w:val="4DF650AC"/>
    <w:rsid w:val="5AB0CBE9"/>
    <w:rsid w:val="5AF72122"/>
    <w:rsid w:val="66618A77"/>
    <w:rsid w:val="669E4730"/>
    <w:rsid w:val="6C485665"/>
    <w:rsid w:val="7371ED28"/>
    <w:rsid w:val="74FA6E4E"/>
    <w:rsid w:val="7A04B7FB"/>
    <w:rsid w:val="7BA986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51EE14"/>
  <w15:docId w15:val="{3F9D1298-2928-407E-9B72-8CF7F267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D94"/>
    <w:rPr>
      <w:rFonts w:ascii="Times New Roman" w:hAnsi="Times New Roman" w:eastAsiaTheme="minorEastAsia"/>
      <w:sz w:val="24"/>
      <w:szCs w:val="24"/>
      <w:lang w:eastAsia="ja-JP"/>
    </w:rPr>
  </w:style>
  <w:style w:type="paragraph" w:styleId="Heading1">
    <w:name w:val="heading 1"/>
    <w:aliases w:val="H1-Sec.Head"/>
    <w:basedOn w:val="Normal"/>
    <w:next w:val="Normal"/>
    <w:link w:val="Heading1Char"/>
    <w:qFormat/>
    <w:rsid w:val="00226D87"/>
    <w:pPr>
      <w:keepNext/>
      <w:tabs>
        <w:tab w:val="left" w:pos="1152"/>
      </w:tabs>
      <w:spacing w:before="120" w:after="120" w:line="360" w:lineRule="atLeast"/>
      <w:ind w:left="1152" w:hanging="1152"/>
      <w:jc w:val="both"/>
      <w:outlineLvl w:val="0"/>
    </w:pPr>
    <w:rPr>
      <w:rFonts w:eastAsia="Batang"/>
      <w:b/>
      <w:szCs w:val="22"/>
    </w:rPr>
  </w:style>
  <w:style w:type="paragraph" w:styleId="Heading2">
    <w:name w:val="heading 2"/>
    <w:aliases w:val="H2-Sec. Head"/>
    <w:basedOn w:val="Normal"/>
    <w:next w:val="Normal"/>
    <w:link w:val="Heading2Char"/>
    <w:unhideWhenUsed/>
    <w:qFormat/>
    <w:rsid w:val="00256831"/>
    <w:pPr>
      <w:keepNext/>
      <w:keepLines/>
      <w:spacing w:before="120" w:after="120"/>
      <w:outlineLvl w:val="1"/>
    </w:pPr>
    <w:rPr>
      <w:rFonts w:eastAsiaTheme="majorEastAsia"/>
      <w:b/>
      <w:bCs/>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rPr>
  </w:style>
  <w:style w:type="paragraph" w:styleId="Heading4">
    <w:name w:val="heading 4"/>
    <w:aliases w:val="H4 Sec.Heading"/>
    <w:basedOn w:val="Normal"/>
    <w:next w:val="Normal"/>
    <w:link w:val="Heading4Char"/>
    <w:uiPriority w:val="9"/>
    <w:unhideWhenUsed/>
    <w:qFormat/>
    <w:rsid w:val="00626C00"/>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37020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uiPriority w:val="99"/>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style>
  <w:style w:type="paragraph" w:styleId="FootnoteText">
    <w:name w:val="footnote text"/>
    <w:aliases w:val="*Footnote Text,F,F1,Footnote Text Char Char,Footnote Text ERA,Footnote Text ERA1,Footnote Text ERA11,Footnote Text ERA111,Footnote Text ERA12,Footnote Text ERA2,Footnote Text ERA21,Footnote Text ERA3,Footnote Text ERA4,Footnote Text2"/>
    <w:link w:val="FootnoteTextChar"/>
    <w:uiPriority w:val="99"/>
    <w:qFormat/>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qFormat/>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3"/>
      </w:numPr>
      <w:spacing w:after="240"/>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numPr>
        <w:numId w:val="2"/>
      </w:numPr>
      <w:spacing w:after="240"/>
    </w:pPr>
  </w:style>
  <w:style w:type="paragraph" w:customStyle="1" w:styleId="N4-4thBullet">
    <w:name w:val="N4-4th Bullet"/>
    <w:basedOn w:val="Normal"/>
    <w:pPr>
      <w:numPr>
        <w:numId w:val="4"/>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rPr>
  </w:style>
  <w:style w:type="paragraph" w:customStyle="1" w:styleId="SH-SglSpHead">
    <w:name w:val="SH-Sgl Sp Head"/>
    <w:basedOn w:val="Heading1"/>
    <w:pPr>
      <w:tabs>
        <w:tab w:val="left" w:pos="576"/>
        <w:tab w:val="clear" w:pos="1152"/>
      </w:tabs>
      <w:spacing w:after="0" w:line="240" w:lineRule="atLeast"/>
      <w:ind w:left="576" w:hanging="576"/>
    </w:pPr>
    <w:rPr>
      <w:rFonts w:cs="Times New Roman Bold"/>
    </w:rPr>
  </w:style>
  <w:style w:type="paragraph" w:customStyle="1" w:styleId="SL-FlLftSgl">
    <w:name w:val="SL-Fl Lft Sgl"/>
    <w:basedOn w:val="Normal"/>
    <w:link w:val="SL-FlLftSglChar"/>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u w:val="words"/>
    </w:rPr>
  </w:style>
  <w:style w:type="paragraph" w:styleId="TOC1">
    <w:name w:val="toc 1"/>
    <w:basedOn w:val="Normal"/>
    <w:uiPriority w:val="39"/>
    <w:qFormat/>
    <w:pPr>
      <w:tabs>
        <w:tab w:val="left" w:pos="1440"/>
        <w:tab w:val="right" w:leader="dot" w:pos="8208"/>
        <w:tab w:val="left" w:pos="8640"/>
      </w:tabs>
      <w:ind w:left="1440" w:right="1800" w:hanging="1152"/>
    </w:pPr>
  </w:style>
  <w:style w:type="paragraph" w:styleId="TOC2">
    <w:name w:val="toc 2"/>
    <w:basedOn w:val="Normal"/>
    <w:uiPriority w:val="39"/>
    <w:semiHidden/>
    <w:qFormat/>
    <w:pPr>
      <w:tabs>
        <w:tab w:val="left" w:pos="2160"/>
        <w:tab w:val="right" w:leader="dot" w:pos="8208"/>
        <w:tab w:val="left" w:pos="8640"/>
      </w:tabs>
      <w:ind w:left="2160" w:right="1800" w:hanging="720"/>
    </w:pPr>
    <w:rPr>
      <w:szCs w:val="22"/>
    </w:rPr>
  </w:style>
  <w:style w:type="paragraph" w:styleId="TOC3">
    <w:name w:val="toc 3"/>
    <w:basedOn w:val="Normal"/>
    <w:qFormat/>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
    <w:basedOn w:val="DefaultParagraphFont"/>
    <w:link w:val="Heading1"/>
    <w:rsid w:val="00626C00"/>
    <w:rPr>
      <w:rFonts w:ascii="Times New Roman" w:eastAsia="Batang" w:hAnsi="Times New Roman"/>
      <w:b/>
      <w:sz w:val="24"/>
      <w:lang w:eastAsia="ja-JP"/>
    </w:rPr>
  </w:style>
  <w:style w:type="character" w:customStyle="1" w:styleId="Heading2Char">
    <w:name w:val="Heading 2 Char"/>
    <w:aliases w:val="H2-Sec. Head Char"/>
    <w:basedOn w:val="DefaultParagraphFont"/>
    <w:link w:val="Heading2"/>
    <w:rsid w:val="00626C00"/>
    <w:rPr>
      <w:rFonts w:ascii="Times New Roman" w:hAnsi="Times New Roman" w:eastAsiaTheme="majorEastAsia"/>
      <w:b/>
      <w:bCs/>
      <w:sz w:val="24"/>
      <w:szCs w:val="24"/>
      <w:lang w:eastAsia="ja-JP"/>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10"/>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10"/>
    <w:rsid w:val="00626C00"/>
    <w:rPr>
      <w:rFonts w:ascii="Arial" w:hAnsi="Arial"/>
      <w:b/>
      <w:kern w:val="28"/>
      <w:sz w:val="20"/>
      <w:szCs w:val="20"/>
    </w:rPr>
  </w:style>
  <w:style w:type="paragraph" w:styleId="ListParagraph">
    <w:name w:val="List Paragraph"/>
    <w:basedOn w:val="Normal"/>
    <w:link w:val="ListParagraphChar"/>
    <w:uiPriority w:val="34"/>
    <w:qFormat/>
    <w:rsid w:val="00626C00"/>
    <w:pPr>
      <w:spacing w:after="200" w:line="276" w:lineRule="auto"/>
      <w:ind w:left="720"/>
    </w:pPr>
    <w:rPr>
      <w:rFonts w:ascii="Calibri" w:hAnsi="Calibri"/>
      <w:sz w:val="22"/>
      <w:szCs w:val="22"/>
    </w:rPr>
  </w:style>
  <w:style w:type="character" w:styleId="FootnoteReference">
    <w:name w:val="footnote reference"/>
    <w:aliases w:val="*Footnote Reference,*Footnote Reference ALT R,*Footnote Reference ALT-R"/>
    <w:basedOn w:val="DefaultParagraphFont"/>
    <w:uiPriority w:val="99"/>
    <w:unhideWhenUsed/>
    <w:qFormat/>
    <w:rsid w:val="0035182A"/>
    <w:rPr>
      <w:vertAlign w:val="superscript"/>
    </w:rPr>
  </w:style>
  <w:style w:type="character" w:customStyle="1" w:styleId="FootnoteTextChar">
    <w:name w:val="Footnote Text Char"/>
    <w:aliases w:val="*Footnote Text Char,F Char,F1 Char,Footnote Text Char Char Char,Footnote Text ERA Char,Footnote Text ERA1 Char,Footnote Text ERA11 Char,Footnote Text ERA111 Char,Footnote Text ERA12 Char,Footnote Text ERA2 Char,Footnote Text ERA3 Char"/>
    <w:basedOn w:val="DefaultParagraphFont"/>
    <w:link w:val="FootnoteText"/>
    <w:uiPriority w:val="99"/>
    <w:rsid w:val="0035182A"/>
    <w:rPr>
      <w:rFonts w:ascii="Garamond" w:hAnsi="Garamond"/>
      <w:sz w:val="16"/>
    </w:rPr>
  </w:style>
  <w:style w:type="character" w:customStyle="1" w:styleId="L1-FlLSp12Char">
    <w:name w:val="L1-FlL Sp&amp;1/2 Char"/>
    <w:basedOn w:val="DefaultParagraphFont"/>
    <w:link w:val="L1-FlLSp12"/>
    <w:rsid w:val="0035182A"/>
    <w:rPr>
      <w:rFonts w:ascii="Courier" w:hAnsi="Courier"/>
      <w:sz w:val="24"/>
      <w:szCs w:val="20"/>
    </w:rPr>
  </w:style>
  <w:style w:type="character" w:styleId="Hyperlink">
    <w:name w:val="Hyperlink"/>
    <w:basedOn w:val="DefaultParagraphFont"/>
    <w:uiPriority w:val="99"/>
    <w:unhideWhenUsed/>
    <w:rsid w:val="0035182A"/>
    <w:rPr>
      <w:color w:val="0000FF"/>
      <w:u w:val="single"/>
    </w:rPr>
  </w:style>
  <w:style w:type="table" w:styleId="TableGrid">
    <w:name w:val="Table Grid"/>
    <w:basedOn w:val="TableNormal"/>
    <w:uiPriority w:val="59"/>
    <w:rsid w:val="00FF5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1AF"/>
    <w:rPr>
      <w:rFonts w:ascii="Tahoma" w:hAnsi="Tahoma" w:cs="Tahoma"/>
      <w:sz w:val="16"/>
      <w:szCs w:val="16"/>
    </w:rPr>
  </w:style>
  <w:style w:type="character" w:customStyle="1" w:styleId="BalloonTextChar">
    <w:name w:val="Balloon Text Char"/>
    <w:basedOn w:val="DefaultParagraphFont"/>
    <w:link w:val="BalloonText"/>
    <w:uiPriority w:val="99"/>
    <w:semiHidden/>
    <w:rsid w:val="00D511AF"/>
    <w:rPr>
      <w:rFonts w:ascii="Tahoma" w:hAnsi="Tahoma" w:cs="Tahoma"/>
      <w:sz w:val="16"/>
      <w:szCs w:val="16"/>
    </w:rPr>
  </w:style>
  <w:style w:type="paragraph" w:customStyle="1" w:styleId="TB-TableBullet">
    <w:name w:val="TB-Table Bullet"/>
    <w:basedOn w:val="TX-TableText"/>
    <w:qFormat/>
    <w:rsid w:val="0089698B"/>
    <w:pPr>
      <w:numPr>
        <w:numId w:val="5"/>
      </w:numPr>
      <w:spacing w:line="240" w:lineRule="atLeast"/>
    </w:pPr>
    <w:rPr>
      <w:rFonts w:eastAsia="Times New Roman"/>
    </w:rPr>
  </w:style>
  <w:style w:type="character" w:customStyle="1" w:styleId="P1-StandParaChar">
    <w:name w:val="P1-Stand Para Char"/>
    <w:link w:val="P1-StandPara"/>
    <w:rsid w:val="00B711D0"/>
    <w:rPr>
      <w:rFonts w:ascii="Courier" w:hAnsi="Courier"/>
      <w:sz w:val="24"/>
      <w:szCs w:val="20"/>
    </w:rPr>
  </w:style>
  <w:style w:type="character" w:customStyle="1" w:styleId="HeaderChar">
    <w:name w:val="Header Char"/>
    <w:basedOn w:val="DefaultParagraphFont"/>
    <w:link w:val="Header"/>
    <w:uiPriority w:val="99"/>
    <w:rsid w:val="009549D6"/>
    <w:rPr>
      <w:rFonts w:ascii="Courier" w:hAnsi="Courier"/>
      <w:sz w:val="16"/>
      <w:szCs w:val="20"/>
    </w:rPr>
  </w:style>
  <w:style w:type="character" w:customStyle="1" w:styleId="FooterChar">
    <w:name w:val="Footer Char"/>
    <w:basedOn w:val="DefaultParagraphFont"/>
    <w:link w:val="Footer"/>
    <w:rsid w:val="009549D6"/>
    <w:rPr>
      <w:rFonts w:ascii="Courier" w:hAnsi="Courier"/>
      <w:sz w:val="24"/>
      <w:szCs w:val="20"/>
    </w:rPr>
  </w:style>
  <w:style w:type="paragraph" w:customStyle="1" w:styleId="NormalSS">
    <w:name w:val="NormalSS"/>
    <w:basedOn w:val="Normal"/>
    <w:link w:val="NormalSSChar"/>
    <w:qFormat/>
    <w:rsid w:val="00976827"/>
    <w:pPr>
      <w:tabs>
        <w:tab w:val="left" w:pos="432"/>
      </w:tabs>
      <w:spacing w:after="240"/>
      <w:ind w:firstLine="432"/>
    </w:pPr>
    <w:rPr>
      <w:rFonts w:eastAsia="Times New Roman"/>
    </w:rPr>
  </w:style>
  <w:style w:type="character" w:customStyle="1" w:styleId="NormalSSChar">
    <w:name w:val="NormalSS Char"/>
    <w:link w:val="NormalSS"/>
    <w:locked/>
    <w:rsid w:val="00976827"/>
    <w:rPr>
      <w:rFonts w:ascii="Times New Roman" w:eastAsia="Times New Roman" w:hAnsi="Times New Roman"/>
      <w:sz w:val="24"/>
      <w:szCs w:val="24"/>
      <w:lang w:eastAsia="ja-JP"/>
    </w:rPr>
  </w:style>
  <w:style w:type="table" w:customStyle="1" w:styleId="TableGrid1">
    <w:name w:val="Table Grid1"/>
    <w:basedOn w:val="TableNormal"/>
    <w:next w:val="TableGrid"/>
    <w:uiPriority w:val="59"/>
    <w:rsid w:val="00DA35B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48EE"/>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CoverPage-Title">
    <w:name w:val="CoverPage-Title"/>
    <w:basedOn w:val="Normal"/>
    <w:rsid w:val="00636ECF"/>
    <w:pPr>
      <w:spacing w:line="480" w:lineRule="exact"/>
    </w:pPr>
    <w:rPr>
      <w:rFonts w:ascii="Franklin Gothic Medium" w:eastAsia="Times New Roman" w:hAnsi="Franklin Gothic Medium"/>
      <w:b/>
      <w:color w:val="FFFFFF" w:themeColor="background1"/>
      <w:sz w:val="44"/>
      <w:szCs w:val="40"/>
    </w:rPr>
  </w:style>
  <w:style w:type="character" w:styleId="CommentReference">
    <w:name w:val="annotation reference"/>
    <w:basedOn w:val="DefaultParagraphFont"/>
    <w:uiPriority w:val="99"/>
    <w:semiHidden/>
    <w:unhideWhenUsed/>
    <w:rsid w:val="00123175"/>
    <w:rPr>
      <w:sz w:val="16"/>
      <w:szCs w:val="16"/>
    </w:rPr>
  </w:style>
  <w:style w:type="paragraph" w:styleId="CommentText">
    <w:name w:val="annotation text"/>
    <w:basedOn w:val="Normal"/>
    <w:link w:val="CommentTextChar"/>
    <w:uiPriority w:val="99"/>
    <w:unhideWhenUsed/>
    <w:rsid w:val="00123175"/>
    <w:pPr>
      <w:tabs>
        <w:tab w:val="left" w:pos="1152"/>
      </w:tabs>
    </w:pPr>
    <w:rPr>
      <w:rFonts w:ascii="Garamond" w:eastAsia="Times New Roman" w:hAnsi="Garamond"/>
      <w:sz w:val="20"/>
    </w:rPr>
  </w:style>
  <w:style w:type="character" w:customStyle="1" w:styleId="CommentTextChar">
    <w:name w:val="Comment Text Char"/>
    <w:basedOn w:val="DefaultParagraphFont"/>
    <w:link w:val="CommentText"/>
    <w:uiPriority w:val="99"/>
    <w:rsid w:val="00123175"/>
    <w:rPr>
      <w:rFonts w:ascii="Garamond" w:eastAsia="Times New Roman" w:hAnsi="Garamond"/>
      <w:sz w:val="20"/>
      <w:szCs w:val="20"/>
    </w:rPr>
  </w:style>
  <w:style w:type="character" w:customStyle="1" w:styleId="N1-1stBulletChar">
    <w:name w:val="N1-1st Bullet Char"/>
    <w:basedOn w:val="DefaultParagraphFont"/>
    <w:link w:val="N1-1stBullet"/>
    <w:locked/>
    <w:rsid w:val="00123175"/>
    <w:rPr>
      <w:rFonts w:ascii="Courier" w:hAnsi="Courier"/>
      <w:sz w:val="24"/>
      <w:szCs w:val="20"/>
    </w:rPr>
  </w:style>
  <w:style w:type="paragraph" w:styleId="CommentSubject">
    <w:name w:val="annotation subject"/>
    <w:basedOn w:val="CommentText"/>
    <w:next w:val="CommentText"/>
    <w:link w:val="CommentSubjectChar"/>
    <w:uiPriority w:val="99"/>
    <w:semiHidden/>
    <w:unhideWhenUsed/>
    <w:rsid w:val="005E5A9B"/>
    <w:pPr>
      <w:tabs>
        <w:tab w:val="clear" w:pos="1152"/>
      </w:tabs>
    </w:pPr>
    <w:rPr>
      <w:rFonts w:ascii="Courier" w:eastAsia="Calibri" w:hAnsi="Courier"/>
      <w:b/>
      <w:bCs/>
    </w:rPr>
  </w:style>
  <w:style w:type="character" w:customStyle="1" w:styleId="CommentSubjectChar">
    <w:name w:val="Comment Subject Char"/>
    <w:basedOn w:val="CommentTextChar"/>
    <w:link w:val="CommentSubject"/>
    <w:uiPriority w:val="99"/>
    <w:semiHidden/>
    <w:rsid w:val="005E5A9B"/>
    <w:rPr>
      <w:rFonts w:ascii="Courier" w:eastAsia="Times New Roman" w:hAnsi="Courier"/>
      <w:b/>
      <w:bCs/>
      <w:sz w:val="20"/>
      <w:szCs w:val="20"/>
    </w:rPr>
  </w:style>
  <w:style w:type="paragraph" w:styleId="EndnoteText">
    <w:name w:val="endnote text"/>
    <w:basedOn w:val="Normal"/>
    <w:link w:val="EndnoteTextChar"/>
    <w:uiPriority w:val="99"/>
    <w:semiHidden/>
    <w:unhideWhenUsed/>
    <w:rsid w:val="00A31BB4"/>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A31BB4"/>
    <w:rPr>
      <w:rFonts w:asciiTheme="minorHAnsi" w:eastAsiaTheme="minorHAnsi" w:hAnsiTheme="minorHAnsi" w:cstheme="minorBidi"/>
      <w:sz w:val="20"/>
      <w:szCs w:val="20"/>
    </w:rPr>
  </w:style>
  <w:style w:type="character" w:styleId="EndnoteReference">
    <w:name w:val="endnote reference"/>
    <w:basedOn w:val="DefaultParagraphFont"/>
    <w:uiPriority w:val="99"/>
    <w:unhideWhenUsed/>
    <w:qFormat/>
    <w:rsid w:val="00A31BB4"/>
    <w:rPr>
      <w:rFonts w:ascii="Times New Roman" w:hAnsi="Times New Roman"/>
      <w:sz w:val="22"/>
      <w:vertAlign w:val="superscript"/>
    </w:rPr>
  </w:style>
  <w:style w:type="character" w:styleId="FollowedHyperlink">
    <w:name w:val="FollowedHyperlink"/>
    <w:basedOn w:val="DefaultParagraphFont"/>
    <w:uiPriority w:val="99"/>
    <w:semiHidden/>
    <w:unhideWhenUsed/>
    <w:rsid w:val="000E66C3"/>
    <w:rPr>
      <w:color w:val="800080" w:themeColor="followedHyperlink"/>
      <w:u w:val="single"/>
    </w:rPr>
  </w:style>
  <w:style w:type="paragraph" w:styleId="BodyText">
    <w:name w:val="Body Text"/>
    <w:basedOn w:val="Normal"/>
    <w:link w:val="BodyTextChar"/>
    <w:rsid w:val="00004222"/>
    <w:pPr>
      <w:spacing w:after="180" w:line="264" w:lineRule="auto"/>
    </w:pPr>
    <w:rPr>
      <w:rFonts w:eastAsia="Times New Roman"/>
      <w:sz w:val="22"/>
      <w:lang w:val="x-none" w:eastAsia="x-none"/>
    </w:rPr>
  </w:style>
  <w:style w:type="character" w:customStyle="1" w:styleId="BodyTextChar">
    <w:name w:val="Body Text Char"/>
    <w:basedOn w:val="DefaultParagraphFont"/>
    <w:link w:val="BodyText"/>
    <w:rsid w:val="00004222"/>
    <w:rPr>
      <w:rFonts w:ascii="Times New Roman" w:eastAsia="Times New Roman" w:hAnsi="Times New Roman"/>
      <w:szCs w:val="24"/>
      <w:lang w:val="x-none" w:eastAsia="x-none"/>
    </w:rPr>
  </w:style>
  <w:style w:type="paragraph" w:customStyle="1" w:styleId="RefNumbers">
    <w:name w:val="Ref Numbers"/>
    <w:basedOn w:val="BodyText"/>
    <w:uiPriority w:val="99"/>
    <w:rsid w:val="00004222"/>
    <w:pPr>
      <w:numPr>
        <w:numId w:val="7"/>
      </w:numPr>
      <w:spacing w:after="240"/>
    </w:pPr>
  </w:style>
  <w:style w:type="paragraph" w:styleId="Revision">
    <w:name w:val="Revision"/>
    <w:hidden/>
    <w:uiPriority w:val="99"/>
    <w:semiHidden/>
    <w:rsid w:val="00FE2DAD"/>
    <w:rPr>
      <w:rFonts w:ascii="Courier" w:hAnsi="Courier"/>
      <w:sz w:val="24"/>
      <w:szCs w:val="20"/>
    </w:rPr>
  </w:style>
  <w:style w:type="paragraph" w:styleId="Caption">
    <w:name w:val="caption"/>
    <w:basedOn w:val="Normal"/>
    <w:next w:val="Normal"/>
    <w:semiHidden/>
    <w:unhideWhenUsed/>
    <w:qFormat/>
    <w:locked/>
    <w:rsid w:val="00492BBB"/>
    <w:pPr>
      <w:keepNext/>
      <w:keepLines/>
      <w:widowControl w:val="0"/>
      <w:tabs>
        <w:tab w:val="left" w:pos="1440"/>
      </w:tabs>
      <w:spacing w:after="120" w:line="264" w:lineRule="auto"/>
      <w:ind w:left="1440" w:hanging="1440"/>
    </w:pPr>
    <w:rPr>
      <w:rFonts w:ascii="Arial" w:eastAsia="Times New Roman" w:hAnsi="Arial"/>
      <w:b/>
      <w:bCs/>
      <w:sz w:val="22"/>
    </w:rPr>
  </w:style>
  <w:style w:type="character" w:customStyle="1" w:styleId="apple-converted-space">
    <w:name w:val="apple-converted-space"/>
    <w:basedOn w:val="DefaultParagraphFont"/>
    <w:rsid w:val="00647BE6"/>
  </w:style>
  <w:style w:type="paragraph" w:customStyle="1" w:styleId="Default">
    <w:name w:val="Default"/>
    <w:rsid w:val="006C52FB"/>
    <w:pPr>
      <w:autoSpaceDE w:val="0"/>
      <w:autoSpaceDN w:val="0"/>
      <w:adjustRightInd w:val="0"/>
    </w:pPr>
    <w:rPr>
      <w:rFonts w:ascii="Times New Roman" w:hAnsi="Times New Roman"/>
      <w:color w:val="000000"/>
      <w:sz w:val="24"/>
      <w:szCs w:val="24"/>
    </w:rPr>
  </w:style>
  <w:style w:type="character" w:customStyle="1" w:styleId="NumberedBulletChar">
    <w:name w:val="Numbered Bullet Char"/>
    <w:basedOn w:val="DefaultParagraphFont"/>
    <w:link w:val="NumberedBullet"/>
    <w:locked/>
    <w:rsid w:val="00A27C06"/>
    <w:rPr>
      <w:rFonts w:ascii="Times New Roman" w:eastAsia="Times New Roman" w:hAnsi="Times New Roman"/>
      <w:sz w:val="24"/>
      <w:szCs w:val="24"/>
      <w:lang w:eastAsia="ja-JP"/>
    </w:rPr>
  </w:style>
  <w:style w:type="paragraph" w:customStyle="1" w:styleId="NumberedBullet">
    <w:name w:val="Numbered Bullet"/>
    <w:basedOn w:val="Normal"/>
    <w:link w:val="NumberedBulletChar"/>
    <w:qFormat/>
    <w:rsid w:val="00EE7828"/>
    <w:pPr>
      <w:numPr>
        <w:numId w:val="9"/>
      </w:numPr>
      <w:tabs>
        <w:tab w:val="left" w:pos="432"/>
      </w:tabs>
      <w:spacing w:after="120"/>
      <w:ind w:left="432" w:hanging="432"/>
    </w:pPr>
    <w:rPr>
      <w:rFonts w:eastAsia="Times New Roman"/>
    </w:rPr>
  </w:style>
  <w:style w:type="paragraph" w:customStyle="1" w:styleId="NumberedBulletLastSS">
    <w:name w:val="Numbered Bullet (Last SS)"/>
    <w:basedOn w:val="Normal"/>
    <w:next w:val="NormalSS"/>
    <w:qFormat/>
    <w:rsid w:val="00A27C06"/>
    <w:pPr>
      <w:tabs>
        <w:tab w:val="num" w:pos="360"/>
        <w:tab w:val="left" w:pos="432"/>
      </w:tabs>
      <w:spacing w:after="240"/>
      <w:ind w:left="432" w:hanging="432"/>
    </w:pPr>
    <w:rPr>
      <w:rFonts w:eastAsia="Times New Roman"/>
    </w:rPr>
  </w:style>
  <w:style w:type="paragraph" w:customStyle="1" w:styleId="BulletsLast">
    <w:name w:val="BulletsLast"/>
    <w:basedOn w:val="Bullets"/>
    <w:rsid w:val="006626E4"/>
    <w:pPr>
      <w:spacing w:after="180"/>
    </w:pPr>
  </w:style>
  <w:style w:type="paragraph" w:customStyle="1" w:styleId="Bullets">
    <w:name w:val="Bullets"/>
    <w:basedOn w:val="BodyText"/>
    <w:link w:val="BulletsChar"/>
    <w:uiPriority w:val="99"/>
    <w:qFormat/>
    <w:rsid w:val="006626E4"/>
    <w:pPr>
      <w:numPr>
        <w:numId w:val="10"/>
      </w:numPr>
      <w:spacing w:after="120"/>
    </w:pPr>
    <w:rPr>
      <w:lang w:val="en-US" w:eastAsia="en-US"/>
    </w:rPr>
  </w:style>
  <w:style w:type="character" w:customStyle="1" w:styleId="BulletsChar">
    <w:name w:val="Bullets Char"/>
    <w:link w:val="Bullets"/>
    <w:uiPriority w:val="99"/>
    <w:locked/>
    <w:rsid w:val="006626E4"/>
    <w:rPr>
      <w:rFonts w:ascii="Times New Roman" w:eastAsia="Times New Roman" w:hAnsi="Times New Roman"/>
      <w:szCs w:val="20"/>
    </w:rPr>
  </w:style>
  <w:style w:type="table" w:customStyle="1" w:styleId="TableGrid2">
    <w:name w:val="Table Grid2"/>
    <w:basedOn w:val="TableNormal"/>
    <w:next w:val="TableGrid"/>
    <w:uiPriority w:val="59"/>
    <w:rsid w:val="00A865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year">
    <w:name w:val="nlm_year"/>
    <w:basedOn w:val="DefaultParagraphFont"/>
    <w:rsid w:val="00B63912"/>
  </w:style>
  <w:style w:type="character" w:customStyle="1" w:styleId="nlmarticle-title">
    <w:name w:val="nlm_article-title"/>
    <w:basedOn w:val="DefaultParagraphFont"/>
    <w:rsid w:val="00B63912"/>
  </w:style>
  <w:style w:type="character" w:customStyle="1" w:styleId="nlmfpage">
    <w:name w:val="nlm_fpage"/>
    <w:basedOn w:val="DefaultParagraphFont"/>
    <w:rsid w:val="00B63912"/>
  </w:style>
  <w:style w:type="character" w:customStyle="1" w:styleId="nlmlpage">
    <w:name w:val="nlm_lpage"/>
    <w:basedOn w:val="DefaultParagraphFont"/>
    <w:rsid w:val="00B63912"/>
  </w:style>
  <w:style w:type="character" w:customStyle="1" w:styleId="ref-journal">
    <w:name w:val="ref-journal"/>
    <w:basedOn w:val="DefaultParagraphFont"/>
    <w:rsid w:val="00C379F1"/>
  </w:style>
  <w:style w:type="character" w:customStyle="1" w:styleId="ref-vol">
    <w:name w:val="ref-vol"/>
    <w:basedOn w:val="DefaultParagraphFont"/>
    <w:rsid w:val="00C379F1"/>
  </w:style>
  <w:style w:type="character" w:customStyle="1" w:styleId="SL-FlLftSglChar">
    <w:name w:val="SL-Fl Lft Sgl Char"/>
    <w:link w:val="SL-FlLftSgl"/>
    <w:rsid w:val="009B7EC5"/>
    <w:rPr>
      <w:rFonts w:ascii="Courier" w:hAnsi="Courier"/>
      <w:sz w:val="24"/>
      <w:szCs w:val="20"/>
    </w:rPr>
  </w:style>
  <w:style w:type="paragraph" w:customStyle="1" w:styleId="NL-1stNumberedBullet">
    <w:name w:val="NL-1st Numbered Bullet"/>
    <w:basedOn w:val="Normal"/>
    <w:qFormat/>
    <w:rsid w:val="00FE3420"/>
    <w:pPr>
      <w:numPr>
        <w:numId w:val="12"/>
      </w:numPr>
      <w:spacing w:after="240"/>
    </w:pPr>
    <w:rPr>
      <w:rFonts w:asciiTheme="majorHAnsi" w:hAnsiTheme="majorHAnsi" w:cstheme="minorBidi"/>
      <w:sz w:val="22"/>
    </w:rPr>
  </w:style>
  <w:style w:type="paragraph" w:customStyle="1" w:styleId="BodyMC">
    <w:name w:val="Body MC"/>
    <w:basedOn w:val="Normal"/>
    <w:rsid w:val="004F76D8"/>
    <w:pPr>
      <w:tabs>
        <w:tab w:val="left" w:pos="360"/>
      </w:tabs>
      <w:autoSpaceDE w:val="0"/>
      <w:autoSpaceDN w:val="0"/>
      <w:spacing w:after="180" w:line="264" w:lineRule="auto"/>
    </w:pPr>
    <w:rPr>
      <w:rFonts w:eastAsia="Times New Roman"/>
      <w:sz w:val="22"/>
      <w:szCs w:val="22"/>
    </w:rPr>
  </w:style>
  <w:style w:type="character" w:customStyle="1" w:styleId="ListParagraphChar">
    <w:name w:val="List Paragraph Char"/>
    <w:link w:val="ListParagraph"/>
    <w:uiPriority w:val="34"/>
    <w:locked/>
    <w:rsid w:val="00260BC1"/>
  </w:style>
  <w:style w:type="character" w:customStyle="1" w:styleId="normaltextrun">
    <w:name w:val="normaltextrun"/>
    <w:basedOn w:val="DefaultParagraphFont"/>
    <w:rsid w:val="00260BC1"/>
  </w:style>
  <w:style w:type="character" w:customStyle="1" w:styleId="eop">
    <w:name w:val="eop"/>
    <w:basedOn w:val="DefaultParagraphFont"/>
    <w:rsid w:val="00260BC1"/>
  </w:style>
  <w:style w:type="character" w:customStyle="1" w:styleId="A10">
    <w:name w:val="A10"/>
    <w:rsid w:val="00C8133D"/>
    <w:rPr>
      <w:rFonts w:ascii="Univers 45 Light" w:hAnsi="Univers 45 Light" w:cs="Univers 45 Light" w:hint="default"/>
      <w:b/>
      <w:bCs/>
      <w:color w:val="000000"/>
      <w:sz w:val="17"/>
      <w:szCs w:val="17"/>
    </w:rPr>
  </w:style>
  <w:style w:type="paragraph" w:customStyle="1" w:styleId="Exhibitcolumnhead">
    <w:name w:val="Exhibit column head"/>
    <w:basedOn w:val="Normal"/>
    <w:rsid w:val="00D03D06"/>
    <w:pPr>
      <w:keepNext/>
      <w:widowControl w:val="0"/>
      <w:autoSpaceDE w:val="0"/>
      <w:autoSpaceDN w:val="0"/>
      <w:jc w:val="center"/>
    </w:pPr>
    <w:rPr>
      <w:rFonts w:ascii="Arial" w:eastAsia="Times New Roman" w:hAnsi="Arial" w:cs="Arial"/>
      <w:b/>
      <w:sz w:val="18"/>
    </w:rPr>
  </w:style>
  <w:style w:type="paragraph" w:customStyle="1" w:styleId="Exhibit">
    <w:name w:val="Exhibit"/>
    <w:basedOn w:val="Normal"/>
    <w:rsid w:val="00D03D06"/>
    <w:pPr>
      <w:widowControl w:val="0"/>
      <w:autoSpaceDE w:val="0"/>
      <w:autoSpaceDN w:val="0"/>
    </w:pPr>
    <w:rPr>
      <w:rFonts w:ascii="Arial" w:eastAsia="Times New Roman" w:hAnsi="Arial" w:cs="Arial"/>
      <w:sz w:val="18"/>
      <w:szCs w:val="18"/>
    </w:rPr>
  </w:style>
  <w:style w:type="character" w:customStyle="1" w:styleId="highlightedsearchterm">
    <w:name w:val="highlightedsearchterm"/>
    <w:basedOn w:val="DefaultParagraphFont"/>
    <w:rsid w:val="00D03D06"/>
  </w:style>
  <w:style w:type="character" w:styleId="Strong">
    <w:name w:val="Strong"/>
    <w:basedOn w:val="DefaultParagraphFont"/>
    <w:qFormat/>
    <w:locked/>
    <w:rsid w:val="00D03D06"/>
    <w:rPr>
      <w:b/>
      <w:bCs/>
    </w:rPr>
  </w:style>
  <w:style w:type="character" w:styleId="UnresolvedMention">
    <w:name w:val="Unresolved Mention"/>
    <w:basedOn w:val="DefaultParagraphFont"/>
    <w:uiPriority w:val="99"/>
    <w:semiHidden/>
    <w:unhideWhenUsed/>
    <w:rsid w:val="00692D49"/>
    <w:rPr>
      <w:color w:val="605E5C"/>
      <w:shd w:val="clear" w:color="auto" w:fill="E1DFDD"/>
    </w:rPr>
  </w:style>
  <w:style w:type="paragraph" w:customStyle="1" w:styleId="Dash">
    <w:name w:val="Dash"/>
    <w:basedOn w:val="Normal"/>
    <w:rsid w:val="00B2431F"/>
    <w:pPr>
      <w:numPr>
        <w:numId w:val="16"/>
      </w:numPr>
      <w:tabs>
        <w:tab w:val="left" w:pos="288"/>
      </w:tabs>
      <w:spacing w:after="120"/>
    </w:pPr>
    <w:rPr>
      <w:rFonts w:eastAsia="Times New Roman"/>
    </w:rPr>
  </w:style>
  <w:style w:type="paragraph" w:customStyle="1" w:styleId="DashLASTDS">
    <w:name w:val="Dash (LAST DS)"/>
    <w:basedOn w:val="Dash"/>
    <w:next w:val="Normal"/>
    <w:rsid w:val="00B2431F"/>
    <w:pPr>
      <w:spacing w:after="320"/>
    </w:pPr>
  </w:style>
  <w:style w:type="paragraph" w:customStyle="1" w:styleId="Bullet">
    <w:name w:val="Bullet"/>
    <w:basedOn w:val="Normal"/>
    <w:rsid w:val="002F4715"/>
    <w:pPr>
      <w:numPr>
        <w:numId w:val="18"/>
      </w:numPr>
      <w:tabs>
        <w:tab w:val="left" w:pos="432"/>
      </w:tabs>
      <w:spacing w:after="120"/>
      <w:ind w:left="432" w:hanging="432"/>
    </w:pPr>
    <w:rPr>
      <w:rFonts w:eastAsia="Times New Roman"/>
    </w:rPr>
  </w:style>
  <w:style w:type="paragraph" w:customStyle="1" w:styleId="ParagraphContinued">
    <w:name w:val="Paragraph Continued"/>
    <w:basedOn w:val="Normal"/>
    <w:next w:val="Normal"/>
    <w:qFormat/>
    <w:rsid w:val="002F4715"/>
    <w:pPr>
      <w:spacing w:before="160" w:after="160" w:line="264" w:lineRule="auto"/>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D15194"/>
    <w:pPr>
      <w:spacing w:before="100" w:beforeAutospacing="1" w:after="100" w:afterAutospacing="1"/>
    </w:pPr>
  </w:style>
  <w:style w:type="character" w:customStyle="1" w:styleId="None">
    <w:name w:val="None"/>
    <w:rsid w:val="0083481B"/>
  </w:style>
  <w:style w:type="character" w:customStyle="1" w:styleId="color2">
    <w:name w:val="color_2"/>
    <w:basedOn w:val="DefaultParagraphFont"/>
    <w:rsid w:val="00433664"/>
  </w:style>
  <w:style w:type="paragraph" w:customStyle="1" w:styleId="TOCHeader">
    <w:name w:val="TOC Header"/>
    <w:basedOn w:val="Normal"/>
    <w:next w:val="BodyText"/>
    <w:rsid w:val="00E55B64"/>
    <w:pPr>
      <w:spacing w:after="180" w:line="264" w:lineRule="auto"/>
    </w:pPr>
    <w:rPr>
      <w:rFonts w:ascii="Arial" w:eastAsia="Times New Roman" w:hAnsi="Arial"/>
      <w:b/>
      <w:color w:val="898D8D"/>
    </w:rPr>
  </w:style>
  <w:style w:type="character" w:styleId="Mention">
    <w:name w:val="Mention"/>
    <w:basedOn w:val="DefaultParagraphFont"/>
    <w:uiPriority w:val="99"/>
    <w:unhideWhenUsed/>
    <w:rsid w:val="00F8542D"/>
    <w:rPr>
      <w:color w:val="2B579A"/>
      <w:shd w:val="clear" w:color="auto" w:fill="E1DFDD"/>
    </w:rPr>
  </w:style>
  <w:style w:type="paragraph" w:customStyle="1" w:styleId="Level1">
    <w:name w:val="Level 1"/>
    <w:basedOn w:val="Normal"/>
    <w:rsid w:val="001B56E1"/>
    <w:pPr>
      <w:widowControl w:val="0"/>
      <w:autoSpaceDE w:val="0"/>
      <w:autoSpaceDN w:val="0"/>
      <w:adjustRightInd w:val="0"/>
      <w:ind w:left="360" w:hanging="360"/>
    </w:pPr>
    <w:rPr>
      <w:rFonts w:eastAsia="Times New Roman"/>
    </w:rPr>
  </w:style>
  <w:style w:type="character" w:customStyle="1" w:styleId="Heading8Char">
    <w:name w:val="Heading 8 Char"/>
    <w:basedOn w:val="DefaultParagraphFont"/>
    <w:link w:val="Heading8"/>
    <w:uiPriority w:val="9"/>
    <w:semiHidden/>
    <w:rsid w:val="00370209"/>
    <w:rPr>
      <w:rFonts w:asciiTheme="minorHAnsi" w:eastAsiaTheme="majorEastAsia" w:hAnsiTheme="minorHAnsi" w:cstheme="majorBidi"/>
      <w:i/>
      <w:iCs/>
      <w:color w:val="272727" w:themeColor="text1" w:themeTint="D8"/>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agencies/whd/overtime/salary-levels" TargetMode="External" /><Relationship Id="rId10" Type="http://schemas.openxmlformats.org/officeDocument/2006/relationships/hyperlink" Target="https://doi.org/10.1186/1471-2288-14-42" TargetMode="External" /><Relationship Id="rId11" Type="http://schemas.openxmlformats.org/officeDocument/2006/relationships/hyperlink" Target="https://www.jstor.org/stable/4124219" TargetMode="External" /><Relationship Id="rId12" Type="http://schemas.openxmlformats.org/officeDocument/2006/relationships/hyperlink" Target="https://doi.org/10.1093/poq/nfu059" TargetMode="External" /><Relationship Id="rId13" Type="http://schemas.openxmlformats.org/officeDocument/2006/relationships/hyperlink" Target="https://stacks.cdc.gov/view/cdc/154734/cdc_154734_DS1.pdf" TargetMode="External" /><Relationship Id="rId14" Type="http://schemas.openxmlformats.org/officeDocument/2006/relationships/hyperlink" Target="https://www.bls.gov/cex/research_papers/pdf/innovations-in-incentives-in-the-nls-rothstein.pdf" TargetMode="External" /><Relationship Id="rId15" Type="http://schemas.openxmlformats.org/officeDocument/2006/relationships/hyperlink" Target="https://www.census.gov/fedcasic/fc2021/pdf/7A_Bachtell.pdf" TargetMode="External" /><Relationship Id="rId16" Type="http://schemas.openxmlformats.org/officeDocument/2006/relationships/hyperlink" Target="https://doi.org/10.1086/317761" TargetMode="External" /><Relationship Id="rId17" Type="http://schemas.openxmlformats.org/officeDocument/2006/relationships/hyperlink" Target="https://www.jstor.org/stable/2991257" TargetMode="External" /><Relationship Id="rId18" Type="http://schemas.openxmlformats.org/officeDocument/2006/relationships/hyperlink" Target="https://doi.org/10.1093/poq/nfr021" TargetMode="External" /><Relationship Id="rId19" Type="http://schemas.openxmlformats.org/officeDocument/2006/relationships/hyperlink" Target="https://doi.org/10.2196/17564" TargetMode="External" /><Relationship Id="rId2" Type="http://schemas.openxmlformats.org/officeDocument/2006/relationships/hyperlink" Target="https://www.dol.gov/sites/dolgov/files/OASP/evaluation/pdf/WHD_ComplianceStrategies_LiteratureReview_Oct2020.pdf" TargetMode="External" /><Relationship Id="rId20" Type="http://schemas.openxmlformats.org/officeDocument/2006/relationships/hyperlink" Target="https://doi.org/10.1371/journal.pone.0049417" TargetMode="External" /><Relationship Id="rId21" Type="http://schemas.openxmlformats.org/officeDocument/2006/relationships/hyperlink" Target="https://psycnet.apa.org/doi/10.1177/0049124108318333" TargetMode="External" /><Relationship Id="rId22" Type="http://schemas.openxmlformats.org/officeDocument/2006/relationships/hyperlink" Target="https://doi.org/10.1093/ntr/ntw187" TargetMode="External" /><Relationship Id="rId23" Type="http://schemas.openxmlformats.org/officeDocument/2006/relationships/hyperlink" Target="https://doi.org/10.1007/s11121-017-0844-7" TargetMode="External" /><Relationship Id="rId24" Type="http://schemas.openxmlformats.org/officeDocument/2006/relationships/hyperlink" Target="https://doi.org/10.15288/jsad.2012.73.834" TargetMode="External" /><Relationship Id="rId25" Type="http://schemas.openxmlformats.org/officeDocument/2006/relationships/hyperlink" Target="https://doi.org/10.4256/mio.2010.0017" TargetMode="External" /><Relationship Id="rId26" Type="http://schemas.openxmlformats.org/officeDocument/2006/relationships/hyperlink" Target="https://doi.org/10.1007/s10461-008-9390-4" TargetMode="External" /><Relationship Id="rId27" Type="http://schemas.openxmlformats.org/officeDocument/2006/relationships/hyperlink" Target="https://doi.org/10.1111/jlme.12200" TargetMode="External" /><Relationship Id="rId28" Type="http://schemas.openxmlformats.org/officeDocument/2006/relationships/hyperlink" Target="https://www.opm.gov/policy-data-oversight/pay-leave/salaries-wages/salary-tables/pdf/2024/DCB_h.pdf" TargetMode="External" /><Relationship Id="rId3" Type="http://schemas.openxmlformats.org/officeDocument/2006/relationships/hyperlink" Target="https://www.gao.gov/assets/gao-21-13.pdf" TargetMode="External" /><Relationship Id="rId4" Type="http://schemas.openxmlformats.org/officeDocument/2006/relationships/hyperlink" Target="https://www.epi.org/publication/employers-steal-billions-from-workers-paychecks-each-year/" TargetMode="External" /><Relationship Id="rId5" Type="http://schemas.openxmlformats.org/officeDocument/2006/relationships/hyperlink" Target="https://www.dol.gov/sites/dolgov/files/OASP/legacy/files/WageViolationsReportDecember2014.pdf" TargetMode="External" /><Relationship Id="rId6" Type="http://schemas.openxmlformats.org/officeDocument/2006/relationships/hyperlink" Target="https://smlr.rutgers.edu/sites/default/files/Documents/Centers/CIWO/20_0828_sanfrancisco_study.pdf" TargetMode="External" /><Relationship Id="rId7" Type="http://schemas.openxmlformats.org/officeDocument/2006/relationships/hyperlink" Target="https://s27147.pcdn.co/wp-content/uploads/2015/03/BrokenLawsReport2009.pdf" TargetMode="External" /><Relationship Id="rId8" Type="http://schemas.openxmlformats.org/officeDocument/2006/relationships/hyperlink" Target="https://doi.org/10.2105/AJPH.2023.307267" TargetMode="External" /><Relationship Id="rId9" Type="http://schemas.openxmlformats.org/officeDocument/2006/relationships/hyperlink" Target="http://www.jstor.org/stable/2347908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B6862D0C6F24AA69F0CED6C98AD29" ma:contentTypeVersion="12" ma:contentTypeDescription="Create a new document." ma:contentTypeScope="" ma:versionID="900ff39e772a7e3956b9268560883621">
  <xsd:schema xmlns:xsd="http://www.w3.org/2001/XMLSchema" xmlns:xs="http://www.w3.org/2001/XMLSchema" xmlns:p="http://schemas.microsoft.com/office/2006/metadata/properties" xmlns:ns2="687e0f3f-8449-4cb2-a24a-27ee03341f76" xmlns:ns3="a6827c24-526e-42fe-ae5d-560e8a5c0a9f" targetNamespace="http://schemas.microsoft.com/office/2006/metadata/properties" ma:root="true" ma:fieldsID="afee89ebf71851079925cd4b4fbcda13" ns2:_="" ns3:_="">
    <xsd:import namespace="687e0f3f-8449-4cb2-a24a-27ee03341f76"/>
    <xsd:import namespace="a6827c24-526e-42fe-ae5d-560e8a5c0a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e0f3f-8449-4cb2-a24a-27ee03341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27c24-526e-42fe-ae5d-560e8a5c0a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ffe594-11df-41d3-be9b-c9ccfbf8e494}" ma:internalName="TaxCatchAll" ma:showField="CatchAllData" ma:web="a6827c24-526e-42fe-ae5d-560e8a5c0a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6827c24-526e-42fe-ae5d-560e8a5c0a9f" xsi:nil="true"/>
    <lcf76f155ced4ddcb4097134ff3c332f xmlns="687e0f3f-8449-4cb2-a24a-27ee03341f76">
      <Terms xmlns="http://schemas.microsoft.com/office/infopath/2007/PartnerControls"/>
    </lcf76f155ced4ddcb4097134ff3c332f>
    <Notes xmlns="687e0f3f-8449-4cb2-a24a-27ee03341f76" xsi:nil="true"/>
  </documentManagement>
</p:properties>
</file>

<file path=customXml/itemProps1.xml><?xml version="1.0" encoding="utf-8"?>
<ds:datastoreItem xmlns:ds="http://schemas.openxmlformats.org/officeDocument/2006/customXml" ds:itemID="{5167F426-5701-48FC-ABDB-AD75B6A75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e0f3f-8449-4cb2-a24a-27ee03341f76"/>
    <ds:schemaRef ds:uri="a6827c24-526e-42fe-ae5d-560e8a5c0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3CF6-F554-468D-8EE8-BE0AE5E69CAD}">
  <ds:schemaRefs>
    <ds:schemaRef ds:uri="http://schemas.microsoft.com/sharepoint/v3/contenttype/forms"/>
  </ds:schemaRefs>
</ds:datastoreItem>
</file>

<file path=customXml/itemProps3.xml><?xml version="1.0" encoding="utf-8"?>
<ds:datastoreItem xmlns:ds="http://schemas.openxmlformats.org/officeDocument/2006/customXml" ds:itemID="{99BC5192-5B49-4C48-9169-49F401648F15}">
  <ds:schemaRefs>
    <ds:schemaRef ds:uri="http://schemas.openxmlformats.org/officeDocument/2006/bibliography"/>
  </ds:schemaRefs>
</ds:datastoreItem>
</file>

<file path=customXml/itemProps4.xml><?xml version="1.0" encoding="utf-8"?>
<ds:datastoreItem xmlns:ds="http://schemas.openxmlformats.org/officeDocument/2006/customXml" ds:itemID="{D075682A-55D6-4B39-BE09-D64188B01639}">
  <ds:schemaRefs>
    <ds:schemaRef ds:uri="http://www.w3.org/XML/1998/namespace"/>
    <ds:schemaRef ds:uri="http://schemas.microsoft.com/office/infopath/2007/PartnerControls"/>
    <ds:schemaRef ds:uri="a6827c24-526e-42fe-ae5d-560e8a5c0a9f"/>
    <ds:schemaRef ds:uri="http://schemas.microsoft.com/office/2006/documentManagement/types"/>
    <ds:schemaRef ds:uri="http://purl.org/dc/terms/"/>
    <ds:schemaRef ds:uri="http://purl.org/dc/elements/1.1/"/>
    <ds:schemaRef ds:uri="http://purl.org/dc/dcmitype/"/>
    <ds:schemaRef ds:uri="http://schemas.openxmlformats.org/package/2006/metadata/core-properties"/>
    <ds:schemaRef ds:uri="687e0f3f-8449-4cb2-a24a-27ee03341f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5267</Words>
  <Characters>29403</Characters>
  <Application>Microsoft Office Word</Application>
  <DocSecurity>0</DocSecurity>
  <Lines>625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Hannon, Bradley - ASP</dc:creator>
  <cp:lastModifiedBy>Hannon, Bradley - ASP</cp:lastModifiedBy>
  <cp:revision>4</cp:revision>
  <dcterms:created xsi:type="dcterms:W3CDTF">2026-02-25T16:59:00Z</dcterms:created>
  <dcterms:modified xsi:type="dcterms:W3CDTF">2026-02-27T20:48:00Z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0x010100F98B6862D0C6F24AA69F0CED6C98AD29</vt:lpwstr>
  </property>
  <property fmtid="{D5CDD505-2E9C-101B-9397-08002B2CF9AE}" pid="3" name="MediaServiceImageTags">
    <vt:lpwstr/>
  </property>
</Properties>
</file>