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44CC" w14:paraId="37F28F1E" w14:textId="77777777">
      <w:pPr>
        <w:jc w:val="center"/>
        <w:rPr>
          <w:rFonts w:ascii="Times New Roman" w:hAnsi="Times New Roman"/>
          <w:b/>
          <w:bCs/>
        </w:rPr>
      </w:pPr>
      <w:r>
        <w:rPr>
          <w:rFonts w:ascii="Times New Roman" w:hAnsi="Times New Roman"/>
          <w:b/>
          <w:bCs/>
        </w:rPr>
        <w:t>Office of the Comptroller of the Currency</w:t>
      </w:r>
    </w:p>
    <w:p w:rsidR="006353FB" w14:paraId="6F6939FA" w14:textId="77777777">
      <w:pPr>
        <w:jc w:val="center"/>
        <w:rPr>
          <w:rFonts w:ascii="Times New Roman" w:hAnsi="Times New Roman"/>
          <w:b/>
          <w:bCs/>
        </w:rPr>
      </w:pPr>
      <w:r>
        <w:rPr>
          <w:rFonts w:ascii="Times New Roman" w:hAnsi="Times New Roman"/>
          <w:b/>
          <w:bCs/>
        </w:rPr>
        <w:t>Supporting Statement</w:t>
      </w:r>
    </w:p>
    <w:p w:rsidR="006353FB" w14:paraId="32E221FC" w14:textId="77777777">
      <w:pPr>
        <w:jc w:val="center"/>
        <w:rPr>
          <w:rFonts w:ascii="Times New Roman" w:hAnsi="Times New Roman"/>
          <w:b/>
          <w:bCs/>
        </w:rPr>
      </w:pPr>
      <w:r>
        <w:rPr>
          <w:rFonts w:ascii="Times New Roman" w:hAnsi="Times New Roman"/>
          <w:b/>
          <w:bCs/>
        </w:rPr>
        <w:t>Customer Complaint Form</w:t>
      </w:r>
    </w:p>
    <w:p w:rsidR="007844CC" w14:paraId="283E8542" w14:textId="77777777">
      <w:pPr>
        <w:jc w:val="center"/>
        <w:rPr>
          <w:rFonts w:ascii="Times New Roman" w:hAnsi="Times New Roman"/>
          <w:b/>
          <w:bCs/>
        </w:rPr>
      </w:pPr>
      <w:r>
        <w:rPr>
          <w:rFonts w:ascii="Times New Roman" w:hAnsi="Times New Roman"/>
          <w:b/>
          <w:bCs/>
        </w:rPr>
        <w:t>OMB Control No. 1557-0232</w:t>
      </w:r>
    </w:p>
    <w:p w:rsidR="006353FB" w14:paraId="018AFE1C" w14:textId="77777777">
      <w:pPr>
        <w:rPr>
          <w:rFonts w:ascii="Times New Roman" w:hAnsi="Times New Roman"/>
        </w:rPr>
      </w:pPr>
    </w:p>
    <w:p w:rsidR="006353FB" w14:paraId="4C433670" w14:textId="77777777">
      <w:pPr>
        <w:rPr>
          <w:rFonts w:ascii="Times New Roman" w:hAnsi="Times New Roman"/>
        </w:rPr>
      </w:pPr>
    </w:p>
    <w:p w:rsidR="006343F9" w:rsidRPr="005A0C2B" w:rsidP="006343F9" w14:paraId="498C3E5B" w14:textId="77777777">
      <w:pPr>
        <w:widowControl/>
        <w:rPr>
          <w:rFonts w:ascii="Times New Roman" w:hAnsi="Times New Roman"/>
          <w:snapToGrid/>
          <w:szCs w:val="24"/>
        </w:rPr>
      </w:pPr>
      <w:r w:rsidRPr="005A0C2B">
        <w:rPr>
          <w:rFonts w:ascii="Times New Roman" w:hAnsi="Times New Roman"/>
          <w:b/>
          <w:snapToGrid/>
          <w:szCs w:val="24"/>
        </w:rPr>
        <w:t>A.  Justification.</w:t>
      </w:r>
    </w:p>
    <w:p w:rsidR="006343F9" w:rsidRPr="006343F9" w:rsidP="006343F9" w14:paraId="2440FBEE" w14:textId="77777777">
      <w:pPr>
        <w:tabs>
          <w:tab w:val="left" w:pos="1365"/>
        </w:tabs>
        <w:rPr>
          <w:rFonts w:ascii="Times New Roman" w:hAnsi="Times New Roman"/>
          <w:szCs w:val="24"/>
        </w:rPr>
      </w:pPr>
      <w:r w:rsidRPr="006343F9">
        <w:rPr>
          <w:rFonts w:ascii="Times New Roman" w:hAnsi="Times New Roman"/>
          <w:szCs w:val="24"/>
        </w:rPr>
        <w:tab/>
      </w:r>
    </w:p>
    <w:p w:rsidR="006343F9" w:rsidRPr="006343F9" w:rsidP="006343F9" w14:paraId="6C0DAF40" w14:textId="77777777">
      <w:pPr>
        <w:rPr>
          <w:rFonts w:ascii="Times New Roman" w:hAnsi="Times New Roman"/>
          <w:b/>
          <w:bCs/>
          <w:i/>
          <w:iCs/>
        </w:rPr>
      </w:pPr>
      <w:r w:rsidRPr="006343F9">
        <w:rPr>
          <w:rFonts w:ascii="Times New Roman" w:hAnsi="Times New Roman"/>
          <w:b/>
          <w:bCs/>
          <w:i/>
          <w:iCs/>
        </w:rPr>
        <w:t>1</w:t>
      </w:r>
      <w:r w:rsidRPr="006343F9">
        <w:rPr>
          <w:rFonts w:ascii="Times New Roman" w:hAnsi="Times New Roman"/>
          <w:b/>
          <w:bCs/>
          <w:i/>
          <w:iCs/>
          <w:szCs w:val="24"/>
        </w:rPr>
        <w:t>.</w:t>
      </w:r>
      <w:r w:rsidRPr="006343F9">
        <w:rPr>
          <w:rFonts w:ascii="Times New Roman" w:hAnsi="Times New Roman"/>
          <w:b/>
          <w:bCs/>
          <w:i/>
          <w:iCs/>
          <w:szCs w:val="24"/>
        </w:rPr>
        <w:tab/>
      </w:r>
      <w:r w:rsidR="005A0C2B">
        <w:rPr>
          <w:rFonts w:ascii="Times New Roman" w:hAnsi="Times New Roman"/>
          <w:b/>
          <w:i/>
          <w:szCs w:val="24"/>
        </w:rPr>
        <w:t>Circumstances that make the collection necessary:</w:t>
      </w:r>
    </w:p>
    <w:p w:rsidR="006353FB" w14:paraId="640929A0" w14:textId="77777777">
      <w:pPr>
        <w:rPr>
          <w:rFonts w:ascii="Times New Roman" w:hAnsi="Times New Roman"/>
        </w:rPr>
      </w:pPr>
    </w:p>
    <w:p w:rsidR="006353FB" w:rsidP="00511BC7" w14:paraId="4E8ED73C" w14:textId="70A36C46">
      <w:pPr>
        <w:rPr>
          <w:rFonts w:ascii="Times New Roman" w:hAnsi="Times New Roman"/>
        </w:rPr>
      </w:pPr>
      <w:r>
        <w:rPr>
          <w:rFonts w:ascii="Times New Roman" w:hAnsi="Times New Roman"/>
        </w:rPr>
        <w:t xml:space="preserve">            </w:t>
      </w:r>
      <w:r>
        <w:rPr>
          <w:rFonts w:ascii="Times New Roman" w:hAnsi="Times New Roman"/>
        </w:rPr>
        <w:t>The customer complaint form w</w:t>
      </w:r>
      <w:r w:rsidR="00834643">
        <w:rPr>
          <w:rFonts w:ascii="Times New Roman" w:hAnsi="Times New Roman"/>
        </w:rPr>
        <w:t>as</w:t>
      </w:r>
      <w:r>
        <w:rPr>
          <w:rFonts w:ascii="Times New Roman" w:hAnsi="Times New Roman"/>
        </w:rPr>
        <w:t xml:space="preserve"> developed as a courtesy for </w:t>
      </w:r>
      <w:r w:rsidR="002341C9">
        <w:rPr>
          <w:rFonts w:ascii="Times New Roman" w:hAnsi="Times New Roman"/>
        </w:rPr>
        <w:t>customers</w:t>
      </w:r>
      <w:r>
        <w:rPr>
          <w:rFonts w:ascii="Times New Roman" w:hAnsi="Times New Roman"/>
        </w:rPr>
        <w:t xml:space="preserve"> </w:t>
      </w:r>
      <w:r w:rsidR="002341C9">
        <w:rPr>
          <w:rFonts w:ascii="Times New Roman" w:hAnsi="Times New Roman"/>
        </w:rPr>
        <w:t xml:space="preserve">who </w:t>
      </w:r>
      <w:r>
        <w:rPr>
          <w:rFonts w:ascii="Times New Roman" w:hAnsi="Times New Roman"/>
        </w:rPr>
        <w:t>contact the Office of the Comptroller of the Currency’s</w:t>
      </w:r>
      <w:r w:rsidR="00DD254C">
        <w:rPr>
          <w:rFonts w:ascii="Times New Roman" w:hAnsi="Times New Roman"/>
        </w:rPr>
        <w:t xml:space="preserve"> (OCC)</w:t>
      </w:r>
      <w:r>
        <w:rPr>
          <w:rFonts w:ascii="Times New Roman" w:hAnsi="Times New Roman"/>
        </w:rPr>
        <w:t xml:space="preserve"> Customer Assistance Group </w:t>
      </w:r>
      <w:r w:rsidR="00713F61">
        <w:rPr>
          <w:rFonts w:ascii="Times New Roman" w:hAnsi="Times New Roman"/>
        </w:rPr>
        <w:t xml:space="preserve">(CAG) </w:t>
      </w:r>
      <w:r>
        <w:rPr>
          <w:rFonts w:ascii="Times New Roman" w:hAnsi="Times New Roman"/>
        </w:rPr>
        <w:t xml:space="preserve">and wish to file a formal written complaint.  </w:t>
      </w:r>
      <w:r w:rsidRPr="008C3BA7" w:rsidR="002341C9">
        <w:rPr>
          <w:rFonts w:ascii="Times New Roman" w:hAnsi="Times New Roman"/>
        </w:rPr>
        <w:t xml:space="preserve">The form </w:t>
      </w:r>
      <w:r w:rsidR="002341C9">
        <w:rPr>
          <w:rFonts w:ascii="Times New Roman" w:hAnsi="Times New Roman"/>
        </w:rPr>
        <w:t xml:space="preserve">offers a template for </w:t>
      </w:r>
      <w:r w:rsidR="009E53E1">
        <w:rPr>
          <w:rFonts w:ascii="Times New Roman" w:hAnsi="Times New Roman"/>
        </w:rPr>
        <w:t>customers</w:t>
      </w:r>
      <w:r w:rsidRPr="008C3BA7" w:rsidR="009E53E1">
        <w:rPr>
          <w:rFonts w:ascii="Times New Roman" w:hAnsi="Times New Roman"/>
        </w:rPr>
        <w:t xml:space="preserve"> </w:t>
      </w:r>
      <w:r w:rsidRPr="008C3BA7" w:rsidR="002341C9">
        <w:rPr>
          <w:rFonts w:ascii="Times New Roman" w:hAnsi="Times New Roman"/>
        </w:rPr>
        <w:t xml:space="preserve">to </w:t>
      </w:r>
      <w:r w:rsidR="002341C9">
        <w:rPr>
          <w:rFonts w:ascii="Times New Roman" w:hAnsi="Times New Roman"/>
        </w:rPr>
        <w:t xml:space="preserve">use to </w:t>
      </w:r>
      <w:r w:rsidRPr="008C3BA7" w:rsidR="002341C9">
        <w:rPr>
          <w:rFonts w:ascii="Times New Roman" w:hAnsi="Times New Roman"/>
        </w:rPr>
        <w:t xml:space="preserve">focus </w:t>
      </w:r>
      <w:r w:rsidR="002341C9">
        <w:rPr>
          <w:rFonts w:ascii="Times New Roman" w:hAnsi="Times New Roman"/>
        </w:rPr>
        <w:t>their</w:t>
      </w:r>
      <w:r w:rsidRPr="008C3BA7" w:rsidR="002341C9">
        <w:rPr>
          <w:rFonts w:ascii="Times New Roman" w:hAnsi="Times New Roman"/>
        </w:rPr>
        <w:t xml:space="preserve"> issues and </w:t>
      </w:r>
      <w:r w:rsidR="002341C9">
        <w:rPr>
          <w:rFonts w:ascii="Times New Roman" w:hAnsi="Times New Roman"/>
        </w:rPr>
        <w:t xml:space="preserve">identify the information necessary to </w:t>
      </w:r>
      <w:r w:rsidRPr="008C3BA7" w:rsidR="002341C9">
        <w:rPr>
          <w:rFonts w:ascii="Times New Roman" w:hAnsi="Times New Roman"/>
        </w:rPr>
        <w:t>provide a complete picture of their concerns</w:t>
      </w:r>
      <w:r w:rsidR="002341C9">
        <w:rPr>
          <w:rFonts w:ascii="Times New Roman" w:hAnsi="Times New Roman"/>
        </w:rPr>
        <w:t xml:space="preserve">.  Use of the form </w:t>
      </w:r>
      <w:r w:rsidRPr="008C3BA7" w:rsidR="002341C9">
        <w:rPr>
          <w:rFonts w:ascii="Times New Roman" w:hAnsi="Times New Roman"/>
        </w:rPr>
        <w:t>is entirely voluntary</w:t>
      </w:r>
      <w:r w:rsidR="00552DFC">
        <w:rPr>
          <w:rFonts w:ascii="Times New Roman" w:hAnsi="Times New Roman"/>
        </w:rPr>
        <w:t>;</w:t>
      </w:r>
      <w:r w:rsidR="002341C9">
        <w:rPr>
          <w:rFonts w:ascii="Times New Roman" w:hAnsi="Times New Roman"/>
        </w:rPr>
        <w:t xml:space="preserve"> however, use of the form does help avoid the processing delays associated </w:t>
      </w:r>
      <w:r w:rsidR="00994A65">
        <w:rPr>
          <w:rFonts w:ascii="Times New Roman" w:hAnsi="Times New Roman"/>
        </w:rPr>
        <w:t xml:space="preserve">with incomplete complaints and </w:t>
      </w:r>
      <w:r w:rsidRPr="008C3BA7" w:rsidR="002341C9">
        <w:rPr>
          <w:rFonts w:ascii="Times New Roman" w:hAnsi="Times New Roman"/>
        </w:rPr>
        <w:t>allows CAG to process complaint</w:t>
      </w:r>
      <w:r w:rsidR="002341C9">
        <w:rPr>
          <w:rFonts w:ascii="Times New Roman" w:hAnsi="Times New Roman"/>
        </w:rPr>
        <w:t>s</w:t>
      </w:r>
      <w:r w:rsidRPr="008C3BA7" w:rsidR="002341C9">
        <w:rPr>
          <w:rFonts w:ascii="Times New Roman" w:hAnsi="Times New Roman"/>
        </w:rPr>
        <w:t xml:space="preserve"> more efficiently.</w:t>
      </w:r>
      <w:r w:rsidR="006E5FCF">
        <w:rPr>
          <w:rFonts w:ascii="Times New Roman" w:hAnsi="Times New Roman"/>
        </w:rPr>
        <w:t xml:space="preserve">  </w:t>
      </w:r>
    </w:p>
    <w:p w:rsidR="006353FB" w14:paraId="58E3F927" w14:textId="77777777">
      <w:pPr>
        <w:rPr>
          <w:rFonts w:ascii="Times New Roman" w:hAnsi="Times New Roman"/>
        </w:rPr>
      </w:pPr>
    </w:p>
    <w:p w:rsidR="006353FB" w:rsidP="00182F89" w14:paraId="3CDA3DA3"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182F89">
        <w:rPr>
          <w:rFonts w:ascii="Times New Roman" w:hAnsi="Times New Roman" w:cs="Times New Roman"/>
          <w:sz w:val="24"/>
          <w:szCs w:val="24"/>
        </w:rPr>
        <w:t xml:space="preserve">This collection of information is solicited pursuant to </w:t>
      </w:r>
      <w:r w:rsidRPr="00182F89" w:rsidR="00E943B9">
        <w:rPr>
          <w:rFonts w:ascii="Times New Roman" w:hAnsi="Times New Roman" w:cs="Times New Roman"/>
          <w:sz w:val="24"/>
          <w:szCs w:val="24"/>
        </w:rPr>
        <w:t xml:space="preserve">the Federal Trade Commission Act, </w:t>
      </w:r>
      <w:r w:rsidRPr="00182F89">
        <w:rPr>
          <w:rFonts w:ascii="Times New Roman" w:hAnsi="Times New Roman" w:cs="Times New Roman"/>
          <w:sz w:val="24"/>
          <w:szCs w:val="24"/>
        </w:rPr>
        <w:t xml:space="preserve">15 U.S.C. 57a(f)(1), the purpose of which is to prevent unfair or deceptive acts or practices in or affecting commerce, including acts or practices which are unfair or deceptive to </w:t>
      </w:r>
      <w:r w:rsidR="009E53E1">
        <w:rPr>
          <w:rFonts w:ascii="Times New Roman" w:hAnsi="Times New Roman" w:cs="Times New Roman"/>
          <w:sz w:val="24"/>
          <w:szCs w:val="24"/>
        </w:rPr>
        <w:t>customers</w:t>
      </w:r>
      <w:r w:rsidRPr="00182F89" w:rsidR="009E53E1">
        <w:rPr>
          <w:rFonts w:ascii="Times New Roman" w:hAnsi="Times New Roman" w:cs="Times New Roman"/>
          <w:sz w:val="24"/>
          <w:szCs w:val="24"/>
        </w:rPr>
        <w:t xml:space="preserve"> </w:t>
      </w:r>
      <w:r w:rsidRPr="00182F89">
        <w:rPr>
          <w:rFonts w:ascii="Times New Roman" w:hAnsi="Times New Roman" w:cs="Times New Roman"/>
          <w:sz w:val="24"/>
          <w:szCs w:val="24"/>
        </w:rPr>
        <w:t>by banks.  Agencies must establish a separate division of consumer affairs to receive and take appropriate action upon complaints with respect to such acts or practices by banks subject to its jurisdiction.</w:t>
      </w:r>
    </w:p>
    <w:p w:rsidR="00D20B5F" w:rsidP="00182F89" w14:paraId="1B7B6258" w14:textId="77777777">
      <w:pPr>
        <w:pStyle w:val="HTMLPreformatted"/>
        <w:rPr>
          <w:rFonts w:ascii="Times New Roman" w:hAnsi="Times New Roman" w:cs="Times New Roman"/>
          <w:sz w:val="24"/>
          <w:szCs w:val="24"/>
        </w:rPr>
      </w:pPr>
    </w:p>
    <w:p w:rsidR="006353FB" w:rsidRPr="00F57198" w:rsidP="00F57198" w14:paraId="6778926C" w14:textId="77777777">
      <w:pPr>
        <w:ind w:right="162"/>
        <w:jc w:val="both"/>
        <w:rPr>
          <w:rFonts w:ascii="Times New Roman" w:hAnsi="Times New Roman"/>
          <w:b/>
          <w:i/>
          <w:snapToGrid/>
        </w:rPr>
      </w:pPr>
      <w:r w:rsidRPr="006343F9">
        <w:rPr>
          <w:rFonts w:ascii="Times New Roman" w:hAnsi="Times New Roman"/>
          <w:b/>
          <w:bCs/>
          <w:i/>
          <w:iCs/>
          <w:snapToGrid/>
        </w:rPr>
        <w:t>2.</w:t>
      </w:r>
      <w:r w:rsidRPr="006343F9">
        <w:rPr>
          <w:rFonts w:ascii="Times New Roman" w:hAnsi="Times New Roman"/>
          <w:b/>
          <w:bCs/>
          <w:i/>
          <w:iCs/>
          <w:snapToGrid/>
        </w:rPr>
        <w:tab/>
      </w:r>
      <w:r w:rsidR="005A0C2B">
        <w:rPr>
          <w:rFonts w:ascii="Times New Roman" w:hAnsi="Times New Roman"/>
          <w:b/>
          <w:i/>
          <w:snapToGrid/>
          <w:spacing w:val="-1"/>
        </w:rPr>
        <w:t>Use of the information:</w:t>
      </w:r>
    </w:p>
    <w:p w:rsidR="006353FB" w14:paraId="17962BE1" w14:textId="77777777">
      <w:pPr>
        <w:pStyle w:val="Header"/>
        <w:tabs>
          <w:tab w:val="clear" w:pos="4320"/>
          <w:tab w:val="clear" w:pos="8640"/>
        </w:tabs>
        <w:rPr>
          <w:rFonts w:ascii="Times New Roman" w:hAnsi="Times New Roman"/>
        </w:rPr>
      </w:pPr>
    </w:p>
    <w:p w:rsidR="002341C9" w:rsidRPr="002341C9" w:rsidP="002341C9" w14:paraId="771E06C4" w14:textId="4D812DCC">
      <w:pPr>
        <w:rPr>
          <w:rFonts w:ascii="Times New Roman" w:hAnsi="Times New Roman"/>
        </w:rPr>
      </w:pPr>
      <w:r>
        <w:rPr>
          <w:rFonts w:ascii="Times New Roman" w:hAnsi="Times New Roman"/>
        </w:rPr>
        <w:t xml:space="preserve">            </w:t>
      </w:r>
      <w:r>
        <w:rPr>
          <w:rFonts w:ascii="Times New Roman" w:hAnsi="Times New Roman"/>
        </w:rPr>
        <w:t xml:space="preserve"> </w:t>
      </w:r>
      <w:r w:rsidR="00765AC9">
        <w:rPr>
          <w:rFonts w:ascii="Times New Roman" w:hAnsi="Times New Roman"/>
        </w:rPr>
        <w:t xml:space="preserve">The </w:t>
      </w:r>
      <w:r w:rsidRPr="002341C9">
        <w:rPr>
          <w:rFonts w:ascii="Times New Roman" w:hAnsi="Times New Roman"/>
        </w:rPr>
        <w:t xml:space="preserve">CAG uses the information included in a completed form to create a record of the </w:t>
      </w:r>
      <w:r w:rsidR="009E53E1">
        <w:rPr>
          <w:rFonts w:ascii="Times New Roman" w:hAnsi="Times New Roman"/>
        </w:rPr>
        <w:t>c</w:t>
      </w:r>
      <w:r w:rsidR="00CD75BD">
        <w:rPr>
          <w:rFonts w:ascii="Times New Roman" w:hAnsi="Times New Roman"/>
        </w:rPr>
        <w:t>usto</w:t>
      </w:r>
      <w:r w:rsidRPr="002341C9" w:rsidR="009E53E1">
        <w:rPr>
          <w:rFonts w:ascii="Times New Roman" w:hAnsi="Times New Roman"/>
        </w:rPr>
        <w:t xml:space="preserve">mer’s </w:t>
      </w:r>
      <w:r w:rsidRPr="002341C9">
        <w:rPr>
          <w:rFonts w:ascii="Times New Roman" w:hAnsi="Times New Roman"/>
        </w:rPr>
        <w:t xml:space="preserve">contact, capture information that can be used to resolve the </w:t>
      </w:r>
      <w:r w:rsidR="009E53E1">
        <w:rPr>
          <w:rFonts w:ascii="Times New Roman" w:hAnsi="Times New Roman"/>
        </w:rPr>
        <w:t>c</w:t>
      </w:r>
      <w:r w:rsidR="00CD75BD">
        <w:rPr>
          <w:rFonts w:ascii="Times New Roman" w:hAnsi="Times New Roman"/>
        </w:rPr>
        <w:t>u</w:t>
      </w:r>
      <w:r w:rsidR="009E53E1">
        <w:rPr>
          <w:rFonts w:ascii="Times New Roman" w:hAnsi="Times New Roman"/>
        </w:rPr>
        <w:t>st</w:t>
      </w:r>
      <w:r w:rsidR="00CD75BD">
        <w:rPr>
          <w:rFonts w:ascii="Times New Roman" w:hAnsi="Times New Roman"/>
        </w:rPr>
        <w:t>o</w:t>
      </w:r>
      <w:r w:rsidRPr="002341C9" w:rsidR="009E53E1">
        <w:rPr>
          <w:rFonts w:ascii="Times New Roman" w:hAnsi="Times New Roman"/>
        </w:rPr>
        <w:t xml:space="preserve">mer’s </w:t>
      </w:r>
      <w:r w:rsidRPr="002341C9">
        <w:rPr>
          <w:rFonts w:ascii="Times New Roman" w:hAnsi="Times New Roman"/>
        </w:rPr>
        <w:t>issues, and</w:t>
      </w:r>
      <w:r w:rsidRPr="002341C9">
        <w:rPr>
          <w:rFonts w:ascii="Times New Roman" w:hAnsi="Times New Roman"/>
        </w:rPr>
        <w:t xml:space="preserve"> </w:t>
      </w:r>
      <w:r w:rsidR="000D7D52">
        <w:rPr>
          <w:rFonts w:ascii="Times New Roman" w:hAnsi="Times New Roman"/>
        </w:rPr>
        <w:t>create</w:t>
      </w:r>
      <w:r w:rsidRPr="002341C9">
        <w:rPr>
          <w:rFonts w:ascii="Times New Roman" w:hAnsi="Times New Roman"/>
        </w:rPr>
        <w:t xml:space="preserve"> a database of information that is incorporated into the OCC’s supervisory process</w:t>
      </w:r>
      <w:r w:rsidR="00F12469">
        <w:rPr>
          <w:rFonts w:ascii="Times New Roman" w:hAnsi="Times New Roman"/>
        </w:rPr>
        <w:t>.</w:t>
      </w:r>
    </w:p>
    <w:p w:rsidR="006353FB" w14:paraId="55F6779A" w14:textId="77777777">
      <w:pPr>
        <w:rPr>
          <w:rFonts w:ascii="Times New Roman" w:hAnsi="Times New Roman"/>
        </w:rPr>
      </w:pPr>
    </w:p>
    <w:p w:rsidR="006343F9" w:rsidRPr="006343F9" w:rsidP="00427C09" w14:paraId="6B572616" w14:textId="77777777">
      <w:pPr>
        <w:tabs>
          <w:tab w:val="left" w:pos="720"/>
        </w:tabs>
        <w:ind w:right="205"/>
        <w:rPr>
          <w:rFonts w:ascii="Times New Roman" w:hAnsi="Times New Roman"/>
          <w:b/>
          <w:i/>
          <w:snapToGrid/>
        </w:rPr>
      </w:pPr>
      <w:r w:rsidRPr="006343F9">
        <w:rPr>
          <w:rFonts w:ascii="Times New Roman" w:hAnsi="Times New Roman"/>
          <w:b/>
          <w:bCs/>
          <w:i/>
          <w:iCs/>
          <w:snapToGrid/>
        </w:rPr>
        <w:t>3.</w:t>
      </w:r>
      <w:r w:rsidRPr="006343F9">
        <w:rPr>
          <w:rFonts w:ascii="Times New Roman" w:hAnsi="Times New Roman"/>
          <w:b/>
          <w:bCs/>
          <w:i/>
          <w:iCs/>
          <w:snapToGrid/>
        </w:rPr>
        <w:tab/>
      </w:r>
      <w:r w:rsidR="005A0C2B">
        <w:rPr>
          <w:rFonts w:ascii="Times New Roman" w:hAnsi="Times New Roman"/>
          <w:b/>
          <w:i/>
          <w:snapToGrid/>
          <w:spacing w:val="-1"/>
        </w:rPr>
        <w:t>Consideration of the use of improved information technology:</w:t>
      </w:r>
    </w:p>
    <w:p w:rsidR="001A60DE" w:rsidP="00E75547" w14:paraId="095CFD5A" w14:textId="77777777">
      <w:pPr>
        <w:rPr>
          <w:rFonts w:ascii="Times New Roman" w:hAnsi="Times New Roman"/>
        </w:rPr>
      </w:pPr>
    </w:p>
    <w:p w:rsidR="00C8153B" w:rsidP="00E75547" w14:paraId="4F7013C7" w14:textId="6AA417E4">
      <w:pPr>
        <w:rPr>
          <w:rFonts w:ascii="Times New Roman" w:hAnsi="Times New Roman"/>
        </w:rPr>
      </w:pPr>
      <w:r>
        <w:rPr>
          <w:rFonts w:ascii="Times New Roman" w:hAnsi="Times New Roman"/>
        </w:rPr>
        <w:t xml:space="preserve">            </w:t>
      </w:r>
      <w:r w:rsidR="006353FB">
        <w:rPr>
          <w:rFonts w:ascii="Times New Roman" w:hAnsi="Times New Roman"/>
        </w:rPr>
        <w:t xml:space="preserve">Respondents may use any available information technology to complete the form.  </w:t>
      </w:r>
      <w:r w:rsidR="00342FE7">
        <w:rPr>
          <w:rFonts w:ascii="Times New Roman" w:hAnsi="Times New Roman"/>
        </w:rPr>
        <w:t>C</w:t>
      </w:r>
      <w:r w:rsidR="00CD75BD">
        <w:rPr>
          <w:rFonts w:ascii="Times New Roman" w:hAnsi="Times New Roman"/>
        </w:rPr>
        <w:t>u</w:t>
      </w:r>
      <w:r w:rsidR="00342FE7">
        <w:rPr>
          <w:rFonts w:ascii="Times New Roman" w:hAnsi="Times New Roman"/>
        </w:rPr>
        <w:t>st</w:t>
      </w:r>
      <w:r w:rsidR="00CD75BD">
        <w:rPr>
          <w:rFonts w:ascii="Times New Roman" w:hAnsi="Times New Roman"/>
        </w:rPr>
        <w:t>o</w:t>
      </w:r>
      <w:r w:rsidR="00342FE7">
        <w:rPr>
          <w:rFonts w:ascii="Times New Roman" w:hAnsi="Times New Roman"/>
        </w:rPr>
        <w:t xml:space="preserve">mers </w:t>
      </w:r>
      <w:r w:rsidR="00F44F2E">
        <w:rPr>
          <w:rFonts w:ascii="Times New Roman" w:hAnsi="Times New Roman"/>
        </w:rPr>
        <w:t>can a</w:t>
      </w:r>
      <w:r>
        <w:rPr>
          <w:rFonts w:ascii="Times New Roman" w:hAnsi="Times New Roman"/>
        </w:rPr>
        <w:t>cc</w:t>
      </w:r>
      <w:r w:rsidR="00F44F2E">
        <w:rPr>
          <w:rFonts w:ascii="Times New Roman" w:hAnsi="Times New Roman"/>
        </w:rPr>
        <w:t xml:space="preserve">ess the form at </w:t>
      </w:r>
      <w:r w:rsidRPr="00F12469" w:rsidR="00F44F2E">
        <w:rPr>
          <w:rFonts w:ascii="Times New Roman" w:hAnsi="Times New Roman"/>
        </w:rPr>
        <w:t xml:space="preserve">the </w:t>
      </w:r>
      <w:hyperlink r:id="rId4" w:history="1">
        <w:r w:rsidRPr="00F12469" w:rsidR="00E75547">
          <w:rPr>
            <w:rStyle w:val="Hyperlink"/>
            <w:rFonts w:ascii="Times New Roman" w:hAnsi="Times New Roman"/>
            <w:i/>
            <w:color w:val="auto"/>
            <w:u w:val="none"/>
          </w:rPr>
          <w:t>www.HelpWithMyBank.gov</w:t>
        </w:r>
      </w:hyperlink>
      <w:r w:rsidRPr="00F12469" w:rsidR="00F44F2E">
        <w:rPr>
          <w:rFonts w:ascii="Times New Roman" w:hAnsi="Times New Roman"/>
        </w:rPr>
        <w:t xml:space="preserve"> web site</w:t>
      </w:r>
      <w:r w:rsidRPr="00F12469" w:rsidR="00E75547">
        <w:rPr>
          <w:rFonts w:ascii="Times New Roman" w:hAnsi="Times New Roman"/>
        </w:rPr>
        <w:t xml:space="preserve">.  The </w:t>
      </w:r>
      <w:r w:rsidRPr="00F12469" w:rsidR="00F44F2E">
        <w:rPr>
          <w:rFonts w:ascii="Times New Roman" w:hAnsi="Times New Roman"/>
        </w:rPr>
        <w:t>w</w:t>
      </w:r>
      <w:r w:rsidRPr="00F12469" w:rsidR="00E75547">
        <w:rPr>
          <w:rFonts w:ascii="Times New Roman" w:hAnsi="Times New Roman"/>
        </w:rPr>
        <w:t xml:space="preserve">eb site </w:t>
      </w:r>
      <w:r w:rsidRPr="00F12469" w:rsidR="00F44F2E">
        <w:rPr>
          <w:rFonts w:ascii="Times New Roman" w:hAnsi="Times New Roman"/>
        </w:rPr>
        <w:t xml:space="preserve">is available </w:t>
      </w:r>
      <w:r w:rsidRPr="00F12469" w:rsidR="00E75547">
        <w:rPr>
          <w:rFonts w:ascii="Times New Roman" w:hAnsi="Times New Roman"/>
        </w:rPr>
        <w:t>to assist customers of national banks</w:t>
      </w:r>
      <w:r w:rsidRPr="00F12469" w:rsidR="00C84D05">
        <w:rPr>
          <w:rFonts w:ascii="Times New Roman" w:hAnsi="Times New Roman"/>
        </w:rPr>
        <w:t xml:space="preserve"> or federal savings associations (thrifts)</w:t>
      </w:r>
      <w:r w:rsidRPr="00F12469" w:rsidR="00E75547">
        <w:rPr>
          <w:rFonts w:ascii="Times New Roman" w:hAnsi="Times New Roman"/>
        </w:rPr>
        <w:t xml:space="preserve"> and other financial institutions with questions common to all banking customers</w:t>
      </w:r>
      <w:r w:rsidRPr="00F12469" w:rsidR="000B7F05">
        <w:rPr>
          <w:rFonts w:ascii="Times New Roman" w:hAnsi="Times New Roman"/>
        </w:rPr>
        <w:t xml:space="preserve">.  </w:t>
      </w:r>
      <w:r w:rsidRPr="00F12469" w:rsidR="00F44F2E">
        <w:rPr>
          <w:rFonts w:ascii="Times New Roman" w:hAnsi="Times New Roman"/>
        </w:rPr>
        <w:t xml:space="preserve">The OCC’s </w:t>
      </w:r>
      <w:hyperlink r:id="rId5" w:history="1">
        <w:r w:rsidRPr="00F12469" w:rsidR="00F44F2E">
          <w:rPr>
            <w:rStyle w:val="Hyperlink"/>
            <w:rFonts w:ascii="Times New Roman" w:hAnsi="Times New Roman"/>
            <w:i/>
            <w:color w:val="auto"/>
            <w:u w:val="none"/>
          </w:rPr>
          <w:t>www.occ.gov</w:t>
        </w:r>
      </w:hyperlink>
      <w:r w:rsidRPr="00F12469" w:rsidR="00F44F2E">
        <w:rPr>
          <w:rFonts w:ascii="Times New Roman" w:hAnsi="Times New Roman"/>
        </w:rPr>
        <w:t xml:space="preserve"> web site also provides a link to the </w:t>
      </w:r>
      <w:hyperlink r:id="rId4" w:history="1">
        <w:r w:rsidRPr="00F12469" w:rsidR="00F44F2E">
          <w:rPr>
            <w:rStyle w:val="Hyperlink"/>
            <w:rFonts w:ascii="Times New Roman" w:hAnsi="Times New Roman"/>
            <w:i/>
            <w:color w:val="auto"/>
            <w:u w:val="none"/>
          </w:rPr>
          <w:t>www.HelpWithMyBank.gov</w:t>
        </w:r>
      </w:hyperlink>
      <w:r w:rsidRPr="00F12469" w:rsidR="00F44F2E">
        <w:rPr>
          <w:rFonts w:ascii="Times New Roman" w:hAnsi="Times New Roman"/>
        </w:rPr>
        <w:t xml:space="preserve"> web site.  </w:t>
      </w:r>
      <w:r w:rsidRPr="00F12469" w:rsidR="00342FE7">
        <w:rPr>
          <w:rFonts w:ascii="Times New Roman" w:hAnsi="Times New Roman"/>
        </w:rPr>
        <w:t>C</w:t>
      </w:r>
      <w:r w:rsidRPr="00F12469" w:rsidR="00CD75BD">
        <w:rPr>
          <w:rFonts w:ascii="Times New Roman" w:hAnsi="Times New Roman"/>
        </w:rPr>
        <w:t>u</w:t>
      </w:r>
      <w:r w:rsidRPr="00F12469" w:rsidR="00342FE7">
        <w:rPr>
          <w:rFonts w:ascii="Times New Roman" w:hAnsi="Times New Roman"/>
        </w:rPr>
        <w:t>s</w:t>
      </w:r>
      <w:r w:rsidRPr="00F12469" w:rsidR="00CD75BD">
        <w:rPr>
          <w:rFonts w:ascii="Times New Roman" w:hAnsi="Times New Roman"/>
        </w:rPr>
        <w:t>to</w:t>
      </w:r>
      <w:r w:rsidRPr="00F12469" w:rsidR="00342FE7">
        <w:rPr>
          <w:rFonts w:ascii="Times New Roman" w:hAnsi="Times New Roman"/>
        </w:rPr>
        <w:t xml:space="preserve">mers </w:t>
      </w:r>
      <w:r w:rsidRPr="00F12469" w:rsidR="000B7F05">
        <w:rPr>
          <w:rFonts w:ascii="Times New Roman" w:hAnsi="Times New Roman"/>
        </w:rPr>
        <w:t xml:space="preserve">have the option to file a complaint using an on-line form for which </w:t>
      </w:r>
      <w:r w:rsidR="000B7F05">
        <w:rPr>
          <w:rFonts w:ascii="Times New Roman" w:hAnsi="Times New Roman"/>
        </w:rPr>
        <w:t>they will receive an email confirmation or download a PDF form that can be completed and mailed or faxed to the C</w:t>
      </w:r>
      <w:r w:rsidR="00D47322">
        <w:rPr>
          <w:rFonts w:ascii="Times New Roman" w:hAnsi="Times New Roman"/>
        </w:rPr>
        <w:t>AG</w:t>
      </w:r>
      <w:r w:rsidR="000B7F05">
        <w:rPr>
          <w:rFonts w:ascii="Times New Roman" w:hAnsi="Times New Roman"/>
        </w:rPr>
        <w:t xml:space="preserve">. </w:t>
      </w:r>
      <w:r w:rsidR="0034510E">
        <w:rPr>
          <w:rFonts w:ascii="Times New Roman" w:hAnsi="Times New Roman"/>
        </w:rPr>
        <w:t xml:space="preserve"> T</w:t>
      </w:r>
      <w:r w:rsidR="00F44F2E">
        <w:rPr>
          <w:rFonts w:ascii="Times New Roman" w:hAnsi="Times New Roman"/>
        </w:rPr>
        <w:t xml:space="preserve">he on-line form </w:t>
      </w:r>
      <w:r w:rsidR="0034510E">
        <w:rPr>
          <w:rFonts w:ascii="Times New Roman" w:hAnsi="Times New Roman"/>
        </w:rPr>
        <w:t xml:space="preserve">is available in English only, while </w:t>
      </w:r>
      <w:r w:rsidR="00F44F2E">
        <w:rPr>
          <w:rFonts w:ascii="Times New Roman" w:hAnsi="Times New Roman"/>
        </w:rPr>
        <w:t xml:space="preserve">the PDF form </w:t>
      </w:r>
      <w:r w:rsidR="0034510E">
        <w:rPr>
          <w:rFonts w:ascii="Times New Roman" w:hAnsi="Times New Roman"/>
        </w:rPr>
        <w:t>is</w:t>
      </w:r>
      <w:r w:rsidR="00F44F2E">
        <w:rPr>
          <w:rFonts w:ascii="Times New Roman" w:hAnsi="Times New Roman"/>
        </w:rPr>
        <w:t xml:space="preserve"> available in </w:t>
      </w:r>
      <w:r w:rsidR="0034510E">
        <w:rPr>
          <w:rFonts w:ascii="Times New Roman" w:hAnsi="Times New Roman"/>
        </w:rPr>
        <w:t xml:space="preserve">both </w:t>
      </w:r>
      <w:r w:rsidR="00F44F2E">
        <w:rPr>
          <w:rFonts w:ascii="Times New Roman" w:hAnsi="Times New Roman"/>
        </w:rPr>
        <w:t>English and Spanish language formats.</w:t>
      </w:r>
    </w:p>
    <w:p w:rsidR="00C8153B" w:rsidP="00E75547" w14:paraId="19B387F8" w14:textId="77777777">
      <w:pPr>
        <w:rPr>
          <w:rFonts w:ascii="Times New Roman" w:hAnsi="Times New Roman"/>
        </w:rPr>
      </w:pPr>
    </w:p>
    <w:p w:rsidR="00E75547" w:rsidP="00E75547" w14:paraId="1774044C" w14:textId="77777777">
      <w:pPr>
        <w:rPr>
          <w:rFonts w:ascii="Times New Roman" w:hAnsi="Times New Roman"/>
        </w:rPr>
      </w:pPr>
      <w:r>
        <w:rPr>
          <w:rFonts w:ascii="Times New Roman" w:hAnsi="Times New Roman"/>
        </w:rPr>
        <w:t xml:space="preserve">            </w:t>
      </w:r>
      <w:r w:rsidR="00F44F2E">
        <w:rPr>
          <w:rFonts w:ascii="Times New Roman" w:hAnsi="Times New Roman"/>
        </w:rPr>
        <w:t xml:space="preserve">The on-line form </w:t>
      </w:r>
      <w:r w:rsidR="00C8153B">
        <w:rPr>
          <w:rFonts w:ascii="Times New Roman" w:hAnsi="Times New Roman"/>
        </w:rPr>
        <w:t xml:space="preserve">contains sections that match the PDF form, </w:t>
      </w:r>
      <w:r w:rsidR="00DA5559">
        <w:rPr>
          <w:rFonts w:ascii="Times New Roman" w:hAnsi="Times New Roman"/>
        </w:rPr>
        <w:t>whic</w:t>
      </w:r>
      <w:r w:rsidR="00C8153B">
        <w:rPr>
          <w:rFonts w:ascii="Times New Roman" w:hAnsi="Times New Roman"/>
        </w:rPr>
        <w:t xml:space="preserve">h are presented on a </w:t>
      </w:r>
      <w:r w:rsidR="00C8153B">
        <w:rPr>
          <w:rFonts w:ascii="Times New Roman" w:hAnsi="Times New Roman"/>
        </w:rPr>
        <w:t xml:space="preserve">single visible page.  Required fields </w:t>
      </w:r>
      <w:r w:rsidR="00156948">
        <w:rPr>
          <w:rFonts w:ascii="Times New Roman" w:hAnsi="Times New Roman"/>
        </w:rPr>
        <w:t>also are</w:t>
      </w:r>
      <w:r w:rsidR="00996562">
        <w:rPr>
          <w:rFonts w:ascii="Times New Roman" w:hAnsi="Times New Roman"/>
        </w:rPr>
        <w:t xml:space="preserve"> </w:t>
      </w:r>
      <w:r w:rsidR="00C8153B">
        <w:rPr>
          <w:rFonts w:ascii="Times New Roman" w:hAnsi="Times New Roman"/>
        </w:rPr>
        <w:t xml:space="preserve">highlighted and asterisked for user friendliness.  The </w:t>
      </w:r>
      <w:r w:rsidR="00156948">
        <w:rPr>
          <w:rFonts w:ascii="Times New Roman" w:hAnsi="Times New Roman"/>
        </w:rPr>
        <w:t>c</w:t>
      </w:r>
      <w:r w:rsidR="00CD75BD">
        <w:rPr>
          <w:rFonts w:ascii="Times New Roman" w:hAnsi="Times New Roman"/>
        </w:rPr>
        <w:t>u</w:t>
      </w:r>
      <w:r w:rsidR="00156948">
        <w:rPr>
          <w:rFonts w:ascii="Times New Roman" w:hAnsi="Times New Roman"/>
        </w:rPr>
        <w:t>st</w:t>
      </w:r>
      <w:r w:rsidR="00CD75BD">
        <w:rPr>
          <w:rFonts w:ascii="Times New Roman" w:hAnsi="Times New Roman"/>
        </w:rPr>
        <w:t>o</w:t>
      </w:r>
      <w:r w:rsidR="00156948">
        <w:rPr>
          <w:rFonts w:ascii="Times New Roman" w:hAnsi="Times New Roman"/>
        </w:rPr>
        <w:t xml:space="preserve">mer </w:t>
      </w:r>
      <w:r w:rsidR="00C8153B">
        <w:rPr>
          <w:rFonts w:ascii="Times New Roman" w:hAnsi="Times New Roman"/>
        </w:rPr>
        <w:t xml:space="preserve">can navigate forwards and backwards through the form using </w:t>
      </w:r>
      <w:r w:rsidR="00A838C2">
        <w:rPr>
          <w:rFonts w:ascii="Times New Roman" w:hAnsi="Times New Roman"/>
        </w:rPr>
        <w:t>the “</w:t>
      </w:r>
      <w:r w:rsidR="00C8153B">
        <w:rPr>
          <w:rFonts w:ascii="Times New Roman" w:hAnsi="Times New Roman"/>
        </w:rPr>
        <w:t>Next</w:t>
      </w:r>
      <w:r w:rsidR="00A838C2">
        <w:rPr>
          <w:rFonts w:ascii="Times New Roman" w:hAnsi="Times New Roman"/>
        </w:rPr>
        <w:t>”</w:t>
      </w:r>
      <w:r w:rsidR="00C8153B">
        <w:rPr>
          <w:rFonts w:ascii="Times New Roman" w:hAnsi="Times New Roman"/>
        </w:rPr>
        <w:t xml:space="preserve"> and </w:t>
      </w:r>
      <w:r w:rsidR="00A838C2">
        <w:rPr>
          <w:rFonts w:ascii="Times New Roman" w:hAnsi="Times New Roman"/>
        </w:rPr>
        <w:t>“</w:t>
      </w:r>
      <w:r w:rsidR="00C8153B">
        <w:rPr>
          <w:rFonts w:ascii="Times New Roman" w:hAnsi="Times New Roman"/>
        </w:rPr>
        <w:t>Previous</w:t>
      </w:r>
      <w:r w:rsidR="00A838C2">
        <w:rPr>
          <w:rFonts w:ascii="Times New Roman" w:hAnsi="Times New Roman"/>
        </w:rPr>
        <w:t>”</w:t>
      </w:r>
      <w:r w:rsidR="00C8153B">
        <w:rPr>
          <w:rFonts w:ascii="Times New Roman" w:hAnsi="Times New Roman"/>
        </w:rPr>
        <w:t xml:space="preserve"> links at the bottom of each section.  The form contains an on-line certification that replaces the PDF form’s signature line and provides the Privacy Act Statement.  </w:t>
      </w:r>
      <w:r w:rsidR="00156948">
        <w:rPr>
          <w:rFonts w:ascii="Times New Roman" w:hAnsi="Times New Roman"/>
        </w:rPr>
        <w:t>C</w:t>
      </w:r>
      <w:r w:rsidR="00CD75BD">
        <w:rPr>
          <w:rFonts w:ascii="Times New Roman" w:hAnsi="Times New Roman"/>
        </w:rPr>
        <w:t>u</w:t>
      </w:r>
      <w:r w:rsidR="00156948">
        <w:rPr>
          <w:rFonts w:ascii="Times New Roman" w:hAnsi="Times New Roman"/>
        </w:rPr>
        <w:t>st</w:t>
      </w:r>
      <w:r w:rsidR="00CD75BD">
        <w:rPr>
          <w:rFonts w:ascii="Times New Roman" w:hAnsi="Times New Roman"/>
        </w:rPr>
        <w:t>o</w:t>
      </w:r>
      <w:r w:rsidR="00156948">
        <w:rPr>
          <w:rFonts w:ascii="Times New Roman" w:hAnsi="Times New Roman"/>
        </w:rPr>
        <w:t xml:space="preserve">mers </w:t>
      </w:r>
      <w:r w:rsidR="00C8153B">
        <w:rPr>
          <w:rFonts w:ascii="Times New Roman" w:hAnsi="Times New Roman"/>
        </w:rPr>
        <w:t>are able to print the on-line submission</w:t>
      </w:r>
      <w:r w:rsidR="00A86242">
        <w:rPr>
          <w:rFonts w:ascii="Times New Roman" w:hAnsi="Times New Roman"/>
        </w:rPr>
        <w:t xml:space="preserve"> when complete</w:t>
      </w:r>
      <w:r w:rsidR="00C8153B">
        <w:rPr>
          <w:rFonts w:ascii="Times New Roman" w:hAnsi="Times New Roman"/>
        </w:rPr>
        <w:t>.  The on-line form</w:t>
      </w:r>
      <w:r w:rsidR="00A86242">
        <w:rPr>
          <w:rFonts w:ascii="Times New Roman" w:hAnsi="Times New Roman"/>
        </w:rPr>
        <w:t xml:space="preserve"> </w:t>
      </w:r>
      <w:r w:rsidR="00C8153B">
        <w:rPr>
          <w:rFonts w:ascii="Times New Roman" w:hAnsi="Times New Roman"/>
        </w:rPr>
        <w:t>streamline</w:t>
      </w:r>
      <w:r w:rsidR="00A86242">
        <w:rPr>
          <w:rFonts w:ascii="Times New Roman" w:hAnsi="Times New Roman"/>
        </w:rPr>
        <w:t>s</w:t>
      </w:r>
      <w:r w:rsidR="00C8153B">
        <w:rPr>
          <w:rFonts w:ascii="Times New Roman" w:hAnsi="Times New Roman"/>
        </w:rPr>
        <w:t xml:space="preserve"> the customer complaint process </w:t>
      </w:r>
      <w:r w:rsidR="00A86242">
        <w:rPr>
          <w:rFonts w:ascii="Times New Roman" w:hAnsi="Times New Roman"/>
        </w:rPr>
        <w:t>by providing a form that is accessible for submission at any time.</w:t>
      </w:r>
    </w:p>
    <w:p w:rsidR="006353FB" w14:paraId="58D58ADC" w14:textId="77777777">
      <w:pPr>
        <w:rPr>
          <w:rFonts w:ascii="Times New Roman" w:hAnsi="Times New Roman"/>
        </w:rPr>
      </w:pPr>
    </w:p>
    <w:p w:rsidR="00427C09" w:rsidRPr="00427C09" w:rsidP="00427C09" w14:paraId="133CFD0E" w14:textId="77777777">
      <w:pPr>
        <w:ind w:right="141"/>
        <w:jc w:val="both"/>
        <w:rPr>
          <w:rFonts w:ascii="Times New Roman" w:hAnsi="Times New Roman"/>
          <w:b/>
          <w:i/>
          <w:snapToGrid/>
        </w:rPr>
      </w:pPr>
      <w:r w:rsidRPr="00427C09">
        <w:rPr>
          <w:rFonts w:ascii="Times New Roman" w:hAnsi="Times New Roman"/>
          <w:b/>
          <w:bCs/>
          <w:i/>
          <w:iCs/>
          <w:snapToGrid/>
        </w:rPr>
        <w:t>4.</w:t>
      </w:r>
      <w:r w:rsidRPr="00427C09">
        <w:rPr>
          <w:rFonts w:ascii="Times New Roman" w:hAnsi="Times New Roman"/>
          <w:b/>
          <w:bCs/>
          <w:i/>
          <w:iCs/>
          <w:snapToGrid/>
        </w:rPr>
        <w:tab/>
      </w:r>
      <w:r w:rsidR="005A0C2B">
        <w:rPr>
          <w:rFonts w:ascii="Times New Roman" w:hAnsi="Times New Roman"/>
          <w:b/>
          <w:i/>
          <w:snapToGrid/>
          <w:spacing w:val="-1"/>
        </w:rPr>
        <w:t>Efforts to identify duplication:</w:t>
      </w:r>
    </w:p>
    <w:p w:rsidR="002813ED" w14:paraId="25C4C17A" w14:textId="77777777">
      <w:pPr>
        <w:tabs>
          <w:tab w:val="left" w:pos="-1440"/>
        </w:tabs>
        <w:ind w:left="720" w:hanging="720"/>
        <w:rPr>
          <w:rFonts w:ascii="Times New Roman" w:hAnsi="Times New Roman"/>
        </w:rPr>
      </w:pPr>
    </w:p>
    <w:p w:rsidR="00C84D05" w:rsidRPr="00C56CE3" w:rsidP="002813ED" w14:paraId="083F326D" w14:textId="77777777">
      <w:pPr>
        <w:rPr>
          <w:rFonts w:ascii="Times New Roman" w:hAnsi="Times New Roman"/>
          <w:szCs w:val="24"/>
        </w:rPr>
      </w:pPr>
      <w:r>
        <w:rPr>
          <w:rFonts w:ascii="Times New Roman" w:hAnsi="Times New Roman"/>
          <w:sz w:val="22"/>
          <w:szCs w:val="22"/>
        </w:rPr>
        <w:t xml:space="preserve">            </w:t>
      </w:r>
      <w:r w:rsidRPr="00C56CE3">
        <w:rPr>
          <w:rFonts w:ascii="Times New Roman" w:hAnsi="Times New Roman"/>
          <w:szCs w:val="24"/>
        </w:rPr>
        <w:t>The information collected is not duplicated elsewhere.</w:t>
      </w:r>
    </w:p>
    <w:p w:rsidR="00511BC7" w14:paraId="7B7E2F8C" w14:textId="77777777">
      <w:pPr>
        <w:tabs>
          <w:tab w:val="left" w:pos="-1440"/>
        </w:tabs>
        <w:rPr>
          <w:rFonts w:ascii="Times New Roman" w:hAnsi="Times New Roman"/>
        </w:rPr>
      </w:pPr>
    </w:p>
    <w:p w:rsidR="002724C3" w:rsidP="002724C3" w14:paraId="32F317A7" w14:textId="77777777">
      <w:pPr>
        <w:pStyle w:val="BodyText"/>
        <w:widowControl w:val="0"/>
        <w:ind w:left="100" w:right="861"/>
        <w:rPr>
          <w:rFonts w:ascii="Times New Roman" w:hAnsi="Times New Roman"/>
          <w:b/>
          <w:i/>
          <w:u w:val="none"/>
        </w:rPr>
      </w:pPr>
      <w:r>
        <w:rPr>
          <w:rFonts w:ascii="Times New Roman" w:hAnsi="Times New Roman"/>
          <w:b/>
          <w:bCs/>
          <w:i/>
          <w:iCs/>
          <w:u w:val="none"/>
        </w:rPr>
        <w:t>5.</w:t>
      </w:r>
      <w:r>
        <w:rPr>
          <w:rFonts w:ascii="Times New Roman" w:hAnsi="Times New Roman"/>
          <w:b/>
          <w:bCs/>
          <w:i/>
          <w:iCs/>
          <w:u w:val="none"/>
        </w:rPr>
        <w:tab/>
      </w:r>
      <w:r>
        <w:rPr>
          <w:rFonts w:ascii="Times New Roman" w:hAnsi="Times New Roman"/>
          <w:b/>
          <w:i/>
          <w:spacing w:val="-2"/>
          <w:u w:val="none"/>
        </w:rPr>
        <w:t>If</w:t>
      </w:r>
      <w:r>
        <w:rPr>
          <w:rFonts w:ascii="Times New Roman" w:hAnsi="Times New Roman"/>
          <w:b/>
          <w:i/>
          <w:spacing w:val="-8"/>
          <w:u w:val="none"/>
        </w:rPr>
        <w:t xml:space="preserve"> </w:t>
      </w:r>
      <w:r>
        <w:rPr>
          <w:rFonts w:ascii="Times New Roman" w:hAnsi="Times New Roman"/>
          <w:b/>
          <w:i/>
          <w:u w:val="none"/>
        </w:rPr>
        <w:t>the</w:t>
      </w:r>
      <w:r>
        <w:rPr>
          <w:rFonts w:ascii="Times New Roman" w:hAnsi="Times New Roman"/>
          <w:b/>
          <w:i/>
          <w:spacing w:val="-7"/>
          <w:u w:val="none"/>
        </w:rPr>
        <w:t xml:space="preserve"> </w:t>
      </w:r>
      <w:r>
        <w:rPr>
          <w:rFonts w:ascii="Times New Roman" w:hAnsi="Times New Roman"/>
          <w:b/>
          <w:i/>
          <w:spacing w:val="-1"/>
          <w:u w:val="none"/>
        </w:rPr>
        <w:t>collection</w:t>
      </w:r>
      <w:r>
        <w:rPr>
          <w:rFonts w:ascii="Times New Roman" w:hAnsi="Times New Roman"/>
          <w:b/>
          <w:i/>
          <w:spacing w:val="-7"/>
          <w:u w:val="none"/>
        </w:rPr>
        <w:t xml:space="preserve"> </w:t>
      </w:r>
      <w:r>
        <w:rPr>
          <w:rFonts w:ascii="Times New Roman" w:hAnsi="Times New Roman"/>
          <w:b/>
          <w:i/>
          <w:u w:val="none"/>
        </w:rPr>
        <w:t>of</w:t>
      </w:r>
      <w:r>
        <w:rPr>
          <w:rFonts w:ascii="Times New Roman" w:hAnsi="Times New Roman"/>
          <w:b/>
          <w:i/>
          <w:spacing w:val="-8"/>
          <w:u w:val="none"/>
        </w:rPr>
        <w:t xml:space="preserve"> </w:t>
      </w:r>
      <w:r>
        <w:rPr>
          <w:rFonts w:ascii="Times New Roman" w:hAnsi="Times New Roman"/>
          <w:b/>
          <w:i/>
          <w:spacing w:val="-1"/>
          <w:u w:val="none"/>
        </w:rPr>
        <w:t>information</w:t>
      </w:r>
      <w:r>
        <w:rPr>
          <w:rFonts w:ascii="Times New Roman" w:hAnsi="Times New Roman"/>
          <w:b/>
          <w:i/>
          <w:spacing w:val="-7"/>
          <w:u w:val="none"/>
        </w:rPr>
        <w:t xml:space="preserve"> </w:t>
      </w:r>
      <w:r>
        <w:rPr>
          <w:rFonts w:ascii="Times New Roman" w:hAnsi="Times New Roman"/>
          <w:b/>
          <w:i/>
          <w:spacing w:val="-1"/>
          <w:u w:val="none"/>
        </w:rPr>
        <w:t>impacts</w:t>
      </w:r>
      <w:r>
        <w:rPr>
          <w:rFonts w:ascii="Times New Roman" w:hAnsi="Times New Roman"/>
          <w:b/>
          <w:i/>
          <w:spacing w:val="-6"/>
          <w:u w:val="none"/>
        </w:rPr>
        <w:t xml:space="preserve"> </w:t>
      </w:r>
      <w:r>
        <w:rPr>
          <w:rFonts w:ascii="Times New Roman" w:hAnsi="Times New Roman"/>
          <w:b/>
          <w:i/>
          <w:spacing w:val="-1"/>
          <w:u w:val="none"/>
        </w:rPr>
        <w:t>small</w:t>
      </w:r>
      <w:r>
        <w:rPr>
          <w:rFonts w:ascii="Times New Roman" w:hAnsi="Times New Roman"/>
          <w:b/>
          <w:i/>
          <w:spacing w:val="-7"/>
          <w:u w:val="none"/>
        </w:rPr>
        <w:t xml:space="preserve"> </w:t>
      </w:r>
      <w:r>
        <w:rPr>
          <w:rFonts w:ascii="Times New Roman" w:hAnsi="Times New Roman"/>
          <w:b/>
          <w:i/>
          <w:spacing w:val="-1"/>
          <w:u w:val="none"/>
        </w:rPr>
        <w:t>businesses</w:t>
      </w:r>
      <w:r>
        <w:rPr>
          <w:rFonts w:ascii="Times New Roman" w:hAnsi="Times New Roman"/>
          <w:b/>
          <w:i/>
          <w:spacing w:val="-6"/>
          <w:u w:val="none"/>
        </w:rPr>
        <w:t xml:space="preserve"> </w:t>
      </w:r>
      <w:r>
        <w:rPr>
          <w:rFonts w:ascii="Times New Roman" w:hAnsi="Times New Roman"/>
          <w:b/>
          <w:i/>
          <w:u w:val="none"/>
        </w:rPr>
        <w:t>or</w:t>
      </w:r>
      <w:r>
        <w:rPr>
          <w:rFonts w:ascii="Times New Roman" w:hAnsi="Times New Roman"/>
          <w:b/>
          <w:i/>
          <w:spacing w:val="-8"/>
          <w:u w:val="none"/>
        </w:rPr>
        <w:t xml:space="preserve"> </w:t>
      </w:r>
      <w:r>
        <w:rPr>
          <w:rFonts w:ascii="Times New Roman" w:hAnsi="Times New Roman"/>
          <w:b/>
          <w:i/>
          <w:spacing w:val="1"/>
          <w:u w:val="none"/>
        </w:rPr>
        <w:t>other</w:t>
      </w:r>
      <w:r>
        <w:rPr>
          <w:rFonts w:ascii="Times New Roman" w:hAnsi="Times New Roman"/>
          <w:b/>
          <w:i/>
          <w:spacing w:val="-7"/>
          <w:u w:val="none"/>
        </w:rPr>
        <w:t xml:space="preserve"> </w:t>
      </w:r>
      <w:r>
        <w:rPr>
          <w:rFonts w:ascii="Times New Roman" w:hAnsi="Times New Roman"/>
          <w:b/>
          <w:i/>
          <w:spacing w:val="-1"/>
          <w:u w:val="none"/>
        </w:rPr>
        <w:t>small</w:t>
      </w:r>
      <w:r>
        <w:rPr>
          <w:rFonts w:ascii="Times New Roman" w:hAnsi="Times New Roman"/>
          <w:b/>
          <w:i/>
          <w:spacing w:val="-6"/>
          <w:u w:val="none"/>
        </w:rPr>
        <w:t xml:space="preserve"> </w:t>
      </w:r>
      <w:r>
        <w:rPr>
          <w:rFonts w:ascii="Times New Roman" w:hAnsi="Times New Roman"/>
          <w:b/>
          <w:i/>
          <w:u w:val="none"/>
        </w:rPr>
        <w:t>entities, describe</w:t>
      </w:r>
      <w:r>
        <w:rPr>
          <w:rFonts w:ascii="Times New Roman" w:hAnsi="Times New Roman"/>
          <w:b/>
          <w:i/>
          <w:spacing w:val="-7"/>
          <w:u w:val="none"/>
        </w:rPr>
        <w:t xml:space="preserve"> </w:t>
      </w:r>
      <w:r>
        <w:rPr>
          <w:rFonts w:ascii="Times New Roman" w:hAnsi="Times New Roman"/>
          <w:b/>
          <w:i/>
          <w:spacing w:val="1"/>
          <w:u w:val="none"/>
        </w:rPr>
        <w:t>any</w:t>
      </w:r>
      <w:r>
        <w:rPr>
          <w:rFonts w:ascii="Times New Roman" w:hAnsi="Times New Roman"/>
          <w:b/>
          <w:i/>
          <w:spacing w:val="-11"/>
          <w:u w:val="none"/>
        </w:rPr>
        <w:t xml:space="preserve"> </w:t>
      </w:r>
      <w:r>
        <w:rPr>
          <w:rFonts w:ascii="Times New Roman" w:hAnsi="Times New Roman"/>
          <w:b/>
          <w:i/>
          <w:spacing w:val="-1"/>
          <w:u w:val="none"/>
        </w:rPr>
        <w:t>methods</w:t>
      </w:r>
      <w:r>
        <w:rPr>
          <w:rFonts w:ascii="Times New Roman" w:hAnsi="Times New Roman"/>
          <w:b/>
          <w:i/>
          <w:spacing w:val="-8"/>
          <w:u w:val="none"/>
        </w:rPr>
        <w:t xml:space="preserve"> </w:t>
      </w:r>
      <w:r>
        <w:rPr>
          <w:rFonts w:ascii="Times New Roman" w:hAnsi="Times New Roman"/>
          <w:b/>
          <w:i/>
          <w:spacing w:val="-1"/>
          <w:u w:val="none"/>
        </w:rPr>
        <w:t>used</w:t>
      </w:r>
      <w:r>
        <w:rPr>
          <w:rFonts w:ascii="Times New Roman" w:hAnsi="Times New Roman"/>
          <w:b/>
          <w:i/>
          <w:spacing w:val="-8"/>
          <w:u w:val="none"/>
        </w:rPr>
        <w:t xml:space="preserve"> </w:t>
      </w:r>
      <w:r>
        <w:rPr>
          <w:rFonts w:ascii="Times New Roman" w:hAnsi="Times New Roman"/>
          <w:b/>
          <w:i/>
          <w:u w:val="none"/>
        </w:rPr>
        <w:t>to</w:t>
      </w:r>
      <w:r>
        <w:rPr>
          <w:rFonts w:ascii="Times New Roman" w:hAnsi="Times New Roman"/>
          <w:b/>
          <w:i/>
          <w:spacing w:val="-8"/>
          <w:u w:val="none"/>
        </w:rPr>
        <w:t xml:space="preserve"> </w:t>
      </w:r>
      <w:r>
        <w:rPr>
          <w:rFonts w:ascii="Times New Roman" w:hAnsi="Times New Roman"/>
          <w:b/>
          <w:i/>
          <w:u w:val="none"/>
        </w:rPr>
        <w:t>minimize</w:t>
      </w:r>
      <w:r>
        <w:rPr>
          <w:rFonts w:ascii="Times New Roman" w:hAnsi="Times New Roman"/>
          <w:b/>
          <w:i/>
          <w:spacing w:val="-8"/>
          <w:u w:val="none"/>
        </w:rPr>
        <w:t xml:space="preserve"> </w:t>
      </w:r>
      <w:r>
        <w:rPr>
          <w:rFonts w:ascii="Times New Roman" w:hAnsi="Times New Roman"/>
          <w:b/>
          <w:i/>
          <w:spacing w:val="-1"/>
          <w:u w:val="none"/>
        </w:rPr>
        <w:t>burden.</w:t>
      </w:r>
    </w:p>
    <w:p w:rsidR="002724C3" w:rsidP="002724C3" w14:paraId="32DF3D02" w14:textId="77777777"/>
    <w:p w:rsidR="002724C3" w:rsidRPr="002724C3" w:rsidP="002724C3" w14:paraId="39343950" w14:textId="77777777">
      <w:pPr>
        <w:ind w:firstLine="720"/>
        <w:rPr>
          <w:rFonts w:ascii="Times New Roman" w:hAnsi="Times New Roman"/>
          <w:color w:val="000000"/>
        </w:rPr>
      </w:pPr>
      <w:r w:rsidRPr="002724C3">
        <w:rPr>
          <w:rFonts w:ascii="Times New Roman" w:hAnsi="Times New Roman"/>
          <w:color w:val="000000"/>
        </w:rPr>
        <w:t>Not applicable.</w:t>
      </w:r>
    </w:p>
    <w:p w:rsidR="006353FB" w14:paraId="238785C2" w14:textId="77777777">
      <w:pPr>
        <w:rPr>
          <w:rFonts w:ascii="Times New Roman" w:hAnsi="Times New Roman"/>
        </w:rPr>
      </w:pPr>
    </w:p>
    <w:p w:rsidR="00427C09" w:rsidRPr="00427C09" w:rsidP="00427C09" w14:paraId="21233932" w14:textId="0B77DB49">
      <w:pPr>
        <w:tabs>
          <w:tab w:val="left" w:pos="340"/>
          <w:tab w:val="left" w:pos="630"/>
        </w:tabs>
        <w:ind w:right="205"/>
        <w:rPr>
          <w:rFonts w:ascii="Times New Roman" w:hAnsi="Times New Roman"/>
          <w:b/>
          <w:i/>
          <w:snapToGrid/>
        </w:rPr>
      </w:pPr>
      <w:r w:rsidRPr="00427C09">
        <w:rPr>
          <w:rFonts w:ascii="Times New Roman" w:hAnsi="Times New Roman"/>
          <w:b/>
          <w:bCs/>
          <w:i/>
          <w:iCs/>
          <w:snapToGrid/>
        </w:rPr>
        <w:t>6.</w:t>
      </w:r>
      <w:r w:rsidRPr="00427C09">
        <w:rPr>
          <w:rFonts w:ascii="Times New Roman" w:hAnsi="Times New Roman"/>
          <w:b/>
          <w:bCs/>
          <w:i/>
          <w:iCs/>
          <w:snapToGrid/>
        </w:rPr>
        <w:tab/>
        <w:t xml:space="preserve">     </w:t>
      </w:r>
      <w:r w:rsidR="007A6192">
        <w:rPr>
          <w:rFonts w:ascii="Times New Roman" w:hAnsi="Times New Roman"/>
          <w:b/>
          <w:i/>
          <w:snapToGrid/>
          <w:spacing w:val="-1"/>
        </w:rPr>
        <w:t xml:space="preserve">Consequences to the </w:t>
      </w:r>
      <w:r w:rsidR="00A838C2">
        <w:rPr>
          <w:rFonts w:ascii="Times New Roman" w:hAnsi="Times New Roman"/>
          <w:b/>
          <w:i/>
          <w:snapToGrid/>
          <w:spacing w:val="-1"/>
        </w:rPr>
        <w:t>f</w:t>
      </w:r>
      <w:r w:rsidR="007A6192">
        <w:rPr>
          <w:rFonts w:ascii="Times New Roman" w:hAnsi="Times New Roman"/>
          <w:b/>
          <w:i/>
          <w:snapToGrid/>
          <w:spacing w:val="-1"/>
        </w:rPr>
        <w:t>ederal program if the collection were conducted less frequently:</w:t>
      </w:r>
    </w:p>
    <w:p w:rsidR="006353FB" w14:paraId="5F560535" w14:textId="77777777">
      <w:pPr>
        <w:rPr>
          <w:rFonts w:ascii="Times New Roman" w:hAnsi="Times New Roman"/>
        </w:rPr>
      </w:pPr>
    </w:p>
    <w:p w:rsidR="006353FB" w:rsidP="002813ED" w14:paraId="0212BE7D" w14:textId="77777777">
      <w:pPr>
        <w:rPr>
          <w:rFonts w:ascii="Times New Roman" w:hAnsi="Times New Roman"/>
        </w:rPr>
      </w:pPr>
      <w:r>
        <w:rPr>
          <w:rFonts w:ascii="Times New Roman" w:hAnsi="Times New Roman"/>
        </w:rPr>
        <w:t xml:space="preserve">            </w:t>
      </w:r>
      <w:r>
        <w:rPr>
          <w:rFonts w:ascii="Times New Roman" w:hAnsi="Times New Roman"/>
        </w:rPr>
        <w:t>Less frequent collection would substantially impair the effectiveness of the program.</w:t>
      </w:r>
    </w:p>
    <w:p w:rsidR="006353FB" w14:paraId="24227B08" w14:textId="77777777">
      <w:pPr>
        <w:rPr>
          <w:rFonts w:ascii="Times New Roman" w:hAnsi="Times New Roman"/>
        </w:rPr>
      </w:pPr>
    </w:p>
    <w:p w:rsidR="00427C09" w:rsidRPr="00427C09" w:rsidP="00427C09" w14:paraId="59D6AF88" w14:textId="77777777">
      <w:pPr>
        <w:rPr>
          <w:rFonts w:ascii="Times New Roman" w:hAnsi="Times New Roman"/>
          <w:b/>
          <w:bCs/>
          <w:i/>
          <w:iCs/>
        </w:rPr>
      </w:pPr>
      <w:r w:rsidRPr="00427C09">
        <w:rPr>
          <w:rFonts w:ascii="Times New Roman" w:hAnsi="Times New Roman"/>
          <w:b/>
          <w:bCs/>
          <w:i/>
          <w:iCs/>
        </w:rPr>
        <w:t xml:space="preserve">7.        </w:t>
      </w:r>
      <w:r w:rsidR="007A6192">
        <w:rPr>
          <w:rFonts w:ascii="Times New Roman" w:hAnsi="Times New Roman"/>
          <w:b/>
          <w:bCs/>
          <w:i/>
          <w:iCs/>
        </w:rPr>
        <w:t>S</w:t>
      </w:r>
      <w:r w:rsidRPr="00427C09">
        <w:rPr>
          <w:rFonts w:ascii="Times New Roman" w:hAnsi="Times New Roman"/>
          <w:b/>
          <w:bCs/>
          <w:i/>
          <w:iCs/>
        </w:rPr>
        <w:t xml:space="preserve">pecial circumstances </w:t>
      </w:r>
      <w:r w:rsidR="007A6192">
        <w:rPr>
          <w:rFonts w:ascii="Times New Roman" w:hAnsi="Times New Roman"/>
          <w:b/>
          <w:bCs/>
          <w:i/>
          <w:iCs/>
        </w:rPr>
        <w:t>that would cause an information collection to be conducted in a manner</w:t>
      </w:r>
      <w:r w:rsidRPr="00427C09">
        <w:rPr>
          <w:rFonts w:ascii="Times New Roman" w:hAnsi="Times New Roman"/>
          <w:b/>
          <w:bCs/>
          <w:i/>
          <w:iCs/>
        </w:rPr>
        <w:t xml:space="preserve"> inconsistent with 5 CFR </w:t>
      </w:r>
      <w:r w:rsidR="00D86C5B">
        <w:rPr>
          <w:rFonts w:ascii="Times New Roman" w:hAnsi="Times New Roman"/>
          <w:b/>
          <w:bCs/>
          <w:i/>
          <w:iCs/>
        </w:rPr>
        <w:t xml:space="preserve">part </w:t>
      </w:r>
      <w:r w:rsidRPr="00427C09">
        <w:rPr>
          <w:rFonts w:ascii="Times New Roman" w:hAnsi="Times New Roman"/>
          <w:b/>
          <w:bCs/>
          <w:i/>
          <w:iCs/>
        </w:rPr>
        <w:t>1320.</w:t>
      </w:r>
    </w:p>
    <w:p w:rsidR="006353FB" w14:paraId="1C18EC25" w14:textId="77777777">
      <w:pPr>
        <w:rPr>
          <w:rFonts w:ascii="Times New Roman" w:hAnsi="Times New Roman"/>
        </w:rPr>
      </w:pPr>
    </w:p>
    <w:p w:rsidR="006353FB" w:rsidP="002813ED" w14:paraId="032804F6" w14:textId="77777777">
      <w:pPr>
        <w:rPr>
          <w:rFonts w:ascii="Times New Roman" w:hAnsi="Times New Roman"/>
        </w:rPr>
      </w:pPr>
      <w:r>
        <w:rPr>
          <w:rFonts w:ascii="Times New Roman" w:hAnsi="Times New Roman"/>
        </w:rPr>
        <w:t xml:space="preserve">            </w:t>
      </w:r>
      <w:r w:rsidR="00D86C5B">
        <w:rPr>
          <w:rFonts w:ascii="Times New Roman" w:hAnsi="Times New Roman"/>
        </w:rPr>
        <w:t>Not applicable.</w:t>
      </w:r>
    </w:p>
    <w:p w:rsidR="00813534" w:rsidP="008F322C" w14:paraId="315309B7" w14:textId="77777777">
      <w:pPr>
        <w:ind w:firstLine="720"/>
        <w:rPr>
          <w:rFonts w:ascii="Times New Roman" w:hAnsi="Times New Roman"/>
        </w:rPr>
      </w:pPr>
    </w:p>
    <w:p w:rsidR="00427C09" w:rsidRPr="00427C09" w:rsidP="00427C09" w14:paraId="59A87BBC" w14:textId="77777777">
      <w:pPr>
        <w:widowControl/>
        <w:ind w:right="270"/>
        <w:rPr>
          <w:rFonts w:ascii="Arial Narrow" w:hAnsi="Arial Narrow"/>
          <w:snapToGrid/>
        </w:rPr>
      </w:pPr>
      <w:r w:rsidRPr="00427C09">
        <w:rPr>
          <w:rFonts w:ascii="Times New Roman" w:hAnsi="Times New Roman"/>
          <w:b/>
          <w:bCs/>
          <w:i/>
          <w:iCs/>
          <w:snapToGrid/>
        </w:rPr>
        <w:t>8.</w:t>
      </w:r>
      <w:r w:rsidRPr="00427C09">
        <w:rPr>
          <w:rFonts w:ascii="Times New Roman" w:hAnsi="Times New Roman"/>
          <w:b/>
          <w:bCs/>
          <w:i/>
          <w:iCs/>
          <w:snapToGrid/>
        </w:rPr>
        <w:tab/>
      </w:r>
      <w:r w:rsidR="009F4452">
        <w:rPr>
          <w:rFonts w:ascii="Times New Roman" w:hAnsi="Times New Roman"/>
          <w:b/>
          <w:i/>
          <w:snapToGrid/>
          <w:spacing w:val="-1"/>
        </w:rPr>
        <w:t>Efforts to consult with persons outside the agency:</w:t>
      </w:r>
    </w:p>
    <w:p w:rsidR="002A689A" w:rsidP="002813ED" w14:paraId="2F9FCC5D" w14:textId="77777777">
      <w:pPr>
        <w:rPr>
          <w:rFonts w:ascii="Times New Roman" w:hAnsi="Times New Roman"/>
        </w:rPr>
      </w:pPr>
    </w:p>
    <w:p w:rsidR="00D855E2" w14:paraId="0055D677" w14:textId="66FE0BBF">
      <w:pPr>
        <w:rPr>
          <w:rFonts w:ascii="Times New Roman" w:hAnsi="Times New Roman"/>
        </w:rPr>
      </w:pPr>
      <w:r>
        <w:rPr>
          <w:rFonts w:ascii="Times New Roman" w:hAnsi="Times New Roman"/>
        </w:rPr>
        <w:t xml:space="preserve">            </w:t>
      </w:r>
      <w:r w:rsidRPr="0034510E" w:rsidR="0034510E">
        <w:rPr>
          <w:rFonts w:ascii="Times New Roman" w:hAnsi="Times New Roman"/>
        </w:rPr>
        <w:t xml:space="preserve">The OCC issued a notice for 60 days of comment concerning this collection on </w:t>
      </w:r>
      <w:r w:rsidR="000853D9">
        <w:rPr>
          <w:rFonts w:ascii="Times New Roman" w:hAnsi="Times New Roman"/>
        </w:rPr>
        <w:t>May 31</w:t>
      </w:r>
      <w:r w:rsidR="00006FED">
        <w:rPr>
          <w:rFonts w:ascii="Times New Roman" w:hAnsi="Times New Roman"/>
        </w:rPr>
        <w:t xml:space="preserve">, </w:t>
      </w:r>
      <w:r w:rsidRPr="0034510E" w:rsidR="0034510E">
        <w:rPr>
          <w:rFonts w:ascii="Times New Roman" w:hAnsi="Times New Roman"/>
        </w:rPr>
        <w:t>202</w:t>
      </w:r>
      <w:r w:rsidR="00006FED">
        <w:rPr>
          <w:rFonts w:ascii="Times New Roman" w:hAnsi="Times New Roman"/>
        </w:rPr>
        <w:t>4</w:t>
      </w:r>
      <w:r w:rsidRPr="0034510E" w:rsidR="0034510E">
        <w:rPr>
          <w:rFonts w:ascii="Times New Roman" w:hAnsi="Times New Roman"/>
        </w:rPr>
        <w:t>, 8</w:t>
      </w:r>
      <w:r w:rsidR="00006FED">
        <w:rPr>
          <w:rFonts w:ascii="Times New Roman" w:hAnsi="Times New Roman"/>
        </w:rPr>
        <w:t>9</w:t>
      </w:r>
      <w:r w:rsidRPr="0034510E" w:rsidR="0034510E">
        <w:rPr>
          <w:rFonts w:ascii="Times New Roman" w:hAnsi="Times New Roman"/>
        </w:rPr>
        <w:t xml:space="preserve"> FR </w:t>
      </w:r>
      <w:r w:rsidR="000853D9">
        <w:rPr>
          <w:rFonts w:ascii="Times New Roman" w:hAnsi="Times New Roman"/>
        </w:rPr>
        <w:t>47237</w:t>
      </w:r>
      <w:r w:rsidR="00006FED">
        <w:rPr>
          <w:rFonts w:ascii="Times New Roman" w:hAnsi="Times New Roman"/>
        </w:rPr>
        <w:t>.</w:t>
      </w:r>
      <w:r w:rsidRPr="0034510E" w:rsidR="0034510E">
        <w:rPr>
          <w:rFonts w:ascii="Times New Roman" w:hAnsi="Times New Roman"/>
        </w:rPr>
        <w:t xml:space="preserve">  </w:t>
      </w:r>
      <w:r w:rsidRPr="0096639A" w:rsidR="000D1244">
        <w:rPr>
          <w:rFonts w:ascii="Times New Roman" w:hAnsi="Times New Roman"/>
        </w:rPr>
        <w:t>No</w:t>
      </w:r>
      <w:r w:rsidRPr="0096639A" w:rsidR="0034510E">
        <w:rPr>
          <w:rFonts w:ascii="Times New Roman" w:hAnsi="Times New Roman"/>
        </w:rPr>
        <w:t xml:space="preserve"> comments were received</w:t>
      </w:r>
      <w:r w:rsidRPr="0034510E" w:rsidR="0034510E">
        <w:rPr>
          <w:rFonts w:ascii="Times New Roman" w:hAnsi="Times New Roman"/>
        </w:rPr>
        <w:t>.</w:t>
      </w:r>
      <w:r w:rsidRPr="0034510E" w:rsidR="0034510E">
        <w:rPr>
          <w:rFonts w:ascii="Times New Roman" w:hAnsi="Times New Roman"/>
        </w:rPr>
        <w:t xml:space="preserve"> </w:t>
      </w:r>
    </w:p>
    <w:p w:rsidR="006353FB" w14:paraId="78113C23" w14:textId="77777777">
      <w:pPr>
        <w:rPr>
          <w:rFonts w:ascii="Times New Roman" w:hAnsi="Times New Roman"/>
        </w:rPr>
        <w:sectPr>
          <w:headerReference w:type="default" r:id="rId6"/>
          <w:footerReference w:type="default" r:id="rId7"/>
          <w:endnotePr>
            <w:numFmt w:val="decimal"/>
          </w:endnotePr>
          <w:type w:val="continuous"/>
          <w:pgSz w:w="12240" w:h="15840"/>
          <w:pgMar w:top="1440" w:right="1440" w:bottom="1440" w:left="1440" w:header="1440" w:footer="1440" w:gutter="0"/>
          <w:cols w:space="720"/>
          <w:noEndnote/>
        </w:sectPr>
      </w:pPr>
    </w:p>
    <w:p w:rsidR="00B13A58" w:rsidP="00427C09" w14:paraId="4DB83DF0" w14:textId="77777777">
      <w:pPr>
        <w:ind w:right="982"/>
        <w:rPr>
          <w:rFonts w:ascii="Times New Roman" w:hAnsi="Times New Roman"/>
          <w:b/>
          <w:bCs/>
          <w:i/>
          <w:iCs/>
          <w:snapToGrid/>
        </w:rPr>
      </w:pPr>
    </w:p>
    <w:p w:rsidR="00427C09" w:rsidRPr="00427C09" w:rsidP="00427C09" w14:paraId="483D11A9" w14:textId="205DE8CA">
      <w:pPr>
        <w:ind w:right="982"/>
        <w:rPr>
          <w:rFonts w:ascii="Times New Roman" w:hAnsi="Times New Roman"/>
          <w:b/>
          <w:i/>
          <w:snapToGrid/>
        </w:rPr>
      </w:pPr>
      <w:r w:rsidRPr="00427C09">
        <w:rPr>
          <w:rFonts w:ascii="Times New Roman" w:hAnsi="Times New Roman"/>
          <w:b/>
          <w:bCs/>
          <w:i/>
          <w:iCs/>
          <w:snapToGrid/>
        </w:rPr>
        <w:t>9.</w:t>
      </w:r>
      <w:r w:rsidRPr="00427C09">
        <w:rPr>
          <w:rFonts w:ascii="Times New Roman" w:hAnsi="Times New Roman"/>
          <w:b/>
          <w:bCs/>
          <w:i/>
          <w:iCs/>
          <w:snapToGrid/>
        </w:rPr>
        <w:tab/>
      </w:r>
      <w:r w:rsidR="00722659">
        <w:rPr>
          <w:rFonts w:ascii="Times New Roman" w:hAnsi="Times New Roman"/>
          <w:b/>
          <w:i/>
          <w:snapToGrid/>
        </w:rPr>
        <w:t>Payment or gift to respondents:</w:t>
      </w:r>
    </w:p>
    <w:p w:rsidR="006353FB" w14:paraId="69DB6DDD" w14:textId="77777777">
      <w:pPr>
        <w:rPr>
          <w:rFonts w:ascii="Times New Roman" w:hAnsi="Times New Roman"/>
        </w:rPr>
      </w:pPr>
    </w:p>
    <w:p w:rsidR="006353FB" w:rsidP="002813ED" w14:paraId="22129F96" w14:textId="77777777">
      <w:pPr>
        <w:rPr>
          <w:rFonts w:ascii="Times New Roman" w:hAnsi="Times New Roman"/>
        </w:rPr>
      </w:pPr>
      <w:r>
        <w:rPr>
          <w:rFonts w:ascii="Times New Roman" w:hAnsi="Times New Roman"/>
        </w:rPr>
        <w:t xml:space="preserve">            </w:t>
      </w:r>
      <w:r>
        <w:rPr>
          <w:rFonts w:ascii="Times New Roman" w:hAnsi="Times New Roman"/>
        </w:rPr>
        <w:t>None.</w:t>
      </w:r>
    </w:p>
    <w:p w:rsidR="006353FB" w14:paraId="3F811156" w14:textId="77777777">
      <w:pPr>
        <w:rPr>
          <w:rFonts w:ascii="Times New Roman" w:hAnsi="Times New Roman"/>
        </w:rPr>
      </w:pPr>
    </w:p>
    <w:p w:rsidR="00427C09" w:rsidRPr="00676359" w:rsidP="00427C09" w14:paraId="5582F3E5" w14:textId="77777777">
      <w:pPr>
        <w:tabs>
          <w:tab w:val="left" w:pos="460"/>
        </w:tabs>
        <w:ind w:right="410"/>
        <w:rPr>
          <w:rFonts w:ascii="Times New Roman" w:hAnsi="Times New Roman"/>
          <w:b/>
          <w:i/>
          <w:snapToGrid/>
        </w:rPr>
      </w:pPr>
      <w:r w:rsidRPr="00427C09">
        <w:rPr>
          <w:rFonts w:ascii="Times New Roman" w:hAnsi="Times New Roman"/>
          <w:b/>
          <w:bCs/>
          <w:i/>
          <w:iCs/>
          <w:snapToGrid/>
        </w:rPr>
        <w:t>10.</w:t>
      </w:r>
      <w:r w:rsidRPr="00427C09">
        <w:rPr>
          <w:rFonts w:ascii="Times New Roman" w:hAnsi="Times New Roman"/>
          <w:b/>
          <w:bCs/>
          <w:i/>
          <w:iCs/>
          <w:snapToGrid/>
        </w:rPr>
        <w:tab/>
        <w:t xml:space="preserve">    </w:t>
      </w:r>
      <w:r w:rsidRPr="00676359" w:rsidR="00722659">
        <w:rPr>
          <w:rFonts w:ascii="Times New Roman" w:hAnsi="Times New Roman"/>
          <w:b/>
          <w:i/>
          <w:snapToGrid/>
          <w:spacing w:val="-1"/>
        </w:rPr>
        <w:t>Any assurance of confidentiality:</w:t>
      </w:r>
    </w:p>
    <w:p w:rsidR="00FB10F8" w:rsidP="008D2109" w14:paraId="336E932D" w14:textId="77777777">
      <w:pPr>
        <w:tabs>
          <w:tab w:val="left" w:pos="3570"/>
        </w:tabs>
        <w:rPr>
          <w:rFonts w:ascii="Times New Roman" w:hAnsi="Times New Roman"/>
        </w:rPr>
      </w:pPr>
    </w:p>
    <w:p w:rsidR="006353FB" w:rsidRPr="00676359" w:rsidP="008D2109" w14:paraId="1BD3885D" w14:textId="01CC49DE">
      <w:pPr>
        <w:tabs>
          <w:tab w:val="left" w:pos="3570"/>
        </w:tabs>
        <w:rPr>
          <w:rFonts w:ascii="Times New Roman" w:hAnsi="Times New Roman"/>
        </w:rPr>
      </w:pPr>
      <w:r>
        <w:rPr>
          <w:rFonts w:ascii="Times New Roman" w:hAnsi="Times New Roman"/>
        </w:rPr>
        <w:t xml:space="preserve">            The solicitation and collection of this information is authorized by 12 U.S.C. 1481, 1464, and 1820; and 15 U.S.C. 41 et seq.  It is intended that the information obtained through this solicitation will be used within the OCC and provided to the national bank or federal savings association that is the subject of the complaint or inquiry.  Additional disclosures of such information may be made</w:t>
      </w:r>
      <w:r w:rsidR="00D93C9F">
        <w:rPr>
          <w:rFonts w:ascii="Times New Roman" w:hAnsi="Times New Roman"/>
        </w:rPr>
        <w:t>, pursuant to the following routine uses,</w:t>
      </w:r>
      <w:r>
        <w:rPr>
          <w:rFonts w:ascii="Times New Roman" w:hAnsi="Times New Roman"/>
        </w:rPr>
        <w:t xml:space="preserve"> to:  (1) other third parties when required or authorized by statute or when necessary in order to obtain additional information relating to the complaint or inquiry; (2) other governmental, self-regulatory, or professional organizations having:  (a) jurisdiction over the subject</w:t>
      </w:r>
      <w:r w:rsidR="007E7988">
        <w:rPr>
          <w:rFonts w:ascii="Times New Roman" w:hAnsi="Times New Roman"/>
        </w:rPr>
        <w:t xml:space="preserve"> matter of</w:t>
      </w:r>
      <w:r w:rsidR="006A0474">
        <w:rPr>
          <w:rFonts w:ascii="Times New Roman" w:hAnsi="Times New Roman"/>
        </w:rPr>
        <w:t xml:space="preserve"> the complaint or inquiry; (b) </w:t>
      </w:r>
      <w:r w:rsidR="006A0474">
        <w:rPr>
          <w:rFonts w:ascii="Times New Roman" w:hAnsi="Times New Roman"/>
        </w:rPr>
        <w:t>jurisdiction over the entity that is the subject</w:t>
      </w:r>
      <w:r w:rsidR="008B3028">
        <w:rPr>
          <w:rFonts w:ascii="Times New Roman" w:hAnsi="Times New Roman"/>
        </w:rPr>
        <w:t xml:space="preserve"> of the complaint or inquiry; </w:t>
      </w:r>
      <w:r w:rsidR="006A0474">
        <w:rPr>
          <w:rFonts w:ascii="Times New Roman" w:hAnsi="Times New Roman"/>
        </w:rPr>
        <w:t>or (c</w:t>
      </w:r>
      <w:r w:rsidR="007E7988">
        <w:rPr>
          <w:rFonts w:ascii="Times New Roman" w:hAnsi="Times New Roman"/>
        </w:rPr>
        <w:t xml:space="preserve">) whenever such information is relevant to a known suspected violation of law or licensing standard for which another organization has jurisdiction; (3) the Department of Justice, a court, an adjudicative body, a party in litigation, or a witness when relevant and necessary to a legal or administrative proceeding; (4) a Congressional office when the information is relevant to an inquiry; (5) </w:t>
      </w:r>
      <w:r w:rsidR="004656C1">
        <w:rPr>
          <w:rFonts w:ascii="Times New Roman" w:hAnsi="Times New Roman"/>
        </w:rPr>
        <w:t>o</w:t>
      </w:r>
      <w:r w:rsidR="007E7988">
        <w:rPr>
          <w:rFonts w:ascii="Times New Roman" w:hAnsi="Times New Roman"/>
        </w:rPr>
        <w:t>ther governmental or tribal organizations with which an individual has communicated regarding a complaint or inquiry about an OCC-regulated entity; (6) OCC contractors or agents when access to such information is necessary; (7) other third parties when required</w:t>
      </w:r>
      <w:r w:rsidR="00F82E66">
        <w:rPr>
          <w:rFonts w:ascii="Times New Roman" w:hAnsi="Times New Roman"/>
        </w:rPr>
        <w:t xml:space="preserve"> </w:t>
      </w:r>
      <w:r w:rsidR="00153CA1">
        <w:rPr>
          <w:rFonts w:ascii="Times New Roman" w:hAnsi="Times New Roman"/>
        </w:rPr>
        <w:t>or authorized by statute</w:t>
      </w:r>
      <w:r w:rsidR="006A0474">
        <w:rPr>
          <w:rFonts w:ascii="Times New Roman" w:hAnsi="Times New Roman"/>
        </w:rPr>
        <w:t>;</w:t>
      </w:r>
      <w:r w:rsidR="00153CA1">
        <w:rPr>
          <w:rFonts w:ascii="Times New Roman" w:hAnsi="Times New Roman"/>
        </w:rPr>
        <w:t xml:space="preserve"> and (8) appropriate agencies, entities and persons when:  (a) there has been a suspected or confirmed compromise to the </w:t>
      </w:r>
      <w:r w:rsidR="00A8299C">
        <w:rPr>
          <w:rFonts w:ascii="Times New Roman" w:hAnsi="Times New Roman"/>
        </w:rPr>
        <w:t>security or confidentiality of the information in the system of records; (b) as a result of the suspected or confirmed compromise there is a risk of harm to economic or property interests, identity theft or fraud, or harm to the security or integrity of the system or other systems that rely on the compromised information; and (c) the disclosure made is reasonably necessary to assist in efforts to respond to the suspected or confirmed compromise and prevent, minimize, or remedy such harm.</w:t>
      </w:r>
      <w:r w:rsidR="00D93C9F">
        <w:rPr>
          <w:rFonts w:ascii="Times New Roman" w:hAnsi="Times New Roman"/>
        </w:rPr>
        <w:t xml:space="preserve">  For a full listing of routine uses, please see 81 F.R. 2945, 2957-8.</w:t>
      </w:r>
    </w:p>
    <w:p w:rsidR="006353FB" w:rsidP="008D2109" w14:paraId="63F84092" w14:textId="77777777">
      <w:pPr>
        <w:rPr>
          <w:rFonts w:ascii="Times New Roman" w:hAnsi="Times New Roman"/>
        </w:rPr>
      </w:pPr>
    </w:p>
    <w:p w:rsidR="00427C09" w:rsidRPr="00427C09" w:rsidP="00427C09" w14:paraId="45D2122E" w14:textId="77777777">
      <w:pPr>
        <w:tabs>
          <w:tab w:val="left" w:pos="460"/>
        </w:tabs>
        <w:spacing w:before="69"/>
        <w:ind w:right="205"/>
        <w:rPr>
          <w:rFonts w:ascii="Times New Roman" w:hAnsi="Times New Roman"/>
          <w:b/>
          <w:i/>
          <w:snapToGrid/>
          <w:spacing w:val="-1"/>
        </w:rPr>
      </w:pPr>
      <w:r w:rsidRPr="00427C09">
        <w:rPr>
          <w:rFonts w:ascii="Times New Roman" w:hAnsi="Times New Roman"/>
          <w:b/>
          <w:bCs/>
          <w:i/>
          <w:iCs/>
          <w:snapToGrid/>
        </w:rPr>
        <w:t>11.</w:t>
      </w:r>
      <w:r w:rsidRPr="00427C09">
        <w:rPr>
          <w:rFonts w:ascii="Times New Roman" w:hAnsi="Times New Roman"/>
          <w:b/>
          <w:bCs/>
          <w:i/>
          <w:iCs/>
          <w:snapToGrid/>
        </w:rPr>
        <w:tab/>
        <w:t xml:space="preserve">   </w:t>
      </w:r>
      <w:r w:rsidR="00722659">
        <w:rPr>
          <w:rFonts w:ascii="Times New Roman" w:hAnsi="Times New Roman"/>
          <w:b/>
          <w:i/>
          <w:snapToGrid/>
        </w:rPr>
        <w:t>Justification for que</w:t>
      </w:r>
      <w:r w:rsidR="00E22AD6">
        <w:rPr>
          <w:rFonts w:ascii="Times New Roman" w:hAnsi="Times New Roman"/>
          <w:b/>
          <w:i/>
          <w:snapToGrid/>
        </w:rPr>
        <w:t>stions of a sensitive nature.</w:t>
      </w:r>
    </w:p>
    <w:p w:rsidR="006353FB" w14:paraId="27105331" w14:textId="77777777">
      <w:pPr>
        <w:rPr>
          <w:rFonts w:ascii="Times New Roman" w:hAnsi="Times New Roman"/>
        </w:rPr>
      </w:pPr>
    </w:p>
    <w:p w:rsidR="006353FB" w:rsidP="002813ED" w14:paraId="38544888" w14:textId="77777777">
      <w:pPr>
        <w:rPr>
          <w:rFonts w:ascii="Times New Roman" w:hAnsi="Times New Roman"/>
        </w:rPr>
      </w:pPr>
      <w:r>
        <w:rPr>
          <w:rFonts w:ascii="Times New Roman" w:hAnsi="Times New Roman"/>
        </w:rPr>
        <w:t xml:space="preserve">            </w:t>
      </w:r>
      <w:r w:rsidR="00D83E16">
        <w:rPr>
          <w:rFonts w:ascii="Times New Roman" w:hAnsi="Times New Roman"/>
        </w:rPr>
        <w:t>This information collection contains personally identifiable information.  The OCC’s Privacy Impact Assessment is included in the Information Collection Request (ICR).</w:t>
      </w:r>
    </w:p>
    <w:p w:rsidR="00D83E16" w:rsidP="00427C09" w14:paraId="146F590F" w14:textId="77777777">
      <w:pPr>
        <w:tabs>
          <w:tab w:val="left" w:pos="-1440"/>
        </w:tabs>
        <w:rPr>
          <w:rFonts w:ascii="Times New Roman" w:hAnsi="Times New Roman"/>
        </w:rPr>
      </w:pPr>
    </w:p>
    <w:p w:rsidR="006353FB" w14:paraId="0EB84B26" w14:textId="77777777">
      <w:pPr>
        <w:rPr>
          <w:rFonts w:ascii="Times New Roman" w:hAnsi="Times New Roman"/>
        </w:rPr>
        <w:sectPr>
          <w:endnotePr>
            <w:numFmt w:val="decimal"/>
          </w:endnotePr>
          <w:type w:val="continuous"/>
          <w:pgSz w:w="12240" w:h="15840"/>
          <w:pgMar w:top="1440" w:right="1440" w:bottom="1440" w:left="1440" w:header="1440" w:footer="1440" w:gutter="0"/>
          <w:cols w:space="720"/>
          <w:noEndnote/>
        </w:sectPr>
      </w:pPr>
      <w:r w:rsidRPr="002A37AA">
        <w:rPr>
          <w:rFonts w:ascii="Times New Roman" w:hAnsi="Times New Roman"/>
          <w:b/>
          <w:bCs/>
          <w:i/>
          <w:iCs/>
        </w:rPr>
        <w:t xml:space="preserve">12.       </w:t>
      </w:r>
      <w:r w:rsidR="00E22AD6">
        <w:rPr>
          <w:rFonts w:ascii="Times New Roman" w:hAnsi="Times New Roman"/>
          <w:b/>
          <w:bCs/>
          <w:i/>
          <w:iCs/>
        </w:rPr>
        <w:t>Burden estimate:</w:t>
      </w:r>
    </w:p>
    <w:p w:rsidR="006353FB" w14:paraId="4F27BB35" w14:textId="77777777">
      <w:pPr>
        <w:rPr>
          <w:rFonts w:ascii="Times New Roman" w:hAnsi="Times New Roman"/>
        </w:rPr>
      </w:pPr>
    </w:p>
    <w:p w:rsidR="006353FB" w14:paraId="4245C841" w14:textId="77777777">
      <w:pPr>
        <w:rPr>
          <w:rFonts w:ascii="Times New Roman" w:hAnsi="Times New Roman"/>
        </w:rPr>
      </w:pPr>
      <w:r>
        <w:rPr>
          <w:rFonts w:ascii="Times New Roman" w:hAnsi="Times New Roman"/>
        </w:rPr>
        <w:t xml:space="preserve"> </w:t>
      </w:r>
      <w:r w:rsidR="006E5FCF">
        <w:rPr>
          <w:rFonts w:ascii="Times New Roman" w:hAnsi="Times New Roman"/>
        </w:rPr>
        <w:t>10,000</w:t>
      </w:r>
      <w:r>
        <w:rPr>
          <w:rFonts w:ascii="Times New Roman" w:hAnsi="Times New Roman"/>
        </w:rPr>
        <w:t xml:space="preserve"> respondents @ 1 response = </w:t>
      </w:r>
      <w:r w:rsidR="006E5FCF">
        <w:rPr>
          <w:rFonts w:ascii="Times New Roman" w:hAnsi="Times New Roman"/>
        </w:rPr>
        <w:t>10,000</w:t>
      </w:r>
      <w:r>
        <w:rPr>
          <w:rFonts w:ascii="Times New Roman" w:hAnsi="Times New Roman"/>
        </w:rPr>
        <w:t xml:space="preserve"> responses</w:t>
      </w:r>
    </w:p>
    <w:p w:rsidR="006353FB" w14:paraId="0A2043F4" w14:textId="6362FB61">
      <w:pPr>
        <w:rPr>
          <w:rFonts w:ascii="Times New Roman" w:hAnsi="Times New Roman"/>
        </w:rPr>
      </w:pPr>
      <w:r>
        <w:rPr>
          <w:rFonts w:ascii="Times New Roman" w:hAnsi="Times New Roman"/>
        </w:rPr>
        <w:t xml:space="preserve"> </w:t>
      </w:r>
      <w:r w:rsidR="006E5FCF">
        <w:rPr>
          <w:rFonts w:ascii="Times New Roman" w:hAnsi="Times New Roman"/>
        </w:rPr>
        <w:t>10,000</w:t>
      </w:r>
      <w:r w:rsidR="002548AF">
        <w:rPr>
          <w:rFonts w:ascii="Times New Roman" w:hAnsi="Times New Roman"/>
        </w:rPr>
        <w:t xml:space="preserve"> responses @ </w:t>
      </w:r>
      <w:r w:rsidR="004142D3">
        <w:rPr>
          <w:rFonts w:ascii="Times New Roman" w:hAnsi="Times New Roman"/>
        </w:rPr>
        <w:t>0.</w:t>
      </w:r>
      <w:r w:rsidR="007A71AE">
        <w:rPr>
          <w:rFonts w:ascii="Times New Roman" w:hAnsi="Times New Roman"/>
        </w:rPr>
        <w:t>33</w:t>
      </w:r>
      <w:r w:rsidR="004142D3">
        <w:rPr>
          <w:rFonts w:ascii="Times New Roman" w:hAnsi="Times New Roman"/>
        </w:rPr>
        <w:t xml:space="preserve"> </w:t>
      </w:r>
      <w:r>
        <w:rPr>
          <w:rFonts w:ascii="Times New Roman" w:hAnsi="Times New Roman"/>
        </w:rPr>
        <w:t>hour</w:t>
      </w:r>
      <w:r>
        <w:rPr>
          <w:rFonts w:ascii="Times New Roman" w:hAnsi="Times New Roman"/>
        </w:rPr>
        <w:t xml:space="preserve"> =</w:t>
      </w:r>
      <w:r>
        <w:rPr>
          <w:rFonts w:ascii="Times New Roman" w:hAnsi="Times New Roman"/>
        </w:rPr>
        <w:t xml:space="preserve"> </w:t>
      </w:r>
      <w:r w:rsidR="007A71AE">
        <w:rPr>
          <w:rFonts w:ascii="Times New Roman" w:hAnsi="Times New Roman"/>
        </w:rPr>
        <w:t>3,3</w:t>
      </w:r>
      <w:r w:rsidR="006F7E47">
        <w:rPr>
          <w:rFonts w:ascii="Times New Roman" w:hAnsi="Times New Roman"/>
        </w:rPr>
        <w:t>00</w:t>
      </w:r>
      <w:r w:rsidR="007A71AE">
        <w:rPr>
          <w:rFonts w:ascii="Times New Roman" w:hAnsi="Times New Roman"/>
        </w:rPr>
        <w:t xml:space="preserve"> </w:t>
      </w:r>
      <w:r>
        <w:rPr>
          <w:rFonts w:ascii="Times New Roman" w:hAnsi="Times New Roman"/>
        </w:rPr>
        <w:t>burden hours</w:t>
      </w:r>
    </w:p>
    <w:p w:rsidR="006353FB" w14:paraId="12DB8F0E" w14:textId="77777777">
      <w:pPr>
        <w:rPr>
          <w:rFonts w:ascii="Times New Roman" w:hAnsi="Times New Roman"/>
        </w:rPr>
      </w:pPr>
    </w:p>
    <w:p w:rsidR="00D731F8" w:rsidRPr="00E22AD6" w14:paraId="0C0BD465" w14:textId="77777777">
      <w:pPr>
        <w:rPr>
          <w:rFonts w:ascii="Times New Roman" w:hAnsi="Times New Roman"/>
          <w:b/>
        </w:rPr>
      </w:pPr>
      <w:r>
        <w:rPr>
          <w:rFonts w:ascii="Times New Roman" w:hAnsi="Times New Roman"/>
          <w:b/>
        </w:rPr>
        <w:t>Cost of Hour Burden</w:t>
      </w:r>
    </w:p>
    <w:p w:rsidR="0038349D" w14:paraId="3CDFE508" w14:textId="77777777">
      <w:pPr>
        <w:rPr>
          <w:rFonts w:ascii="Times New Roman" w:hAnsi="Times New Roman"/>
          <w:u w:val="single"/>
        </w:rPr>
      </w:pPr>
    </w:p>
    <w:p w:rsidR="0038349D" w14:paraId="7462428A" w14:textId="76A013D9">
      <w:pPr>
        <w:rPr>
          <w:rFonts w:ascii="Times New Roman" w:hAnsi="Times New Roman"/>
        </w:rPr>
      </w:pPr>
      <w:r>
        <w:rPr>
          <w:rFonts w:ascii="Times New Roman" w:hAnsi="Times New Roman"/>
        </w:rPr>
        <w:t>3,</w:t>
      </w:r>
      <w:r w:rsidR="00794AAE">
        <w:rPr>
          <w:rFonts w:ascii="Times New Roman" w:hAnsi="Times New Roman"/>
        </w:rPr>
        <w:t xml:space="preserve">300 </w:t>
      </w:r>
      <w:r w:rsidRPr="0038349D">
        <w:rPr>
          <w:rFonts w:ascii="Times New Roman" w:hAnsi="Times New Roman"/>
        </w:rPr>
        <w:t xml:space="preserve">x </w:t>
      </w:r>
      <w:r w:rsidR="00E95F25">
        <w:rPr>
          <w:rFonts w:ascii="Times New Roman" w:hAnsi="Times New Roman"/>
        </w:rPr>
        <w:t>$</w:t>
      </w:r>
      <w:r w:rsidR="003D53ED">
        <w:rPr>
          <w:rFonts w:ascii="Times New Roman" w:hAnsi="Times New Roman"/>
        </w:rPr>
        <w:t>34.75</w:t>
      </w:r>
      <w:r w:rsidR="000833D3">
        <w:rPr>
          <w:rFonts w:ascii="Times New Roman" w:hAnsi="Times New Roman"/>
        </w:rPr>
        <w:t>*</w:t>
      </w:r>
      <w:r w:rsidRPr="0038349D">
        <w:rPr>
          <w:rFonts w:ascii="Times New Roman" w:hAnsi="Times New Roman"/>
        </w:rPr>
        <w:t xml:space="preserve"> = $</w:t>
      </w:r>
      <w:r w:rsidR="003D53ED">
        <w:rPr>
          <w:rFonts w:ascii="Times New Roman" w:hAnsi="Times New Roman"/>
        </w:rPr>
        <w:t>114,675</w:t>
      </w:r>
    </w:p>
    <w:p w:rsidR="000833D3" w14:paraId="789F91C7" w14:textId="77777777">
      <w:pPr>
        <w:rPr>
          <w:rFonts w:ascii="Times New Roman" w:hAnsi="Times New Roman"/>
        </w:rPr>
      </w:pPr>
    </w:p>
    <w:p w:rsidR="000833D3" w:rsidRPr="0038349D" w14:paraId="1CA883FE" w14:textId="77777777">
      <w:pPr>
        <w:rPr>
          <w:rFonts w:ascii="Times New Roman" w:hAnsi="Times New Roman"/>
        </w:rPr>
      </w:pPr>
      <w:r>
        <w:rPr>
          <w:rFonts w:ascii="Times New Roman" w:hAnsi="Times New Roman"/>
        </w:rPr>
        <w:t>* Average hourly earnings in the U.S.</w:t>
      </w:r>
    </w:p>
    <w:p w:rsidR="00511BC7" w14:paraId="07DC7521" w14:textId="77777777">
      <w:pPr>
        <w:tabs>
          <w:tab w:val="left" w:pos="-1440"/>
        </w:tabs>
        <w:ind w:left="720" w:hanging="720"/>
        <w:rPr>
          <w:rFonts w:ascii="Times New Roman" w:hAnsi="Times New Roman"/>
        </w:rPr>
      </w:pPr>
    </w:p>
    <w:p w:rsidR="002A37AA" w:rsidRPr="002A37AA" w:rsidP="002A37AA" w14:paraId="2F861BE7" w14:textId="77777777">
      <w:pPr>
        <w:tabs>
          <w:tab w:val="left" w:pos="-1440"/>
        </w:tabs>
        <w:rPr>
          <w:rFonts w:ascii="Times New Roman" w:hAnsi="Times New Roman"/>
          <w:b/>
          <w:bCs/>
          <w:i/>
          <w:szCs w:val="24"/>
        </w:rPr>
      </w:pPr>
      <w:r w:rsidRPr="002A37AA">
        <w:rPr>
          <w:rFonts w:ascii="Times New Roman" w:hAnsi="Times New Roman"/>
          <w:b/>
          <w:bCs/>
          <w:i/>
          <w:iCs/>
          <w:szCs w:val="24"/>
        </w:rPr>
        <w:t>13.</w:t>
      </w:r>
      <w:r w:rsidRPr="002A37AA">
        <w:rPr>
          <w:rFonts w:ascii="Times New Roman" w:hAnsi="Times New Roman"/>
          <w:b/>
          <w:bCs/>
          <w:i/>
          <w:iCs/>
          <w:szCs w:val="24"/>
        </w:rPr>
        <w:tab/>
      </w:r>
      <w:r w:rsidR="00E154F0">
        <w:rPr>
          <w:rFonts w:ascii="Times New Roman" w:hAnsi="Times New Roman"/>
          <w:b/>
          <w:bCs/>
          <w:i/>
          <w:szCs w:val="24"/>
        </w:rPr>
        <w:t>Estimate of total annual costs to respondents (excluding cost of hour burden in Item #12):</w:t>
      </w:r>
      <w:r w:rsidRPr="002A37AA">
        <w:rPr>
          <w:rFonts w:ascii="Times New Roman" w:hAnsi="Times New Roman"/>
          <w:b/>
          <w:bCs/>
          <w:i/>
          <w:szCs w:val="24"/>
        </w:rPr>
        <w:t xml:space="preserve"> </w:t>
      </w:r>
    </w:p>
    <w:p w:rsidR="006353FB" w14:paraId="46E92723" w14:textId="77777777">
      <w:pPr>
        <w:rPr>
          <w:rFonts w:ascii="Times New Roman" w:hAnsi="Times New Roman"/>
        </w:rPr>
      </w:pPr>
    </w:p>
    <w:p w:rsidR="006353FB" w:rsidP="002813ED" w14:paraId="798F48B9" w14:textId="77777777">
      <w:pPr>
        <w:rPr>
          <w:rFonts w:ascii="Times New Roman" w:hAnsi="Times New Roman"/>
        </w:rPr>
      </w:pPr>
      <w:r>
        <w:rPr>
          <w:rFonts w:ascii="Times New Roman" w:hAnsi="Times New Roman"/>
        </w:rPr>
        <w:t xml:space="preserve">            </w:t>
      </w:r>
      <w:r>
        <w:rPr>
          <w:rFonts w:ascii="Times New Roman" w:hAnsi="Times New Roman"/>
        </w:rPr>
        <w:t>Not applicable.</w:t>
      </w:r>
    </w:p>
    <w:p w:rsidR="006353FB" w14:paraId="08E5C757" w14:textId="77777777">
      <w:pPr>
        <w:rPr>
          <w:rFonts w:ascii="Times New Roman" w:hAnsi="Times New Roman"/>
        </w:rPr>
      </w:pPr>
    </w:p>
    <w:p w:rsidR="002A37AA" w:rsidRPr="002A37AA" w:rsidP="002A37AA" w14:paraId="721CF7E5" w14:textId="7099EF0D">
      <w:pPr>
        <w:rPr>
          <w:rFonts w:ascii="Times New Roman" w:hAnsi="Times New Roman"/>
          <w:b/>
          <w:bCs/>
          <w:i/>
          <w:iCs/>
        </w:rPr>
      </w:pPr>
      <w:r w:rsidRPr="002A37AA">
        <w:rPr>
          <w:rFonts w:ascii="Times New Roman" w:hAnsi="Times New Roman"/>
          <w:b/>
          <w:bCs/>
          <w:i/>
          <w:iCs/>
        </w:rPr>
        <w:t>14.</w:t>
      </w:r>
      <w:r w:rsidRPr="002A37AA">
        <w:rPr>
          <w:rFonts w:ascii="Times New Roman" w:hAnsi="Times New Roman"/>
          <w:b/>
          <w:bCs/>
          <w:i/>
          <w:iCs/>
        </w:rPr>
        <w:tab/>
      </w:r>
      <w:r w:rsidR="00963227">
        <w:rPr>
          <w:rFonts w:ascii="Times New Roman" w:hAnsi="Times New Roman"/>
          <w:b/>
          <w:bCs/>
          <w:i/>
          <w:iCs/>
        </w:rPr>
        <w:t>E</w:t>
      </w:r>
      <w:r w:rsidRPr="002A37AA">
        <w:rPr>
          <w:rFonts w:ascii="Times New Roman" w:hAnsi="Times New Roman"/>
          <w:b/>
          <w:bCs/>
          <w:i/>
          <w:iCs/>
        </w:rPr>
        <w:t xml:space="preserve">stimates of annualized cost to the </w:t>
      </w:r>
      <w:r w:rsidR="00A838C2">
        <w:rPr>
          <w:rFonts w:ascii="Times New Roman" w:hAnsi="Times New Roman"/>
          <w:b/>
          <w:bCs/>
          <w:i/>
          <w:iCs/>
        </w:rPr>
        <w:t>f</w:t>
      </w:r>
      <w:r w:rsidRPr="002A37AA">
        <w:rPr>
          <w:rFonts w:ascii="Times New Roman" w:hAnsi="Times New Roman"/>
          <w:b/>
          <w:bCs/>
          <w:i/>
          <w:iCs/>
        </w:rPr>
        <w:t>ederal government</w:t>
      </w:r>
      <w:r w:rsidR="00963227">
        <w:rPr>
          <w:rFonts w:ascii="Times New Roman" w:hAnsi="Times New Roman"/>
          <w:b/>
          <w:bCs/>
          <w:i/>
          <w:iCs/>
        </w:rPr>
        <w:t>:</w:t>
      </w:r>
    </w:p>
    <w:p w:rsidR="006353FB" w14:paraId="5C5EFB3C" w14:textId="77777777">
      <w:pPr>
        <w:rPr>
          <w:rFonts w:ascii="Times New Roman" w:hAnsi="Times New Roman"/>
        </w:rPr>
      </w:pPr>
    </w:p>
    <w:p w:rsidR="006353FB" w14:paraId="42D90E21" w14:textId="77777777">
      <w:pPr>
        <w:rPr>
          <w:rFonts w:ascii="Times New Roman" w:hAnsi="Times New Roman"/>
        </w:rPr>
      </w:pPr>
      <w:r>
        <w:rPr>
          <w:rFonts w:ascii="Times New Roman" w:hAnsi="Times New Roman"/>
        </w:rPr>
        <w:t xml:space="preserve">            </w:t>
      </w:r>
      <w:r>
        <w:rPr>
          <w:rFonts w:ascii="Times New Roman" w:hAnsi="Times New Roman"/>
        </w:rPr>
        <w:t>Not applicable.</w:t>
      </w:r>
    </w:p>
    <w:p w:rsidR="00D731F8" w14:paraId="1BFFDFF5" w14:textId="77777777">
      <w:pPr>
        <w:rPr>
          <w:rFonts w:ascii="Times New Roman" w:hAnsi="Times New Roman"/>
        </w:rPr>
      </w:pPr>
    </w:p>
    <w:p w:rsidR="00072672" w:rsidP="002A37AA" w14:paraId="0B042AEA" w14:textId="77777777">
      <w:pPr>
        <w:rPr>
          <w:rFonts w:ascii="Times New Roman" w:hAnsi="Times New Roman"/>
          <w:b/>
          <w:bCs/>
          <w:i/>
          <w:iCs/>
        </w:rPr>
      </w:pPr>
    </w:p>
    <w:p w:rsidR="00072672" w:rsidP="002A37AA" w14:paraId="39EEFC25" w14:textId="77777777">
      <w:pPr>
        <w:rPr>
          <w:rFonts w:ascii="Times New Roman" w:hAnsi="Times New Roman"/>
          <w:b/>
          <w:bCs/>
          <w:i/>
          <w:iCs/>
        </w:rPr>
      </w:pPr>
    </w:p>
    <w:p w:rsidR="00072672" w:rsidP="002A37AA" w14:paraId="204BE691" w14:textId="77777777">
      <w:pPr>
        <w:rPr>
          <w:rFonts w:ascii="Times New Roman" w:hAnsi="Times New Roman"/>
          <w:b/>
          <w:bCs/>
          <w:i/>
          <w:iCs/>
        </w:rPr>
      </w:pPr>
    </w:p>
    <w:p w:rsidR="002A37AA" w:rsidRPr="002A37AA" w:rsidP="002A37AA" w14:paraId="423F76EC" w14:textId="77777777">
      <w:pPr>
        <w:rPr>
          <w:rFonts w:ascii="Times New Roman" w:hAnsi="Times New Roman"/>
          <w:b/>
          <w:bCs/>
          <w:i/>
          <w:iCs/>
        </w:rPr>
      </w:pPr>
      <w:r w:rsidRPr="002A37AA">
        <w:rPr>
          <w:rFonts w:ascii="Times New Roman" w:hAnsi="Times New Roman"/>
          <w:b/>
          <w:bCs/>
          <w:i/>
          <w:iCs/>
        </w:rPr>
        <w:t>15.</w:t>
      </w:r>
      <w:r w:rsidRPr="002A37AA">
        <w:rPr>
          <w:rFonts w:ascii="Times New Roman" w:hAnsi="Times New Roman"/>
          <w:b/>
          <w:bCs/>
          <w:i/>
          <w:iCs/>
        </w:rPr>
        <w:tab/>
      </w:r>
      <w:r w:rsidR="00963227">
        <w:rPr>
          <w:rFonts w:ascii="Times New Roman" w:hAnsi="Times New Roman"/>
          <w:b/>
          <w:bCs/>
          <w:i/>
          <w:iCs/>
        </w:rPr>
        <w:t>Change in burden:</w:t>
      </w:r>
    </w:p>
    <w:p w:rsidR="006353FB" w14:paraId="17C20910" w14:textId="77777777">
      <w:pPr>
        <w:rPr>
          <w:rFonts w:ascii="Times New Roman" w:hAnsi="Times New Roman"/>
        </w:rPr>
      </w:pPr>
    </w:p>
    <w:p w:rsidR="006F7E47" w:rsidP="004142D3" w14:paraId="2447112E" w14:textId="033E9D95">
      <w:pPr>
        <w:tabs>
          <w:tab w:val="left" w:pos="1980"/>
          <w:tab w:val="left" w:pos="2070"/>
          <w:tab w:val="left" w:pos="2160"/>
        </w:tabs>
        <w:rPr>
          <w:rFonts w:ascii="Times New Roman" w:hAnsi="Times New Roman"/>
          <w:sz w:val="22"/>
          <w:szCs w:val="22"/>
        </w:rPr>
      </w:pPr>
      <w:r>
        <w:rPr>
          <w:rFonts w:ascii="Times New Roman" w:hAnsi="Times New Roman"/>
          <w:sz w:val="22"/>
          <w:szCs w:val="22"/>
        </w:rPr>
        <w:t>There is no change in burden.</w:t>
      </w:r>
    </w:p>
    <w:p w:rsidR="007A51FB" w:rsidP="004142D3" w14:paraId="70F9EF70" w14:textId="77777777">
      <w:pPr>
        <w:tabs>
          <w:tab w:val="left" w:pos="1980"/>
          <w:tab w:val="left" w:pos="2070"/>
          <w:tab w:val="left" w:pos="2160"/>
        </w:tabs>
        <w:rPr>
          <w:rFonts w:ascii="Times New Roman" w:hAnsi="Times New Roman"/>
          <w:sz w:val="22"/>
          <w:szCs w:val="22"/>
        </w:rPr>
      </w:pPr>
    </w:p>
    <w:p w:rsidR="002A37AA" w:rsidRPr="002A37AA" w:rsidP="002A37AA" w14:paraId="26163CB9" w14:textId="77777777">
      <w:pPr>
        <w:rPr>
          <w:rFonts w:ascii="Times New Roman" w:hAnsi="Times New Roman"/>
        </w:rPr>
      </w:pPr>
      <w:r w:rsidRPr="002A37AA">
        <w:rPr>
          <w:rFonts w:ascii="Times New Roman" w:hAnsi="Times New Roman"/>
          <w:b/>
          <w:i/>
        </w:rPr>
        <w:t>16.</w:t>
      </w:r>
      <w:r w:rsidRPr="002A37AA">
        <w:rPr>
          <w:rFonts w:ascii="Times New Roman" w:hAnsi="Times New Roman"/>
        </w:rPr>
        <w:tab/>
      </w:r>
      <w:r w:rsidR="00BD3A87">
        <w:rPr>
          <w:rFonts w:ascii="Times New Roman" w:hAnsi="Times New Roman"/>
          <w:b/>
          <w:i/>
        </w:rPr>
        <w:t>Information regarding collections whose results are to be published for statistical use:</w:t>
      </w:r>
    </w:p>
    <w:p w:rsidR="006353FB" w:rsidRPr="002A37AA" w:rsidP="002A37AA" w14:paraId="3E2439CF" w14:textId="77777777">
      <w:pPr>
        <w:outlineLvl w:val="0"/>
        <w:rPr>
          <w:rFonts w:ascii="Times New Roman" w:hAnsi="Times New Roman"/>
          <w:szCs w:val="24"/>
        </w:rPr>
      </w:pPr>
      <w:r w:rsidRPr="002A37AA">
        <w:rPr>
          <w:rFonts w:ascii="Times New Roman" w:hAnsi="Times New Roman"/>
          <w:szCs w:val="24"/>
        </w:rPr>
        <w:t xml:space="preserve">      </w:t>
      </w:r>
    </w:p>
    <w:p w:rsidR="006353FB" w:rsidP="002813ED" w14:paraId="0ECA814F" w14:textId="77777777">
      <w:pPr>
        <w:rPr>
          <w:rFonts w:ascii="Times New Roman" w:hAnsi="Times New Roman"/>
        </w:rPr>
      </w:pPr>
      <w:r>
        <w:rPr>
          <w:rFonts w:ascii="Times New Roman" w:hAnsi="Times New Roman"/>
        </w:rPr>
        <w:t xml:space="preserve">            </w:t>
      </w:r>
      <w:r>
        <w:rPr>
          <w:rFonts w:ascii="Times New Roman" w:hAnsi="Times New Roman"/>
        </w:rPr>
        <w:t>No publication for statistical use is contemplated.</w:t>
      </w:r>
    </w:p>
    <w:p w:rsidR="006353FB" w14:paraId="09CF75A4" w14:textId="77777777">
      <w:pPr>
        <w:rPr>
          <w:rFonts w:ascii="Times New Roman" w:hAnsi="Times New Roman"/>
        </w:rPr>
      </w:pPr>
    </w:p>
    <w:p w:rsidR="002A37AA" w:rsidRPr="002A37AA" w:rsidP="002A37AA" w14:paraId="76E0C20E" w14:textId="77777777">
      <w:pPr>
        <w:tabs>
          <w:tab w:val="left" w:pos="462"/>
        </w:tabs>
        <w:ind w:right="861"/>
        <w:rPr>
          <w:rFonts w:ascii="Times New Roman" w:hAnsi="Times New Roman"/>
          <w:b/>
          <w:i/>
          <w:snapToGrid/>
          <w:spacing w:val="-1"/>
          <w:szCs w:val="24"/>
        </w:rPr>
      </w:pPr>
      <w:r w:rsidRPr="002A37AA">
        <w:rPr>
          <w:rFonts w:ascii="Times New Roman" w:hAnsi="Times New Roman"/>
          <w:b/>
          <w:i/>
          <w:snapToGrid/>
          <w:spacing w:val="-2"/>
          <w:szCs w:val="24"/>
        </w:rPr>
        <w:t xml:space="preserve">17.     </w:t>
      </w:r>
      <w:r w:rsidR="00BD3A87">
        <w:rPr>
          <w:rFonts w:ascii="Times New Roman" w:hAnsi="Times New Roman"/>
          <w:b/>
          <w:i/>
          <w:snapToGrid/>
          <w:spacing w:val="-2"/>
          <w:szCs w:val="24"/>
        </w:rPr>
        <w:t>Reasons for not displaying OMB approval expiration date:</w:t>
      </w:r>
    </w:p>
    <w:p w:rsidR="006353FB" w14:paraId="27819D1B" w14:textId="77777777">
      <w:pPr>
        <w:rPr>
          <w:rFonts w:ascii="Times New Roman" w:hAnsi="Times New Roman"/>
        </w:rPr>
      </w:pPr>
    </w:p>
    <w:p w:rsidR="006353FB" w:rsidP="002813ED" w14:paraId="3274DEC4" w14:textId="77777777">
      <w:pPr>
        <w:rPr>
          <w:rFonts w:ascii="Times New Roman" w:hAnsi="Times New Roman"/>
        </w:rPr>
      </w:pPr>
      <w:r>
        <w:rPr>
          <w:rFonts w:ascii="Times New Roman" w:hAnsi="Times New Roman"/>
        </w:rPr>
        <w:t xml:space="preserve">            </w:t>
      </w:r>
      <w:r>
        <w:rPr>
          <w:rFonts w:ascii="Times New Roman" w:hAnsi="Times New Roman"/>
        </w:rPr>
        <w:t>Not applicable.</w:t>
      </w:r>
    </w:p>
    <w:p w:rsidR="006353FB" w14:paraId="4892C365" w14:textId="77777777">
      <w:pPr>
        <w:rPr>
          <w:rFonts w:ascii="Times New Roman" w:hAnsi="Times New Roman"/>
        </w:rPr>
      </w:pPr>
    </w:p>
    <w:p w:rsidR="002A37AA" w:rsidRPr="002A37AA" w:rsidP="00BD3A87" w14:paraId="415ECA64" w14:textId="77777777">
      <w:pPr>
        <w:tabs>
          <w:tab w:val="left" w:pos="0"/>
        </w:tabs>
        <w:ind w:left="459" w:hanging="459"/>
        <w:rPr>
          <w:rFonts w:ascii="Times New Roman" w:hAnsi="Times New Roman"/>
          <w:b/>
          <w:i/>
          <w:snapToGrid/>
          <w:szCs w:val="24"/>
        </w:rPr>
      </w:pPr>
      <w:r w:rsidRPr="002A37AA">
        <w:rPr>
          <w:rFonts w:ascii="Times New Roman" w:hAnsi="Times New Roman"/>
          <w:b/>
          <w:i/>
          <w:snapToGrid/>
          <w:szCs w:val="24"/>
        </w:rPr>
        <w:t xml:space="preserve">18.  </w:t>
      </w:r>
      <w:r w:rsidR="00BD3A87">
        <w:rPr>
          <w:rFonts w:ascii="Times New Roman" w:hAnsi="Times New Roman"/>
          <w:b/>
          <w:i/>
          <w:snapToGrid/>
          <w:szCs w:val="24"/>
        </w:rPr>
        <w:t xml:space="preserve"> Exceptions to the certification statement:</w:t>
      </w:r>
    </w:p>
    <w:p w:rsidR="006353FB" w14:paraId="6C8729DA" w14:textId="77777777">
      <w:pPr>
        <w:rPr>
          <w:rFonts w:ascii="Times New Roman" w:hAnsi="Times New Roman"/>
        </w:rPr>
      </w:pPr>
    </w:p>
    <w:p w:rsidR="006353FB" w:rsidP="002813ED" w14:paraId="185D93FF" w14:textId="77777777">
      <w:pPr>
        <w:rPr>
          <w:rFonts w:ascii="Times New Roman" w:hAnsi="Times New Roman"/>
        </w:rPr>
      </w:pPr>
      <w:r>
        <w:rPr>
          <w:rFonts w:ascii="Times New Roman" w:hAnsi="Times New Roman"/>
        </w:rPr>
        <w:t xml:space="preserve">            </w:t>
      </w:r>
      <w:r>
        <w:rPr>
          <w:rFonts w:ascii="Times New Roman" w:hAnsi="Times New Roman"/>
        </w:rPr>
        <w:t>Not applicable.</w:t>
      </w:r>
    </w:p>
    <w:p w:rsidR="006353FB" w14:paraId="59036498" w14:textId="77777777">
      <w:pPr>
        <w:rPr>
          <w:rFonts w:ascii="Times New Roman" w:hAnsi="Times New Roman"/>
        </w:rPr>
      </w:pPr>
    </w:p>
    <w:p w:rsidR="002A37AA" w:rsidRPr="002A37AA" w:rsidP="002A37AA" w14:paraId="7236F594" w14:textId="77777777">
      <w:pPr>
        <w:widowControl/>
        <w:rPr>
          <w:rFonts w:ascii="Times New Roman" w:hAnsi="Times New Roman"/>
          <w:b/>
          <w:snapToGrid/>
          <w:szCs w:val="24"/>
        </w:rPr>
      </w:pPr>
      <w:r w:rsidRPr="002A37AA">
        <w:rPr>
          <w:rFonts w:ascii="Times New Roman" w:hAnsi="Times New Roman"/>
          <w:b/>
          <w:snapToGrid/>
          <w:szCs w:val="24"/>
        </w:rPr>
        <w:t>B.  Collections of Information Employing Statistical Methods</w:t>
      </w:r>
      <w:r>
        <w:rPr>
          <w:rFonts w:ascii="Times New Roman" w:hAnsi="Times New Roman"/>
          <w:b/>
          <w:snapToGrid/>
          <w:szCs w:val="24"/>
        </w:rPr>
        <w:t>.</w:t>
      </w:r>
    </w:p>
    <w:p w:rsidR="006353FB" w14:paraId="41783137" w14:textId="77777777">
      <w:pPr>
        <w:rPr>
          <w:rFonts w:ascii="Times New Roman" w:hAnsi="Times New Roman"/>
        </w:rPr>
      </w:pPr>
    </w:p>
    <w:p w:rsidR="006353FB" w14:paraId="3B04EDF6" w14:textId="77777777">
      <w:pPr>
        <w:rPr>
          <w:rFonts w:ascii="Times New Roman" w:hAnsi="Times New Roman"/>
        </w:rPr>
      </w:pPr>
      <w:r>
        <w:rPr>
          <w:rFonts w:ascii="Times New Roman" w:hAnsi="Times New Roman"/>
        </w:rPr>
        <w:t xml:space="preserve">            </w:t>
      </w:r>
      <w:r>
        <w:rPr>
          <w:rFonts w:ascii="Times New Roman" w:hAnsi="Times New Roman"/>
        </w:rPr>
        <w:t>Not applicable.</w:t>
      </w:r>
    </w:p>
    <w:p w:rsidR="006353FB" w14:paraId="4729CE2F" w14:textId="77777777">
      <w:pPr>
        <w:rPr>
          <w:rFonts w:ascii="Times New Roman" w:hAnsi="Times New Roman"/>
        </w:rPr>
      </w:pPr>
    </w:p>
    <w:sectPr w:rsidSect="006C6F9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44422"/>
      <w:docPartObj>
        <w:docPartGallery w:val="Page Numbers (Bottom of Page)"/>
        <w:docPartUnique/>
      </w:docPartObj>
    </w:sdtPr>
    <w:sdtEndPr>
      <w:rPr>
        <w:rFonts w:ascii="Times New Roman" w:hAnsi="Times New Roman"/>
      </w:rPr>
    </w:sdtEndPr>
    <w:sdtContent>
      <w:p w:rsidR="00FE7BA5" w:rsidRPr="001C2F09" w14:paraId="3789A54B" w14:textId="77777777">
        <w:pPr>
          <w:pStyle w:val="Footer"/>
          <w:jc w:val="center"/>
          <w:rPr>
            <w:rFonts w:ascii="Times New Roman" w:hAnsi="Times New Roman"/>
          </w:rPr>
        </w:pPr>
        <w:r w:rsidRPr="001C2F09">
          <w:rPr>
            <w:rFonts w:ascii="Times New Roman" w:hAnsi="Times New Roman"/>
          </w:rPr>
          <w:fldChar w:fldCharType="begin"/>
        </w:r>
        <w:r w:rsidRPr="001C2F09">
          <w:rPr>
            <w:rFonts w:ascii="Times New Roman" w:hAnsi="Times New Roman"/>
          </w:rPr>
          <w:instrText xml:space="preserve"> PAGE   \* MERGEFORMAT </w:instrText>
        </w:r>
        <w:r w:rsidRPr="001C2F09">
          <w:rPr>
            <w:rFonts w:ascii="Times New Roman" w:hAnsi="Times New Roman"/>
          </w:rPr>
          <w:fldChar w:fldCharType="separate"/>
        </w:r>
        <w:r w:rsidR="008B3028">
          <w:rPr>
            <w:rFonts w:ascii="Times New Roman" w:hAnsi="Times New Roman"/>
            <w:noProof/>
          </w:rPr>
          <w:t>4</w:t>
        </w:r>
        <w:r w:rsidRPr="001C2F09">
          <w:rPr>
            <w:rFonts w:ascii="Times New Roman" w:hAnsi="Times New Roman"/>
            <w:noProof/>
          </w:rPr>
          <w:fldChar w:fldCharType="end"/>
        </w:r>
      </w:p>
    </w:sdtContent>
  </w:sdt>
  <w:p w:rsidR="00FE7BA5" w14:paraId="3696FA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BA5" w14:paraId="0BE6336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811341"/>
    <w:multiLevelType w:val="hybridMultilevel"/>
    <w:tmpl w:val="B7000E0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pStyle w:val="ArticleLeveli"/>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A667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AAA1130"/>
    <w:multiLevelType w:val="multilevel"/>
    <w:tmpl w:val="0EA09492"/>
    <w:lvl w:ilvl="0">
      <w:start w:val="1"/>
      <w:numFmt w:val="decimal"/>
      <w:pStyle w:val="Artic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83B22"/>
    <w:multiLevelType w:val="multilevel"/>
    <w:tmpl w:val="E124A508"/>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661A53"/>
    <w:multiLevelType w:val="hybridMultilevel"/>
    <w:tmpl w:val="2E222DF2"/>
    <w:lvl w:ilvl="0">
      <w:start w:val="1"/>
      <w:numFmt w:val="bullet"/>
      <w:lvlText w:val=""/>
      <w:lvlJc w:val="left"/>
      <w:pPr>
        <w:tabs>
          <w:tab w:val="num" w:pos="360"/>
        </w:tabs>
        <w:ind w:left="360" w:hanging="360"/>
      </w:pPr>
      <w:rPr>
        <w:rFonts w:ascii="Symbol" w:hAnsi="Symbol" w:hint="default"/>
      </w:rPr>
    </w:lvl>
    <w:lvl w:ilvl="1" w:tentative="1">
      <w:start w:val="1"/>
      <w:numFmt w:val="bullet"/>
      <w:pStyle w:val="ArticleLevel1"/>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56485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224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ADC4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B184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5A45B05"/>
    <w:multiLevelType w:val="hybridMultilevel"/>
    <w:tmpl w:val="4D785C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E1253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2149131">
    <w:abstractNumId w:val="9"/>
  </w:num>
  <w:num w:numId="2" w16cid:durableId="982464229">
    <w:abstractNumId w:val="12"/>
  </w:num>
  <w:num w:numId="3" w16cid:durableId="126827173">
    <w:abstractNumId w:val="2"/>
  </w:num>
  <w:num w:numId="4" w16cid:durableId="2084141212">
    <w:abstractNumId w:val="15"/>
  </w:num>
  <w:num w:numId="5" w16cid:durableId="1632977666">
    <w:abstractNumId w:val="11"/>
  </w:num>
  <w:num w:numId="6" w16cid:durableId="1209612891">
    <w:abstractNumId w:val="6"/>
  </w:num>
  <w:num w:numId="7" w16cid:durableId="414211289">
    <w:abstractNumId w:val="10"/>
  </w:num>
  <w:num w:numId="8" w16cid:durableId="2019387816">
    <w:abstractNumId w:val="4"/>
  </w:num>
  <w:num w:numId="9" w16cid:durableId="1356737860">
    <w:abstractNumId w:val="1"/>
  </w:num>
  <w:num w:numId="10" w16cid:durableId="2046559942">
    <w:abstractNumId w:val="14"/>
  </w:num>
  <w:num w:numId="11" w16cid:durableId="1765030263">
    <w:abstractNumId w:val="8"/>
  </w:num>
  <w:num w:numId="12" w16cid:durableId="1467507712">
    <w:abstractNumId w:val="13"/>
  </w:num>
  <w:num w:numId="13" w16cid:durableId="1563952489">
    <w:abstractNumId w:val="7"/>
  </w:num>
  <w:num w:numId="14" w16cid:durableId="643857036">
    <w:abstractNumId w:val="5"/>
  </w:num>
  <w:num w:numId="15" w16cid:durableId="714818685">
    <w:abstractNumId w:val="0"/>
  </w:num>
  <w:num w:numId="16" w16cid:durableId="108098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05"/>
    <w:rsid w:val="0000136F"/>
    <w:rsid w:val="00006FED"/>
    <w:rsid w:val="00007E3F"/>
    <w:rsid w:val="00024FE7"/>
    <w:rsid w:val="00026909"/>
    <w:rsid w:val="00032FEE"/>
    <w:rsid w:val="00037CA1"/>
    <w:rsid w:val="0004580C"/>
    <w:rsid w:val="00056CC4"/>
    <w:rsid w:val="00072672"/>
    <w:rsid w:val="00077039"/>
    <w:rsid w:val="000833D3"/>
    <w:rsid w:val="000853D9"/>
    <w:rsid w:val="00094114"/>
    <w:rsid w:val="000B7F05"/>
    <w:rsid w:val="000C1C38"/>
    <w:rsid w:val="000D1244"/>
    <w:rsid w:val="000D7D52"/>
    <w:rsid w:val="00117589"/>
    <w:rsid w:val="00124522"/>
    <w:rsid w:val="00134B18"/>
    <w:rsid w:val="00153CA1"/>
    <w:rsid w:val="00156948"/>
    <w:rsid w:val="00160554"/>
    <w:rsid w:val="00174548"/>
    <w:rsid w:val="00182F89"/>
    <w:rsid w:val="00185603"/>
    <w:rsid w:val="001A48B8"/>
    <w:rsid w:val="001A60DE"/>
    <w:rsid w:val="001A79AB"/>
    <w:rsid w:val="001C2F09"/>
    <w:rsid w:val="001D40F2"/>
    <w:rsid w:val="00206281"/>
    <w:rsid w:val="00214068"/>
    <w:rsid w:val="002341C9"/>
    <w:rsid w:val="00250FBE"/>
    <w:rsid w:val="002548AF"/>
    <w:rsid w:val="0025716A"/>
    <w:rsid w:val="00264C15"/>
    <w:rsid w:val="002724C3"/>
    <w:rsid w:val="0027420C"/>
    <w:rsid w:val="002813ED"/>
    <w:rsid w:val="002A37AA"/>
    <w:rsid w:val="002A689A"/>
    <w:rsid w:val="002A7C2E"/>
    <w:rsid w:val="002C56E6"/>
    <w:rsid w:val="002E5067"/>
    <w:rsid w:val="00330C12"/>
    <w:rsid w:val="00342FE7"/>
    <w:rsid w:val="00343C80"/>
    <w:rsid w:val="0034510E"/>
    <w:rsid w:val="0038349D"/>
    <w:rsid w:val="00395E76"/>
    <w:rsid w:val="003A7DE4"/>
    <w:rsid w:val="003B716D"/>
    <w:rsid w:val="003D53ED"/>
    <w:rsid w:val="003E310C"/>
    <w:rsid w:val="003E70CE"/>
    <w:rsid w:val="004138CB"/>
    <w:rsid w:val="004142D3"/>
    <w:rsid w:val="00427C09"/>
    <w:rsid w:val="004366C5"/>
    <w:rsid w:val="00452DFD"/>
    <w:rsid w:val="00453571"/>
    <w:rsid w:val="004614B2"/>
    <w:rsid w:val="004656C1"/>
    <w:rsid w:val="00471267"/>
    <w:rsid w:val="00471F81"/>
    <w:rsid w:val="00494074"/>
    <w:rsid w:val="004B07BE"/>
    <w:rsid w:val="004E1BC3"/>
    <w:rsid w:val="004E2001"/>
    <w:rsid w:val="00511BC7"/>
    <w:rsid w:val="00524A25"/>
    <w:rsid w:val="00526EBB"/>
    <w:rsid w:val="00552DFC"/>
    <w:rsid w:val="005570BD"/>
    <w:rsid w:val="00594BC5"/>
    <w:rsid w:val="00596019"/>
    <w:rsid w:val="005A06E5"/>
    <w:rsid w:val="005A0C2B"/>
    <w:rsid w:val="005B41B2"/>
    <w:rsid w:val="005B493A"/>
    <w:rsid w:val="005D45EE"/>
    <w:rsid w:val="005F6179"/>
    <w:rsid w:val="00617AD8"/>
    <w:rsid w:val="006343F9"/>
    <w:rsid w:val="006353FB"/>
    <w:rsid w:val="006436AE"/>
    <w:rsid w:val="00657B7E"/>
    <w:rsid w:val="006619BF"/>
    <w:rsid w:val="00676359"/>
    <w:rsid w:val="006816AA"/>
    <w:rsid w:val="006946E3"/>
    <w:rsid w:val="00696AA7"/>
    <w:rsid w:val="006A0474"/>
    <w:rsid w:val="006A0AD1"/>
    <w:rsid w:val="006B1B52"/>
    <w:rsid w:val="006C2136"/>
    <w:rsid w:val="006C270E"/>
    <w:rsid w:val="006C6F99"/>
    <w:rsid w:val="006D5505"/>
    <w:rsid w:val="006E4C54"/>
    <w:rsid w:val="006E5FCF"/>
    <w:rsid w:val="006E7873"/>
    <w:rsid w:val="006F7E47"/>
    <w:rsid w:val="0070446A"/>
    <w:rsid w:val="007130D3"/>
    <w:rsid w:val="00713F61"/>
    <w:rsid w:val="007172F8"/>
    <w:rsid w:val="007173AC"/>
    <w:rsid w:val="00722659"/>
    <w:rsid w:val="00760DD0"/>
    <w:rsid w:val="00765AC9"/>
    <w:rsid w:val="00783CAB"/>
    <w:rsid w:val="007844CC"/>
    <w:rsid w:val="00793CE5"/>
    <w:rsid w:val="00794AAE"/>
    <w:rsid w:val="007A51FB"/>
    <w:rsid w:val="007A6192"/>
    <w:rsid w:val="007A71AE"/>
    <w:rsid w:val="007B5D7D"/>
    <w:rsid w:val="007C0A70"/>
    <w:rsid w:val="007C38FB"/>
    <w:rsid w:val="007D1CC3"/>
    <w:rsid w:val="007E7988"/>
    <w:rsid w:val="007F12DC"/>
    <w:rsid w:val="00813534"/>
    <w:rsid w:val="00834643"/>
    <w:rsid w:val="008419A1"/>
    <w:rsid w:val="00842987"/>
    <w:rsid w:val="008459AB"/>
    <w:rsid w:val="008B3028"/>
    <w:rsid w:val="008C3BA7"/>
    <w:rsid w:val="008D2109"/>
    <w:rsid w:val="008D5653"/>
    <w:rsid w:val="008E31BE"/>
    <w:rsid w:val="008F322C"/>
    <w:rsid w:val="009270B3"/>
    <w:rsid w:val="00944E72"/>
    <w:rsid w:val="00945F3E"/>
    <w:rsid w:val="00963227"/>
    <w:rsid w:val="0096639A"/>
    <w:rsid w:val="00994A65"/>
    <w:rsid w:val="00996562"/>
    <w:rsid w:val="009C15AA"/>
    <w:rsid w:val="009D1663"/>
    <w:rsid w:val="009E53E1"/>
    <w:rsid w:val="009F1C87"/>
    <w:rsid w:val="009F4452"/>
    <w:rsid w:val="00A01B22"/>
    <w:rsid w:val="00A100AB"/>
    <w:rsid w:val="00A24054"/>
    <w:rsid w:val="00A43D3E"/>
    <w:rsid w:val="00A53600"/>
    <w:rsid w:val="00A53B31"/>
    <w:rsid w:val="00A620A9"/>
    <w:rsid w:val="00A622E9"/>
    <w:rsid w:val="00A74D17"/>
    <w:rsid w:val="00A8299C"/>
    <w:rsid w:val="00A838C2"/>
    <w:rsid w:val="00A86242"/>
    <w:rsid w:val="00AA13D0"/>
    <w:rsid w:val="00AC24F2"/>
    <w:rsid w:val="00AC5A00"/>
    <w:rsid w:val="00AE33A7"/>
    <w:rsid w:val="00B110A5"/>
    <w:rsid w:val="00B13A58"/>
    <w:rsid w:val="00B50B3C"/>
    <w:rsid w:val="00B517A0"/>
    <w:rsid w:val="00B74C8F"/>
    <w:rsid w:val="00B970BE"/>
    <w:rsid w:val="00BA1697"/>
    <w:rsid w:val="00BC27FE"/>
    <w:rsid w:val="00BD3A87"/>
    <w:rsid w:val="00BF1C65"/>
    <w:rsid w:val="00C12166"/>
    <w:rsid w:val="00C144D4"/>
    <w:rsid w:val="00C56CE3"/>
    <w:rsid w:val="00C57BD9"/>
    <w:rsid w:val="00C66305"/>
    <w:rsid w:val="00C8153B"/>
    <w:rsid w:val="00C84D05"/>
    <w:rsid w:val="00CC20F3"/>
    <w:rsid w:val="00CD75BD"/>
    <w:rsid w:val="00D11BBB"/>
    <w:rsid w:val="00D20B5F"/>
    <w:rsid w:val="00D47322"/>
    <w:rsid w:val="00D731F8"/>
    <w:rsid w:val="00D83E16"/>
    <w:rsid w:val="00D855E2"/>
    <w:rsid w:val="00D86C5B"/>
    <w:rsid w:val="00D934CB"/>
    <w:rsid w:val="00D93C9F"/>
    <w:rsid w:val="00DA2BD1"/>
    <w:rsid w:val="00DA2FEB"/>
    <w:rsid w:val="00DA5559"/>
    <w:rsid w:val="00DA5860"/>
    <w:rsid w:val="00DB53E7"/>
    <w:rsid w:val="00DD254C"/>
    <w:rsid w:val="00DD2B5D"/>
    <w:rsid w:val="00DE5459"/>
    <w:rsid w:val="00E154F0"/>
    <w:rsid w:val="00E22AD6"/>
    <w:rsid w:val="00E311ED"/>
    <w:rsid w:val="00E75547"/>
    <w:rsid w:val="00E943B9"/>
    <w:rsid w:val="00E9545C"/>
    <w:rsid w:val="00E95F25"/>
    <w:rsid w:val="00ED1CD8"/>
    <w:rsid w:val="00EE0998"/>
    <w:rsid w:val="00EE4AEF"/>
    <w:rsid w:val="00EE4F13"/>
    <w:rsid w:val="00EF6739"/>
    <w:rsid w:val="00EF7100"/>
    <w:rsid w:val="00F12469"/>
    <w:rsid w:val="00F178A6"/>
    <w:rsid w:val="00F44F2E"/>
    <w:rsid w:val="00F57198"/>
    <w:rsid w:val="00F76291"/>
    <w:rsid w:val="00F82E66"/>
    <w:rsid w:val="00FA1753"/>
    <w:rsid w:val="00FB10F8"/>
    <w:rsid w:val="00FD5961"/>
    <w:rsid w:val="00FE4894"/>
    <w:rsid w:val="00FE7B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84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6F99"/>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6F99"/>
  </w:style>
  <w:style w:type="paragraph" w:styleId="Header">
    <w:name w:val="header"/>
    <w:basedOn w:val="Normal"/>
    <w:rsid w:val="006C6F99"/>
    <w:pPr>
      <w:tabs>
        <w:tab w:val="center" w:pos="4320"/>
        <w:tab w:val="right" w:pos="8640"/>
      </w:tabs>
    </w:pPr>
  </w:style>
  <w:style w:type="character" w:styleId="PageNumber">
    <w:name w:val="page number"/>
    <w:basedOn w:val="DefaultParagraphFont"/>
    <w:rsid w:val="006C6F99"/>
  </w:style>
  <w:style w:type="paragraph" w:styleId="Footer">
    <w:name w:val="footer"/>
    <w:basedOn w:val="Normal"/>
    <w:link w:val="FooterChar"/>
    <w:uiPriority w:val="99"/>
    <w:rsid w:val="006C6F99"/>
    <w:pPr>
      <w:tabs>
        <w:tab w:val="center" w:pos="4320"/>
        <w:tab w:val="right" w:pos="8640"/>
      </w:tabs>
    </w:pPr>
  </w:style>
  <w:style w:type="paragraph" w:styleId="HTMLPreformatted">
    <w:name w:val="HTML Preformatted"/>
    <w:basedOn w:val="Normal"/>
    <w:rsid w:val="006C6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customStyle="1" w:styleId="ArticleNumber">
    <w:name w:val="Article Number"/>
    <w:basedOn w:val="Normal"/>
    <w:rsid w:val="006C6F99"/>
    <w:pPr>
      <w:widowControl/>
      <w:numPr>
        <w:numId w:val="16"/>
      </w:numPr>
      <w:spacing w:line="480" w:lineRule="auto"/>
      <w:jc w:val="center"/>
    </w:pPr>
    <w:rPr>
      <w:rFonts w:ascii="Times New Roman" w:hAnsi="Times New Roman"/>
      <w:snapToGrid/>
    </w:rPr>
  </w:style>
  <w:style w:type="paragraph" w:customStyle="1" w:styleId="ArticleLevel1">
    <w:name w:val="Article Level (1)"/>
    <w:basedOn w:val="Normal"/>
    <w:rsid w:val="006C6F99"/>
    <w:pPr>
      <w:widowControl/>
      <w:numPr>
        <w:ilvl w:val="1"/>
        <w:numId w:val="13"/>
      </w:numPr>
      <w:tabs>
        <w:tab w:val="clear" w:pos="1080"/>
      </w:tabs>
      <w:spacing w:line="480" w:lineRule="auto"/>
    </w:pPr>
    <w:rPr>
      <w:rFonts w:ascii="Times New Roman" w:hAnsi="Times New Roman"/>
      <w:snapToGrid/>
    </w:rPr>
  </w:style>
  <w:style w:type="paragraph" w:customStyle="1" w:styleId="ArticleLevela">
    <w:name w:val="Article Level (a)"/>
    <w:basedOn w:val="Normal"/>
    <w:rsid w:val="006C6F99"/>
    <w:pPr>
      <w:widowControl/>
      <w:numPr>
        <w:ilvl w:val="2"/>
        <w:numId w:val="14"/>
      </w:numPr>
      <w:tabs>
        <w:tab w:val="clear" w:pos="1440"/>
      </w:tabs>
      <w:spacing w:line="480" w:lineRule="auto"/>
      <w:ind w:left="2160"/>
    </w:pPr>
    <w:rPr>
      <w:rFonts w:ascii="Times New Roman" w:hAnsi="Times New Roman"/>
      <w:snapToGrid/>
    </w:rPr>
  </w:style>
  <w:style w:type="paragraph" w:customStyle="1" w:styleId="ArticleLeveli">
    <w:name w:val="Article Level (i)"/>
    <w:basedOn w:val="Normal"/>
    <w:rsid w:val="006C6F99"/>
    <w:pPr>
      <w:widowControl/>
      <w:numPr>
        <w:ilvl w:val="3"/>
        <w:numId w:val="15"/>
      </w:numPr>
      <w:spacing w:line="480" w:lineRule="auto"/>
      <w:ind w:left="2880"/>
    </w:pPr>
    <w:rPr>
      <w:rFonts w:ascii="Times New Roman" w:hAnsi="Times New Roman"/>
      <w:snapToGrid/>
    </w:rPr>
  </w:style>
  <w:style w:type="character" w:styleId="Hyperlink">
    <w:name w:val="Hyperlink"/>
    <w:basedOn w:val="DefaultParagraphFont"/>
    <w:rsid w:val="00D934CB"/>
    <w:rPr>
      <w:color w:val="0000FF"/>
      <w:u w:val="single"/>
    </w:rPr>
  </w:style>
  <w:style w:type="paragraph" w:styleId="BalloonText">
    <w:name w:val="Balloon Text"/>
    <w:basedOn w:val="Normal"/>
    <w:semiHidden/>
    <w:rsid w:val="00526EBB"/>
    <w:rPr>
      <w:rFonts w:ascii="Tahoma" w:hAnsi="Tahoma" w:cs="Tahoma"/>
      <w:sz w:val="16"/>
      <w:szCs w:val="16"/>
    </w:rPr>
  </w:style>
  <w:style w:type="character" w:customStyle="1" w:styleId="FooterChar">
    <w:name w:val="Footer Char"/>
    <w:basedOn w:val="DefaultParagraphFont"/>
    <w:link w:val="Footer"/>
    <w:uiPriority w:val="99"/>
    <w:rsid w:val="008419A1"/>
    <w:rPr>
      <w:rFonts w:ascii="Courier" w:hAnsi="Courier"/>
      <w:snapToGrid w:val="0"/>
      <w:sz w:val="24"/>
    </w:rPr>
  </w:style>
  <w:style w:type="character" w:styleId="CommentReference">
    <w:name w:val="annotation reference"/>
    <w:basedOn w:val="DefaultParagraphFont"/>
    <w:rsid w:val="00CC20F3"/>
    <w:rPr>
      <w:sz w:val="16"/>
      <w:szCs w:val="16"/>
    </w:rPr>
  </w:style>
  <w:style w:type="paragraph" w:styleId="CommentText">
    <w:name w:val="annotation text"/>
    <w:basedOn w:val="Normal"/>
    <w:link w:val="CommentTextChar"/>
    <w:rsid w:val="00CC20F3"/>
    <w:rPr>
      <w:sz w:val="20"/>
    </w:rPr>
  </w:style>
  <w:style w:type="character" w:customStyle="1" w:styleId="CommentTextChar">
    <w:name w:val="Comment Text Char"/>
    <w:basedOn w:val="DefaultParagraphFont"/>
    <w:link w:val="CommentText"/>
    <w:rsid w:val="00CC20F3"/>
    <w:rPr>
      <w:rFonts w:ascii="Courier" w:hAnsi="Courier"/>
      <w:snapToGrid w:val="0"/>
    </w:rPr>
  </w:style>
  <w:style w:type="paragraph" w:styleId="CommentSubject">
    <w:name w:val="annotation subject"/>
    <w:basedOn w:val="CommentText"/>
    <w:next w:val="CommentText"/>
    <w:link w:val="CommentSubjectChar"/>
    <w:rsid w:val="00CC20F3"/>
    <w:rPr>
      <w:b/>
      <w:bCs/>
    </w:rPr>
  </w:style>
  <w:style w:type="character" w:customStyle="1" w:styleId="CommentSubjectChar">
    <w:name w:val="Comment Subject Char"/>
    <w:basedOn w:val="CommentTextChar"/>
    <w:link w:val="CommentSubject"/>
    <w:rsid w:val="00CC20F3"/>
    <w:rPr>
      <w:rFonts w:ascii="Courier" w:hAnsi="Courier"/>
      <w:b/>
      <w:bCs/>
      <w:snapToGrid w:val="0"/>
    </w:rPr>
  </w:style>
  <w:style w:type="paragraph" w:styleId="BodyText">
    <w:name w:val="Body Text"/>
    <w:basedOn w:val="Normal"/>
    <w:link w:val="BodyTextChar"/>
    <w:unhideWhenUsed/>
    <w:qFormat/>
    <w:rsid w:val="002724C3"/>
    <w:pPr>
      <w:widowControl/>
    </w:pPr>
    <w:rPr>
      <w:rFonts w:ascii="Arial Narrow" w:hAnsi="Arial Narrow"/>
      <w:snapToGrid/>
      <w:u w:val="single"/>
    </w:rPr>
  </w:style>
  <w:style w:type="character" w:customStyle="1" w:styleId="BodyTextChar">
    <w:name w:val="Body Text Char"/>
    <w:basedOn w:val="DefaultParagraphFont"/>
    <w:link w:val="BodyText"/>
    <w:rsid w:val="002724C3"/>
    <w:rPr>
      <w:rFonts w:ascii="Arial Narrow" w:hAnsi="Arial Narrow"/>
      <w:sz w:val="24"/>
      <w:u w:val="single"/>
    </w:rPr>
  </w:style>
  <w:style w:type="paragraph" w:styleId="Revision">
    <w:name w:val="Revision"/>
    <w:hidden/>
    <w:uiPriority w:val="99"/>
    <w:semiHidden/>
    <w:rsid w:val="00B13A5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HelpWithMyBank.gov" TargetMode="External" /><Relationship Id="rId5" Type="http://schemas.openxmlformats.org/officeDocument/2006/relationships/hyperlink" Target="http://www.o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2024-07-31T15:55:00Z</dcterms:created>
  <dcterms:modified xsi:type="dcterms:W3CDTF">2024-07-31T15:55:00Z</dcterms:modified>
</cp:coreProperties>
</file>