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A1767" w:rsidRPr="00AD381B" w:rsidP="00AD381B" w14:paraId="58CE2522" w14:textId="313AA68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1E4AB5">
        <w:rPr>
          <w:rFonts w:ascii="Times New Roman" w:hAnsi="Times New Roman"/>
          <w:szCs w:val="24"/>
        </w:rPr>
        <w:t>1810-</w:t>
      </w:r>
      <w:r w:rsidR="00D31406">
        <w:rPr>
          <w:rFonts w:ascii="Times New Roman" w:hAnsi="Times New Roman"/>
          <w:szCs w:val="24"/>
        </w:rPr>
        <w:t>0774</w:t>
      </w:r>
    </w:p>
    <w:p w:rsidR="00EA1767" w:rsidRPr="00AD381B" w:rsidP="006B4172" w14:paraId="58CE2523" w14:textId="4E16C733">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B07E39" w:rsidP="007D2F27" w14:paraId="692A53A7" w14:textId="7AA8EF40">
      <w:pPr>
        <w:ind w:left="720"/>
        <w:rPr>
          <w:rFonts w:ascii="Garamond" w:hAnsi="Garamond"/>
        </w:rPr>
      </w:pPr>
      <w:r w:rsidRPr="000F548A">
        <w:rPr>
          <w:rFonts w:ascii="Garamond" w:hAnsi="Garamond"/>
        </w:rPr>
        <w:t xml:space="preserve">The DC </w:t>
      </w:r>
      <w:r w:rsidR="003C56ED">
        <w:rPr>
          <w:rFonts w:ascii="Garamond" w:hAnsi="Garamond"/>
        </w:rPr>
        <w:t xml:space="preserve">Opportunity Scholarship Program (OSP) is currently authorized under the Scholarships for Opportunity and Results Act (SOAR).  Under the SOAR Act, the US Department of Education awards a grant to a non-profit to </w:t>
      </w:r>
      <w:r w:rsidRPr="000F548A">
        <w:rPr>
          <w:rFonts w:ascii="Garamond" w:hAnsi="Garamond"/>
        </w:rPr>
        <w:t>administer scholarships to students who reside in the District of Columbia and come from households whose incomes do not exceed 185% of the poverty line</w:t>
      </w:r>
      <w:r w:rsidR="003C56ED">
        <w:rPr>
          <w:rFonts w:ascii="Garamond" w:hAnsi="Garamond"/>
        </w:rPr>
        <w:t xml:space="preserve"> (300% of the poverty line for returning students). The current administrator of the OSP is Serving Our Children</w:t>
      </w:r>
      <w:r w:rsidR="003B14D6">
        <w:rPr>
          <w:rFonts w:ascii="Garamond" w:hAnsi="Garamond"/>
        </w:rPr>
        <w:t xml:space="preserve"> (SOC)</w:t>
      </w:r>
      <w:r w:rsidRPr="000F548A">
        <w:rPr>
          <w:rFonts w:ascii="Garamond" w:hAnsi="Garamond"/>
        </w:rPr>
        <w:t xml:space="preserve">. </w:t>
      </w:r>
      <w:r w:rsidR="003C56ED">
        <w:rPr>
          <w:rFonts w:ascii="Garamond" w:hAnsi="Garamond"/>
        </w:rPr>
        <w:t>Under the law, p</w:t>
      </w:r>
      <w:r w:rsidRPr="000F548A">
        <w:rPr>
          <w:rFonts w:ascii="Garamond" w:hAnsi="Garamond"/>
        </w:rPr>
        <w:t xml:space="preserve">riority is given to </w:t>
      </w:r>
      <w:r w:rsidR="003C56ED">
        <w:rPr>
          <w:rFonts w:ascii="Garamond" w:hAnsi="Garamond"/>
        </w:rPr>
        <w:t xml:space="preserve">siblings of students in the program, and </w:t>
      </w:r>
      <w:r w:rsidRPr="000F548A">
        <w:rPr>
          <w:rFonts w:ascii="Garamond" w:hAnsi="Garamond"/>
        </w:rPr>
        <w:t xml:space="preserve">students who are currently attending </w:t>
      </w:r>
      <w:r w:rsidR="003C56ED">
        <w:rPr>
          <w:rFonts w:ascii="Garamond" w:hAnsi="Garamond"/>
        </w:rPr>
        <w:t>low-performing schools</w:t>
      </w:r>
      <w:r w:rsidRPr="000F548A">
        <w:rPr>
          <w:rFonts w:ascii="Garamond" w:hAnsi="Garamond"/>
        </w:rPr>
        <w:t xml:space="preserve">, as defined by Title I. To assist in the student selection and assignment process, the information collected is used to determine the eligibility of those students who are interested in the available scholarships. </w:t>
      </w:r>
    </w:p>
    <w:p w:rsidR="00B07E39" w:rsidP="007D2F27" w14:paraId="53BCD26B" w14:textId="77777777">
      <w:pPr>
        <w:ind w:left="720"/>
        <w:rPr>
          <w:rFonts w:ascii="Garamond" w:hAnsi="Garamond"/>
        </w:rPr>
      </w:pPr>
    </w:p>
    <w:p w:rsidR="00B07E39" w:rsidP="007D2F27" w14:paraId="2A65C9C5" w14:textId="47D1DF33">
      <w:pPr>
        <w:ind w:left="720"/>
        <w:rPr>
          <w:rFonts w:ascii="Garamond" w:hAnsi="Garamond"/>
        </w:rPr>
      </w:pPr>
      <w:r>
        <w:rPr>
          <w:rFonts w:ascii="Garamond" w:hAnsi="Garamond"/>
        </w:rPr>
        <w:t>This is a request for extension of the previously approved collection.</w:t>
      </w:r>
    </w:p>
    <w:p w:rsidR="007D2F27" w:rsidP="007D2F27" w14:paraId="6DE5847A" w14:textId="7213495E">
      <w:pPr>
        <w:ind w:left="720"/>
        <w:rPr>
          <w:rFonts w:ascii="Garamond" w:hAnsi="Garamond"/>
        </w:rPr>
      </w:pPr>
    </w:p>
    <w:p w:rsidR="008C101F" w:rsidP="007D2F27" w14:paraId="09C8F15E" w14:textId="7CE04A7B">
      <w:pPr>
        <w:ind w:left="720"/>
        <w:rPr>
          <w:rFonts w:ascii="Garamond" w:hAnsi="Garamond"/>
        </w:rPr>
      </w:pPr>
    </w:p>
    <w:p w:rsidR="007D2F27" w:rsidP="007D2F27" w14:paraId="5180764E" w14:textId="77777777">
      <w:pPr>
        <w:ind w:left="720"/>
      </w:pPr>
    </w:p>
    <w:p w:rsidR="00AD381B" w:rsidP="00C252C6" w14:paraId="58CE252A" w14:textId="59E0A530">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77777777">
      <w:pPr>
        <w:suppressAutoHyphens/>
        <w:spacing w:line="240" w:lineRule="exact"/>
        <w:rPr>
          <w:rFonts w:ascii="Times New Roman" w:hAnsi="Times New Roman"/>
          <w:szCs w:val="24"/>
        </w:rPr>
      </w:pPr>
    </w:p>
    <w:p w:rsidR="00315733" w:rsidRPr="00E90F68" w:rsidP="6250B789" w14:paraId="5F09FF72" w14:textId="23FB05D4">
      <w:pPr>
        <w:pStyle w:val="ListParagraph"/>
        <w:suppressAutoHyphens/>
        <w:rPr>
          <w:rFonts w:ascii="Garamond" w:hAnsi="Garamond"/>
        </w:rPr>
      </w:pPr>
      <w:r w:rsidRPr="6250B789">
        <w:rPr>
          <w:rFonts w:ascii="Garamond" w:hAnsi="Garamond"/>
        </w:rPr>
        <w:t xml:space="preserve">The collection </w:t>
      </w:r>
      <w:r w:rsidRPr="6250B789" w:rsidR="003C56ED">
        <w:rPr>
          <w:rFonts w:ascii="Garamond" w:hAnsi="Garamond"/>
        </w:rPr>
        <w:t>is</w:t>
      </w:r>
      <w:r w:rsidRPr="6250B789">
        <w:rPr>
          <w:rFonts w:ascii="Garamond" w:hAnsi="Garamond"/>
        </w:rPr>
        <w:t xml:space="preserve"> used to collect basic information about applicants </w:t>
      </w:r>
      <w:r w:rsidRPr="6250B789" w:rsidR="003C56ED">
        <w:rPr>
          <w:rFonts w:ascii="Garamond" w:hAnsi="Garamond"/>
        </w:rPr>
        <w:t>in order to</w:t>
      </w:r>
      <w:r w:rsidRPr="6250B789" w:rsidR="003C56ED">
        <w:rPr>
          <w:rFonts w:ascii="Garamond" w:hAnsi="Garamond"/>
        </w:rPr>
        <w:t xml:space="preserve"> determine income and residency eligibility for OSP</w:t>
      </w:r>
      <w:r w:rsidRPr="6250B789">
        <w:rPr>
          <w:rFonts w:ascii="Garamond" w:hAnsi="Garamond"/>
        </w:rPr>
        <w:t xml:space="preserve"> scholarships</w:t>
      </w:r>
      <w:r w:rsidRPr="6250B789" w:rsidR="003C56ED">
        <w:rPr>
          <w:rFonts w:ascii="Garamond" w:hAnsi="Garamond"/>
        </w:rPr>
        <w:t>,</w:t>
      </w:r>
      <w:r w:rsidRPr="6250B789">
        <w:rPr>
          <w:rFonts w:ascii="Garamond" w:hAnsi="Garamond"/>
        </w:rPr>
        <w:t xml:space="preserve"> and preliminary information for the evaluation. Failure to collect this information will hinder the grantee’s ability to select students for the scholarships, administer the student lottery, identify the number of slots available in participating schools, to effectively manage the distribution of scholarships to low-income parents of students, and to meet certain evaluation and reporting requirements, as required by the statute.  In turn, this will negatively impact the entire program by risking fair and equitable access to the expanded educational options for low-income parents in the District of Columbia.  </w:t>
      </w:r>
    </w:p>
    <w:p w:rsidR="00043C32" w:rsidRPr="00AD381B" w:rsidP="00AD381B" w14:paraId="58CE252C" w14:textId="77777777">
      <w:pPr>
        <w:suppressAutoHyphens/>
        <w:spacing w:line="240" w:lineRule="exact"/>
        <w:rPr>
          <w:rFonts w:ascii="Times New Roman" w:hAnsi="Times New Roman"/>
          <w:szCs w:val="24"/>
        </w:rPr>
      </w:pPr>
    </w:p>
    <w:p w:rsidR="00043C32" w:rsidP="00AD381B" w14:paraId="58CE252D" w14:textId="648DCA1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343110" w:rsidP="00343110" w14:paraId="2E8E0B74" w14:textId="77777777">
      <w:pPr>
        <w:pStyle w:val="ListParagraph"/>
        <w:tabs>
          <w:tab w:val="left" w:pos="-720"/>
        </w:tabs>
        <w:suppressAutoHyphens/>
        <w:contextualSpacing w:val="0"/>
        <w:rPr>
          <w:rFonts w:ascii="Times New Roman" w:hAnsi="Times New Roman"/>
          <w:b/>
          <w:szCs w:val="24"/>
        </w:rPr>
      </w:pPr>
    </w:p>
    <w:p w:rsidR="00E15F46" w:rsidRPr="00296DB5" w:rsidP="00D52C63" w14:paraId="194AD886" w14:textId="1E0030E0">
      <w:pPr>
        <w:pStyle w:val="NormalWeb"/>
        <w:ind w:left="720"/>
        <w:rPr>
          <w:rFonts w:ascii="Garamond" w:hAnsi="Garamond"/>
        </w:rPr>
      </w:pPr>
      <w:r>
        <w:rPr>
          <w:rFonts w:ascii="Garamond" w:hAnsi="Garamond"/>
        </w:rPr>
        <w:t xml:space="preserve">The current OSP Administrator, Serving Our Children, </w:t>
      </w:r>
      <w:r w:rsidRPr="00296DB5">
        <w:rPr>
          <w:rFonts w:ascii="Garamond" w:hAnsi="Garamond"/>
        </w:rPr>
        <w:t xml:space="preserve">has </w:t>
      </w:r>
      <w:r>
        <w:rPr>
          <w:rFonts w:ascii="Garamond" w:hAnsi="Garamond"/>
        </w:rPr>
        <w:t>largely</w:t>
      </w:r>
      <w:r w:rsidRPr="00296DB5">
        <w:rPr>
          <w:rFonts w:ascii="Garamond" w:hAnsi="Garamond"/>
        </w:rPr>
        <w:t xml:space="preserve"> transitioned from paper-based applications to a fully digital process, significantly reducing the administrative burden on applicants</w:t>
      </w:r>
      <w:r>
        <w:rPr>
          <w:rFonts w:ascii="Garamond" w:hAnsi="Garamond"/>
        </w:rPr>
        <w:t xml:space="preserve">.  </w:t>
      </w:r>
      <w:r w:rsidRPr="00296DB5">
        <w:rPr>
          <w:rFonts w:ascii="Garamond" w:hAnsi="Garamond"/>
        </w:rPr>
        <w:t xml:space="preserve">Parents and guardians can now apply for the OSP scholarship online via the </w:t>
      </w:r>
      <w:r w:rsidRPr="00296DB5">
        <w:rPr>
          <w:rStyle w:val="Strong"/>
          <w:rFonts w:ascii="Garamond" w:hAnsi="Garamond"/>
        </w:rPr>
        <w:t>OSP Family Portal</w:t>
      </w:r>
      <w:r w:rsidRPr="00296DB5">
        <w:rPr>
          <w:rFonts w:ascii="Garamond" w:hAnsi="Garamond"/>
        </w:rPr>
        <w:t xml:space="preserve"> (</w:t>
      </w:r>
      <w:hyperlink r:id="rId10" w:tgtFrame="_new" w:history="1">
        <w:r w:rsidRPr="00296DB5">
          <w:rPr>
            <w:rStyle w:val="Hyperlink"/>
            <w:rFonts w:ascii="Garamond" w:hAnsi="Garamond"/>
          </w:rPr>
          <w:t>https://osp.my.salesforce-sites.com/</w:t>
        </w:r>
      </w:hyperlink>
      <w:r w:rsidRPr="00296DB5">
        <w:rPr>
          <w:rFonts w:ascii="Garamond" w:hAnsi="Garamond"/>
        </w:rPr>
        <w:t>).</w:t>
      </w:r>
      <w:r w:rsidR="00D52C63">
        <w:rPr>
          <w:rFonts w:ascii="Garamond" w:hAnsi="Garamond"/>
        </w:rPr>
        <w:t xml:space="preserve">  </w:t>
      </w:r>
      <w:r w:rsidRPr="00296DB5">
        <w:rPr>
          <w:rFonts w:ascii="Garamond" w:hAnsi="Garamond"/>
        </w:rPr>
        <w:t>The OSP Family Portal is designed to be intuitive and user-friendly, allowing applicants to:</w:t>
      </w:r>
    </w:p>
    <w:p w:rsidR="00E15F46" w:rsidP="00E15F46" w14:paraId="676151E9" w14:textId="77777777">
      <w:pPr>
        <w:pStyle w:val="ListParagraph"/>
        <w:numPr>
          <w:ilvl w:val="0"/>
          <w:numId w:val="6"/>
        </w:numPr>
        <w:spacing w:before="100" w:beforeAutospacing="1" w:after="100" w:afterAutospacing="1"/>
        <w:rPr>
          <w:rFonts w:ascii="Garamond" w:hAnsi="Garamond"/>
        </w:rPr>
      </w:pPr>
      <w:r w:rsidRPr="00296DB5">
        <w:rPr>
          <w:rStyle w:val="Strong"/>
          <w:rFonts w:ascii="Garamond" w:hAnsi="Garamond"/>
        </w:rPr>
        <w:t>Complete and submit applications online</w:t>
      </w:r>
      <w:r w:rsidRPr="00296DB5">
        <w:rPr>
          <w:rFonts w:ascii="Garamond" w:hAnsi="Garamond"/>
        </w:rPr>
        <w:t>, eliminating the need for paper forms.</w:t>
      </w:r>
    </w:p>
    <w:p w:rsidR="00E15F46" w:rsidP="00E15F46" w14:paraId="1B90518E" w14:textId="77777777">
      <w:pPr>
        <w:pStyle w:val="ListParagraph"/>
        <w:numPr>
          <w:ilvl w:val="0"/>
          <w:numId w:val="6"/>
        </w:numPr>
        <w:spacing w:before="100" w:beforeAutospacing="1" w:after="100" w:afterAutospacing="1"/>
        <w:rPr>
          <w:rFonts w:ascii="Garamond" w:hAnsi="Garamond"/>
        </w:rPr>
      </w:pPr>
      <w:r w:rsidRPr="00296DB5">
        <w:rPr>
          <w:rStyle w:val="Strong"/>
          <w:rFonts w:ascii="Garamond" w:hAnsi="Garamond"/>
        </w:rPr>
        <w:t>Upload supporting documents</w:t>
      </w:r>
      <w:r w:rsidRPr="00296DB5">
        <w:rPr>
          <w:rFonts w:ascii="Garamond" w:hAnsi="Garamond"/>
        </w:rPr>
        <w:t xml:space="preserve"> (proof of D.C. residency and income) directly through the portal.</w:t>
      </w:r>
    </w:p>
    <w:p w:rsidR="00E15F46" w:rsidP="00E15F46" w14:paraId="0A957C5F" w14:textId="77777777">
      <w:pPr>
        <w:pStyle w:val="ListParagraph"/>
        <w:numPr>
          <w:ilvl w:val="0"/>
          <w:numId w:val="6"/>
        </w:numPr>
        <w:spacing w:before="100" w:beforeAutospacing="1" w:after="100" w:afterAutospacing="1"/>
        <w:rPr>
          <w:rFonts w:ascii="Garamond" w:hAnsi="Garamond"/>
        </w:rPr>
      </w:pPr>
      <w:r w:rsidRPr="00296DB5">
        <w:rPr>
          <w:rStyle w:val="Strong"/>
          <w:rFonts w:ascii="Garamond" w:hAnsi="Garamond"/>
        </w:rPr>
        <w:t>Track application and document statuses in real time</w:t>
      </w:r>
      <w:r w:rsidRPr="00296DB5">
        <w:rPr>
          <w:rFonts w:ascii="Garamond" w:hAnsi="Garamond"/>
        </w:rPr>
        <w:t xml:space="preserve"> for transparency and efficiency.</w:t>
      </w:r>
    </w:p>
    <w:p w:rsidR="00E15F46" w:rsidRPr="00AD381B" w:rsidP="00343110" w14:paraId="05416C85" w14:textId="77777777">
      <w:pPr>
        <w:pStyle w:val="ListParagraph"/>
        <w:tabs>
          <w:tab w:val="left" w:pos="-720"/>
        </w:tabs>
        <w:suppressAutoHyphens/>
        <w:contextualSpacing w:val="0"/>
        <w:rPr>
          <w:rFonts w:ascii="Times New Roman" w:hAnsi="Times New Roman"/>
          <w:b/>
          <w:szCs w:val="24"/>
        </w:rPr>
      </w:pPr>
    </w:p>
    <w:p w:rsidR="00AD381B" w:rsidRPr="00EF0564" w:rsidP="00EF0564" w14:paraId="58CE252F" w14:textId="77777777">
      <w:pPr>
        <w:tabs>
          <w:tab w:val="left" w:pos="-720"/>
        </w:tabs>
        <w:suppressAutoHyphens/>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5217FA54">
      <w:pPr>
        <w:pStyle w:val="ListParagraph"/>
        <w:tabs>
          <w:tab w:val="left" w:pos="-720"/>
        </w:tabs>
        <w:suppressAutoHyphens/>
        <w:contextualSpacing w:val="0"/>
        <w:rPr>
          <w:rFonts w:ascii="Times New Roman" w:hAnsi="Times New Roman"/>
          <w:b/>
          <w:szCs w:val="24"/>
        </w:rPr>
      </w:pPr>
    </w:p>
    <w:p w:rsidR="00D6709A" w:rsidRPr="00E90F68" w:rsidP="6250B789" w14:paraId="6BDB6682" w14:textId="522CCF01">
      <w:pPr>
        <w:pStyle w:val="ListParagraph"/>
        <w:suppressAutoHyphens/>
        <w:rPr>
          <w:rFonts w:ascii="Univers" w:hAnsi="Univers"/>
        </w:rPr>
      </w:pPr>
      <w:r w:rsidRPr="6250B789">
        <w:rPr>
          <w:rFonts w:ascii="Garamond" w:hAnsi="Garamond"/>
        </w:rPr>
        <w:t xml:space="preserve">We have made the determination that a duplication of effort does not exist, since the respondents are unique to this narrowly tailored grant program.  To the best of our knowledge, there is no other information collection that is available to fulfill this request.  </w:t>
      </w:r>
      <w:r w:rsidRPr="6250B789" w:rsidR="003B14D6">
        <w:rPr>
          <w:rFonts w:ascii="Garamond" w:hAnsi="Garamond"/>
        </w:rPr>
        <w:t xml:space="preserve">In the case where applicants are recipients of SNAP benefits, SOC does not require them to submit additional income </w:t>
      </w:r>
      <w:r w:rsidRPr="6250B789" w:rsidR="18BDFCB1">
        <w:rPr>
          <w:rFonts w:ascii="Garamond" w:hAnsi="Garamond"/>
        </w:rPr>
        <w:t>documents</w:t>
      </w:r>
      <w:r w:rsidRPr="6250B789" w:rsidR="003B14D6">
        <w:rPr>
          <w:rFonts w:ascii="Garamond" w:hAnsi="Garamond"/>
        </w:rPr>
        <w:t xml:space="preserve"> since the criteria for SNAP meets the criteria for OSP scholarships.  Rather, SOC verifies SNAP receipt for such applicants </w:t>
      </w:r>
      <w:r w:rsidRPr="6250B789" w:rsidR="00407E0C">
        <w:rPr>
          <w:rFonts w:ascii="Garamond" w:hAnsi="Garamond"/>
        </w:rPr>
        <w:t xml:space="preserve">directly with the DC Economic </w:t>
      </w:r>
      <w:r w:rsidRPr="6250B789" w:rsidR="767D27BA">
        <w:rPr>
          <w:rFonts w:ascii="Garamond" w:hAnsi="Garamond"/>
        </w:rPr>
        <w:t>Services</w:t>
      </w:r>
      <w:r w:rsidRPr="6250B789" w:rsidR="00407E0C">
        <w:rPr>
          <w:rFonts w:ascii="Garamond" w:hAnsi="Garamond"/>
        </w:rPr>
        <w:t xml:space="preserve"> Administration (ESA), after securing permission from the parent/guardian.</w:t>
      </w:r>
    </w:p>
    <w:p w:rsidR="00D6709A" w:rsidRPr="00246FE9" w:rsidP="00246FE9" w14:paraId="7CEB59A7"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E97250" w:rsidRPr="00E90F68" w:rsidP="00E97250" w14:paraId="650E1DE2" w14:textId="77777777">
      <w:pPr>
        <w:pStyle w:val="ListParagraph"/>
        <w:tabs>
          <w:tab w:val="left" w:pos="-720"/>
        </w:tabs>
        <w:suppressAutoHyphens/>
        <w:rPr>
          <w:rFonts w:ascii="Garamond" w:hAnsi="Garamond"/>
        </w:rPr>
      </w:pPr>
      <w:r w:rsidRPr="00E90F68">
        <w:rPr>
          <w:rFonts w:ascii="Garamond" w:hAnsi="Garamond"/>
        </w:rPr>
        <w:t>There is no anticipated impact on small business or other small entities (as stated in Item 5 of OMB For 83-1).</w:t>
      </w:r>
    </w:p>
    <w:p w:rsidR="00AD381B" w:rsidP="00AD381B" w14:paraId="58CE2534" w14:textId="77777777">
      <w:pPr>
        <w:pStyle w:val="ListParagraph"/>
        <w:contextualSpacing w:val="0"/>
        <w:rPr>
          <w:rFonts w:ascii="Times New Roman" w:hAnsi="Times New Roman"/>
          <w:szCs w:val="24"/>
        </w:rPr>
      </w:pPr>
    </w:p>
    <w:p w:rsidR="00043C32" w:rsidP="00AD381B" w14:paraId="58CE2535" w14:textId="695C9EDA">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A64E1" w:rsidP="00CA64E1" w14:paraId="2146FFB7" w14:textId="3BCCE63F">
      <w:pPr>
        <w:pStyle w:val="ListParagraph"/>
        <w:tabs>
          <w:tab w:val="left" w:pos="-720"/>
        </w:tabs>
        <w:suppressAutoHyphens/>
        <w:contextualSpacing w:val="0"/>
        <w:rPr>
          <w:rFonts w:ascii="Times New Roman" w:hAnsi="Times New Roman"/>
          <w:b/>
          <w:szCs w:val="24"/>
        </w:rPr>
      </w:pPr>
    </w:p>
    <w:p w:rsidR="00CA64E1" w:rsidRPr="00E90F68" w:rsidP="00CA64E1" w14:paraId="16E052BE" w14:textId="4366DB73">
      <w:pPr>
        <w:pStyle w:val="ListParagraph"/>
        <w:tabs>
          <w:tab w:val="left" w:pos="-720"/>
        </w:tabs>
        <w:suppressAutoHyphens/>
        <w:rPr>
          <w:rFonts w:ascii="Garamond" w:hAnsi="Garamond"/>
        </w:rPr>
      </w:pPr>
      <w:r w:rsidRPr="00E90F68">
        <w:rPr>
          <w:rFonts w:ascii="Garamond" w:hAnsi="Garamond"/>
        </w:rPr>
        <w:t xml:space="preserve">The statute </w:t>
      </w:r>
      <w:r w:rsidR="003B14D6">
        <w:rPr>
          <w:rFonts w:ascii="Garamond" w:hAnsi="Garamond"/>
        </w:rPr>
        <w:t xml:space="preserve">specifies income and residency eligibility requirements for receiving an OSP scholarship.   The OSP Administrator cannot ensure that scholarship recipients meet these legal requirements without the collection of this information.  </w:t>
      </w:r>
      <w:r w:rsidRPr="00E90F68">
        <w:rPr>
          <w:rFonts w:ascii="Garamond" w:hAnsi="Garamond"/>
        </w:rPr>
        <w:t xml:space="preserve">Additionally, </w:t>
      </w:r>
      <w:r w:rsidR="003B14D6">
        <w:rPr>
          <w:rFonts w:ascii="Garamond" w:hAnsi="Garamond"/>
        </w:rPr>
        <w:t xml:space="preserve">the statute requires that </w:t>
      </w:r>
      <w:r w:rsidRPr="00E90F68">
        <w:rPr>
          <w:rFonts w:ascii="Garamond" w:hAnsi="Garamond"/>
        </w:rPr>
        <w:t xml:space="preserve">the grantee participate in </w:t>
      </w:r>
      <w:r w:rsidR="003B14D6">
        <w:rPr>
          <w:rFonts w:ascii="Garamond" w:hAnsi="Garamond"/>
        </w:rPr>
        <w:t>gathering information for the mandated independent evaluation of</w:t>
      </w:r>
      <w:r w:rsidRPr="00E90F68">
        <w:rPr>
          <w:rFonts w:ascii="Garamond" w:hAnsi="Garamond"/>
        </w:rPr>
        <w:t xml:space="preserve"> programmatic activities.  The negative consequences of not performing the information collection requested could be detrimental to the notification to parents about the expanded options, filling the available slots in participating schools, distribution of student scholarships</w:t>
      </w:r>
      <w:r w:rsidR="003B14D6">
        <w:rPr>
          <w:rFonts w:ascii="Garamond" w:hAnsi="Garamond"/>
        </w:rPr>
        <w:t xml:space="preserve"> according to the criteria established in law</w:t>
      </w:r>
      <w:r w:rsidRPr="00E90F68">
        <w:rPr>
          <w:rFonts w:ascii="Garamond" w:hAnsi="Garamond"/>
        </w:rPr>
        <w:t xml:space="preserve">, and overall nullify the management, evaluation and administration of the grant program.   </w:t>
      </w:r>
    </w:p>
    <w:p w:rsidR="00CA64E1" w:rsidRPr="00AD381B" w:rsidP="00CA64E1" w14:paraId="3EA9E5C3"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38CAD285">
      <w:pPr>
        <w:pStyle w:val="ListParagraph"/>
        <w:rPr>
          <w:rFonts w:ascii="Times New Roman" w:hAnsi="Times New Roman"/>
          <w:b/>
          <w:szCs w:val="24"/>
        </w:rPr>
      </w:pPr>
    </w:p>
    <w:p w:rsidR="00444D4A" w:rsidP="00444D4A" w14:paraId="577588DF" w14:textId="77777777">
      <w:pPr>
        <w:pStyle w:val="ListParagraph"/>
        <w:tabs>
          <w:tab w:val="left" w:pos="-720"/>
          <w:tab w:val="left" w:pos="1247"/>
        </w:tabs>
        <w:suppressAutoHyphens/>
        <w:ind w:left="1080"/>
      </w:pPr>
      <w:r w:rsidRPr="00E90F68">
        <w:rPr>
          <w:rFonts w:ascii="Garamond" w:hAnsi="Garamond"/>
        </w:rPr>
        <w:t xml:space="preserve">There are no special circumstances.   </w:t>
      </w:r>
    </w:p>
    <w:p w:rsidR="00444D4A" w:rsidP="00AD381B" w14:paraId="57FB1C32" w14:textId="77777777">
      <w:pPr>
        <w:pStyle w:val="ListParagraph"/>
        <w:rPr>
          <w:rFonts w:ascii="Times New Roman" w:hAnsi="Times New Roman"/>
          <w:b/>
          <w:szCs w:val="24"/>
        </w:rPr>
      </w:pP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233BBE" w:rsidRPr="00233BBE" w:rsidP="00233BBE" w14:paraId="048B5A34" w14:textId="6EA9C35B">
      <w:pPr>
        <w:pStyle w:val="ListParagraph"/>
        <w:tabs>
          <w:tab w:val="left" w:pos="-720"/>
        </w:tabs>
        <w:suppressAutoHyphens/>
        <w:rPr>
          <w:rStyle w:val="a"/>
          <w:rFonts w:ascii="Garamond" w:hAnsi="Garamond"/>
        </w:rPr>
      </w:pPr>
      <w:r w:rsidRPr="00233BBE">
        <w:rPr>
          <w:rStyle w:val="a"/>
          <w:rFonts w:ascii="Garamond" w:hAnsi="Garamond"/>
        </w:rPr>
        <w:t>The Department is publishing the applicable</w:t>
      </w:r>
      <w:r w:rsidR="004A49B2">
        <w:rPr>
          <w:rStyle w:val="a"/>
          <w:rFonts w:ascii="Garamond" w:hAnsi="Garamond"/>
        </w:rPr>
        <w:t xml:space="preserve"> 60- and</w:t>
      </w:r>
      <w:r w:rsidRPr="00233BBE">
        <w:rPr>
          <w:rStyle w:val="a"/>
          <w:rFonts w:ascii="Garamond" w:hAnsi="Garamond"/>
        </w:rPr>
        <w:t xml:space="preserve"> 30-day Federal Register notice</w:t>
      </w:r>
      <w:r w:rsidR="004A49B2">
        <w:rPr>
          <w:rStyle w:val="a"/>
          <w:rFonts w:ascii="Garamond" w:hAnsi="Garamond"/>
        </w:rPr>
        <w:t>s</w:t>
      </w:r>
      <w:r w:rsidRPr="00233BBE">
        <w:rPr>
          <w:rStyle w:val="a"/>
          <w:rFonts w:ascii="Garamond" w:hAnsi="Garamond"/>
        </w:rPr>
        <w:t xml:space="preserve"> to request public comment.</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1746F904">
      <w:pPr>
        <w:pStyle w:val="ListParagraph"/>
        <w:tabs>
          <w:tab w:val="left" w:pos="-720"/>
        </w:tabs>
        <w:suppressAutoHyphens/>
        <w:contextualSpacing w:val="0"/>
        <w:rPr>
          <w:rFonts w:ascii="Times New Roman" w:hAnsi="Times New Roman"/>
          <w:b/>
          <w:szCs w:val="24"/>
        </w:rPr>
      </w:pPr>
    </w:p>
    <w:p w:rsidR="00FE1DD2" w:rsidRPr="00FE1DD2" w:rsidP="00FE1DD2" w14:paraId="18CBCDEC" w14:textId="421AB58E">
      <w:pPr>
        <w:pStyle w:val="ListParagraph"/>
        <w:tabs>
          <w:tab w:val="left" w:pos="-720"/>
        </w:tabs>
        <w:suppressAutoHyphens/>
        <w:rPr>
          <w:rFonts w:ascii="Garamond" w:hAnsi="Garamond"/>
        </w:rPr>
      </w:pPr>
      <w:r w:rsidRPr="00E90F68">
        <w:rPr>
          <w:rStyle w:val="a"/>
          <w:rFonts w:ascii="Garamond" w:hAnsi="Garamond"/>
        </w:rPr>
        <w:t>There is no payment or gift to respondents, other than remuneration of contractors or grantees (upon the completion of the grant competition and award of the contract for the evaluation of the program).</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58CE2557" w14:textId="77777777">
      <w:pPr>
        <w:tabs>
          <w:tab w:val="left" w:pos="-720"/>
        </w:tabs>
        <w:suppressAutoHyphens/>
        <w:rPr>
          <w:rFonts w:ascii="Times New Roman" w:hAnsi="Times New Roman"/>
          <w:b/>
          <w:szCs w:val="24"/>
        </w:rPr>
      </w:pPr>
    </w:p>
    <w:p w:rsidR="00C51B77" w:rsidRPr="00E90F68" w:rsidP="00C51B77" w14:paraId="3DDA33CB" w14:textId="77777777">
      <w:pPr>
        <w:pStyle w:val="ListParagraph"/>
        <w:tabs>
          <w:tab w:val="left" w:pos="-720"/>
        </w:tabs>
        <w:suppressAutoHyphens/>
        <w:rPr>
          <w:rFonts w:ascii="Garamond" w:hAnsi="Garamond"/>
        </w:rPr>
      </w:pPr>
      <w:r w:rsidRPr="00E90F68">
        <w:rPr>
          <w:rFonts w:ascii="Garamond" w:hAnsi="Garamond"/>
        </w:rPr>
        <w:t xml:space="preserve">Based upon the assurance in statute, regulation, or agency policy for discretionary grant programs, the Department’s disclosure polices adheres to the provisions under the Privacy Act. A SORN was published in vol. 69 no. 79 page 22014 on 4/23/2004.  </w:t>
      </w:r>
      <w:r>
        <w:rPr>
          <w:rFonts w:ascii="Garamond" w:hAnsi="Garamond"/>
        </w:rPr>
        <w:t xml:space="preserve">A Privacy Act Statement also discloses respondent assurances. </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0553CA" w:rsidRPr="00E90F68" w:rsidP="000553CA" w14:paraId="3D3B373E" w14:textId="77777777">
      <w:pPr>
        <w:pStyle w:val="ListParagraph"/>
        <w:tabs>
          <w:tab w:val="left" w:pos="-720"/>
        </w:tabs>
        <w:suppressAutoHyphens/>
        <w:rPr>
          <w:rFonts w:ascii="Univers" w:hAnsi="Univers"/>
        </w:rPr>
      </w:pPr>
      <w:r w:rsidRPr="00E90F68">
        <w:rPr>
          <w:rFonts w:ascii="Garamond" w:hAnsi="Garamond"/>
        </w:rPr>
        <w:t xml:space="preserve">The information collection does not include questions of a sensitive nature such as sexual behavior and attitudes, religious beliefs, and other matters that are commonly considered private.  </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6C8D08A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BE7088" w:rsidP="00946126" w14:paraId="79917ABA" w14:textId="5D1E3B36">
      <w:pPr>
        <w:pStyle w:val="ListParagraph"/>
        <w:tabs>
          <w:tab w:val="left" w:pos="-720"/>
        </w:tabs>
        <w:suppressAutoHyphens/>
        <w:contextualSpacing w:val="0"/>
        <w:rPr>
          <w:rFonts w:ascii="Times New Roman" w:hAnsi="Times New Roman"/>
          <w:b/>
          <w:sz w:val="26"/>
          <w:szCs w:val="26"/>
        </w:rPr>
      </w:pPr>
    </w:p>
    <w:p w:rsidR="00BE7088" w:rsidP="00BE7088" w14:paraId="04ADCD6F" w14:textId="73EE0EC4">
      <w:pPr>
        <w:tabs>
          <w:tab w:val="left" w:pos="-720"/>
          <w:tab w:val="left" w:pos="720"/>
        </w:tabs>
        <w:suppressAutoHyphens/>
        <w:rPr>
          <w:rStyle w:val="a"/>
          <w:rFonts w:ascii="Garamond" w:hAnsi="Garamond"/>
        </w:rPr>
      </w:pPr>
      <w:r w:rsidRPr="0035115C">
        <w:rPr>
          <w:rStyle w:val="a"/>
          <w:rFonts w:ascii="Garamond" w:hAnsi="Garamond"/>
        </w:rPr>
        <w:t>The annual number of responses for this collection is 3,000, with 3,000 respondents</w:t>
      </w:r>
      <w:r w:rsidR="00A27A56">
        <w:rPr>
          <w:rStyle w:val="a"/>
          <w:rFonts w:ascii="Garamond" w:hAnsi="Garamond"/>
        </w:rPr>
        <w:t xml:space="preserve"> each responding once</w:t>
      </w:r>
      <w:r w:rsidR="00CF3105">
        <w:rPr>
          <w:rStyle w:val="a"/>
          <w:rFonts w:ascii="Garamond" w:hAnsi="Garamond"/>
        </w:rPr>
        <w:t xml:space="preserve">. </w:t>
      </w:r>
      <w:r w:rsidR="00C9134F">
        <w:rPr>
          <w:rStyle w:val="a"/>
          <w:rFonts w:ascii="Garamond" w:hAnsi="Garamond"/>
        </w:rPr>
        <w:t>With 3,000 respon</w:t>
      </w:r>
      <w:r w:rsidR="00A27A56">
        <w:rPr>
          <w:rStyle w:val="a"/>
          <w:rFonts w:ascii="Garamond" w:hAnsi="Garamond"/>
        </w:rPr>
        <w:t xml:space="preserve">dents, each taking about 20 minutes to complete the application, we estimate that the total </w:t>
      </w:r>
      <w:r w:rsidR="00125450">
        <w:rPr>
          <w:rStyle w:val="a"/>
          <w:rFonts w:ascii="Garamond" w:hAnsi="Garamond"/>
        </w:rPr>
        <w:t xml:space="preserve">burden is </w:t>
      </w:r>
      <w:r w:rsidRPr="0035115C">
        <w:rPr>
          <w:rStyle w:val="a"/>
          <w:rFonts w:ascii="Garamond" w:hAnsi="Garamond"/>
        </w:rPr>
        <w:t xml:space="preserve">1,000 hours. </w:t>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525"/>
        <w:gridCol w:w="1085"/>
        <w:gridCol w:w="1255"/>
        <w:gridCol w:w="1275"/>
        <w:gridCol w:w="1080"/>
        <w:gridCol w:w="1335"/>
        <w:gridCol w:w="900"/>
        <w:gridCol w:w="1530"/>
        <w:gridCol w:w="1350"/>
      </w:tblGrid>
      <w:tr w14:paraId="58CE257E" w14:textId="77777777" w:rsidTr="00BE0420">
        <w:tblPrEx>
          <w:tblW w:w="11335" w:type="dxa"/>
          <w:tblLayout w:type="fixed"/>
          <w:tblLook w:val="0020"/>
        </w:tblPrEx>
        <w:trPr>
          <w:tblHeader/>
        </w:trPr>
        <w:tc>
          <w:tcPr>
            <w:tcW w:w="152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08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BE0420">
        <w:tblPrEx>
          <w:tblW w:w="11335" w:type="dxa"/>
          <w:tblLayout w:type="fixed"/>
          <w:tblLook w:val="0020"/>
        </w:tblPrEx>
        <w:tc>
          <w:tcPr>
            <w:tcW w:w="1525" w:type="dxa"/>
          </w:tcPr>
          <w:p w:rsidR="00C86713" w:rsidRPr="00442E07" w:rsidP="00FE1BAE" w14:paraId="58CE257F" w14:textId="663AEA13">
            <w:pPr>
              <w:rPr>
                <w:rFonts w:ascii="Times New Roman" w:hAnsi="Times New Roman"/>
                <w:szCs w:val="24"/>
              </w:rPr>
            </w:pPr>
            <w:r>
              <w:rPr>
                <w:rFonts w:ascii="Times New Roman" w:hAnsi="Times New Roman"/>
                <w:szCs w:val="24"/>
              </w:rPr>
              <w:t>I</w:t>
            </w:r>
            <w:r w:rsidR="00A356A4">
              <w:rPr>
                <w:rFonts w:ascii="Times New Roman" w:hAnsi="Times New Roman"/>
                <w:szCs w:val="24"/>
              </w:rPr>
              <w:t>nformation</w:t>
            </w:r>
            <w:r>
              <w:rPr>
                <w:rFonts w:ascii="Times New Roman" w:hAnsi="Times New Roman"/>
                <w:szCs w:val="24"/>
              </w:rPr>
              <w:t xml:space="preserve"> (</w:t>
            </w:r>
            <w:r w:rsidR="00C03A8D">
              <w:rPr>
                <w:rFonts w:ascii="Times New Roman" w:hAnsi="Times New Roman"/>
                <w:szCs w:val="24"/>
              </w:rPr>
              <w:t>individuals)</w:t>
            </w:r>
          </w:p>
        </w:tc>
        <w:tc>
          <w:tcPr>
            <w:tcW w:w="1085" w:type="dxa"/>
          </w:tcPr>
          <w:p w:rsidR="00C86713" w:rsidRPr="00442E07" w:rsidP="00FE1BAE" w14:paraId="58CE2580" w14:textId="6AAADEB1">
            <w:pPr>
              <w:rPr>
                <w:rFonts w:ascii="Times New Roman" w:hAnsi="Times New Roman"/>
                <w:szCs w:val="24"/>
              </w:rPr>
            </w:pPr>
            <w:r>
              <w:rPr>
                <w:rFonts w:ascii="Times New Roman" w:hAnsi="Times New Roman"/>
                <w:szCs w:val="24"/>
              </w:rPr>
              <w:t>n/a</w:t>
            </w:r>
          </w:p>
        </w:tc>
        <w:tc>
          <w:tcPr>
            <w:tcW w:w="1255" w:type="dxa"/>
          </w:tcPr>
          <w:p w:rsidR="00C86713" w:rsidRPr="00442E07" w:rsidP="00FE1BAE" w14:paraId="58CE2581" w14:textId="361CD311">
            <w:pPr>
              <w:rPr>
                <w:rFonts w:ascii="Times New Roman" w:hAnsi="Times New Roman"/>
                <w:szCs w:val="24"/>
              </w:rPr>
            </w:pPr>
            <w:r>
              <w:rPr>
                <w:rFonts w:ascii="Times New Roman" w:hAnsi="Times New Roman"/>
                <w:szCs w:val="24"/>
              </w:rPr>
              <w:t>n/a</w:t>
            </w:r>
          </w:p>
        </w:tc>
        <w:tc>
          <w:tcPr>
            <w:tcW w:w="1275" w:type="dxa"/>
          </w:tcPr>
          <w:p w:rsidR="00C86713" w:rsidRPr="00442E07" w:rsidP="00FE1BAE" w14:paraId="58CE2582" w14:textId="15830F7F">
            <w:pPr>
              <w:rPr>
                <w:rFonts w:ascii="Times New Roman" w:hAnsi="Times New Roman"/>
                <w:szCs w:val="24"/>
              </w:rPr>
            </w:pPr>
            <w:r>
              <w:rPr>
                <w:rFonts w:ascii="Times New Roman" w:hAnsi="Times New Roman"/>
                <w:szCs w:val="24"/>
              </w:rPr>
              <w:t>3,000</w:t>
            </w:r>
          </w:p>
        </w:tc>
        <w:tc>
          <w:tcPr>
            <w:tcW w:w="1080" w:type="dxa"/>
          </w:tcPr>
          <w:p w:rsidR="00C86713" w:rsidRPr="00442E07" w:rsidP="00FE1BAE" w14:paraId="58CE2583" w14:textId="6C772513">
            <w:pPr>
              <w:jc w:val="center"/>
              <w:rPr>
                <w:rFonts w:ascii="Times New Roman" w:hAnsi="Times New Roman"/>
                <w:szCs w:val="24"/>
              </w:rPr>
            </w:pPr>
            <w:r>
              <w:rPr>
                <w:rFonts w:ascii="Times New Roman" w:hAnsi="Times New Roman"/>
                <w:szCs w:val="24"/>
              </w:rPr>
              <w:t>3,000</w:t>
            </w:r>
          </w:p>
        </w:tc>
        <w:tc>
          <w:tcPr>
            <w:tcW w:w="1335" w:type="dxa"/>
          </w:tcPr>
          <w:p w:rsidR="00C86713" w:rsidRPr="00BE0420" w:rsidP="00FE1BAE" w14:paraId="58CE2584" w14:textId="7E19876C">
            <w:pPr>
              <w:jc w:val="center"/>
              <w:rPr>
                <w:rFonts w:ascii="Times New Roman" w:hAnsi="Times New Roman"/>
                <w:szCs w:val="24"/>
              </w:rPr>
            </w:pPr>
            <w:r w:rsidRPr="00BE0420">
              <w:rPr>
                <w:rStyle w:val="a"/>
                <w:rFonts w:ascii="Garamond" w:hAnsi="Garamond"/>
              </w:rPr>
              <w:t>.33(20 min)</w:t>
            </w:r>
          </w:p>
        </w:tc>
        <w:tc>
          <w:tcPr>
            <w:tcW w:w="900" w:type="dxa"/>
          </w:tcPr>
          <w:p w:rsidR="00C86713" w:rsidRPr="00442E07" w:rsidP="00FE1BAE" w14:paraId="58CE2585" w14:textId="7746FF6D">
            <w:pPr>
              <w:rPr>
                <w:rFonts w:ascii="Times New Roman" w:hAnsi="Times New Roman"/>
                <w:szCs w:val="24"/>
              </w:rPr>
            </w:pPr>
            <w:r>
              <w:rPr>
                <w:rFonts w:ascii="Times New Roman" w:hAnsi="Times New Roman"/>
                <w:szCs w:val="24"/>
              </w:rPr>
              <w:t>1,000</w:t>
            </w:r>
          </w:p>
        </w:tc>
        <w:tc>
          <w:tcPr>
            <w:tcW w:w="1530" w:type="dxa"/>
          </w:tcPr>
          <w:p w:rsidR="00C86713" w:rsidRPr="00442E07" w:rsidP="00FE1BAE" w14:paraId="58CE2586" w14:textId="113C2350">
            <w:pPr>
              <w:rPr>
                <w:rFonts w:ascii="Times New Roman" w:hAnsi="Times New Roman"/>
                <w:szCs w:val="24"/>
              </w:rPr>
            </w:pPr>
            <w:r>
              <w:rPr>
                <w:rFonts w:ascii="Times New Roman" w:hAnsi="Times New Roman"/>
                <w:szCs w:val="24"/>
              </w:rPr>
              <w:t>$13.31</w:t>
            </w:r>
          </w:p>
        </w:tc>
        <w:tc>
          <w:tcPr>
            <w:tcW w:w="1350" w:type="dxa"/>
          </w:tcPr>
          <w:p w:rsidR="00C86713" w:rsidRPr="00442E07" w:rsidP="00FE1BAE" w14:paraId="58CE2587" w14:textId="25E15CB9">
            <w:pPr>
              <w:rPr>
                <w:rFonts w:ascii="Times New Roman" w:hAnsi="Times New Roman"/>
                <w:szCs w:val="24"/>
              </w:rPr>
            </w:pPr>
            <w:r>
              <w:rPr>
                <w:rFonts w:ascii="Times New Roman" w:hAnsi="Times New Roman"/>
                <w:szCs w:val="24"/>
              </w:rPr>
              <w:t>$13,310</w:t>
            </w:r>
          </w:p>
        </w:tc>
      </w:tr>
      <w:tr w14:paraId="58CE25B0" w14:textId="77777777" w:rsidTr="00BE0420">
        <w:tblPrEx>
          <w:tblW w:w="11335" w:type="dxa"/>
          <w:tblLayout w:type="fixed"/>
          <w:tblLook w:val="0020"/>
        </w:tblPrEx>
        <w:tc>
          <w:tcPr>
            <w:tcW w:w="152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08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77777777">
            <w:pPr>
              <w:rPr>
                <w:rFonts w:ascii="Times New Roman" w:hAnsi="Times New Roman"/>
                <w:szCs w:val="24"/>
              </w:rPr>
            </w:pPr>
          </w:p>
        </w:tc>
        <w:tc>
          <w:tcPr>
            <w:tcW w:w="1275" w:type="dxa"/>
          </w:tcPr>
          <w:p w:rsidR="009767AF" w:rsidRPr="00442E07" w:rsidP="00FE1BAE" w14:paraId="58CE25AA" w14:textId="60916E6B">
            <w:pPr>
              <w:rPr>
                <w:rFonts w:ascii="Times New Roman" w:hAnsi="Times New Roman"/>
                <w:szCs w:val="24"/>
              </w:rPr>
            </w:pPr>
            <w:r>
              <w:rPr>
                <w:rFonts w:ascii="Times New Roman" w:hAnsi="Times New Roman"/>
                <w:szCs w:val="24"/>
              </w:rPr>
              <w:t>3,000</w:t>
            </w:r>
          </w:p>
        </w:tc>
        <w:tc>
          <w:tcPr>
            <w:tcW w:w="1080" w:type="dxa"/>
          </w:tcPr>
          <w:p w:rsidR="009767AF" w:rsidRPr="00442E07" w:rsidP="00FE1BAE" w14:paraId="58CE25AB" w14:textId="7AF66AE6">
            <w:pPr>
              <w:rPr>
                <w:rFonts w:ascii="Times New Roman" w:hAnsi="Times New Roman"/>
                <w:szCs w:val="24"/>
              </w:rPr>
            </w:pPr>
            <w:r>
              <w:rPr>
                <w:rFonts w:ascii="Times New Roman" w:hAnsi="Times New Roman"/>
                <w:szCs w:val="24"/>
              </w:rPr>
              <w:t>3,000</w:t>
            </w:r>
          </w:p>
        </w:tc>
        <w:tc>
          <w:tcPr>
            <w:tcW w:w="1335" w:type="dxa"/>
          </w:tcPr>
          <w:p w:rsidR="009767AF" w:rsidRPr="00BE0420" w:rsidP="00FE1BAE" w14:paraId="58CE25AC" w14:textId="0FACF2FE">
            <w:pPr>
              <w:rPr>
                <w:rFonts w:ascii="Times New Roman" w:hAnsi="Times New Roman"/>
                <w:szCs w:val="24"/>
              </w:rPr>
            </w:pPr>
            <w:r w:rsidRPr="00BE0420">
              <w:rPr>
                <w:rStyle w:val="a"/>
                <w:rFonts w:ascii="Garamond" w:hAnsi="Garamond"/>
              </w:rPr>
              <w:t>.33(20 min)</w:t>
            </w:r>
          </w:p>
        </w:tc>
        <w:tc>
          <w:tcPr>
            <w:tcW w:w="900" w:type="dxa"/>
          </w:tcPr>
          <w:p w:rsidR="009767AF" w:rsidRPr="00442E07" w:rsidP="00FE1BAE" w14:paraId="58CE25AD" w14:textId="79C1EB03">
            <w:pPr>
              <w:rPr>
                <w:rFonts w:ascii="Times New Roman" w:hAnsi="Times New Roman"/>
                <w:szCs w:val="24"/>
              </w:rPr>
            </w:pPr>
            <w:r>
              <w:rPr>
                <w:rFonts w:ascii="Times New Roman" w:hAnsi="Times New Roman"/>
                <w:szCs w:val="24"/>
              </w:rPr>
              <w:t>1,000</w:t>
            </w:r>
          </w:p>
        </w:tc>
        <w:tc>
          <w:tcPr>
            <w:tcW w:w="1530" w:type="dxa"/>
          </w:tcPr>
          <w:p w:rsidR="009767AF" w:rsidRPr="00442E07" w:rsidP="00FE1BAE" w14:paraId="58CE25AE" w14:textId="4B2363CB">
            <w:pPr>
              <w:rPr>
                <w:rFonts w:ascii="Times New Roman" w:hAnsi="Times New Roman"/>
                <w:szCs w:val="24"/>
              </w:rPr>
            </w:pPr>
            <w:r>
              <w:rPr>
                <w:rFonts w:ascii="Times New Roman" w:hAnsi="Times New Roman"/>
                <w:szCs w:val="24"/>
              </w:rPr>
              <w:t>$13.31</w:t>
            </w:r>
          </w:p>
        </w:tc>
        <w:tc>
          <w:tcPr>
            <w:tcW w:w="1350" w:type="dxa"/>
          </w:tcPr>
          <w:p w:rsidR="009767AF" w:rsidRPr="00442E07" w:rsidP="00FE1BAE" w14:paraId="58CE25AF" w14:textId="51AEF947">
            <w:pPr>
              <w:rPr>
                <w:rFonts w:ascii="Times New Roman" w:hAnsi="Times New Roman"/>
                <w:szCs w:val="24"/>
              </w:rPr>
            </w:pPr>
            <w:r>
              <w:rPr>
                <w:rFonts w:ascii="Times New Roman" w:hAnsi="Times New Roman"/>
                <w:szCs w:val="24"/>
              </w:rPr>
              <w:t>$13,310</w:t>
            </w:r>
          </w:p>
        </w:tc>
      </w:tr>
    </w:tbl>
    <w:p w:rsidR="0035115C" w:rsidP="0035115C" w14:paraId="2A2E0DEA" w14:textId="1AAEC7E9">
      <w:pPr>
        <w:tabs>
          <w:tab w:val="left" w:pos="-720"/>
          <w:tab w:val="left" w:pos="720"/>
        </w:tabs>
        <w:suppressAutoHyphens/>
        <w:rPr>
          <w:rStyle w:val="a"/>
          <w:rFonts w:ascii="Garamond" w:hAnsi="Garamond"/>
        </w:rPr>
      </w:pPr>
    </w:p>
    <w:p w:rsidR="0035115C" w:rsidRPr="0035115C" w:rsidP="0035115C" w14:paraId="3678EC05" w14:textId="77777777">
      <w:pPr>
        <w:tabs>
          <w:tab w:val="left" w:pos="-720"/>
          <w:tab w:val="left" w:pos="720"/>
        </w:tabs>
        <w:suppressAutoHyphens/>
        <w:rPr>
          <w:rStyle w:val="a"/>
          <w:rFonts w:ascii="Garamond" w:hAnsi="Garamond"/>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4600E72D">
      <w:pPr>
        <w:tabs>
          <w:tab w:val="left" w:pos="-720"/>
        </w:tabs>
        <w:suppressAutoHyphens/>
        <w:rPr>
          <w:rFonts w:ascii="Times New Roman" w:hAnsi="Times New Roman"/>
          <w:szCs w:val="24"/>
        </w:rPr>
      </w:pPr>
    </w:p>
    <w:p w:rsidR="0030502C" w:rsidP="0030502C" w14:paraId="06C6E6EB" w14:textId="77777777">
      <w:pPr>
        <w:tabs>
          <w:tab w:val="left" w:pos="-720"/>
        </w:tabs>
        <w:suppressAutoHyphens/>
        <w:rPr>
          <w:rFonts w:ascii="Garamond" w:hAnsi="Garamond"/>
        </w:rPr>
      </w:pPr>
      <w:r>
        <w:rPr>
          <w:rFonts w:ascii="Garamond" w:hAnsi="Garamond"/>
        </w:rPr>
        <w:tab/>
        <w:t>The costs are minimal, because the program will be administered by the grantee.</w:t>
      </w:r>
    </w:p>
    <w:p w:rsidR="00862D58" w:rsidP="00AD381B" w14:paraId="2BB17EFE"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E0E3E" w:rsidRPr="00E90F68" w:rsidP="004E0E3E" w14:paraId="0E49FBBC" w14:textId="77777777">
      <w:pPr>
        <w:pStyle w:val="ListParagraph"/>
        <w:tabs>
          <w:tab w:val="left" w:pos="-720"/>
        </w:tabs>
        <w:suppressAutoHyphens/>
        <w:rPr>
          <w:rFonts w:ascii="Univers" w:hAnsi="Univers"/>
        </w:rPr>
      </w:pPr>
    </w:p>
    <w:p w:rsidR="004E0E3E" w:rsidRPr="004E0E3E" w:rsidP="004E0E3E" w14:paraId="7D7F9E77" w14:textId="57DFD846">
      <w:pPr>
        <w:pStyle w:val="ListParagraph"/>
        <w:tabs>
          <w:tab w:val="left" w:pos="-720"/>
        </w:tabs>
        <w:suppressAutoHyphens/>
        <w:rPr>
          <w:rFonts w:ascii="Garamond" w:hAnsi="Garamond"/>
        </w:rPr>
      </w:pPr>
      <w:r w:rsidRPr="00E90F68">
        <w:rPr>
          <w:rFonts w:ascii="Garamond" w:hAnsi="Garamond"/>
        </w:rPr>
        <w:t xml:space="preserve">Costs to the Federal Government have been assessed at one employee at a GS13 hourly rate of $41.00 taking an average of 10 hours to complete, for a total of $410.00. </w:t>
      </w: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54FD3D23">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52073E" w:rsidP="00534B4A" w14:paraId="58CE25CE" w14:textId="4CDEDA8E">
            <w:pPr>
              <w:tabs>
                <w:tab w:val="left" w:pos="-720"/>
              </w:tabs>
              <w:suppressAutoHyphens/>
              <w:rPr>
                <w:rFonts w:ascii="Times New Roman" w:hAnsi="Times New Roman"/>
                <w:b/>
                <w:szCs w:val="24"/>
              </w:rPr>
            </w:pPr>
          </w:p>
        </w:tc>
        <w:tc>
          <w:tcPr>
            <w:tcW w:w="2520" w:type="dxa"/>
          </w:tcPr>
          <w:p w:rsidR="0052073E" w:rsidP="00534B4A" w14:paraId="58CE25CF" w14:textId="03746EB6">
            <w:pPr>
              <w:tabs>
                <w:tab w:val="left" w:pos="-720"/>
              </w:tabs>
              <w:suppressAutoHyphens/>
              <w:rPr>
                <w:rFonts w:ascii="Times New Roman" w:hAnsi="Times New Roman"/>
                <w:b/>
                <w:szCs w:val="24"/>
              </w:rPr>
            </w:pPr>
            <w:r>
              <w:rPr>
                <w:rFonts w:ascii="Times New Roman" w:hAnsi="Times New Roman"/>
                <w:b/>
                <w:szCs w:val="24"/>
              </w:rPr>
              <w:t>n/a</w:t>
            </w: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42C50C37">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52073E" w:rsidP="00534B4A" w14:paraId="58CE25D3" w14:textId="335CC729">
            <w:pPr>
              <w:tabs>
                <w:tab w:val="left" w:pos="-720"/>
              </w:tabs>
              <w:suppressAutoHyphens/>
              <w:rPr>
                <w:rFonts w:ascii="Times New Roman" w:hAnsi="Times New Roman"/>
                <w:b/>
                <w:szCs w:val="24"/>
              </w:rPr>
            </w:pPr>
          </w:p>
        </w:tc>
        <w:tc>
          <w:tcPr>
            <w:tcW w:w="2520" w:type="dxa"/>
          </w:tcPr>
          <w:p w:rsidR="0052073E" w:rsidP="00534B4A" w14:paraId="58CE25D4" w14:textId="24C7DD50">
            <w:pPr>
              <w:tabs>
                <w:tab w:val="left" w:pos="-720"/>
              </w:tabs>
              <w:suppressAutoHyphens/>
              <w:rPr>
                <w:rFonts w:ascii="Times New Roman" w:hAnsi="Times New Roman"/>
                <w:b/>
                <w:szCs w:val="24"/>
              </w:rPr>
            </w:pPr>
            <w:r>
              <w:rPr>
                <w:rFonts w:ascii="Times New Roman" w:hAnsi="Times New Roman"/>
                <w:b/>
                <w:szCs w:val="24"/>
              </w:rPr>
              <w:t>n/a</w:t>
            </w: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0DB295ED">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52073E" w:rsidP="00534B4A" w14:paraId="58CE25D8" w14:textId="6A378602">
            <w:pPr>
              <w:tabs>
                <w:tab w:val="left" w:pos="-720"/>
              </w:tabs>
              <w:suppressAutoHyphens/>
              <w:rPr>
                <w:rFonts w:ascii="Times New Roman" w:hAnsi="Times New Roman"/>
                <w:b/>
                <w:szCs w:val="24"/>
              </w:rPr>
            </w:pPr>
          </w:p>
        </w:tc>
        <w:tc>
          <w:tcPr>
            <w:tcW w:w="2520" w:type="dxa"/>
          </w:tcPr>
          <w:p w:rsidR="0052073E" w:rsidP="00534B4A" w14:paraId="58CE25D9" w14:textId="22820B73">
            <w:pPr>
              <w:tabs>
                <w:tab w:val="left" w:pos="-720"/>
              </w:tabs>
              <w:suppressAutoHyphens/>
              <w:rPr>
                <w:rFonts w:ascii="Times New Roman" w:hAnsi="Times New Roman"/>
                <w:b/>
                <w:szCs w:val="24"/>
              </w:rPr>
            </w:pPr>
            <w:r>
              <w:rPr>
                <w:rFonts w:ascii="Times New Roman" w:hAnsi="Times New Roman"/>
                <w:b/>
                <w:szCs w:val="24"/>
              </w:rPr>
              <w:t>n/a</w:t>
            </w:r>
          </w:p>
        </w:tc>
      </w:tr>
    </w:tbl>
    <w:p w:rsidR="00677778" w:rsidP="00704FFB" w14:paraId="3D653109" w14:textId="77777777">
      <w:pPr>
        <w:pStyle w:val="ListParagraph"/>
        <w:rPr>
          <w:rFonts w:ascii="Garamond" w:hAnsi="Garamond"/>
        </w:rPr>
      </w:pPr>
    </w:p>
    <w:p w:rsidR="00F27AAF" w:rsidP="00704FFB" w14:paraId="58CE25DB" w14:textId="3870F13A">
      <w:pPr>
        <w:pStyle w:val="ListParagraph"/>
        <w:rPr>
          <w:rFonts w:ascii="Times New Roman" w:hAnsi="Times New Roman"/>
          <w:b/>
          <w:szCs w:val="24"/>
        </w:rPr>
      </w:pPr>
      <w:r>
        <w:rPr>
          <w:rFonts w:ascii="Garamond" w:hAnsi="Garamond"/>
        </w:rPr>
        <w:t xml:space="preserve">There are no changes to the collection that will increase or reduce the burden to respond. </w:t>
      </w: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3369EE" w:rsidP="003369EE" w14:paraId="6EF105C2" w14:textId="77777777">
      <w:pPr>
        <w:pStyle w:val="ListParagraph"/>
        <w:rPr>
          <w:rStyle w:val="a"/>
        </w:rPr>
      </w:pPr>
      <w:r>
        <w:rPr>
          <w:rFonts w:ascii="Garamond" w:hAnsi="Garamond"/>
        </w:rPr>
        <w:t>The results of the information collection will not be published.</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534B4A" w:rsidP="00534B4A" w14:paraId="58CE25E2" w14:textId="4B18CD78">
      <w:pPr>
        <w:tabs>
          <w:tab w:val="left" w:pos="-720"/>
        </w:tabs>
        <w:suppressAutoHyphens/>
        <w:ind w:left="360"/>
        <w:rPr>
          <w:rFonts w:ascii="Garamond" w:hAnsi="Garamond"/>
        </w:rPr>
      </w:pPr>
      <w:r>
        <w:rPr>
          <w:rFonts w:ascii="Garamond" w:hAnsi="Garamond"/>
        </w:rPr>
        <w:t>We are not seeking this approval.</w:t>
      </w:r>
    </w:p>
    <w:p w:rsidR="00CB7FE0" w:rsidRPr="00534B4A" w:rsidP="00534B4A" w14:paraId="118F4166" w14:textId="77777777">
      <w:pPr>
        <w:tabs>
          <w:tab w:val="left" w:pos="-720"/>
        </w:tabs>
        <w:suppressAutoHyphens/>
        <w:ind w:left="360"/>
        <w:rPr>
          <w:rFonts w:ascii="Times New Roman" w:hAnsi="Times New Roman"/>
          <w:szCs w:val="24"/>
        </w:rPr>
      </w:pPr>
    </w:p>
    <w:p w:rsidR="001C73C0" w:rsidP="00AD381B" w14:paraId="58CE25E3" w14:textId="678B2A1B">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76BE3" w:rsidP="00A76BE3" w14:paraId="60DB2925" w14:textId="4A912096">
      <w:pPr>
        <w:tabs>
          <w:tab w:val="left" w:pos="-720"/>
        </w:tabs>
        <w:suppressAutoHyphens/>
        <w:rPr>
          <w:rFonts w:ascii="Times New Roman" w:hAnsi="Times New Roman"/>
          <w:b/>
          <w:szCs w:val="24"/>
        </w:rPr>
      </w:pPr>
    </w:p>
    <w:p w:rsidR="00A76BE3" w:rsidRPr="00A76BE3" w:rsidP="00A76BE3" w14:paraId="46694D82" w14:textId="77777777">
      <w:pPr>
        <w:ind w:left="720"/>
        <w:rPr>
          <w:rFonts w:ascii="Garamond" w:hAnsi="Garamond" w:cs="Arial"/>
          <w:iCs/>
        </w:rPr>
      </w:pPr>
      <w:r w:rsidRPr="00A76BE3">
        <w:rPr>
          <w:rFonts w:ascii="Garamond" w:hAnsi="Garamond"/>
          <w:iCs/>
        </w:rPr>
        <w:t>This information collection fully complies with the guidelines set forth in 5 CFR 1320.9.</w:t>
      </w:r>
    </w:p>
    <w:p w:rsidR="00A76BE3" w:rsidRPr="00A76BE3" w:rsidP="00A76BE3" w14:paraId="3C9BF741" w14:textId="2DEF9324">
      <w:pPr>
        <w:tabs>
          <w:tab w:val="left" w:pos="-720"/>
        </w:tabs>
        <w:suppressAutoHyphens/>
        <w:rPr>
          <w:rFonts w:ascii="Times New Roman" w:hAnsi="Times New Roman"/>
          <w:b/>
          <w:szCs w:val="24"/>
        </w:rPr>
      </w:pP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09E9" w14:paraId="58CE25E8" w14:textId="77777777">
    <w:pPr>
      <w:spacing w:before="140" w:line="100" w:lineRule="exact"/>
      <w:rPr>
        <w:sz w:val="10"/>
      </w:rPr>
    </w:pPr>
  </w:p>
  <w:p w:rsidR="009409E9" w14:paraId="58CE25E9" w14:textId="77777777">
    <w:pPr>
      <w:tabs>
        <w:tab w:val="left" w:pos="0"/>
      </w:tabs>
      <w:suppressAutoHyphens/>
    </w:pPr>
  </w:p>
  <w:p w:rsidR="009409E9" w14:paraId="58CE25E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409E9"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9409E9"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40859" w:rsidP="00043C32" w14:paraId="714DCC16" w14:textId="77777777">
      <w:r>
        <w:separator/>
      </w:r>
    </w:p>
  </w:footnote>
  <w:footnote w:type="continuationSeparator" w:id="1">
    <w:p w:rsidR="00E40859" w:rsidP="00043C32" w14:paraId="7280B45C"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69E5B1D"/>
    <w:multiLevelType w:val="hybridMultilevel"/>
    <w:tmpl w:val="718A29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B8B6C4E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473386">
    <w:abstractNumId w:val="0"/>
  </w:num>
  <w:num w:numId="2" w16cid:durableId="2083940015">
    <w:abstractNumId w:val="3"/>
  </w:num>
  <w:num w:numId="3" w16cid:durableId="2099017259">
    <w:abstractNumId w:val="2"/>
  </w:num>
  <w:num w:numId="4" w16cid:durableId="832600748">
    <w:abstractNumId w:val="4"/>
  </w:num>
  <w:num w:numId="5" w16cid:durableId="327246768">
    <w:abstractNumId w:val="5"/>
  </w:num>
  <w:num w:numId="6" w16cid:durableId="16034151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Yeh, Beth">
    <w15:presenceInfo w15:providerId="AD" w15:userId="S::Beth.Yeh@ed.gov::fa998f91-6ec3-48c2-b468-b8bed002461c"/>
  </w15:person>
  <w15:person w15:author="Brake, Andrew">
    <w15:presenceInfo w15:providerId="AD" w15:userId="S::Andrew.Brake@ed.gov::949e614f-9845-40f9-a165-ec33a61d6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B46"/>
    <w:rsid w:val="0003440D"/>
    <w:rsid w:val="00035ED5"/>
    <w:rsid w:val="00043C32"/>
    <w:rsid w:val="000446F5"/>
    <w:rsid w:val="000553CA"/>
    <w:rsid w:val="00077699"/>
    <w:rsid w:val="00093017"/>
    <w:rsid w:val="000A0279"/>
    <w:rsid w:val="000A6A17"/>
    <w:rsid w:val="000A7A69"/>
    <w:rsid w:val="000B7FD9"/>
    <w:rsid w:val="000D689F"/>
    <w:rsid w:val="000F548A"/>
    <w:rsid w:val="00125450"/>
    <w:rsid w:val="001337DB"/>
    <w:rsid w:val="00164520"/>
    <w:rsid w:val="001664E8"/>
    <w:rsid w:val="001824F3"/>
    <w:rsid w:val="00196B6E"/>
    <w:rsid w:val="001A6AE0"/>
    <w:rsid w:val="001C73C0"/>
    <w:rsid w:val="001E4AB5"/>
    <w:rsid w:val="001E79BD"/>
    <w:rsid w:val="001F0B24"/>
    <w:rsid w:val="00205DFF"/>
    <w:rsid w:val="002225CC"/>
    <w:rsid w:val="00224A3B"/>
    <w:rsid w:val="00233BBE"/>
    <w:rsid w:val="00240A39"/>
    <w:rsid w:val="00246FE9"/>
    <w:rsid w:val="00250100"/>
    <w:rsid w:val="00260BBB"/>
    <w:rsid w:val="00262A69"/>
    <w:rsid w:val="00270AF7"/>
    <w:rsid w:val="00296DB5"/>
    <w:rsid w:val="002A3221"/>
    <w:rsid w:val="002B7892"/>
    <w:rsid w:val="002C3520"/>
    <w:rsid w:val="002E14E0"/>
    <w:rsid w:val="002F55E5"/>
    <w:rsid w:val="0030502C"/>
    <w:rsid w:val="00315733"/>
    <w:rsid w:val="0032078A"/>
    <w:rsid w:val="0032539E"/>
    <w:rsid w:val="003369EE"/>
    <w:rsid w:val="00343110"/>
    <w:rsid w:val="0035115C"/>
    <w:rsid w:val="00352E6E"/>
    <w:rsid w:val="00372F63"/>
    <w:rsid w:val="003860E4"/>
    <w:rsid w:val="003960D0"/>
    <w:rsid w:val="003A28CC"/>
    <w:rsid w:val="003B14D6"/>
    <w:rsid w:val="003B1545"/>
    <w:rsid w:val="003C56ED"/>
    <w:rsid w:val="003E5501"/>
    <w:rsid w:val="003E5A7B"/>
    <w:rsid w:val="00407E0C"/>
    <w:rsid w:val="00412915"/>
    <w:rsid w:val="004347BF"/>
    <w:rsid w:val="00442E07"/>
    <w:rsid w:val="00444D4A"/>
    <w:rsid w:val="00464D15"/>
    <w:rsid w:val="00466471"/>
    <w:rsid w:val="0047522F"/>
    <w:rsid w:val="004A49B2"/>
    <w:rsid w:val="004E0E3E"/>
    <w:rsid w:val="005049B7"/>
    <w:rsid w:val="0052073E"/>
    <w:rsid w:val="0052131A"/>
    <w:rsid w:val="005348D7"/>
    <w:rsid w:val="00534B4A"/>
    <w:rsid w:val="005463E3"/>
    <w:rsid w:val="00562466"/>
    <w:rsid w:val="00581C11"/>
    <w:rsid w:val="005868A1"/>
    <w:rsid w:val="00592697"/>
    <w:rsid w:val="005F728A"/>
    <w:rsid w:val="006024C5"/>
    <w:rsid w:val="006252F7"/>
    <w:rsid w:val="00677778"/>
    <w:rsid w:val="0068567A"/>
    <w:rsid w:val="006A292A"/>
    <w:rsid w:val="006A38F7"/>
    <w:rsid w:val="006A4EBB"/>
    <w:rsid w:val="006B4172"/>
    <w:rsid w:val="006C2B0B"/>
    <w:rsid w:val="006E2B05"/>
    <w:rsid w:val="00704FFB"/>
    <w:rsid w:val="00742403"/>
    <w:rsid w:val="00755D99"/>
    <w:rsid w:val="00756FD3"/>
    <w:rsid w:val="00765392"/>
    <w:rsid w:val="00784230"/>
    <w:rsid w:val="00790E3E"/>
    <w:rsid w:val="007C0A4C"/>
    <w:rsid w:val="007D2F27"/>
    <w:rsid w:val="007F6104"/>
    <w:rsid w:val="00800D30"/>
    <w:rsid w:val="00807D1A"/>
    <w:rsid w:val="00813696"/>
    <w:rsid w:val="00862D58"/>
    <w:rsid w:val="00874EFE"/>
    <w:rsid w:val="00877E4C"/>
    <w:rsid w:val="00882126"/>
    <w:rsid w:val="008933F1"/>
    <w:rsid w:val="008C00E7"/>
    <w:rsid w:val="008C101F"/>
    <w:rsid w:val="008C4E19"/>
    <w:rsid w:val="008D0601"/>
    <w:rsid w:val="008D1F11"/>
    <w:rsid w:val="008E5919"/>
    <w:rsid w:val="008E7255"/>
    <w:rsid w:val="008F0102"/>
    <w:rsid w:val="00905951"/>
    <w:rsid w:val="00912D2C"/>
    <w:rsid w:val="00916EE4"/>
    <w:rsid w:val="00920F63"/>
    <w:rsid w:val="009243F3"/>
    <w:rsid w:val="0093366B"/>
    <w:rsid w:val="00934185"/>
    <w:rsid w:val="009409E9"/>
    <w:rsid w:val="00946126"/>
    <w:rsid w:val="00952DF9"/>
    <w:rsid w:val="00953AA9"/>
    <w:rsid w:val="0095421D"/>
    <w:rsid w:val="00960C86"/>
    <w:rsid w:val="009709B0"/>
    <w:rsid w:val="009767AF"/>
    <w:rsid w:val="00981F58"/>
    <w:rsid w:val="00986D0A"/>
    <w:rsid w:val="00991E48"/>
    <w:rsid w:val="00993215"/>
    <w:rsid w:val="009A7B8A"/>
    <w:rsid w:val="009B0E00"/>
    <w:rsid w:val="009E0362"/>
    <w:rsid w:val="009E3E86"/>
    <w:rsid w:val="009F284F"/>
    <w:rsid w:val="00A04209"/>
    <w:rsid w:val="00A118A2"/>
    <w:rsid w:val="00A1579B"/>
    <w:rsid w:val="00A23F26"/>
    <w:rsid w:val="00A27A56"/>
    <w:rsid w:val="00A356A4"/>
    <w:rsid w:val="00A4001C"/>
    <w:rsid w:val="00A40AAB"/>
    <w:rsid w:val="00A46D01"/>
    <w:rsid w:val="00A635E1"/>
    <w:rsid w:val="00A70816"/>
    <w:rsid w:val="00A7636D"/>
    <w:rsid w:val="00A76BE3"/>
    <w:rsid w:val="00A84162"/>
    <w:rsid w:val="00A9138E"/>
    <w:rsid w:val="00A93AF3"/>
    <w:rsid w:val="00AC1C89"/>
    <w:rsid w:val="00AD381B"/>
    <w:rsid w:val="00AD3C5C"/>
    <w:rsid w:val="00AF5B5B"/>
    <w:rsid w:val="00AF5D1A"/>
    <w:rsid w:val="00B017F9"/>
    <w:rsid w:val="00B07213"/>
    <w:rsid w:val="00B07E39"/>
    <w:rsid w:val="00B07ECE"/>
    <w:rsid w:val="00B10A05"/>
    <w:rsid w:val="00B54167"/>
    <w:rsid w:val="00B62E06"/>
    <w:rsid w:val="00B64B1D"/>
    <w:rsid w:val="00B7483C"/>
    <w:rsid w:val="00B9671B"/>
    <w:rsid w:val="00BA1D31"/>
    <w:rsid w:val="00BC1391"/>
    <w:rsid w:val="00BE0420"/>
    <w:rsid w:val="00BE7088"/>
    <w:rsid w:val="00C0003B"/>
    <w:rsid w:val="00C03A8D"/>
    <w:rsid w:val="00C164D3"/>
    <w:rsid w:val="00C20670"/>
    <w:rsid w:val="00C224FD"/>
    <w:rsid w:val="00C252C6"/>
    <w:rsid w:val="00C33142"/>
    <w:rsid w:val="00C51B77"/>
    <w:rsid w:val="00C86713"/>
    <w:rsid w:val="00C875E8"/>
    <w:rsid w:val="00C9134F"/>
    <w:rsid w:val="00C92035"/>
    <w:rsid w:val="00C96543"/>
    <w:rsid w:val="00CA4A70"/>
    <w:rsid w:val="00CA64E1"/>
    <w:rsid w:val="00CB7FE0"/>
    <w:rsid w:val="00CC2A72"/>
    <w:rsid w:val="00CC3FB5"/>
    <w:rsid w:val="00CD2067"/>
    <w:rsid w:val="00CD47BC"/>
    <w:rsid w:val="00CE2325"/>
    <w:rsid w:val="00CF3105"/>
    <w:rsid w:val="00D11A85"/>
    <w:rsid w:val="00D31406"/>
    <w:rsid w:val="00D34984"/>
    <w:rsid w:val="00D36C35"/>
    <w:rsid w:val="00D52C63"/>
    <w:rsid w:val="00D61FBC"/>
    <w:rsid w:val="00D628ED"/>
    <w:rsid w:val="00D6709A"/>
    <w:rsid w:val="00D75313"/>
    <w:rsid w:val="00DF13C9"/>
    <w:rsid w:val="00DF216D"/>
    <w:rsid w:val="00E15F46"/>
    <w:rsid w:val="00E16ACD"/>
    <w:rsid w:val="00E17134"/>
    <w:rsid w:val="00E25EBC"/>
    <w:rsid w:val="00E30965"/>
    <w:rsid w:val="00E40859"/>
    <w:rsid w:val="00E66550"/>
    <w:rsid w:val="00E877BF"/>
    <w:rsid w:val="00E90F68"/>
    <w:rsid w:val="00E938B6"/>
    <w:rsid w:val="00E97250"/>
    <w:rsid w:val="00EA1767"/>
    <w:rsid w:val="00EB0929"/>
    <w:rsid w:val="00EB0FA5"/>
    <w:rsid w:val="00EC01DD"/>
    <w:rsid w:val="00EC35E3"/>
    <w:rsid w:val="00ED7195"/>
    <w:rsid w:val="00EF0564"/>
    <w:rsid w:val="00F0414F"/>
    <w:rsid w:val="00F1350A"/>
    <w:rsid w:val="00F27AAF"/>
    <w:rsid w:val="00F31BEC"/>
    <w:rsid w:val="00F55791"/>
    <w:rsid w:val="00F57074"/>
    <w:rsid w:val="00F5782B"/>
    <w:rsid w:val="00F73131"/>
    <w:rsid w:val="00FA5565"/>
    <w:rsid w:val="00FB533C"/>
    <w:rsid w:val="00FC669D"/>
    <w:rsid w:val="00FD4F0B"/>
    <w:rsid w:val="00FE02FC"/>
    <w:rsid w:val="00FE1BAE"/>
    <w:rsid w:val="00FE1DD2"/>
    <w:rsid w:val="00FE515D"/>
    <w:rsid w:val="12682E56"/>
    <w:rsid w:val="16C5B322"/>
    <w:rsid w:val="18BDFCB1"/>
    <w:rsid w:val="6250B789"/>
    <w:rsid w:val="767D27B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FE515D"/>
    <w:rPr>
      <w:rFonts w:ascii="Consolas" w:hAnsi="Consolas"/>
      <w:sz w:val="21"/>
      <w:szCs w:val="21"/>
    </w:rPr>
  </w:style>
  <w:style w:type="character" w:customStyle="1" w:styleId="PlainTextChar">
    <w:name w:val="Plain Text Char"/>
    <w:basedOn w:val="DefaultParagraphFont"/>
    <w:link w:val="PlainText"/>
    <w:uiPriority w:val="99"/>
    <w:rsid w:val="00FE515D"/>
    <w:rPr>
      <w:rFonts w:ascii="Consolas" w:hAnsi="Consolas"/>
      <w:sz w:val="21"/>
      <w:szCs w:val="21"/>
    </w:rPr>
  </w:style>
  <w:style w:type="character" w:styleId="FollowedHyperlink">
    <w:name w:val="FollowedHyperlink"/>
    <w:basedOn w:val="DefaultParagraphFont"/>
    <w:uiPriority w:val="99"/>
    <w:semiHidden/>
    <w:unhideWhenUsed/>
    <w:rsid w:val="00FA5565"/>
    <w:rPr>
      <w:color w:val="800080" w:themeColor="followedHyperlink"/>
      <w:u w:val="single"/>
    </w:rPr>
  </w:style>
  <w:style w:type="character" w:styleId="EndnoteReference">
    <w:name w:val="endnote reference"/>
    <w:basedOn w:val="DefaultParagraphFont"/>
    <w:uiPriority w:val="99"/>
    <w:semiHidden/>
    <w:unhideWhenUsed/>
    <w:rsid w:val="009B0E00"/>
    <w:rPr>
      <w:vertAlign w:val="superscript"/>
    </w:rPr>
  </w:style>
  <w:style w:type="paragraph" w:styleId="Revision">
    <w:name w:val="Revision"/>
    <w:hidden/>
    <w:uiPriority w:val="99"/>
    <w:semiHidden/>
    <w:rsid w:val="003E5501"/>
    <w:rPr>
      <w:rFonts w:ascii="Courier" w:hAnsi="Courier"/>
      <w:sz w:val="24"/>
    </w:rPr>
  </w:style>
  <w:style w:type="paragraph" w:styleId="NormalWeb">
    <w:name w:val="Normal (Web)"/>
    <w:basedOn w:val="Normal"/>
    <w:uiPriority w:val="99"/>
    <w:unhideWhenUsed/>
    <w:rsid w:val="00E15F46"/>
    <w:pPr>
      <w:spacing w:before="100" w:beforeAutospacing="1" w:after="100" w:afterAutospacing="1"/>
    </w:pPr>
    <w:rPr>
      <w:rFonts w:ascii="Times New Roman" w:hAnsi="Times New Roman"/>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sp.my.salesforce-sites.com/"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c7facc49ae12a4394082148afb8b6aaa">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4d99ba7a1f821597584cdd57696bc04a"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00e6e80-7955-4406-a275-3ed8f3b776e1">
      <Terms xmlns="http://schemas.microsoft.com/office/infopath/2007/PartnerControls"/>
    </lcf76f155ced4ddcb4097134ff3c332f>
    <OverallDueDate xmlns="c00e6e80-7955-4406-a275-3ed8f3b776e1" xsi:nil="true"/>
    <OriginatingOffice xmlns="c00e6e80-7955-4406-a275-3ed8f3b776e1" xsi:nil="true"/>
    <Priority xmlns="c00e6e80-7955-4406-a275-3ed8f3b776e1" xsi:nil="true"/>
    <TaxCatchAll xmlns="2a2db8c4-56ab-4882-a5d0-0fe8165c6658"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32QN7URAMJQR-1642169543-2125</_dlc_DocId>
    <_dlc_DocIdUrl xmlns="3ea50510-2dd0-405e-98ca-659793e00538">
      <Url>https://usdedeop.sharepoint.com/sites/OESEHub/_layouts/15/DocIdRedir.aspx?ID=32QN7URAMJQR-1642169543-2125</Url>
      <Description>32QN7URAMJQR-1642169543-2125</Description>
    </_dlc_DocIdUrl>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03048FE-5574-489B-85F0-9CC13BF6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0510-2dd0-405e-98ca-659793e00538"/>
    <ds:schemaRef ds:uri="c00e6e80-7955-4406-a275-3ed8f3b776e1"/>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189F1-226C-4B49-80D6-E79F5A0423DA}">
  <ds:schemaRefs>
    <ds:schemaRef ds:uri="http://schemas.microsoft.com/sharepoint/events"/>
  </ds:schemaRefs>
</ds:datastoreItem>
</file>

<file path=customXml/itemProps5.xml><?xml version="1.0" encoding="utf-8"?>
<ds:datastoreItem xmlns:ds="http://schemas.openxmlformats.org/officeDocument/2006/customXml" ds:itemID="{1C0FC2ED-6745-40E5-99DC-404EF7F56774}">
  <ds:schemaRefs>
    <ds:schemaRef ds:uri="http://schemas.microsoft.com/office/2006/documentManagement/types"/>
    <ds:schemaRef ds:uri="http://purl.org/dc/elements/1.1/"/>
    <ds:schemaRef ds:uri="http://purl.org/dc/terms/"/>
    <ds:schemaRef ds:uri="c8b6cde6-36a6-4835-8c9f-9df2c1ff615e"/>
    <ds:schemaRef ds:uri="http://schemas.microsoft.com/office/infopath/2007/PartnerControls"/>
    <ds:schemaRef ds:uri="http://purl.org/dc/dcmitype/"/>
    <ds:schemaRef ds:uri="http://www.w3.org/XML/1998/namespace"/>
    <ds:schemaRef ds:uri="http://schemas.openxmlformats.org/package/2006/metadata/core-properties"/>
    <ds:schemaRef ds:uri="bd083e05-dbaa-4fa1-9fd0-604142eaf587"/>
    <ds:schemaRef ds:uri="http://schemas.microsoft.com/office/2006/metadata/properties"/>
    <ds:schemaRef ds:uri="c00e6e80-7955-4406-a275-3ed8f3b776e1"/>
    <ds:schemaRef ds:uri="2a2db8c4-56ab-4882-a5d0-0fe8165c6658"/>
    <ds:schemaRef ds:uri="3ea50510-2dd0-405e-98ca-659793e005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2937</Words>
  <Characters>16743</Characters>
  <Application>Microsoft Office Word</Application>
  <DocSecurity>0</DocSecurity>
  <Lines>139</Lines>
  <Paragraphs>39</Paragraphs>
  <ScaleCrop>false</ScaleCrop>
  <Company>U.S. Department of Education</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Yeh, Beth</cp:lastModifiedBy>
  <cp:revision>2</cp:revision>
  <dcterms:created xsi:type="dcterms:W3CDTF">2025-09-16T17:35:00Z</dcterms:created>
  <dcterms:modified xsi:type="dcterms:W3CDTF">2025-09-16T17:35:00Z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0x010100C1C4194A53AF9A47BA7E444378BC4485</vt:lpwstr>
  </property>
  <property fmtid="{D5CDD505-2E9C-101B-9397-08002B2CF9AE}" pid="5" name="ContentWebmasterEmail">
    <vt:lpwstr>connected@ed.gov</vt:lpwstr>
  </property>
  <property fmtid="{D5CDD505-2E9C-101B-9397-08002B2CF9AE}" pid="6" name="Due Date Reminder WF to Package Owner">
    <vt:lpwstr>https://usdedeop.sharepoint.com/sites/OESE_Clearance/_layouts/15/wrkstat.aspx?List=92a2682b-46d4-476c-a9b5-c78488c2efd4&amp;WorkflowInstanceName=8353a27f-ed07-4bc0-a014-099e460d6ba6, Stage 1</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Latest Review WF">
    <vt:lpwstr>https://usdedeop.sharepoint.com/sites/OESE_Clearance/_layouts/15/wrkstat.aspx?List=92a2682b-46d4-476c-a9b5-c78488c2efd4&amp;WorkflowInstanceName=78c6c236-91c8-4cb6-a83b-d3986994c337, Stage 2</vt:lpwstr>
  </property>
  <property fmtid="{D5CDD505-2E9C-101B-9397-08002B2CF9AE}" pid="12" name="Latest_Approval WF">
    <vt:lpwstr>https://usdedeop.sharepoint.com/sites/OESE_Clearance/_layouts/15/wrkstat.aspx?List=92a2682b-46d4-476c-a9b5-c78488c2efd4&amp;WorkflowInstanceName=5bfa7bca-cd51-4934-bda2-2d5cfe28c01d, Stage 2</vt:lpwstr>
  </property>
  <property fmtid="{D5CDD505-2E9C-101B-9397-08002B2CF9AE}" pid="13" name="Latest_Update Clearance Packages">
    <vt:lpwstr>https://usdedeop.sharepoint.com/sites/OESE_Clearance/_layouts/15/wrkstat.aspx?List=92a2682b-46d4-476c-a9b5-c78488c2efd4&amp;WorkflowInstanceName=b28c0a54-32a9-491f-8b27-d9061ca387d6, Stage 2</vt:lpwstr>
  </property>
  <property fmtid="{D5CDD505-2E9C-101B-9397-08002B2CF9AE}" pid="14" name="Navigation Category">
    <vt:lpwstr>2895;#Information Collection|be93d448-b265-4cb3-93a5-4708954c2750</vt:lpwstr>
  </property>
  <property fmtid="{D5CDD505-2E9C-101B-9397-08002B2CF9AE}" pid="15" name="Secondary Navigation Category">
    <vt:lpwstr/>
  </property>
  <property fmtid="{D5CDD505-2E9C-101B-9397-08002B2CF9AE}" pid="16" name="Update Calendar List">
    <vt:lpwstr>https://usdedeop.sharepoint.com/sites/OESE_Clearance/_layouts/15/wrkstat.aspx?List=92a2682b-46d4-476c-a9b5-c78488c2efd4&amp;WorkflowInstanceName=c2fc69d9-7af8-40f0-a3cb-c1e64671241e, Stage 1</vt:lpwstr>
  </property>
  <property fmtid="{D5CDD505-2E9C-101B-9397-08002B2CF9AE}" pid="17" name="WorkflowChangePath">
    <vt:lpwstr>8f38e374-a608-41a9-a760-7cfdddace18b,32;8f38e374-a608-41a9-a760-7cfdddace18b,32;</vt:lpwstr>
  </property>
  <property fmtid="{D5CDD505-2E9C-101B-9397-08002B2CF9AE}" pid="18" name="_dlc_DocIdItemGuid">
    <vt:lpwstr>858e703f-d7d4-4144-ab70-d890d3d0c8b1</vt:lpwstr>
  </property>
  <property fmtid="{D5CDD505-2E9C-101B-9397-08002B2CF9AE}" pid="19" name="_dlc_LastRun">
    <vt:lpwstr>03/23/2021 01:12:33</vt:lpwstr>
  </property>
  <property fmtid="{D5CDD505-2E9C-101B-9397-08002B2CF9AE}" pid="20" name="_dlc_policyId">
    <vt:lpwstr>0x0101001C22A2B9DBEDBB4DB130C1FAF5F2F008|-874002092</vt:lpwstr>
  </property>
</Properties>
</file>