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noProof/>
        </w:rPr>
        <w:id w:val="37707067"/>
        <w:docPartObj>
          <w:docPartGallery w:val="Cover Pages"/>
        </w:docPartObj>
      </w:sdtPr>
      <w:sdtEndPr>
        <w:rPr>
          <w:noProof w:val="0"/>
        </w:rPr>
      </w:sdtEndPr>
      <w:sdtContent>
        <w:p w:rsidR="00041909" w:rsidP="00FE2197" w14:paraId="427FB855" w14:textId="77777777">
          <w:r>
            <w:rPr>
              <w:noProof/>
            </w:rPr>
            <mc:AlternateContent>
              <mc:Choice Requires="wps">
                <w:drawing>
                  <wp:anchor distT="0" distB="0" distL="114300" distR="114300" simplePos="0" relativeHeight="251658240" behindDoc="1" locked="0" layoutInCell="1" allowOverlap="1">
                    <wp:simplePos x="0" y="0"/>
                    <wp:positionH relativeFrom="column">
                      <wp:posOffset>-450850</wp:posOffset>
                    </wp:positionH>
                    <wp:positionV relativeFrom="paragraph">
                      <wp:posOffset>0</wp:posOffset>
                    </wp:positionV>
                    <wp:extent cx="6858000" cy="45720"/>
                    <wp:effectExtent l="0" t="0" r="3175" b="1905"/>
                    <wp:wrapThrough wrapText="bothSides">
                      <wp:wrapPolygon>
                        <wp:start x="-36" y="0"/>
                        <wp:lineTo x="-36" y="18600"/>
                        <wp:lineTo x="21600" y="18600"/>
                        <wp:lineTo x="21600" y="0"/>
                        <wp:lineTo x="-36" y="0"/>
                      </wp:wrapPolygon>
                    </wp:wrapThrough>
                    <wp:docPr id="9"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45720"/>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25" style="width:540pt;height:3.6pt;margin-top:0;margin-left:-35.5pt;mso-height-percent:0;mso-height-relative:page;mso-width-percent:0;mso-width-relative:page;mso-wrap-distance-bottom:0;mso-wrap-distance-left:9pt;mso-wrap-distance-right:9pt;mso-wrap-distance-top:0;mso-wrap-style:square;position:absolute;visibility:visible;v-text-anchor:top;z-index:-251657216" fillcolor="#0c95d3" stroked="f" strokecolor="#f2f2f2" strokeweight="3pt">
                    <v:shadow color="#50191f" opacity="0.5" offset="1pt"/>
                    <w10:wrap type="through"/>
                  </v:rect>
                </w:pict>
              </mc:Fallback>
            </mc:AlternateContent>
          </w:r>
          <w:r w:rsidR="001F3A8F">
            <w:rPr>
              <w:noProof/>
            </w:rPr>
            <w:softHyphen/>
          </w:r>
          <w:r w:rsidR="001F3A8F">
            <w:rPr>
              <w:noProof/>
            </w:rPr>
            <w:softHyphen/>
          </w:r>
        </w:p>
      </w:sdtContent>
    </w:sdt>
    <w:p w:rsidR="00D928FD" w:rsidP="00D928FD" w14:paraId="38CF6102" w14:textId="77777777"/>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Content>
        <w:p w:rsidR="00711414" w:rsidP="00711414" w14:paraId="06C95230" w14:textId="1579337E">
          <w:pPr>
            <w:spacing w:line="240" w:lineRule="auto"/>
            <w:ind w:left="90"/>
            <w:rPr>
              <w:rFonts w:ascii="Times New Roman" w:hAnsi="Times New Roman" w:cs="Times New Roman"/>
              <w:color w:val="139CD8"/>
              <w:sz w:val="56"/>
              <w:szCs w:val="52"/>
            </w:rPr>
          </w:pPr>
          <w:r w:rsidRPr="00FE0306">
            <w:rPr>
              <w:rFonts w:ascii="Times New Roman" w:hAnsi="Times New Roman" w:cs="Times New Roman"/>
              <w:color w:val="139CD8"/>
              <w:sz w:val="56"/>
              <w:szCs w:val="52"/>
            </w:rPr>
            <w:t>Supporting Statement for Energy Efficiency and Conservation Block Grant Information Collection Request</w:t>
          </w:r>
        </w:p>
      </w:sdtContent>
    </w:sdt>
    <w:p w:rsidR="0059212D" w:rsidRPr="00EE2CAF" w:rsidP="00EE2CAF" w14:paraId="7462A159" w14:textId="77777777">
      <w:pPr>
        <w:pStyle w:val="Heading1"/>
      </w:pPr>
      <w:bookmarkStart w:id="0" w:name="_Toc16271317"/>
      <w:r w:rsidRPr="00EE2CAF">
        <w:t>Part A: Justification</w:t>
      </w:r>
      <w:bookmarkEnd w:id="0"/>
    </w:p>
    <w:p w:rsidR="00711414" w:rsidRPr="00711414" w:rsidP="00D928FD" w14:paraId="06D4D017" w14:textId="06E5A648">
      <w:pPr>
        <w:rPr>
          <w:b/>
          <w:sz w:val="36"/>
          <w:szCs w:val="36"/>
        </w:rPr>
      </w:pPr>
      <w:r>
        <w:rPr>
          <w:noProof/>
        </w:rPr>
        <mc:AlternateContent>
          <mc:Choice Requires="wps">
            <w:drawing>
              <wp:anchor distT="0" distB="0" distL="114300" distR="114300" simplePos="0" relativeHeight="251668480" behindDoc="0" locked="0" layoutInCell="1" allowOverlap="1">
                <wp:simplePos x="0" y="0"/>
                <wp:positionH relativeFrom="margin">
                  <wp:align>left</wp:align>
                </wp:positionH>
                <wp:positionV relativeFrom="margin">
                  <wp:posOffset>2943225</wp:posOffset>
                </wp:positionV>
                <wp:extent cx="6019800" cy="3390900"/>
                <wp:effectExtent l="0" t="0" r="0" b="0"/>
                <wp:wrapSquare wrapText="bothSides"/>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9800" cy="33909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59212D" w:rsidP="00FB6BF3" w14:textId="4C704A84">
                            <w:pPr>
                              <w:rPr>
                                <w:i/>
                                <w:sz w:val="28"/>
                                <w:szCs w:val="28"/>
                              </w:rPr>
                            </w:pPr>
                            <w:r>
                              <w:rPr>
                                <w:i/>
                                <w:sz w:val="28"/>
                                <w:szCs w:val="28"/>
                              </w:rPr>
                              <w:t>Collection Instruments for each recipient are one Annual Report for each financing program</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width:474pt;height:267pt;margin-top:231.75pt;margin-left:0;mso-height-percent:0;mso-height-relative:margin;mso-position-horizontal:left;mso-position-horizontal-relative:margin;mso-position-vertical-relative:margin;mso-width-percent:0;mso-width-relative:margin;mso-wrap-distance-bottom:0;mso-wrap-distance-left:9pt;mso-wrap-distance-right:9pt;mso-wrap-distance-top:0;mso-wrap-style:square;position:absolute;visibility:visible;v-text-anchor:top;z-index:251669504" filled="f" stroked="f">
                <v:textbox inset="0">
                  <w:txbxContent>
                    <w:p w:rsidR="008F16EC" w:rsidRPr="0059212D" w:rsidP="00FB6BF3" w14:paraId="2C258F15" w14:textId="4C704A84">
                      <w:pPr>
                        <w:rPr>
                          <w:i/>
                          <w:sz w:val="28"/>
                          <w:szCs w:val="28"/>
                        </w:rPr>
                      </w:pPr>
                      <w:r>
                        <w:rPr>
                          <w:i/>
                          <w:sz w:val="28"/>
                          <w:szCs w:val="28"/>
                        </w:rPr>
                        <w:t>Collection Instruments for each recipient are one Annual Report for each financing program</w:t>
                      </w:r>
                    </w:p>
                  </w:txbxContent>
                </v:textbox>
                <w10:wrap type="square"/>
              </v:shape>
            </w:pict>
          </mc:Fallback>
        </mc:AlternateContent>
      </w:r>
      <w:r w:rsidRPr="00711414" w:rsidR="00711414">
        <w:rPr>
          <w:rFonts w:ascii="Times New Roman" w:hAnsi="Times New Roman" w:cs="Times New Roman"/>
          <w:b/>
          <w:sz w:val="36"/>
          <w:szCs w:val="36"/>
        </w:rPr>
        <w:t>OMB No. 19</w:t>
      </w:r>
      <w:r w:rsidR="00FE2197">
        <w:rPr>
          <w:rFonts w:ascii="Times New Roman" w:hAnsi="Times New Roman" w:cs="Times New Roman"/>
          <w:b/>
          <w:sz w:val="36"/>
          <w:szCs w:val="36"/>
        </w:rPr>
        <w:t>10</w:t>
      </w:r>
      <w:r w:rsidRPr="00711414" w:rsidR="00711414">
        <w:rPr>
          <w:rFonts w:ascii="Times New Roman" w:hAnsi="Times New Roman" w:cs="Times New Roman"/>
          <w:b/>
          <w:sz w:val="36"/>
          <w:szCs w:val="36"/>
        </w:rPr>
        <w:t>-</w:t>
      </w:r>
      <w:r w:rsidR="00FE0306">
        <w:rPr>
          <w:rFonts w:ascii="Times New Roman" w:hAnsi="Times New Roman" w:cs="Times New Roman"/>
          <w:b/>
          <w:sz w:val="36"/>
          <w:szCs w:val="36"/>
        </w:rPr>
        <w:t>5150</w:t>
      </w:r>
    </w:p>
    <w:p w:rsidR="001F3A8F" w:rsidRPr="00711414" w:rsidP="056069AD" w14:paraId="2D3FC677" w14:textId="77777777">
      <w:pPr>
        <w:rPr>
          <w:i/>
          <w:iCs/>
          <w:sz w:val="28"/>
          <w:szCs w:val="28"/>
        </w:rPr>
      </w:pPr>
      <w:r>
        <w:rPr>
          <w:noProof/>
        </w:rPr>
        <mc:AlternateContent>
          <mc:Choice Requires="wps">
            <w:drawing>
              <wp:anchor distT="0" distB="0" distL="114300" distR="114300" simplePos="0" relativeHeight="251660288" behindDoc="0" locked="0" layoutInCell="1" allowOverlap="1">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97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9818F9" w14:textId="1A7A7470">
                            <w:pPr>
                              <w:rPr>
                                <w:color w:val="A6A6A6" w:themeColor="background1" w:themeShade="A6"/>
                                <w:sz w:val="36"/>
                              </w:rPr>
                            </w:pPr>
                            <w:r>
                              <w:rPr>
                                <w:color w:val="A6A6A6" w:themeColor="background1" w:themeShade="A6"/>
                                <w:sz w:val="36"/>
                              </w:rPr>
                              <w:t xml:space="preserve">August </w:t>
                            </w:r>
                            <w:r w:rsidR="00FE0306">
                              <w:rPr>
                                <w:color w:val="A6A6A6" w:themeColor="background1" w:themeShade="A6"/>
                                <w:sz w:val="36"/>
                              </w:rPr>
                              <w:t xml:space="preserve"> 2025</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7" type="#_x0000_t202" style="width:187.2pt;height:39.15pt;margin-top:510pt;margin-left: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1312" filled="f" stroked="f">
                <v:textbox style="mso-fit-shape-to-text:t" inset="0">
                  <w:txbxContent>
                    <w:p w:rsidR="008F16EC" w:rsidRPr="009818F9" w14:paraId="6323CAEC" w14:textId="1A7A7470">
                      <w:pPr>
                        <w:rPr>
                          <w:color w:val="A6A6A6" w:themeColor="background1" w:themeShade="A6"/>
                          <w:sz w:val="36"/>
                        </w:rPr>
                      </w:pPr>
                      <w:r>
                        <w:rPr>
                          <w:color w:val="A6A6A6" w:themeColor="background1" w:themeShade="A6"/>
                          <w:sz w:val="36"/>
                        </w:rPr>
                        <w:t xml:space="preserve">August </w:t>
                      </w:r>
                      <w:r w:rsidR="00FE0306">
                        <w:rPr>
                          <w:color w:val="A6A6A6" w:themeColor="background1" w:themeShade="A6"/>
                          <w:sz w:val="36"/>
                        </w:rPr>
                        <w:t xml:space="preserve"> 2025</w:t>
                      </w:r>
                    </w:p>
                  </w:txbxContent>
                </v:textbox>
                <w10:wrap type="square"/>
              </v:shape>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column">
                  <wp:posOffset>-450850</wp:posOffset>
                </wp:positionH>
                <wp:positionV relativeFrom="paragraph">
                  <wp:posOffset>4843780</wp:posOffset>
                </wp:positionV>
                <wp:extent cx="6858000" cy="62865"/>
                <wp:effectExtent l="0" t="0" r="3175" b="0"/>
                <wp:wrapThrough wrapText="bothSides">
                  <wp:wrapPolygon>
                    <wp:start x="-36" y="0"/>
                    <wp:lineTo x="-36" y="18545"/>
                    <wp:lineTo x="21600" y="18545"/>
                    <wp:lineTo x="21600" y="0"/>
                    <wp:lineTo x="-36" y="0"/>
                  </wp:wrapPolygon>
                </wp:wrapThrough>
                <wp:docPr id="3" name="Rectangl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62865"/>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 o:spid="_x0000_s1028" style="width:540pt;height:4.95pt;margin-top:381.4pt;margin-left:-35.5pt;mso-height-percent:0;mso-height-relative:page;mso-width-percent:0;mso-width-relative:page;mso-wrap-distance-bottom:0;mso-wrap-distance-left:9pt;mso-wrap-distance-right:9pt;mso-wrap-distance-top:0;mso-wrap-style:square;position:absolute;visibility:visible;v-text-anchor:top;z-index:-251653120" fillcolor="#0c95d3" stroked="f" strokecolor="#f2f2f2" strokeweight="3pt">
                <v:shadow color="#50191f" opacity="0.5" offset="1pt"/>
                <w10:wrap type="through"/>
              </v:rect>
            </w:pict>
          </mc:Fallback>
        </mc:AlternateContent>
      </w:r>
      <w:r w:rsidR="00FB6BF3">
        <w:rPr>
          <w:noProof/>
        </w:rPr>
        <w:t xml:space="preserve"> </w:t>
      </w:r>
      <w:r w:rsidR="00711414">
        <w:rPr>
          <w:noProof/>
          <w:color w:val="A6A6A6" w:themeColor="background1" w:themeShade="A6"/>
        </w:rPr>
        <mc:AlternateContent>
          <mc:Choice Requires="wps">
            <w:drawing>
              <wp:anchor distT="0" distB="0" distL="114300" distR="114300" simplePos="0" relativeHeight="251664384" behindDoc="0" locked="0" layoutInCell="1" allowOverlap="1">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P="00FE2197" w14:textId="77777777">
                            <w:pPr>
                              <w:spacing w:before="40" w:after="0"/>
                            </w:pP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Text Box 35" o:spid="_x0000_s1029" type="#_x0000_t202" style="width:214pt;height:48pt;margin-top:628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5408" filled="f" stroked="f">
                <v:textbox inset="0,,0">
                  <w:txbxContent>
                    <w:p w:rsidR="008F16EC" w:rsidP="00FE2197" w14:paraId="687AD451" w14:textId="77777777">
                      <w:pPr>
                        <w:spacing w:before="40" w:after="0"/>
                      </w:pPr>
                    </w:p>
                  </w:txbxContent>
                </v:textbox>
                <w10:wrap type="square"/>
              </v:shape>
            </w:pict>
          </mc:Fallback>
        </mc:AlternateContent>
      </w:r>
      <w:r w:rsidR="00711414">
        <w:rPr>
          <w:noProof/>
          <w:color w:val="A6A6A6" w:themeColor="background1" w:themeShade="A6"/>
        </w:rPr>
        <mc:AlternateContent>
          <mc:Choice Requires="wps">
            <w:drawing>
              <wp:anchor distT="0" distB="0" distL="114300" distR="114300" simplePos="0" relativeHeight="251666432" behindDoc="0" locked="0" layoutInCell="1" allowOverlap="1">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8F4CBD" w:rsidP="002556F3"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16EC" w:rsidRPr="008F4CBD" w:rsidP="002556F3"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30" type="#_x0000_t202" style="width:214pt;height:48pt;margin-top:628pt;margin-left:25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7456" filled="f" stroked="f">
                <v:textbox inset="0">
                  <w:txbxContent>
                    <w:p w:rsidR="008F16EC" w:rsidRPr="008F4CBD" w:rsidP="002556F3" w14:paraId="100E6CF1"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16EC" w:rsidRPr="008F4CBD" w:rsidP="002556F3" w14:paraId="147610A0"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v:shape>
            </w:pict>
          </mc:Fallback>
        </mc:AlternateContent>
      </w:r>
      <w:r w:rsidR="001F3A8F">
        <w:br w:type="page"/>
      </w:r>
    </w:p>
    <w:p w:rsidR="00755C3D" w:rsidP="00D928FD" w14:paraId="02ADA158" w14:textId="77777777">
      <w:pPr>
        <w:sectPr w:rsidSect="001F3A8F">
          <w:headerReference w:type="default" r:id="rId9"/>
          <w:footerReference w:type="default" r:id="rId10"/>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EastAsia" w:hAnsiTheme="minorHAnsi" w:cstheme="minorBidi"/>
          <w:b w:val="0"/>
          <w:bCs w:val="0"/>
          <w:color w:val="auto"/>
          <w:sz w:val="22"/>
          <w:szCs w:val="22"/>
        </w:rPr>
        <w:id w:val="819469860"/>
        <w:docPartObj>
          <w:docPartGallery w:val="Table of Contents"/>
          <w:docPartUnique/>
        </w:docPartObj>
      </w:sdtPr>
      <w:sdtEndPr>
        <w:rPr>
          <w:noProof/>
        </w:rPr>
      </w:sdtEndPr>
      <w:sdtContent>
        <w:p w:rsidR="0059212D" w:rsidP="00F145A2" w14:paraId="5A1365D7" w14:textId="77777777">
          <w:pPr>
            <w:pStyle w:val="TOCHeading"/>
          </w:pPr>
          <w:r>
            <w:t>Table of Contents</w:t>
          </w:r>
        </w:p>
        <w:p w:rsidR="00537A91" w14:paraId="3536BDC7" w14:textId="779A9841">
          <w:pPr>
            <w:pStyle w:val="TOC1"/>
            <w:rPr>
              <w:rFonts w:eastAsiaTheme="minorEastAsia"/>
              <w:noProof/>
              <w:color w:val="auto"/>
            </w:rPr>
          </w:pPr>
          <w:r>
            <w:fldChar w:fldCharType="begin"/>
          </w:r>
          <w:r>
            <w:instrText xml:space="preserve"> TOC \o "1-3" \h \z \u </w:instrText>
          </w:r>
          <w:r>
            <w:fldChar w:fldCharType="separate"/>
          </w:r>
          <w:hyperlink w:anchor="_Toc16271317" w:history="1">
            <w:r w:rsidRPr="00D50FB3">
              <w:rPr>
                <w:rStyle w:val="Hyperlink"/>
                <w:noProof/>
              </w:rPr>
              <w:t>Part A: Justification</w:t>
            </w:r>
            <w:r>
              <w:rPr>
                <w:noProof/>
                <w:webHidden/>
              </w:rPr>
              <w:tab/>
            </w:r>
            <w:r>
              <w:rPr>
                <w:noProof/>
                <w:webHidden/>
              </w:rPr>
              <w:fldChar w:fldCharType="begin"/>
            </w:r>
            <w:r>
              <w:rPr>
                <w:noProof/>
                <w:webHidden/>
              </w:rPr>
              <w:instrText xml:space="preserve"> PAGEREF _Toc16271317 \h </w:instrText>
            </w:r>
            <w:r>
              <w:rPr>
                <w:noProof/>
                <w:webHidden/>
              </w:rPr>
              <w:fldChar w:fldCharType="separate"/>
            </w:r>
            <w:r w:rsidR="00750C95">
              <w:rPr>
                <w:noProof/>
                <w:webHidden/>
              </w:rPr>
              <w:t>i</w:t>
            </w:r>
            <w:r>
              <w:rPr>
                <w:noProof/>
                <w:webHidden/>
              </w:rPr>
              <w:fldChar w:fldCharType="end"/>
            </w:r>
          </w:hyperlink>
        </w:p>
        <w:p w:rsidR="00537A91" w14:paraId="101B4F84" w14:textId="3A5C2248">
          <w:pPr>
            <w:pStyle w:val="TOC2"/>
            <w:rPr>
              <w:rFonts w:eastAsiaTheme="minorEastAsia"/>
              <w:noProof/>
              <w:color w:val="auto"/>
            </w:rPr>
          </w:pPr>
          <w:hyperlink w:anchor="_Toc16271318" w:history="1">
            <w:r w:rsidRPr="00D50FB3">
              <w:rPr>
                <w:rStyle w:val="Hyperlink"/>
                <w:noProof/>
              </w:rPr>
              <w:t>Introduction</w:t>
            </w:r>
            <w:r>
              <w:rPr>
                <w:noProof/>
                <w:webHidden/>
              </w:rPr>
              <w:tab/>
            </w:r>
            <w:r>
              <w:rPr>
                <w:noProof/>
                <w:webHidden/>
              </w:rPr>
              <w:fldChar w:fldCharType="begin"/>
            </w:r>
            <w:r>
              <w:rPr>
                <w:noProof/>
                <w:webHidden/>
              </w:rPr>
              <w:instrText xml:space="preserve"> PAGEREF _Toc16271318 \h </w:instrText>
            </w:r>
            <w:r>
              <w:rPr>
                <w:noProof/>
                <w:webHidden/>
              </w:rPr>
              <w:fldChar w:fldCharType="separate"/>
            </w:r>
            <w:r w:rsidR="00750C95">
              <w:rPr>
                <w:noProof/>
                <w:webHidden/>
              </w:rPr>
              <w:t>2</w:t>
            </w:r>
            <w:r>
              <w:rPr>
                <w:noProof/>
                <w:webHidden/>
              </w:rPr>
              <w:fldChar w:fldCharType="end"/>
            </w:r>
          </w:hyperlink>
        </w:p>
        <w:p w:rsidR="00537A91" w14:paraId="02C634BA" w14:textId="37A42DE6">
          <w:pPr>
            <w:pStyle w:val="TOC2"/>
            <w:rPr>
              <w:rFonts w:eastAsiaTheme="minorEastAsia"/>
              <w:noProof/>
              <w:color w:val="auto"/>
            </w:rPr>
          </w:pPr>
          <w:hyperlink w:anchor="_Toc16271319" w:history="1">
            <w:r w:rsidRPr="00D50FB3">
              <w:rPr>
                <w:rStyle w:val="Hyperlink"/>
                <w:noProof/>
              </w:rPr>
              <w:t>A.1. Legal Justification</w:t>
            </w:r>
            <w:r>
              <w:rPr>
                <w:noProof/>
                <w:webHidden/>
              </w:rPr>
              <w:tab/>
            </w:r>
            <w:r>
              <w:rPr>
                <w:noProof/>
                <w:webHidden/>
              </w:rPr>
              <w:fldChar w:fldCharType="begin"/>
            </w:r>
            <w:r>
              <w:rPr>
                <w:noProof/>
                <w:webHidden/>
              </w:rPr>
              <w:instrText xml:space="preserve"> PAGEREF _Toc16271319 \h </w:instrText>
            </w:r>
            <w:r>
              <w:rPr>
                <w:noProof/>
                <w:webHidden/>
              </w:rPr>
              <w:fldChar w:fldCharType="separate"/>
            </w:r>
            <w:r w:rsidR="00750C95">
              <w:rPr>
                <w:noProof/>
                <w:webHidden/>
              </w:rPr>
              <w:t>2</w:t>
            </w:r>
            <w:r>
              <w:rPr>
                <w:noProof/>
                <w:webHidden/>
              </w:rPr>
              <w:fldChar w:fldCharType="end"/>
            </w:r>
          </w:hyperlink>
        </w:p>
        <w:p w:rsidR="00537A91" w14:paraId="08E178C6" w14:textId="187606F1">
          <w:pPr>
            <w:pStyle w:val="TOC2"/>
            <w:rPr>
              <w:rFonts w:eastAsiaTheme="minorEastAsia"/>
              <w:noProof/>
              <w:color w:val="auto"/>
            </w:rPr>
          </w:pPr>
          <w:hyperlink w:anchor="_Toc16271320" w:history="1">
            <w:r w:rsidRPr="00D50FB3">
              <w:rPr>
                <w:rStyle w:val="Hyperlink"/>
                <w:noProof/>
              </w:rPr>
              <w:t>A.2. Needs and Uses of Data</w:t>
            </w:r>
            <w:r>
              <w:rPr>
                <w:noProof/>
                <w:webHidden/>
              </w:rPr>
              <w:tab/>
            </w:r>
            <w:r>
              <w:rPr>
                <w:noProof/>
                <w:webHidden/>
              </w:rPr>
              <w:fldChar w:fldCharType="begin"/>
            </w:r>
            <w:r>
              <w:rPr>
                <w:noProof/>
                <w:webHidden/>
              </w:rPr>
              <w:instrText xml:space="preserve"> PAGEREF _Toc16271320 \h </w:instrText>
            </w:r>
            <w:r>
              <w:rPr>
                <w:noProof/>
                <w:webHidden/>
              </w:rPr>
              <w:fldChar w:fldCharType="separate"/>
            </w:r>
            <w:r w:rsidR="00750C95">
              <w:rPr>
                <w:noProof/>
                <w:webHidden/>
              </w:rPr>
              <w:t>2</w:t>
            </w:r>
            <w:r>
              <w:rPr>
                <w:noProof/>
                <w:webHidden/>
              </w:rPr>
              <w:fldChar w:fldCharType="end"/>
            </w:r>
          </w:hyperlink>
        </w:p>
        <w:p w:rsidR="00537A91" w14:paraId="4CE2F60F" w14:textId="03A1E684">
          <w:pPr>
            <w:pStyle w:val="TOC2"/>
            <w:rPr>
              <w:rFonts w:eastAsiaTheme="minorEastAsia"/>
              <w:noProof/>
              <w:color w:val="auto"/>
            </w:rPr>
          </w:pPr>
          <w:hyperlink w:anchor="_Toc16271321" w:history="1">
            <w:r w:rsidRPr="00D50FB3">
              <w:rPr>
                <w:rStyle w:val="Hyperlink"/>
                <w:noProof/>
              </w:rPr>
              <w:t>A.3. Use of Technology</w:t>
            </w:r>
            <w:r>
              <w:rPr>
                <w:noProof/>
                <w:webHidden/>
              </w:rPr>
              <w:tab/>
            </w:r>
            <w:r>
              <w:rPr>
                <w:noProof/>
                <w:webHidden/>
              </w:rPr>
              <w:fldChar w:fldCharType="begin"/>
            </w:r>
            <w:r>
              <w:rPr>
                <w:noProof/>
                <w:webHidden/>
              </w:rPr>
              <w:instrText xml:space="preserve"> PAGEREF _Toc16271321 \h </w:instrText>
            </w:r>
            <w:r>
              <w:rPr>
                <w:noProof/>
                <w:webHidden/>
              </w:rPr>
              <w:fldChar w:fldCharType="separate"/>
            </w:r>
            <w:r w:rsidR="00750C95">
              <w:rPr>
                <w:noProof/>
                <w:webHidden/>
              </w:rPr>
              <w:t>3</w:t>
            </w:r>
            <w:r>
              <w:rPr>
                <w:noProof/>
                <w:webHidden/>
              </w:rPr>
              <w:fldChar w:fldCharType="end"/>
            </w:r>
          </w:hyperlink>
        </w:p>
        <w:p w:rsidR="00537A91" w14:paraId="3A067BC6" w14:textId="18521250">
          <w:pPr>
            <w:pStyle w:val="TOC2"/>
            <w:rPr>
              <w:rFonts w:eastAsiaTheme="minorEastAsia"/>
              <w:noProof/>
              <w:color w:val="auto"/>
            </w:rPr>
          </w:pPr>
          <w:hyperlink w:anchor="_Toc16271322" w:history="1">
            <w:r w:rsidRPr="00D50FB3">
              <w:rPr>
                <w:rStyle w:val="Hyperlink"/>
                <w:noProof/>
              </w:rPr>
              <w:t>A.4. Efforts to Identify Duplication</w:t>
            </w:r>
            <w:r>
              <w:rPr>
                <w:noProof/>
                <w:webHidden/>
              </w:rPr>
              <w:tab/>
            </w:r>
            <w:r>
              <w:rPr>
                <w:noProof/>
                <w:webHidden/>
              </w:rPr>
              <w:fldChar w:fldCharType="begin"/>
            </w:r>
            <w:r>
              <w:rPr>
                <w:noProof/>
                <w:webHidden/>
              </w:rPr>
              <w:instrText xml:space="preserve"> PAGEREF _Toc16271322 \h </w:instrText>
            </w:r>
            <w:r>
              <w:rPr>
                <w:noProof/>
                <w:webHidden/>
              </w:rPr>
              <w:fldChar w:fldCharType="separate"/>
            </w:r>
            <w:r w:rsidR="00750C95">
              <w:rPr>
                <w:noProof/>
                <w:webHidden/>
              </w:rPr>
              <w:t>3</w:t>
            </w:r>
            <w:r>
              <w:rPr>
                <w:noProof/>
                <w:webHidden/>
              </w:rPr>
              <w:fldChar w:fldCharType="end"/>
            </w:r>
          </w:hyperlink>
        </w:p>
        <w:p w:rsidR="00537A91" w14:paraId="25C73FC9" w14:textId="34FB18B6">
          <w:pPr>
            <w:pStyle w:val="TOC2"/>
            <w:rPr>
              <w:rFonts w:eastAsiaTheme="minorEastAsia"/>
              <w:noProof/>
              <w:color w:val="auto"/>
            </w:rPr>
          </w:pPr>
          <w:hyperlink w:anchor="_Toc16271323" w:history="1">
            <w:r w:rsidRPr="00D50FB3">
              <w:rPr>
                <w:rStyle w:val="Hyperlink"/>
                <w:noProof/>
              </w:rPr>
              <w:t>A.5. Provisions for Reducing Burden on Small Businesses</w:t>
            </w:r>
            <w:r>
              <w:rPr>
                <w:noProof/>
                <w:webHidden/>
              </w:rPr>
              <w:tab/>
            </w:r>
            <w:r>
              <w:rPr>
                <w:noProof/>
                <w:webHidden/>
              </w:rPr>
              <w:fldChar w:fldCharType="begin"/>
            </w:r>
            <w:r>
              <w:rPr>
                <w:noProof/>
                <w:webHidden/>
              </w:rPr>
              <w:instrText xml:space="preserve"> PAGEREF _Toc16271323 \h </w:instrText>
            </w:r>
            <w:r>
              <w:rPr>
                <w:noProof/>
                <w:webHidden/>
              </w:rPr>
              <w:fldChar w:fldCharType="separate"/>
            </w:r>
            <w:r w:rsidR="00750C95">
              <w:rPr>
                <w:noProof/>
                <w:webHidden/>
              </w:rPr>
              <w:t>3</w:t>
            </w:r>
            <w:r>
              <w:rPr>
                <w:noProof/>
                <w:webHidden/>
              </w:rPr>
              <w:fldChar w:fldCharType="end"/>
            </w:r>
          </w:hyperlink>
        </w:p>
        <w:p w:rsidR="00537A91" w14:paraId="67E6C83A" w14:textId="3401C05E">
          <w:pPr>
            <w:pStyle w:val="TOC2"/>
            <w:rPr>
              <w:rFonts w:eastAsiaTheme="minorEastAsia"/>
              <w:noProof/>
              <w:color w:val="auto"/>
            </w:rPr>
          </w:pPr>
          <w:hyperlink w:anchor="_Toc16271324" w:history="1">
            <w:r w:rsidRPr="00D50FB3">
              <w:rPr>
                <w:rStyle w:val="Hyperlink"/>
                <w:noProof/>
              </w:rPr>
              <w:t>A.6. Consequences of Less-Frequent Reporting</w:t>
            </w:r>
            <w:r>
              <w:rPr>
                <w:noProof/>
                <w:webHidden/>
              </w:rPr>
              <w:tab/>
            </w:r>
            <w:r>
              <w:rPr>
                <w:noProof/>
                <w:webHidden/>
              </w:rPr>
              <w:fldChar w:fldCharType="begin"/>
            </w:r>
            <w:r>
              <w:rPr>
                <w:noProof/>
                <w:webHidden/>
              </w:rPr>
              <w:instrText xml:space="preserve"> PAGEREF _Toc16271324 \h </w:instrText>
            </w:r>
            <w:r>
              <w:rPr>
                <w:noProof/>
                <w:webHidden/>
              </w:rPr>
              <w:fldChar w:fldCharType="separate"/>
            </w:r>
            <w:r w:rsidR="00750C95">
              <w:rPr>
                <w:noProof/>
                <w:webHidden/>
              </w:rPr>
              <w:t>4</w:t>
            </w:r>
            <w:r>
              <w:rPr>
                <w:noProof/>
                <w:webHidden/>
              </w:rPr>
              <w:fldChar w:fldCharType="end"/>
            </w:r>
          </w:hyperlink>
        </w:p>
        <w:p w:rsidR="00537A91" w14:paraId="1B9C3A7B" w14:textId="74E0C14C">
          <w:pPr>
            <w:pStyle w:val="TOC2"/>
            <w:rPr>
              <w:rFonts w:eastAsiaTheme="minorEastAsia"/>
              <w:noProof/>
              <w:color w:val="auto"/>
            </w:rPr>
          </w:pPr>
          <w:hyperlink w:anchor="_Toc16271325" w:history="1">
            <w:r w:rsidRPr="00D50FB3">
              <w:rPr>
                <w:rStyle w:val="Hyperlink"/>
                <w:noProof/>
              </w:rPr>
              <w:t>A.7. Compliance with 5 CFR 1320.5</w:t>
            </w:r>
            <w:r>
              <w:rPr>
                <w:noProof/>
                <w:webHidden/>
              </w:rPr>
              <w:tab/>
            </w:r>
            <w:r>
              <w:rPr>
                <w:noProof/>
                <w:webHidden/>
              </w:rPr>
              <w:fldChar w:fldCharType="begin"/>
            </w:r>
            <w:r>
              <w:rPr>
                <w:noProof/>
                <w:webHidden/>
              </w:rPr>
              <w:instrText xml:space="preserve"> PAGEREF _Toc16271325 \h </w:instrText>
            </w:r>
            <w:r>
              <w:rPr>
                <w:noProof/>
                <w:webHidden/>
              </w:rPr>
              <w:fldChar w:fldCharType="separate"/>
            </w:r>
            <w:r w:rsidR="00750C95">
              <w:rPr>
                <w:noProof/>
                <w:webHidden/>
              </w:rPr>
              <w:t>4</w:t>
            </w:r>
            <w:r>
              <w:rPr>
                <w:noProof/>
                <w:webHidden/>
              </w:rPr>
              <w:fldChar w:fldCharType="end"/>
            </w:r>
          </w:hyperlink>
        </w:p>
        <w:p w:rsidR="00537A91" w14:paraId="537C3941" w14:textId="1DE91784">
          <w:pPr>
            <w:pStyle w:val="TOC2"/>
            <w:rPr>
              <w:rFonts w:eastAsiaTheme="minorEastAsia"/>
              <w:noProof/>
              <w:color w:val="auto"/>
            </w:rPr>
          </w:pPr>
          <w:hyperlink w:anchor="_Toc16271326" w:history="1">
            <w:r w:rsidRPr="00D50FB3">
              <w:rPr>
                <w:rStyle w:val="Hyperlink"/>
                <w:noProof/>
              </w:rPr>
              <w:t>A.8. Summary of Consultations Outside of the Agency</w:t>
            </w:r>
            <w:r>
              <w:rPr>
                <w:noProof/>
                <w:webHidden/>
              </w:rPr>
              <w:tab/>
            </w:r>
            <w:r>
              <w:rPr>
                <w:noProof/>
                <w:webHidden/>
              </w:rPr>
              <w:fldChar w:fldCharType="begin"/>
            </w:r>
            <w:r>
              <w:rPr>
                <w:noProof/>
                <w:webHidden/>
              </w:rPr>
              <w:instrText xml:space="preserve"> PAGEREF _Toc16271326 \h </w:instrText>
            </w:r>
            <w:r>
              <w:rPr>
                <w:noProof/>
                <w:webHidden/>
              </w:rPr>
              <w:fldChar w:fldCharType="separate"/>
            </w:r>
            <w:r w:rsidR="00750C95">
              <w:rPr>
                <w:noProof/>
                <w:webHidden/>
              </w:rPr>
              <w:t>5</w:t>
            </w:r>
            <w:r>
              <w:rPr>
                <w:noProof/>
                <w:webHidden/>
              </w:rPr>
              <w:fldChar w:fldCharType="end"/>
            </w:r>
          </w:hyperlink>
        </w:p>
        <w:p w:rsidR="00537A91" w14:paraId="5FAD51C5" w14:textId="37C67F3B">
          <w:pPr>
            <w:pStyle w:val="TOC2"/>
            <w:rPr>
              <w:rFonts w:eastAsiaTheme="minorEastAsia"/>
              <w:noProof/>
              <w:color w:val="auto"/>
            </w:rPr>
          </w:pPr>
          <w:hyperlink w:anchor="_Toc16271327" w:history="1">
            <w:r w:rsidRPr="00D50FB3">
              <w:rPr>
                <w:rStyle w:val="Hyperlink"/>
                <w:noProof/>
              </w:rPr>
              <w:t>A.9. Payments or Gifts to Respondents</w:t>
            </w:r>
            <w:r>
              <w:rPr>
                <w:noProof/>
                <w:webHidden/>
              </w:rPr>
              <w:tab/>
            </w:r>
            <w:r>
              <w:rPr>
                <w:noProof/>
                <w:webHidden/>
              </w:rPr>
              <w:fldChar w:fldCharType="begin"/>
            </w:r>
            <w:r>
              <w:rPr>
                <w:noProof/>
                <w:webHidden/>
              </w:rPr>
              <w:instrText xml:space="preserve"> PAGEREF _Toc16271327 \h </w:instrText>
            </w:r>
            <w:r>
              <w:rPr>
                <w:noProof/>
                <w:webHidden/>
              </w:rPr>
              <w:fldChar w:fldCharType="separate"/>
            </w:r>
            <w:r w:rsidR="00750C95">
              <w:rPr>
                <w:noProof/>
                <w:webHidden/>
              </w:rPr>
              <w:t>5</w:t>
            </w:r>
            <w:r>
              <w:rPr>
                <w:noProof/>
                <w:webHidden/>
              </w:rPr>
              <w:fldChar w:fldCharType="end"/>
            </w:r>
          </w:hyperlink>
        </w:p>
        <w:p w:rsidR="00537A91" w14:paraId="1726E6A2" w14:textId="12DB3B28">
          <w:pPr>
            <w:pStyle w:val="TOC2"/>
            <w:rPr>
              <w:rFonts w:eastAsiaTheme="minorEastAsia"/>
              <w:noProof/>
              <w:color w:val="auto"/>
            </w:rPr>
          </w:pPr>
          <w:hyperlink w:anchor="_Toc16271328" w:history="1">
            <w:r w:rsidRPr="00D50FB3">
              <w:rPr>
                <w:rStyle w:val="Hyperlink"/>
                <w:noProof/>
              </w:rPr>
              <w:t>A.10. Provisions for Protection of Information</w:t>
            </w:r>
            <w:r>
              <w:rPr>
                <w:noProof/>
                <w:webHidden/>
              </w:rPr>
              <w:tab/>
            </w:r>
            <w:r>
              <w:rPr>
                <w:noProof/>
                <w:webHidden/>
              </w:rPr>
              <w:fldChar w:fldCharType="begin"/>
            </w:r>
            <w:r>
              <w:rPr>
                <w:noProof/>
                <w:webHidden/>
              </w:rPr>
              <w:instrText xml:space="preserve"> PAGEREF _Toc16271328 \h </w:instrText>
            </w:r>
            <w:r>
              <w:rPr>
                <w:noProof/>
                <w:webHidden/>
              </w:rPr>
              <w:fldChar w:fldCharType="separate"/>
            </w:r>
            <w:r w:rsidR="00750C95">
              <w:rPr>
                <w:noProof/>
                <w:webHidden/>
              </w:rPr>
              <w:t>5</w:t>
            </w:r>
            <w:r>
              <w:rPr>
                <w:noProof/>
                <w:webHidden/>
              </w:rPr>
              <w:fldChar w:fldCharType="end"/>
            </w:r>
          </w:hyperlink>
        </w:p>
        <w:p w:rsidR="00537A91" w14:paraId="4A6A9630" w14:textId="598D0035">
          <w:pPr>
            <w:pStyle w:val="TOC2"/>
            <w:rPr>
              <w:rFonts w:eastAsiaTheme="minorEastAsia"/>
              <w:noProof/>
              <w:color w:val="auto"/>
            </w:rPr>
          </w:pPr>
          <w:hyperlink w:anchor="_Toc16271329" w:history="1">
            <w:r w:rsidRPr="00D50FB3">
              <w:rPr>
                <w:rStyle w:val="Hyperlink"/>
                <w:noProof/>
              </w:rPr>
              <w:t>A.11. Justification for Sensitive Questions</w:t>
            </w:r>
            <w:r>
              <w:rPr>
                <w:noProof/>
                <w:webHidden/>
              </w:rPr>
              <w:tab/>
            </w:r>
            <w:r>
              <w:rPr>
                <w:noProof/>
                <w:webHidden/>
              </w:rPr>
              <w:fldChar w:fldCharType="begin"/>
            </w:r>
            <w:r>
              <w:rPr>
                <w:noProof/>
                <w:webHidden/>
              </w:rPr>
              <w:instrText xml:space="preserve"> PAGEREF _Toc16271329 \h </w:instrText>
            </w:r>
            <w:r>
              <w:rPr>
                <w:noProof/>
                <w:webHidden/>
              </w:rPr>
              <w:fldChar w:fldCharType="separate"/>
            </w:r>
            <w:r w:rsidR="00750C95">
              <w:rPr>
                <w:noProof/>
                <w:webHidden/>
              </w:rPr>
              <w:t>5</w:t>
            </w:r>
            <w:r>
              <w:rPr>
                <w:noProof/>
                <w:webHidden/>
              </w:rPr>
              <w:fldChar w:fldCharType="end"/>
            </w:r>
          </w:hyperlink>
        </w:p>
        <w:p w:rsidR="00537A91" w14:paraId="76109842" w14:textId="37526DC2">
          <w:pPr>
            <w:pStyle w:val="TOC2"/>
            <w:rPr>
              <w:rFonts w:eastAsiaTheme="minorEastAsia"/>
              <w:noProof/>
              <w:color w:val="auto"/>
            </w:rPr>
          </w:pPr>
          <w:hyperlink w:anchor="_Toc16271330" w:history="1">
            <w:r w:rsidRPr="00D50FB3">
              <w:rPr>
                <w:rStyle w:val="Hyperlink"/>
                <w:noProof/>
              </w:rPr>
              <w:t>A.12A. Estimate of Respondent Burden Hours</w:t>
            </w:r>
            <w:r>
              <w:rPr>
                <w:noProof/>
                <w:webHidden/>
              </w:rPr>
              <w:tab/>
            </w:r>
            <w:r>
              <w:rPr>
                <w:noProof/>
                <w:webHidden/>
              </w:rPr>
              <w:fldChar w:fldCharType="begin"/>
            </w:r>
            <w:r>
              <w:rPr>
                <w:noProof/>
                <w:webHidden/>
              </w:rPr>
              <w:instrText xml:space="preserve"> PAGEREF _Toc16271330 \h </w:instrText>
            </w:r>
            <w:r>
              <w:rPr>
                <w:noProof/>
                <w:webHidden/>
              </w:rPr>
              <w:fldChar w:fldCharType="separate"/>
            </w:r>
            <w:r w:rsidR="00750C95">
              <w:rPr>
                <w:noProof/>
                <w:webHidden/>
              </w:rPr>
              <w:t>6</w:t>
            </w:r>
            <w:r>
              <w:rPr>
                <w:noProof/>
                <w:webHidden/>
              </w:rPr>
              <w:fldChar w:fldCharType="end"/>
            </w:r>
          </w:hyperlink>
        </w:p>
        <w:p w:rsidR="00537A91" w14:paraId="75AE2099" w14:textId="59A5ED79">
          <w:pPr>
            <w:pStyle w:val="TOC2"/>
            <w:rPr>
              <w:rFonts w:eastAsiaTheme="minorEastAsia"/>
              <w:noProof/>
              <w:color w:val="auto"/>
            </w:rPr>
          </w:pPr>
          <w:hyperlink w:anchor="_Toc16271331" w:history="1">
            <w:r w:rsidRPr="00D50FB3">
              <w:rPr>
                <w:rStyle w:val="Hyperlink"/>
                <w:noProof/>
              </w:rPr>
              <w:t>A.12B. Estimate of Annual Cost to Respondent for Burden Hours</w:t>
            </w:r>
            <w:r>
              <w:rPr>
                <w:noProof/>
                <w:webHidden/>
              </w:rPr>
              <w:tab/>
            </w:r>
            <w:r>
              <w:rPr>
                <w:noProof/>
                <w:webHidden/>
              </w:rPr>
              <w:fldChar w:fldCharType="begin"/>
            </w:r>
            <w:r>
              <w:rPr>
                <w:noProof/>
                <w:webHidden/>
              </w:rPr>
              <w:instrText xml:space="preserve"> PAGEREF _Toc16271331 \h </w:instrText>
            </w:r>
            <w:r>
              <w:rPr>
                <w:noProof/>
                <w:webHidden/>
              </w:rPr>
              <w:fldChar w:fldCharType="separate"/>
            </w:r>
            <w:r w:rsidR="00750C95">
              <w:rPr>
                <w:noProof/>
                <w:webHidden/>
              </w:rPr>
              <w:t>6</w:t>
            </w:r>
            <w:r>
              <w:rPr>
                <w:noProof/>
                <w:webHidden/>
              </w:rPr>
              <w:fldChar w:fldCharType="end"/>
            </w:r>
          </w:hyperlink>
        </w:p>
        <w:p w:rsidR="00537A91" w14:paraId="34257AE7" w14:textId="267C1951">
          <w:pPr>
            <w:pStyle w:val="TOC2"/>
            <w:rPr>
              <w:rFonts w:eastAsiaTheme="minorEastAsia"/>
              <w:noProof/>
              <w:color w:val="auto"/>
            </w:rPr>
          </w:pPr>
          <w:hyperlink w:anchor="_Toc16271332" w:history="1">
            <w:r w:rsidRPr="00D50FB3">
              <w:rPr>
                <w:rStyle w:val="Hyperlink"/>
                <w:noProof/>
              </w:rPr>
              <w:t>A.13. Other Estimated Annual Cost to Respondents</w:t>
            </w:r>
            <w:r>
              <w:rPr>
                <w:noProof/>
                <w:webHidden/>
              </w:rPr>
              <w:tab/>
            </w:r>
            <w:r>
              <w:rPr>
                <w:noProof/>
                <w:webHidden/>
              </w:rPr>
              <w:fldChar w:fldCharType="begin"/>
            </w:r>
            <w:r>
              <w:rPr>
                <w:noProof/>
                <w:webHidden/>
              </w:rPr>
              <w:instrText xml:space="preserve"> PAGEREF _Toc16271332 \h </w:instrText>
            </w:r>
            <w:r>
              <w:rPr>
                <w:noProof/>
                <w:webHidden/>
              </w:rPr>
              <w:fldChar w:fldCharType="separate"/>
            </w:r>
            <w:r w:rsidR="00750C95">
              <w:rPr>
                <w:noProof/>
                <w:webHidden/>
              </w:rPr>
              <w:t>7</w:t>
            </w:r>
            <w:r>
              <w:rPr>
                <w:noProof/>
                <w:webHidden/>
              </w:rPr>
              <w:fldChar w:fldCharType="end"/>
            </w:r>
          </w:hyperlink>
        </w:p>
        <w:p w:rsidR="00537A91" w14:paraId="1CE8CA5C" w14:textId="6725F931">
          <w:pPr>
            <w:pStyle w:val="TOC2"/>
            <w:rPr>
              <w:rFonts w:eastAsiaTheme="minorEastAsia"/>
              <w:noProof/>
              <w:color w:val="auto"/>
            </w:rPr>
          </w:pPr>
          <w:hyperlink w:anchor="_Toc16271333" w:history="1">
            <w:r w:rsidRPr="00D50FB3">
              <w:rPr>
                <w:rStyle w:val="Hyperlink"/>
                <w:noProof/>
              </w:rPr>
              <w:t>A.14. Annual Cost to the Federal Government</w:t>
            </w:r>
            <w:r>
              <w:rPr>
                <w:noProof/>
                <w:webHidden/>
              </w:rPr>
              <w:tab/>
            </w:r>
            <w:r>
              <w:rPr>
                <w:noProof/>
                <w:webHidden/>
              </w:rPr>
              <w:fldChar w:fldCharType="begin"/>
            </w:r>
            <w:r>
              <w:rPr>
                <w:noProof/>
                <w:webHidden/>
              </w:rPr>
              <w:instrText xml:space="preserve"> PAGEREF _Toc16271333 \h </w:instrText>
            </w:r>
            <w:r>
              <w:rPr>
                <w:noProof/>
                <w:webHidden/>
              </w:rPr>
              <w:fldChar w:fldCharType="separate"/>
            </w:r>
            <w:r w:rsidR="00750C95">
              <w:rPr>
                <w:noProof/>
                <w:webHidden/>
              </w:rPr>
              <w:t>7</w:t>
            </w:r>
            <w:r>
              <w:rPr>
                <w:noProof/>
                <w:webHidden/>
              </w:rPr>
              <w:fldChar w:fldCharType="end"/>
            </w:r>
          </w:hyperlink>
        </w:p>
        <w:p w:rsidR="00537A91" w14:paraId="29A7E81E" w14:textId="73B5CCB5">
          <w:pPr>
            <w:pStyle w:val="TOC2"/>
            <w:rPr>
              <w:rFonts w:eastAsiaTheme="minorEastAsia"/>
              <w:noProof/>
              <w:color w:val="auto"/>
            </w:rPr>
          </w:pPr>
          <w:hyperlink w:anchor="_Toc16271334" w:history="1">
            <w:r w:rsidRPr="00D50FB3">
              <w:rPr>
                <w:rStyle w:val="Hyperlink"/>
                <w:noProof/>
              </w:rPr>
              <w:t>A.15. Reasons for Changes in Burden</w:t>
            </w:r>
            <w:r>
              <w:rPr>
                <w:noProof/>
                <w:webHidden/>
              </w:rPr>
              <w:tab/>
            </w:r>
            <w:r>
              <w:rPr>
                <w:noProof/>
                <w:webHidden/>
              </w:rPr>
              <w:fldChar w:fldCharType="begin"/>
            </w:r>
            <w:r>
              <w:rPr>
                <w:noProof/>
                <w:webHidden/>
              </w:rPr>
              <w:instrText xml:space="preserve"> PAGEREF _Toc16271334 \h </w:instrText>
            </w:r>
            <w:r>
              <w:rPr>
                <w:noProof/>
                <w:webHidden/>
              </w:rPr>
              <w:fldChar w:fldCharType="separate"/>
            </w:r>
            <w:r w:rsidR="00750C95">
              <w:rPr>
                <w:noProof/>
                <w:webHidden/>
              </w:rPr>
              <w:t>8</w:t>
            </w:r>
            <w:r>
              <w:rPr>
                <w:noProof/>
                <w:webHidden/>
              </w:rPr>
              <w:fldChar w:fldCharType="end"/>
            </w:r>
          </w:hyperlink>
        </w:p>
        <w:p w:rsidR="00537A91" w14:paraId="29807F52" w14:textId="0DD9F57D">
          <w:pPr>
            <w:pStyle w:val="TOC2"/>
            <w:rPr>
              <w:rFonts w:eastAsiaTheme="minorEastAsia"/>
              <w:noProof/>
              <w:color w:val="auto"/>
            </w:rPr>
          </w:pPr>
          <w:hyperlink w:anchor="_Toc16271335" w:history="1">
            <w:r w:rsidRPr="00D50FB3">
              <w:rPr>
                <w:rStyle w:val="Hyperlink"/>
                <w:noProof/>
              </w:rPr>
              <w:t>A.16. Collection, Tabulation, and Publication Plans</w:t>
            </w:r>
            <w:r>
              <w:rPr>
                <w:noProof/>
                <w:webHidden/>
              </w:rPr>
              <w:tab/>
            </w:r>
            <w:r>
              <w:rPr>
                <w:noProof/>
                <w:webHidden/>
              </w:rPr>
              <w:fldChar w:fldCharType="begin"/>
            </w:r>
            <w:r>
              <w:rPr>
                <w:noProof/>
                <w:webHidden/>
              </w:rPr>
              <w:instrText xml:space="preserve"> PAGEREF _Toc16271335 \h </w:instrText>
            </w:r>
            <w:r>
              <w:rPr>
                <w:noProof/>
                <w:webHidden/>
              </w:rPr>
              <w:fldChar w:fldCharType="separate"/>
            </w:r>
            <w:r w:rsidR="00750C95">
              <w:rPr>
                <w:noProof/>
                <w:webHidden/>
              </w:rPr>
              <w:t>8</w:t>
            </w:r>
            <w:r>
              <w:rPr>
                <w:noProof/>
                <w:webHidden/>
              </w:rPr>
              <w:fldChar w:fldCharType="end"/>
            </w:r>
          </w:hyperlink>
        </w:p>
        <w:p w:rsidR="00537A91" w14:paraId="41A13E03" w14:textId="38BC33FE">
          <w:pPr>
            <w:pStyle w:val="TOC2"/>
            <w:rPr>
              <w:rFonts w:eastAsiaTheme="minorEastAsia"/>
              <w:noProof/>
              <w:color w:val="auto"/>
            </w:rPr>
          </w:pPr>
          <w:hyperlink w:anchor="_Toc16271336" w:history="1">
            <w:r w:rsidRPr="00D50FB3">
              <w:rPr>
                <w:rStyle w:val="Hyperlink"/>
                <w:noProof/>
              </w:rPr>
              <w:t>A.17. OMB Number and Expiration Date</w:t>
            </w:r>
            <w:r>
              <w:rPr>
                <w:noProof/>
                <w:webHidden/>
              </w:rPr>
              <w:tab/>
            </w:r>
            <w:r>
              <w:rPr>
                <w:noProof/>
                <w:webHidden/>
              </w:rPr>
              <w:fldChar w:fldCharType="begin"/>
            </w:r>
            <w:r>
              <w:rPr>
                <w:noProof/>
                <w:webHidden/>
              </w:rPr>
              <w:instrText xml:space="preserve"> PAGEREF _Toc16271336 \h </w:instrText>
            </w:r>
            <w:r>
              <w:rPr>
                <w:noProof/>
                <w:webHidden/>
              </w:rPr>
              <w:fldChar w:fldCharType="separate"/>
            </w:r>
            <w:r w:rsidR="00750C95">
              <w:rPr>
                <w:noProof/>
                <w:webHidden/>
              </w:rPr>
              <w:t>8</w:t>
            </w:r>
            <w:r>
              <w:rPr>
                <w:noProof/>
                <w:webHidden/>
              </w:rPr>
              <w:fldChar w:fldCharType="end"/>
            </w:r>
          </w:hyperlink>
        </w:p>
        <w:p w:rsidR="00537A91" w14:paraId="61D4CF08" w14:textId="44157F40">
          <w:pPr>
            <w:pStyle w:val="TOC2"/>
            <w:rPr>
              <w:rFonts w:eastAsiaTheme="minorEastAsia"/>
              <w:noProof/>
              <w:color w:val="auto"/>
            </w:rPr>
          </w:pPr>
          <w:hyperlink w:anchor="_Toc16271337" w:history="1">
            <w:r w:rsidRPr="00D50FB3">
              <w:rPr>
                <w:rStyle w:val="Hyperlink"/>
                <w:noProof/>
              </w:rPr>
              <w:t>A.18. Certification Statement</w:t>
            </w:r>
            <w:r>
              <w:rPr>
                <w:noProof/>
                <w:webHidden/>
              </w:rPr>
              <w:tab/>
            </w:r>
            <w:r>
              <w:rPr>
                <w:noProof/>
                <w:webHidden/>
              </w:rPr>
              <w:fldChar w:fldCharType="begin"/>
            </w:r>
            <w:r>
              <w:rPr>
                <w:noProof/>
                <w:webHidden/>
              </w:rPr>
              <w:instrText xml:space="preserve"> PAGEREF _Toc16271337 \h </w:instrText>
            </w:r>
            <w:r>
              <w:rPr>
                <w:noProof/>
                <w:webHidden/>
              </w:rPr>
              <w:fldChar w:fldCharType="separate"/>
            </w:r>
            <w:r w:rsidR="00750C95">
              <w:rPr>
                <w:noProof/>
                <w:webHidden/>
              </w:rPr>
              <w:t>8</w:t>
            </w:r>
            <w:r>
              <w:rPr>
                <w:noProof/>
                <w:webHidden/>
              </w:rPr>
              <w:fldChar w:fldCharType="end"/>
            </w:r>
          </w:hyperlink>
        </w:p>
        <w:p w:rsidR="0059212D" w14:paraId="3C174CDC" w14:textId="77777777">
          <w:r>
            <w:rPr>
              <w:b/>
              <w:bCs/>
              <w:noProof/>
            </w:rPr>
            <w:fldChar w:fldCharType="end"/>
          </w:r>
        </w:p>
      </w:sdtContent>
    </w:sdt>
    <w:p w:rsidR="001F3A8F" w:rsidP="00D928FD" w14:paraId="64EC5D6D" w14:textId="77777777"/>
    <w:p w:rsidR="00D928FD" w:rsidP="00D928FD" w14:paraId="5AC8FFB4" w14:textId="77777777">
      <w:pPr>
        <w:sectPr w:rsidSect="00725453">
          <w:footerReference w:type="first" r:id="rId11"/>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P="00836D62" w14:paraId="6C0685D0" w14:textId="77777777">
      <w:pPr>
        <w:spacing w:line="240" w:lineRule="auto"/>
      </w:pPr>
    </w:p>
    <w:p w:rsidR="00933D5D" w:rsidP="00933D5D" w14:paraId="51486C34" w14:textId="77777777">
      <w:pPr>
        <w:tabs>
          <w:tab w:val="left" w:pos="7365"/>
        </w:tabs>
      </w:pPr>
      <w:r>
        <w:tab/>
      </w:r>
    </w:p>
    <w:p w:rsidR="00041909" w:rsidRPr="00933D5D" w:rsidP="00933D5D" w14:paraId="626BF99B" w14:textId="77777777">
      <w:pPr>
        <w:tabs>
          <w:tab w:val="left" w:pos="7365"/>
        </w:tabs>
        <w:sectPr w:rsidSect="00725453">
          <w:footerReference w:type="first" r:id="rId12"/>
          <w:footnotePr>
            <w:pos w:val="beneathText"/>
          </w:footnotePr>
          <w:type w:val="continuous"/>
          <w:pgSz w:w="12240" w:h="15840"/>
          <w:pgMar w:top="1440" w:right="1440" w:bottom="1440" w:left="1440" w:header="720" w:footer="720" w:gutter="0"/>
          <w:pgNumType w:fmt="lowerRoman"/>
          <w:cols w:space="720"/>
          <w:docGrid w:linePitch="360"/>
        </w:sectPr>
      </w:pPr>
      <w:r>
        <w:tab/>
      </w:r>
    </w:p>
    <w:p w:rsidR="008C734C" w:rsidP="00844524" w14:paraId="52FD1B10" w14:textId="77777777">
      <w:pPr>
        <w:pStyle w:val="Heading2"/>
      </w:pPr>
      <w:bookmarkStart w:id="1" w:name="_Toc16271318"/>
      <w:r>
        <w:t>Introdu</w:t>
      </w:r>
      <w:r w:rsidR="00844524">
        <w:t>ction</w:t>
      </w:r>
      <w:bookmarkEnd w:id="1"/>
    </w:p>
    <w:p w:rsidR="006D42EC" w:rsidRPr="006D42EC" w:rsidP="00844524" w14:paraId="53041DF0" w14:textId="7F0D9E41">
      <w:pPr>
        <w:rPr>
          <w:b/>
        </w:rPr>
      </w:pPr>
      <w:r w:rsidRPr="006D42EC">
        <w:rPr>
          <w:b/>
        </w:rPr>
        <w:t>Provide a brief introduction of the Information Collection Request.</w:t>
      </w:r>
      <w:r w:rsidR="00C6336C">
        <w:rPr>
          <w:b/>
        </w:rPr>
        <w:t xml:space="preserve"> </w:t>
      </w:r>
      <w:r w:rsidRPr="00E37DC2">
        <w:rPr>
          <w:b/>
        </w:rPr>
        <w:t>Include the purpose of this collection, note the publication of the 60-Day Federal Register Notice, and provide the list of forms within this collection.</w:t>
      </w:r>
    </w:p>
    <w:p w:rsidR="00A41763" w:rsidRPr="00A41763" w:rsidP="00A41763" w14:paraId="5FFD53F5" w14:textId="7B901B62">
      <w:r>
        <w:t xml:space="preserve">This information collection request is in the service of providing ongoing monitoring and oversight for a State and local government grant program. The </w:t>
      </w:r>
      <w:r w:rsidR="005946D4">
        <w:t xml:space="preserve">Collection Instruments for each </w:t>
      </w:r>
      <w:r>
        <w:t xml:space="preserve">respondent </w:t>
      </w:r>
      <w:r w:rsidR="005946D4">
        <w:t>are one Annual Report for each financing program.</w:t>
      </w:r>
      <w:r>
        <w:t xml:space="preserve"> Financing programs are operated and reported on by State and local governments (respondents).</w:t>
      </w:r>
      <w:r w:rsidR="005946D4">
        <w:t xml:space="preserve"> These </w:t>
      </w:r>
      <w:r>
        <w:t xml:space="preserve">brief narrative and quantitative </w:t>
      </w:r>
      <w:r w:rsidR="005946D4">
        <w:t xml:space="preserve">reports are necessary to ensure continued compliance with the terms and conditions of </w:t>
      </w:r>
      <w:r w:rsidR="0000513A">
        <w:t>the grant awards. A 60-day Federal Register Notice (FRN) was published on July 29, 2025</w:t>
      </w:r>
      <w:r w:rsidR="00FB5813">
        <w:t>.</w:t>
      </w:r>
      <w:r w:rsidR="007B61B2">
        <w:t xml:space="preserve"> </w:t>
      </w:r>
      <w:r>
        <w:t>DOE seeks an extension review of the existing reporting form, titled “ARRA Financing Program Annual Report.”</w:t>
      </w:r>
    </w:p>
    <w:p w:rsidR="008C734C" w:rsidP="008C734C" w14:paraId="148ABAB1" w14:textId="77777777">
      <w:pPr>
        <w:pStyle w:val="Heading2"/>
      </w:pPr>
      <w:bookmarkStart w:id="2" w:name="_Toc16271319"/>
      <w:r>
        <w:t>A.1. Legal Justification</w:t>
      </w:r>
      <w:bookmarkEnd w:id="2"/>
    </w:p>
    <w:p w:rsidR="00A41763" w:rsidRPr="00A41763" w:rsidP="00A41763" w14:paraId="2928E63A" w14:textId="77777777">
      <w:r w:rsidRPr="056069AD">
        <w:rPr>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006D6ECF" w:rsidRPr="001E4FAD" w:rsidP="056069AD" w14:paraId="25EFBB9C" w14:textId="46D6E80B">
      <w:pPr>
        <w:autoSpaceDE w:val="0"/>
        <w:autoSpaceDN w:val="0"/>
        <w:adjustRightInd w:val="0"/>
        <w:spacing w:after="0" w:line="240" w:lineRule="auto"/>
      </w:pPr>
      <w:r w:rsidRPr="056069AD">
        <w:t xml:space="preserve">DOE requires the collection of information for the </w:t>
      </w:r>
      <w:r w:rsidRPr="056069AD" w:rsidR="00964710">
        <w:rPr>
          <w:i/>
          <w:iCs/>
        </w:rPr>
        <w:t>Energy Efficiency and Conservation Block Grant (EECBG) Program</w:t>
      </w:r>
      <w:r w:rsidRPr="056069AD">
        <w:t>, as set forth in Funding Opportunity Announcement DE-FOA-0000013 (Attachment C), the Energy Independence and Security Act of 2007 (EISA) (P.L. 110-140).</w:t>
      </w:r>
      <w:r w:rsidRPr="056069AD" w:rsidR="00200046">
        <w:t xml:space="preserve"> </w:t>
      </w:r>
      <w:r w:rsidRPr="056069AD">
        <w:t xml:space="preserve">This collection also meets OMB requirements for: (1) administration of American Recovery and Reinvestment Act of 2009 (ARRA or Recovery Act) (Pub. L. No. 111-5) Financing programs created as part of the </w:t>
      </w:r>
      <w:r w:rsidRPr="056069AD">
        <w:rPr>
          <w:i/>
          <w:iCs/>
        </w:rPr>
        <w:t>EECBG</w:t>
      </w:r>
      <w:r w:rsidRPr="056069AD">
        <w:t xml:space="preserve"> formula and competitive grants; and (2) ARRA funds.</w:t>
      </w:r>
      <w:r w:rsidRPr="056069AD" w:rsidR="00C6336C">
        <w:t xml:space="preserve"> </w:t>
      </w:r>
      <w:r w:rsidRPr="056069AD">
        <w:t xml:space="preserve">The </w:t>
      </w:r>
      <w:r w:rsidRPr="056069AD">
        <w:rPr>
          <w:i/>
          <w:iCs/>
        </w:rPr>
        <w:t>EECBG</w:t>
      </w:r>
      <w:r w:rsidRPr="056069AD">
        <w:t xml:space="preserve"> is authorized under the Energy Policy and Conservation Act (EPCA), as amended (42 U.S.C. § 6321 </w:t>
      </w:r>
      <w:r w:rsidRPr="056069AD">
        <w:rPr>
          <w:i/>
          <w:iCs/>
        </w:rPr>
        <w:t>et seq.</w:t>
      </w:r>
      <w:r w:rsidRPr="056069AD" w:rsidR="000B2C75">
        <w:t xml:space="preserve"> and </w:t>
      </w:r>
      <w:r w:rsidRPr="056069AD" w:rsidR="00CA0644">
        <w:t xml:space="preserve">§ 17151 </w:t>
      </w:r>
      <w:r w:rsidRPr="056069AD" w:rsidR="00CA0644">
        <w:rPr>
          <w:i/>
          <w:iCs/>
        </w:rPr>
        <w:t>et seq.</w:t>
      </w:r>
      <w:r w:rsidRPr="056069AD">
        <w:t>).</w:t>
      </w:r>
    </w:p>
    <w:p w:rsidR="006D6ECF" w:rsidRPr="001E4FAD" w:rsidP="006D6ECF" w14:paraId="78FD2696" w14:textId="77777777">
      <w:pPr>
        <w:autoSpaceDE w:val="0"/>
        <w:autoSpaceDN w:val="0"/>
        <w:adjustRightInd w:val="0"/>
        <w:spacing w:after="0" w:line="240" w:lineRule="auto"/>
        <w:rPr>
          <w:rFonts w:cstheme="minorHAnsi"/>
        </w:rPr>
      </w:pPr>
    </w:p>
    <w:p w:rsidR="006D6ECF" w:rsidRPr="001E4FAD" w:rsidP="006D6ECF" w14:paraId="22BE3D4F" w14:textId="7D0A1AEA">
      <w:pPr>
        <w:autoSpaceDE w:val="0"/>
        <w:autoSpaceDN w:val="0"/>
        <w:adjustRightInd w:val="0"/>
        <w:spacing w:after="0" w:line="240" w:lineRule="auto"/>
        <w:rPr>
          <w:rFonts w:cstheme="minorHAnsi"/>
        </w:rPr>
      </w:pPr>
      <w:r w:rsidRPr="001E4FAD">
        <w:rPr>
          <w:rFonts w:cstheme="minorHAnsi"/>
        </w:rPr>
        <w:t>DOE provides Federal financial assistance and technical support to state, local, and tribal governments under the EISA.</w:t>
      </w:r>
      <w:r w:rsidR="000A64D2">
        <w:rPr>
          <w:rFonts w:cstheme="minorHAnsi"/>
        </w:rPr>
        <w:t xml:space="preserve"> </w:t>
      </w:r>
      <w:r w:rsidRPr="001E4FAD">
        <w:rPr>
          <w:rFonts w:cstheme="minorHAnsi"/>
        </w:rPr>
        <w:t>Information gathered under this IC provides current data required to respond to OMB, congressional and consumer requests, and for budget preparation.</w:t>
      </w:r>
    </w:p>
    <w:p w:rsidR="006D6ECF" w:rsidRPr="001E4FAD" w:rsidP="006D6ECF" w14:paraId="7742BA11" w14:textId="77777777">
      <w:pPr>
        <w:autoSpaceDE w:val="0"/>
        <w:autoSpaceDN w:val="0"/>
        <w:adjustRightInd w:val="0"/>
        <w:spacing w:after="0" w:line="240" w:lineRule="auto"/>
        <w:rPr>
          <w:rFonts w:cstheme="minorHAnsi"/>
        </w:rPr>
      </w:pPr>
    </w:p>
    <w:p w:rsidR="006D6ECF" w:rsidRPr="001E4FAD" w:rsidP="006D6ECF" w14:paraId="55E90B1F" w14:textId="053D27D2">
      <w:pPr>
        <w:autoSpaceDE w:val="0"/>
        <w:autoSpaceDN w:val="0"/>
        <w:adjustRightInd w:val="0"/>
        <w:spacing w:after="0" w:line="240" w:lineRule="auto"/>
        <w:rPr>
          <w:rFonts w:cstheme="minorHAnsi"/>
        </w:rPr>
      </w:pPr>
      <w:r w:rsidRPr="001E4FAD">
        <w:rPr>
          <w:rFonts w:cstheme="minorHAnsi"/>
        </w:rPr>
        <w:t>As part of ARRA funds starting in 2009, the</w:t>
      </w:r>
      <w:r w:rsidRPr="001E4FAD">
        <w:rPr>
          <w:rFonts w:cstheme="minorHAnsi"/>
          <w:i/>
        </w:rPr>
        <w:t xml:space="preserve"> EECBG</w:t>
      </w:r>
      <w:r w:rsidRPr="001E4FAD">
        <w:rPr>
          <w:rFonts w:cstheme="minorHAnsi"/>
        </w:rPr>
        <w:t xml:space="preserve"> program was allocated $3.2 billion, $2.7 billion of which was apportioned to 3,200 grants to states, territories, tribes, and units of local government through a distribution formula based on population.</w:t>
      </w:r>
      <w:r w:rsidR="00C6336C">
        <w:rPr>
          <w:rFonts w:cstheme="minorHAnsi"/>
        </w:rPr>
        <w:t xml:space="preserve"> </w:t>
      </w:r>
      <w:r w:rsidRPr="001E4FAD">
        <w:rPr>
          <w:rFonts w:cstheme="minorHAnsi"/>
        </w:rPr>
        <w:t>These funds were intended to help expand local energy efficiency efforts and reduce energy use in the transportation, building, and other appropriate sectors.</w:t>
      </w:r>
      <w:r w:rsidR="00C6336C">
        <w:rPr>
          <w:rFonts w:cstheme="minorHAnsi"/>
        </w:rPr>
        <w:t xml:space="preserve"> </w:t>
      </w:r>
      <w:r w:rsidRPr="001E4FAD">
        <w:rPr>
          <w:rFonts w:cstheme="minorHAnsi"/>
        </w:rPr>
        <w:t>Grant recipients were allowed to select activities from a list of approved activities, one of which was development of financing programs.</w:t>
      </w:r>
      <w:r w:rsidR="00C6336C">
        <w:rPr>
          <w:rFonts w:cstheme="minorHAnsi"/>
        </w:rPr>
        <w:t xml:space="preserve"> </w:t>
      </w:r>
      <w:r w:rsidRPr="001E4FAD">
        <w:rPr>
          <w:rFonts w:cstheme="minorHAnsi"/>
        </w:rPr>
        <w:t>While all grants under the EECBG program have been retired, the revolving loan activities will continue until the funds have been fully exhausted or the grantee decides to re-purpose the funds to other energy efficiency projects.</w:t>
      </w:r>
      <w:r w:rsidR="00A45668">
        <w:rPr>
          <w:rFonts w:cstheme="minorHAnsi"/>
        </w:rPr>
        <w:t xml:space="preserve"> </w:t>
      </w:r>
      <w:r w:rsidRPr="001E4FAD">
        <w:rPr>
          <w:rFonts w:cstheme="minorHAnsi"/>
        </w:rPr>
        <w:t xml:space="preserve">The funds remaining in financing programs retain their </w:t>
      </w:r>
      <w:r>
        <w:rPr>
          <w:rFonts w:cstheme="minorHAnsi"/>
        </w:rPr>
        <w:t>f</w:t>
      </w:r>
      <w:r w:rsidRPr="001E4FAD">
        <w:rPr>
          <w:rFonts w:cstheme="minorHAnsi"/>
        </w:rPr>
        <w:t>ederal character and continue to require reporting and oversight by federal regulations. The same grantees report on their programs each year, unless they exhaust their federal funds and are no longer required to report.</w:t>
      </w:r>
    </w:p>
    <w:p w:rsidR="008C734C" w:rsidRPr="00A41763" w:rsidP="00A41763" w14:paraId="586C4610" w14:textId="77777777"/>
    <w:p w:rsidR="008C734C" w:rsidP="008C734C" w14:paraId="4CC8B66B" w14:textId="77777777">
      <w:pPr>
        <w:pStyle w:val="Heading2"/>
      </w:pPr>
      <w:bookmarkStart w:id="3" w:name="_Toc16271320"/>
      <w:r>
        <w:t>A.2. Needs and Uses of Data</w:t>
      </w:r>
      <w:bookmarkEnd w:id="3"/>
    </w:p>
    <w:p w:rsidR="00A41763" w:rsidRPr="00A41763" w:rsidP="00A41763" w14:paraId="4B0B0235" w14:textId="1F9F5C98">
      <w:r w:rsidRPr="056069AD">
        <w:rPr>
          <w:b/>
          <w:bCs/>
        </w:rPr>
        <w:t>Indicate how, by whom, and for what purpose the information is to be used. Except for a new collection, indicate the actual use the agency has made of the information received from the current collection</w:t>
      </w:r>
      <w:r w:rsidRPr="056069AD" w:rsidR="75EE9512">
        <w:rPr>
          <w:b/>
          <w:bCs/>
        </w:rPr>
        <w:t>.</w:t>
      </w:r>
    </w:p>
    <w:p w:rsidR="00F5713F" w:rsidRPr="001E4FAD" w:rsidP="00F5713F" w14:paraId="091E6B0D" w14:textId="4A85B15E">
      <w:pPr>
        <w:autoSpaceDE w:val="0"/>
        <w:autoSpaceDN w:val="0"/>
        <w:adjustRightInd w:val="0"/>
        <w:spacing w:after="0" w:line="240" w:lineRule="auto"/>
        <w:rPr>
          <w:rFonts w:cstheme="minorHAnsi"/>
        </w:rPr>
      </w:pPr>
      <w:r w:rsidRPr="001E4FAD">
        <w:rPr>
          <w:rFonts w:cstheme="minorHAnsi"/>
        </w:rPr>
        <w:t xml:space="preserve">When the ARRA grants retired, </w:t>
      </w:r>
      <w:r>
        <w:rPr>
          <w:rFonts w:cstheme="minorHAnsi"/>
        </w:rPr>
        <w:t xml:space="preserve">the recipients continued to manage their </w:t>
      </w:r>
      <w:r w:rsidRPr="001E4FAD">
        <w:rPr>
          <w:rFonts w:cstheme="minorHAnsi"/>
        </w:rPr>
        <w:t>financing programs</w:t>
      </w:r>
      <w:r>
        <w:rPr>
          <w:rFonts w:cstheme="minorHAnsi"/>
        </w:rPr>
        <w:t xml:space="preserve"> which continued to provide funds </w:t>
      </w:r>
      <w:r w:rsidRPr="001E4FAD">
        <w:rPr>
          <w:rFonts w:cstheme="minorHAnsi"/>
        </w:rPr>
        <w:t>for energy efficiency financing purposes.</w:t>
      </w:r>
      <w:r w:rsidR="001F043E">
        <w:rPr>
          <w:rFonts w:cstheme="minorHAnsi"/>
        </w:rPr>
        <w:t xml:space="preserve"> </w:t>
      </w:r>
      <w:r>
        <w:rPr>
          <w:rFonts w:cstheme="minorHAnsi"/>
        </w:rPr>
        <w:t>A grants manager or other staff member of the recipient provides information annually on the use of funds, performance and status of the financing programs.</w:t>
      </w:r>
      <w:r w:rsidR="00200046">
        <w:rPr>
          <w:rFonts w:cstheme="minorHAnsi"/>
        </w:rPr>
        <w:t xml:space="preserve"> </w:t>
      </w:r>
      <w:r w:rsidRPr="001E4FAD">
        <w:rPr>
          <w:rFonts w:cstheme="minorHAnsi"/>
        </w:rPr>
        <w:t>The information collected</w:t>
      </w:r>
      <w:r w:rsidR="00E37DC2">
        <w:rPr>
          <w:rFonts w:cstheme="minorHAnsi"/>
        </w:rPr>
        <w:t xml:space="preserve"> includes financial metrics for the program (e.g. program income, administrative costs, etc.), performance metrics (e.g. value of loans given, interest rate, jobs created, etc.), cost share information, process metrics related to underlying activities, and any qualitative information necessary to contextualize the quantitative report. The information</w:t>
      </w:r>
      <w:r w:rsidRPr="001E4FAD">
        <w:rPr>
          <w:rFonts w:cstheme="minorHAnsi"/>
        </w:rPr>
        <w:t xml:space="preserve"> is used by DOE program staff to track the recipients’ activities, monitor their progress, and provide oversight for financing program expenditures and the repurposing of funds.</w:t>
      </w:r>
      <w:r w:rsidR="00200046">
        <w:rPr>
          <w:rFonts w:cstheme="minorHAnsi"/>
        </w:rPr>
        <w:t xml:space="preserve"> </w:t>
      </w:r>
      <w:r w:rsidRPr="001E4FAD">
        <w:rPr>
          <w:rFonts w:cstheme="minorHAnsi"/>
        </w:rPr>
        <w:t>The collected information also enables program staff to provide required or requested information on program activities to OMB, Congress, and the public.</w:t>
      </w:r>
      <w:r w:rsidR="00200046">
        <w:rPr>
          <w:rFonts w:cstheme="minorHAnsi"/>
        </w:rPr>
        <w:t xml:space="preserve"> </w:t>
      </w:r>
      <w:r w:rsidRPr="001E4FAD">
        <w:rPr>
          <w:rFonts w:cstheme="minorHAnsi"/>
        </w:rPr>
        <w:t xml:space="preserve">This is an important component to demonstrating the impact and success of the </w:t>
      </w:r>
      <w:r w:rsidRPr="001E4FAD">
        <w:rPr>
          <w:rFonts w:cstheme="minorHAnsi"/>
          <w:i/>
        </w:rPr>
        <w:t>EECBG</w:t>
      </w:r>
      <w:r w:rsidRPr="001E4FAD">
        <w:rPr>
          <w:rFonts w:cstheme="minorHAnsi"/>
        </w:rPr>
        <w:t xml:space="preserve"> formula Financing programs.</w:t>
      </w:r>
    </w:p>
    <w:p w:rsidR="00F5713F" w:rsidRPr="00A41763" w:rsidP="00A41763" w14:paraId="225DF220" w14:textId="77777777"/>
    <w:p w:rsidR="008C734C" w:rsidP="008C734C" w14:paraId="1448BF97" w14:textId="77777777">
      <w:pPr>
        <w:pStyle w:val="Heading2"/>
      </w:pPr>
      <w:bookmarkStart w:id="4" w:name="_Toc16271321"/>
      <w:r>
        <w:t>A.</w:t>
      </w:r>
      <w:r w:rsidRPr="00A41763" w:rsidR="00A41763">
        <w:t xml:space="preserve">3. </w:t>
      </w:r>
      <w:r>
        <w:t>Use of Technology</w:t>
      </w:r>
      <w:bookmarkEnd w:id="4"/>
    </w:p>
    <w:p w:rsidR="00A41763" w:rsidRPr="00A41763" w:rsidP="00A41763" w14:paraId="45EAB336" w14:textId="77777777">
      <w:r w:rsidRPr="056069AD">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367E96" w:rsidRPr="001E4FAD" w:rsidP="056069AD" w14:paraId="59A2224A" w14:textId="11339123">
      <w:pPr>
        <w:tabs>
          <w:tab w:val="left" w:pos="450"/>
        </w:tabs>
        <w:spacing w:after="0" w:line="240" w:lineRule="auto"/>
      </w:pPr>
      <w:r w:rsidRPr="056069AD">
        <w:t xml:space="preserve">All </w:t>
      </w:r>
      <w:r w:rsidRPr="056069AD">
        <w:rPr>
          <w:i/>
          <w:iCs/>
        </w:rPr>
        <w:t>EECBG</w:t>
      </w:r>
      <w:r w:rsidRPr="056069AD">
        <w:t xml:space="preserve"> Financing programs created in formula grants are administered by the </w:t>
      </w:r>
      <w:r w:rsidRPr="056069AD">
        <w:rPr>
          <w:i/>
          <w:iCs/>
        </w:rPr>
        <w:t xml:space="preserve">State and Community Energy </w:t>
      </w:r>
      <w:r w:rsidRPr="056069AD" w:rsidR="00EE4B63">
        <w:rPr>
          <w:i/>
          <w:iCs/>
        </w:rPr>
        <w:t>Programs Office (SCEP</w:t>
      </w:r>
      <w:r w:rsidRPr="056069AD">
        <w:rPr>
          <w:i/>
          <w:iCs/>
        </w:rPr>
        <w:t>)</w:t>
      </w:r>
      <w:r w:rsidRPr="056069AD">
        <w:t xml:space="preserve"> and report through the </w:t>
      </w:r>
      <w:r w:rsidRPr="056069AD">
        <w:rPr>
          <w:i/>
          <w:iCs/>
        </w:rPr>
        <w:t>Performance and Accountability for Grants in Energy</w:t>
      </w:r>
      <w:r w:rsidRPr="056069AD">
        <w:t xml:space="preserve"> (</w:t>
      </w:r>
      <w:r w:rsidRPr="056069AD">
        <w:rPr>
          <w:i/>
          <w:iCs/>
        </w:rPr>
        <w:t>PAGE</w:t>
      </w:r>
      <w:r w:rsidRPr="056069AD">
        <w:t>) online database.</w:t>
      </w:r>
      <w:r w:rsidRPr="056069AD" w:rsidR="00200046">
        <w:t xml:space="preserve"> </w:t>
      </w:r>
      <w:r w:rsidRPr="056069AD">
        <w:rPr>
          <w:i/>
          <w:iCs/>
        </w:rPr>
        <w:t>PAGE</w:t>
      </w:r>
      <w:r w:rsidRPr="056069AD">
        <w:t xml:space="preserve"> provides all </w:t>
      </w:r>
      <w:r w:rsidRPr="056069AD">
        <w:rPr>
          <w:i/>
          <w:iCs/>
        </w:rPr>
        <w:t>EECBG</w:t>
      </w:r>
      <w:r w:rsidRPr="056069AD">
        <w:t xml:space="preserve"> recipients with the ability to electronically submit and manage financing program performance and repurposing information.</w:t>
      </w:r>
      <w:r w:rsidRPr="056069AD" w:rsidR="00200046">
        <w:t xml:space="preserve"> </w:t>
      </w:r>
      <w:r w:rsidRPr="056069AD">
        <w:t xml:space="preserve">This online system allows DOE to administer the </w:t>
      </w:r>
      <w:r w:rsidRPr="056069AD">
        <w:rPr>
          <w:i/>
          <w:iCs/>
        </w:rPr>
        <w:t>EECBG</w:t>
      </w:r>
      <w:r w:rsidRPr="056069AD">
        <w:t xml:space="preserve"> financing programs and provides all network users with access to current program records.</w:t>
      </w:r>
      <w:r w:rsidRPr="056069AD" w:rsidR="00200046">
        <w:t xml:space="preserve"> </w:t>
      </w:r>
      <w:r w:rsidRPr="056069AD">
        <w:rPr>
          <w:i/>
          <w:iCs/>
        </w:rPr>
        <w:t>PAGE</w:t>
      </w:r>
      <w:r w:rsidRPr="056069AD">
        <w:t xml:space="preserve"> reduces data redundancy and paperwork, offering universal and complementary data collection via electronic forms that enable program-wide data mining</w:t>
      </w:r>
      <w:r w:rsidRPr="056069AD" w:rsidR="004203AF">
        <w:t>,</w:t>
      </w:r>
      <w:r w:rsidRPr="056069AD">
        <w:t xml:space="preserve"> analysis</w:t>
      </w:r>
      <w:r w:rsidRPr="056069AD" w:rsidR="004203AF">
        <w:t>, and compliance verification</w:t>
      </w:r>
      <w:r w:rsidRPr="056069AD">
        <w:t>.</w:t>
      </w:r>
      <w:r w:rsidRPr="056069AD" w:rsidR="00C6336C">
        <w:t xml:space="preserve"> </w:t>
      </w:r>
      <w:r w:rsidRPr="056069AD">
        <w:t xml:space="preserve">The </w:t>
      </w:r>
      <w:r w:rsidRPr="056069AD">
        <w:rPr>
          <w:i/>
          <w:iCs/>
        </w:rPr>
        <w:t>PAGE</w:t>
      </w:r>
      <w:r w:rsidRPr="056069AD">
        <w:t xml:space="preserve"> electronic reporting system also prevents data redundancy by allowing information to be transposed into multiple fields without having to be re-entered.</w:t>
      </w:r>
      <w:r w:rsidRPr="056069AD" w:rsidR="00C6336C">
        <w:t xml:space="preserve"> </w:t>
      </w:r>
      <w:r w:rsidRPr="056069AD">
        <w:t>It ensures accurate calculations, since they are performed automatically by the system, therefore reducing user error and time.</w:t>
      </w:r>
    </w:p>
    <w:p w:rsidR="00367E96" w:rsidRPr="001E4FAD" w:rsidP="00367E96" w14:paraId="3C0A653F" w14:textId="77777777">
      <w:pPr>
        <w:tabs>
          <w:tab w:val="left" w:pos="0"/>
          <w:tab w:val="left" w:pos="450"/>
        </w:tabs>
        <w:spacing w:after="0" w:line="240" w:lineRule="auto"/>
        <w:rPr>
          <w:rFonts w:cstheme="minorHAnsi"/>
        </w:rPr>
      </w:pPr>
    </w:p>
    <w:p w:rsidR="008C734C" w:rsidRPr="00A41763" w:rsidP="00A41763" w14:paraId="46E9AED9" w14:textId="17A74D7E">
      <w:r w:rsidRPr="001E4FAD">
        <w:rPr>
          <w:rFonts w:cstheme="minorHAnsi"/>
        </w:rPr>
        <w:t>PAGE sends reminders of reporting due dates when users sign-in to the system.</w:t>
      </w:r>
      <w:r w:rsidR="00C6336C">
        <w:rPr>
          <w:rFonts w:cstheme="minorHAnsi"/>
        </w:rPr>
        <w:t xml:space="preserve"> </w:t>
      </w:r>
      <w:r w:rsidRPr="001E4FAD">
        <w:rPr>
          <w:rFonts w:cstheme="minorHAnsi"/>
        </w:rPr>
        <w:t xml:space="preserve">PAGE automatically terminates reminders and changes program counts as users retire their financing programs. </w:t>
      </w:r>
    </w:p>
    <w:p w:rsidR="008C734C" w:rsidP="008C734C" w14:paraId="0DE5859D" w14:textId="77777777">
      <w:pPr>
        <w:pStyle w:val="Heading2"/>
      </w:pPr>
      <w:bookmarkStart w:id="5" w:name="_Toc16271322"/>
      <w:r>
        <w:t>A.</w:t>
      </w:r>
      <w:r w:rsidRPr="00A41763" w:rsidR="00A41763">
        <w:t xml:space="preserve">4. </w:t>
      </w:r>
      <w:r>
        <w:t>Efforts to Identify Duplication</w:t>
      </w:r>
      <w:bookmarkEnd w:id="5"/>
    </w:p>
    <w:p w:rsidR="00A41763" w:rsidRPr="00A41763" w:rsidP="00A41763" w14:paraId="39439627" w14:textId="77777777">
      <w:r w:rsidRPr="056069AD">
        <w:rPr>
          <w:b/>
          <w:bCs/>
        </w:rPr>
        <w:t xml:space="preserve">Describe efforts to identify duplication. </w:t>
      </w:r>
    </w:p>
    <w:p w:rsidR="00B3039C" w:rsidRPr="001E4FAD" w:rsidP="00B3039C" w14:paraId="5924D5FF" w14:textId="0E0E6D87">
      <w:pPr>
        <w:pStyle w:val="Default"/>
        <w:rPr>
          <w:rFonts w:asciiTheme="minorHAnsi" w:hAnsiTheme="minorHAnsi" w:cstheme="minorHAnsi"/>
          <w:color w:val="auto"/>
          <w:sz w:val="22"/>
          <w:szCs w:val="22"/>
        </w:rPr>
      </w:pPr>
      <w:r w:rsidRPr="001E4FAD">
        <w:rPr>
          <w:rFonts w:asciiTheme="minorHAnsi" w:hAnsiTheme="minorHAnsi" w:cstheme="minorHAnsi"/>
          <w:color w:val="auto"/>
          <w:sz w:val="22"/>
          <w:szCs w:val="22"/>
        </w:rPr>
        <w:t xml:space="preserve">The information collected by DOE from the </w:t>
      </w:r>
      <w:r w:rsidRPr="001E4FAD">
        <w:rPr>
          <w:rFonts w:asciiTheme="minorHAnsi" w:hAnsiTheme="minorHAnsi" w:cstheme="minorHAnsi"/>
          <w:i/>
          <w:color w:val="auto"/>
          <w:sz w:val="22"/>
          <w:szCs w:val="22"/>
        </w:rPr>
        <w:t>EECBG</w:t>
      </w:r>
      <w:r w:rsidRPr="001E4FAD">
        <w:rPr>
          <w:rFonts w:asciiTheme="minorHAnsi" w:hAnsiTheme="minorHAnsi" w:cstheme="minorHAnsi"/>
          <w:color w:val="auto"/>
          <w:sz w:val="22"/>
          <w:szCs w:val="22"/>
        </w:rPr>
        <w:t xml:space="preserve"> Financing programs is specific to the use of funds in revolving loan, loan loss reserve, and interest rate buy-down programs.</w:t>
      </w:r>
      <w:r w:rsidR="00C6336C">
        <w:rPr>
          <w:rFonts w:asciiTheme="minorHAnsi" w:hAnsiTheme="minorHAnsi" w:cstheme="minorHAnsi"/>
          <w:color w:val="auto"/>
          <w:sz w:val="22"/>
          <w:szCs w:val="22"/>
        </w:rPr>
        <w:t xml:space="preserve"> </w:t>
      </w:r>
      <w:r w:rsidRPr="001E4FAD">
        <w:rPr>
          <w:rFonts w:asciiTheme="minorHAnsi" w:hAnsiTheme="minorHAnsi" w:cstheme="minorHAnsi"/>
          <w:color w:val="auto"/>
          <w:sz w:val="22"/>
          <w:szCs w:val="22"/>
        </w:rPr>
        <w:t>The information collected is for the management of the Financing programs and is not duplicated by other agencies or programs.</w:t>
      </w:r>
      <w:r w:rsidR="00200046">
        <w:rPr>
          <w:rFonts w:asciiTheme="minorHAnsi" w:hAnsiTheme="minorHAnsi" w:cstheme="minorHAnsi"/>
          <w:color w:val="auto"/>
          <w:sz w:val="22"/>
          <w:szCs w:val="22"/>
        </w:rPr>
        <w:t xml:space="preserve"> </w:t>
      </w:r>
      <w:r w:rsidRPr="001E4FAD">
        <w:rPr>
          <w:rFonts w:asciiTheme="minorHAnsi" w:hAnsiTheme="minorHAnsi" w:cstheme="minorHAnsi"/>
          <w:color w:val="auto"/>
          <w:sz w:val="22"/>
          <w:szCs w:val="22"/>
        </w:rPr>
        <w:t xml:space="preserve">General and broad questions are avoided to prevent crossovers between this and other programs. </w:t>
      </w:r>
    </w:p>
    <w:p w:rsidR="008C734C" w:rsidRPr="00A41763" w:rsidP="00A41763" w14:paraId="7AA88A33" w14:textId="77777777"/>
    <w:p w:rsidR="008C734C" w:rsidP="008C734C" w14:paraId="2ECACA07" w14:textId="77777777">
      <w:pPr>
        <w:pStyle w:val="Heading2"/>
      </w:pPr>
      <w:bookmarkStart w:id="6" w:name="_Toc16271323"/>
      <w:r>
        <w:t>A.</w:t>
      </w:r>
      <w:r w:rsidRPr="00A41763" w:rsidR="00A41763">
        <w:t xml:space="preserve">5. </w:t>
      </w:r>
      <w:r w:rsidRPr="008C734C">
        <w:t>Provisions for Reducing Burden on Small Businesses</w:t>
      </w:r>
      <w:bookmarkEnd w:id="6"/>
      <w:r w:rsidRPr="008C734C">
        <w:t xml:space="preserve"> </w:t>
      </w:r>
    </w:p>
    <w:p w:rsidR="00A41763" w:rsidRPr="00A41763" w:rsidP="00A41763" w14:paraId="34B53FFE" w14:textId="77777777">
      <w:r w:rsidRPr="056069AD">
        <w:rPr>
          <w:b/>
          <w:bCs/>
        </w:rPr>
        <w:t xml:space="preserve">If the collection of information impacts small businesses or other small entities, describe any methods used to minimize burden. </w:t>
      </w:r>
    </w:p>
    <w:p w:rsidR="008C734C" w:rsidRPr="00A41763" w:rsidP="00A41763" w14:paraId="3AEA6811" w14:textId="1B17C19D">
      <w:r w:rsidRPr="001E4FAD">
        <w:rPr>
          <w:rFonts w:cstheme="minorHAnsi"/>
        </w:rPr>
        <w:t>Small businesses are not impacted by these requirements.</w:t>
      </w:r>
      <w:r w:rsidR="00200046">
        <w:rPr>
          <w:rFonts w:cstheme="minorHAnsi"/>
        </w:rPr>
        <w:t xml:space="preserve"> </w:t>
      </w:r>
      <w:r w:rsidRPr="001E4FAD">
        <w:rPr>
          <w:rFonts w:cstheme="minorHAnsi"/>
        </w:rPr>
        <w:t>Only local and state governments and tribal entities are subject to the reporting requirements.</w:t>
      </w:r>
      <w:r w:rsidR="00200046">
        <w:rPr>
          <w:rFonts w:cstheme="minorHAnsi"/>
        </w:rPr>
        <w:t xml:space="preserve"> </w:t>
      </w:r>
      <w:r w:rsidRPr="001E4FAD">
        <w:rPr>
          <w:rFonts w:cstheme="minorHAnsi"/>
        </w:rPr>
        <w:t>The web-based system, utilized since 2014, has not posed a problem for state and local governments, or tribal entities.</w:t>
      </w:r>
      <w:r w:rsidR="00200046">
        <w:rPr>
          <w:rFonts w:cstheme="minorHAnsi"/>
        </w:rPr>
        <w:t xml:space="preserve"> </w:t>
      </w:r>
      <w:r w:rsidRPr="001E4FAD">
        <w:rPr>
          <w:rFonts w:cstheme="minorHAnsi"/>
        </w:rPr>
        <w:t>DOE has provided technical assistance to all Financing program managers.</w:t>
      </w:r>
      <w:r w:rsidR="00C6336C">
        <w:rPr>
          <w:rFonts w:cstheme="minorHAnsi"/>
        </w:rPr>
        <w:t xml:space="preserve"> </w:t>
      </w:r>
      <w:r w:rsidRPr="001E4FAD">
        <w:rPr>
          <w:rFonts w:cstheme="minorHAnsi"/>
        </w:rPr>
        <w:t>The EECBG Finance program manager also conducts one-on-one phone calls with Financing program participants on an as-needed basis.</w:t>
      </w:r>
    </w:p>
    <w:p w:rsidR="008C734C" w:rsidP="008C734C" w14:paraId="4DA71ECE" w14:textId="77777777">
      <w:pPr>
        <w:pStyle w:val="Heading2"/>
      </w:pPr>
      <w:bookmarkStart w:id="7" w:name="_Toc16271324"/>
      <w:r>
        <w:t>A.</w:t>
      </w:r>
      <w:r w:rsidRPr="00A41763" w:rsidR="00A41763">
        <w:t xml:space="preserve">6. </w:t>
      </w:r>
      <w:r w:rsidRPr="008C734C">
        <w:t>Consequences of Less-Frequent Reporting</w:t>
      </w:r>
      <w:bookmarkEnd w:id="7"/>
    </w:p>
    <w:p w:rsidR="00A41763" w:rsidRPr="00A41763" w:rsidP="00A41763" w14:paraId="1F559B61" w14:textId="77777777">
      <w:r w:rsidRPr="056069AD">
        <w:rPr>
          <w:b/>
          <w:bCs/>
        </w:rPr>
        <w:t xml:space="preserve">Describe the consequence to Federal program or policy activities if the collection is not conducted or is conducted less frequently, as well as any technical or legal obstacles to reducing burden. </w:t>
      </w:r>
    </w:p>
    <w:p w:rsidR="007C2A21" w:rsidP="00A41763" w14:paraId="34153021" w14:textId="3C7DC83E">
      <w:pPr>
        <w:rPr>
          <w:i/>
          <w:iCs/>
        </w:rPr>
      </w:pPr>
      <w:r w:rsidRPr="001E4FAD">
        <w:rPr>
          <w:rFonts w:cstheme="minorHAnsi"/>
        </w:rPr>
        <w:t>All programs funded through ARRA were subject to increased attention and scrutiny from OMB, Congress, the General Accountability Office (GAO), the DOE Office of the Inspector General (OIG), the media, and the public.</w:t>
      </w:r>
      <w:r w:rsidR="00C6336C">
        <w:rPr>
          <w:rFonts w:cstheme="minorHAnsi"/>
        </w:rPr>
        <w:t xml:space="preserve"> </w:t>
      </w:r>
      <w:r w:rsidRPr="001E4FAD">
        <w:rPr>
          <w:rFonts w:cstheme="minorHAnsi"/>
        </w:rPr>
        <w:t>If this information is not collected, DOE will be unable to provide substantive reports to DOE management, or respond to requests for information on loan performance, repurposed activities, and expenditures.</w:t>
      </w:r>
      <w:r w:rsidR="00C6336C">
        <w:rPr>
          <w:rFonts w:cstheme="minorHAnsi"/>
        </w:rPr>
        <w:t xml:space="preserve"> </w:t>
      </w:r>
      <w:r w:rsidRPr="001E4FAD">
        <w:rPr>
          <w:rFonts w:cstheme="minorHAnsi"/>
        </w:rPr>
        <w:t xml:space="preserve">Annual reporting creates accountability for Financing program managers to highlight problems, barriers, risks, and successful implementation to ensure successful stewardship of the </w:t>
      </w:r>
      <w:r w:rsidRPr="001E4FAD">
        <w:rPr>
          <w:rFonts w:cstheme="minorHAnsi"/>
          <w:i/>
        </w:rPr>
        <w:t>EECBG</w:t>
      </w:r>
      <w:r w:rsidRPr="001E4FAD">
        <w:rPr>
          <w:rFonts w:cstheme="minorHAnsi"/>
        </w:rPr>
        <w:t xml:space="preserve"> loan programs.</w:t>
      </w:r>
      <w:r w:rsidR="00C6336C">
        <w:rPr>
          <w:rFonts w:cstheme="minorHAnsi"/>
        </w:rPr>
        <w:t xml:space="preserve"> </w:t>
      </w:r>
      <w:r w:rsidRPr="001E4FAD">
        <w:rPr>
          <w:rFonts w:cstheme="minorHAnsi"/>
        </w:rPr>
        <w:t>Annual reporting facilitates DOE’s ability to monitor conformance of the management of Federal funds with financing program guidance.</w:t>
      </w:r>
      <w:r w:rsidR="00C6336C">
        <w:rPr>
          <w:rFonts w:cstheme="minorHAnsi"/>
        </w:rPr>
        <w:t xml:space="preserve"> </w:t>
      </w:r>
      <w:r w:rsidRPr="001E4FAD">
        <w:rPr>
          <w:rFonts w:cstheme="minorHAnsi"/>
        </w:rPr>
        <w:t xml:space="preserve">If this information collection is not conducted, DOE’s ability to oversee the </w:t>
      </w:r>
      <w:r w:rsidRPr="001E4FAD">
        <w:rPr>
          <w:rFonts w:cstheme="minorHAnsi"/>
          <w:i/>
        </w:rPr>
        <w:t>EECBG</w:t>
      </w:r>
      <w:r w:rsidRPr="001E4FAD">
        <w:rPr>
          <w:rFonts w:cstheme="minorHAnsi"/>
        </w:rPr>
        <w:t xml:space="preserve"> loan programs will be restricted, including the capacity to provide relevant information to stakeholder constituents.</w:t>
      </w:r>
      <w:r w:rsidR="00C6336C">
        <w:rPr>
          <w:rFonts w:cstheme="minorHAnsi"/>
        </w:rPr>
        <w:t xml:space="preserve"> </w:t>
      </w:r>
      <w:r w:rsidRPr="001E4FAD">
        <w:rPr>
          <w:rFonts w:cstheme="minorHAnsi"/>
        </w:rPr>
        <w:t>Furthermore, DOE will be unable to scrutinize the loan programs for potential waste, fraud, or abuse of Federal funds.</w:t>
      </w:r>
    </w:p>
    <w:p w:rsidR="008C734C" w:rsidRPr="00A41763" w:rsidP="00A41763" w14:paraId="762CA884" w14:textId="77777777"/>
    <w:p w:rsidR="008C734C" w:rsidP="008C734C" w14:paraId="2A49B40F" w14:textId="77777777">
      <w:pPr>
        <w:pStyle w:val="Heading2"/>
      </w:pPr>
      <w:bookmarkStart w:id="8" w:name="_Toc16271325"/>
      <w:r>
        <w:t>A.</w:t>
      </w:r>
      <w:r w:rsidRPr="00A41763" w:rsidR="00A41763">
        <w:t xml:space="preserve">7. </w:t>
      </w:r>
      <w:r w:rsidRPr="008C734C">
        <w:t>Compliance with 5 CFR 1320.5</w:t>
      </w:r>
      <w:bookmarkEnd w:id="8"/>
    </w:p>
    <w:p w:rsidR="00DB6FBD" w:rsidP="00A41763" w14:paraId="688D70B3" w14:textId="77777777">
      <w:pPr>
        <w:rPr>
          <w:b/>
          <w:bCs/>
        </w:rPr>
      </w:pPr>
      <w:r w:rsidRPr="00A41763">
        <w:rPr>
          <w:b/>
          <w:bCs/>
        </w:rPr>
        <w:t>Explain any special circumstances that require the collection to be conducted in a manner i</w:t>
      </w:r>
      <w:r>
        <w:rPr>
          <w:b/>
          <w:bCs/>
        </w:rPr>
        <w:t>nconsistent with OMB guidelines:</w:t>
      </w:r>
      <w:r w:rsidRPr="00A41763">
        <w:rPr>
          <w:b/>
          <w:bCs/>
        </w:rPr>
        <w:t xml:space="preserve"> </w:t>
      </w:r>
    </w:p>
    <w:p w:rsidR="00DB6FBD" w:rsidP="00A41763" w14:paraId="15296749" w14:textId="77777777">
      <w:pPr>
        <w:rPr>
          <w:b/>
          <w:bCs/>
        </w:rPr>
      </w:pPr>
      <w:r w:rsidRPr="00A41763">
        <w:rPr>
          <w:b/>
          <w:bCs/>
        </w:rPr>
        <w:t xml:space="preserve">(a) requiring respondents to report information to the agency more often than quarterly; </w:t>
      </w:r>
    </w:p>
    <w:p w:rsidR="00DB6FBD" w:rsidP="00A41763" w14:paraId="706C1057" w14:textId="77777777">
      <w:pPr>
        <w:rPr>
          <w:b/>
          <w:bCs/>
        </w:rPr>
      </w:pPr>
      <w:r w:rsidRPr="00A41763">
        <w:rPr>
          <w:b/>
          <w:bCs/>
        </w:rPr>
        <w:t xml:space="preserve">(b) requiring respondents to prepare a written response to a collection of information in fewer than 30 days after receipt of it; </w:t>
      </w:r>
    </w:p>
    <w:p w:rsidR="00DB6FBD" w:rsidP="00A41763" w14:paraId="7CBBDBFA" w14:textId="77777777">
      <w:pPr>
        <w:rPr>
          <w:b/>
          <w:bCs/>
        </w:rPr>
      </w:pPr>
      <w:r w:rsidRPr="00A41763">
        <w:rPr>
          <w:b/>
          <w:bCs/>
        </w:rPr>
        <w:t xml:space="preserve">(c) requiring respondents to submit more than an original and two copies of any document; </w:t>
      </w:r>
    </w:p>
    <w:p w:rsidR="00DB6FBD" w:rsidP="00A41763" w14:paraId="4DF3081F" w14:textId="77777777">
      <w:pPr>
        <w:rPr>
          <w:b/>
          <w:bCs/>
        </w:rPr>
      </w:pPr>
      <w:r w:rsidRPr="00A41763">
        <w:rPr>
          <w:b/>
          <w:bCs/>
        </w:rPr>
        <w:t xml:space="preserve">(d) requiring respondents to retain records, other than health, medical government contract, grant-in-aid, or tax records, for more than three years; </w:t>
      </w:r>
    </w:p>
    <w:p w:rsidR="00DB6FBD" w:rsidP="00A41763" w14:paraId="7F8B624D" w14:textId="1AD1FCEA">
      <w:pPr>
        <w:rPr>
          <w:b/>
          <w:bCs/>
        </w:rPr>
      </w:pPr>
      <w:r w:rsidRPr="02B15C40">
        <w:rPr>
          <w:b/>
          <w:bCs/>
        </w:rPr>
        <w:t>(e) in connection with a statistical survey, that is not designed to produc</w:t>
      </w:r>
      <w:r w:rsidRPr="02B15C40" w:rsidR="0913D8C0">
        <w:rPr>
          <w:b/>
          <w:bCs/>
        </w:rPr>
        <w:t>e</w:t>
      </w:r>
      <w:r w:rsidRPr="02B15C40">
        <w:rPr>
          <w:b/>
          <w:bCs/>
        </w:rPr>
        <w:t xml:space="preserve"> valid and reliable results that can be generalized to the universe of study; </w:t>
      </w:r>
    </w:p>
    <w:p w:rsidR="00DB6FBD" w:rsidP="00A41763" w14:paraId="21472A65" w14:textId="77777777">
      <w:pPr>
        <w:rPr>
          <w:b/>
          <w:bCs/>
        </w:rPr>
      </w:pPr>
      <w:r w:rsidRPr="00A41763">
        <w:rPr>
          <w:b/>
          <w:bCs/>
        </w:rPr>
        <w:t xml:space="preserve">(f) requiring the use of statistical data classification that has not been reviewed and approved by OMB; </w:t>
      </w:r>
    </w:p>
    <w:p w:rsidR="00DB6FBD" w:rsidP="00A41763" w14:paraId="4232396F" w14:textId="1100D4E3">
      <w:pPr>
        <w:rPr>
          <w:b/>
          <w:bCs/>
        </w:rPr>
      </w:pPr>
      <w:r w:rsidRPr="02B15C40">
        <w:rPr>
          <w:b/>
          <w:bCs/>
        </w:rPr>
        <w:t>(g) that includes a pledge of confidential</w:t>
      </w:r>
      <w:r w:rsidRPr="02B15C40" w:rsidR="45DF7F08">
        <w:rPr>
          <w:b/>
          <w:bCs/>
        </w:rPr>
        <w:t>ity</w:t>
      </w:r>
      <w:r w:rsidRPr="02B15C40">
        <w:rPr>
          <w:b/>
          <w:bCs/>
        </w:rPr>
        <w:t xml:space="preserve"> that is not supported by authority established in stature of regulation, that is not supported by disclosure and data security policies that are consistent with the pledge, or which unnecessarily impedes sharing of data with other agencies for compatible confidential use; </w:t>
      </w:r>
      <w:r w:rsidRPr="02B15C40">
        <w:rPr>
          <w:b/>
          <w:bCs/>
        </w:rPr>
        <w:t>or</w:t>
      </w:r>
    </w:p>
    <w:p w:rsidR="00A41763" w:rsidRPr="00A41763" w:rsidP="00A41763" w14:paraId="1BD241E0" w14:textId="77777777">
      <w:r w:rsidRPr="056069AD">
        <w:rPr>
          <w:b/>
          <w:bCs/>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00FC51B2" w:rsidRPr="001E4FAD" w:rsidP="00FC51B2" w14:paraId="5B77B87E" w14:textId="5FD18529">
      <w:pPr>
        <w:autoSpaceDE w:val="0"/>
        <w:autoSpaceDN w:val="0"/>
        <w:adjustRightInd w:val="0"/>
        <w:spacing w:after="0" w:line="240" w:lineRule="auto"/>
        <w:rPr>
          <w:rFonts w:cstheme="minorHAnsi"/>
        </w:rPr>
      </w:pPr>
      <w:r w:rsidRPr="001E4FAD">
        <w:rPr>
          <w:rFonts w:cstheme="minorHAnsi"/>
        </w:rPr>
        <w:t>There are no special circumstances that require the collection to be conducted in a manner inconsistent with OMB guidelines.</w:t>
      </w:r>
      <w:r w:rsidR="00C6336C">
        <w:rPr>
          <w:rFonts w:cstheme="minorHAnsi"/>
        </w:rPr>
        <w:t xml:space="preserve"> </w:t>
      </w:r>
      <w:r w:rsidRPr="001E4FAD">
        <w:rPr>
          <w:rFonts w:cstheme="minorHAnsi"/>
        </w:rPr>
        <w:t xml:space="preserve">The information collection is being conducted in a manner that is consistent with OMB guidelines. </w:t>
      </w:r>
    </w:p>
    <w:p w:rsidR="008C734C" w:rsidP="00A41763" w14:paraId="6BD56677" w14:textId="77777777">
      <w:pPr>
        <w:rPr>
          <w:b/>
          <w:bCs/>
        </w:rPr>
      </w:pPr>
    </w:p>
    <w:p w:rsidR="008C734C" w:rsidP="008C734C" w14:paraId="74C8DEA2" w14:textId="77777777">
      <w:pPr>
        <w:pStyle w:val="Heading2"/>
      </w:pPr>
      <w:bookmarkStart w:id="9" w:name="_Toc16271326"/>
      <w:r>
        <w:t>A.</w:t>
      </w:r>
      <w:r w:rsidRPr="00A41763" w:rsidR="00A41763">
        <w:t xml:space="preserve">8. </w:t>
      </w:r>
      <w:r w:rsidRPr="008C734C">
        <w:t>Summary of Consultations Outside of the Agency</w:t>
      </w:r>
      <w:bookmarkEnd w:id="9"/>
    </w:p>
    <w:p w:rsidR="00A41763" w:rsidRPr="00A41763" w:rsidP="00A41763" w14:paraId="5911F359" w14:textId="77777777">
      <w:r w:rsidRPr="056069AD">
        <w:rPr>
          <w:b/>
          <w:bCs/>
        </w:rPr>
        <w:t>If applicable, provide a copy and identify the date and page number of publication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w:t>
      </w:r>
    </w:p>
    <w:p w:rsidR="0085700C" w:rsidRPr="001E4FAD" w:rsidP="056069AD" w14:paraId="6CD45A06" w14:textId="131FCC98">
      <w:pPr>
        <w:autoSpaceDE w:val="0"/>
        <w:autoSpaceDN w:val="0"/>
        <w:adjustRightInd w:val="0"/>
        <w:spacing w:after="0" w:line="240" w:lineRule="auto"/>
      </w:pPr>
      <w:r w:rsidRPr="056069AD">
        <w:t>DOE corresponds directly with all EECBG Financing program managers via email and also through the online reporting tool that provides comment and response capability for DOE and the recipient.</w:t>
      </w:r>
      <w:r w:rsidRPr="056069AD" w:rsidR="00200046">
        <w:t xml:space="preserve"> </w:t>
      </w:r>
      <w:r w:rsidRPr="056069AD">
        <w:t xml:space="preserve">DOE published a 60-day </w:t>
      </w:r>
      <w:r w:rsidRPr="056069AD">
        <w:rPr>
          <w:i/>
          <w:iCs/>
        </w:rPr>
        <w:t>Federal Register Notice</w:t>
      </w:r>
      <w:r w:rsidRPr="056069AD">
        <w:t xml:space="preserve"> and Request for Comments concerning this collection in the </w:t>
      </w:r>
      <w:r w:rsidRPr="056069AD">
        <w:rPr>
          <w:i/>
          <w:iCs/>
        </w:rPr>
        <w:t>Federal Register</w:t>
      </w:r>
      <w:r w:rsidRPr="056069AD">
        <w:t xml:space="preserve"> on July 29, 2025 (Vol. </w:t>
      </w:r>
      <w:r w:rsidRPr="056069AD" w:rsidR="0053183D">
        <w:t>90</w:t>
      </w:r>
      <w:r w:rsidRPr="056069AD">
        <w:t>; No. 1</w:t>
      </w:r>
      <w:r w:rsidRPr="056069AD" w:rsidR="00612688">
        <w:t>43</w:t>
      </w:r>
      <w:r w:rsidRPr="056069AD">
        <w:t>; Page 3</w:t>
      </w:r>
      <w:r w:rsidRPr="056069AD" w:rsidR="00612688">
        <w:t>5677</w:t>
      </w:r>
      <w:r w:rsidRPr="056069AD">
        <w:t>).</w:t>
      </w:r>
      <w:r w:rsidRPr="056069AD" w:rsidR="00200046">
        <w:t xml:space="preserve"> </w:t>
      </w:r>
      <w:r w:rsidRPr="056069AD" w:rsidR="00CA6855">
        <w:t>No com</w:t>
      </w:r>
      <w:r w:rsidRPr="056069AD">
        <w:t>ments</w:t>
      </w:r>
      <w:r w:rsidRPr="056069AD" w:rsidR="00CA6855">
        <w:t xml:space="preserve"> were received to the 60-day notice.</w:t>
      </w:r>
      <w:r w:rsidRPr="056069AD">
        <w:t xml:space="preserve"> The 30-day notice is pending.</w:t>
      </w:r>
    </w:p>
    <w:p w:rsidR="008C734C" w:rsidP="00A41763" w14:paraId="372A7454" w14:textId="77777777">
      <w:pPr>
        <w:rPr>
          <w:b/>
          <w:bCs/>
        </w:rPr>
      </w:pPr>
    </w:p>
    <w:p w:rsidR="008C734C" w:rsidP="008C734C" w14:paraId="72BD7E79" w14:textId="77777777">
      <w:pPr>
        <w:pStyle w:val="Heading2"/>
      </w:pPr>
      <w:bookmarkStart w:id="10" w:name="_Toc16271327"/>
      <w:r>
        <w:t>A.</w:t>
      </w:r>
      <w:r w:rsidRPr="00A41763" w:rsidR="00A41763">
        <w:t xml:space="preserve">9. </w:t>
      </w:r>
      <w:r w:rsidRPr="008C734C">
        <w:t>Payments or Gifts to Respondents</w:t>
      </w:r>
      <w:bookmarkEnd w:id="10"/>
      <w:r w:rsidRPr="008C734C">
        <w:t xml:space="preserve"> </w:t>
      </w:r>
    </w:p>
    <w:p w:rsidR="00A41763" w:rsidRPr="00A41763" w:rsidP="00A41763" w14:paraId="6AA9DE7E" w14:textId="77777777">
      <w:r w:rsidRPr="056069AD">
        <w:rPr>
          <w:b/>
          <w:bCs/>
        </w:rPr>
        <w:t xml:space="preserve">Explain any decision to provide any payment or gift to respondents, other than </w:t>
      </w:r>
      <w:r w:rsidRPr="056069AD" w:rsidR="001A6E9A">
        <w:rPr>
          <w:b/>
          <w:bCs/>
        </w:rPr>
        <w:t>remuneration</w:t>
      </w:r>
      <w:r w:rsidRPr="056069AD">
        <w:rPr>
          <w:b/>
          <w:bCs/>
        </w:rPr>
        <w:t xml:space="preserve"> of contractors or grantees. </w:t>
      </w:r>
    </w:p>
    <w:p w:rsidR="00D16353" w:rsidRPr="0037610B" w:rsidP="00D16353" w14:paraId="22A7DCCA" w14:textId="77777777">
      <w:pPr>
        <w:rPr>
          <w:rFonts w:cstheme="minorHAnsi"/>
          <w:b/>
          <w:bCs/>
        </w:rPr>
      </w:pPr>
      <w:r w:rsidRPr="001E4FAD">
        <w:rPr>
          <w:rFonts w:cstheme="minorHAnsi"/>
        </w:rPr>
        <w:t>No payment or gift has been, or will be, provided to respondents.</w:t>
      </w:r>
    </w:p>
    <w:p w:rsidR="008C734C" w:rsidP="008C734C" w14:paraId="21C23607" w14:textId="77777777">
      <w:pPr>
        <w:pStyle w:val="Heading2"/>
      </w:pPr>
      <w:bookmarkStart w:id="11" w:name="_Toc16271328"/>
      <w:r>
        <w:t>A.</w:t>
      </w:r>
      <w:r w:rsidRPr="00A41763" w:rsidR="00A41763">
        <w:t xml:space="preserve">10. </w:t>
      </w:r>
      <w:r w:rsidRPr="008C734C">
        <w:t>Provisions for Protection of Information</w:t>
      </w:r>
      <w:bookmarkEnd w:id="11"/>
      <w:r w:rsidRPr="008C734C">
        <w:t xml:space="preserve"> </w:t>
      </w:r>
    </w:p>
    <w:p w:rsidR="00A41763" w:rsidRPr="00A41763" w:rsidP="00A41763" w14:paraId="329F710D" w14:textId="77777777">
      <w:r w:rsidRPr="056069AD">
        <w:rPr>
          <w:b/>
          <w:bCs/>
        </w:rPr>
        <w:t xml:space="preserve">Describe any assurance of confidentiality provided to respondents and the basis for the assurance in statute, regulation, or agency policy. </w:t>
      </w:r>
    </w:p>
    <w:p w:rsidR="00662B2C" w:rsidRPr="001E4FAD" w:rsidP="00662B2C" w14:paraId="60DC4FC0" w14:textId="45853FFA">
      <w:pPr>
        <w:autoSpaceDE w:val="0"/>
        <w:autoSpaceDN w:val="0"/>
        <w:adjustRightInd w:val="0"/>
        <w:spacing w:after="0" w:line="240" w:lineRule="auto"/>
        <w:rPr>
          <w:rFonts w:cstheme="minorHAnsi"/>
        </w:rPr>
      </w:pPr>
      <w:r w:rsidRPr="001E4FAD">
        <w:rPr>
          <w:rFonts w:cstheme="minorHAnsi"/>
        </w:rPr>
        <w:t>No identifiable confidential information is requested, simply the number of and the dollar amounts of loans, repayments</w:t>
      </w:r>
      <w:r>
        <w:rPr>
          <w:rFonts w:cstheme="minorHAnsi"/>
        </w:rPr>
        <w:t>,</w:t>
      </w:r>
      <w:r w:rsidRPr="001E4FAD">
        <w:rPr>
          <w:rFonts w:cstheme="minorHAnsi"/>
        </w:rPr>
        <w:t xml:space="preserve"> and </w:t>
      </w:r>
      <w:r>
        <w:t>interest rate buydowns</w:t>
      </w:r>
      <w:r w:rsidRPr="0037610B">
        <w:rPr>
          <w:rFonts w:cstheme="minorHAnsi"/>
        </w:rPr>
        <w:t xml:space="preserve"> </w:t>
      </w:r>
      <w:r w:rsidRPr="001E4FAD">
        <w:rPr>
          <w:rFonts w:cstheme="minorHAnsi"/>
        </w:rPr>
        <w:t>issued.</w:t>
      </w:r>
      <w:r w:rsidR="00200046">
        <w:rPr>
          <w:rFonts w:cstheme="minorHAnsi"/>
        </w:rPr>
        <w:t xml:space="preserve"> </w:t>
      </w:r>
    </w:p>
    <w:p w:rsidR="00662B2C" w:rsidRPr="001E4FAD" w:rsidP="00662B2C" w14:paraId="7EEC6C49" w14:textId="77777777">
      <w:pPr>
        <w:autoSpaceDE w:val="0"/>
        <w:autoSpaceDN w:val="0"/>
        <w:adjustRightInd w:val="0"/>
        <w:spacing w:after="0" w:line="240" w:lineRule="auto"/>
        <w:rPr>
          <w:rFonts w:cstheme="minorHAnsi"/>
        </w:rPr>
      </w:pPr>
    </w:p>
    <w:p w:rsidR="00F056C3" w:rsidP="00662B2C" w14:paraId="65F72007" w14:textId="63284048">
      <w:pPr>
        <w:rPr>
          <w:b/>
          <w:bCs/>
        </w:rPr>
      </w:pPr>
      <w:r w:rsidRPr="001E4FAD">
        <w:rPr>
          <w:rFonts w:cstheme="minorHAnsi"/>
        </w:rPr>
        <w:t>Financing program managers may collect some forms of confidential information for their own fiduciary purposes; for example, borrower names, addresses and credit information are critical to the lenders.</w:t>
      </w:r>
      <w:r w:rsidR="00200046">
        <w:rPr>
          <w:rFonts w:cstheme="minorHAnsi"/>
        </w:rPr>
        <w:t xml:space="preserve"> </w:t>
      </w:r>
      <w:r w:rsidRPr="001E4FAD">
        <w:rPr>
          <w:rFonts w:cstheme="minorHAnsi"/>
        </w:rPr>
        <w:t>This information is not reported to DOE and is controlled by the lenders, the state or tribal organization or their contractors, not by Federal regulation.</w:t>
      </w:r>
    </w:p>
    <w:p w:rsidR="00F056C3" w:rsidP="00F056C3" w14:paraId="54948D33" w14:textId="77777777">
      <w:pPr>
        <w:pStyle w:val="Heading2"/>
      </w:pPr>
      <w:bookmarkStart w:id="12" w:name="_Toc16271329"/>
      <w:r>
        <w:t>A.</w:t>
      </w:r>
      <w:r w:rsidRPr="00A41763" w:rsidR="00A41763">
        <w:t xml:space="preserve">11. </w:t>
      </w:r>
      <w:r w:rsidRPr="00F056C3">
        <w:t>Justification for Sensitive Questions</w:t>
      </w:r>
      <w:bookmarkEnd w:id="12"/>
      <w:r w:rsidRPr="00F056C3">
        <w:t xml:space="preserve"> </w:t>
      </w:r>
    </w:p>
    <w:p w:rsidR="00A41763" w:rsidRPr="00A41763" w:rsidP="00A41763" w14:paraId="61F9C381" w14:textId="77777777">
      <w:r w:rsidRPr="056069AD">
        <w:rPr>
          <w:b/>
          <w:bCs/>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w:t>
      </w:r>
      <w:r w:rsidRPr="056069AD" w:rsidR="00F056C3">
        <w:rPr>
          <w:b/>
          <w:bCs/>
        </w:rPr>
        <w:t>s to be made of the information</w:t>
      </w:r>
      <w:r w:rsidRPr="056069AD">
        <w:rPr>
          <w:b/>
          <w:bCs/>
        </w:rPr>
        <w:t xml:space="preserve">, the explanation to be given to persons from whom the information is requested, and any steps to be taken to obtain their consent. </w:t>
      </w:r>
    </w:p>
    <w:p w:rsidR="00C51C0C" w:rsidRPr="0037610B" w:rsidP="00C51C0C" w14:paraId="35A919EA" w14:textId="77777777">
      <w:pPr>
        <w:rPr>
          <w:rFonts w:cstheme="minorHAnsi"/>
          <w:b/>
          <w:bCs/>
        </w:rPr>
      </w:pPr>
      <w:r w:rsidRPr="001E4FAD">
        <w:rPr>
          <w:rFonts w:cstheme="minorHAnsi"/>
        </w:rPr>
        <w:t>The ICR asks no questions of a sensitive, personal, or private nature.</w:t>
      </w:r>
    </w:p>
    <w:p w:rsidR="00F056C3" w:rsidP="00A41763" w14:paraId="0CF6EDF8" w14:textId="77777777">
      <w:pPr>
        <w:rPr>
          <w:b/>
          <w:bCs/>
        </w:rPr>
      </w:pPr>
    </w:p>
    <w:p w:rsidR="00F056C3" w:rsidP="00F056C3" w14:paraId="78140148" w14:textId="77777777">
      <w:pPr>
        <w:pStyle w:val="Heading2"/>
      </w:pPr>
      <w:bookmarkStart w:id="13" w:name="_Toc16271330"/>
      <w:r>
        <w:t>A.</w:t>
      </w:r>
      <w:r w:rsidRPr="00A41763" w:rsidR="00A41763">
        <w:t>12</w:t>
      </w:r>
      <w:r w:rsidR="006F3C12">
        <w:t>A</w:t>
      </w:r>
      <w:r w:rsidRPr="00A41763" w:rsidR="00A41763">
        <w:t xml:space="preserve">. </w:t>
      </w:r>
      <w:r w:rsidRPr="00F056C3">
        <w:t>Estimate of Respondent Burden Hours</w:t>
      </w:r>
      <w:bookmarkEnd w:id="13"/>
      <w:r w:rsidRPr="00F056C3">
        <w:t xml:space="preserve"> </w:t>
      </w:r>
    </w:p>
    <w:p w:rsidR="00AC69E8" w:rsidP="00AC69E8" w14:paraId="32821E38" w14:textId="77777777">
      <w:pPr>
        <w:pStyle w:val="Default"/>
      </w:pPr>
      <w:r w:rsidRPr="00A41763">
        <w:rPr>
          <w:b/>
          <w:bCs/>
        </w:rPr>
        <w:t xml:space="preserve">Provide estimates of the hour burden of the collection of information. The statement should indicate the number of respondents, frequency of response, annual hour burden, and </w:t>
      </w:r>
      <w:r w:rsidRPr="00537A91">
        <w:rPr>
          <w:b/>
          <w:bCs/>
          <w:u w:val="single"/>
        </w:rPr>
        <w:t>an explanation of how the burden was estimated</w:t>
      </w:r>
      <w:r w:rsidRPr="00A41763">
        <w:rPr>
          <w:b/>
          <w:bCs/>
        </w:rPr>
        <w:t xml:space="preserve">. Unless directed to do so, DOE should not conduct special surveys to obtain information on which to base hour burden estimates. Consultation with a sample fewer than 10 potential respondents is desirable. </w:t>
      </w:r>
    </w:p>
    <w:p w:rsidR="00537A91" w:rsidP="00A41763" w14:paraId="312CC952" w14:textId="6AC96615">
      <w:pPr>
        <w:rPr>
          <w:b/>
          <w:bCs/>
        </w:rPr>
      </w:pPr>
    </w:p>
    <w:p w:rsidR="000F2D1C" w:rsidRPr="008239B8" w:rsidP="000F2D1C" w14:paraId="4F1DA9C1" w14:textId="1BE4480C">
      <w:pPr>
        <w:rPr>
          <w:rFonts w:cstheme="minorHAnsi"/>
        </w:rPr>
      </w:pPr>
      <w:r w:rsidRPr="008239B8">
        <w:rPr>
          <w:rFonts w:cstheme="minorHAnsi"/>
        </w:rPr>
        <w:t>The EECBG burden below reflects the financing programs that were developed in the EECBG grant program.</w:t>
      </w:r>
      <w:r w:rsidR="00C6336C">
        <w:rPr>
          <w:rFonts w:cstheme="minorHAnsi"/>
        </w:rPr>
        <w:t xml:space="preserve"> </w:t>
      </w:r>
      <w:r w:rsidRPr="008239B8">
        <w:rPr>
          <w:rFonts w:cstheme="minorHAnsi"/>
        </w:rPr>
        <w:t>The total burden calculation is provided for all remaining financing programs.</w:t>
      </w:r>
      <w:r w:rsidR="00C6336C">
        <w:rPr>
          <w:rFonts w:cstheme="minorHAnsi"/>
        </w:rPr>
        <w:t xml:space="preserve"> </w:t>
      </w:r>
      <w:r w:rsidRPr="008239B8">
        <w:rPr>
          <w:rFonts w:cstheme="minorHAnsi"/>
        </w:rPr>
        <w:t>The reporting form and instructions are the same for all programs.</w:t>
      </w:r>
    </w:p>
    <w:p w:rsidR="000F2D1C" w:rsidRPr="008239B8" w:rsidP="000F2D1C" w14:paraId="40063E36" w14:textId="2D7C72BB">
      <w:pPr>
        <w:rPr>
          <w:rFonts w:cstheme="minorHAnsi"/>
        </w:rPr>
      </w:pPr>
      <w:r w:rsidRPr="008239B8">
        <w:rPr>
          <w:rFonts w:cstheme="minorHAnsi"/>
          <w:i/>
          <w:iCs/>
        </w:rPr>
        <w:t xml:space="preserve">EECBG Formula Program Burden Estimates </w:t>
      </w:r>
      <w:r>
        <w:rPr>
          <w:rFonts w:cstheme="minorHAnsi"/>
          <w:i/>
          <w:iCs/>
        </w:rPr>
        <w:br/>
      </w:r>
      <w:r w:rsidRPr="008239B8">
        <w:rPr>
          <w:rFonts w:cstheme="minorHAnsi"/>
        </w:rPr>
        <w:t>The estimates below reflect Financing programs that continue indefinitely.</w:t>
      </w:r>
      <w:r w:rsidR="00C6336C">
        <w:rPr>
          <w:rFonts w:cstheme="minorHAnsi"/>
        </w:rPr>
        <w:t xml:space="preserve"> </w:t>
      </w:r>
      <w:r w:rsidRPr="008239B8">
        <w:rPr>
          <w:rFonts w:cstheme="minorHAnsi"/>
        </w:rPr>
        <w:t>These programs are generally in the form of loan loss reserve, rebate, and revolving loan programs.</w:t>
      </w:r>
      <w:r w:rsidR="00C6336C">
        <w:rPr>
          <w:rFonts w:cstheme="minorHAnsi"/>
        </w:rPr>
        <w:t xml:space="preserve"> </w:t>
      </w:r>
    </w:p>
    <w:p w:rsidR="000F2D1C" w:rsidRPr="008239B8" w:rsidP="056069AD" w14:paraId="4A8D6313" w14:textId="1DD4CFC1">
      <w:r w:rsidRPr="056069AD">
        <w:rPr>
          <w:i/>
          <w:iCs/>
        </w:rPr>
        <w:t>EECBG Formula - Annual Reporting burden for reporting entities</w:t>
      </w:r>
      <w:r>
        <w:br/>
      </w:r>
      <w:r w:rsidRPr="056069AD">
        <w:t xml:space="preserve">As of the reporting period ending </w:t>
      </w:r>
      <w:r w:rsidRPr="056069AD" w:rsidR="00D27247">
        <w:t>June</w:t>
      </w:r>
      <w:r w:rsidRPr="056069AD">
        <w:t xml:space="preserve"> </w:t>
      </w:r>
      <w:r w:rsidRPr="056069AD" w:rsidR="00D27247">
        <w:t>30</w:t>
      </w:r>
      <w:r w:rsidRPr="056069AD">
        <w:t>, 202</w:t>
      </w:r>
      <w:r w:rsidRPr="056069AD" w:rsidR="00BB247E">
        <w:t>5</w:t>
      </w:r>
      <w:r w:rsidRPr="056069AD">
        <w:t xml:space="preserve">, there were </w:t>
      </w:r>
      <w:r w:rsidRPr="056069AD" w:rsidR="00D27247">
        <w:t>6</w:t>
      </w:r>
      <w:r w:rsidRPr="056069AD" w:rsidR="00176164">
        <w:t>0</w:t>
      </w:r>
      <w:r w:rsidRPr="056069AD">
        <w:t xml:space="preserve"> reporting entities that file Annual Reports on their financing programs.</w:t>
      </w:r>
      <w:r w:rsidRPr="056069AD" w:rsidR="00C6336C">
        <w:t xml:space="preserve"> </w:t>
      </w:r>
      <w:r w:rsidRPr="056069AD">
        <w:t>They are required to report annually for as long as the financing programs continue to operate with Federal funds.</w:t>
      </w:r>
      <w:r w:rsidRPr="056069AD" w:rsidR="00C6336C">
        <w:t xml:space="preserve"> </w:t>
      </w:r>
      <w:r w:rsidRPr="056069AD">
        <w:t xml:space="preserve">Each financing program manager will submit data for their Annual Report to </w:t>
      </w:r>
      <w:r w:rsidRPr="056069AD">
        <w:rPr>
          <w:i/>
          <w:iCs/>
        </w:rPr>
        <w:t>PAGE</w:t>
      </w:r>
      <w:r w:rsidRPr="056069AD">
        <w:t>, the electronic reporting system.</w:t>
      </w:r>
      <w:r w:rsidRPr="056069AD" w:rsidR="00C6336C">
        <w:t xml:space="preserve"> </w:t>
      </w:r>
      <w:r w:rsidRPr="056069AD">
        <w:t>After consulting with recipient financing program managers, program management</w:t>
      </w:r>
      <w:r w:rsidRPr="056069AD">
        <w:rPr>
          <w:i/>
          <w:iCs/>
        </w:rPr>
        <w:t xml:space="preserve"> </w:t>
      </w:r>
      <w:r w:rsidRPr="056069AD">
        <w:t>has determined that it will take 3 hours for financing program managers to complete an Annual Report.</w:t>
      </w:r>
    </w:p>
    <w:p w:rsidR="000F2D1C" w:rsidRPr="008239B8" w:rsidP="000F2D1C" w14:paraId="2D1EB85B" w14:textId="77777777">
      <w:pPr>
        <w:autoSpaceDE w:val="0"/>
        <w:autoSpaceDN w:val="0"/>
        <w:adjustRightInd w:val="0"/>
        <w:spacing w:after="0" w:line="240" w:lineRule="auto"/>
        <w:rPr>
          <w:rFonts w:cstheme="minorHAnsi"/>
        </w:rPr>
      </w:pPr>
    </w:p>
    <w:p w:rsidR="000F2D1C" w:rsidRPr="008239B8" w:rsidP="056069AD" w14:paraId="0E93367B" w14:textId="1D89F0C2">
      <w:pPr>
        <w:numPr>
          <w:ilvl w:val="0"/>
          <w:numId w:val="49"/>
        </w:numPr>
        <w:autoSpaceDE w:val="0"/>
        <w:autoSpaceDN w:val="0"/>
        <w:adjustRightInd w:val="0"/>
        <w:spacing w:after="0" w:line="240" w:lineRule="auto"/>
        <w:contextualSpacing/>
      </w:pPr>
      <w:r w:rsidRPr="056069AD">
        <w:t>6</w:t>
      </w:r>
      <w:r w:rsidRPr="056069AD" w:rsidR="00F4261C">
        <w:t>0</w:t>
      </w:r>
      <w:r w:rsidRPr="056069AD">
        <w:t xml:space="preserve"> </w:t>
      </w:r>
      <w:r w:rsidRPr="056069AD" w:rsidR="00554F7F">
        <w:t>f</w:t>
      </w:r>
      <w:r w:rsidRPr="056069AD">
        <w:t xml:space="preserve">inancing program </w:t>
      </w:r>
      <w:r w:rsidRPr="056069AD" w:rsidR="00554F7F">
        <w:t>entities</w:t>
      </w:r>
      <w:r w:rsidRPr="056069AD" w:rsidR="008B016F">
        <w:t xml:space="preserve"> multiplied by </w:t>
      </w:r>
      <w:r w:rsidRPr="056069AD">
        <w:t xml:space="preserve">3 hours </w:t>
      </w:r>
      <w:r w:rsidRPr="056069AD" w:rsidR="008B016F">
        <w:t xml:space="preserve">of </w:t>
      </w:r>
      <w:r w:rsidRPr="056069AD" w:rsidR="00A37E39">
        <w:t>work preparing</w:t>
      </w:r>
      <w:r w:rsidRPr="056069AD" w:rsidR="007444CB">
        <w:t xml:space="preserve"> annual </w:t>
      </w:r>
      <w:r w:rsidRPr="056069AD" w:rsidR="00A37E39">
        <w:t>reports</w:t>
      </w:r>
      <w:r w:rsidRPr="056069AD" w:rsidR="00A375AE">
        <w:t xml:space="preserve"> is </w:t>
      </w:r>
      <w:r w:rsidRPr="056069AD">
        <w:t>18</w:t>
      </w:r>
      <w:r w:rsidRPr="056069AD" w:rsidR="00996FC3">
        <w:t>0</w:t>
      </w:r>
      <w:r w:rsidRPr="056069AD">
        <w:t xml:space="preserve"> hours annually</w:t>
      </w:r>
      <w:r w:rsidRPr="056069AD" w:rsidR="00996FC3">
        <w:t>.</w:t>
      </w:r>
    </w:p>
    <w:p w:rsidR="000F2D1C" w:rsidRPr="0037610B" w:rsidP="000F2D1C" w14:paraId="409DC1BC" w14:textId="77777777">
      <w:pPr>
        <w:rPr>
          <w:rFonts w:cstheme="minorHAnsi"/>
          <w:b/>
          <w:bCs/>
        </w:rPr>
      </w:pPr>
    </w:p>
    <w:tbl>
      <w:tblPr>
        <w:tblW w:w="10020" w:type="dxa"/>
        <w:tblLook w:val="04A0"/>
      </w:tblPr>
      <w:tblGrid>
        <w:gridCol w:w="2430"/>
        <w:gridCol w:w="1714"/>
        <w:gridCol w:w="1296"/>
        <w:gridCol w:w="1158"/>
        <w:gridCol w:w="1157"/>
        <w:gridCol w:w="1155"/>
        <w:gridCol w:w="1110"/>
      </w:tblGrid>
      <w:tr w14:paraId="6A6F98CE" w14:textId="77777777" w:rsidTr="056069AD">
        <w:tblPrEx>
          <w:tblW w:w="10020" w:type="dxa"/>
          <w:tblLook w:val="04A0"/>
        </w:tblPrEx>
        <w:trPr>
          <w:trHeight w:val="360"/>
        </w:trPr>
        <w:tc>
          <w:tcPr>
            <w:tcW w:w="8910" w:type="dxa"/>
            <w:gridSpan w:val="6"/>
            <w:tcBorders>
              <w:top w:val="nil"/>
              <w:left w:val="nil"/>
              <w:bottom w:val="single" w:sz="4" w:space="0" w:color="auto"/>
              <w:right w:val="nil"/>
            </w:tcBorders>
            <w:hideMark/>
          </w:tcPr>
          <w:p w:rsidR="000F2D1C" w:rsidRPr="001E4FAD" w:rsidP="056069AD" w14:paraId="7F1E13D9" w14:textId="77777777">
            <w:pPr>
              <w:spacing w:after="0" w:line="240" w:lineRule="auto"/>
              <w:jc w:val="center"/>
              <w:rPr>
                <w:rFonts w:eastAsia="Times New Roman"/>
                <w:b/>
                <w:bCs/>
                <w:color w:val="0070C0"/>
                <w:sz w:val="28"/>
                <w:szCs w:val="28"/>
              </w:rPr>
            </w:pPr>
            <w:r w:rsidRPr="056069AD">
              <w:rPr>
                <w:rFonts w:eastAsia="Times New Roman"/>
                <w:b/>
                <w:bCs/>
                <w:color w:val="0070C0"/>
                <w:sz w:val="28"/>
                <w:szCs w:val="28"/>
              </w:rPr>
              <w:t>Table A1. Estimated Respondent Hour Burden</w:t>
            </w:r>
          </w:p>
        </w:tc>
        <w:tc>
          <w:tcPr>
            <w:tcW w:w="1110" w:type="dxa"/>
            <w:tcBorders>
              <w:top w:val="nil"/>
              <w:left w:val="nil"/>
              <w:bottom w:val="nil"/>
              <w:right w:val="nil"/>
            </w:tcBorders>
            <w:noWrap/>
            <w:vAlign w:val="bottom"/>
            <w:hideMark/>
          </w:tcPr>
          <w:p w:rsidR="000F2D1C" w:rsidRPr="001E4FAD" w14:paraId="3FEC61C5" w14:textId="77777777">
            <w:pPr>
              <w:spacing w:after="0" w:line="240" w:lineRule="auto"/>
              <w:jc w:val="center"/>
              <w:rPr>
                <w:rFonts w:eastAsia="Times New Roman" w:cstheme="minorHAnsi"/>
                <w:b/>
                <w:bCs/>
                <w:color w:val="0070C0"/>
                <w:sz w:val="28"/>
                <w:szCs w:val="28"/>
              </w:rPr>
            </w:pPr>
          </w:p>
        </w:tc>
      </w:tr>
      <w:tr w14:paraId="70F0D6FF" w14:textId="77777777" w:rsidTr="00E37DC2">
        <w:tblPrEx>
          <w:tblW w:w="10020" w:type="dxa"/>
          <w:tblLook w:val="04A0"/>
        </w:tblPrEx>
        <w:trPr>
          <w:trHeight w:val="765"/>
        </w:trPr>
        <w:tc>
          <w:tcPr>
            <w:tcW w:w="2430" w:type="dxa"/>
            <w:tcBorders>
              <w:top w:val="nil"/>
              <w:left w:val="single" w:sz="4" w:space="0" w:color="auto"/>
              <w:bottom w:val="single" w:sz="4" w:space="0" w:color="auto"/>
              <w:right w:val="single" w:sz="4" w:space="0" w:color="auto"/>
            </w:tcBorders>
            <w:shd w:val="clear" w:color="auto" w:fill="00B0F0"/>
            <w:vAlign w:val="center"/>
            <w:hideMark/>
          </w:tcPr>
          <w:p w:rsidR="000F2D1C" w:rsidRPr="001E4FAD" w14:paraId="564619A9" w14:textId="77777777">
            <w:pPr>
              <w:spacing w:after="0" w:line="240" w:lineRule="auto"/>
              <w:jc w:val="center"/>
              <w:rPr>
                <w:rFonts w:eastAsia="Times New Roman" w:cstheme="minorHAnsi"/>
                <w:b/>
                <w:bCs/>
                <w:sz w:val="20"/>
                <w:szCs w:val="20"/>
              </w:rPr>
            </w:pPr>
            <w:r>
              <w:rPr>
                <w:rFonts w:eastAsia="Times New Roman" w:cstheme="minorHAnsi"/>
                <w:b/>
                <w:bCs/>
                <w:sz w:val="20"/>
                <w:szCs w:val="20"/>
              </w:rPr>
              <w:t>1910-5150 EECBG Annual Report</w:t>
            </w:r>
          </w:p>
        </w:tc>
        <w:tc>
          <w:tcPr>
            <w:tcW w:w="1714" w:type="dxa"/>
            <w:tcBorders>
              <w:top w:val="nil"/>
              <w:left w:val="nil"/>
              <w:bottom w:val="single" w:sz="4" w:space="0" w:color="auto"/>
              <w:right w:val="single" w:sz="4" w:space="0" w:color="auto"/>
            </w:tcBorders>
            <w:shd w:val="clear" w:color="auto" w:fill="00B0F0"/>
            <w:vAlign w:val="center"/>
            <w:hideMark/>
          </w:tcPr>
          <w:p w:rsidR="000F2D1C" w:rsidRPr="001E4FAD" w14:paraId="5A5347C7" w14:textId="77777777">
            <w:pPr>
              <w:spacing w:after="0" w:line="240" w:lineRule="auto"/>
              <w:jc w:val="center"/>
              <w:rPr>
                <w:rFonts w:eastAsia="Times New Roman" w:cstheme="minorHAnsi"/>
                <w:b/>
                <w:bCs/>
                <w:sz w:val="20"/>
                <w:szCs w:val="20"/>
              </w:rPr>
            </w:pPr>
            <w:r w:rsidRPr="001E4FAD">
              <w:rPr>
                <w:rFonts w:eastAsia="Times New Roman" w:cstheme="minorHAnsi"/>
                <w:b/>
                <w:bCs/>
                <w:sz w:val="20"/>
                <w:szCs w:val="20"/>
              </w:rPr>
              <w:t>Type of Respondents</w:t>
            </w:r>
          </w:p>
        </w:tc>
        <w:tc>
          <w:tcPr>
            <w:tcW w:w="1296" w:type="dxa"/>
            <w:tcBorders>
              <w:top w:val="nil"/>
              <w:left w:val="nil"/>
              <w:bottom w:val="single" w:sz="4" w:space="0" w:color="auto"/>
              <w:right w:val="single" w:sz="4" w:space="0" w:color="auto"/>
            </w:tcBorders>
            <w:shd w:val="clear" w:color="auto" w:fill="00B0F0"/>
            <w:vAlign w:val="center"/>
            <w:hideMark/>
          </w:tcPr>
          <w:p w:rsidR="000F2D1C" w:rsidRPr="001E4FAD" w14:paraId="47F57FE6" w14:textId="77777777">
            <w:pPr>
              <w:spacing w:after="0" w:line="240" w:lineRule="auto"/>
              <w:jc w:val="center"/>
              <w:rPr>
                <w:rFonts w:eastAsia="Times New Roman" w:cstheme="minorHAnsi"/>
                <w:b/>
                <w:bCs/>
                <w:sz w:val="20"/>
                <w:szCs w:val="20"/>
              </w:rPr>
            </w:pPr>
            <w:r w:rsidRPr="001E4FAD">
              <w:rPr>
                <w:rFonts w:eastAsia="Times New Roman" w:cstheme="minorHAnsi"/>
                <w:b/>
                <w:bCs/>
                <w:sz w:val="20"/>
                <w:szCs w:val="20"/>
              </w:rPr>
              <w:t>Number of Respondents</w:t>
            </w:r>
          </w:p>
        </w:tc>
        <w:tc>
          <w:tcPr>
            <w:tcW w:w="1158" w:type="dxa"/>
            <w:tcBorders>
              <w:top w:val="nil"/>
              <w:left w:val="nil"/>
              <w:bottom w:val="single" w:sz="4" w:space="0" w:color="auto"/>
              <w:right w:val="single" w:sz="4" w:space="0" w:color="auto"/>
            </w:tcBorders>
            <w:shd w:val="clear" w:color="auto" w:fill="00B0F0"/>
            <w:vAlign w:val="center"/>
            <w:hideMark/>
          </w:tcPr>
          <w:p w:rsidR="000F2D1C" w:rsidRPr="001E4FAD" w14:paraId="303875E5" w14:textId="77777777">
            <w:pPr>
              <w:spacing w:after="0" w:line="240" w:lineRule="auto"/>
              <w:jc w:val="center"/>
              <w:rPr>
                <w:rFonts w:eastAsia="Times New Roman" w:cstheme="minorHAnsi"/>
                <w:b/>
                <w:bCs/>
                <w:sz w:val="20"/>
                <w:szCs w:val="20"/>
              </w:rPr>
            </w:pPr>
            <w:r w:rsidRPr="001E4FAD">
              <w:rPr>
                <w:rFonts w:eastAsia="Times New Roman" w:cstheme="minorHAnsi"/>
                <w:b/>
                <w:bCs/>
                <w:sz w:val="20"/>
                <w:szCs w:val="20"/>
              </w:rPr>
              <w:t>Annual Number of Responses</w:t>
            </w:r>
          </w:p>
        </w:tc>
        <w:tc>
          <w:tcPr>
            <w:tcW w:w="1157" w:type="dxa"/>
            <w:tcBorders>
              <w:top w:val="nil"/>
              <w:left w:val="nil"/>
              <w:bottom w:val="single" w:sz="4" w:space="0" w:color="auto"/>
              <w:right w:val="single" w:sz="4" w:space="0" w:color="auto"/>
            </w:tcBorders>
            <w:shd w:val="clear" w:color="auto" w:fill="00B0F0"/>
            <w:vAlign w:val="center"/>
            <w:hideMark/>
          </w:tcPr>
          <w:p w:rsidR="000F2D1C" w:rsidRPr="001E4FAD" w14:paraId="010F95C8" w14:textId="14C4CC21">
            <w:pPr>
              <w:spacing w:after="0" w:line="240" w:lineRule="auto"/>
              <w:jc w:val="center"/>
              <w:rPr>
                <w:rFonts w:eastAsia="Times New Roman" w:cstheme="minorHAnsi"/>
                <w:b/>
                <w:bCs/>
                <w:sz w:val="20"/>
                <w:szCs w:val="20"/>
              </w:rPr>
            </w:pPr>
            <w:r w:rsidRPr="001E4FAD">
              <w:rPr>
                <w:rFonts w:eastAsia="Times New Roman" w:cstheme="minorHAnsi"/>
                <w:b/>
                <w:bCs/>
                <w:sz w:val="20"/>
                <w:szCs w:val="20"/>
              </w:rPr>
              <w:t>Burden Hours Per Respon</w:t>
            </w:r>
            <w:r w:rsidR="00351B27">
              <w:rPr>
                <w:rFonts w:eastAsia="Times New Roman" w:cstheme="minorHAnsi"/>
                <w:b/>
                <w:bCs/>
                <w:sz w:val="20"/>
                <w:szCs w:val="20"/>
              </w:rPr>
              <w:t>ses</w:t>
            </w:r>
          </w:p>
        </w:tc>
        <w:tc>
          <w:tcPr>
            <w:tcW w:w="1155" w:type="dxa"/>
            <w:tcBorders>
              <w:top w:val="nil"/>
              <w:left w:val="nil"/>
              <w:bottom w:val="single" w:sz="4" w:space="0" w:color="auto"/>
              <w:right w:val="single" w:sz="4" w:space="0" w:color="auto"/>
            </w:tcBorders>
            <w:shd w:val="clear" w:color="auto" w:fill="00B0F0"/>
            <w:vAlign w:val="center"/>
            <w:hideMark/>
          </w:tcPr>
          <w:p w:rsidR="000F2D1C" w:rsidRPr="001E4FAD" w14:paraId="4DF1C6FD" w14:textId="77777777">
            <w:pPr>
              <w:spacing w:after="0" w:line="240" w:lineRule="auto"/>
              <w:jc w:val="center"/>
              <w:rPr>
                <w:rFonts w:eastAsia="Times New Roman" w:cstheme="minorHAnsi"/>
                <w:b/>
                <w:bCs/>
                <w:sz w:val="20"/>
                <w:szCs w:val="20"/>
              </w:rPr>
            </w:pPr>
            <w:r w:rsidRPr="001E4FAD">
              <w:rPr>
                <w:rFonts w:eastAsia="Times New Roman" w:cstheme="minorHAnsi"/>
                <w:b/>
                <w:bCs/>
                <w:sz w:val="20"/>
                <w:szCs w:val="20"/>
              </w:rPr>
              <w:t>Annual Burden Hours</w:t>
            </w:r>
          </w:p>
        </w:tc>
        <w:tc>
          <w:tcPr>
            <w:tcW w:w="1110" w:type="dxa"/>
            <w:tcBorders>
              <w:top w:val="single" w:sz="4" w:space="0" w:color="auto"/>
              <w:left w:val="nil"/>
              <w:bottom w:val="single" w:sz="4" w:space="0" w:color="auto"/>
              <w:right w:val="single" w:sz="4" w:space="0" w:color="auto"/>
            </w:tcBorders>
            <w:shd w:val="clear" w:color="auto" w:fill="00B0F0"/>
            <w:vAlign w:val="center"/>
            <w:hideMark/>
          </w:tcPr>
          <w:p w:rsidR="000F2D1C" w:rsidRPr="001E4FAD" w14:paraId="4F6BADA1" w14:textId="77777777">
            <w:pPr>
              <w:spacing w:after="0" w:line="240" w:lineRule="auto"/>
              <w:jc w:val="center"/>
              <w:rPr>
                <w:rFonts w:eastAsia="Times New Roman" w:cstheme="minorHAnsi"/>
                <w:b/>
                <w:bCs/>
                <w:sz w:val="20"/>
                <w:szCs w:val="20"/>
              </w:rPr>
            </w:pPr>
            <w:r w:rsidRPr="001E4FAD">
              <w:rPr>
                <w:rFonts w:eastAsia="Times New Roman" w:cstheme="minorHAnsi"/>
                <w:b/>
                <w:bCs/>
                <w:sz w:val="20"/>
                <w:szCs w:val="20"/>
              </w:rPr>
              <w:t>Annual Reporting Frequency</w:t>
            </w:r>
          </w:p>
        </w:tc>
      </w:tr>
      <w:tr w14:paraId="742B98B3" w14:textId="77777777" w:rsidTr="00E37DC2">
        <w:tblPrEx>
          <w:tblW w:w="10020" w:type="dxa"/>
          <w:tblLook w:val="04A0"/>
        </w:tblPrEx>
        <w:trPr>
          <w:trHeight w:val="255"/>
        </w:trPr>
        <w:tc>
          <w:tcPr>
            <w:tcW w:w="2430" w:type="dxa"/>
            <w:tcBorders>
              <w:top w:val="nil"/>
              <w:left w:val="single" w:sz="4" w:space="0" w:color="auto"/>
              <w:bottom w:val="single" w:sz="4" w:space="0" w:color="auto"/>
              <w:right w:val="single" w:sz="4" w:space="0" w:color="auto"/>
            </w:tcBorders>
            <w:vAlign w:val="bottom"/>
            <w:hideMark/>
          </w:tcPr>
          <w:p w:rsidR="000F2D1C" w:rsidRPr="001E4FAD" w14:paraId="6274E8D9" w14:textId="77777777">
            <w:pPr>
              <w:spacing w:after="0" w:line="240" w:lineRule="auto"/>
              <w:rPr>
                <w:rFonts w:eastAsia="Times New Roman" w:cstheme="minorHAnsi"/>
                <w:color w:val="000000"/>
                <w:sz w:val="20"/>
                <w:szCs w:val="20"/>
              </w:rPr>
            </w:pPr>
            <w:r w:rsidRPr="001E4FAD">
              <w:rPr>
                <w:rFonts w:eastAsia="Times New Roman" w:cstheme="minorHAnsi"/>
                <w:color w:val="000000"/>
                <w:sz w:val="20"/>
                <w:szCs w:val="20"/>
              </w:rPr>
              <w:t> EECBG Annual Reports</w:t>
            </w:r>
          </w:p>
        </w:tc>
        <w:tc>
          <w:tcPr>
            <w:tcW w:w="1714" w:type="dxa"/>
            <w:tcBorders>
              <w:top w:val="nil"/>
              <w:left w:val="nil"/>
              <w:bottom w:val="single" w:sz="4" w:space="0" w:color="auto"/>
              <w:right w:val="single" w:sz="4" w:space="0" w:color="auto"/>
            </w:tcBorders>
            <w:noWrap/>
            <w:vAlign w:val="bottom"/>
            <w:hideMark/>
          </w:tcPr>
          <w:p w:rsidR="000F2D1C" w:rsidRPr="001E4FAD" w14:paraId="3A15C28C" w14:textId="139B044F">
            <w:pPr>
              <w:spacing w:after="0" w:line="240" w:lineRule="auto"/>
              <w:rPr>
                <w:rFonts w:eastAsia="Times New Roman" w:cstheme="minorHAnsi"/>
                <w:color w:val="000000"/>
                <w:sz w:val="20"/>
                <w:szCs w:val="20"/>
              </w:rPr>
            </w:pPr>
            <w:r w:rsidRPr="001E4FAD">
              <w:rPr>
                <w:rFonts w:eastAsia="Times New Roman" w:cstheme="minorHAnsi"/>
                <w:color w:val="000000"/>
                <w:sz w:val="20"/>
                <w:szCs w:val="20"/>
              </w:rPr>
              <w:t> </w:t>
            </w:r>
            <w:r w:rsidR="00E37DC2">
              <w:rPr>
                <w:rFonts w:eastAsia="Times New Roman" w:cstheme="minorHAnsi"/>
                <w:color w:val="000000"/>
                <w:sz w:val="20"/>
                <w:szCs w:val="20"/>
              </w:rPr>
              <w:t xml:space="preserve">State and local government </w:t>
            </w:r>
            <w:r w:rsidRPr="001E4FAD">
              <w:rPr>
                <w:rFonts w:eastAsia="Times New Roman" w:cstheme="minorHAnsi"/>
                <w:color w:val="000000"/>
                <w:sz w:val="20"/>
                <w:szCs w:val="20"/>
              </w:rPr>
              <w:t>Staff</w:t>
            </w:r>
          </w:p>
        </w:tc>
        <w:tc>
          <w:tcPr>
            <w:tcW w:w="1296" w:type="dxa"/>
            <w:tcBorders>
              <w:top w:val="nil"/>
              <w:left w:val="nil"/>
              <w:bottom w:val="single" w:sz="4" w:space="0" w:color="auto"/>
              <w:right w:val="single" w:sz="4" w:space="0" w:color="auto"/>
            </w:tcBorders>
            <w:noWrap/>
            <w:vAlign w:val="bottom"/>
            <w:hideMark/>
          </w:tcPr>
          <w:p w:rsidR="000F2D1C" w:rsidRPr="001E4FAD" w14:paraId="6FD5360B" w14:textId="6427E489">
            <w:pPr>
              <w:spacing w:after="0" w:line="240" w:lineRule="auto"/>
              <w:ind w:left="720"/>
              <w:jc w:val="right"/>
              <w:rPr>
                <w:rFonts w:eastAsia="Times New Roman" w:cstheme="minorHAnsi"/>
                <w:color w:val="000000"/>
                <w:sz w:val="20"/>
                <w:szCs w:val="20"/>
              </w:rPr>
            </w:pPr>
            <w:r>
              <w:rPr>
                <w:rFonts w:eastAsia="Times New Roman" w:cstheme="minorHAnsi"/>
                <w:color w:val="000000"/>
                <w:sz w:val="20"/>
                <w:szCs w:val="20"/>
              </w:rPr>
              <w:t>6</w:t>
            </w:r>
            <w:r w:rsidR="00996FC3">
              <w:rPr>
                <w:rFonts w:eastAsia="Times New Roman" w:cstheme="minorHAnsi"/>
                <w:color w:val="000000"/>
                <w:sz w:val="20"/>
                <w:szCs w:val="20"/>
              </w:rPr>
              <w:t>0</w:t>
            </w:r>
          </w:p>
        </w:tc>
        <w:tc>
          <w:tcPr>
            <w:tcW w:w="1158" w:type="dxa"/>
            <w:tcBorders>
              <w:top w:val="nil"/>
              <w:left w:val="nil"/>
              <w:bottom w:val="single" w:sz="4" w:space="0" w:color="auto"/>
              <w:right w:val="single" w:sz="4" w:space="0" w:color="auto"/>
            </w:tcBorders>
            <w:shd w:val="clear" w:color="auto" w:fill="E2A5AC"/>
            <w:noWrap/>
            <w:vAlign w:val="bottom"/>
            <w:hideMark/>
          </w:tcPr>
          <w:p w:rsidR="000F2D1C" w:rsidRPr="001E4FAD" w14:paraId="6187453F" w14:textId="0B4E0B54">
            <w:pPr>
              <w:spacing w:after="0" w:line="240" w:lineRule="auto"/>
              <w:jc w:val="right"/>
              <w:rPr>
                <w:rFonts w:eastAsia="Times New Roman" w:cstheme="minorHAnsi"/>
                <w:color w:val="000000"/>
                <w:sz w:val="20"/>
                <w:szCs w:val="20"/>
              </w:rPr>
            </w:pPr>
            <w:r>
              <w:rPr>
                <w:rFonts w:eastAsia="Times New Roman" w:cstheme="minorHAnsi"/>
                <w:color w:val="000000"/>
                <w:sz w:val="20"/>
                <w:szCs w:val="20"/>
              </w:rPr>
              <w:t>60</w:t>
            </w:r>
          </w:p>
        </w:tc>
        <w:tc>
          <w:tcPr>
            <w:tcW w:w="1157" w:type="dxa"/>
            <w:tcBorders>
              <w:top w:val="nil"/>
              <w:left w:val="nil"/>
              <w:bottom w:val="single" w:sz="4" w:space="0" w:color="auto"/>
              <w:right w:val="single" w:sz="4" w:space="0" w:color="auto"/>
            </w:tcBorders>
            <w:noWrap/>
            <w:vAlign w:val="bottom"/>
            <w:hideMark/>
          </w:tcPr>
          <w:p w:rsidR="000F2D1C" w:rsidRPr="001E4FAD" w14:paraId="1D786877" w14:textId="4DAFFEBF">
            <w:pPr>
              <w:spacing w:after="0" w:line="240" w:lineRule="auto"/>
              <w:jc w:val="right"/>
              <w:rPr>
                <w:rFonts w:eastAsia="Times New Roman" w:cstheme="minorHAnsi"/>
                <w:color w:val="000000"/>
                <w:sz w:val="20"/>
                <w:szCs w:val="20"/>
              </w:rPr>
            </w:pPr>
            <w:r w:rsidRPr="001E4FAD">
              <w:rPr>
                <w:rFonts w:eastAsia="Times New Roman" w:cstheme="minorHAnsi"/>
                <w:color w:val="000000"/>
                <w:sz w:val="20"/>
                <w:szCs w:val="20"/>
              </w:rPr>
              <w:t>3</w:t>
            </w:r>
          </w:p>
        </w:tc>
        <w:tc>
          <w:tcPr>
            <w:tcW w:w="1155" w:type="dxa"/>
            <w:tcBorders>
              <w:top w:val="nil"/>
              <w:left w:val="nil"/>
              <w:bottom w:val="single" w:sz="4" w:space="0" w:color="auto"/>
              <w:right w:val="single" w:sz="4" w:space="0" w:color="auto"/>
            </w:tcBorders>
            <w:shd w:val="clear" w:color="auto" w:fill="E2A5AC"/>
            <w:noWrap/>
            <w:vAlign w:val="bottom"/>
            <w:hideMark/>
          </w:tcPr>
          <w:p w:rsidR="000F2D1C" w:rsidRPr="001E4FAD" w14:paraId="2F4C6A42" w14:textId="10A2E7D1">
            <w:pPr>
              <w:spacing w:after="0" w:line="240" w:lineRule="auto"/>
              <w:jc w:val="right"/>
              <w:rPr>
                <w:rFonts w:eastAsia="Times New Roman" w:cstheme="minorHAnsi"/>
                <w:color w:val="000000"/>
                <w:sz w:val="20"/>
                <w:szCs w:val="20"/>
              </w:rPr>
            </w:pPr>
            <w:r>
              <w:rPr>
                <w:rFonts w:eastAsia="Times New Roman" w:cstheme="minorHAnsi"/>
                <w:color w:val="000000"/>
                <w:sz w:val="20"/>
                <w:szCs w:val="20"/>
              </w:rPr>
              <w:t>18</w:t>
            </w:r>
            <w:r w:rsidR="009C72AA">
              <w:rPr>
                <w:rFonts w:eastAsia="Times New Roman" w:cstheme="minorHAnsi"/>
                <w:color w:val="000000"/>
                <w:sz w:val="20"/>
                <w:szCs w:val="20"/>
              </w:rPr>
              <w:t>0</w:t>
            </w:r>
          </w:p>
        </w:tc>
        <w:tc>
          <w:tcPr>
            <w:tcW w:w="1110" w:type="dxa"/>
            <w:tcBorders>
              <w:top w:val="nil"/>
              <w:left w:val="nil"/>
              <w:bottom w:val="single" w:sz="4" w:space="0" w:color="auto"/>
              <w:right w:val="single" w:sz="4" w:space="0" w:color="auto"/>
            </w:tcBorders>
            <w:noWrap/>
            <w:vAlign w:val="bottom"/>
            <w:hideMark/>
          </w:tcPr>
          <w:p w:rsidR="000F2D1C" w:rsidRPr="001E4FAD" w14:paraId="21953554" w14:textId="722C20ED">
            <w:pPr>
              <w:spacing w:after="0" w:line="240" w:lineRule="auto"/>
              <w:ind w:left="720"/>
              <w:rPr>
                <w:rFonts w:eastAsia="Times New Roman" w:cstheme="minorHAnsi"/>
                <w:color w:val="000000"/>
                <w:sz w:val="20"/>
                <w:szCs w:val="20"/>
              </w:rPr>
            </w:pPr>
            <w:r w:rsidRPr="001E4FAD">
              <w:rPr>
                <w:rFonts w:eastAsia="Times New Roman" w:cstheme="minorHAnsi"/>
                <w:color w:val="000000"/>
                <w:sz w:val="20"/>
                <w:szCs w:val="20"/>
              </w:rPr>
              <w:t>1</w:t>
            </w:r>
          </w:p>
        </w:tc>
      </w:tr>
      <w:tr w14:paraId="37CAD387" w14:textId="77777777" w:rsidTr="00E37DC2">
        <w:tblPrEx>
          <w:tblW w:w="10020" w:type="dxa"/>
          <w:tblLook w:val="04A0"/>
        </w:tblPrEx>
        <w:trPr>
          <w:trHeight w:val="255"/>
        </w:trPr>
        <w:tc>
          <w:tcPr>
            <w:tcW w:w="2430" w:type="dxa"/>
            <w:tcBorders>
              <w:top w:val="nil"/>
              <w:left w:val="single" w:sz="4" w:space="0" w:color="auto"/>
              <w:bottom w:val="single" w:sz="4" w:space="0" w:color="auto"/>
              <w:right w:val="single" w:sz="4" w:space="0" w:color="auto"/>
            </w:tcBorders>
            <w:vAlign w:val="bottom"/>
            <w:hideMark/>
          </w:tcPr>
          <w:p w:rsidR="000F2D1C" w:rsidRPr="001E4FAD" w14:paraId="478E0C47" w14:textId="77777777">
            <w:pPr>
              <w:spacing w:after="0" w:line="240" w:lineRule="auto"/>
              <w:rPr>
                <w:rFonts w:eastAsia="Times New Roman" w:cstheme="minorHAnsi"/>
                <w:b/>
                <w:bCs/>
                <w:color w:val="000000"/>
                <w:sz w:val="20"/>
                <w:szCs w:val="20"/>
              </w:rPr>
            </w:pPr>
            <w:r w:rsidRPr="001E4FAD">
              <w:rPr>
                <w:rFonts w:eastAsia="Times New Roman" w:cstheme="minorHAnsi"/>
                <w:b/>
                <w:bCs/>
                <w:color w:val="000000"/>
                <w:sz w:val="20"/>
                <w:szCs w:val="20"/>
              </w:rPr>
              <w:t>TOTAL</w:t>
            </w:r>
          </w:p>
        </w:tc>
        <w:tc>
          <w:tcPr>
            <w:tcW w:w="1714" w:type="dxa"/>
            <w:tcBorders>
              <w:top w:val="nil"/>
              <w:left w:val="nil"/>
              <w:bottom w:val="single" w:sz="4" w:space="0" w:color="auto"/>
              <w:right w:val="single" w:sz="4" w:space="0" w:color="auto"/>
            </w:tcBorders>
            <w:shd w:val="clear" w:color="auto" w:fill="333333" w:themeFill="background2"/>
            <w:noWrap/>
            <w:vAlign w:val="bottom"/>
            <w:hideMark/>
          </w:tcPr>
          <w:p w:rsidR="000F2D1C" w:rsidRPr="001E4FAD" w14:paraId="2F79E65F" w14:textId="77777777">
            <w:pPr>
              <w:spacing w:after="0" w:line="240" w:lineRule="auto"/>
              <w:rPr>
                <w:rFonts w:eastAsia="Times New Roman" w:cstheme="minorHAnsi"/>
                <w:b/>
                <w:bCs/>
                <w:color w:val="000000"/>
                <w:sz w:val="20"/>
                <w:szCs w:val="20"/>
              </w:rPr>
            </w:pPr>
            <w:r w:rsidRPr="001E4FAD">
              <w:rPr>
                <w:rFonts w:eastAsia="Times New Roman" w:cstheme="minorHAnsi"/>
                <w:b/>
                <w:bCs/>
                <w:color w:val="000000"/>
                <w:sz w:val="20"/>
                <w:szCs w:val="20"/>
              </w:rPr>
              <w:t> </w:t>
            </w:r>
          </w:p>
        </w:tc>
        <w:tc>
          <w:tcPr>
            <w:tcW w:w="1296" w:type="dxa"/>
            <w:tcBorders>
              <w:top w:val="nil"/>
              <w:left w:val="nil"/>
              <w:bottom w:val="single" w:sz="4" w:space="0" w:color="auto"/>
              <w:right w:val="single" w:sz="4" w:space="0" w:color="auto"/>
            </w:tcBorders>
            <w:shd w:val="clear" w:color="auto" w:fill="E2A5AC"/>
            <w:noWrap/>
            <w:vAlign w:val="bottom"/>
            <w:hideMark/>
          </w:tcPr>
          <w:p w:rsidR="000F2D1C" w:rsidRPr="001E4FAD" w14:paraId="72879789" w14:textId="48ED6BB4">
            <w:pPr>
              <w:spacing w:after="0" w:line="240" w:lineRule="auto"/>
              <w:jc w:val="right"/>
              <w:rPr>
                <w:rFonts w:eastAsia="Times New Roman" w:cstheme="minorHAnsi"/>
                <w:b/>
                <w:bCs/>
                <w:color w:val="000000"/>
                <w:sz w:val="20"/>
                <w:szCs w:val="20"/>
              </w:rPr>
            </w:pPr>
            <w:r>
              <w:rPr>
                <w:rFonts w:eastAsia="Times New Roman" w:cstheme="minorHAnsi"/>
                <w:b/>
                <w:bCs/>
                <w:color w:val="000000"/>
                <w:sz w:val="20"/>
                <w:szCs w:val="20"/>
              </w:rPr>
              <w:t>6</w:t>
            </w:r>
            <w:r w:rsidR="00996FC3">
              <w:rPr>
                <w:rFonts w:eastAsia="Times New Roman" w:cstheme="minorHAnsi"/>
                <w:b/>
                <w:bCs/>
                <w:color w:val="000000"/>
                <w:sz w:val="20"/>
                <w:szCs w:val="20"/>
              </w:rPr>
              <w:t>0</w:t>
            </w:r>
          </w:p>
        </w:tc>
        <w:tc>
          <w:tcPr>
            <w:tcW w:w="1158" w:type="dxa"/>
            <w:tcBorders>
              <w:top w:val="nil"/>
              <w:left w:val="nil"/>
              <w:bottom w:val="single" w:sz="4" w:space="0" w:color="auto"/>
              <w:right w:val="single" w:sz="4" w:space="0" w:color="auto"/>
            </w:tcBorders>
            <w:shd w:val="clear" w:color="auto" w:fill="E2A5AC"/>
            <w:noWrap/>
            <w:vAlign w:val="bottom"/>
            <w:hideMark/>
          </w:tcPr>
          <w:p w:rsidR="000F2D1C" w:rsidRPr="001E4FAD" w14:paraId="56CD587B" w14:textId="07DBA4AA">
            <w:pPr>
              <w:spacing w:after="0" w:line="240" w:lineRule="auto"/>
              <w:jc w:val="right"/>
              <w:rPr>
                <w:rFonts w:eastAsia="Times New Roman" w:cstheme="minorHAnsi"/>
                <w:b/>
                <w:bCs/>
                <w:color w:val="000000"/>
                <w:sz w:val="20"/>
                <w:szCs w:val="20"/>
              </w:rPr>
            </w:pPr>
            <w:r>
              <w:rPr>
                <w:rFonts w:eastAsia="Times New Roman" w:cstheme="minorHAnsi"/>
                <w:b/>
                <w:bCs/>
                <w:color w:val="000000"/>
                <w:sz w:val="20"/>
                <w:szCs w:val="20"/>
              </w:rPr>
              <w:t>60</w:t>
            </w:r>
          </w:p>
        </w:tc>
        <w:tc>
          <w:tcPr>
            <w:tcW w:w="1157" w:type="dxa"/>
            <w:tcBorders>
              <w:top w:val="nil"/>
              <w:left w:val="nil"/>
              <w:bottom w:val="single" w:sz="4" w:space="0" w:color="auto"/>
              <w:right w:val="single" w:sz="4" w:space="0" w:color="auto"/>
            </w:tcBorders>
            <w:shd w:val="clear" w:color="auto" w:fill="333333" w:themeFill="background2"/>
            <w:noWrap/>
            <w:vAlign w:val="bottom"/>
            <w:hideMark/>
          </w:tcPr>
          <w:p w:rsidR="000F2D1C" w:rsidRPr="001E4FAD" w14:paraId="1EC84E50" w14:textId="77777777">
            <w:pPr>
              <w:spacing w:after="0" w:line="240" w:lineRule="auto"/>
              <w:rPr>
                <w:rFonts w:eastAsia="Times New Roman" w:cstheme="minorHAnsi"/>
                <w:b/>
                <w:bCs/>
                <w:color w:val="000000"/>
                <w:sz w:val="20"/>
                <w:szCs w:val="20"/>
              </w:rPr>
            </w:pPr>
            <w:r w:rsidRPr="001E4FAD">
              <w:rPr>
                <w:rFonts w:eastAsia="Times New Roman" w:cstheme="minorHAnsi"/>
                <w:b/>
                <w:bCs/>
                <w:color w:val="000000"/>
                <w:sz w:val="20"/>
                <w:szCs w:val="20"/>
              </w:rPr>
              <w:t> </w:t>
            </w:r>
          </w:p>
        </w:tc>
        <w:tc>
          <w:tcPr>
            <w:tcW w:w="1155" w:type="dxa"/>
            <w:tcBorders>
              <w:top w:val="nil"/>
              <w:left w:val="nil"/>
              <w:bottom w:val="single" w:sz="4" w:space="0" w:color="auto"/>
              <w:right w:val="single" w:sz="4" w:space="0" w:color="auto"/>
            </w:tcBorders>
            <w:shd w:val="clear" w:color="auto" w:fill="E2A5AC"/>
            <w:noWrap/>
            <w:vAlign w:val="bottom"/>
            <w:hideMark/>
          </w:tcPr>
          <w:p w:rsidR="000F2D1C" w:rsidRPr="001E4FAD" w14:paraId="05710E8F" w14:textId="2EA1043B">
            <w:pPr>
              <w:spacing w:after="0" w:line="240" w:lineRule="auto"/>
              <w:jc w:val="right"/>
              <w:rPr>
                <w:rFonts w:eastAsia="Times New Roman" w:cstheme="minorHAnsi"/>
                <w:b/>
                <w:bCs/>
                <w:color w:val="000000"/>
                <w:sz w:val="20"/>
                <w:szCs w:val="20"/>
              </w:rPr>
            </w:pPr>
            <w:r>
              <w:rPr>
                <w:rFonts w:eastAsia="Times New Roman" w:cstheme="minorHAnsi"/>
                <w:b/>
                <w:bCs/>
                <w:color w:val="000000"/>
                <w:sz w:val="20"/>
                <w:szCs w:val="20"/>
              </w:rPr>
              <w:t>18</w:t>
            </w:r>
            <w:r w:rsidR="009C72AA">
              <w:rPr>
                <w:rFonts w:eastAsia="Times New Roman" w:cstheme="minorHAnsi"/>
                <w:b/>
                <w:bCs/>
                <w:color w:val="000000"/>
                <w:sz w:val="20"/>
                <w:szCs w:val="20"/>
              </w:rPr>
              <w:t>0</w:t>
            </w:r>
          </w:p>
        </w:tc>
        <w:tc>
          <w:tcPr>
            <w:tcW w:w="1110" w:type="dxa"/>
            <w:tcBorders>
              <w:top w:val="nil"/>
              <w:left w:val="nil"/>
              <w:bottom w:val="single" w:sz="4" w:space="0" w:color="auto"/>
              <w:right w:val="single" w:sz="4" w:space="0" w:color="auto"/>
            </w:tcBorders>
            <w:shd w:val="clear" w:color="auto" w:fill="333333" w:themeFill="background2"/>
            <w:noWrap/>
            <w:vAlign w:val="bottom"/>
            <w:hideMark/>
          </w:tcPr>
          <w:p w:rsidR="000F2D1C" w:rsidRPr="001E4FAD" w14:paraId="5D483FF7" w14:textId="77777777">
            <w:pPr>
              <w:spacing w:after="0" w:line="240" w:lineRule="auto"/>
              <w:rPr>
                <w:rFonts w:eastAsia="Times New Roman" w:cstheme="minorHAnsi"/>
                <w:b/>
                <w:bCs/>
                <w:color w:val="000000"/>
                <w:sz w:val="20"/>
                <w:szCs w:val="20"/>
              </w:rPr>
            </w:pPr>
            <w:r w:rsidRPr="001E4FAD">
              <w:rPr>
                <w:rFonts w:eastAsia="Times New Roman" w:cstheme="minorHAnsi"/>
                <w:b/>
                <w:bCs/>
                <w:color w:val="000000"/>
                <w:sz w:val="20"/>
                <w:szCs w:val="20"/>
              </w:rPr>
              <w:t> </w:t>
            </w:r>
          </w:p>
        </w:tc>
      </w:tr>
    </w:tbl>
    <w:p w:rsidR="000F2D1C" w:rsidRPr="00A03760" w:rsidP="000F2D1C" w14:paraId="7B21B1FD" w14:textId="77777777">
      <w:pPr>
        <w:rPr>
          <w:rFonts w:cstheme="minorHAnsi"/>
        </w:rPr>
      </w:pPr>
    </w:p>
    <w:p w:rsidR="006F3C12" w:rsidP="006F3C12" w14:paraId="3E28018C" w14:textId="77777777">
      <w:pPr>
        <w:pStyle w:val="Heading2"/>
      </w:pPr>
      <w:bookmarkStart w:id="14" w:name="_Toc16271331"/>
      <w:r>
        <w:t>A.</w:t>
      </w:r>
      <w:r w:rsidRPr="00A41763">
        <w:t>12</w:t>
      </w:r>
      <w:r>
        <w:t>B</w:t>
      </w:r>
      <w:r w:rsidRPr="00A41763">
        <w:t xml:space="preserve">. </w:t>
      </w:r>
      <w:r w:rsidRPr="00F056C3">
        <w:t xml:space="preserve">Estimate of </w:t>
      </w:r>
      <w:r>
        <w:t xml:space="preserve">Annual Cost to </w:t>
      </w:r>
      <w:r w:rsidRPr="00F056C3">
        <w:t xml:space="preserve">Respondent </w:t>
      </w:r>
      <w:r>
        <w:t xml:space="preserve">for </w:t>
      </w:r>
      <w:r w:rsidRPr="00F056C3">
        <w:t>Burden Hours</w:t>
      </w:r>
      <w:bookmarkEnd w:id="14"/>
      <w:r w:rsidRPr="00F056C3">
        <w:t xml:space="preserve"> </w:t>
      </w:r>
    </w:p>
    <w:p w:rsidR="000B43BF" w:rsidP="000B43BF" w14:paraId="1FD02EB4" w14:textId="78CD8BB5">
      <w:pPr>
        <w:pStyle w:val="Default"/>
        <w:rPr>
          <w:b/>
          <w:bCs/>
        </w:rPr>
      </w:pPr>
      <w:r w:rsidRPr="00AC69E8">
        <w:rPr>
          <w:b/>
          <w:bCs/>
        </w:rPr>
        <w:t>Provide estimates of annualized cost to respondents for the hour</w:t>
      </w:r>
      <w:r>
        <w:rPr>
          <w:b/>
          <w:bCs/>
        </w:rPr>
        <w:t xml:space="preserve"> </w:t>
      </w:r>
      <w:r w:rsidRPr="00AC69E8">
        <w:rPr>
          <w:b/>
          <w:bCs/>
        </w:rPr>
        <w:t xml:space="preserve">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2E4FAD" w:rsidP="000B43BF" w14:paraId="007592F9" w14:textId="39940372">
      <w:pPr>
        <w:pStyle w:val="Default"/>
        <w:rPr>
          <w:b/>
          <w:bCs/>
        </w:rPr>
      </w:pPr>
    </w:p>
    <w:p w:rsidR="001A78F9" w:rsidP="00915FC2" w14:paraId="76F55031" w14:textId="6D39FF40">
      <w:pPr>
        <w:pStyle w:val="Default"/>
      </w:pPr>
      <w:bookmarkStart w:id="15" w:name="_Hlk74662944"/>
      <w:r w:rsidRPr="056069AD">
        <w:rPr>
          <w:rFonts w:asciiTheme="minorHAnsi" w:hAnsiTheme="minorHAnsi" w:cstheme="minorBidi"/>
          <w:color w:val="auto"/>
          <w:sz w:val="22"/>
          <w:szCs w:val="22"/>
        </w:rPr>
        <w:t>DOE estimates annualized cost to respondents for burden hours per report is $1</w:t>
      </w:r>
      <w:r w:rsidRPr="056069AD" w:rsidR="005D50F6">
        <w:rPr>
          <w:rFonts w:asciiTheme="minorHAnsi" w:hAnsiTheme="minorHAnsi" w:cstheme="minorBidi"/>
          <w:color w:val="auto"/>
          <w:sz w:val="22"/>
          <w:szCs w:val="22"/>
        </w:rPr>
        <w:t>80</w:t>
      </w:r>
      <w:r w:rsidRPr="056069AD">
        <w:rPr>
          <w:rFonts w:asciiTheme="minorHAnsi" w:hAnsiTheme="minorHAnsi" w:cstheme="minorBidi"/>
          <w:color w:val="auto"/>
          <w:sz w:val="22"/>
          <w:szCs w:val="22"/>
        </w:rPr>
        <w:t>.</w:t>
      </w:r>
      <w:r w:rsidRPr="056069AD" w:rsidR="00C6336C">
        <w:rPr>
          <w:rFonts w:asciiTheme="minorHAnsi" w:hAnsiTheme="minorHAnsi" w:cstheme="minorBidi"/>
          <w:color w:val="auto"/>
          <w:sz w:val="22"/>
          <w:szCs w:val="22"/>
        </w:rPr>
        <w:t xml:space="preserve"> </w:t>
      </w:r>
      <w:r w:rsidRPr="056069AD">
        <w:rPr>
          <w:rFonts w:asciiTheme="minorHAnsi" w:hAnsiTheme="minorHAnsi" w:cstheme="minorBidi"/>
          <w:color w:val="auto"/>
          <w:sz w:val="22"/>
          <w:szCs w:val="22"/>
        </w:rPr>
        <w:t xml:space="preserve">Per the Bureau of Labor Statistics, </w:t>
      </w:r>
      <w:r w:rsidRPr="056069AD" w:rsidR="00064A24">
        <w:rPr>
          <w:rFonts w:asciiTheme="minorHAnsi" w:hAnsiTheme="minorHAnsi" w:cstheme="minorBidi"/>
          <w:color w:val="auto"/>
          <w:sz w:val="22"/>
          <w:szCs w:val="22"/>
        </w:rPr>
        <w:t xml:space="preserve">median </w:t>
      </w:r>
      <w:r w:rsidRPr="056069AD">
        <w:rPr>
          <w:rFonts w:asciiTheme="minorHAnsi" w:hAnsiTheme="minorHAnsi" w:cstheme="minorBidi"/>
          <w:color w:val="auto"/>
          <w:sz w:val="22"/>
          <w:szCs w:val="22"/>
        </w:rPr>
        <w:t xml:space="preserve">state and local government employer costs </w:t>
      </w:r>
      <w:r w:rsidRPr="056069AD" w:rsidR="00EB6EE6">
        <w:rPr>
          <w:rFonts w:asciiTheme="minorHAnsi" w:hAnsiTheme="minorHAnsi" w:cstheme="minorBidi"/>
          <w:color w:val="auto"/>
          <w:sz w:val="22"/>
          <w:szCs w:val="22"/>
        </w:rPr>
        <w:t xml:space="preserve">were </w:t>
      </w:r>
      <w:r w:rsidRPr="056069AD">
        <w:rPr>
          <w:rFonts w:asciiTheme="minorHAnsi" w:hAnsiTheme="minorHAnsi" w:cstheme="minorBidi"/>
          <w:color w:val="auto"/>
          <w:sz w:val="22"/>
          <w:szCs w:val="22"/>
        </w:rPr>
        <w:t>$</w:t>
      </w:r>
      <w:r w:rsidRPr="056069AD" w:rsidR="0090465B">
        <w:rPr>
          <w:rFonts w:asciiTheme="minorHAnsi" w:hAnsiTheme="minorHAnsi" w:cstheme="minorBidi"/>
          <w:color w:val="auto"/>
          <w:sz w:val="22"/>
          <w:szCs w:val="22"/>
        </w:rPr>
        <w:t>60.16</w:t>
      </w:r>
      <w:r w:rsidRPr="056069AD">
        <w:rPr>
          <w:rFonts w:asciiTheme="minorHAnsi" w:hAnsiTheme="minorHAnsi" w:cstheme="minorBidi"/>
          <w:color w:val="auto"/>
          <w:sz w:val="22"/>
          <w:szCs w:val="22"/>
        </w:rPr>
        <w:t xml:space="preserve"> per </w:t>
      </w:r>
      <w:r w:rsidR="00CC734F">
        <w:rPr>
          <w:rFonts w:asciiTheme="minorHAnsi" w:hAnsiTheme="minorHAnsi" w:cstheme="minorBidi"/>
          <w:color w:val="auto"/>
          <w:sz w:val="22"/>
          <w:szCs w:val="22"/>
        </w:rPr>
        <w:t xml:space="preserve">fully burdened </w:t>
      </w:r>
      <w:r w:rsidRPr="056069AD">
        <w:rPr>
          <w:rFonts w:asciiTheme="minorHAnsi" w:hAnsiTheme="minorHAnsi" w:cstheme="minorBidi"/>
          <w:color w:val="auto"/>
          <w:sz w:val="22"/>
          <w:szCs w:val="22"/>
        </w:rPr>
        <w:t>hour worked</w:t>
      </w:r>
      <w:r w:rsidR="00E37DC2">
        <w:rPr>
          <w:rFonts w:asciiTheme="minorHAnsi" w:hAnsiTheme="minorHAnsi" w:cstheme="minorBidi"/>
          <w:color w:val="auto"/>
          <w:sz w:val="22"/>
          <w:szCs w:val="22"/>
        </w:rPr>
        <w:t xml:space="preserve"> (data obtained from </w:t>
      </w:r>
      <w:hyperlink r:id="rId13" w:history="1">
        <w:r w:rsidRPr="00E37DC2" w:rsidR="00E37DC2">
          <w:rPr>
            <w:rStyle w:val="Hyperlink"/>
            <w:rFonts w:cstheme="minorBidi"/>
            <w:sz w:val="22"/>
            <w:szCs w:val="22"/>
          </w:rPr>
          <w:t>Employer Costs for Employee Compensation Summary - 2025 Q02 Results</w:t>
        </w:r>
      </w:hyperlink>
      <w:r w:rsidR="00E37DC2">
        <w:rPr>
          <w:rFonts w:asciiTheme="minorHAnsi" w:hAnsiTheme="minorHAnsi" w:cstheme="minorBidi"/>
          <w:color w:val="auto"/>
          <w:sz w:val="22"/>
          <w:szCs w:val="22"/>
        </w:rPr>
        <w:t xml:space="preserve"> on 9/2/25)</w:t>
      </w:r>
      <w:r w:rsidRPr="056069AD">
        <w:rPr>
          <w:rFonts w:asciiTheme="minorHAnsi" w:hAnsiTheme="minorHAnsi" w:cstheme="minorBidi"/>
          <w:color w:val="auto"/>
          <w:sz w:val="22"/>
          <w:szCs w:val="22"/>
        </w:rPr>
        <w:t>.</w:t>
      </w:r>
      <w:r w:rsidRPr="056069AD" w:rsidR="00C6336C">
        <w:rPr>
          <w:rFonts w:asciiTheme="minorHAnsi" w:hAnsiTheme="minorHAnsi" w:cstheme="minorBidi"/>
          <w:color w:val="auto"/>
          <w:sz w:val="22"/>
          <w:szCs w:val="22"/>
        </w:rPr>
        <w:t xml:space="preserve"> </w:t>
      </w:r>
      <w:r w:rsidRPr="056069AD">
        <w:rPr>
          <w:rFonts w:asciiTheme="minorHAnsi" w:hAnsiTheme="minorHAnsi" w:cstheme="minorBidi"/>
          <w:color w:val="auto"/>
          <w:sz w:val="22"/>
          <w:szCs w:val="22"/>
        </w:rPr>
        <w:t xml:space="preserve">Wages and salaries </w:t>
      </w:r>
      <w:r w:rsidRPr="056069AD" w:rsidR="00C70F4F">
        <w:rPr>
          <w:rFonts w:asciiTheme="minorHAnsi" w:hAnsiTheme="minorHAnsi" w:cstheme="minorBidi"/>
          <w:color w:val="auto"/>
          <w:sz w:val="22"/>
          <w:szCs w:val="22"/>
        </w:rPr>
        <w:t>were a median of</w:t>
      </w:r>
      <w:r w:rsidRPr="056069AD">
        <w:rPr>
          <w:rFonts w:asciiTheme="minorHAnsi" w:hAnsiTheme="minorHAnsi" w:cstheme="minorBidi"/>
          <w:color w:val="auto"/>
          <w:sz w:val="22"/>
          <w:szCs w:val="22"/>
        </w:rPr>
        <w:t xml:space="preserve"> $3</w:t>
      </w:r>
      <w:r w:rsidRPr="056069AD" w:rsidR="00B57A73">
        <w:rPr>
          <w:rFonts w:asciiTheme="minorHAnsi" w:hAnsiTheme="minorHAnsi" w:cstheme="minorBidi"/>
          <w:color w:val="auto"/>
          <w:sz w:val="22"/>
          <w:szCs w:val="22"/>
        </w:rPr>
        <w:t>5</w:t>
      </w:r>
      <w:r w:rsidRPr="056069AD">
        <w:rPr>
          <w:rFonts w:asciiTheme="minorHAnsi" w:hAnsiTheme="minorHAnsi" w:cstheme="minorBidi"/>
          <w:color w:val="auto"/>
          <w:sz w:val="22"/>
          <w:szCs w:val="22"/>
        </w:rPr>
        <w:t>.</w:t>
      </w:r>
      <w:r w:rsidRPr="056069AD" w:rsidR="00B57A73">
        <w:rPr>
          <w:rFonts w:asciiTheme="minorHAnsi" w:hAnsiTheme="minorHAnsi" w:cstheme="minorBidi"/>
          <w:color w:val="auto"/>
          <w:sz w:val="22"/>
          <w:szCs w:val="22"/>
        </w:rPr>
        <w:t>13</w:t>
      </w:r>
      <w:r w:rsidRPr="056069AD">
        <w:rPr>
          <w:rFonts w:asciiTheme="minorHAnsi" w:hAnsiTheme="minorHAnsi" w:cstheme="minorBidi"/>
          <w:color w:val="auto"/>
          <w:sz w:val="22"/>
          <w:szCs w:val="22"/>
        </w:rPr>
        <w:t xml:space="preserve"> per hour worked and represented </w:t>
      </w:r>
      <w:r w:rsidRPr="056069AD" w:rsidR="00B93ADC">
        <w:rPr>
          <w:rFonts w:asciiTheme="minorHAnsi" w:hAnsiTheme="minorHAnsi" w:cstheme="minorBidi"/>
          <w:color w:val="auto"/>
          <w:sz w:val="22"/>
          <w:szCs w:val="22"/>
        </w:rPr>
        <w:t>58.4</w:t>
      </w:r>
      <w:r w:rsidRPr="056069AD">
        <w:rPr>
          <w:rFonts w:asciiTheme="minorHAnsi" w:hAnsiTheme="minorHAnsi" w:cstheme="minorBidi"/>
          <w:color w:val="auto"/>
          <w:sz w:val="22"/>
          <w:szCs w:val="22"/>
        </w:rPr>
        <w:t xml:space="preserve"> percent of total compensation costs, while benefit costs </w:t>
      </w:r>
      <w:r w:rsidRPr="056069AD" w:rsidR="006B3D0F">
        <w:rPr>
          <w:rFonts w:asciiTheme="minorHAnsi" w:hAnsiTheme="minorHAnsi" w:cstheme="minorBidi"/>
          <w:color w:val="auto"/>
          <w:sz w:val="22"/>
          <w:szCs w:val="22"/>
        </w:rPr>
        <w:t xml:space="preserve">a median of </w:t>
      </w:r>
      <w:r w:rsidRPr="056069AD">
        <w:rPr>
          <w:rFonts w:asciiTheme="minorHAnsi" w:hAnsiTheme="minorHAnsi" w:cstheme="minorBidi"/>
          <w:color w:val="auto"/>
          <w:sz w:val="22"/>
          <w:szCs w:val="22"/>
        </w:rPr>
        <w:t>$2</w:t>
      </w:r>
      <w:r w:rsidRPr="056069AD" w:rsidR="00B93ADC">
        <w:rPr>
          <w:rFonts w:asciiTheme="minorHAnsi" w:hAnsiTheme="minorHAnsi" w:cstheme="minorBidi"/>
          <w:color w:val="auto"/>
          <w:sz w:val="22"/>
          <w:szCs w:val="22"/>
        </w:rPr>
        <w:t>5</w:t>
      </w:r>
      <w:r w:rsidRPr="056069AD">
        <w:rPr>
          <w:rFonts w:asciiTheme="minorHAnsi" w:hAnsiTheme="minorHAnsi" w:cstheme="minorBidi"/>
          <w:color w:val="auto"/>
          <w:sz w:val="22"/>
          <w:szCs w:val="22"/>
        </w:rPr>
        <w:t>.</w:t>
      </w:r>
      <w:r w:rsidRPr="056069AD" w:rsidR="00B93ADC">
        <w:rPr>
          <w:rFonts w:asciiTheme="minorHAnsi" w:hAnsiTheme="minorHAnsi" w:cstheme="minorBidi"/>
          <w:color w:val="auto"/>
          <w:sz w:val="22"/>
          <w:szCs w:val="22"/>
        </w:rPr>
        <w:t>03</w:t>
      </w:r>
      <w:r w:rsidRPr="056069AD">
        <w:rPr>
          <w:rFonts w:asciiTheme="minorHAnsi" w:hAnsiTheme="minorHAnsi" w:cstheme="minorBidi"/>
          <w:color w:val="auto"/>
          <w:sz w:val="22"/>
          <w:szCs w:val="22"/>
        </w:rPr>
        <w:t xml:space="preserve"> and accounted for the remaining </w:t>
      </w:r>
      <w:r w:rsidRPr="056069AD" w:rsidR="00932AD5">
        <w:rPr>
          <w:rFonts w:asciiTheme="minorHAnsi" w:hAnsiTheme="minorHAnsi" w:cstheme="minorBidi"/>
          <w:color w:val="auto"/>
          <w:sz w:val="22"/>
          <w:szCs w:val="22"/>
        </w:rPr>
        <w:t>41</w:t>
      </w:r>
      <w:r w:rsidRPr="056069AD">
        <w:rPr>
          <w:rFonts w:asciiTheme="minorHAnsi" w:hAnsiTheme="minorHAnsi" w:cstheme="minorBidi"/>
          <w:color w:val="auto"/>
          <w:sz w:val="22"/>
          <w:szCs w:val="22"/>
        </w:rPr>
        <w:t>.</w:t>
      </w:r>
      <w:r w:rsidRPr="056069AD" w:rsidR="00932AD5">
        <w:rPr>
          <w:rFonts w:asciiTheme="minorHAnsi" w:hAnsiTheme="minorHAnsi" w:cstheme="minorBidi"/>
          <w:color w:val="auto"/>
          <w:sz w:val="22"/>
          <w:szCs w:val="22"/>
        </w:rPr>
        <w:t xml:space="preserve">6 </w:t>
      </w:r>
      <w:r w:rsidRPr="056069AD">
        <w:rPr>
          <w:rFonts w:asciiTheme="minorHAnsi" w:hAnsiTheme="minorHAnsi" w:cstheme="minorBidi"/>
          <w:color w:val="auto"/>
          <w:sz w:val="22"/>
          <w:szCs w:val="22"/>
        </w:rPr>
        <w:t>percent</w:t>
      </w:r>
      <w:r w:rsidRPr="056069AD" w:rsidR="00915FC2">
        <w:rPr>
          <w:rFonts w:asciiTheme="minorHAnsi" w:hAnsiTheme="minorHAnsi" w:cstheme="minorBidi"/>
          <w:color w:val="auto"/>
          <w:sz w:val="22"/>
          <w:szCs w:val="22"/>
        </w:rPr>
        <w:t>.</w:t>
      </w:r>
      <w:bookmarkEnd w:id="15"/>
    </w:p>
    <w:tbl>
      <w:tblPr>
        <w:tblW w:w="10080" w:type="dxa"/>
        <w:tblLook w:val="04A0"/>
      </w:tblPr>
      <w:tblGrid>
        <w:gridCol w:w="2790"/>
        <w:gridCol w:w="2700"/>
        <w:gridCol w:w="2250"/>
        <w:gridCol w:w="984"/>
        <w:gridCol w:w="1296"/>
        <w:gridCol w:w="60"/>
      </w:tblGrid>
      <w:tr w14:paraId="67955E0F" w14:textId="77777777" w:rsidTr="00023910">
        <w:tblPrEx>
          <w:tblW w:w="10080" w:type="dxa"/>
          <w:tblLook w:val="04A0"/>
        </w:tblPrEx>
        <w:trPr>
          <w:gridAfter w:val="1"/>
          <w:wAfter w:w="60" w:type="dxa"/>
          <w:trHeight w:val="360"/>
        </w:trPr>
        <w:tc>
          <w:tcPr>
            <w:tcW w:w="8724" w:type="dxa"/>
            <w:gridSpan w:val="4"/>
            <w:tcBorders>
              <w:top w:val="nil"/>
              <w:left w:val="nil"/>
              <w:bottom w:val="single" w:sz="4" w:space="0" w:color="auto"/>
              <w:right w:val="nil"/>
            </w:tcBorders>
            <w:hideMark/>
          </w:tcPr>
          <w:p w:rsidR="00023910" w:rsidRPr="00023910" w14:paraId="5D3F2853" w14:textId="77777777">
            <w:pPr>
              <w:spacing w:after="0" w:line="240" w:lineRule="auto"/>
              <w:jc w:val="center"/>
              <w:rPr>
                <w:rFonts w:ascii="Calibri" w:eastAsia="Times New Roman" w:hAnsi="Calibri" w:cs="Arial"/>
                <w:b/>
                <w:bCs/>
                <w:color w:val="0070C0"/>
                <w:sz w:val="28"/>
                <w:szCs w:val="28"/>
              </w:rPr>
            </w:pPr>
            <w:r w:rsidRPr="00023910">
              <w:rPr>
                <w:rFonts w:ascii="Calibri" w:eastAsia="Times New Roman" w:hAnsi="Calibri" w:cs="Arial"/>
                <w:b/>
                <w:bCs/>
                <w:color w:val="0070C0"/>
                <w:sz w:val="28"/>
                <w:szCs w:val="28"/>
              </w:rPr>
              <w:t>Table A2. Estimated Respondent Cost Burden</w:t>
            </w:r>
          </w:p>
        </w:tc>
        <w:tc>
          <w:tcPr>
            <w:tcW w:w="1296" w:type="dxa"/>
            <w:tcBorders>
              <w:top w:val="nil"/>
              <w:left w:val="nil"/>
              <w:bottom w:val="nil"/>
              <w:right w:val="nil"/>
            </w:tcBorders>
            <w:noWrap/>
            <w:vAlign w:val="bottom"/>
            <w:hideMark/>
          </w:tcPr>
          <w:p w:rsidR="00023910" w:rsidRPr="00023910" w14:paraId="5AFAEE50" w14:textId="77777777">
            <w:pPr>
              <w:spacing w:after="0" w:line="240" w:lineRule="auto"/>
              <w:jc w:val="center"/>
              <w:rPr>
                <w:rFonts w:ascii="Calibri" w:eastAsia="Times New Roman" w:hAnsi="Calibri" w:cs="Arial"/>
                <w:b/>
                <w:bCs/>
                <w:color w:val="0070C0"/>
                <w:sz w:val="28"/>
                <w:szCs w:val="28"/>
              </w:rPr>
            </w:pPr>
          </w:p>
        </w:tc>
      </w:tr>
      <w:tr w14:paraId="168C844F" w14:textId="77777777" w:rsidTr="00023910">
        <w:tblPrEx>
          <w:tblW w:w="10080" w:type="dxa"/>
          <w:tblLook w:val="04A0"/>
        </w:tblPrEx>
        <w:trPr>
          <w:trHeight w:val="765"/>
        </w:trPr>
        <w:tc>
          <w:tcPr>
            <w:tcW w:w="2790" w:type="dxa"/>
            <w:tcBorders>
              <w:top w:val="nil"/>
              <w:left w:val="single" w:sz="4" w:space="0" w:color="auto"/>
              <w:bottom w:val="single" w:sz="4" w:space="0" w:color="auto"/>
              <w:right w:val="single" w:sz="4" w:space="0" w:color="auto"/>
            </w:tcBorders>
            <w:shd w:val="clear" w:color="000000" w:fill="00B0F0"/>
            <w:vAlign w:val="center"/>
            <w:hideMark/>
          </w:tcPr>
          <w:p w:rsidR="00023910" w:rsidRPr="001E4FAD" w14:paraId="68464DF9" w14:textId="77777777">
            <w:pPr>
              <w:spacing w:after="0" w:line="240" w:lineRule="auto"/>
              <w:jc w:val="center"/>
              <w:rPr>
                <w:rFonts w:eastAsia="Times New Roman" w:cstheme="minorHAnsi"/>
                <w:b/>
                <w:bCs/>
                <w:sz w:val="20"/>
                <w:szCs w:val="20"/>
              </w:rPr>
            </w:pPr>
            <w:r w:rsidRPr="001E4FAD">
              <w:rPr>
                <w:rFonts w:eastAsia="Times New Roman" w:cstheme="minorHAnsi"/>
                <w:b/>
                <w:bCs/>
                <w:sz w:val="20"/>
                <w:szCs w:val="20"/>
              </w:rPr>
              <w:t>Type of Respondents</w:t>
            </w:r>
          </w:p>
        </w:tc>
        <w:tc>
          <w:tcPr>
            <w:tcW w:w="2700" w:type="dxa"/>
            <w:tcBorders>
              <w:top w:val="nil"/>
              <w:left w:val="nil"/>
              <w:bottom w:val="single" w:sz="4" w:space="0" w:color="auto"/>
              <w:right w:val="single" w:sz="4" w:space="0" w:color="auto"/>
            </w:tcBorders>
            <w:shd w:val="clear" w:color="000000" w:fill="00B0F0"/>
            <w:vAlign w:val="center"/>
            <w:hideMark/>
          </w:tcPr>
          <w:p w:rsidR="00023910" w:rsidRPr="001E4FAD" w14:paraId="6C2A3234" w14:textId="77777777">
            <w:pPr>
              <w:spacing w:after="0" w:line="240" w:lineRule="auto"/>
              <w:jc w:val="center"/>
              <w:rPr>
                <w:rFonts w:eastAsia="Times New Roman" w:cstheme="minorHAnsi"/>
                <w:b/>
                <w:bCs/>
                <w:sz w:val="20"/>
                <w:szCs w:val="20"/>
              </w:rPr>
            </w:pPr>
            <w:r w:rsidRPr="001E4FAD">
              <w:rPr>
                <w:rFonts w:eastAsia="Times New Roman" w:cstheme="minorHAnsi"/>
                <w:b/>
                <w:bCs/>
                <w:sz w:val="20"/>
                <w:szCs w:val="20"/>
              </w:rPr>
              <w:t>Total Annual Burden Hours</w:t>
            </w:r>
          </w:p>
        </w:tc>
        <w:tc>
          <w:tcPr>
            <w:tcW w:w="2250" w:type="dxa"/>
            <w:tcBorders>
              <w:top w:val="nil"/>
              <w:left w:val="nil"/>
              <w:bottom w:val="single" w:sz="4" w:space="0" w:color="auto"/>
              <w:right w:val="single" w:sz="4" w:space="0" w:color="auto"/>
            </w:tcBorders>
            <w:shd w:val="clear" w:color="000000" w:fill="00B0F0"/>
            <w:vAlign w:val="center"/>
            <w:hideMark/>
          </w:tcPr>
          <w:p w:rsidR="00023910" w:rsidRPr="001E4FAD" w14:paraId="29D4F28C" w14:textId="77777777">
            <w:pPr>
              <w:spacing w:after="0" w:line="240" w:lineRule="auto"/>
              <w:jc w:val="center"/>
              <w:rPr>
                <w:rFonts w:eastAsia="Times New Roman" w:cstheme="minorHAnsi"/>
                <w:b/>
                <w:bCs/>
                <w:sz w:val="20"/>
                <w:szCs w:val="20"/>
              </w:rPr>
            </w:pPr>
            <w:r w:rsidRPr="001E4FAD">
              <w:rPr>
                <w:rFonts w:eastAsia="Times New Roman" w:cstheme="minorHAnsi"/>
                <w:b/>
                <w:bCs/>
                <w:sz w:val="20"/>
                <w:szCs w:val="20"/>
              </w:rPr>
              <w:t>Hourly Wage Rate</w:t>
            </w:r>
          </w:p>
        </w:tc>
        <w:tc>
          <w:tcPr>
            <w:tcW w:w="2340" w:type="dxa"/>
            <w:gridSpan w:val="3"/>
            <w:tcBorders>
              <w:top w:val="nil"/>
              <w:left w:val="nil"/>
              <w:bottom w:val="single" w:sz="4" w:space="0" w:color="auto"/>
              <w:right w:val="single" w:sz="4" w:space="0" w:color="auto"/>
            </w:tcBorders>
            <w:shd w:val="clear" w:color="000000" w:fill="00B0F0"/>
            <w:vAlign w:val="center"/>
            <w:hideMark/>
          </w:tcPr>
          <w:p w:rsidR="00023910" w:rsidRPr="001E4FAD" w14:paraId="6969AFDC" w14:textId="77777777">
            <w:pPr>
              <w:spacing w:after="0" w:line="240" w:lineRule="auto"/>
              <w:jc w:val="center"/>
              <w:rPr>
                <w:rFonts w:eastAsia="Times New Roman" w:cstheme="minorHAnsi"/>
                <w:b/>
                <w:bCs/>
                <w:sz w:val="20"/>
                <w:szCs w:val="20"/>
              </w:rPr>
            </w:pPr>
            <w:r w:rsidRPr="001E4FAD">
              <w:rPr>
                <w:rFonts w:eastAsia="Times New Roman" w:cstheme="minorHAnsi"/>
                <w:b/>
                <w:bCs/>
                <w:sz w:val="20"/>
                <w:szCs w:val="20"/>
              </w:rPr>
              <w:t>Total Respondent Costs</w:t>
            </w:r>
          </w:p>
        </w:tc>
      </w:tr>
      <w:tr w14:paraId="670A7924" w14:textId="77777777" w:rsidTr="00023910">
        <w:tblPrEx>
          <w:tblW w:w="10080" w:type="dxa"/>
          <w:tblLook w:val="04A0"/>
        </w:tblPrEx>
        <w:trPr>
          <w:trHeight w:val="255"/>
        </w:trPr>
        <w:tc>
          <w:tcPr>
            <w:tcW w:w="2790" w:type="dxa"/>
            <w:tcBorders>
              <w:top w:val="nil"/>
              <w:left w:val="single" w:sz="4" w:space="0" w:color="auto"/>
              <w:bottom w:val="single" w:sz="4" w:space="0" w:color="auto"/>
              <w:right w:val="single" w:sz="4" w:space="0" w:color="auto"/>
            </w:tcBorders>
            <w:vAlign w:val="bottom"/>
            <w:hideMark/>
          </w:tcPr>
          <w:p w:rsidR="00023910" w:rsidRPr="001E4FAD" w14:paraId="27BC8811" w14:textId="77777777">
            <w:pPr>
              <w:spacing w:after="0" w:line="240" w:lineRule="auto"/>
              <w:rPr>
                <w:rFonts w:eastAsia="Times New Roman" w:cstheme="minorHAnsi"/>
                <w:color w:val="000000"/>
                <w:sz w:val="20"/>
                <w:szCs w:val="20"/>
              </w:rPr>
            </w:pPr>
            <w:r w:rsidRPr="001E4FAD">
              <w:rPr>
                <w:rFonts w:eastAsia="Times New Roman" w:cstheme="minorHAnsi"/>
                <w:color w:val="000000"/>
                <w:sz w:val="20"/>
                <w:szCs w:val="20"/>
              </w:rPr>
              <w:t> Staff</w:t>
            </w:r>
          </w:p>
        </w:tc>
        <w:tc>
          <w:tcPr>
            <w:tcW w:w="2700" w:type="dxa"/>
            <w:tcBorders>
              <w:top w:val="nil"/>
              <w:left w:val="nil"/>
              <w:bottom w:val="single" w:sz="4" w:space="0" w:color="auto"/>
              <w:right w:val="single" w:sz="4" w:space="0" w:color="auto"/>
            </w:tcBorders>
            <w:noWrap/>
            <w:vAlign w:val="bottom"/>
            <w:hideMark/>
          </w:tcPr>
          <w:p w:rsidR="00023910" w:rsidRPr="001E4FAD" w14:paraId="06BCC4F4" w14:textId="75DA790C">
            <w:pPr>
              <w:spacing w:after="0" w:line="240" w:lineRule="auto"/>
              <w:jc w:val="right"/>
              <w:rPr>
                <w:rFonts w:eastAsia="Times New Roman" w:cstheme="minorHAnsi"/>
                <w:color w:val="000000"/>
                <w:sz w:val="20"/>
                <w:szCs w:val="20"/>
              </w:rPr>
            </w:pPr>
            <w:r>
              <w:rPr>
                <w:rFonts w:eastAsia="Times New Roman" w:cstheme="minorHAnsi"/>
                <w:color w:val="000000"/>
                <w:sz w:val="20"/>
                <w:szCs w:val="20"/>
              </w:rPr>
              <w:t>18</w:t>
            </w:r>
            <w:r w:rsidR="001F2441">
              <w:rPr>
                <w:rFonts w:eastAsia="Times New Roman" w:cstheme="minorHAnsi"/>
                <w:color w:val="000000"/>
                <w:sz w:val="20"/>
                <w:szCs w:val="20"/>
              </w:rPr>
              <w:t>0</w:t>
            </w:r>
          </w:p>
        </w:tc>
        <w:tc>
          <w:tcPr>
            <w:tcW w:w="2250" w:type="dxa"/>
            <w:tcBorders>
              <w:top w:val="nil"/>
              <w:left w:val="nil"/>
              <w:bottom w:val="single" w:sz="4" w:space="0" w:color="auto"/>
              <w:right w:val="single" w:sz="4" w:space="0" w:color="auto"/>
            </w:tcBorders>
            <w:noWrap/>
            <w:vAlign w:val="bottom"/>
            <w:hideMark/>
          </w:tcPr>
          <w:p w:rsidR="00023910" w:rsidRPr="001E4FAD" w14:paraId="12DC70C7" w14:textId="16DF3FDA">
            <w:pPr>
              <w:spacing w:after="0" w:line="240" w:lineRule="auto"/>
              <w:ind w:left="1440"/>
              <w:rPr>
                <w:rFonts w:eastAsia="Times New Roman" w:cstheme="minorHAnsi"/>
                <w:color w:val="000000"/>
                <w:sz w:val="20"/>
                <w:szCs w:val="20"/>
              </w:rPr>
            </w:pPr>
            <w:r>
              <w:rPr>
                <w:rFonts w:eastAsia="Times New Roman" w:cstheme="minorHAnsi"/>
                <w:color w:val="000000"/>
                <w:sz w:val="20"/>
                <w:szCs w:val="20"/>
              </w:rPr>
              <w:t>$</w:t>
            </w:r>
            <w:r w:rsidRPr="00051991" w:rsidR="00051991">
              <w:rPr>
                <w:rFonts w:eastAsia="Times New Roman" w:cstheme="minorHAnsi"/>
                <w:color w:val="000000"/>
                <w:sz w:val="20"/>
                <w:szCs w:val="20"/>
              </w:rPr>
              <w:t>60.16</w:t>
            </w:r>
          </w:p>
        </w:tc>
        <w:tc>
          <w:tcPr>
            <w:tcW w:w="2340" w:type="dxa"/>
            <w:gridSpan w:val="3"/>
            <w:tcBorders>
              <w:top w:val="nil"/>
              <w:left w:val="nil"/>
              <w:bottom w:val="single" w:sz="4" w:space="0" w:color="auto"/>
              <w:right w:val="single" w:sz="4" w:space="0" w:color="auto"/>
            </w:tcBorders>
            <w:shd w:val="clear" w:color="000000" w:fill="E2A5AC"/>
            <w:noWrap/>
            <w:vAlign w:val="bottom"/>
            <w:hideMark/>
          </w:tcPr>
          <w:p w:rsidR="00023910" w:rsidRPr="001E4FAD" w14:paraId="2DDF353F" w14:textId="365E8D98">
            <w:pPr>
              <w:spacing w:after="0" w:line="240" w:lineRule="auto"/>
              <w:jc w:val="right"/>
              <w:rPr>
                <w:rFonts w:eastAsia="Times New Roman" w:cstheme="minorHAnsi"/>
                <w:color w:val="000000"/>
                <w:sz w:val="20"/>
                <w:szCs w:val="20"/>
              </w:rPr>
            </w:pPr>
            <w:r>
              <w:rPr>
                <w:rFonts w:eastAsia="Times New Roman" w:cstheme="minorHAnsi"/>
                <w:color w:val="000000"/>
                <w:sz w:val="20"/>
                <w:szCs w:val="20"/>
              </w:rPr>
              <w:t>$</w:t>
            </w:r>
            <w:r w:rsidRPr="001E4FAD">
              <w:rPr>
                <w:rFonts w:eastAsia="Times New Roman" w:cstheme="minorHAnsi"/>
                <w:color w:val="000000"/>
                <w:sz w:val="20"/>
                <w:szCs w:val="20"/>
              </w:rPr>
              <w:t>1</w:t>
            </w:r>
            <w:r w:rsidR="003F4BC2">
              <w:rPr>
                <w:rFonts w:eastAsia="Times New Roman" w:cstheme="minorHAnsi"/>
                <w:color w:val="000000"/>
                <w:sz w:val="20"/>
                <w:szCs w:val="20"/>
              </w:rPr>
              <w:t>0</w:t>
            </w:r>
            <w:r>
              <w:rPr>
                <w:rFonts w:eastAsia="Times New Roman" w:cstheme="minorHAnsi"/>
                <w:color w:val="000000"/>
                <w:sz w:val="20"/>
                <w:szCs w:val="20"/>
              </w:rPr>
              <w:t>,</w:t>
            </w:r>
            <w:r w:rsidR="003F4BC2">
              <w:rPr>
                <w:rFonts w:eastAsia="Times New Roman" w:cstheme="minorHAnsi"/>
                <w:color w:val="000000"/>
                <w:sz w:val="20"/>
                <w:szCs w:val="20"/>
              </w:rPr>
              <w:t>829</w:t>
            </w:r>
          </w:p>
        </w:tc>
      </w:tr>
      <w:tr w14:paraId="10171768" w14:textId="77777777" w:rsidTr="00023910">
        <w:tblPrEx>
          <w:tblW w:w="10080" w:type="dxa"/>
          <w:tblLook w:val="04A0"/>
        </w:tblPrEx>
        <w:trPr>
          <w:trHeight w:val="255"/>
        </w:trPr>
        <w:tc>
          <w:tcPr>
            <w:tcW w:w="2790" w:type="dxa"/>
            <w:tcBorders>
              <w:top w:val="nil"/>
              <w:left w:val="single" w:sz="4" w:space="0" w:color="auto"/>
              <w:bottom w:val="single" w:sz="4" w:space="0" w:color="auto"/>
              <w:right w:val="single" w:sz="4" w:space="0" w:color="auto"/>
            </w:tcBorders>
            <w:vAlign w:val="bottom"/>
            <w:hideMark/>
          </w:tcPr>
          <w:p w:rsidR="00023910" w:rsidRPr="001E4FAD" w14:paraId="17D65051" w14:textId="77777777">
            <w:pPr>
              <w:spacing w:after="0" w:line="240" w:lineRule="auto"/>
              <w:rPr>
                <w:rFonts w:eastAsia="Times New Roman" w:cstheme="minorHAnsi"/>
                <w:b/>
                <w:bCs/>
                <w:color w:val="000000"/>
                <w:sz w:val="20"/>
                <w:szCs w:val="20"/>
              </w:rPr>
            </w:pPr>
            <w:r w:rsidRPr="001E4FAD">
              <w:rPr>
                <w:rFonts w:eastAsia="Times New Roman" w:cstheme="minorHAnsi"/>
                <w:b/>
                <w:bCs/>
                <w:color w:val="000000"/>
                <w:sz w:val="20"/>
                <w:szCs w:val="20"/>
              </w:rPr>
              <w:t>TOTAL</w:t>
            </w:r>
          </w:p>
        </w:tc>
        <w:tc>
          <w:tcPr>
            <w:tcW w:w="2700" w:type="dxa"/>
            <w:tcBorders>
              <w:top w:val="nil"/>
              <w:left w:val="nil"/>
              <w:bottom w:val="single" w:sz="4" w:space="0" w:color="auto"/>
              <w:right w:val="single" w:sz="4" w:space="0" w:color="auto"/>
            </w:tcBorders>
            <w:shd w:val="clear" w:color="000000" w:fill="E2A5AC"/>
            <w:noWrap/>
            <w:vAlign w:val="bottom"/>
            <w:hideMark/>
          </w:tcPr>
          <w:p w:rsidR="00023910" w:rsidRPr="001E4FAD" w14:paraId="13D3FF08" w14:textId="02BB9DEF">
            <w:pPr>
              <w:spacing w:after="0" w:line="240" w:lineRule="auto"/>
              <w:jc w:val="right"/>
              <w:rPr>
                <w:rFonts w:eastAsia="Times New Roman" w:cstheme="minorHAnsi"/>
                <w:b/>
                <w:bCs/>
                <w:color w:val="000000"/>
                <w:sz w:val="20"/>
                <w:szCs w:val="20"/>
              </w:rPr>
            </w:pPr>
            <w:r>
              <w:rPr>
                <w:rFonts w:eastAsia="Times New Roman" w:cstheme="minorHAnsi"/>
                <w:b/>
                <w:bCs/>
                <w:color w:val="000000"/>
                <w:sz w:val="20"/>
                <w:szCs w:val="20"/>
              </w:rPr>
              <w:t>18</w:t>
            </w:r>
            <w:r w:rsidR="001F2441">
              <w:rPr>
                <w:rFonts w:eastAsia="Times New Roman" w:cstheme="minorHAnsi"/>
                <w:b/>
                <w:bCs/>
                <w:color w:val="000000"/>
                <w:sz w:val="20"/>
                <w:szCs w:val="20"/>
              </w:rPr>
              <w:t>0</w:t>
            </w:r>
          </w:p>
        </w:tc>
        <w:tc>
          <w:tcPr>
            <w:tcW w:w="2250" w:type="dxa"/>
            <w:tcBorders>
              <w:top w:val="nil"/>
              <w:left w:val="nil"/>
              <w:bottom w:val="single" w:sz="4" w:space="0" w:color="auto"/>
              <w:right w:val="single" w:sz="4" w:space="0" w:color="auto"/>
            </w:tcBorders>
            <w:shd w:val="clear" w:color="000000" w:fill="333333"/>
            <w:noWrap/>
            <w:vAlign w:val="bottom"/>
            <w:hideMark/>
          </w:tcPr>
          <w:p w:rsidR="00023910" w:rsidRPr="001E4FAD" w14:paraId="46EB93F2" w14:textId="77777777">
            <w:pPr>
              <w:spacing w:after="0" w:line="240" w:lineRule="auto"/>
              <w:rPr>
                <w:rFonts w:eastAsia="Times New Roman" w:cstheme="minorHAnsi"/>
                <w:b/>
                <w:bCs/>
                <w:color w:val="000000"/>
                <w:sz w:val="20"/>
                <w:szCs w:val="20"/>
              </w:rPr>
            </w:pPr>
            <w:r w:rsidRPr="001E4FAD">
              <w:rPr>
                <w:rFonts w:eastAsia="Times New Roman" w:cstheme="minorHAnsi"/>
                <w:b/>
                <w:bCs/>
                <w:color w:val="000000"/>
                <w:sz w:val="20"/>
                <w:szCs w:val="20"/>
              </w:rPr>
              <w:t> </w:t>
            </w:r>
          </w:p>
        </w:tc>
        <w:tc>
          <w:tcPr>
            <w:tcW w:w="2340" w:type="dxa"/>
            <w:gridSpan w:val="3"/>
            <w:tcBorders>
              <w:top w:val="nil"/>
              <w:left w:val="nil"/>
              <w:bottom w:val="single" w:sz="4" w:space="0" w:color="auto"/>
              <w:right w:val="single" w:sz="4" w:space="0" w:color="auto"/>
            </w:tcBorders>
            <w:shd w:val="clear" w:color="000000" w:fill="E2A5AC"/>
            <w:noWrap/>
            <w:vAlign w:val="bottom"/>
            <w:hideMark/>
          </w:tcPr>
          <w:p w:rsidR="00023910" w:rsidRPr="001E4FAD" w14:paraId="5697940A" w14:textId="381DE3B9">
            <w:pPr>
              <w:spacing w:after="0" w:line="240" w:lineRule="auto"/>
              <w:jc w:val="right"/>
              <w:rPr>
                <w:rFonts w:eastAsia="Times New Roman" w:cstheme="minorHAnsi"/>
                <w:b/>
                <w:bCs/>
                <w:color w:val="000000"/>
                <w:sz w:val="20"/>
                <w:szCs w:val="20"/>
              </w:rPr>
            </w:pPr>
            <w:r>
              <w:rPr>
                <w:rFonts w:eastAsia="Times New Roman" w:cstheme="minorHAnsi"/>
                <w:b/>
                <w:bCs/>
                <w:color w:val="000000"/>
                <w:sz w:val="20"/>
                <w:szCs w:val="20"/>
              </w:rPr>
              <w:t>$</w:t>
            </w:r>
            <w:r w:rsidRPr="0036331F" w:rsidR="0036331F">
              <w:rPr>
                <w:rFonts w:eastAsia="Times New Roman" w:cstheme="minorHAnsi"/>
                <w:b/>
                <w:bCs/>
                <w:color w:val="000000"/>
                <w:sz w:val="20"/>
                <w:szCs w:val="20"/>
              </w:rPr>
              <w:t>1</w:t>
            </w:r>
            <w:r w:rsidR="003F4BC2">
              <w:rPr>
                <w:rFonts w:eastAsia="Times New Roman" w:cstheme="minorHAnsi"/>
                <w:b/>
                <w:bCs/>
                <w:color w:val="000000"/>
                <w:sz w:val="20"/>
                <w:szCs w:val="20"/>
              </w:rPr>
              <w:t>0,829</w:t>
            </w:r>
          </w:p>
        </w:tc>
      </w:tr>
    </w:tbl>
    <w:p w:rsidR="00F056C3" w:rsidP="00F056C3" w14:paraId="17CAAADC" w14:textId="77777777">
      <w:pPr>
        <w:pStyle w:val="Heading2"/>
      </w:pPr>
      <w:bookmarkStart w:id="16" w:name="_Toc16271332"/>
      <w:r>
        <w:t>A.</w:t>
      </w:r>
      <w:r w:rsidRPr="00A41763" w:rsidR="00A41763">
        <w:t xml:space="preserve">13. </w:t>
      </w:r>
      <w:r w:rsidR="006F3C12">
        <w:t xml:space="preserve">Other Estimated </w:t>
      </w:r>
      <w:r w:rsidRPr="00F056C3">
        <w:t xml:space="preserve">Annual Cost to </w:t>
      </w:r>
      <w:r w:rsidR="00FE2197">
        <w:t>Respondents</w:t>
      </w:r>
      <w:bookmarkEnd w:id="16"/>
    </w:p>
    <w:p w:rsidR="00A41763" w:rsidRPr="00A41763" w:rsidP="00A41763" w14:paraId="5509891F" w14:textId="77777777">
      <w:r w:rsidRPr="056069AD">
        <w:rPr>
          <w:b/>
          <w:bCs/>
        </w:rPr>
        <w:t xml:space="preserve">Provide an estimate for the total annual cost burden to respondents or recordkeepers resulting from the collection of information. </w:t>
      </w:r>
    </w:p>
    <w:p w:rsidR="00F47849" w:rsidRPr="001E4FAD" w:rsidP="00F47849" w14:paraId="7B3BEE35" w14:textId="77777777">
      <w:pPr>
        <w:tabs>
          <w:tab w:val="left" w:pos="9360"/>
        </w:tabs>
        <w:autoSpaceDE w:val="0"/>
        <w:autoSpaceDN w:val="0"/>
        <w:adjustRightInd w:val="0"/>
        <w:spacing w:after="0" w:line="240" w:lineRule="auto"/>
        <w:rPr>
          <w:rFonts w:cstheme="minorHAnsi"/>
        </w:rPr>
      </w:pPr>
      <w:r>
        <w:rPr>
          <w:rFonts w:cstheme="minorHAnsi"/>
        </w:rPr>
        <w:t>There are n</w:t>
      </w:r>
      <w:r w:rsidRPr="00F14C97">
        <w:rPr>
          <w:rFonts w:cstheme="minorHAnsi"/>
        </w:rPr>
        <w:t>o other estimated annual costs</w:t>
      </w:r>
      <w:r>
        <w:rPr>
          <w:rFonts w:cstheme="minorHAnsi"/>
        </w:rPr>
        <w:t xml:space="preserve"> resulting from this information collection.</w:t>
      </w:r>
    </w:p>
    <w:p w:rsidR="00F47849" w:rsidRPr="00A41763" w:rsidP="00A41763" w14:paraId="2E01197F" w14:textId="77777777"/>
    <w:p w:rsidR="00F056C3" w:rsidP="00F056C3" w14:paraId="249D505C" w14:textId="77777777">
      <w:pPr>
        <w:pStyle w:val="Heading2"/>
      </w:pPr>
      <w:bookmarkStart w:id="17" w:name="_Toc16271333"/>
      <w:r>
        <w:t>A.</w:t>
      </w:r>
      <w:r w:rsidRPr="00A41763" w:rsidR="00A41763">
        <w:t xml:space="preserve">14. </w:t>
      </w:r>
      <w:r w:rsidR="00FE2197">
        <w:t>Annual Cost to the Federal Government</w:t>
      </w:r>
      <w:bookmarkEnd w:id="17"/>
      <w:r w:rsidRPr="00F056C3">
        <w:t xml:space="preserve"> </w:t>
      </w:r>
    </w:p>
    <w:p w:rsidR="00A41763" w:rsidRPr="00A41763" w:rsidP="056069AD" w14:paraId="42208E52" w14:textId="77777777">
      <w:pPr>
        <w:rPr>
          <w:b/>
          <w:bCs/>
        </w:rPr>
      </w:pPr>
      <w:bookmarkStart w:id="18" w:name="_Hlk57385461"/>
      <w:r w:rsidRPr="056069AD">
        <w:rPr>
          <w:b/>
          <w:bCs/>
        </w:rPr>
        <w:t xml:space="preserve">Provide estimates of annualized cost to the Federal government. </w:t>
      </w:r>
      <w:bookmarkEnd w:id="18"/>
    </w:p>
    <w:p w:rsidR="00507140" w:rsidP="056069AD" w14:paraId="55468217" w14:textId="7EFE913C">
      <w:pPr>
        <w:tabs>
          <w:tab w:val="left" w:pos="9360"/>
        </w:tabs>
        <w:autoSpaceDE w:val="0"/>
        <w:autoSpaceDN w:val="0"/>
        <w:adjustRightInd w:val="0"/>
        <w:spacing w:after="0" w:line="240" w:lineRule="auto"/>
      </w:pPr>
      <w:r w:rsidRPr="056069AD">
        <w:t xml:space="preserve">The development, hosting, and maintenance costs associated with the </w:t>
      </w:r>
      <w:r w:rsidRPr="056069AD">
        <w:rPr>
          <w:i/>
          <w:iCs/>
        </w:rPr>
        <w:t>PAGE</w:t>
      </w:r>
      <w:r w:rsidRPr="056069AD">
        <w:t xml:space="preserve"> system are shared among </w:t>
      </w:r>
      <w:r w:rsidRPr="056069AD" w:rsidR="005D03D3">
        <w:t xml:space="preserve">six </w:t>
      </w:r>
      <w:r w:rsidRPr="056069AD">
        <w:t xml:space="preserve">separate programs – </w:t>
      </w:r>
      <w:r w:rsidRPr="056069AD">
        <w:rPr>
          <w:i/>
          <w:iCs/>
        </w:rPr>
        <w:t>EECBG</w:t>
      </w:r>
      <w:r w:rsidRPr="056069AD">
        <w:t>, Weatherization Assistance Program, (</w:t>
      </w:r>
      <w:r w:rsidRPr="056069AD">
        <w:rPr>
          <w:i/>
          <w:iCs/>
        </w:rPr>
        <w:t>WAP)</w:t>
      </w:r>
      <w:r w:rsidRPr="056069AD">
        <w:t xml:space="preserve">, </w:t>
      </w:r>
      <w:r w:rsidRPr="056069AD" w:rsidR="0006369A">
        <w:t xml:space="preserve">Codes, Rebates, </w:t>
      </w:r>
      <w:r w:rsidRPr="056069AD" w:rsidR="00781CB8">
        <w:t xml:space="preserve">Building Training and Assessment Centers (BTAC), </w:t>
      </w:r>
      <w:r w:rsidRPr="056069AD">
        <w:t xml:space="preserve">and </w:t>
      </w:r>
      <w:r w:rsidRPr="056069AD">
        <w:rPr>
          <w:i/>
          <w:iCs/>
        </w:rPr>
        <w:t>State Energy Program</w:t>
      </w:r>
      <w:r w:rsidRPr="056069AD">
        <w:t xml:space="preserve"> (</w:t>
      </w:r>
      <w:r w:rsidRPr="056069AD">
        <w:rPr>
          <w:i/>
          <w:iCs/>
        </w:rPr>
        <w:t>SEP</w:t>
      </w:r>
      <w:r w:rsidRPr="056069AD">
        <w:t>).</w:t>
      </w:r>
      <w:r w:rsidRPr="056069AD" w:rsidR="00200046">
        <w:t xml:space="preserve"> </w:t>
      </w:r>
      <w:r w:rsidRPr="056069AD">
        <w:t xml:space="preserve">EECBG uses </w:t>
      </w:r>
      <w:r w:rsidRPr="056069AD" w:rsidR="0008028F">
        <w:t xml:space="preserve">a </w:t>
      </w:r>
      <w:r w:rsidRPr="056069AD">
        <w:t xml:space="preserve">portion of PAGE </w:t>
      </w:r>
      <w:r w:rsidRPr="056069AD" w:rsidR="00357AD6">
        <w:t>and has a</w:t>
      </w:r>
      <w:r w:rsidRPr="056069AD" w:rsidR="00D50347">
        <w:t xml:space="preserve"> share</w:t>
      </w:r>
      <w:r w:rsidRPr="056069AD" w:rsidR="00706EFB">
        <w:t xml:space="preserve"> </w:t>
      </w:r>
      <w:r w:rsidRPr="056069AD">
        <w:t xml:space="preserve">where the </w:t>
      </w:r>
      <w:r w:rsidRPr="056069AD" w:rsidR="00E248EA">
        <w:t xml:space="preserve">ARRA </w:t>
      </w:r>
      <w:r w:rsidRPr="056069AD">
        <w:t>financing programs are housed</w:t>
      </w:r>
      <w:r w:rsidRPr="056069AD" w:rsidR="00706EFB">
        <w:t xml:space="preserve"> </w:t>
      </w:r>
      <w:r w:rsidRPr="056069AD" w:rsidR="009002F0">
        <w:t>separately</w:t>
      </w:r>
      <w:r w:rsidRPr="056069AD" w:rsidR="00706EFB">
        <w:t xml:space="preserve"> from IIJA funded EECBG</w:t>
      </w:r>
      <w:r w:rsidRPr="056069AD">
        <w:t>.</w:t>
      </w:r>
      <w:r w:rsidRPr="056069AD" w:rsidR="00200046">
        <w:t xml:space="preserve"> </w:t>
      </w:r>
      <w:r w:rsidRPr="056069AD">
        <w:t>Strict security allows any user of PAGE to access only their own records.</w:t>
      </w:r>
      <w:r w:rsidRPr="056069AD" w:rsidR="00200046">
        <w:t xml:space="preserve"> </w:t>
      </w:r>
      <w:r w:rsidRPr="056069AD">
        <w:t xml:space="preserve">Currently, </w:t>
      </w:r>
      <w:r w:rsidRPr="056069AD">
        <w:rPr>
          <w:i/>
          <w:iCs/>
        </w:rPr>
        <w:t>PAGE</w:t>
      </w:r>
      <w:r w:rsidRPr="056069AD">
        <w:t xml:space="preserve"> system maintenance and operational costs are estimated at $</w:t>
      </w:r>
      <w:r w:rsidRPr="056069AD" w:rsidR="00E94C1D">
        <w:t>25</w:t>
      </w:r>
      <w:r w:rsidRPr="056069AD" w:rsidR="00466E47">
        <w:t>4</w:t>
      </w:r>
      <w:r w:rsidRPr="056069AD">
        <w:t>,</w:t>
      </w:r>
      <w:r w:rsidRPr="056069AD" w:rsidR="00933CB7">
        <w:t>000</w:t>
      </w:r>
      <w:r w:rsidRPr="056069AD">
        <w:t>/month, or $</w:t>
      </w:r>
      <w:r w:rsidRPr="056069AD" w:rsidR="007D453D">
        <w:t>3</w:t>
      </w:r>
      <w:r w:rsidRPr="056069AD">
        <w:t>,</w:t>
      </w:r>
      <w:r w:rsidRPr="056069AD" w:rsidR="00A54690">
        <w:t>0</w:t>
      </w:r>
      <w:r w:rsidRPr="056069AD" w:rsidR="00466E47">
        <w:t>48</w:t>
      </w:r>
      <w:r w:rsidRPr="056069AD">
        <w:t xml:space="preserve">,000/year; </w:t>
      </w:r>
      <w:r w:rsidRPr="056069AD">
        <w:rPr>
          <w:i/>
          <w:iCs/>
        </w:rPr>
        <w:t>EECBG</w:t>
      </w:r>
      <w:r w:rsidRPr="056069AD">
        <w:t>’s portion is approximately $</w:t>
      </w:r>
      <w:r w:rsidRPr="056069AD" w:rsidR="001C24B0">
        <w:t>756</w:t>
      </w:r>
      <w:r w:rsidRPr="056069AD">
        <w:t>,000/year.</w:t>
      </w:r>
      <w:r w:rsidRPr="056069AD" w:rsidR="00200046">
        <w:t xml:space="preserve"> </w:t>
      </w:r>
      <w:r w:rsidRPr="056069AD" w:rsidR="00E052DF">
        <w:t>ARRA EECBG financing programs</w:t>
      </w:r>
      <w:r w:rsidRPr="056069AD" w:rsidR="00960A2C">
        <w:t xml:space="preserve"> </w:t>
      </w:r>
      <w:r w:rsidRPr="056069AD" w:rsidR="001978B8">
        <w:t>represent $</w:t>
      </w:r>
      <w:r w:rsidRPr="056069AD" w:rsidR="00985CD1">
        <w:t xml:space="preserve">60,000 of this </w:t>
      </w:r>
      <w:r w:rsidRPr="056069AD" w:rsidR="00985CD1">
        <w:t xml:space="preserve">annual cost. The ARRA portion </w:t>
      </w:r>
      <w:r w:rsidRPr="056069AD" w:rsidR="009D46BC">
        <w:t>≈</w:t>
      </w:r>
      <w:r w:rsidRPr="056069AD" w:rsidR="004073DF">
        <w:t xml:space="preserve"> 7% </w:t>
      </w:r>
      <w:r w:rsidRPr="056069AD">
        <w:t xml:space="preserve">is </w:t>
      </w:r>
      <w:r w:rsidRPr="056069AD" w:rsidR="00F25C90">
        <w:t xml:space="preserve">calculated from </w:t>
      </w:r>
      <w:r w:rsidRPr="056069AD" w:rsidR="009A2F97">
        <w:t xml:space="preserve">the number of </w:t>
      </w:r>
      <w:r w:rsidRPr="056069AD" w:rsidR="001C58B9">
        <w:t>ARRA respondents</w:t>
      </w:r>
      <w:r w:rsidRPr="056069AD" w:rsidR="004D4EAD">
        <w:t xml:space="preserve"> </w:t>
      </w:r>
      <w:r w:rsidRPr="056069AD" w:rsidR="00893323">
        <w:t xml:space="preserve">(60) </w:t>
      </w:r>
      <w:r w:rsidRPr="056069AD" w:rsidR="004D4EAD">
        <w:t>divided by</w:t>
      </w:r>
      <w:r w:rsidRPr="056069AD" w:rsidR="00484376">
        <w:t xml:space="preserve"> the </w:t>
      </w:r>
      <w:r w:rsidRPr="056069AD" w:rsidR="00B36975">
        <w:t xml:space="preserve">quantity </w:t>
      </w:r>
      <w:r w:rsidRPr="056069AD" w:rsidR="00484376">
        <w:t>of</w:t>
      </w:r>
      <w:r w:rsidRPr="056069AD" w:rsidR="00893323">
        <w:t xml:space="preserve"> EECBG </w:t>
      </w:r>
      <w:r w:rsidRPr="056069AD" w:rsidR="00677FBF">
        <w:t xml:space="preserve">annual reporting submissions </w:t>
      </w:r>
      <w:r w:rsidRPr="056069AD" w:rsidR="00775F81">
        <w:t xml:space="preserve">from </w:t>
      </w:r>
      <w:r w:rsidRPr="056069AD" w:rsidR="00893323">
        <w:t>IIJA</w:t>
      </w:r>
      <w:r w:rsidRPr="056069AD" w:rsidR="00775F81">
        <w:t xml:space="preserve"> entities (794)</w:t>
      </w:r>
      <w:r w:rsidRPr="056069AD" w:rsidR="00B36975">
        <w:t xml:space="preserve"> plus ARRA respondents (60)</w:t>
      </w:r>
      <w:r w:rsidRPr="056069AD" w:rsidR="00775F81">
        <w:t>.</w:t>
      </w:r>
    </w:p>
    <w:p w:rsidR="00507140" w:rsidRPr="001E4FAD" w:rsidP="00507140" w14:paraId="0CF98CA4" w14:textId="77777777">
      <w:pPr>
        <w:tabs>
          <w:tab w:val="left" w:pos="9360"/>
        </w:tabs>
        <w:autoSpaceDE w:val="0"/>
        <w:autoSpaceDN w:val="0"/>
        <w:adjustRightInd w:val="0"/>
        <w:spacing w:after="0" w:line="240" w:lineRule="auto"/>
        <w:rPr>
          <w:rFonts w:cstheme="minorHAnsi"/>
        </w:rPr>
      </w:pPr>
    </w:p>
    <w:p w:rsidR="00507140" w:rsidRPr="001E4FAD" w:rsidP="00507140" w14:paraId="5C9532B6" w14:textId="6F6644A3">
      <w:pPr>
        <w:tabs>
          <w:tab w:val="left" w:pos="9360"/>
        </w:tabs>
        <w:autoSpaceDE w:val="0"/>
        <w:autoSpaceDN w:val="0"/>
        <w:adjustRightInd w:val="0"/>
        <w:spacing w:after="0" w:line="240" w:lineRule="auto"/>
        <w:rPr>
          <w:rFonts w:cstheme="minorHAnsi"/>
        </w:rPr>
      </w:pPr>
      <w:bookmarkStart w:id="19" w:name="_Hlk74662841"/>
      <w:r w:rsidRPr="001E4FAD">
        <w:rPr>
          <w:rFonts w:cstheme="minorHAnsi"/>
        </w:rPr>
        <w:t>The estimated federal burden for 202</w:t>
      </w:r>
      <w:r w:rsidR="00B90C52">
        <w:rPr>
          <w:rFonts w:cstheme="minorHAnsi"/>
        </w:rPr>
        <w:t>5</w:t>
      </w:r>
      <w:r w:rsidRPr="001E4FAD">
        <w:rPr>
          <w:rFonts w:cstheme="minorHAnsi"/>
        </w:rPr>
        <w:t xml:space="preserve"> is based on the total number of hours it would take to complete desktop reviews of reports and verify information that is unclear.</w:t>
      </w:r>
      <w:r w:rsidR="00200046">
        <w:rPr>
          <w:rFonts w:cstheme="minorHAnsi"/>
        </w:rPr>
        <w:t xml:space="preserve"> </w:t>
      </w:r>
      <w:r w:rsidRPr="001E4FAD">
        <w:rPr>
          <w:rFonts w:cstheme="minorHAnsi"/>
        </w:rPr>
        <w:t>The estimate for a fully burdened, average full time equivalent (FTE) person is approximately $</w:t>
      </w:r>
      <w:r w:rsidR="00F01EBA">
        <w:rPr>
          <w:rFonts w:cstheme="minorHAnsi"/>
        </w:rPr>
        <w:t>105</w:t>
      </w:r>
      <w:r w:rsidRPr="001E4FAD">
        <w:rPr>
          <w:rFonts w:cstheme="minorHAnsi"/>
        </w:rPr>
        <w:t>/hour.</w:t>
      </w:r>
      <w:r w:rsidR="00200046">
        <w:rPr>
          <w:rFonts w:cstheme="minorHAnsi"/>
        </w:rPr>
        <w:t xml:space="preserve"> </w:t>
      </w:r>
      <w:r>
        <w:t>This included a $</w:t>
      </w:r>
      <w:r w:rsidR="00F01EBA">
        <w:t>77</w:t>
      </w:r>
      <w:r>
        <w:t>/hour base rate for a GS 14 Step 5</w:t>
      </w:r>
      <w:r w:rsidR="009A72B8">
        <w:t xml:space="preserve"> in the </w:t>
      </w:r>
      <w:r w:rsidR="00724447">
        <w:t>Washington, DC locality</w:t>
      </w:r>
      <w:r>
        <w:t xml:space="preserve">, which was based on current staffing, and 36% </w:t>
      </w:r>
      <w:r w:rsidR="00F01EBA">
        <w:t xml:space="preserve">or </w:t>
      </w:r>
      <w:r w:rsidR="00FD03D4">
        <w:t>$28/h</w:t>
      </w:r>
      <w:r w:rsidR="00672971">
        <w:t xml:space="preserve">our </w:t>
      </w:r>
      <w:r>
        <w:t>for fringe benefits, which was rounded down from the 36.25% fringe benefit factor included in OMB Circular A–76.</w:t>
      </w:r>
      <w:bookmarkEnd w:id="19"/>
      <w:r w:rsidR="00200046">
        <w:rPr>
          <w:rFonts w:cstheme="minorHAnsi"/>
        </w:rPr>
        <w:t xml:space="preserve"> </w:t>
      </w:r>
      <w:r w:rsidRPr="001E4FAD">
        <w:rPr>
          <w:rFonts w:cstheme="minorHAnsi"/>
        </w:rPr>
        <w:t>DOE approximates 2 hours to review each report.</w:t>
      </w:r>
    </w:p>
    <w:p w:rsidR="00507140" w:rsidRPr="001E4FAD" w:rsidP="00507140" w14:paraId="62C766BA" w14:textId="77777777">
      <w:pPr>
        <w:tabs>
          <w:tab w:val="left" w:pos="9360"/>
        </w:tabs>
        <w:autoSpaceDE w:val="0"/>
        <w:autoSpaceDN w:val="0"/>
        <w:adjustRightInd w:val="0"/>
        <w:spacing w:after="0" w:line="240" w:lineRule="auto"/>
        <w:rPr>
          <w:rFonts w:cstheme="minorHAnsi"/>
        </w:rPr>
      </w:pPr>
    </w:p>
    <w:p w:rsidR="00507140" w:rsidRPr="001E4FAD" w14:paraId="16BCDC04" w14:textId="446A4F6A">
      <w:pPr>
        <w:pStyle w:val="ListParagraph"/>
      </w:pPr>
      <w:r>
        <w:t>60</w:t>
      </w:r>
      <w:r w:rsidRPr="001E4FAD">
        <w:t xml:space="preserve"> </w:t>
      </w:r>
      <w:r>
        <w:t>responses</w:t>
      </w:r>
      <w:r w:rsidRPr="001E4FAD">
        <w:t>/year x 2 hours/re</w:t>
      </w:r>
      <w:r w:rsidR="00FC6B97">
        <w:t>sponse</w:t>
      </w:r>
      <w:r w:rsidRPr="001E4FAD">
        <w:t xml:space="preserve"> x $</w:t>
      </w:r>
      <w:r w:rsidR="00716C94">
        <w:t>105</w:t>
      </w:r>
      <w:r w:rsidRPr="001E4FAD">
        <w:t>/hour = $1</w:t>
      </w:r>
      <w:r w:rsidR="002100ED">
        <w:t>2</w:t>
      </w:r>
      <w:r>
        <w:t>,</w:t>
      </w:r>
      <w:r w:rsidR="003241AD">
        <w:t>6</w:t>
      </w:r>
      <w:r w:rsidR="003241AD">
        <w:t>00</w:t>
      </w:r>
    </w:p>
    <w:p w:rsidR="00507140" w:rsidRPr="001E4FAD" w:rsidP="00507140" w14:paraId="66515540" w14:textId="77777777">
      <w:pPr>
        <w:tabs>
          <w:tab w:val="left" w:pos="9360"/>
        </w:tabs>
        <w:autoSpaceDE w:val="0"/>
        <w:autoSpaceDN w:val="0"/>
        <w:adjustRightInd w:val="0"/>
        <w:spacing w:after="0" w:line="240" w:lineRule="auto"/>
        <w:rPr>
          <w:rFonts w:cstheme="minorHAnsi"/>
        </w:rPr>
      </w:pPr>
    </w:p>
    <w:p w:rsidR="009B7CA2" w:rsidP="00507140" w14:paraId="59951637" w14:textId="0633FFDF">
      <w:pPr>
        <w:rPr>
          <w:rFonts w:cstheme="minorHAnsi"/>
        </w:rPr>
      </w:pPr>
      <w:r w:rsidRPr="001E4FAD">
        <w:rPr>
          <w:rFonts w:cstheme="minorHAnsi"/>
        </w:rPr>
        <w:t>Thus, the total cost to the federal government for these reports is $</w:t>
      </w:r>
      <w:r w:rsidR="004B1EE1">
        <w:rPr>
          <w:rFonts w:cstheme="minorHAnsi"/>
        </w:rPr>
        <w:t>60</w:t>
      </w:r>
      <w:r w:rsidRPr="001E4FAD">
        <w:rPr>
          <w:rFonts w:cstheme="minorHAnsi"/>
        </w:rPr>
        <w:t>,000 + $1</w:t>
      </w:r>
      <w:r w:rsidR="004B1EE1">
        <w:rPr>
          <w:rFonts w:cstheme="minorHAnsi"/>
        </w:rPr>
        <w:t>2</w:t>
      </w:r>
      <w:r>
        <w:rPr>
          <w:rFonts w:cstheme="minorHAnsi"/>
        </w:rPr>
        <w:t>,</w:t>
      </w:r>
      <w:r w:rsidR="003241AD">
        <w:rPr>
          <w:rFonts w:cstheme="minorHAnsi"/>
        </w:rPr>
        <w:t>6</w:t>
      </w:r>
      <w:r w:rsidR="003241AD">
        <w:rPr>
          <w:rFonts w:cstheme="minorHAnsi"/>
        </w:rPr>
        <w:t>00</w:t>
      </w:r>
      <w:r w:rsidRPr="001E4FAD" w:rsidR="003241AD">
        <w:rPr>
          <w:rFonts w:cstheme="minorHAnsi"/>
        </w:rPr>
        <w:t xml:space="preserve"> </w:t>
      </w:r>
      <w:r w:rsidRPr="001E4FAD">
        <w:rPr>
          <w:rFonts w:cstheme="minorHAnsi"/>
        </w:rPr>
        <w:t>= $</w:t>
      </w:r>
      <w:r w:rsidR="000759B0">
        <w:rPr>
          <w:rFonts w:cstheme="minorHAnsi"/>
        </w:rPr>
        <w:t>72</w:t>
      </w:r>
      <w:r>
        <w:rPr>
          <w:rFonts w:cstheme="minorHAnsi"/>
        </w:rPr>
        <w:t>,</w:t>
      </w:r>
      <w:r w:rsidR="003241AD">
        <w:rPr>
          <w:rFonts w:cstheme="minorHAnsi"/>
        </w:rPr>
        <w:t>6</w:t>
      </w:r>
      <w:r w:rsidR="003241AD">
        <w:rPr>
          <w:rFonts w:cstheme="minorHAnsi"/>
        </w:rPr>
        <w:t>00</w:t>
      </w:r>
    </w:p>
    <w:p w:rsidR="009B7CA2" w:rsidP="00507140" w14:paraId="6418F022" w14:textId="77777777">
      <w:pPr>
        <w:rPr>
          <w:rFonts w:cstheme="minorHAnsi"/>
        </w:rPr>
      </w:pPr>
    </w:p>
    <w:p w:rsidR="006D42EC" w:rsidP="006D42EC" w14:paraId="163CD763" w14:textId="77777777">
      <w:pPr>
        <w:pStyle w:val="Heading2"/>
      </w:pPr>
      <w:bookmarkStart w:id="20" w:name="_Toc16271334"/>
      <w:r>
        <w:t>A.</w:t>
      </w:r>
      <w:r w:rsidRPr="00A41763" w:rsidR="00A41763">
        <w:t xml:space="preserve">15. </w:t>
      </w:r>
      <w:r>
        <w:t>Reasons for Changes in Burden</w:t>
      </w:r>
      <w:bookmarkEnd w:id="20"/>
    </w:p>
    <w:p w:rsidR="00A41763" w:rsidRPr="00A41763" w:rsidP="00A41763" w14:paraId="371F9FF2" w14:textId="77777777">
      <w:bookmarkStart w:id="21" w:name="_Hlk57385469"/>
      <w:r w:rsidRPr="00A41763">
        <w:rPr>
          <w:b/>
          <w:bCs/>
        </w:rPr>
        <w:t xml:space="preserve">Explain the reasons for any program changes or adjustments reported in Items 13 (or 14) of OMB Form 83-I. </w:t>
      </w:r>
    </w:p>
    <w:p w:rsidR="00FD5C9B" w:rsidRPr="001E4FAD" w:rsidP="056069AD" w14:paraId="54A33EB3" w14:textId="7ECB5704">
      <w:pPr>
        <w:tabs>
          <w:tab w:val="left" w:pos="9360"/>
        </w:tabs>
        <w:autoSpaceDE w:val="0"/>
        <w:autoSpaceDN w:val="0"/>
        <w:adjustRightInd w:val="0"/>
        <w:spacing w:after="0" w:line="240" w:lineRule="auto"/>
      </w:pPr>
      <w:bookmarkStart w:id="22" w:name="_Toc16271335"/>
      <w:bookmarkEnd w:id="21"/>
      <w:r w:rsidRPr="056069AD">
        <w:t>Since 20</w:t>
      </w:r>
      <w:r w:rsidRPr="056069AD" w:rsidR="00540DDE">
        <w:t>21</w:t>
      </w:r>
      <w:r w:rsidRPr="056069AD">
        <w:t xml:space="preserve">, the reporting burden was reduced by </w:t>
      </w:r>
      <w:r w:rsidRPr="056069AD" w:rsidR="00B52892">
        <w:t>11</w:t>
      </w:r>
      <w:r w:rsidRPr="056069AD">
        <w:t xml:space="preserve"> reporting entities because they completely exhausted use of federal funds and retired their financing programs. Please note that the total cost burden change in the second row of the table below represents total time burden and does not include PAGE system costs.</w:t>
      </w:r>
    </w:p>
    <w:p w:rsidR="00FD5C9B" w:rsidRPr="001E4FAD" w:rsidP="00FD5C9B" w14:paraId="15A93D0F" w14:textId="77777777">
      <w:pPr>
        <w:tabs>
          <w:tab w:val="left" w:pos="9360"/>
        </w:tabs>
        <w:autoSpaceDE w:val="0"/>
        <w:autoSpaceDN w:val="0"/>
        <w:adjustRightInd w:val="0"/>
        <w:spacing w:after="0" w:line="240" w:lineRule="auto"/>
        <w:rPr>
          <w:rFonts w:cstheme="minorHAnsi"/>
          <w:sz w:val="24"/>
          <w:szCs w:val="24"/>
        </w:rPr>
      </w:pPr>
    </w:p>
    <w:tbl>
      <w:tblPr>
        <w:tblW w:w="9360" w:type="dxa"/>
        <w:jc w:val="center"/>
        <w:tblLayout w:type="fixed"/>
        <w:tblCellMar>
          <w:left w:w="115" w:type="dxa"/>
          <w:right w:w="115" w:type="dxa"/>
        </w:tblCellMar>
        <w:tblLook w:val="04A0"/>
      </w:tblPr>
      <w:tblGrid>
        <w:gridCol w:w="1872"/>
        <w:gridCol w:w="1872"/>
        <w:gridCol w:w="1872"/>
        <w:gridCol w:w="1872"/>
        <w:gridCol w:w="1872"/>
      </w:tblGrid>
      <w:tr w14:paraId="2145A450" w14:textId="77777777">
        <w:tblPrEx>
          <w:tblW w:w="9360" w:type="dxa"/>
          <w:jc w:val="center"/>
          <w:tblLayout w:type="fixed"/>
          <w:tblCellMar>
            <w:left w:w="115" w:type="dxa"/>
            <w:right w:w="115" w:type="dxa"/>
          </w:tblCellMar>
          <w:tblLook w:val="04A0"/>
        </w:tblPrEx>
        <w:trPr>
          <w:trHeight w:val="360"/>
          <w:jc w:val="center"/>
        </w:trPr>
        <w:tc>
          <w:tcPr>
            <w:tcW w:w="9360" w:type="dxa"/>
            <w:gridSpan w:val="5"/>
            <w:tcBorders>
              <w:top w:val="nil"/>
              <w:left w:val="nil"/>
              <w:bottom w:val="nil"/>
              <w:right w:val="nil"/>
            </w:tcBorders>
            <w:noWrap/>
            <w:vAlign w:val="bottom"/>
            <w:hideMark/>
          </w:tcPr>
          <w:p w:rsidR="00FD5C9B" w:rsidRPr="001E4FAD" w14:paraId="18982EBC" w14:textId="77777777">
            <w:pPr>
              <w:spacing w:after="0" w:line="240" w:lineRule="auto"/>
              <w:jc w:val="center"/>
              <w:rPr>
                <w:rFonts w:eastAsia="Times New Roman" w:cstheme="minorHAnsi"/>
                <w:b/>
                <w:color w:val="0070C0"/>
                <w:sz w:val="28"/>
                <w:szCs w:val="28"/>
              </w:rPr>
            </w:pPr>
            <w:r w:rsidRPr="00A03760">
              <w:rPr>
                <w:rFonts w:cstheme="minorHAnsi"/>
              </w:rPr>
              <w:br w:type="page"/>
            </w:r>
            <w:r w:rsidRPr="001E4FAD">
              <w:rPr>
                <w:rFonts w:eastAsia="Times New Roman" w:cstheme="minorHAnsi"/>
                <w:b/>
                <w:color w:val="0070C0"/>
                <w:sz w:val="28"/>
                <w:szCs w:val="28"/>
              </w:rPr>
              <w:t>Table A4. ICR Summary of Burden</w:t>
            </w:r>
          </w:p>
        </w:tc>
      </w:tr>
      <w:tr w14:paraId="56599EEB" w14:textId="77777777">
        <w:tblPrEx>
          <w:tblW w:w="9360" w:type="dxa"/>
          <w:jc w:val="center"/>
          <w:tblLayout w:type="fixed"/>
          <w:tblCellMar>
            <w:left w:w="115" w:type="dxa"/>
            <w:right w:w="115" w:type="dxa"/>
          </w:tblCellMar>
          <w:tblLook w:val="04A0"/>
        </w:tblPrEx>
        <w:trPr>
          <w:trHeight w:val="510"/>
          <w:jc w:val="center"/>
        </w:trPr>
        <w:tc>
          <w:tcPr>
            <w:tcW w:w="9360" w:type="dxa"/>
            <w:tcBorders>
              <w:top w:val="single" w:sz="4" w:space="0" w:color="auto"/>
              <w:left w:val="single" w:sz="4" w:space="0" w:color="auto"/>
              <w:bottom w:val="single" w:sz="4" w:space="0" w:color="auto"/>
              <w:right w:val="single" w:sz="4" w:space="0" w:color="auto"/>
            </w:tcBorders>
            <w:shd w:val="clear" w:color="000000" w:fill="00B0F0"/>
            <w:vAlign w:val="center"/>
            <w:hideMark/>
          </w:tcPr>
          <w:p w:rsidR="00FD5C9B" w:rsidRPr="001E4FAD" w14:paraId="07BD4584" w14:textId="6B45C97C">
            <w:pPr>
              <w:spacing w:after="0" w:line="240" w:lineRule="auto"/>
              <w:jc w:val="center"/>
              <w:rPr>
                <w:rFonts w:eastAsia="Times New Roman" w:cstheme="minorHAnsi"/>
                <w:b/>
                <w:bCs/>
                <w:color w:val="FFFFFF"/>
                <w:sz w:val="20"/>
                <w:szCs w:val="20"/>
              </w:rPr>
            </w:pP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rsidR="00FD5C9B" w:rsidRPr="001E4FAD" w14:paraId="03209221" w14:textId="77777777">
            <w:pPr>
              <w:spacing w:after="0" w:line="240" w:lineRule="auto"/>
              <w:jc w:val="center"/>
              <w:rPr>
                <w:rFonts w:eastAsia="Times New Roman" w:cstheme="minorHAnsi"/>
                <w:b/>
                <w:bCs/>
                <w:sz w:val="20"/>
                <w:szCs w:val="20"/>
              </w:rPr>
            </w:pPr>
            <w:r w:rsidRPr="001E4FAD">
              <w:rPr>
                <w:rFonts w:eastAsia="Times New Roman" w:cstheme="minorHAnsi"/>
                <w:b/>
                <w:bCs/>
                <w:sz w:val="20"/>
                <w:szCs w:val="20"/>
              </w:rPr>
              <w:t>Requested</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rsidR="00FD5C9B" w:rsidRPr="001E4FAD" w14:paraId="13929FCF" w14:textId="77777777">
            <w:pPr>
              <w:spacing w:after="0" w:line="240" w:lineRule="auto"/>
              <w:jc w:val="center"/>
              <w:rPr>
                <w:rFonts w:eastAsia="Times New Roman" w:cstheme="minorHAnsi"/>
                <w:b/>
                <w:bCs/>
                <w:sz w:val="20"/>
                <w:szCs w:val="20"/>
              </w:rPr>
            </w:pPr>
            <w:r w:rsidRPr="001E4FAD">
              <w:rPr>
                <w:rFonts w:eastAsia="Times New Roman" w:cstheme="minorHAnsi"/>
                <w:b/>
                <w:bCs/>
                <w:sz w:val="20"/>
                <w:szCs w:val="20"/>
              </w:rPr>
              <w:t>Program Change Due to Agency Discretion</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rsidR="00FD5C9B" w:rsidRPr="001E4FAD" w14:paraId="7B0974EE" w14:textId="77777777">
            <w:pPr>
              <w:spacing w:after="0" w:line="240" w:lineRule="auto"/>
              <w:jc w:val="center"/>
              <w:rPr>
                <w:rFonts w:eastAsia="Times New Roman" w:cstheme="minorHAnsi"/>
                <w:b/>
                <w:bCs/>
                <w:sz w:val="20"/>
                <w:szCs w:val="20"/>
              </w:rPr>
            </w:pPr>
            <w:r w:rsidRPr="001E4FAD">
              <w:rPr>
                <w:rFonts w:eastAsia="Times New Roman" w:cstheme="minorHAnsi"/>
                <w:b/>
                <w:bCs/>
                <w:sz w:val="20"/>
                <w:szCs w:val="20"/>
              </w:rPr>
              <w:t>Change Due to Adjustment in Agency Estimate</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rsidR="00FD5C9B" w:rsidRPr="001E4FAD" w14:paraId="34D7D02A" w14:textId="77777777">
            <w:pPr>
              <w:spacing w:after="0" w:line="240" w:lineRule="auto"/>
              <w:jc w:val="center"/>
              <w:rPr>
                <w:rFonts w:eastAsia="Times New Roman" w:cstheme="minorHAnsi"/>
                <w:b/>
                <w:bCs/>
                <w:sz w:val="20"/>
                <w:szCs w:val="20"/>
              </w:rPr>
            </w:pPr>
            <w:r w:rsidRPr="001E4FAD">
              <w:rPr>
                <w:rFonts w:eastAsia="Times New Roman" w:cstheme="minorHAnsi"/>
                <w:b/>
                <w:bCs/>
                <w:sz w:val="20"/>
                <w:szCs w:val="20"/>
              </w:rPr>
              <w:t>Previously Approved</w:t>
            </w:r>
          </w:p>
        </w:tc>
      </w:tr>
      <w:tr w14:paraId="2FB8D9F8" w14:textId="77777777">
        <w:tblPrEx>
          <w:tblW w:w="9360" w:type="dxa"/>
          <w:jc w:val="center"/>
          <w:tblLayout w:type="fixed"/>
          <w:tblCellMar>
            <w:left w:w="115" w:type="dxa"/>
            <w:right w:w="115" w:type="dxa"/>
          </w:tblCellMar>
          <w:tblLook w:val="04A0"/>
        </w:tblPrEx>
        <w:trPr>
          <w:trHeight w:val="525"/>
          <w:jc w:val="center"/>
        </w:trPr>
        <w:tc>
          <w:tcPr>
            <w:tcW w:w="9360" w:type="dxa"/>
            <w:tcBorders>
              <w:top w:val="nil"/>
              <w:left w:val="single" w:sz="4" w:space="0" w:color="auto"/>
              <w:bottom w:val="single" w:sz="4" w:space="0" w:color="auto"/>
              <w:right w:val="single" w:sz="4" w:space="0" w:color="auto"/>
            </w:tcBorders>
            <w:vAlign w:val="center"/>
            <w:hideMark/>
          </w:tcPr>
          <w:p w:rsidR="00FD5C9B" w:rsidRPr="001E4FAD" w14:paraId="47327809" w14:textId="77777777">
            <w:pPr>
              <w:spacing w:after="0" w:line="240" w:lineRule="auto"/>
              <w:rPr>
                <w:rFonts w:eastAsia="Times New Roman" w:cstheme="minorHAnsi"/>
                <w:color w:val="576170"/>
                <w:sz w:val="20"/>
                <w:szCs w:val="20"/>
              </w:rPr>
            </w:pPr>
            <w:r w:rsidRPr="001E4FAD">
              <w:rPr>
                <w:rFonts w:eastAsia="Times New Roman" w:cstheme="minorHAnsi"/>
                <w:color w:val="576170"/>
                <w:sz w:val="20"/>
                <w:szCs w:val="20"/>
              </w:rPr>
              <w:t>Total Number of Responses</w:t>
            </w:r>
          </w:p>
        </w:tc>
        <w:tc>
          <w:tcPr>
            <w:tcW w:w="9360" w:type="dxa"/>
            <w:tcBorders>
              <w:top w:val="nil"/>
              <w:left w:val="nil"/>
              <w:bottom w:val="single" w:sz="4" w:space="0" w:color="auto"/>
              <w:right w:val="single" w:sz="4" w:space="0" w:color="auto"/>
            </w:tcBorders>
            <w:vAlign w:val="center"/>
            <w:hideMark/>
          </w:tcPr>
          <w:p w:rsidR="00FD5C9B" w:rsidRPr="001E4FAD" w14:paraId="7633C2DD" w14:textId="2672A27A">
            <w:pPr>
              <w:spacing w:after="0" w:line="240" w:lineRule="auto"/>
              <w:rPr>
                <w:rFonts w:eastAsia="Times New Roman" w:cstheme="minorHAnsi"/>
                <w:color w:val="576170"/>
                <w:sz w:val="20"/>
                <w:szCs w:val="20"/>
              </w:rPr>
            </w:pPr>
            <w:r>
              <w:rPr>
                <w:rFonts w:eastAsia="Times New Roman" w:cstheme="minorHAnsi"/>
                <w:color w:val="576170"/>
                <w:sz w:val="20"/>
                <w:szCs w:val="20"/>
              </w:rPr>
              <w:t>60</w:t>
            </w:r>
          </w:p>
        </w:tc>
        <w:tc>
          <w:tcPr>
            <w:tcW w:w="9360" w:type="dxa"/>
            <w:tcBorders>
              <w:top w:val="nil"/>
              <w:left w:val="nil"/>
              <w:bottom w:val="single" w:sz="4" w:space="0" w:color="auto"/>
              <w:right w:val="single" w:sz="4" w:space="0" w:color="auto"/>
            </w:tcBorders>
            <w:vAlign w:val="center"/>
            <w:hideMark/>
          </w:tcPr>
          <w:p w:rsidR="00FD5C9B" w:rsidRPr="001E4FAD" w14:paraId="3AC79112" w14:textId="218F05A2">
            <w:pPr>
              <w:spacing w:after="0" w:line="240" w:lineRule="auto"/>
              <w:rPr>
                <w:rFonts w:eastAsia="Times New Roman" w:cstheme="minorHAnsi"/>
                <w:color w:val="576170"/>
                <w:sz w:val="20"/>
                <w:szCs w:val="20"/>
              </w:rPr>
            </w:pPr>
          </w:p>
        </w:tc>
        <w:tc>
          <w:tcPr>
            <w:tcW w:w="9360" w:type="dxa"/>
            <w:tcBorders>
              <w:top w:val="nil"/>
              <w:left w:val="nil"/>
              <w:bottom w:val="single" w:sz="4" w:space="0" w:color="auto"/>
              <w:right w:val="single" w:sz="4" w:space="0" w:color="auto"/>
            </w:tcBorders>
            <w:vAlign w:val="center"/>
            <w:hideMark/>
          </w:tcPr>
          <w:p w:rsidR="00FD5C9B" w:rsidRPr="001E4FAD" w14:paraId="151531E3" w14:textId="28B7C7F1">
            <w:pPr>
              <w:spacing w:after="0" w:line="240" w:lineRule="auto"/>
              <w:rPr>
                <w:rFonts w:eastAsia="Times New Roman" w:cstheme="minorHAnsi"/>
                <w:color w:val="576170"/>
                <w:sz w:val="20"/>
                <w:szCs w:val="20"/>
              </w:rPr>
            </w:pPr>
            <w:r>
              <w:rPr>
                <w:rFonts w:eastAsia="Times New Roman" w:cstheme="minorHAnsi"/>
                <w:color w:val="576170"/>
                <w:sz w:val="20"/>
                <w:szCs w:val="20"/>
              </w:rPr>
              <w:t>-41</w:t>
            </w:r>
          </w:p>
        </w:tc>
        <w:tc>
          <w:tcPr>
            <w:tcW w:w="9360" w:type="dxa"/>
            <w:tcBorders>
              <w:top w:val="nil"/>
              <w:left w:val="nil"/>
              <w:bottom w:val="single" w:sz="4" w:space="0" w:color="auto"/>
              <w:right w:val="single" w:sz="4" w:space="0" w:color="auto"/>
            </w:tcBorders>
            <w:vAlign w:val="center"/>
            <w:hideMark/>
          </w:tcPr>
          <w:p w:rsidR="00FD5C9B" w:rsidRPr="001E4FAD" w14:paraId="69279CD7" w14:textId="6C41B8CC">
            <w:pPr>
              <w:spacing w:after="0" w:line="240" w:lineRule="auto"/>
              <w:rPr>
                <w:rFonts w:eastAsia="Times New Roman" w:cstheme="minorHAnsi"/>
                <w:color w:val="576170"/>
                <w:sz w:val="20"/>
                <w:szCs w:val="20"/>
              </w:rPr>
            </w:pPr>
            <w:r>
              <w:rPr>
                <w:rFonts w:eastAsia="Times New Roman" w:cstheme="minorHAnsi"/>
                <w:color w:val="576170"/>
                <w:sz w:val="20"/>
                <w:szCs w:val="20"/>
              </w:rPr>
              <w:t>101</w:t>
            </w:r>
          </w:p>
        </w:tc>
      </w:tr>
      <w:tr w14:paraId="463CEEA5" w14:textId="77777777">
        <w:tblPrEx>
          <w:tblW w:w="9360" w:type="dxa"/>
          <w:jc w:val="center"/>
          <w:tblLayout w:type="fixed"/>
          <w:tblCellMar>
            <w:left w:w="115" w:type="dxa"/>
            <w:right w:w="115" w:type="dxa"/>
          </w:tblCellMar>
          <w:tblLook w:val="04A0"/>
        </w:tblPrEx>
        <w:trPr>
          <w:trHeight w:val="525"/>
          <w:jc w:val="center"/>
        </w:trPr>
        <w:tc>
          <w:tcPr>
            <w:tcW w:w="9360" w:type="dxa"/>
            <w:tcBorders>
              <w:top w:val="single" w:sz="4" w:space="0" w:color="auto"/>
              <w:left w:val="single" w:sz="4" w:space="0" w:color="auto"/>
              <w:bottom w:val="single" w:sz="4" w:space="0" w:color="auto"/>
              <w:right w:val="single" w:sz="4" w:space="0" w:color="auto"/>
            </w:tcBorders>
            <w:vAlign w:val="center"/>
            <w:hideMark/>
          </w:tcPr>
          <w:p w:rsidR="00FD5C9B" w:rsidRPr="001E4FAD" w14:paraId="618ECE37" w14:textId="77777777">
            <w:pPr>
              <w:spacing w:after="0" w:line="240" w:lineRule="auto"/>
              <w:rPr>
                <w:rFonts w:eastAsia="Times New Roman" w:cstheme="minorHAnsi"/>
                <w:color w:val="576170"/>
                <w:sz w:val="20"/>
                <w:szCs w:val="20"/>
              </w:rPr>
            </w:pPr>
            <w:r w:rsidRPr="001E4FAD">
              <w:rPr>
                <w:rFonts w:eastAsia="Times New Roman" w:cstheme="minorHAnsi"/>
                <w:color w:val="576170"/>
                <w:sz w:val="20"/>
                <w:szCs w:val="20"/>
              </w:rPr>
              <w:t>Total Time Burden (</w:t>
            </w:r>
            <w:r w:rsidRPr="001E4FAD">
              <w:rPr>
                <w:rFonts w:eastAsia="Times New Roman" w:cstheme="minorHAnsi"/>
                <w:color w:val="576170"/>
                <w:sz w:val="20"/>
                <w:szCs w:val="20"/>
              </w:rPr>
              <w:t>Hr</w:t>
            </w:r>
            <w:r w:rsidRPr="001E4FAD">
              <w:rPr>
                <w:rFonts w:eastAsia="Times New Roman" w:cstheme="minorHAnsi"/>
                <w:color w:val="576170"/>
                <w:sz w:val="20"/>
                <w:szCs w:val="20"/>
              </w:rPr>
              <w:t>)</w:t>
            </w:r>
          </w:p>
        </w:tc>
        <w:tc>
          <w:tcPr>
            <w:tcW w:w="9360" w:type="dxa"/>
            <w:tcBorders>
              <w:top w:val="single" w:sz="4" w:space="0" w:color="auto"/>
              <w:left w:val="nil"/>
              <w:bottom w:val="single" w:sz="4" w:space="0" w:color="auto"/>
              <w:right w:val="single" w:sz="4" w:space="0" w:color="auto"/>
            </w:tcBorders>
            <w:vAlign w:val="center"/>
            <w:hideMark/>
          </w:tcPr>
          <w:p w:rsidR="00FD5C9B" w:rsidRPr="001E4FAD" w14:paraId="3E8A0CFD" w14:textId="706E30F1">
            <w:pPr>
              <w:spacing w:after="0" w:line="240" w:lineRule="auto"/>
              <w:rPr>
                <w:rFonts w:eastAsia="Times New Roman" w:cstheme="minorHAnsi"/>
                <w:color w:val="576170"/>
                <w:sz w:val="20"/>
                <w:szCs w:val="20"/>
              </w:rPr>
            </w:pPr>
            <w:r>
              <w:rPr>
                <w:rFonts w:eastAsia="Times New Roman" w:cstheme="minorHAnsi"/>
                <w:color w:val="576170"/>
                <w:sz w:val="20"/>
                <w:szCs w:val="20"/>
              </w:rPr>
              <w:t>180</w:t>
            </w:r>
          </w:p>
        </w:tc>
        <w:tc>
          <w:tcPr>
            <w:tcW w:w="9360" w:type="dxa"/>
            <w:tcBorders>
              <w:top w:val="single" w:sz="4" w:space="0" w:color="auto"/>
              <w:left w:val="nil"/>
              <w:bottom w:val="single" w:sz="4" w:space="0" w:color="auto"/>
              <w:right w:val="single" w:sz="4" w:space="0" w:color="auto"/>
            </w:tcBorders>
            <w:vAlign w:val="center"/>
            <w:hideMark/>
          </w:tcPr>
          <w:p w:rsidR="00FD5C9B" w:rsidRPr="001E4FAD" w14:paraId="51212D29" w14:textId="75B8B257">
            <w:pPr>
              <w:spacing w:after="0" w:line="240" w:lineRule="auto"/>
              <w:rPr>
                <w:rFonts w:eastAsia="Times New Roman" w:cstheme="minorHAnsi"/>
                <w:color w:val="576170"/>
                <w:sz w:val="20"/>
                <w:szCs w:val="20"/>
              </w:rPr>
            </w:pPr>
          </w:p>
        </w:tc>
        <w:tc>
          <w:tcPr>
            <w:tcW w:w="9360" w:type="dxa"/>
            <w:tcBorders>
              <w:top w:val="single" w:sz="4" w:space="0" w:color="auto"/>
              <w:left w:val="nil"/>
              <w:bottom w:val="single" w:sz="4" w:space="0" w:color="auto"/>
              <w:right w:val="single" w:sz="4" w:space="0" w:color="auto"/>
            </w:tcBorders>
            <w:vAlign w:val="center"/>
            <w:hideMark/>
          </w:tcPr>
          <w:p w:rsidR="00FD5C9B" w:rsidRPr="001E4FAD" w14:paraId="00CE6347" w14:textId="642FED7C">
            <w:pPr>
              <w:spacing w:after="0" w:line="240" w:lineRule="auto"/>
              <w:rPr>
                <w:rFonts w:eastAsia="Times New Roman" w:cstheme="minorHAnsi"/>
                <w:color w:val="576170"/>
                <w:sz w:val="20"/>
                <w:szCs w:val="20"/>
              </w:rPr>
            </w:pPr>
            <w:r>
              <w:rPr>
                <w:rFonts w:eastAsia="Times New Roman" w:cstheme="minorHAnsi"/>
                <w:color w:val="576170"/>
                <w:sz w:val="20"/>
                <w:szCs w:val="20"/>
              </w:rPr>
              <w:t>-123</w:t>
            </w:r>
          </w:p>
        </w:tc>
        <w:tc>
          <w:tcPr>
            <w:tcW w:w="9360" w:type="dxa"/>
            <w:tcBorders>
              <w:top w:val="single" w:sz="4" w:space="0" w:color="auto"/>
              <w:left w:val="nil"/>
              <w:bottom w:val="single" w:sz="4" w:space="0" w:color="auto"/>
              <w:right w:val="single" w:sz="4" w:space="0" w:color="auto"/>
            </w:tcBorders>
            <w:vAlign w:val="center"/>
            <w:hideMark/>
          </w:tcPr>
          <w:p w:rsidR="00FD5C9B" w:rsidRPr="001E4FAD" w14:paraId="08C3450E" w14:textId="33370D44">
            <w:pPr>
              <w:spacing w:after="0" w:line="240" w:lineRule="auto"/>
              <w:rPr>
                <w:rFonts w:eastAsia="Times New Roman" w:cstheme="minorHAnsi"/>
                <w:color w:val="576170"/>
                <w:sz w:val="20"/>
                <w:szCs w:val="20"/>
              </w:rPr>
            </w:pPr>
            <w:r>
              <w:rPr>
                <w:rFonts w:eastAsia="Times New Roman" w:cstheme="minorHAnsi"/>
                <w:color w:val="576170"/>
                <w:sz w:val="20"/>
                <w:szCs w:val="20"/>
              </w:rPr>
              <w:t>303</w:t>
            </w:r>
          </w:p>
        </w:tc>
      </w:tr>
      <w:tr w14:paraId="5C1580FA" w14:textId="77777777">
        <w:tblPrEx>
          <w:tblW w:w="9360" w:type="dxa"/>
          <w:jc w:val="center"/>
          <w:tblLayout w:type="fixed"/>
          <w:tblCellMar>
            <w:left w:w="115" w:type="dxa"/>
            <w:right w:w="115" w:type="dxa"/>
          </w:tblCellMar>
          <w:tblLook w:val="04A0"/>
        </w:tblPrEx>
        <w:trPr>
          <w:trHeight w:val="525"/>
          <w:jc w:val="center"/>
        </w:trPr>
        <w:tc>
          <w:tcPr>
            <w:tcW w:w="9360" w:type="dxa"/>
            <w:tcBorders>
              <w:top w:val="single" w:sz="4" w:space="0" w:color="auto"/>
              <w:left w:val="single" w:sz="4" w:space="0" w:color="auto"/>
              <w:bottom w:val="single" w:sz="4" w:space="0" w:color="auto"/>
              <w:right w:val="single" w:sz="4" w:space="0" w:color="auto"/>
            </w:tcBorders>
            <w:vAlign w:val="center"/>
          </w:tcPr>
          <w:p w:rsidR="00FD5C9B" w:rsidRPr="001E4FAD" w14:paraId="2A9C1D00" w14:textId="77777777">
            <w:pPr>
              <w:spacing w:after="0" w:line="240" w:lineRule="auto"/>
              <w:rPr>
                <w:rFonts w:eastAsia="Times New Roman" w:cstheme="minorHAnsi"/>
                <w:color w:val="576170"/>
                <w:sz w:val="20"/>
                <w:szCs w:val="20"/>
              </w:rPr>
            </w:pPr>
            <w:r w:rsidRPr="001E4FAD">
              <w:rPr>
                <w:rFonts w:eastAsia="Times New Roman" w:cstheme="minorHAnsi"/>
                <w:color w:val="576170"/>
                <w:sz w:val="20"/>
                <w:szCs w:val="20"/>
              </w:rPr>
              <w:t>Total Cost Burden</w:t>
            </w:r>
          </w:p>
        </w:tc>
        <w:tc>
          <w:tcPr>
            <w:tcW w:w="9360" w:type="dxa"/>
            <w:tcBorders>
              <w:top w:val="single" w:sz="4" w:space="0" w:color="auto"/>
              <w:left w:val="nil"/>
              <w:bottom w:val="single" w:sz="4" w:space="0" w:color="auto"/>
              <w:right w:val="single" w:sz="4" w:space="0" w:color="auto"/>
            </w:tcBorders>
            <w:vAlign w:val="center"/>
          </w:tcPr>
          <w:p w:rsidR="00FD5C9B" w:rsidRPr="001E4FAD" w14:paraId="42115E1E" w14:textId="163FFDB5">
            <w:pPr>
              <w:spacing w:after="0" w:line="240" w:lineRule="auto"/>
              <w:rPr>
                <w:rFonts w:eastAsia="Times New Roman" w:cstheme="minorHAnsi"/>
                <w:color w:val="576170"/>
                <w:sz w:val="20"/>
                <w:szCs w:val="20"/>
              </w:rPr>
            </w:pPr>
            <w:r w:rsidRPr="001E4FAD">
              <w:rPr>
                <w:rFonts w:eastAsia="Times New Roman" w:cstheme="minorHAnsi"/>
                <w:color w:val="576170"/>
                <w:sz w:val="20"/>
                <w:szCs w:val="20"/>
              </w:rPr>
              <w:t>$</w:t>
            </w:r>
            <w:r>
              <w:rPr>
                <w:rFonts w:eastAsia="Times New Roman" w:cstheme="minorHAnsi"/>
                <w:color w:val="576170"/>
                <w:sz w:val="20"/>
                <w:szCs w:val="20"/>
              </w:rPr>
              <w:t>1</w:t>
            </w:r>
            <w:r w:rsidR="00E23A38">
              <w:rPr>
                <w:rFonts w:eastAsia="Times New Roman" w:cstheme="minorHAnsi"/>
                <w:color w:val="576170"/>
                <w:sz w:val="20"/>
                <w:szCs w:val="20"/>
              </w:rPr>
              <w:t>0</w:t>
            </w:r>
            <w:r>
              <w:rPr>
                <w:rFonts w:eastAsia="Times New Roman" w:cstheme="minorHAnsi"/>
                <w:color w:val="576170"/>
                <w:sz w:val="20"/>
                <w:szCs w:val="20"/>
              </w:rPr>
              <w:t>,</w:t>
            </w:r>
            <w:r w:rsidR="00E23A38">
              <w:rPr>
                <w:rFonts w:eastAsia="Times New Roman" w:cstheme="minorHAnsi"/>
                <w:color w:val="576170"/>
                <w:sz w:val="20"/>
                <w:szCs w:val="20"/>
              </w:rPr>
              <w:t>829</w:t>
            </w:r>
          </w:p>
        </w:tc>
        <w:tc>
          <w:tcPr>
            <w:tcW w:w="9360" w:type="dxa"/>
            <w:tcBorders>
              <w:top w:val="single" w:sz="4" w:space="0" w:color="auto"/>
              <w:left w:val="nil"/>
              <w:bottom w:val="single" w:sz="4" w:space="0" w:color="auto"/>
              <w:right w:val="single" w:sz="4" w:space="0" w:color="auto"/>
            </w:tcBorders>
            <w:vAlign w:val="center"/>
          </w:tcPr>
          <w:p w:rsidR="00FD5C9B" w:rsidRPr="001E4FAD" w14:paraId="2F548BED" w14:textId="64468E44">
            <w:pPr>
              <w:spacing w:after="0" w:line="240" w:lineRule="auto"/>
              <w:rPr>
                <w:rFonts w:eastAsia="Times New Roman" w:cstheme="minorHAnsi"/>
                <w:color w:val="576170"/>
                <w:sz w:val="20"/>
                <w:szCs w:val="20"/>
              </w:rPr>
            </w:pPr>
          </w:p>
        </w:tc>
        <w:tc>
          <w:tcPr>
            <w:tcW w:w="9360" w:type="dxa"/>
            <w:tcBorders>
              <w:top w:val="single" w:sz="4" w:space="0" w:color="auto"/>
              <w:left w:val="nil"/>
              <w:bottom w:val="single" w:sz="4" w:space="0" w:color="auto"/>
              <w:right w:val="single" w:sz="4" w:space="0" w:color="auto"/>
            </w:tcBorders>
            <w:vAlign w:val="center"/>
          </w:tcPr>
          <w:p w:rsidR="00FD5C9B" w:rsidRPr="001E4FAD" w14:paraId="5988D392" w14:textId="5CC22A71">
            <w:pPr>
              <w:spacing w:after="0" w:line="240" w:lineRule="auto"/>
              <w:rPr>
                <w:rFonts w:eastAsia="Times New Roman" w:cstheme="minorHAnsi"/>
                <w:color w:val="576170"/>
                <w:sz w:val="20"/>
                <w:szCs w:val="20"/>
              </w:rPr>
            </w:pPr>
            <w:r>
              <w:rPr>
                <w:rFonts w:eastAsia="Times New Roman" w:cstheme="minorHAnsi"/>
                <w:color w:val="576170"/>
                <w:sz w:val="20"/>
                <w:szCs w:val="20"/>
              </w:rPr>
              <w:t>-$5,372</w:t>
            </w:r>
          </w:p>
        </w:tc>
        <w:tc>
          <w:tcPr>
            <w:tcW w:w="9360" w:type="dxa"/>
            <w:tcBorders>
              <w:top w:val="single" w:sz="4" w:space="0" w:color="auto"/>
              <w:left w:val="nil"/>
              <w:bottom w:val="single" w:sz="4" w:space="0" w:color="auto"/>
              <w:right w:val="single" w:sz="4" w:space="0" w:color="auto"/>
            </w:tcBorders>
            <w:vAlign w:val="center"/>
          </w:tcPr>
          <w:p w:rsidR="00FD5C9B" w:rsidRPr="001E4FAD" w14:paraId="71296506" w14:textId="51C4E971">
            <w:pPr>
              <w:spacing w:after="0" w:line="240" w:lineRule="auto"/>
              <w:rPr>
                <w:rFonts w:eastAsia="Times New Roman" w:cstheme="minorHAnsi"/>
                <w:color w:val="576170"/>
                <w:sz w:val="20"/>
                <w:szCs w:val="20"/>
              </w:rPr>
            </w:pPr>
            <w:r w:rsidRPr="001E4FAD">
              <w:rPr>
                <w:rFonts w:eastAsia="Times New Roman" w:cstheme="minorHAnsi"/>
                <w:color w:val="576170"/>
                <w:sz w:val="20"/>
                <w:szCs w:val="20"/>
              </w:rPr>
              <w:t>$1</w:t>
            </w:r>
            <w:r>
              <w:rPr>
                <w:rFonts w:eastAsia="Times New Roman" w:cstheme="minorHAnsi"/>
                <w:color w:val="576170"/>
                <w:sz w:val="20"/>
                <w:szCs w:val="20"/>
              </w:rPr>
              <w:t>6,20</w:t>
            </w:r>
            <w:r w:rsidR="00906C91">
              <w:rPr>
                <w:rFonts w:eastAsia="Times New Roman" w:cstheme="minorHAnsi"/>
                <w:color w:val="576170"/>
                <w:sz w:val="20"/>
                <w:szCs w:val="20"/>
              </w:rPr>
              <w:t>1</w:t>
            </w:r>
          </w:p>
        </w:tc>
      </w:tr>
    </w:tbl>
    <w:p w:rsidR="00FD5C9B" w:rsidRPr="00A03760" w:rsidP="00FD5C9B" w14:paraId="4001E2F1" w14:textId="77777777">
      <w:pPr>
        <w:rPr>
          <w:rFonts w:cstheme="minorHAnsi"/>
        </w:rPr>
      </w:pPr>
    </w:p>
    <w:p w:rsidR="00F056C3" w:rsidP="00F056C3" w14:paraId="66AF5147" w14:textId="77777777">
      <w:pPr>
        <w:pStyle w:val="Heading2"/>
      </w:pPr>
      <w:r>
        <w:t>A.</w:t>
      </w:r>
      <w:r w:rsidRPr="00A41763" w:rsidR="00A41763">
        <w:t xml:space="preserve">16. </w:t>
      </w:r>
      <w:r w:rsidRPr="00F056C3">
        <w:t>Collection, Tabulation, and Publication Plans</w:t>
      </w:r>
      <w:bookmarkEnd w:id="22"/>
      <w:r w:rsidRPr="00F056C3">
        <w:t xml:space="preserve"> </w:t>
      </w:r>
    </w:p>
    <w:p w:rsidR="00A41763" w:rsidRPr="00A41763" w:rsidP="00A41763" w14:paraId="6ECE09A6" w14:textId="77777777">
      <w:bookmarkStart w:id="23" w:name="_Hlk57385487"/>
      <w:r w:rsidRPr="00A41763">
        <w:rPr>
          <w:b/>
          <w:bCs/>
        </w:rPr>
        <w:t xml:space="preserve">For collections whose results will be published, outline the plans for tabulation and publication. </w:t>
      </w:r>
    </w:p>
    <w:bookmarkEnd w:id="23"/>
    <w:p w:rsidR="00770CF7" w:rsidRPr="0037610B" w:rsidP="00770CF7" w14:paraId="05CC8475" w14:textId="77777777">
      <w:pPr>
        <w:rPr>
          <w:rFonts w:cstheme="minorHAnsi"/>
        </w:rPr>
      </w:pPr>
      <w:r w:rsidRPr="001E4FAD">
        <w:rPr>
          <w:rFonts w:cstheme="minorHAnsi"/>
        </w:rPr>
        <w:t>DOE has no plans to publish the data from the Annual Reports.</w:t>
      </w:r>
    </w:p>
    <w:p w:rsidR="00F056C3" w:rsidP="00F056C3" w14:paraId="307114C9" w14:textId="77777777">
      <w:pPr>
        <w:pStyle w:val="Heading2"/>
      </w:pPr>
      <w:bookmarkStart w:id="24" w:name="_Toc16271336"/>
      <w:r>
        <w:t>A.</w:t>
      </w:r>
      <w:r w:rsidRPr="00A41763" w:rsidR="00A41763">
        <w:t xml:space="preserve">17. </w:t>
      </w:r>
      <w:r w:rsidRPr="00F056C3">
        <w:t>OMB Number and Expiration Date</w:t>
      </w:r>
      <w:bookmarkEnd w:id="24"/>
      <w:r w:rsidRPr="00F056C3">
        <w:t xml:space="preserve"> </w:t>
      </w:r>
    </w:p>
    <w:p w:rsidR="00A41763" w:rsidRPr="00A41763" w:rsidP="00A41763" w14:paraId="7D373596" w14:textId="77777777">
      <w:bookmarkStart w:id="25" w:name="_Hlk57385506"/>
      <w:r w:rsidRPr="00A41763">
        <w:rPr>
          <w:b/>
          <w:bCs/>
        </w:rPr>
        <w:t xml:space="preserve">If seeking approval to not display the expiration date for OMB approval of the information collection, explain the reasons why display would be inappropriate. </w:t>
      </w:r>
    </w:p>
    <w:bookmarkEnd w:id="25"/>
    <w:p w:rsidR="00BE24A5" w:rsidRPr="001E4FAD" w:rsidP="00BE24A5" w14:paraId="76B6B605" w14:textId="77777777">
      <w:pPr>
        <w:autoSpaceDE w:val="0"/>
        <w:autoSpaceDN w:val="0"/>
        <w:adjustRightInd w:val="0"/>
        <w:spacing w:after="0" w:line="240" w:lineRule="auto"/>
        <w:rPr>
          <w:rFonts w:cstheme="minorHAnsi"/>
        </w:rPr>
      </w:pPr>
      <w:r w:rsidRPr="001E4FAD">
        <w:rPr>
          <w:rFonts w:cstheme="minorHAnsi"/>
        </w:rPr>
        <w:t xml:space="preserve">Currently, OMB control numbers, expiration dates, and burden statements are displayed in </w:t>
      </w:r>
      <w:r w:rsidRPr="001E4FAD">
        <w:rPr>
          <w:rFonts w:cstheme="minorHAnsi"/>
          <w:i/>
        </w:rPr>
        <w:t>PAGE</w:t>
      </w:r>
      <w:r>
        <w:rPr>
          <w:rFonts w:cstheme="minorHAnsi"/>
          <w:i/>
        </w:rPr>
        <w:t>.</w:t>
      </w:r>
      <w:r w:rsidRPr="001E4FAD">
        <w:rPr>
          <w:rFonts w:cstheme="minorHAnsi"/>
        </w:rPr>
        <w:t xml:space="preserve"> Therefore, DOE is not seeking approval to not display the expiration date.</w:t>
      </w:r>
    </w:p>
    <w:p w:rsidR="00F056C3" w:rsidP="00A41763" w14:paraId="5997A24A" w14:textId="3ED89C15">
      <w:pPr>
        <w:rPr>
          <w:b/>
          <w:bCs/>
        </w:rPr>
      </w:pPr>
      <w:r w:rsidRPr="00A379AE">
        <w:rPr>
          <w:b/>
          <w:bCs/>
          <w:noProof/>
        </w:rPr>
        <w:drawing>
          <wp:inline distT="0" distB="0" distL="0" distR="0">
            <wp:extent cx="5943600" cy="1908810"/>
            <wp:effectExtent l="0" t="0" r="0" b="0"/>
            <wp:docPr id="1421222044" name="Picture 1" descr="Graphical user interface, 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222044" name="Picture 1" descr="Graphical user interface, text, application&#10;&#10;AI-generated content may be incorrect."/>
                    <pic:cNvPicPr/>
                  </pic:nvPicPr>
                  <pic:blipFill>
                    <a:blip xmlns:r="http://schemas.openxmlformats.org/officeDocument/2006/relationships" r:embed="rId14"/>
                    <a:stretch>
                      <a:fillRect/>
                    </a:stretch>
                  </pic:blipFill>
                  <pic:spPr>
                    <a:xfrm>
                      <a:off x="0" y="0"/>
                      <a:ext cx="5943600" cy="1908810"/>
                    </a:xfrm>
                    <a:prstGeom prst="rect">
                      <a:avLst/>
                    </a:prstGeom>
                  </pic:spPr>
                </pic:pic>
              </a:graphicData>
            </a:graphic>
          </wp:inline>
        </w:drawing>
      </w:r>
    </w:p>
    <w:p w:rsidR="00F056C3" w:rsidP="00F056C3" w14:paraId="2939C81A" w14:textId="77777777">
      <w:pPr>
        <w:pStyle w:val="Heading2"/>
      </w:pPr>
      <w:bookmarkStart w:id="26" w:name="_Toc16271337"/>
      <w:r>
        <w:t>A.</w:t>
      </w:r>
      <w:r w:rsidRPr="00A41763" w:rsidR="00A41763">
        <w:t xml:space="preserve">18. </w:t>
      </w:r>
      <w:r w:rsidRPr="00F056C3">
        <w:t>Certification Statement</w:t>
      </w:r>
      <w:bookmarkEnd w:id="26"/>
      <w:r w:rsidRPr="00F056C3">
        <w:t xml:space="preserve"> </w:t>
      </w:r>
    </w:p>
    <w:p w:rsidR="00A41763" w:rsidRPr="00A41763" w:rsidP="00A41763" w14:paraId="28BE5168" w14:textId="77777777">
      <w:bookmarkStart w:id="27" w:name="_Hlk57385515"/>
      <w:r w:rsidRPr="00A41763">
        <w:rPr>
          <w:b/>
          <w:bCs/>
        </w:rPr>
        <w:t xml:space="preserve">Explain each exception to the certification statement identified in Item 19 of OMB Form 83-I. </w:t>
      </w:r>
    </w:p>
    <w:bookmarkEnd w:id="27"/>
    <w:p w:rsidR="002547ED" w:rsidRPr="00F40226" w:rsidP="00F40226" w14:paraId="333DE30A" w14:textId="612AE0F8">
      <w:pPr>
        <w:spacing w:after="0"/>
        <w:rPr>
          <w:rFonts w:cstheme="minorHAnsi"/>
          <w:sz w:val="24"/>
          <w:szCs w:val="24"/>
        </w:rPr>
      </w:pPr>
      <w:r w:rsidRPr="001E4FAD">
        <w:rPr>
          <w:rFonts w:cstheme="minorHAnsi"/>
        </w:rPr>
        <w:t>There are no exceptions being requested.</w:t>
      </w:r>
    </w:p>
    <w:sectPr w:rsidSect="00933D5D">
      <w:footerReference w:type="defaul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511E2D" w14:paraId="2A6CDFFA" w14:textId="1C11721F">
    <w:pPr>
      <w:pStyle w:val="Footer"/>
    </w:pPr>
    <w:r w:rsidRPr="00CB180D">
      <w:t xml:space="preserve">U.S. </w:t>
    </w:r>
    <w:r>
      <w:t>Department of Energy</w:t>
    </w:r>
    <w:r w:rsidR="00200046">
      <w:t xml:space="preserve">   </w:t>
    </w:r>
    <w:r w:rsidRPr="00CB180D">
      <w:t>|</w:t>
    </w:r>
    <w:r w:rsidR="00200046">
      <w:t xml:space="preserve">   </w:t>
    </w:r>
    <w:sdt>
      <w:sdtPr>
        <w:alias w:val="Title"/>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Content>
        <w:r w:rsidR="00FE0306">
          <w:t>Supporting Statement for Energy Efficiency and Conservation Block Grant Information Collection Request</w:t>
        </w:r>
      </w:sdtContent>
    </w:sdt>
    <w:r>
      <w:t xml:space="preserve"> </w:t>
    </w:r>
    <w:r>
      <w:tab/>
      <w:t xml:space="preserve"> </w:t>
    </w:r>
    <w:r>
      <w:fldChar w:fldCharType="begin"/>
    </w:r>
    <w:r>
      <w:instrText xml:space="preserve"> PAGE   \* MERGEFORMAT </w:instrText>
    </w:r>
    <w:r>
      <w:fldChar w:fldCharType="separate"/>
    </w:r>
    <w:r w:rsidR="00D701F6">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511E2D" w14:paraId="035783FF" w14:textId="6534A255">
    <w:pPr>
      <w:pStyle w:val="Footer"/>
    </w:pPr>
    <w:sdt>
      <w:sdtPr>
        <w:id w:val="272451101"/>
        <w:docPartObj>
          <w:docPartGallery w:val="Page Numbers (Bottom of Page)"/>
          <w:docPartUnique/>
        </w:docPartObj>
      </w:sdtPr>
      <w:sdtContent>
        <w:r w:rsidRPr="00CB180D">
          <w:t>U.S. Energy Information Administration</w:t>
        </w:r>
        <w:r w:rsidR="00200046">
          <w:t xml:space="preserve">   </w:t>
        </w:r>
        <w:r w:rsidRPr="00CB180D">
          <w:t>|</w:t>
        </w:r>
        <w:r w:rsidR="00200046">
          <w:t xml:space="preserve">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w:t>
    </w:r>
    <w:r>
      <w:rPr>
        <w:noProof/>
      </w:rPr>
      <w:fldChar w:fldCharType="end"/>
    </w:r>
  </w:p>
  <w:p w:rsidR="008F16EC" w:rsidP="00511E2D" w14:paraId="4F6F7BC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511E2D" w14:paraId="56CEF768" w14:textId="5E129050">
    <w:pPr>
      <w:pStyle w:val="Footer"/>
    </w:pPr>
    <w:sdt>
      <w:sdtPr>
        <w:id w:val="-22715443"/>
        <w:docPartObj>
          <w:docPartGallery w:val="Page Numbers (Bottom of Page)"/>
          <w:docPartUnique/>
        </w:docPartObj>
      </w:sdtPr>
      <w:sdtContent>
        <w:r w:rsidRPr="00CB180D">
          <w:t>U.S. Energy Information Administration</w:t>
        </w:r>
        <w:r w:rsidR="00200046">
          <w:t xml:space="preserve">   </w:t>
        </w:r>
        <w:r w:rsidRPr="00CB180D">
          <w:t>|</w:t>
        </w:r>
        <w:r w:rsidR="00200046">
          <w:t xml:space="preserve">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ii</w:t>
    </w:r>
    <w:r>
      <w:rPr>
        <w:noProof/>
      </w:rPr>
      <w:fldChar w:fldCharType="end"/>
    </w:r>
  </w:p>
  <w:p w:rsidR="008F16EC" w:rsidP="00511E2D" w14:paraId="5CF62AC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511E2D" w14:paraId="18230B7E" w14:textId="448E0CA8">
    <w:pPr>
      <w:pStyle w:val="Footer"/>
    </w:pPr>
    <w:r>
      <w:t xml:space="preserve">U.S. Department of </w:t>
    </w:r>
    <w:r w:rsidR="00632971">
      <w:t xml:space="preserve">Energy </w:t>
    </w:r>
    <w:r w:rsidRPr="00CB180D" w:rsidR="00632971">
      <w:t>|</w:t>
    </w:r>
    <w:r w:rsidR="00632971">
      <w:t xml:space="preserve"> </w:t>
    </w:r>
    <w:sdt>
      <w:sdtPr>
        <w:alias w:val="Title"/>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Content>
        <w:r w:rsidR="00FE0306">
          <w:t>Supporting Statement for Energy Efficiency and Conservation Block Grant Information Collection Request</w:t>
        </w:r>
      </w:sdtContent>
    </w:sdt>
    <w:r>
      <w:tab/>
      <w:t xml:space="preserve"> </w:t>
    </w:r>
    <w:r>
      <w:fldChar w:fldCharType="begin"/>
    </w:r>
    <w:r>
      <w:instrText xml:space="preserve"> PAGE   \* MERGEFORMAT </w:instrText>
    </w:r>
    <w:r>
      <w:fldChar w:fldCharType="separate"/>
    </w:r>
    <w:r w:rsidR="00D701F6">
      <w:rPr>
        <w:noProof/>
      </w:rPr>
      <w:t>8</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25453" w14:paraId="3394AB6F"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94009E0"/>
    <w:lvl w:ilvl="0">
      <w:start w:val="1"/>
      <w:numFmt w:val="decimal"/>
      <w:lvlText w:val="%1."/>
      <w:lvlJc w:val="left"/>
      <w:pPr>
        <w:tabs>
          <w:tab w:val="num" w:pos="1800"/>
        </w:tabs>
        <w:ind w:left="1800" w:hanging="360"/>
      </w:pPr>
    </w:lvl>
  </w:abstractNum>
  <w:abstractNum w:abstractNumId="1">
    <w:nsid w:val="FFFFFF7D"/>
    <w:multiLevelType w:val="singleLevel"/>
    <w:tmpl w:val="7B24A21C"/>
    <w:lvl w:ilvl="0">
      <w:start w:val="1"/>
      <w:numFmt w:val="decimal"/>
      <w:lvlText w:val="%1."/>
      <w:lvlJc w:val="left"/>
      <w:pPr>
        <w:tabs>
          <w:tab w:val="num" w:pos="1440"/>
        </w:tabs>
        <w:ind w:left="1440" w:hanging="360"/>
      </w:pPr>
    </w:lvl>
  </w:abstractNum>
  <w:abstractNum w:abstractNumId="2">
    <w:nsid w:val="FFFFFF7E"/>
    <w:multiLevelType w:val="singleLevel"/>
    <w:tmpl w:val="6DFCCB4A"/>
    <w:lvl w:ilvl="0">
      <w:start w:val="1"/>
      <w:numFmt w:val="decimal"/>
      <w:lvlText w:val="%1."/>
      <w:lvlJc w:val="left"/>
      <w:pPr>
        <w:tabs>
          <w:tab w:val="num" w:pos="1080"/>
        </w:tabs>
        <w:ind w:left="1080" w:hanging="360"/>
      </w:pPr>
    </w:lvl>
  </w:abstractNum>
  <w:abstractNum w:abstractNumId="3">
    <w:nsid w:val="FFFFFF7F"/>
    <w:multiLevelType w:val="singleLevel"/>
    <w:tmpl w:val="2D9626D0"/>
    <w:lvl w:ilvl="0">
      <w:start w:val="1"/>
      <w:numFmt w:val="decimal"/>
      <w:lvlText w:val="%1."/>
      <w:lvlJc w:val="left"/>
      <w:pPr>
        <w:tabs>
          <w:tab w:val="num" w:pos="720"/>
        </w:tabs>
        <w:ind w:left="720" w:hanging="360"/>
      </w:pPr>
    </w:lvl>
  </w:abstractNum>
  <w:abstractNum w:abstractNumId="4">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nsid w:val="069F36C6"/>
    <w:multiLevelType w:val="multilevel"/>
    <w:tmpl w:val="E258FFEA"/>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nsid w:val="3AAA5C3B"/>
    <w:multiLevelType w:val="hybridMultilevel"/>
    <w:tmpl w:val="09263B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1666C8F"/>
    <w:multiLevelType w:val="hybridMultilevel"/>
    <w:tmpl w:val="2EDAB45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6F863061"/>
    <w:multiLevelType w:val="multilevel"/>
    <w:tmpl w:val="23362550"/>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abstractNum w:abstractNumId="18">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9">
    <w:nsid w:val="7E5555F1"/>
    <w:multiLevelType w:val="hybridMultilevel"/>
    <w:tmpl w:val="C8C60240"/>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7F6C1966"/>
    <w:multiLevelType w:val="hybridMultilevel"/>
    <w:tmpl w:val="089EF72A"/>
    <w:lvl w:ilvl="0">
      <w:start w:val="1"/>
      <w:numFmt w:val="bullet"/>
      <w:lvlText w:val=""/>
      <w:lvlJc w:val="left"/>
      <w:pPr>
        <w:ind w:left="776" w:hanging="360"/>
      </w:pPr>
      <w:rPr>
        <w:rFonts w:ascii="Symbol" w:hAnsi="Symbol"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num w:numId="1" w16cid:durableId="591740334">
    <w:abstractNumId w:val="10"/>
  </w:num>
  <w:num w:numId="2" w16cid:durableId="250435065">
    <w:abstractNumId w:val="9"/>
  </w:num>
  <w:num w:numId="3" w16cid:durableId="645857995">
    <w:abstractNumId w:val="7"/>
  </w:num>
  <w:num w:numId="4" w16cid:durableId="293367704">
    <w:abstractNumId w:val="6"/>
  </w:num>
  <w:num w:numId="5" w16cid:durableId="43214117">
    <w:abstractNumId w:val="5"/>
  </w:num>
  <w:num w:numId="6" w16cid:durableId="808934660">
    <w:abstractNumId w:val="4"/>
  </w:num>
  <w:num w:numId="7" w16cid:durableId="1017342010">
    <w:abstractNumId w:val="8"/>
  </w:num>
  <w:num w:numId="8" w16cid:durableId="658460053">
    <w:abstractNumId w:val="3"/>
  </w:num>
  <w:num w:numId="9" w16cid:durableId="1884252511">
    <w:abstractNumId w:val="2"/>
  </w:num>
  <w:num w:numId="10" w16cid:durableId="1075932389">
    <w:abstractNumId w:val="1"/>
  </w:num>
  <w:num w:numId="11" w16cid:durableId="1904296140">
    <w:abstractNumId w:val="0"/>
  </w:num>
  <w:num w:numId="12" w16cid:durableId="743991678">
    <w:abstractNumId w:val="16"/>
  </w:num>
  <w:num w:numId="13" w16cid:durableId="1199003533">
    <w:abstractNumId w:val="12"/>
  </w:num>
  <w:num w:numId="14" w16cid:durableId="1171989247">
    <w:abstractNumId w:val="13"/>
  </w:num>
  <w:num w:numId="15" w16cid:durableId="1887526645">
    <w:abstractNumId w:val="15"/>
  </w:num>
  <w:num w:numId="16" w16cid:durableId="344483955">
    <w:abstractNumId w:val="10"/>
  </w:num>
  <w:num w:numId="17" w16cid:durableId="1111821576">
    <w:abstractNumId w:val="10"/>
  </w:num>
  <w:num w:numId="18" w16cid:durableId="1446191652">
    <w:abstractNumId w:val="14"/>
  </w:num>
  <w:num w:numId="19" w16cid:durableId="5470366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73369005">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16cid:durableId="1272667732">
    <w:abstractNumId w:val="10"/>
  </w:num>
  <w:num w:numId="22" w16cid:durableId="2080053230">
    <w:abstractNumId w:val="10"/>
  </w:num>
  <w:num w:numId="23" w16cid:durableId="1480729620">
    <w:abstractNumId w:val="10"/>
  </w:num>
  <w:num w:numId="24" w16cid:durableId="1957561764">
    <w:abstractNumId w:val="10"/>
  </w:num>
  <w:num w:numId="25" w16cid:durableId="2011174383">
    <w:abstractNumId w:val="10"/>
  </w:num>
  <w:num w:numId="26" w16cid:durableId="490676268">
    <w:abstractNumId w:val="17"/>
  </w:num>
  <w:num w:numId="27" w16cid:durableId="2032609366">
    <w:abstractNumId w:val="10"/>
  </w:num>
  <w:num w:numId="28" w16cid:durableId="982585832">
    <w:abstractNumId w:val="17"/>
  </w:num>
  <w:num w:numId="29" w16cid:durableId="703988284">
    <w:abstractNumId w:val="17"/>
  </w:num>
  <w:num w:numId="30" w16cid:durableId="2087528876">
    <w:abstractNumId w:val="17"/>
  </w:num>
  <w:num w:numId="31" w16cid:durableId="1255744616">
    <w:abstractNumId w:val="10"/>
  </w:num>
  <w:num w:numId="32" w16cid:durableId="1981035617">
    <w:abstractNumId w:val="10"/>
  </w:num>
  <w:num w:numId="33" w16cid:durableId="871040176">
    <w:abstractNumId w:val="10"/>
  </w:num>
  <w:num w:numId="34" w16cid:durableId="601844236">
    <w:abstractNumId w:val="9"/>
  </w:num>
  <w:num w:numId="35" w16cid:durableId="1244796483">
    <w:abstractNumId w:val="7"/>
  </w:num>
  <w:num w:numId="36" w16cid:durableId="2130660469">
    <w:abstractNumId w:val="6"/>
  </w:num>
  <w:num w:numId="37" w16cid:durableId="1791894495">
    <w:abstractNumId w:val="5"/>
  </w:num>
  <w:num w:numId="38" w16cid:durableId="724332414">
    <w:abstractNumId w:val="12"/>
  </w:num>
  <w:num w:numId="39" w16cid:durableId="988510025">
    <w:abstractNumId w:val="17"/>
  </w:num>
  <w:num w:numId="40" w16cid:durableId="62800361">
    <w:abstractNumId w:val="17"/>
  </w:num>
  <w:num w:numId="41" w16cid:durableId="551887880">
    <w:abstractNumId w:val="17"/>
  </w:num>
  <w:num w:numId="42" w16cid:durableId="1366834189">
    <w:abstractNumId w:val="12"/>
  </w:num>
  <w:num w:numId="43" w16cid:durableId="929704094">
    <w:abstractNumId w:val="12"/>
  </w:num>
  <w:num w:numId="44" w16cid:durableId="879124704">
    <w:abstractNumId w:val="12"/>
  </w:num>
  <w:num w:numId="45" w16cid:durableId="1621909535">
    <w:abstractNumId w:val="12"/>
  </w:num>
  <w:num w:numId="46" w16cid:durableId="1073819859">
    <w:abstractNumId w:val="11"/>
  </w:num>
  <w:num w:numId="47" w16cid:durableId="1646354970">
    <w:abstractNumId w:val="18"/>
  </w:num>
  <w:num w:numId="48" w16cid:durableId="1392802710">
    <w:abstractNumId w:val="18"/>
  </w:num>
  <w:num w:numId="49" w16cid:durableId="304706453">
    <w:abstractNumId w:val="20"/>
  </w:num>
  <w:num w:numId="50" w16cid:durableId="95328799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10"/>
  <w:displayHorizontalDrawingGridEvery w:val="2"/>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364C"/>
    <w:rsid w:val="00004135"/>
    <w:rsid w:val="000041A1"/>
    <w:rsid w:val="0000513A"/>
    <w:rsid w:val="000053BB"/>
    <w:rsid w:val="00010158"/>
    <w:rsid w:val="00011B3F"/>
    <w:rsid w:val="00013373"/>
    <w:rsid w:val="000142E5"/>
    <w:rsid w:val="00015DA7"/>
    <w:rsid w:val="00021EA4"/>
    <w:rsid w:val="00023910"/>
    <w:rsid w:val="000248CE"/>
    <w:rsid w:val="00024E1E"/>
    <w:rsid w:val="00026EA1"/>
    <w:rsid w:val="00032E2F"/>
    <w:rsid w:val="00034A4B"/>
    <w:rsid w:val="000402CF"/>
    <w:rsid w:val="00041909"/>
    <w:rsid w:val="000457E4"/>
    <w:rsid w:val="00046593"/>
    <w:rsid w:val="00047C08"/>
    <w:rsid w:val="00051991"/>
    <w:rsid w:val="0005401F"/>
    <w:rsid w:val="00054835"/>
    <w:rsid w:val="00055769"/>
    <w:rsid w:val="00056EC3"/>
    <w:rsid w:val="00062CFE"/>
    <w:rsid w:val="0006369A"/>
    <w:rsid w:val="00064A24"/>
    <w:rsid w:val="0007129A"/>
    <w:rsid w:val="0007164A"/>
    <w:rsid w:val="00073743"/>
    <w:rsid w:val="000759B0"/>
    <w:rsid w:val="0008028F"/>
    <w:rsid w:val="00082523"/>
    <w:rsid w:val="000831C4"/>
    <w:rsid w:val="000844CA"/>
    <w:rsid w:val="00085CB2"/>
    <w:rsid w:val="00087371"/>
    <w:rsid w:val="000926C1"/>
    <w:rsid w:val="000A4C86"/>
    <w:rsid w:val="000A64D2"/>
    <w:rsid w:val="000A6F86"/>
    <w:rsid w:val="000B1C3B"/>
    <w:rsid w:val="000B2C75"/>
    <w:rsid w:val="000B3FBE"/>
    <w:rsid w:val="000B43BF"/>
    <w:rsid w:val="000B5DDB"/>
    <w:rsid w:val="000C28E1"/>
    <w:rsid w:val="000C4714"/>
    <w:rsid w:val="000C5311"/>
    <w:rsid w:val="000C5834"/>
    <w:rsid w:val="000E051D"/>
    <w:rsid w:val="000E53B0"/>
    <w:rsid w:val="000F040A"/>
    <w:rsid w:val="000F2D1C"/>
    <w:rsid w:val="000F7623"/>
    <w:rsid w:val="00102518"/>
    <w:rsid w:val="001034E8"/>
    <w:rsid w:val="001112D1"/>
    <w:rsid w:val="00112A69"/>
    <w:rsid w:val="0011541D"/>
    <w:rsid w:val="001270CC"/>
    <w:rsid w:val="00130FBF"/>
    <w:rsid w:val="00132953"/>
    <w:rsid w:val="00132F4A"/>
    <w:rsid w:val="00140E19"/>
    <w:rsid w:val="00144760"/>
    <w:rsid w:val="00154192"/>
    <w:rsid w:val="001567D6"/>
    <w:rsid w:val="00160BC8"/>
    <w:rsid w:val="00167425"/>
    <w:rsid w:val="00176164"/>
    <w:rsid w:val="00177E77"/>
    <w:rsid w:val="001800A8"/>
    <w:rsid w:val="001807A3"/>
    <w:rsid w:val="00185D51"/>
    <w:rsid w:val="001947D5"/>
    <w:rsid w:val="001947F2"/>
    <w:rsid w:val="001978B8"/>
    <w:rsid w:val="001A6E1E"/>
    <w:rsid w:val="001A6E9A"/>
    <w:rsid w:val="001A78F9"/>
    <w:rsid w:val="001B0E69"/>
    <w:rsid w:val="001B6585"/>
    <w:rsid w:val="001C24B0"/>
    <w:rsid w:val="001C58B9"/>
    <w:rsid w:val="001D03A8"/>
    <w:rsid w:val="001D2135"/>
    <w:rsid w:val="001D318C"/>
    <w:rsid w:val="001E0E97"/>
    <w:rsid w:val="001E3A91"/>
    <w:rsid w:val="001E4FAD"/>
    <w:rsid w:val="001E75BC"/>
    <w:rsid w:val="001F043E"/>
    <w:rsid w:val="001F2441"/>
    <w:rsid w:val="001F3A8F"/>
    <w:rsid w:val="00200046"/>
    <w:rsid w:val="002008B4"/>
    <w:rsid w:val="00201018"/>
    <w:rsid w:val="00201F24"/>
    <w:rsid w:val="00205D51"/>
    <w:rsid w:val="002100ED"/>
    <w:rsid w:val="002127CE"/>
    <w:rsid w:val="00214D1C"/>
    <w:rsid w:val="00215842"/>
    <w:rsid w:val="002207DF"/>
    <w:rsid w:val="00221AC2"/>
    <w:rsid w:val="00226014"/>
    <w:rsid w:val="00227E4B"/>
    <w:rsid w:val="0023015A"/>
    <w:rsid w:val="0023708A"/>
    <w:rsid w:val="002442D9"/>
    <w:rsid w:val="002447B0"/>
    <w:rsid w:val="0025022D"/>
    <w:rsid w:val="0025282A"/>
    <w:rsid w:val="002530BB"/>
    <w:rsid w:val="002547ED"/>
    <w:rsid w:val="002556F3"/>
    <w:rsid w:val="0026079E"/>
    <w:rsid w:val="00260EDF"/>
    <w:rsid w:val="00264148"/>
    <w:rsid w:val="0026778C"/>
    <w:rsid w:val="002722D9"/>
    <w:rsid w:val="00274179"/>
    <w:rsid w:val="0027420D"/>
    <w:rsid w:val="00281563"/>
    <w:rsid w:val="002961BB"/>
    <w:rsid w:val="002A2524"/>
    <w:rsid w:val="002B0FD2"/>
    <w:rsid w:val="002B77BB"/>
    <w:rsid w:val="002C378C"/>
    <w:rsid w:val="002C79DF"/>
    <w:rsid w:val="002D080F"/>
    <w:rsid w:val="002E3FD5"/>
    <w:rsid w:val="002E40D4"/>
    <w:rsid w:val="002E49A7"/>
    <w:rsid w:val="002E4FAD"/>
    <w:rsid w:val="002E7A38"/>
    <w:rsid w:val="002F32EA"/>
    <w:rsid w:val="002F473B"/>
    <w:rsid w:val="00306516"/>
    <w:rsid w:val="003241AD"/>
    <w:rsid w:val="00331642"/>
    <w:rsid w:val="00331BCF"/>
    <w:rsid w:val="00332F64"/>
    <w:rsid w:val="003469CB"/>
    <w:rsid w:val="00347505"/>
    <w:rsid w:val="00350C8B"/>
    <w:rsid w:val="00351313"/>
    <w:rsid w:val="00351A73"/>
    <w:rsid w:val="00351B27"/>
    <w:rsid w:val="00356157"/>
    <w:rsid w:val="00357AD6"/>
    <w:rsid w:val="0036331F"/>
    <w:rsid w:val="00363331"/>
    <w:rsid w:val="00367E96"/>
    <w:rsid w:val="00370816"/>
    <w:rsid w:val="00371E14"/>
    <w:rsid w:val="00372FEF"/>
    <w:rsid w:val="00373208"/>
    <w:rsid w:val="0037610B"/>
    <w:rsid w:val="00380EE2"/>
    <w:rsid w:val="00383DB3"/>
    <w:rsid w:val="00384C0F"/>
    <w:rsid w:val="003854B2"/>
    <w:rsid w:val="00385AE6"/>
    <w:rsid w:val="003861E2"/>
    <w:rsid w:val="00387C8D"/>
    <w:rsid w:val="00387CE6"/>
    <w:rsid w:val="00392DD0"/>
    <w:rsid w:val="00393EA7"/>
    <w:rsid w:val="00396BCB"/>
    <w:rsid w:val="00397825"/>
    <w:rsid w:val="003A1073"/>
    <w:rsid w:val="003A10F3"/>
    <w:rsid w:val="003A3906"/>
    <w:rsid w:val="003B03A4"/>
    <w:rsid w:val="003B25EE"/>
    <w:rsid w:val="003B7A18"/>
    <w:rsid w:val="003C03EA"/>
    <w:rsid w:val="003C690C"/>
    <w:rsid w:val="003C6AF0"/>
    <w:rsid w:val="003D765B"/>
    <w:rsid w:val="003E40FA"/>
    <w:rsid w:val="003E456B"/>
    <w:rsid w:val="003E65D6"/>
    <w:rsid w:val="003F1CCD"/>
    <w:rsid w:val="003F24ED"/>
    <w:rsid w:val="003F38B7"/>
    <w:rsid w:val="003F4BC2"/>
    <w:rsid w:val="003F529E"/>
    <w:rsid w:val="003F7E3E"/>
    <w:rsid w:val="004073DF"/>
    <w:rsid w:val="00407CCE"/>
    <w:rsid w:val="004123CB"/>
    <w:rsid w:val="004203AF"/>
    <w:rsid w:val="00422985"/>
    <w:rsid w:val="00426481"/>
    <w:rsid w:val="00432966"/>
    <w:rsid w:val="0044301E"/>
    <w:rsid w:val="00451E7A"/>
    <w:rsid w:val="0045608E"/>
    <w:rsid w:val="0045662F"/>
    <w:rsid w:val="00466959"/>
    <w:rsid w:val="00466E47"/>
    <w:rsid w:val="00475837"/>
    <w:rsid w:val="0047656C"/>
    <w:rsid w:val="0047784B"/>
    <w:rsid w:val="00484376"/>
    <w:rsid w:val="00494015"/>
    <w:rsid w:val="004946F0"/>
    <w:rsid w:val="00497C2A"/>
    <w:rsid w:val="004A55CE"/>
    <w:rsid w:val="004B1075"/>
    <w:rsid w:val="004B18B5"/>
    <w:rsid w:val="004B1EE1"/>
    <w:rsid w:val="004C15C8"/>
    <w:rsid w:val="004C255B"/>
    <w:rsid w:val="004C277B"/>
    <w:rsid w:val="004C491B"/>
    <w:rsid w:val="004D05FB"/>
    <w:rsid w:val="004D29C7"/>
    <w:rsid w:val="004D4EAD"/>
    <w:rsid w:val="004E4219"/>
    <w:rsid w:val="004F4AF7"/>
    <w:rsid w:val="004F5AFA"/>
    <w:rsid w:val="00504119"/>
    <w:rsid w:val="005065CF"/>
    <w:rsid w:val="00506BB4"/>
    <w:rsid w:val="0050705F"/>
    <w:rsid w:val="00507140"/>
    <w:rsid w:val="00511E2D"/>
    <w:rsid w:val="0051274C"/>
    <w:rsid w:val="00513DAC"/>
    <w:rsid w:val="005170D3"/>
    <w:rsid w:val="00524604"/>
    <w:rsid w:val="0052493A"/>
    <w:rsid w:val="00526AA2"/>
    <w:rsid w:val="0052783E"/>
    <w:rsid w:val="0053183D"/>
    <w:rsid w:val="00535CAF"/>
    <w:rsid w:val="00536054"/>
    <w:rsid w:val="0053654B"/>
    <w:rsid w:val="00536CE1"/>
    <w:rsid w:val="00537A91"/>
    <w:rsid w:val="00540DDE"/>
    <w:rsid w:val="0054180D"/>
    <w:rsid w:val="0054572E"/>
    <w:rsid w:val="00545C0F"/>
    <w:rsid w:val="00547B53"/>
    <w:rsid w:val="005510E7"/>
    <w:rsid w:val="005515CD"/>
    <w:rsid w:val="00554F7F"/>
    <w:rsid w:val="00563A8C"/>
    <w:rsid w:val="005711DB"/>
    <w:rsid w:val="00571D8F"/>
    <w:rsid w:val="00571F4E"/>
    <w:rsid w:val="0057367D"/>
    <w:rsid w:val="005817EE"/>
    <w:rsid w:val="00585BE3"/>
    <w:rsid w:val="00585CA8"/>
    <w:rsid w:val="0059149C"/>
    <w:rsid w:val="0059212D"/>
    <w:rsid w:val="005946D4"/>
    <w:rsid w:val="00594886"/>
    <w:rsid w:val="005A302D"/>
    <w:rsid w:val="005B2B58"/>
    <w:rsid w:val="005C00FA"/>
    <w:rsid w:val="005C2D89"/>
    <w:rsid w:val="005C485B"/>
    <w:rsid w:val="005C4E4A"/>
    <w:rsid w:val="005C627E"/>
    <w:rsid w:val="005D03D3"/>
    <w:rsid w:val="005D1AA2"/>
    <w:rsid w:val="005D39D7"/>
    <w:rsid w:val="005D50F6"/>
    <w:rsid w:val="005D5956"/>
    <w:rsid w:val="005D6F63"/>
    <w:rsid w:val="005F0BA6"/>
    <w:rsid w:val="005F4848"/>
    <w:rsid w:val="005F6E23"/>
    <w:rsid w:val="00612688"/>
    <w:rsid w:val="00616E46"/>
    <w:rsid w:val="0062008C"/>
    <w:rsid w:val="00620797"/>
    <w:rsid w:val="00621C6F"/>
    <w:rsid w:val="00626494"/>
    <w:rsid w:val="00632971"/>
    <w:rsid w:val="00641751"/>
    <w:rsid w:val="00641DE2"/>
    <w:rsid w:val="00643384"/>
    <w:rsid w:val="0065406F"/>
    <w:rsid w:val="006557BC"/>
    <w:rsid w:val="00662B2C"/>
    <w:rsid w:val="00663EC4"/>
    <w:rsid w:val="0066423F"/>
    <w:rsid w:val="0066441C"/>
    <w:rsid w:val="00672971"/>
    <w:rsid w:val="00673A3B"/>
    <w:rsid w:val="00673C92"/>
    <w:rsid w:val="00677C5F"/>
    <w:rsid w:val="00677FBF"/>
    <w:rsid w:val="006977D7"/>
    <w:rsid w:val="006A0BC7"/>
    <w:rsid w:val="006B090C"/>
    <w:rsid w:val="006B1040"/>
    <w:rsid w:val="006B29DF"/>
    <w:rsid w:val="006B3D0F"/>
    <w:rsid w:val="006C0062"/>
    <w:rsid w:val="006C097E"/>
    <w:rsid w:val="006C2DC3"/>
    <w:rsid w:val="006C6819"/>
    <w:rsid w:val="006D0439"/>
    <w:rsid w:val="006D42EC"/>
    <w:rsid w:val="006D5A41"/>
    <w:rsid w:val="006D6ECF"/>
    <w:rsid w:val="006F3C12"/>
    <w:rsid w:val="00704B7D"/>
    <w:rsid w:val="00706EFB"/>
    <w:rsid w:val="00711414"/>
    <w:rsid w:val="00714478"/>
    <w:rsid w:val="007157F5"/>
    <w:rsid w:val="00716C94"/>
    <w:rsid w:val="00724447"/>
    <w:rsid w:val="00725453"/>
    <w:rsid w:val="0072709B"/>
    <w:rsid w:val="00730DA0"/>
    <w:rsid w:val="007362B3"/>
    <w:rsid w:val="00737591"/>
    <w:rsid w:val="007438F2"/>
    <w:rsid w:val="007444CB"/>
    <w:rsid w:val="00747566"/>
    <w:rsid w:val="00750C95"/>
    <w:rsid w:val="00755C3D"/>
    <w:rsid w:val="00756756"/>
    <w:rsid w:val="007576EF"/>
    <w:rsid w:val="00760677"/>
    <w:rsid w:val="00761C12"/>
    <w:rsid w:val="007658BA"/>
    <w:rsid w:val="00770CF7"/>
    <w:rsid w:val="00775F81"/>
    <w:rsid w:val="00776CF4"/>
    <w:rsid w:val="00777E63"/>
    <w:rsid w:val="00781CB8"/>
    <w:rsid w:val="00784617"/>
    <w:rsid w:val="00784F89"/>
    <w:rsid w:val="007861A7"/>
    <w:rsid w:val="00786336"/>
    <w:rsid w:val="00787E3C"/>
    <w:rsid w:val="00793727"/>
    <w:rsid w:val="007951D6"/>
    <w:rsid w:val="007A0E7F"/>
    <w:rsid w:val="007A4378"/>
    <w:rsid w:val="007A4D9A"/>
    <w:rsid w:val="007B1C4E"/>
    <w:rsid w:val="007B61B2"/>
    <w:rsid w:val="007C2A21"/>
    <w:rsid w:val="007C2F0A"/>
    <w:rsid w:val="007C5CE9"/>
    <w:rsid w:val="007D1A59"/>
    <w:rsid w:val="007D39CC"/>
    <w:rsid w:val="007D453D"/>
    <w:rsid w:val="007D6AAF"/>
    <w:rsid w:val="007E1A34"/>
    <w:rsid w:val="007E29F8"/>
    <w:rsid w:val="007E582B"/>
    <w:rsid w:val="007E5A11"/>
    <w:rsid w:val="007E73E6"/>
    <w:rsid w:val="007F1954"/>
    <w:rsid w:val="007F21D7"/>
    <w:rsid w:val="007F490C"/>
    <w:rsid w:val="00804803"/>
    <w:rsid w:val="008057F8"/>
    <w:rsid w:val="00811910"/>
    <w:rsid w:val="00812C91"/>
    <w:rsid w:val="00816528"/>
    <w:rsid w:val="008213F9"/>
    <w:rsid w:val="008239B8"/>
    <w:rsid w:val="008307E1"/>
    <w:rsid w:val="00836D62"/>
    <w:rsid w:val="00844524"/>
    <w:rsid w:val="0085700C"/>
    <w:rsid w:val="008669B9"/>
    <w:rsid w:val="00867160"/>
    <w:rsid w:val="0087205B"/>
    <w:rsid w:val="00874FB8"/>
    <w:rsid w:val="00875431"/>
    <w:rsid w:val="00882418"/>
    <w:rsid w:val="00893323"/>
    <w:rsid w:val="008937B9"/>
    <w:rsid w:val="00895669"/>
    <w:rsid w:val="008976AC"/>
    <w:rsid w:val="00897946"/>
    <w:rsid w:val="008A3276"/>
    <w:rsid w:val="008A3447"/>
    <w:rsid w:val="008A3D9E"/>
    <w:rsid w:val="008A7E5F"/>
    <w:rsid w:val="008B016F"/>
    <w:rsid w:val="008B3D03"/>
    <w:rsid w:val="008B638A"/>
    <w:rsid w:val="008C734C"/>
    <w:rsid w:val="008D462A"/>
    <w:rsid w:val="008E4BF2"/>
    <w:rsid w:val="008F16EC"/>
    <w:rsid w:val="008F4CBD"/>
    <w:rsid w:val="008F61A9"/>
    <w:rsid w:val="009002F0"/>
    <w:rsid w:val="00900F0E"/>
    <w:rsid w:val="009017AD"/>
    <w:rsid w:val="009017B3"/>
    <w:rsid w:val="00901BED"/>
    <w:rsid w:val="0090465B"/>
    <w:rsid w:val="00905735"/>
    <w:rsid w:val="00906C91"/>
    <w:rsid w:val="009075C9"/>
    <w:rsid w:val="009131B9"/>
    <w:rsid w:val="0091409C"/>
    <w:rsid w:val="0091449A"/>
    <w:rsid w:val="00915FC2"/>
    <w:rsid w:val="00926171"/>
    <w:rsid w:val="009277F8"/>
    <w:rsid w:val="00931717"/>
    <w:rsid w:val="00931E2F"/>
    <w:rsid w:val="00932AD5"/>
    <w:rsid w:val="00933728"/>
    <w:rsid w:val="00933CB7"/>
    <w:rsid w:val="00933D5D"/>
    <w:rsid w:val="009351C1"/>
    <w:rsid w:val="00935805"/>
    <w:rsid w:val="00935922"/>
    <w:rsid w:val="009368F3"/>
    <w:rsid w:val="00947C42"/>
    <w:rsid w:val="00950489"/>
    <w:rsid w:val="00957DE9"/>
    <w:rsid w:val="00960A2C"/>
    <w:rsid w:val="00961480"/>
    <w:rsid w:val="009616F7"/>
    <w:rsid w:val="00964710"/>
    <w:rsid w:val="00965A44"/>
    <w:rsid w:val="00967D7C"/>
    <w:rsid w:val="0097299A"/>
    <w:rsid w:val="0097548D"/>
    <w:rsid w:val="009757AD"/>
    <w:rsid w:val="00980B6A"/>
    <w:rsid w:val="009818F9"/>
    <w:rsid w:val="00985CD1"/>
    <w:rsid w:val="0098618F"/>
    <w:rsid w:val="00987C32"/>
    <w:rsid w:val="00991646"/>
    <w:rsid w:val="0099310F"/>
    <w:rsid w:val="00993A55"/>
    <w:rsid w:val="009940FE"/>
    <w:rsid w:val="0099448B"/>
    <w:rsid w:val="00994C16"/>
    <w:rsid w:val="00996FC3"/>
    <w:rsid w:val="00997347"/>
    <w:rsid w:val="009A2F97"/>
    <w:rsid w:val="009A31C1"/>
    <w:rsid w:val="009A6E5E"/>
    <w:rsid w:val="009A72B8"/>
    <w:rsid w:val="009A78E6"/>
    <w:rsid w:val="009B19CE"/>
    <w:rsid w:val="009B71A8"/>
    <w:rsid w:val="009B7CA2"/>
    <w:rsid w:val="009C202F"/>
    <w:rsid w:val="009C72AA"/>
    <w:rsid w:val="009C77F7"/>
    <w:rsid w:val="009D46BC"/>
    <w:rsid w:val="009D5BD3"/>
    <w:rsid w:val="009E04A5"/>
    <w:rsid w:val="009E48F1"/>
    <w:rsid w:val="009E5ABC"/>
    <w:rsid w:val="009E5B9C"/>
    <w:rsid w:val="009E75B6"/>
    <w:rsid w:val="009F4ED1"/>
    <w:rsid w:val="00A00D71"/>
    <w:rsid w:val="00A00EDF"/>
    <w:rsid w:val="00A03760"/>
    <w:rsid w:val="00A1530E"/>
    <w:rsid w:val="00A265F9"/>
    <w:rsid w:val="00A26A17"/>
    <w:rsid w:val="00A30169"/>
    <w:rsid w:val="00A312A3"/>
    <w:rsid w:val="00A33D9F"/>
    <w:rsid w:val="00A35253"/>
    <w:rsid w:val="00A35A5E"/>
    <w:rsid w:val="00A37229"/>
    <w:rsid w:val="00A375AE"/>
    <w:rsid w:val="00A379AE"/>
    <w:rsid w:val="00A37E39"/>
    <w:rsid w:val="00A41763"/>
    <w:rsid w:val="00A418C9"/>
    <w:rsid w:val="00A45668"/>
    <w:rsid w:val="00A54690"/>
    <w:rsid w:val="00A55776"/>
    <w:rsid w:val="00A5650E"/>
    <w:rsid w:val="00A57B33"/>
    <w:rsid w:val="00A72AA8"/>
    <w:rsid w:val="00A73927"/>
    <w:rsid w:val="00A74C9B"/>
    <w:rsid w:val="00A7585A"/>
    <w:rsid w:val="00A77684"/>
    <w:rsid w:val="00A82A6B"/>
    <w:rsid w:val="00A858AB"/>
    <w:rsid w:val="00A874E4"/>
    <w:rsid w:val="00A9249E"/>
    <w:rsid w:val="00A93478"/>
    <w:rsid w:val="00A938E1"/>
    <w:rsid w:val="00A97FE7"/>
    <w:rsid w:val="00AA0C9B"/>
    <w:rsid w:val="00AA22EB"/>
    <w:rsid w:val="00AA3FD0"/>
    <w:rsid w:val="00AA46CA"/>
    <w:rsid w:val="00AA4FD3"/>
    <w:rsid w:val="00AA7EFA"/>
    <w:rsid w:val="00AB235C"/>
    <w:rsid w:val="00AB61B3"/>
    <w:rsid w:val="00AB6A4A"/>
    <w:rsid w:val="00AC0677"/>
    <w:rsid w:val="00AC323A"/>
    <w:rsid w:val="00AC69E8"/>
    <w:rsid w:val="00AD6357"/>
    <w:rsid w:val="00AD7F81"/>
    <w:rsid w:val="00AE14EE"/>
    <w:rsid w:val="00AE3B1C"/>
    <w:rsid w:val="00AE4CA9"/>
    <w:rsid w:val="00AE6862"/>
    <w:rsid w:val="00AF2811"/>
    <w:rsid w:val="00AF2D15"/>
    <w:rsid w:val="00AF367D"/>
    <w:rsid w:val="00AF45FD"/>
    <w:rsid w:val="00B07E6C"/>
    <w:rsid w:val="00B17558"/>
    <w:rsid w:val="00B2386E"/>
    <w:rsid w:val="00B3039C"/>
    <w:rsid w:val="00B3070D"/>
    <w:rsid w:val="00B30AF4"/>
    <w:rsid w:val="00B35E2A"/>
    <w:rsid w:val="00B366F9"/>
    <w:rsid w:val="00B36975"/>
    <w:rsid w:val="00B40804"/>
    <w:rsid w:val="00B40836"/>
    <w:rsid w:val="00B4263D"/>
    <w:rsid w:val="00B42790"/>
    <w:rsid w:val="00B427C0"/>
    <w:rsid w:val="00B52892"/>
    <w:rsid w:val="00B56F49"/>
    <w:rsid w:val="00B57A73"/>
    <w:rsid w:val="00B639F1"/>
    <w:rsid w:val="00B67133"/>
    <w:rsid w:val="00B7442A"/>
    <w:rsid w:val="00B90249"/>
    <w:rsid w:val="00B90C52"/>
    <w:rsid w:val="00B920E4"/>
    <w:rsid w:val="00B923F5"/>
    <w:rsid w:val="00B93ADC"/>
    <w:rsid w:val="00B97002"/>
    <w:rsid w:val="00BA1E80"/>
    <w:rsid w:val="00BB247E"/>
    <w:rsid w:val="00BB2F70"/>
    <w:rsid w:val="00BB35D6"/>
    <w:rsid w:val="00BB6CF4"/>
    <w:rsid w:val="00BB77B8"/>
    <w:rsid w:val="00BC103F"/>
    <w:rsid w:val="00BC14C3"/>
    <w:rsid w:val="00BC1ABE"/>
    <w:rsid w:val="00BC42B9"/>
    <w:rsid w:val="00BD2F20"/>
    <w:rsid w:val="00BD4F62"/>
    <w:rsid w:val="00BD70D8"/>
    <w:rsid w:val="00BE24A5"/>
    <w:rsid w:val="00BE3ED6"/>
    <w:rsid w:val="00BE4AFD"/>
    <w:rsid w:val="00BE7D03"/>
    <w:rsid w:val="00BF1109"/>
    <w:rsid w:val="00BF1D42"/>
    <w:rsid w:val="00BF26B2"/>
    <w:rsid w:val="00BF348B"/>
    <w:rsid w:val="00C00590"/>
    <w:rsid w:val="00C011E5"/>
    <w:rsid w:val="00C02C7A"/>
    <w:rsid w:val="00C0401B"/>
    <w:rsid w:val="00C04647"/>
    <w:rsid w:val="00C058CF"/>
    <w:rsid w:val="00C12551"/>
    <w:rsid w:val="00C211CD"/>
    <w:rsid w:val="00C25328"/>
    <w:rsid w:val="00C27D37"/>
    <w:rsid w:val="00C3744D"/>
    <w:rsid w:val="00C43A84"/>
    <w:rsid w:val="00C51C0C"/>
    <w:rsid w:val="00C6083A"/>
    <w:rsid w:val="00C614F4"/>
    <w:rsid w:val="00C6336C"/>
    <w:rsid w:val="00C64137"/>
    <w:rsid w:val="00C647A1"/>
    <w:rsid w:val="00C653EE"/>
    <w:rsid w:val="00C658E4"/>
    <w:rsid w:val="00C67197"/>
    <w:rsid w:val="00C70F4F"/>
    <w:rsid w:val="00C711A2"/>
    <w:rsid w:val="00C7266E"/>
    <w:rsid w:val="00C76C12"/>
    <w:rsid w:val="00C76C66"/>
    <w:rsid w:val="00C82DF9"/>
    <w:rsid w:val="00C87190"/>
    <w:rsid w:val="00C91F84"/>
    <w:rsid w:val="00CA0644"/>
    <w:rsid w:val="00CA1564"/>
    <w:rsid w:val="00CA3C3E"/>
    <w:rsid w:val="00CA6855"/>
    <w:rsid w:val="00CA7C8A"/>
    <w:rsid w:val="00CB180D"/>
    <w:rsid w:val="00CB23D9"/>
    <w:rsid w:val="00CB44E8"/>
    <w:rsid w:val="00CB7978"/>
    <w:rsid w:val="00CC1D12"/>
    <w:rsid w:val="00CC39A2"/>
    <w:rsid w:val="00CC734F"/>
    <w:rsid w:val="00CD09AC"/>
    <w:rsid w:val="00CD353E"/>
    <w:rsid w:val="00CE42E9"/>
    <w:rsid w:val="00CE569E"/>
    <w:rsid w:val="00CF0268"/>
    <w:rsid w:val="00CF2A86"/>
    <w:rsid w:val="00D001E4"/>
    <w:rsid w:val="00D00AA8"/>
    <w:rsid w:val="00D01BEA"/>
    <w:rsid w:val="00D02778"/>
    <w:rsid w:val="00D03521"/>
    <w:rsid w:val="00D13E84"/>
    <w:rsid w:val="00D16353"/>
    <w:rsid w:val="00D17918"/>
    <w:rsid w:val="00D17FA4"/>
    <w:rsid w:val="00D25332"/>
    <w:rsid w:val="00D26B62"/>
    <w:rsid w:val="00D26D71"/>
    <w:rsid w:val="00D27247"/>
    <w:rsid w:val="00D300F4"/>
    <w:rsid w:val="00D306A2"/>
    <w:rsid w:val="00D32DA7"/>
    <w:rsid w:val="00D3344B"/>
    <w:rsid w:val="00D34008"/>
    <w:rsid w:val="00D40175"/>
    <w:rsid w:val="00D409E6"/>
    <w:rsid w:val="00D40D5E"/>
    <w:rsid w:val="00D4711E"/>
    <w:rsid w:val="00D50347"/>
    <w:rsid w:val="00D50FB3"/>
    <w:rsid w:val="00D55243"/>
    <w:rsid w:val="00D56814"/>
    <w:rsid w:val="00D62F90"/>
    <w:rsid w:val="00D63368"/>
    <w:rsid w:val="00D63E74"/>
    <w:rsid w:val="00D701F6"/>
    <w:rsid w:val="00D715C4"/>
    <w:rsid w:val="00D77455"/>
    <w:rsid w:val="00D854D8"/>
    <w:rsid w:val="00D91F25"/>
    <w:rsid w:val="00D928FD"/>
    <w:rsid w:val="00DB6FBD"/>
    <w:rsid w:val="00DC6FFC"/>
    <w:rsid w:val="00DC79E3"/>
    <w:rsid w:val="00DD2269"/>
    <w:rsid w:val="00DD51E1"/>
    <w:rsid w:val="00DD5ABB"/>
    <w:rsid w:val="00DE2D54"/>
    <w:rsid w:val="00DE5DC8"/>
    <w:rsid w:val="00DF3A96"/>
    <w:rsid w:val="00DF3C42"/>
    <w:rsid w:val="00DF6B13"/>
    <w:rsid w:val="00DF7EE3"/>
    <w:rsid w:val="00E02BB0"/>
    <w:rsid w:val="00E03CE6"/>
    <w:rsid w:val="00E052DF"/>
    <w:rsid w:val="00E13716"/>
    <w:rsid w:val="00E13983"/>
    <w:rsid w:val="00E13BA5"/>
    <w:rsid w:val="00E23A38"/>
    <w:rsid w:val="00E248EA"/>
    <w:rsid w:val="00E266FF"/>
    <w:rsid w:val="00E27661"/>
    <w:rsid w:val="00E37DC2"/>
    <w:rsid w:val="00E449F4"/>
    <w:rsid w:val="00E47DB3"/>
    <w:rsid w:val="00E502AB"/>
    <w:rsid w:val="00E509A9"/>
    <w:rsid w:val="00E51F8B"/>
    <w:rsid w:val="00E5242A"/>
    <w:rsid w:val="00E53398"/>
    <w:rsid w:val="00E5483C"/>
    <w:rsid w:val="00E66AE2"/>
    <w:rsid w:val="00E70964"/>
    <w:rsid w:val="00E74DA4"/>
    <w:rsid w:val="00E803F3"/>
    <w:rsid w:val="00E81B89"/>
    <w:rsid w:val="00E86FC2"/>
    <w:rsid w:val="00E91432"/>
    <w:rsid w:val="00E91B5A"/>
    <w:rsid w:val="00E94C1D"/>
    <w:rsid w:val="00E9516B"/>
    <w:rsid w:val="00EA6A83"/>
    <w:rsid w:val="00EB5226"/>
    <w:rsid w:val="00EB6EE6"/>
    <w:rsid w:val="00EC1B86"/>
    <w:rsid w:val="00ED6E45"/>
    <w:rsid w:val="00EE2CAF"/>
    <w:rsid w:val="00EE43E4"/>
    <w:rsid w:val="00EE4B63"/>
    <w:rsid w:val="00EF3E50"/>
    <w:rsid w:val="00EF443B"/>
    <w:rsid w:val="00EF5F3E"/>
    <w:rsid w:val="00F001EA"/>
    <w:rsid w:val="00F01EBA"/>
    <w:rsid w:val="00F056C3"/>
    <w:rsid w:val="00F145A2"/>
    <w:rsid w:val="00F14C97"/>
    <w:rsid w:val="00F16B90"/>
    <w:rsid w:val="00F25C90"/>
    <w:rsid w:val="00F34F19"/>
    <w:rsid w:val="00F40226"/>
    <w:rsid w:val="00F4261C"/>
    <w:rsid w:val="00F44A21"/>
    <w:rsid w:val="00F44B94"/>
    <w:rsid w:val="00F44E4B"/>
    <w:rsid w:val="00F47849"/>
    <w:rsid w:val="00F478D2"/>
    <w:rsid w:val="00F52000"/>
    <w:rsid w:val="00F5713F"/>
    <w:rsid w:val="00F575F0"/>
    <w:rsid w:val="00F61BFA"/>
    <w:rsid w:val="00F6664C"/>
    <w:rsid w:val="00F72A93"/>
    <w:rsid w:val="00F73CE5"/>
    <w:rsid w:val="00F750E7"/>
    <w:rsid w:val="00F80AF1"/>
    <w:rsid w:val="00F8298C"/>
    <w:rsid w:val="00F90245"/>
    <w:rsid w:val="00F920D9"/>
    <w:rsid w:val="00F94781"/>
    <w:rsid w:val="00FA0CD0"/>
    <w:rsid w:val="00FA5388"/>
    <w:rsid w:val="00FB08E3"/>
    <w:rsid w:val="00FB5813"/>
    <w:rsid w:val="00FB6BF3"/>
    <w:rsid w:val="00FB775B"/>
    <w:rsid w:val="00FC51B2"/>
    <w:rsid w:val="00FC6B97"/>
    <w:rsid w:val="00FD03D4"/>
    <w:rsid w:val="00FD397B"/>
    <w:rsid w:val="00FD4B01"/>
    <w:rsid w:val="00FD52F2"/>
    <w:rsid w:val="00FD5C9B"/>
    <w:rsid w:val="00FD7CDC"/>
    <w:rsid w:val="00FD7E93"/>
    <w:rsid w:val="00FE0306"/>
    <w:rsid w:val="00FE12E4"/>
    <w:rsid w:val="00FE1F1B"/>
    <w:rsid w:val="00FE2197"/>
    <w:rsid w:val="00FE3F04"/>
    <w:rsid w:val="00FE58E0"/>
    <w:rsid w:val="00FE74D0"/>
    <w:rsid w:val="00FE766C"/>
    <w:rsid w:val="00FF0212"/>
    <w:rsid w:val="00FF14AC"/>
    <w:rsid w:val="00FF6CCD"/>
    <w:rsid w:val="00FF75E9"/>
    <w:rsid w:val="02B15C40"/>
    <w:rsid w:val="056069AD"/>
    <w:rsid w:val="0913D8C0"/>
    <w:rsid w:val="1214C081"/>
    <w:rsid w:val="13C45D28"/>
    <w:rsid w:val="273F1FD9"/>
    <w:rsid w:val="27B598ED"/>
    <w:rsid w:val="28683DE5"/>
    <w:rsid w:val="40CD6C9A"/>
    <w:rsid w:val="42C94F23"/>
    <w:rsid w:val="45DF7F08"/>
    <w:rsid w:val="62BC6EFB"/>
    <w:rsid w:val="75EE95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7B241F"/>
  <w15:docId w15:val="{A57A90D3-3FEF-40FA-AE39-F1A5A9593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80AF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F80AF1"/>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511E2D"/>
    <w:pPr>
      <w:tabs>
        <w:tab w:val="center" w:pos="2160"/>
        <w:tab w:val="left" w:pos="8655"/>
      </w:tabs>
      <w:spacing w:after="0" w:line="240" w:lineRule="auto"/>
      <w:ind w:left="3600" w:hanging="3600"/>
    </w:pPr>
    <w:rPr>
      <w:sz w:val="16"/>
    </w:rPr>
  </w:style>
  <w:style w:type="character" w:customStyle="1" w:styleId="FooterChar">
    <w:name w:val="Footer Char"/>
    <w:basedOn w:val="DefaultParagraphFont"/>
    <w:link w:val="Footer"/>
    <w:uiPriority w:val="99"/>
    <w:rsid w:val="00511E2D"/>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082523"/>
    <w:pPr>
      <w:numPr>
        <w:numId w:val="50"/>
      </w:numPr>
      <w:tabs>
        <w:tab w:val="left" w:pos="9360"/>
      </w:tabs>
      <w:autoSpaceDE w:val="0"/>
      <w:autoSpaceDN w:val="0"/>
      <w:adjustRightInd w:val="0"/>
      <w:spacing w:after="0" w:line="240" w:lineRule="auto"/>
      <w:contextualSpacing/>
    </w:pPr>
  </w:style>
  <w:style w:type="paragraph" w:styleId="TOCHeading">
    <w:name w:val="TOC Heading"/>
    <w:basedOn w:val="Heading1"/>
    <w:next w:val="Normal"/>
    <w:autoRedefine/>
    <w:uiPriority w:val="39"/>
    <w:qFormat/>
    <w:rsid w:val="00F145A2"/>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locked/>
    <w:rsid w:val="006D6ECF"/>
    <w:rPr>
      <w:sz w:val="16"/>
      <w:szCs w:val="16"/>
    </w:rPr>
  </w:style>
  <w:style w:type="paragraph" w:styleId="CommentText">
    <w:name w:val="annotation text"/>
    <w:basedOn w:val="Normal"/>
    <w:link w:val="CommentTextChar"/>
    <w:uiPriority w:val="99"/>
    <w:unhideWhenUsed/>
    <w:locked/>
    <w:rsid w:val="006D6ECF"/>
    <w:pPr>
      <w:spacing w:line="240" w:lineRule="auto"/>
    </w:pPr>
    <w:rPr>
      <w:sz w:val="20"/>
      <w:szCs w:val="20"/>
    </w:rPr>
  </w:style>
  <w:style w:type="character" w:customStyle="1" w:styleId="CommentTextChar">
    <w:name w:val="Comment Text Char"/>
    <w:basedOn w:val="DefaultParagraphFont"/>
    <w:link w:val="CommentText"/>
    <w:uiPriority w:val="99"/>
    <w:rsid w:val="006D6ECF"/>
    <w:rPr>
      <w:sz w:val="20"/>
      <w:szCs w:val="20"/>
    </w:rPr>
  </w:style>
  <w:style w:type="paragraph" w:styleId="CommentSubject">
    <w:name w:val="annotation subject"/>
    <w:basedOn w:val="CommentText"/>
    <w:next w:val="CommentText"/>
    <w:link w:val="CommentSubjectChar"/>
    <w:uiPriority w:val="99"/>
    <w:semiHidden/>
    <w:unhideWhenUsed/>
    <w:locked/>
    <w:rsid w:val="006D6ECF"/>
    <w:rPr>
      <w:b/>
      <w:bCs/>
    </w:rPr>
  </w:style>
  <w:style w:type="character" w:customStyle="1" w:styleId="CommentSubjectChar">
    <w:name w:val="Comment Subject Char"/>
    <w:basedOn w:val="CommentTextChar"/>
    <w:link w:val="CommentSubject"/>
    <w:uiPriority w:val="99"/>
    <w:semiHidden/>
    <w:rsid w:val="006D6ECF"/>
    <w:rPr>
      <w:b/>
      <w:bCs/>
      <w:sz w:val="20"/>
      <w:szCs w:val="20"/>
    </w:rPr>
  </w:style>
  <w:style w:type="paragraph" w:styleId="EndnoteText">
    <w:name w:val="endnote text"/>
    <w:basedOn w:val="Normal"/>
    <w:link w:val="EndnoteTextChar"/>
    <w:uiPriority w:val="99"/>
    <w:semiHidden/>
    <w:unhideWhenUsed/>
    <w:locked/>
    <w:rsid w:val="001A78F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A78F9"/>
    <w:rPr>
      <w:sz w:val="20"/>
      <w:szCs w:val="20"/>
    </w:rPr>
  </w:style>
  <w:style w:type="character" w:styleId="EndnoteReference">
    <w:name w:val="endnote reference"/>
    <w:basedOn w:val="DefaultParagraphFont"/>
    <w:uiPriority w:val="99"/>
    <w:semiHidden/>
    <w:unhideWhenUsed/>
    <w:locked/>
    <w:rsid w:val="001A78F9"/>
    <w:rPr>
      <w:vertAlign w:val="superscript"/>
    </w:rPr>
  </w:style>
  <w:style w:type="character" w:styleId="UnresolvedMention">
    <w:name w:val="Unresolved Mention"/>
    <w:basedOn w:val="DefaultParagraphFont"/>
    <w:uiPriority w:val="99"/>
    <w:semiHidden/>
    <w:unhideWhenUsed/>
    <w:rsid w:val="007B61B2"/>
    <w:rPr>
      <w:color w:val="605E5C"/>
      <w:shd w:val="clear" w:color="auto" w:fill="E1DFDD"/>
    </w:rPr>
  </w:style>
  <w:style w:type="paragraph" w:styleId="Revision">
    <w:name w:val="Revision"/>
    <w:hidden/>
    <w:uiPriority w:val="99"/>
    <w:semiHidden/>
    <w:rsid w:val="00214D1C"/>
    <w:pPr>
      <w:spacing w:after="0"/>
    </w:pPr>
  </w:style>
  <w:style w:type="character" w:styleId="FollowedHyperlink">
    <w:name w:val="FollowedHyperlink"/>
    <w:basedOn w:val="DefaultParagraphFont"/>
    <w:uiPriority w:val="99"/>
    <w:semiHidden/>
    <w:unhideWhenUsed/>
    <w:locked/>
    <w:rsid w:val="0025282A"/>
    <w:rPr>
      <w:color w:val="5D973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hyperlink" Target="https://www.bls.gov/news.release/ecec.nr0.htm" TargetMode="External" /><Relationship Id="rId14" Type="http://schemas.openxmlformats.org/officeDocument/2006/relationships/image" Target="media/image1.png" /><Relationship Id="rId15" Type="http://schemas.openxmlformats.org/officeDocument/2006/relationships/footer" Target="footer4.xml"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22206"/>
    <w:rsid w:val="000457E4"/>
    <w:rsid w:val="000E53B0"/>
    <w:rsid w:val="002B77BB"/>
    <w:rsid w:val="0034620B"/>
    <w:rsid w:val="003A4400"/>
    <w:rsid w:val="003F7062"/>
    <w:rsid w:val="00462E5F"/>
    <w:rsid w:val="005817EE"/>
    <w:rsid w:val="0065501B"/>
    <w:rsid w:val="00823A43"/>
    <w:rsid w:val="00882418"/>
    <w:rsid w:val="008D462A"/>
    <w:rsid w:val="0097548D"/>
    <w:rsid w:val="009B79BC"/>
    <w:rsid w:val="009E75B6"/>
    <w:rsid w:val="00AE14EE"/>
    <w:rsid w:val="00B923F5"/>
    <w:rsid w:val="00C67197"/>
    <w:rsid w:val="00CA367F"/>
    <w:rsid w:val="00D17918"/>
    <w:rsid w:val="00E86FC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548D"/>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4400"/>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1156065B79744D8A613CAF752491D2" ma:contentTypeVersion="19" ma:contentTypeDescription="Create a new document." ma:contentTypeScope="" ma:versionID="b5708af41e5c9111f70ce24f5cf5e9b1">
  <xsd:schema xmlns:xsd="http://www.w3.org/2001/XMLSchema" xmlns:xs="http://www.w3.org/2001/XMLSchema" xmlns:p="http://schemas.microsoft.com/office/2006/metadata/properties" xmlns:ns2="7ff57839-1ed0-4530-a572-599851b0a219" xmlns:ns3="d8b29751-1bde-4156-9ce5-7c33bc97db0d" targetNamespace="http://schemas.microsoft.com/office/2006/metadata/properties" ma:root="true" ma:fieldsID="3a60db27df5cc70df9e4232fe27a278d" ns2:_="" ns3:_="">
    <xsd:import namespace="7ff57839-1ed0-4530-a572-599851b0a219"/>
    <xsd:import namespace="d8b29751-1bde-4156-9ce5-7c33bc97db0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MediaServiceSearchProperties" minOccurs="0"/>
                <xsd:element ref="ns2:Text" minOccurs="0"/>
                <xsd:element ref="ns2:Comms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57839-1ed0-4530-a572-599851b0a2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6d46bd7-4a58-4bc0-a217-7245e6e7041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Text" ma:index="23" nillable="true" ma:displayName="Text" ma:format="Dropdown" ma:internalName="Text">
      <xsd:simpleType>
        <xsd:restriction base="dms:Note"/>
      </xsd:simpleType>
    </xsd:element>
    <xsd:element name="CommsStatus" ma:index="24" nillable="true" ma:displayName="Comms Status" ma:description="Edited or no?" ma:format="Dropdown" ma:internalName="Comms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b29751-1bde-4156-9ce5-7c33bc97db0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575731b-0abc-4bd5-9b8d-8551fe7221c1}" ma:internalName="TaxCatchAll" ma:showField="CatchAllData" ma:web="d8b29751-1bde-4156-9ce5-7c33bc97db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d8b29751-1bde-4156-9ce5-7c33bc97db0d" xsi:nil="true"/>
    <lcf76f155ced4ddcb4097134ff3c332f xmlns="7ff57839-1ed0-4530-a572-599851b0a219">
      <Terms xmlns="http://schemas.microsoft.com/office/infopath/2007/PartnerControls"/>
    </lcf76f155ced4ddcb4097134ff3c332f>
    <Text xmlns="7ff57839-1ed0-4530-a572-599851b0a219" xsi:nil="true"/>
    <CommsStatus xmlns="7ff57839-1ed0-4530-a572-599851b0a219"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EC8D8A-88B3-44F5-B51A-045CD29DA95A}">
  <ds:schemaRefs>
    <ds:schemaRef ds:uri="http://schemas.microsoft.com/sharepoint/v3/contenttype/forms"/>
  </ds:schemaRefs>
</ds:datastoreItem>
</file>

<file path=customXml/itemProps3.xml><?xml version="1.0" encoding="utf-8"?>
<ds:datastoreItem xmlns:ds="http://schemas.openxmlformats.org/officeDocument/2006/customXml" ds:itemID="{35B30982-BC4C-40B2-9537-6F160C30F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57839-1ed0-4530-a572-599851b0a219"/>
    <ds:schemaRef ds:uri="d8b29751-1bde-4156-9ce5-7c33bc97db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552A56-CA9A-4535-85FF-6A9945E22E02}">
  <ds:schemaRefs>
    <ds:schemaRef ds:uri="http://schemas.openxmlformats.org/officeDocument/2006/bibliography"/>
  </ds:schemaRefs>
</ds:datastoreItem>
</file>

<file path=customXml/itemProps5.xml><?xml version="1.0" encoding="utf-8"?>
<ds:datastoreItem xmlns:ds="http://schemas.openxmlformats.org/officeDocument/2006/customXml" ds:itemID="{7E044B0E-DBB3-40A8-B513-CB96582048B7}">
  <ds:schemaRefs>
    <ds:schemaRef ds:uri="http://schemas.microsoft.com/office/2006/metadata/properties"/>
    <ds:schemaRef ds:uri="http://schemas.microsoft.com/office/infopath/2007/PartnerControls"/>
    <ds:schemaRef ds:uri="d8b29751-1bde-4156-9ce5-7c33bc97db0d"/>
    <ds:schemaRef ds:uri="7ff57839-1ed0-4530-a572-599851b0a21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3264</Words>
  <Characters>18607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Supporting Statement for Energy Efficiency and Conservation Block Grant Information Collection Request</vt:lpstr>
    </vt:vector>
  </TitlesOfParts>
  <Company/>
  <LinksUpToDate>false</LinksUpToDate>
  <CharactersWithSpaces>21828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Energy Efficiency and Conservation Block Grant Information Collection Request</dc:title>
  <dc:subject>Improving the Quality and Scope of EIA Data</dc:subject>
  <dc:creator>Stroud, Lawrence</dc:creator>
  <cp:lastModifiedBy>Edwards, Benjamin</cp:lastModifiedBy>
  <cp:revision>2</cp:revision>
  <cp:lastPrinted>2011-12-13T02:42:00Z</cp:lastPrinted>
  <dcterms:created xsi:type="dcterms:W3CDTF">2025-09-19T20:25:00Z</dcterms:created>
  <dcterms:modified xsi:type="dcterms:W3CDTF">2025-09-19T20:25:00Z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0x010100D11156065B79744D8A613CAF752491D2</vt:lpwstr>
  </property>
  <property fmtid="{D5CDD505-2E9C-101B-9397-08002B2CF9AE}" pid="3" name="DOE_LifecycleState">
    <vt:lpwstr>1;#Draft|44aca65a-a2b8-4064-ac99-6d3b27b9c145</vt:lpwstr>
  </property>
  <property fmtid="{D5CDD505-2E9C-101B-9397-08002B2CF9AE}" pid="4" name="DOE_OwningOrg">
    <vt:lpwstr>3;#Deputy CIO for Enterprise Policy, Portfolio Management, and Governance|51403432-c5a0-4592-a980-fb9060c28c16</vt:lpwstr>
  </property>
  <property fmtid="{D5CDD505-2E9C-101B-9397-08002B2CF9AE}" pid="5" name="DOE_ProjectStatus">
    <vt:lpwstr>2;#Open|f87294c0-5917-49a1-8b9f-b6ecaae62a21</vt:lpwstr>
  </property>
  <property fmtid="{D5CDD505-2E9C-101B-9397-08002B2CF9AE}" pid="6" name="DOE_RecordsDispositionSchedule">
    <vt:lpwstr>5;#Technology management administrative records MODIFIED (GRS 3_1_001)|26f2434b-601c-4546-9d3c-939d49d8f687</vt:lpwstr>
  </property>
  <property fmtid="{D5CDD505-2E9C-101B-9397-08002B2CF9AE}" pid="7" name="lcf76f155ced4ddcb4097134ff3c332f">
    <vt:lpwstr/>
  </property>
  <property fmtid="{D5CDD505-2E9C-101B-9397-08002B2CF9AE}" pid="8" name="MediaServiceImageTags">
    <vt:lpwstr/>
  </property>
</Properties>
</file>